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25" w:rsidRDefault="00D61225" w:rsidP="00D61225">
      <w:pPr>
        <w:tabs>
          <w:tab w:val="left" w:pos="160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Online </w:t>
      </w:r>
      <w:r w:rsidRPr="00916373">
        <w:rPr>
          <w:rFonts w:ascii="Times New Roman" w:hAnsi="Times New Roman" w:cs="Times New Roman"/>
          <w:b/>
          <w:sz w:val="24"/>
          <w:szCs w:val="24"/>
        </w:rPr>
        <w:t>Supplement</w:t>
      </w:r>
    </w:p>
    <w:p w:rsidR="00D61225" w:rsidRPr="00C52B10" w:rsidRDefault="00D61225" w:rsidP="00D61225">
      <w:pPr>
        <w:spacing w:line="480" w:lineRule="auto"/>
        <w:rPr>
          <w:rFonts w:ascii="Times New Roman" w:hAnsi="Times New Roman" w:cs="Times New Roman"/>
          <w:b/>
          <w:sz w:val="24"/>
          <w:szCs w:val="24"/>
        </w:rPr>
      </w:pPr>
      <w:r w:rsidRPr="00C52B10">
        <w:rPr>
          <w:rFonts w:ascii="Times New Roman" w:hAnsi="Times New Roman" w:cs="Times New Roman"/>
          <w:b/>
          <w:sz w:val="24"/>
          <w:szCs w:val="24"/>
        </w:rPr>
        <w:t xml:space="preserve">Data Sources:  </w:t>
      </w:r>
    </w:p>
    <w:p w:rsidR="00D61225" w:rsidRPr="00C52B10" w:rsidRDefault="00D61225" w:rsidP="00D61225">
      <w:pPr>
        <w:spacing w:line="480" w:lineRule="auto"/>
        <w:ind w:left="720" w:hanging="720"/>
        <w:rPr>
          <w:rFonts w:ascii="Times New Roman" w:hAnsi="Times New Roman" w:cs="Times New Roman"/>
          <w:b/>
          <w:sz w:val="24"/>
          <w:szCs w:val="24"/>
        </w:rPr>
      </w:pPr>
      <w:r w:rsidRPr="00C52B10">
        <w:rPr>
          <w:rFonts w:ascii="Times New Roman" w:hAnsi="Times New Roman" w:cs="Times New Roman"/>
          <w:b/>
          <w:sz w:val="24"/>
          <w:szCs w:val="24"/>
        </w:rPr>
        <w:t xml:space="preserve">Diabetes Analytic Files:   </w:t>
      </w:r>
    </w:p>
    <w:p w:rsidR="00D61225" w:rsidRDefault="00D61225" w:rsidP="00D61225">
      <w:pPr>
        <w:spacing w:after="0" w:line="480" w:lineRule="auto"/>
        <w:rPr>
          <w:rFonts w:ascii="Times New Roman" w:hAnsi="Times New Roman" w:cs="Times New Roman"/>
          <w:sz w:val="24"/>
          <w:szCs w:val="24"/>
        </w:rPr>
      </w:pPr>
      <w:r w:rsidRPr="00C52B10">
        <w:rPr>
          <w:rFonts w:ascii="Times New Roman" w:hAnsi="Times New Roman" w:cs="Times New Roman"/>
          <w:sz w:val="24"/>
          <w:szCs w:val="24"/>
        </w:rPr>
        <w:t xml:space="preserve">The </w:t>
      </w:r>
      <w:r>
        <w:rPr>
          <w:rFonts w:ascii="Times New Roman" w:hAnsi="Times New Roman" w:cs="Times New Roman"/>
          <w:sz w:val="24"/>
          <w:szCs w:val="24"/>
        </w:rPr>
        <w:t>d</w:t>
      </w:r>
      <w:r w:rsidRPr="00C52B10">
        <w:rPr>
          <w:rFonts w:ascii="Times New Roman" w:hAnsi="Times New Roman" w:cs="Times New Roman"/>
          <w:sz w:val="24"/>
          <w:szCs w:val="24"/>
        </w:rPr>
        <w:t xml:space="preserve">iabetes analytic files were developed by </w:t>
      </w:r>
      <w:r>
        <w:rPr>
          <w:rFonts w:ascii="Times New Roman" w:hAnsi="Times New Roman" w:cs="Times New Roman"/>
          <w:sz w:val="24"/>
          <w:szCs w:val="24"/>
        </w:rPr>
        <w:t xml:space="preserve">CMS </w:t>
      </w:r>
      <w:r w:rsidRPr="00C52B10">
        <w:rPr>
          <w:rFonts w:ascii="Times New Roman" w:hAnsi="Times New Roman" w:cs="Times New Roman"/>
          <w:sz w:val="24"/>
          <w:szCs w:val="24"/>
        </w:rPr>
        <w:t xml:space="preserve">to </w:t>
      </w:r>
      <w:r>
        <w:rPr>
          <w:rFonts w:ascii="Times New Roman" w:hAnsi="Times New Roman" w:cs="Times New Roman"/>
          <w:sz w:val="24"/>
          <w:szCs w:val="24"/>
        </w:rPr>
        <w:t>identify and aggregate Medicare fee-for-service (FFS) beneficiaries likely to have diabetes, for the purposes of allowing analyses related to diabetes care and outcomes.  The analytic files use in</w:t>
      </w:r>
      <w:r w:rsidRPr="00C52B10">
        <w:rPr>
          <w:rFonts w:ascii="Times New Roman" w:hAnsi="Times New Roman" w:cs="Times New Roman"/>
          <w:sz w:val="24"/>
          <w:szCs w:val="24"/>
        </w:rPr>
        <w:t xml:space="preserve">formation </w:t>
      </w:r>
      <w:r>
        <w:rPr>
          <w:rFonts w:ascii="Times New Roman" w:hAnsi="Times New Roman" w:cs="Times New Roman"/>
          <w:sz w:val="24"/>
          <w:szCs w:val="24"/>
        </w:rPr>
        <w:t xml:space="preserve">from Medicare Part A claims, Medicare Part B claims, </w:t>
      </w:r>
      <w:r w:rsidRPr="00C52B10">
        <w:rPr>
          <w:rFonts w:ascii="Times New Roman" w:hAnsi="Times New Roman" w:cs="Times New Roman"/>
          <w:sz w:val="24"/>
          <w:szCs w:val="24"/>
        </w:rPr>
        <w:t>and</w:t>
      </w:r>
      <w:r>
        <w:rPr>
          <w:rFonts w:ascii="Times New Roman" w:hAnsi="Times New Roman" w:cs="Times New Roman"/>
          <w:sz w:val="24"/>
          <w:szCs w:val="24"/>
        </w:rPr>
        <w:t xml:space="preserve"> the</w:t>
      </w:r>
      <w:r w:rsidRPr="00C52B10">
        <w:rPr>
          <w:rFonts w:ascii="Times New Roman" w:hAnsi="Times New Roman" w:cs="Times New Roman"/>
          <w:sz w:val="24"/>
          <w:szCs w:val="24"/>
        </w:rPr>
        <w:t xml:space="preserve"> </w:t>
      </w:r>
      <w:r>
        <w:rPr>
          <w:rFonts w:ascii="Times New Roman" w:hAnsi="Times New Roman" w:cs="Times New Roman"/>
          <w:sz w:val="24"/>
          <w:szCs w:val="24"/>
        </w:rPr>
        <w:t xml:space="preserve">enrollment </w:t>
      </w:r>
      <w:r w:rsidRPr="00C52B10">
        <w:rPr>
          <w:rFonts w:ascii="Times New Roman" w:hAnsi="Times New Roman" w:cs="Times New Roman"/>
          <w:sz w:val="24"/>
          <w:szCs w:val="24"/>
        </w:rPr>
        <w:t>data</w:t>
      </w:r>
      <w:r>
        <w:rPr>
          <w:rFonts w:ascii="Times New Roman" w:hAnsi="Times New Roman" w:cs="Times New Roman"/>
          <w:sz w:val="24"/>
          <w:szCs w:val="24"/>
        </w:rPr>
        <w:t xml:space="preserve">base (EDB), and are </w:t>
      </w:r>
      <w:r w:rsidRPr="00C52B10">
        <w:rPr>
          <w:rFonts w:ascii="Times New Roman" w:hAnsi="Times New Roman" w:cs="Times New Roman"/>
          <w:sz w:val="24"/>
          <w:szCs w:val="24"/>
        </w:rPr>
        <w:t xml:space="preserve">updated quarterly on a rolling </w:t>
      </w:r>
      <w:r>
        <w:rPr>
          <w:rFonts w:ascii="Times New Roman" w:hAnsi="Times New Roman" w:cs="Times New Roman"/>
          <w:sz w:val="24"/>
          <w:szCs w:val="24"/>
        </w:rPr>
        <w:t xml:space="preserve">annual </w:t>
      </w:r>
      <w:r w:rsidRPr="00C52B10">
        <w:rPr>
          <w:rFonts w:ascii="Times New Roman" w:hAnsi="Times New Roman" w:cs="Times New Roman"/>
          <w:sz w:val="24"/>
          <w:szCs w:val="24"/>
        </w:rPr>
        <w:t>basis</w:t>
      </w:r>
      <w:r>
        <w:rPr>
          <w:rFonts w:ascii="Times New Roman" w:hAnsi="Times New Roman" w:cs="Times New Roman"/>
          <w:sz w:val="24"/>
          <w:szCs w:val="24"/>
        </w:rPr>
        <w:t xml:space="preserve">.   These files identify </w:t>
      </w:r>
      <w:r w:rsidRPr="00C52B10">
        <w:rPr>
          <w:rFonts w:ascii="Times New Roman" w:hAnsi="Times New Roman" w:cs="Times New Roman"/>
          <w:sz w:val="24"/>
          <w:szCs w:val="24"/>
        </w:rPr>
        <w:t xml:space="preserve">Medicare </w:t>
      </w:r>
      <w:r>
        <w:rPr>
          <w:rFonts w:ascii="Times New Roman" w:hAnsi="Times New Roman" w:cs="Times New Roman"/>
          <w:sz w:val="24"/>
          <w:szCs w:val="24"/>
        </w:rPr>
        <w:t xml:space="preserve">beneficiaries with diabetes </w:t>
      </w:r>
      <w:r w:rsidRPr="00C52B10">
        <w:rPr>
          <w:rFonts w:ascii="Times New Roman" w:hAnsi="Times New Roman" w:cs="Times New Roman"/>
          <w:sz w:val="24"/>
          <w:szCs w:val="24"/>
        </w:rPr>
        <w:t xml:space="preserve">based on the definition described below.  </w:t>
      </w:r>
    </w:p>
    <w:p w:rsidR="00D61225" w:rsidRDefault="00D61225" w:rsidP="00D61225">
      <w:pPr>
        <w:spacing w:after="0" w:line="480" w:lineRule="auto"/>
        <w:rPr>
          <w:rFonts w:ascii="Times New Roman" w:hAnsi="Times New Roman" w:cs="Times New Roman"/>
          <w:sz w:val="24"/>
          <w:szCs w:val="24"/>
        </w:rPr>
      </w:pPr>
    </w:p>
    <w:p w:rsidR="00D61225" w:rsidRPr="00C52B10" w:rsidRDefault="00D61225" w:rsidP="00D61225">
      <w:pPr>
        <w:spacing w:after="0" w:line="480" w:lineRule="auto"/>
        <w:rPr>
          <w:rFonts w:ascii="Times New Roman" w:hAnsi="Times New Roman" w:cs="Times New Roman"/>
          <w:sz w:val="24"/>
          <w:szCs w:val="24"/>
        </w:rPr>
      </w:pPr>
      <w:r w:rsidRPr="00C52B10">
        <w:rPr>
          <w:rFonts w:ascii="Times New Roman" w:hAnsi="Times New Roman" w:cs="Times New Roman"/>
          <w:sz w:val="24"/>
          <w:szCs w:val="24"/>
        </w:rPr>
        <w:t xml:space="preserve">The files contain last name, first name, age, race, gender, social security number (SSN), </w:t>
      </w:r>
      <w:r>
        <w:rPr>
          <w:rFonts w:ascii="Times New Roman" w:hAnsi="Times New Roman" w:cs="Times New Roman"/>
          <w:sz w:val="24"/>
          <w:szCs w:val="24"/>
        </w:rPr>
        <w:t>Medicare health insurance claim (HIC) number,</w:t>
      </w:r>
      <w:r w:rsidRPr="00C52B10">
        <w:rPr>
          <w:rFonts w:ascii="Times New Roman" w:hAnsi="Times New Roman" w:cs="Times New Roman"/>
          <w:sz w:val="24"/>
          <w:szCs w:val="24"/>
        </w:rPr>
        <w:t xml:space="preserve"> and three indicator variables </w:t>
      </w:r>
      <w:r>
        <w:rPr>
          <w:rFonts w:ascii="Times New Roman" w:hAnsi="Times New Roman" w:cs="Times New Roman"/>
          <w:sz w:val="24"/>
          <w:szCs w:val="24"/>
        </w:rPr>
        <w:t>for performance of</w:t>
      </w:r>
      <w:r w:rsidRPr="00C52B10">
        <w:rPr>
          <w:rFonts w:ascii="Times New Roman" w:hAnsi="Times New Roman" w:cs="Times New Roman"/>
          <w:sz w:val="24"/>
          <w:szCs w:val="24"/>
        </w:rPr>
        <w:t xml:space="preserve"> eye exams, lipid</w:t>
      </w:r>
      <w:r>
        <w:rPr>
          <w:rFonts w:ascii="Times New Roman" w:hAnsi="Times New Roman" w:cs="Times New Roman"/>
          <w:sz w:val="24"/>
          <w:szCs w:val="24"/>
        </w:rPr>
        <w:t>,</w:t>
      </w:r>
      <w:r w:rsidRPr="00C52B10">
        <w:rPr>
          <w:rFonts w:ascii="Times New Roman" w:hAnsi="Times New Roman" w:cs="Times New Roman"/>
          <w:sz w:val="24"/>
          <w:szCs w:val="24"/>
        </w:rPr>
        <w:t xml:space="preserve"> and </w:t>
      </w:r>
      <w:r>
        <w:rPr>
          <w:rFonts w:ascii="Times New Roman" w:hAnsi="Times New Roman" w:cs="Times New Roman"/>
          <w:sz w:val="24"/>
          <w:szCs w:val="24"/>
        </w:rPr>
        <w:t>Hb</w:t>
      </w:r>
      <w:r w:rsidRPr="00C52B10">
        <w:rPr>
          <w:rFonts w:ascii="Times New Roman" w:hAnsi="Times New Roman" w:cs="Times New Roman"/>
          <w:sz w:val="24"/>
          <w:szCs w:val="24"/>
        </w:rPr>
        <w:t>A1C tests during the time period specified for each of the files.</w:t>
      </w:r>
    </w:p>
    <w:p w:rsidR="00D61225" w:rsidRPr="00C52B10" w:rsidRDefault="00D61225" w:rsidP="00D61225">
      <w:pPr>
        <w:spacing w:after="0" w:line="480" w:lineRule="auto"/>
        <w:rPr>
          <w:rFonts w:ascii="Times New Roman" w:hAnsi="Times New Roman" w:cs="Times New Roman"/>
          <w:sz w:val="24"/>
          <w:szCs w:val="24"/>
        </w:rPr>
      </w:pPr>
    </w:p>
    <w:p w:rsidR="00D61225" w:rsidRPr="00C52B10" w:rsidRDefault="00D61225" w:rsidP="00D61225">
      <w:pPr>
        <w:spacing w:line="480" w:lineRule="auto"/>
        <w:ind w:left="720" w:hanging="720"/>
        <w:rPr>
          <w:rFonts w:ascii="Times New Roman" w:hAnsi="Times New Roman" w:cs="Times New Roman"/>
          <w:b/>
          <w:sz w:val="24"/>
          <w:szCs w:val="24"/>
        </w:rPr>
      </w:pPr>
      <w:r w:rsidRPr="00C52B10">
        <w:rPr>
          <w:rFonts w:ascii="Times New Roman" w:hAnsi="Times New Roman" w:cs="Times New Roman"/>
          <w:b/>
          <w:sz w:val="24"/>
          <w:szCs w:val="24"/>
        </w:rPr>
        <w:t>Medicare Part A file</w:t>
      </w:r>
      <w:r>
        <w:rPr>
          <w:rFonts w:ascii="Times New Roman" w:hAnsi="Times New Roman" w:cs="Times New Roman"/>
          <w:b/>
          <w:sz w:val="24"/>
          <w:szCs w:val="24"/>
        </w:rPr>
        <w:t xml:space="preserve"> (abase)</w:t>
      </w:r>
      <w:r w:rsidRPr="00C52B10">
        <w:rPr>
          <w:rFonts w:ascii="Times New Roman" w:hAnsi="Times New Roman" w:cs="Times New Roman"/>
          <w:b/>
          <w:sz w:val="24"/>
          <w:szCs w:val="24"/>
        </w:rPr>
        <w:t xml:space="preserve">: </w:t>
      </w:r>
    </w:p>
    <w:p w:rsidR="00D61225" w:rsidRDefault="00D61225" w:rsidP="00D61225">
      <w:pPr>
        <w:spacing w:after="0" w:line="480" w:lineRule="auto"/>
        <w:ind w:hanging="720"/>
        <w:rPr>
          <w:rFonts w:ascii="Times New Roman" w:hAnsi="Times New Roman" w:cs="Times New Roman"/>
          <w:sz w:val="24"/>
          <w:szCs w:val="24"/>
        </w:rPr>
      </w:pPr>
      <w:r w:rsidRPr="00C52B10">
        <w:rPr>
          <w:rFonts w:ascii="Times New Roman" w:hAnsi="Times New Roman" w:cs="Times New Roman"/>
          <w:sz w:val="24"/>
          <w:szCs w:val="24"/>
        </w:rPr>
        <w:t xml:space="preserve"> </w:t>
      </w:r>
      <w:r w:rsidRPr="00C52B10">
        <w:rPr>
          <w:rFonts w:ascii="Times New Roman" w:hAnsi="Times New Roman" w:cs="Times New Roman"/>
          <w:sz w:val="24"/>
          <w:szCs w:val="24"/>
        </w:rPr>
        <w:tab/>
        <w:t xml:space="preserve">Medicare Part A files contain hospitalization claim information for </w:t>
      </w:r>
      <w:r>
        <w:rPr>
          <w:rFonts w:ascii="Times New Roman" w:hAnsi="Times New Roman" w:cs="Times New Roman"/>
          <w:sz w:val="24"/>
          <w:szCs w:val="24"/>
        </w:rPr>
        <w:t>FFS</w:t>
      </w:r>
      <w:r w:rsidRPr="00C52B10">
        <w:rPr>
          <w:rFonts w:ascii="Times New Roman" w:hAnsi="Times New Roman" w:cs="Times New Roman"/>
          <w:sz w:val="24"/>
          <w:szCs w:val="24"/>
        </w:rPr>
        <w:t xml:space="preserve"> beneficiaries.  The data</w:t>
      </w:r>
      <w:r>
        <w:rPr>
          <w:rFonts w:ascii="Times New Roman" w:hAnsi="Times New Roman" w:cs="Times New Roman"/>
          <w:sz w:val="24"/>
          <w:szCs w:val="24"/>
        </w:rPr>
        <w:t>set</w:t>
      </w:r>
      <w:r w:rsidRPr="00C52B10">
        <w:rPr>
          <w:rFonts w:ascii="Times New Roman" w:hAnsi="Times New Roman" w:cs="Times New Roman"/>
          <w:sz w:val="24"/>
          <w:szCs w:val="24"/>
        </w:rPr>
        <w:t xml:space="preserve"> include</w:t>
      </w:r>
      <w:r>
        <w:rPr>
          <w:rFonts w:ascii="Times New Roman" w:hAnsi="Times New Roman" w:cs="Times New Roman"/>
          <w:sz w:val="24"/>
          <w:szCs w:val="24"/>
        </w:rPr>
        <w:t>s</w:t>
      </w:r>
      <w:r w:rsidRPr="00C52B10">
        <w:rPr>
          <w:rFonts w:ascii="Times New Roman" w:hAnsi="Times New Roman" w:cs="Times New Roman"/>
          <w:sz w:val="24"/>
          <w:szCs w:val="24"/>
        </w:rPr>
        <w:t xml:space="preserve"> </w:t>
      </w:r>
      <w:r>
        <w:rPr>
          <w:rFonts w:ascii="Times New Roman" w:hAnsi="Times New Roman" w:cs="Times New Roman"/>
          <w:sz w:val="24"/>
          <w:szCs w:val="24"/>
        </w:rPr>
        <w:t>the HIC number,</w:t>
      </w:r>
      <w:r w:rsidRPr="00C52B10">
        <w:rPr>
          <w:rFonts w:ascii="Times New Roman" w:hAnsi="Times New Roman" w:cs="Times New Roman"/>
          <w:sz w:val="24"/>
          <w:szCs w:val="24"/>
        </w:rPr>
        <w:t xml:space="preserve"> date of hospitalization, </w:t>
      </w:r>
      <w:r>
        <w:rPr>
          <w:rFonts w:ascii="Times New Roman" w:hAnsi="Times New Roman" w:cs="Times New Roman"/>
          <w:sz w:val="24"/>
          <w:szCs w:val="24"/>
        </w:rPr>
        <w:t xml:space="preserve">type of hospital claim (e.g. inpatient hospitalization vs. outpatient service) </w:t>
      </w:r>
      <w:r w:rsidRPr="00C52B10">
        <w:rPr>
          <w:rFonts w:ascii="Times New Roman" w:hAnsi="Times New Roman" w:cs="Times New Roman"/>
          <w:sz w:val="24"/>
          <w:szCs w:val="24"/>
        </w:rPr>
        <w:t>discharge date</w:t>
      </w:r>
      <w:r>
        <w:rPr>
          <w:rFonts w:ascii="Times New Roman" w:hAnsi="Times New Roman" w:cs="Times New Roman"/>
          <w:sz w:val="24"/>
          <w:szCs w:val="24"/>
        </w:rPr>
        <w:t>,</w:t>
      </w:r>
      <w:r w:rsidRPr="00C52B10">
        <w:rPr>
          <w:rFonts w:ascii="Times New Roman" w:hAnsi="Times New Roman" w:cs="Times New Roman"/>
          <w:sz w:val="24"/>
          <w:szCs w:val="24"/>
        </w:rPr>
        <w:t xml:space="preserve"> and ICD-9 diagnoses codes.  </w:t>
      </w:r>
    </w:p>
    <w:p w:rsidR="00D61225" w:rsidRDefault="00D61225" w:rsidP="00D61225">
      <w:pPr>
        <w:spacing w:after="0" w:line="480" w:lineRule="auto"/>
        <w:rPr>
          <w:rFonts w:ascii="Times New Roman" w:hAnsi="Times New Roman" w:cs="Times New Roman"/>
          <w:sz w:val="24"/>
          <w:szCs w:val="24"/>
        </w:rPr>
      </w:pPr>
    </w:p>
    <w:p w:rsidR="00D61225" w:rsidRDefault="00D61225" w:rsidP="00D61225">
      <w:pPr>
        <w:spacing w:after="0" w:line="480" w:lineRule="auto"/>
        <w:rPr>
          <w:rFonts w:ascii="Times New Roman" w:hAnsi="Times New Roman" w:cs="Times New Roman"/>
          <w:b/>
          <w:sz w:val="24"/>
          <w:szCs w:val="24"/>
        </w:rPr>
      </w:pPr>
      <w:r w:rsidRPr="00944950">
        <w:rPr>
          <w:rFonts w:ascii="Times New Roman" w:hAnsi="Times New Roman" w:cs="Times New Roman"/>
          <w:b/>
          <w:sz w:val="24"/>
          <w:szCs w:val="24"/>
        </w:rPr>
        <w:t>Claim Line Level File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arvc</w:t>
      </w:r>
      <w:proofErr w:type="spellEnd"/>
      <w:r>
        <w:rPr>
          <w:rFonts w:ascii="Times New Roman" w:hAnsi="Times New Roman" w:cs="Times New Roman"/>
          <w:b/>
          <w:sz w:val="24"/>
          <w:szCs w:val="24"/>
        </w:rPr>
        <w:t>)</w:t>
      </w:r>
      <w:r w:rsidRPr="00944950">
        <w:rPr>
          <w:rFonts w:ascii="Times New Roman" w:hAnsi="Times New Roman" w:cs="Times New Roman"/>
          <w:b/>
          <w:sz w:val="24"/>
          <w:szCs w:val="24"/>
        </w:rPr>
        <w:t>:</w:t>
      </w:r>
    </w:p>
    <w:p w:rsidR="00D61225" w:rsidRDefault="00D61225" w:rsidP="00D61225">
      <w:pPr>
        <w:spacing w:after="0" w:line="480" w:lineRule="auto"/>
        <w:rPr>
          <w:rFonts w:ascii="Times New Roman" w:hAnsi="Times New Roman" w:cs="Times New Roman"/>
          <w:sz w:val="24"/>
          <w:szCs w:val="24"/>
        </w:rPr>
      </w:pPr>
      <w:r>
        <w:rPr>
          <w:rFonts w:ascii="Times New Roman" w:hAnsi="Times New Roman" w:cs="Times New Roman"/>
          <w:sz w:val="24"/>
          <w:szCs w:val="24"/>
        </w:rPr>
        <w:t>This file has revenue center codes for line items within a claim from Medicare Part A.</w:t>
      </w:r>
    </w:p>
    <w:p w:rsidR="00D61225" w:rsidRPr="00C52B10" w:rsidRDefault="00D61225" w:rsidP="00D61225">
      <w:pPr>
        <w:spacing w:after="0" w:line="480" w:lineRule="auto"/>
        <w:rPr>
          <w:rFonts w:ascii="Times New Roman" w:hAnsi="Times New Roman" w:cs="Times New Roman"/>
          <w:b/>
          <w:sz w:val="24"/>
          <w:szCs w:val="24"/>
        </w:rPr>
      </w:pPr>
      <w:r w:rsidRPr="00C52B10">
        <w:rPr>
          <w:rFonts w:ascii="Times New Roman" w:hAnsi="Times New Roman" w:cs="Times New Roman"/>
          <w:b/>
          <w:sz w:val="24"/>
          <w:szCs w:val="24"/>
        </w:rPr>
        <w:t>Medicare Cross Reference File:</w:t>
      </w:r>
    </w:p>
    <w:p w:rsidR="00D61225" w:rsidRPr="00C52B10" w:rsidRDefault="00D61225" w:rsidP="00D61225">
      <w:pPr>
        <w:spacing w:after="0" w:line="480" w:lineRule="auto"/>
        <w:ind w:hanging="720"/>
        <w:rPr>
          <w:rFonts w:ascii="Times New Roman" w:hAnsi="Times New Roman" w:cs="Times New Roman"/>
          <w:sz w:val="24"/>
          <w:szCs w:val="24"/>
        </w:rPr>
      </w:pPr>
      <w:r w:rsidRPr="00C52B10">
        <w:rPr>
          <w:rFonts w:ascii="Times New Roman" w:hAnsi="Times New Roman" w:cs="Times New Roman"/>
          <w:b/>
          <w:sz w:val="24"/>
          <w:szCs w:val="24"/>
        </w:rPr>
        <w:lastRenderedPageBreak/>
        <w:tab/>
      </w:r>
      <w:r w:rsidRPr="00C52B10">
        <w:rPr>
          <w:rFonts w:ascii="Times New Roman" w:hAnsi="Times New Roman" w:cs="Times New Roman"/>
          <w:b/>
          <w:sz w:val="24"/>
          <w:szCs w:val="24"/>
        </w:rPr>
        <w:tab/>
      </w:r>
      <w:r w:rsidRPr="00C52B10">
        <w:rPr>
          <w:rFonts w:ascii="Times New Roman" w:hAnsi="Times New Roman" w:cs="Times New Roman"/>
          <w:sz w:val="24"/>
          <w:szCs w:val="24"/>
        </w:rPr>
        <w:t xml:space="preserve">The Medicare </w:t>
      </w:r>
      <w:r>
        <w:rPr>
          <w:rFonts w:ascii="Times New Roman" w:hAnsi="Times New Roman" w:cs="Times New Roman"/>
          <w:sz w:val="24"/>
          <w:szCs w:val="24"/>
        </w:rPr>
        <w:t>c</w:t>
      </w:r>
      <w:r w:rsidRPr="00C52B10">
        <w:rPr>
          <w:rFonts w:ascii="Times New Roman" w:hAnsi="Times New Roman" w:cs="Times New Roman"/>
          <w:sz w:val="24"/>
          <w:szCs w:val="24"/>
        </w:rPr>
        <w:t xml:space="preserve">ross </w:t>
      </w:r>
      <w:r>
        <w:rPr>
          <w:rFonts w:ascii="Times New Roman" w:hAnsi="Times New Roman" w:cs="Times New Roman"/>
          <w:sz w:val="24"/>
          <w:szCs w:val="24"/>
        </w:rPr>
        <w:t>r</w:t>
      </w:r>
      <w:r w:rsidRPr="00C52B10">
        <w:rPr>
          <w:rFonts w:ascii="Times New Roman" w:hAnsi="Times New Roman" w:cs="Times New Roman"/>
          <w:sz w:val="24"/>
          <w:szCs w:val="24"/>
        </w:rPr>
        <w:t>eference file</w:t>
      </w:r>
      <w:r>
        <w:rPr>
          <w:rFonts w:ascii="Times New Roman" w:hAnsi="Times New Roman" w:cs="Times New Roman"/>
          <w:sz w:val="24"/>
          <w:szCs w:val="24"/>
        </w:rPr>
        <w:t>,</w:t>
      </w:r>
      <w:r w:rsidRPr="00C52B10">
        <w:rPr>
          <w:rFonts w:ascii="Times New Roman" w:hAnsi="Times New Roman" w:cs="Times New Roman"/>
          <w:sz w:val="24"/>
          <w:szCs w:val="24"/>
        </w:rPr>
        <w:t xml:space="preserve"> </w:t>
      </w:r>
      <w:r>
        <w:rPr>
          <w:rFonts w:ascii="Times New Roman" w:hAnsi="Times New Roman" w:cs="Times New Roman"/>
          <w:sz w:val="24"/>
          <w:szCs w:val="24"/>
        </w:rPr>
        <w:t xml:space="preserve">which is supplied by CMS, </w:t>
      </w:r>
      <w:r w:rsidRPr="00C52B10">
        <w:rPr>
          <w:rFonts w:ascii="Times New Roman" w:hAnsi="Times New Roman" w:cs="Times New Roman"/>
          <w:sz w:val="24"/>
          <w:szCs w:val="24"/>
        </w:rPr>
        <w:t xml:space="preserve">allowed for the merging of prior </w:t>
      </w:r>
      <w:r>
        <w:rPr>
          <w:rFonts w:ascii="Times New Roman" w:hAnsi="Times New Roman" w:cs="Times New Roman"/>
          <w:sz w:val="24"/>
          <w:szCs w:val="24"/>
        </w:rPr>
        <w:t>HIC numbers</w:t>
      </w:r>
      <w:r w:rsidRPr="00C52B10">
        <w:rPr>
          <w:rFonts w:ascii="Times New Roman" w:hAnsi="Times New Roman" w:cs="Times New Roman"/>
          <w:sz w:val="24"/>
          <w:szCs w:val="24"/>
        </w:rPr>
        <w:t xml:space="preserve"> with current </w:t>
      </w:r>
      <w:r>
        <w:rPr>
          <w:rFonts w:ascii="Times New Roman" w:hAnsi="Times New Roman" w:cs="Times New Roman"/>
          <w:sz w:val="24"/>
          <w:szCs w:val="24"/>
        </w:rPr>
        <w:t>HIC numbers,</w:t>
      </w:r>
      <w:r w:rsidRPr="00C52B10">
        <w:rPr>
          <w:rFonts w:ascii="Times New Roman" w:hAnsi="Times New Roman" w:cs="Times New Roman"/>
          <w:sz w:val="24"/>
          <w:szCs w:val="24"/>
        </w:rPr>
        <w:t xml:space="preserve"> </w:t>
      </w:r>
      <w:r>
        <w:rPr>
          <w:rFonts w:ascii="Times New Roman" w:hAnsi="Times New Roman" w:cs="Times New Roman"/>
          <w:sz w:val="24"/>
          <w:szCs w:val="24"/>
        </w:rPr>
        <w:t xml:space="preserve">enabling </w:t>
      </w:r>
      <w:r w:rsidRPr="00C52B10">
        <w:rPr>
          <w:rFonts w:ascii="Times New Roman" w:hAnsi="Times New Roman" w:cs="Times New Roman"/>
          <w:sz w:val="24"/>
          <w:szCs w:val="24"/>
        </w:rPr>
        <w:t>merging of data from different time periods and different data</w:t>
      </w:r>
      <w:r>
        <w:rPr>
          <w:rFonts w:ascii="Times New Roman" w:hAnsi="Times New Roman" w:cs="Times New Roman"/>
          <w:sz w:val="24"/>
          <w:szCs w:val="24"/>
        </w:rPr>
        <w:t xml:space="preserve"> abstractions</w:t>
      </w:r>
      <w:r w:rsidRPr="00C52B10">
        <w:rPr>
          <w:rFonts w:ascii="Times New Roman" w:hAnsi="Times New Roman" w:cs="Times New Roman"/>
          <w:sz w:val="24"/>
          <w:szCs w:val="24"/>
        </w:rPr>
        <w:t xml:space="preserve">.  </w:t>
      </w:r>
    </w:p>
    <w:p w:rsidR="00D61225" w:rsidRPr="00C52B10" w:rsidRDefault="00D61225" w:rsidP="00D61225">
      <w:pPr>
        <w:spacing w:after="0" w:line="480" w:lineRule="auto"/>
        <w:rPr>
          <w:rFonts w:ascii="Times New Roman" w:hAnsi="Times New Roman" w:cs="Times New Roman"/>
          <w:sz w:val="24"/>
          <w:szCs w:val="24"/>
        </w:rPr>
      </w:pPr>
    </w:p>
    <w:p w:rsidR="00D61225" w:rsidRPr="00C52B10" w:rsidRDefault="00D61225" w:rsidP="00D61225">
      <w:pPr>
        <w:spacing w:line="480" w:lineRule="auto"/>
        <w:ind w:hanging="720"/>
        <w:rPr>
          <w:rFonts w:ascii="Times New Roman" w:hAnsi="Times New Roman" w:cs="Times New Roman"/>
          <w:b/>
          <w:sz w:val="24"/>
          <w:szCs w:val="24"/>
        </w:rPr>
      </w:pPr>
      <w:r w:rsidRPr="00C52B10">
        <w:rPr>
          <w:rFonts w:ascii="Times New Roman" w:hAnsi="Times New Roman" w:cs="Times New Roman"/>
          <w:sz w:val="24"/>
          <w:szCs w:val="24"/>
        </w:rPr>
        <w:t xml:space="preserve">             </w:t>
      </w:r>
      <w:r w:rsidRPr="00C52B10">
        <w:rPr>
          <w:rFonts w:ascii="Times New Roman" w:hAnsi="Times New Roman" w:cs="Times New Roman"/>
          <w:b/>
          <w:sz w:val="24"/>
          <w:szCs w:val="24"/>
        </w:rPr>
        <w:t>West Virginia (WV) Diabetes self-management education (DSME) course completion list:</w:t>
      </w:r>
    </w:p>
    <w:p w:rsidR="00D61225" w:rsidRPr="00C52B10" w:rsidRDefault="00D61225" w:rsidP="00D61225">
      <w:pPr>
        <w:spacing w:after="0" w:line="480" w:lineRule="auto"/>
        <w:ind w:hanging="720"/>
        <w:rPr>
          <w:rFonts w:ascii="Times New Roman" w:hAnsi="Times New Roman" w:cs="Times New Roman"/>
          <w:sz w:val="24"/>
          <w:szCs w:val="24"/>
        </w:rPr>
      </w:pPr>
      <w:r w:rsidRPr="00C52B10">
        <w:rPr>
          <w:rFonts w:ascii="Times New Roman" w:hAnsi="Times New Roman" w:cs="Times New Roman"/>
          <w:b/>
          <w:sz w:val="24"/>
          <w:szCs w:val="24"/>
        </w:rPr>
        <w:tab/>
      </w:r>
      <w:r w:rsidRPr="00C52B10">
        <w:rPr>
          <w:rFonts w:ascii="Times New Roman" w:hAnsi="Times New Roman" w:cs="Times New Roman"/>
          <w:sz w:val="24"/>
          <w:szCs w:val="24"/>
        </w:rPr>
        <w:t>The WV QIO</w:t>
      </w:r>
      <w:r>
        <w:rPr>
          <w:rFonts w:ascii="Times New Roman" w:hAnsi="Times New Roman" w:cs="Times New Roman"/>
          <w:sz w:val="24"/>
          <w:szCs w:val="24"/>
        </w:rPr>
        <w:t xml:space="preserve"> </w:t>
      </w:r>
      <w:r w:rsidRPr="00C52B10">
        <w:rPr>
          <w:rFonts w:ascii="Times New Roman" w:hAnsi="Times New Roman" w:cs="Times New Roman"/>
          <w:sz w:val="24"/>
          <w:szCs w:val="24"/>
        </w:rPr>
        <w:t>provided the</w:t>
      </w:r>
      <w:r>
        <w:rPr>
          <w:rFonts w:ascii="Times New Roman" w:hAnsi="Times New Roman" w:cs="Times New Roman"/>
          <w:sz w:val="24"/>
          <w:szCs w:val="24"/>
        </w:rPr>
        <w:t xml:space="preserve"> information for beneficiaries who completed </w:t>
      </w:r>
      <w:r w:rsidRPr="00C52B10">
        <w:rPr>
          <w:rFonts w:ascii="Times New Roman" w:hAnsi="Times New Roman" w:cs="Times New Roman"/>
          <w:sz w:val="24"/>
          <w:szCs w:val="24"/>
        </w:rPr>
        <w:t>DSME</w:t>
      </w:r>
      <w:r>
        <w:rPr>
          <w:rFonts w:ascii="Times New Roman" w:hAnsi="Times New Roman" w:cs="Times New Roman"/>
          <w:sz w:val="24"/>
          <w:szCs w:val="24"/>
        </w:rPr>
        <w:t xml:space="preserve"> in the 10</w:t>
      </w:r>
      <w:r w:rsidRPr="00DA3F66">
        <w:rPr>
          <w:rFonts w:ascii="Times New Roman" w:hAnsi="Times New Roman" w:cs="Times New Roman"/>
          <w:sz w:val="24"/>
          <w:szCs w:val="24"/>
          <w:vertAlign w:val="superscript"/>
        </w:rPr>
        <w:t>th</w:t>
      </w:r>
      <w:r>
        <w:rPr>
          <w:rFonts w:ascii="Times New Roman" w:hAnsi="Times New Roman" w:cs="Times New Roman"/>
          <w:sz w:val="24"/>
          <w:szCs w:val="24"/>
        </w:rPr>
        <w:t xml:space="preserve"> SOW</w:t>
      </w:r>
      <w:r w:rsidRPr="00C52B10">
        <w:rPr>
          <w:rFonts w:ascii="Times New Roman" w:hAnsi="Times New Roman" w:cs="Times New Roman"/>
          <w:sz w:val="24"/>
          <w:szCs w:val="24"/>
        </w:rPr>
        <w:t xml:space="preserve">.  There were 965 </w:t>
      </w:r>
      <w:r>
        <w:rPr>
          <w:rFonts w:ascii="Times New Roman" w:hAnsi="Times New Roman" w:cs="Times New Roman"/>
          <w:sz w:val="24"/>
          <w:szCs w:val="24"/>
        </w:rPr>
        <w:t xml:space="preserve">beneficiaries who completed DSME, </w:t>
      </w:r>
      <w:r w:rsidRPr="00C52B10">
        <w:rPr>
          <w:rFonts w:ascii="Times New Roman" w:hAnsi="Times New Roman" w:cs="Times New Roman"/>
          <w:sz w:val="24"/>
          <w:szCs w:val="24"/>
        </w:rPr>
        <w:t xml:space="preserve">along with demographic information.  </w:t>
      </w:r>
    </w:p>
    <w:p w:rsidR="00D61225" w:rsidRDefault="00D61225" w:rsidP="00D61225">
      <w:pPr>
        <w:pStyle w:val="NormalWeb"/>
        <w:spacing w:line="480" w:lineRule="auto"/>
        <w:rPr>
          <w:b/>
        </w:rPr>
      </w:pPr>
      <w:r>
        <w:rPr>
          <w:b/>
        </w:rPr>
        <w:t>Dataset for analysis</w:t>
      </w:r>
    </w:p>
    <w:p w:rsidR="00D61225" w:rsidRDefault="00D61225" w:rsidP="00D61225">
      <w:pPr>
        <w:pStyle w:val="Default"/>
        <w:spacing w:line="480" w:lineRule="auto"/>
        <w:rPr>
          <w:rFonts w:ascii="Times New Roman" w:hAnsi="Times New Roman" w:cs="Times New Roman"/>
        </w:rPr>
      </w:pPr>
      <w:r w:rsidRPr="00C52B10">
        <w:rPr>
          <w:rFonts w:ascii="Times New Roman" w:hAnsi="Times New Roman" w:cs="Times New Roman"/>
        </w:rPr>
        <w:t>A Medicare beneficiary</w:t>
      </w:r>
      <w:r>
        <w:rPr>
          <w:rFonts w:ascii="Times New Roman" w:hAnsi="Times New Roman" w:cs="Times New Roman"/>
        </w:rPr>
        <w:t xml:space="preserve"> with diabetes</w:t>
      </w:r>
      <w:r w:rsidRPr="00C52B10">
        <w:rPr>
          <w:rFonts w:ascii="Times New Roman" w:hAnsi="Times New Roman" w:cs="Times New Roman"/>
        </w:rPr>
        <w:t xml:space="preserve"> who completed DSME </w:t>
      </w:r>
      <w:r>
        <w:rPr>
          <w:rFonts w:ascii="Times New Roman" w:hAnsi="Times New Roman" w:cs="Times New Roman"/>
        </w:rPr>
        <w:t xml:space="preserve">classes </w:t>
      </w:r>
      <w:r w:rsidRPr="00C52B10">
        <w:rPr>
          <w:rFonts w:ascii="Times New Roman" w:hAnsi="Times New Roman" w:cs="Times New Roman"/>
        </w:rPr>
        <w:t xml:space="preserve">(exposure) in </w:t>
      </w:r>
      <w:r>
        <w:rPr>
          <w:rFonts w:ascii="Times New Roman" w:hAnsi="Times New Roman" w:cs="Times New Roman"/>
        </w:rPr>
        <w:t xml:space="preserve">WV </w:t>
      </w:r>
      <w:r w:rsidRPr="00C52B10">
        <w:rPr>
          <w:rFonts w:ascii="Times New Roman" w:hAnsi="Times New Roman" w:cs="Times New Roman"/>
        </w:rPr>
        <w:t xml:space="preserve">between </w:t>
      </w:r>
      <w:r>
        <w:rPr>
          <w:rFonts w:ascii="Times New Roman" w:hAnsi="Times New Roman" w:cs="Times New Roman"/>
        </w:rPr>
        <w:t xml:space="preserve">February </w:t>
      </w:r>
      <w:r w:rsidRPr="00C52B10">
        <w:rPr>
          <w:rFonts w:ascii="Times New Roman" w:hAnsi="Times New Roman" w:cs="Times New Roman"/>
        </w:rPr>
        <w:t>201</w:t>
      </w:r>
      <w:r>
        <w:rPr>
          <w:rFonts w:ascii="Times New Roman" w:hAnsi="Times New Roman" w:cs="Times New Roman"/>
        </w:rPr>
        <w:t>3</w:t>
      </w:r>
      <w:r w:rsidRPr="00C52B10">
        <w:rPr>
          <w:rFonts w:ascii="Times New Roman" w:hAnsi="Times New Roman" w:cs="Times New Roman"/>
        </w:rPr>
        <w:t xml:space="preserve"> and June 201</w:t>
      </w:r>
      <w:r>
        <w:rPr>
          <w:rFonts w:ascii="Times New Roman" w:hAnsi="Times New Roman" w:cs="Times New Roman"/>
        </w:rPr>
        <w:t>4</w:t>
      </w:r>
      <w:r w:rsidRPr="00C52B10">
        <w:rPr>
          <w:rFonts w:ascii="Times New Roman" w:hAnsi="Times New Roman" w:cs="Times New Roman"/>
        </w:rPr>
        <w:t xml:space="preserve"> was called a</w:t>
      </w:r>
      <w:r>
        <w:rPr>
          <w:rFonts w:ascii="Times New Roman" w:hAnsi="Times New Roman" w:cs="Times New Roman"/>
        </w:rPr>
        <w:t>,</w:t>
      </w:r>
      <w:r w:rsidRPr="00C52B10">
        <w:rPr>
          <w:rFonts w:ascii="Times New Roman" w:hAnsi="Times New Roman" w:cs="Times New Roman"/>
        </w:rPr>
        <w:t xml:space="preserve"> </w:t>
      </w:r>
      <w:r>
        <w:rPr>
          <w:rFonts w:ascii="Times New Roman" w:hAnsi="Times New Roman" w:cs="Times New Roman"/>
        </w:rPr>
        <w:t>“</w:t>
      </w:r>
      <w:r w:rsidRPr="00C52B10">
        <w:rPr>
          <w:rFonts w:ascii="Times New Roman" w:hAnsi="Times New Roman" w:cs="Times New Roman"/>
        </w:rPr>
        <w:t xml:space="preserve">DSME </w:t>
      </w:r>
      <w:r w:rsidRPr="00C52B10">
        <w:rPr>
          <w:rFonts w:ascii="Times New Roman" w:eastAsiaTheme="minorEastAsia" w:hAnsi="Times New Roman" w:cs="Times New Roman"/>
        </w:rPr>
        <w:t>completer</w:t>
      </w:r>
      <w:r>
        <w:rPr>
          <w:rFonts w:ascii="Times New Roman" w:eastAsiaTheme="minorEastAsia" w:hAnsi="Times New Roman" w:cs="Times New Roman"/>
        </w:rPr>
        <w:t>”.</w:t>
      </w:r>
      <w:r>
        <w:rPr>
          <w:rFonts w:ascii="Times New Roman" w:hAnsi="Times New Roman" w:cs="Times New Roman"/>
        </w:rPr>
        <w:t xml:space="preserve"> The method we used for matching the WV file of DSME completers to the diabetes analytic files (DAF) was either to use the Medicare ID which the WV team collected for 17% of the DSME or we constructed a unique ID (last name and last four digits of SSN) in the DAFs that corresponded to what was available for the rest of the WV DSME completers. We used this unique ID to merge the WV file of 965 DSME completers with the diabetes analytic files to identify the study population. </w:t>
      </w:r>
      <w:r w:rsidRPr="00C52B10">
        <w:rPr>
          <w:rFonts w:ascii="Times New Roman" w:hAnsi="Times New Roman" w:cs="Times New Roman"/>
        </w:rPr>
        <w:t xml:space="preserve">  </w:t>
      </w:r>
      <w:r>
        <w:rPr>
          <w:rFonts w:ascii="Times New Roman" w:hAnsi="Times New Roman" w:cs="Times New Roman"/>
        </w:rPr>
        <w:t xml:space="preserve">In the case where there was more than one beneficiary with the same unique ID, we tried to determine the correct beneficiary by examining age and county.  When there were no matches for a unique ID, we examined the beneficiary’s name, along with county and age, to try to determine if there was a typographical error in the last four digits of the SSN.  There were other incidences of surnames including Jr. or Sr., in one file and not in the other.  This caused other types of mismatches that we corrected, in order for the files to merge correctly.  </w:t>
      </w:r>
    </w:p>
    <w:p w:rsidR="00D61225" w:rsidRDefault="00D61225" w:rsidP="00D61225">
      <w:pPr>
        <w:pStyle w:val="Default"/>
        <w:spacing w:line="480" w:lineRule="auto"/>
        <w:rPr>
          <w:rFonts w:ascii="Times New Roman" w:eastAsia="Times New Roman" w:hAnsi="Times New Roman" w:cs="Times New Roman"/>
        </w:rPr>
      </w:pPr>
      <w:r w:rsidRPr="00C52B10">
        <w:rPr>
          <w:rFonts w:ascii="Times New Roman" w:eastAsia="Times New Roman" w:hAnsi="Times New Roman" w:cs="Times New Roman"/>
        </w:rPr>
        <w:lastRenderedPageBreak/>
        <w:t>For each DSME completer, we frequency matched fo</w:t>
      </w:r>
      <w:r>
        <w:rPr>
          <w:rFonts w:ascii="Times New Roman" w:eastAsia="Times New Roman" w:hAnsi="Times New Roman" w:cs="Times New Roman"/>
        </w:rPr>
        <w:t>ur beneficiaries with diabetes from the diabetes analytic f</w:t>
      </w:r>
      <w:r w:rsidRPr="00C52B10">
        <w:rPr>
          <w:rFonts w:ascii="Times New Roman" w:eastAsia="Times New Roman" w:hAnsi="Times New Roman" w:cs="Times New Roman"/>
        </w:rPr>
        <w:t>iles</w:t>
      </w:r>
      <w:r>
        <w:rPr>
          <w:rFonts w:ascii="Times New Roman" w:eastAsia="Times New Roman" w:hAnsi="Times New Roman" w:cs="Times New Roman"/>
        </w:rPr>
        <w:t>,</w:t>
      </w:r>
      <w:r w:rsidRPr="00C52B10">
        <w:rPr>
          <w:rFonts w:ascii="Times New Roman" w:eastAsia="Times New Roman" w:hAnsi="Times New Roman" w:cs="Times New Roman"/>
        </w:rPr>
        <w:t xml:space="preserve"> based on four variables: county, gender, age group</w:t>
      </w:r>
      <w:r>
        <w:rPr>
          <w:rFonts w:ascii="Times New Roman" w:eastAsia="Times New Roman" w:hAnsi="Times New Roman" w:cs="Times New Roman"/>
        </w:rPr>
        <w:t>,</w:t>
      </w:r>
      <w:r w:rsidRPr="00C52B10">
        <w:rPr>
          <w:rFonts w:ascii="Times New Roman" w:eastAsia="Times New Roman" w:hAnsi="Times New Roman" w:cs="Times New Roman"/>
        </w:rPr>
        <w:t xml:space="preserve"> and time period.  The age group variable was a categorical variable broken down as follows:  age &lt;65, 65-70, 71-75, 76-80, &gt;80.</w:t>
      </w:r>
      <w:r>
        <w:rPr>
          <w:rFonts w:ascii="Times New Roman" w:eastAsia="Times New Roman" w:hAnsi="Times New Roman" w:cs="Times New Roman"/>
        </w:rPr>
        <w:t xml:space="preserve">  The time period was defined as the quarter in which the DSME class was completed.   For each group of DSME completers</w:t>
      </w:r>
      <w:r w:rsidRPr="00C52B10">
        <w:rPr>
          <w:rFonts w:ascii="Times New Roman" w:eastAsia="Times New Roman" w:hAnsi="Times New Roman" w:cs="Times New Roman"/>
        </w:rPr>
        <w:t xml:space="preserve"> </w:t>
      </w:r>
      <w:r>
        <w:rPr>
          <w:rFonts w:ascii="Times New Roman" w:eastAsia="Times New Roman" w:hAnsi="Times New Roman" w:cs="Times New Roman"/>
        </w:rPr>
        <w:t xml:space="preserve">with the same county, gender, and age group, a file of potential matches was developed from the diabetes analytic file, covering the same time period and including all beneficiaries who had the same county, gender, and age group as the study population).  We used Proc </w:t>
      </w:r>
      <w:proofErr w:type="spellStart"/>
      <w:r>
        <w:rPr>
          <w:rFonts w:ascii="Times New Roman" w:eastAsia="Times New Roman" w:hAnsi="Times New Roman" w:cs="Times New Roman"/>
        </w:rPr>
        <w:t>SurveySelect</w:t>
      </w:r>
      <w:proofErr w:type="spellEnd"/>
      <w:r>
        <w:rPr>
          <w:rFonts w:ascii="Times New Roman" w:eastAsia="Times New Roman" w:hAnsi="Times New Roman" w:cs="Times New Roman"/>
        </w:rPr>
        <w:t xml:space="preserve"> to randomly select the number of beneficiaries with diabetes needed for each combination of county, gender, age group, and time period.  </w:t>
      </w:r>
    </w:p>
    <w:p w:rsidR="00D61225" w:rsidRDefault="00D61225" w:rsidP="00D61225">
      <w:pPr>
        <w:pStyle w:val="Default"/>
        <w:spacing w:line="480" w:lineRule="auto"/>
        <w:rPr>
          <w:rFonts w:ascii="Times New Roman" w:hAnsi="Times New Roman" w:cs="Times New Roman"/>
        </w:rPr>
      </w:pPr>
      <w:r>
        <w:rPr>
          <w:rFonts w:ascii="Times New Roman" w:eastAsia="Times New Roman" w:hAnsi="Times New Roman" w:cs="Times New Roman"/>
        </w:rPr>
        <w:t xml:space="preserve">We next merged the Medicare Part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claims with the claim line level file, in order to calculate hospitalization, emergency room and observation stays. </w:t>
      </w:r>
      <w:r>
        <w:rPr>
          <w:rFonts w:ascii="Times New Roman" w:hAnsi="Times New Roman" w:cs="Times New Roman"/>
        </w:rPr>
        <w:t>For the last step, we merged t</w:t>
      </w:r>
      <w:r w:rsidRPr="00C52B10">
        <w:rPr>
          <w:rFonts w:ascii="Times New Roman" w:hAnsi="Times New Roman" w:cs="Times New Roman"/>
        </w:rPr>
        <w:t>he cross reference file with the Medicare Part A</w:t>
      </w:r>
      <w:r>
        <w:rPr>
          <w:rFonts w:ascii="Times New Roman" w:hAnsi="Times New Roman" w:cs="Times New Roman"/>
        </w:rPr>
        <w:t>/claim line level</w:t>
      </w:r>
      <w:r w:rsidRPr="00C52B10">
        <w:rPr>
          <w:rFonts w:ascii="Times New Roman" w:hAnsi="Times New Roman" w:cs="Times New Roman"/>
        </w:rPr>
        <w:t xml:space="preserve"> file and the diabetes analytic file</w:t>
      </w:r>
      <w:r>
        <w:rPr>
          <w:rFonts w:ascii="Times New Roman" w:hAnsi="Times New Roman" w:cs="Times New Roman"/>
        </w:rPr>
        <w:t>/DSME completer/non-DSME completer diabetes file,</w:t>
      </w:r>
      <w:r w:rsidRPr="00C52B10">
        <w:rPr>
          <w:rFonts w:ascii="Times New Roman" w:hAnsi="Times New Roman" w:cs="Times New Roman"/>
        </w:rPr>
        <w:t xml:space="preserve"> </w:t>
      </w:r>
      <w:r>
        <w:rPr>
          <w:rFonts w:ascii="Times New Roman" w:hAnsi="Times New Roman" w:cs="Times New Roman"/>
        </w:rPr>
        <w:t>to link DSME participants to hospitalizations.  Hospitalizations directly attributable to diabetes were identified by the following diagnosis codes:</w:t>
      </w:r>
    </w:p>
    <w:p w:rsidR="00D61225" w:rsidRPr="00130B19" w:rsidRDefault="00D61225" w:rsidP="00D61225">
      <w:pPr>
        <w:pStyle w:val="Default"/>
        <w:spacing w:line="480" w:lineRule="auto"/>
        <w:rPr>
          <w:rFonts w:ascii="Times New Roman" w:hAnsi="Times New Roman" w:cs="Times New Roman"/>
        </w:rPr>
      </w:pPr>
      <w:r w:rsidRPr="00130B19">
        <w:rPr>
          <w:rFonts w:ascii="Times New Roman" w:hAnsi="Times New Roman" w:cs="Times New Roman"/>
        </w:rPr>
        <w:t xml:space="preserve">DX 249.00, 249.01, 249.10, 249.11, 249.20, 249.21, 249.30, 249.31, 249.40, 249.41, 249.50, </w:t>
      </w:r>
    </w:p>
    <w:p w:rsidR="00D61225" w:rsidRPr="00130B19" w:rsidRDefault="00D61225" w:rsidP="00D61225">
      <w:pPr>
        <w:pStyle w:val="Default"/>
        <w:spacing w:line="480" w:lineRule="auto"/>
        <w:rPr>
          <w:rFonts w:ascii="Times New Roman" w:hAnsi="Times New Roman" w:cs="Times New Roman"/>
        </w:rPr>
      </w:pPr>
      <w:r w:rsidRPr="00130B19">
        <w:rPr>
          <w:rFonts w:ascii="Times New Roman" w:hAnsi="Times New Roman" w:cs="Times New Roman"/>
        </w:rPr>
        <w:t xml:space="preserve">249.51, 249.60, 249.61, 249.70, 249.71, 249.80, 249.81, 249.90, 249.91, 250.00, 250.01, 250.02, </w:t>
      </w:r>
    </w:p>
    <w:p w:rsidR="00D61225" w:rsidRPr="00130B19" w:rsidRDefault="00D61225" w:rsidP="00D61225">
      <w:pPr>
        <w:pStyle w:val="Default"/>
        <w:spacing w:line="480" w:lineRule="auto"/>
        <w:rPr>
          <w:rFonts w:ascii="Times New Roman" w:hAnsi="Times New Roman" w:cs="Times New Roman"/>
        </w:rPr>
      </w:pPr>
      <w:r w:rsidRPr="00130B19">
        <w:rPr>
          <w:rFonts w:ascii="Times New Roman" w:hAnsi="Times New Roman" w:cs="Times New Roman"/>
        </w:rPr>
        <w:t xml:space="preserve">250.03, 250.10, 250.11, 250.12, 250.13, 250.20, 250.21, 250.22, 250.23, 250.30, 250.31, 250.32, </w:t>
      </w:r>
    </w:p>
    <w:p w:rsidR="00D61225" w:rsidRPr="00130B19" w:rsidRDefault="00D61225" w:rsidP="00D61225">
      <w:pPr>
        <w:pStyle w:val="Default"/>
        <w:spacing w:line="480" w:lineRule="auto"/>
        <w:rPr>
          <w:rFonts w:ascii="Times New Roman" w:hAnsi="Times New Roman" w:cs="Times New Roman"/>
        </w:rPr>
      </w:pPr>
      <w:r w:rsidRPr="00130B19">
        <w:rPr>
          <w:rFonts w:ascii="Times New Roman" w:hAnsi="Times New Roman" w:cs="Times New Roman"/>
        </w:rPr>
        <w:t>250.33, 250.40, 250.41, 250.42,</w:t>
      </w:r>
      <w:r>
        <w:rPr>
          <w:rFonts w:ascii="Times New Roman" w:hAnsi="Times New Roman" w:cs="Times New Roman"/>
        </w:rPr>
        <w:t xml:space="preserve"> </w:t>
      </w:r>
      <w:r w:rsidRPr="00130B19">
        <w:rPr>
          <w:rFonts w:ascii="Times New Roman" w:hAnsi="Times New Roman" w:cs="Times New Roman"/>
        </w:rPr>
        <w:t xml:space="preserve">250.43, 250.50, 250.51, 250.52, 250.53, 250.60, 250.61, 250.62, </w:t>
      </w:r>
    </w:p>
    <w:p w:rsidR="00D61225" w:rsidRPr="00130B19" w:rsidRDefault="00D61225" w:rsidP="00D61225">
      <w:pPr>
        <w:pStyle w:val="Default"/>
        <w:spacing w:line="480" w:lineRule="auto"/>
        <w:rPr>
          <w:rFonts w:ascii="Times New Roman" w:hAnsi="Times New Roman" w:cs="Times New Roman"/>
        </w:rPr>
      </w:pPr>
      <w:r w:rsidRPr="00130B19">
        <w:rPr>
          <w:rFonts w:ascii="Times New Roman" w:hAnsi="Times New Roman" w:cs="Times New Roman"/>
        </w:rPr>
        <w:t>250.63,</w:t>
      </w:r>
      <w:r>
        <w:rPr>
          <w:rFonts w:ascii="Times New Roman" w:hAnsi="Times New Roman" w:cs="Times New Roman"/>
        </w:rPr>
        <w:t xml:space="preserve"> </w:t>
      </w:r>
      <w:r w:rsidRPr="00130B19">
        <w:rPr>
          <w:rFonts w:ascii="Times New Roman" w:hAnsi="Times New Roman" w:cs="Times New Roman"/>
        </w:rPr>
        <w:t>250.70, 250.71, 250.72, 250.73, 250.80, 250.81, 250.82, 250.83, 250.90, 250.91, 250.92,</w:t>
      </w:r>
    </w:p>
    <w:p w:rsidR="00D61225" w:rsidRDefault="00D61225" w:rsidP="00D61225">
      <w:pPr>
        <w:rPr>
          <w:rFonts w:ascii="Times New Roman" w:hAnsi="Times New Roman" w:cs="Times New Roman"/>
        </w:rPr>
      </w:pPr>
      <w:proofErr w:type="gramStart"/>
      <w:r w:rsidRPr="00130B19">
        <w:rPr>
          <w:rFonts w:ascii="Times New Roman" w:hAnsi="Times New Roman" w:cs="Times New Roman"/>
        </w:rPr>
        <w:t>250.93, 357.2, 362.01, 362.02, 362.03, 362.04, 362.05, 362.06, 366.41 (any DX on the claim).</w:t>
      </w:r>
      <w:proofErr w:type="gramEnd"/>
    </w:p>
    <w:p w:rsidR="00D61225" w:rsidRDefault="00D61225" w:rsidP="00D61225">
      <w:pPr>
        <w:rPr>
          <w:rFonts w:ascii="Times New Roman" w:hAnsi="Times New Roman" w:cs="Times New Roman"/>
        </w:rPr>
      </w:pPr>
    </w:p>
    <w:p w:rsidR="00D61225" w:rsidRDefault="00D61225" w:rsidP="00D61225">
      <w:pPr>
        <w:spacing w:line="480" w:lineRule="auto"/>
        <w:ind w:left="720" w:firstLine="720"/>
        <w:rPr>
          <w:b/>
          <w:bCs/>
          <w:iCs/>
          <w:color w:val="000000"/>
          <w:sz w:val="24"/>
          <w:szCs w:val="24"/>
        </w:rPr>
      </w:pPr>
    </w:p>
    <w:p w:rsidR="00D61225" w:rsidRDefault="00D61225" w:rsidP="00D61225">
      <w:pPr>
        <w:spacing w:line="480" w:lineRule="auto"/>
        <w:rPr>
          <w:b/>
          <w:bCs/>
          <w:iCs/>
          <w:color w:val="000000"/>
          <w:sz w:val="24"/>
          <w:szCs w:val="24"/>
        </w:rPr>
      </w:pPr>
      <w:r>
        <w:rPr>
          <w:b/>
          <w:bCs/>
          <w:iCs/>
          <w:color w:val="000000"/>
          <w:sz w:val="24"/>
          <w:szCs w:val="24"/>
        </w:rPr>
        <w:lastRenderedPageBreak/>
        <w:t xml:space="preserve">Table A.1: </w:t>
      </w:r>
      <w:r w:rsidRPr="00660412">
        <w:rPr>
          <w:b/>
          <w:bCs/>
          <w:iCs/>
          <w:color w:val="000000"/>
          <w:sz w:val="24"/>
          <w:szCs w:val="24"/>
        </w:rPr>
        <w:t>Pre</w:t>
      </w:r>
      <w:r>
        <w:rPr>
          <w:b/>
          <w:bCs/>
          <w:iCs/>
          <w:color w:val="000000"/>
          <w:sz w:val="24"/>
          <w:szCs w:val="24"/>
        </w:rPr>
        <w:t>-</w:t>
      </w:r>
      <w:r w:rsidRPr="00660412">
        <w:rPr>
          <w:b/>
          <w:bCs/>
          <w:iCs/>
          <w:color w:val="000000"/>
          <w:sz w:val="24"/>
          <w:szCs w:val="24"/>
        </w:rPr>
        <w:t xml:space="preserve"> and Post</w:t>
      </w:r>
      <w:r>
        <w:rPr>
          <w:b/>
          <w:bCs/>
          <w:iCs/>
          <w:color w:val="000000"/>
          <w:sz w:val="24"/>
          <w:szCs w:val="24"/>
        </w:rPr>
        <w:t>-</w:t>
      </w:r>
      <w:r w:rsidRPr="00660412">
        <w:rPr>
          <w:b/>
          <w:bCs/>
          <w:iCs/>
          <w:color w:val="000000"/>
          <w:sz w:val="24"/>
          <w:szCs w:val="24"/>
        </w:rPr>
        <w:t xml:space="preserve"> Counts and Percentages among Outcome Measures</w:t>
      </w:r>
      <w:r>
        <w:rPr>
          <w:b/>
          <w:bCs/>
          <w:iCs/>
          <w:color w:val="000000"/>
          <w:sz w:val="24"/>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615"/>
        <w:gridCol w:w="1445"/>
        <w:gridCol w:w="1445"/>
        <w:gridCol w:w="1445"/>
        <w:gridCol w:w="1525"/>
      </w:tblGrid>
      <w:tr w:rsidR="00D61225" w:rsidRPr="00E33B27" w:rsidTr="00A31450">
        <w:trPr>
          <w:cantSplit/>
          <w:tblHeader/>
          <w:jc w:val="center"/>
        </w:trPr>
        <w:tc>
          <w:tcPr>
            <w:tcW w:w="361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Outcomes</w:t>
            </w:r>
          </w:p>
        </w:tc>
        <w:tc>
          <w:tcPr>
            <w:tcW w:w="289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DSME Completers</w:t>
            </w:r>
            <w:r w:rsidRPr="00E33B27">
              <w:rPr>
                <w:b/>
                <w:bCs/>
                <w:color w:val="000000"/>
                <w:sz w:val="24"/>
                <w:szCs w:val="24"/>
              </w:rPr>
              <w:br/>
              <w:t>(N=422)</w:t>
            </w:r>
          </w:p>
        </w:tc>
        <w:tc>
          <w:tcPr>
            <w:tcW w:w="2970" w:type="dxa"/>
            <w:gridSpan w:val="2"/>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Pr>
                <w:b/>
                <w:sz w:val="24"/>
                <w:szCs w:val="24"/>
              </w:rPr>
              <w:t>Beneficiaries</w:t>
            </w:r>
            <w:r w:rsidRPr="00E33B27">
              <w:rPr>
                <w:b/>
                <w:sz w:val="24"/>
                <w:szCs w:val="24"/>
              </w:rPr>
              <w:t xml:space="preserve"> with Diabetes</w:t>
            </w:r>
            <w:r w:rsidRPr="00E33B27">
              <w:rPr>
                <w:b/>
                <w:bCs/>
                <w:color w:val="000000"/>
                <w:sz w:val="24"/>
                <w:szCs w:val="24"/>
              </w:rPr>
              <w:br/>
              <w:t>(N=1688)</w:t>
            </w:r>
          </w:p>
        </w:tc>
      </w:tr>
      <w:tr w:rsidR="00D61225" w:rsidRPr="00E33B27" w:rsidTr="00A31450">
        <w:trPr>
          <w:cantSplit/>
          <w:tblHeader/>
          <w:jc w:val="center"/>
        </w:trPr>
        <w:tc>
          <w:tcPr>
            <w:tcW w:w="3615" w:type="dxa"/>
            <w:tcBorders>
              <w:top w:val="nil"/>
              <w:left w:val="single" w:sz="6"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Pre</w:t>
            </w:r>
            <w:r w:rsidRPr="00E33B27">
              <w:rPr>
                <w:b/>
                <w:bCs/>
                <w:color w:val="000000"/>
                <w:sz w:val="24"/>
                <w:szCs w:val="24"/>
              </w:rPr>
              <w:br/>
              <w:t>N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Post</w:t>
            </w:r>
            <w:r w:rsidRPr="00E33B27">
              <w:rPr>
                <w:b/>
                <w:bCs/>
                <w:color w:val="000000"/>
                <w:sz w:val="24"/>
                <w:szCs w:val="24"/>
              </w:rPr>
              <w:br/>
              <w:t>N (%)</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Pre</w:t>
            </w:r>
            <w:r w:rsidRPr="00E33B27">
              <w:rPr>
                <w:b/>
                <w:bCs/>
                <w:color w:val="000000"/>
                <w:sz w:val="24"/>
                <w:szCs w:val="24"/>
              </w:rPr>
              <w:br/>
              <w:t>N (%)</w:t>
            </w:r>
          </w:p>
        </w:tc>
        <w:tc>
          <w:tcPr>
            <w:tcW w:w="152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D61225" w:rsidRPr="00E33B27" w:rsidRDefault="00D61225" w:rsidP="00A31450">
            <w:pPr>
              <w:keepNext/>
              <w:adjustRightInd w:val="0"/>
              <w:spacing w:before="60" w:after="60" w:line="480" w:lineRule="auto"/>
              <w:jc w:val="center"/>
              <w:rPr>
                <w:b/>
                <w:bCs/>
                <w:color w:val="000000"/>
                <w:sz w:val="24"/>
                <w:szCs w:val="24"/>
              </w:rPr>
            </w:pPr>
            <w:r w:rsidRPr="00E33B27">
              <w:rPr>
                <w:b/>
                <w:bCs/>
                <w:color w:val="000000"/>
                <w:sz w:val="24"/>
                <w:szCs w:val="24"/>
              </w:rPr>
              <w:t>Post</w:t>
            </w:r>
            <w:r w:rsidRPr="00E33B27">
              <w:rPr>
                <w:b/>
                <w:bCs/>
                <w:color w:val="000000"/>
                <w:sz w:val="24"/>
                <w:szCs w:val="24"/>
              </w:rPr>
              <w:br/>
              <w:t>N (%)</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Admissions  Counts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342 (81.0%)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343 (81.3%)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1287 (76.2%)</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1257 (74.5%)</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57 (13.5%)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55 (13.0%)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263 (15.6%)</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263 (15.6%)</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14 </w:t>
            </w:r>
            <w:proofErr w:type="gramStart"/>
            <w:r w:rsidRPr="00E33B27">
              <w:rPr>
                <w:color w:val="000000"/>
                <w:sz w:val="24"/>
                <w:szCs w:val="24"/>
              </w:rPr>
              <w:t>( 3.3</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16 </w:t>
            </w:r>
            <w:proofErr w:type="gramStart"/>
            <w:r w:rsidRPr="00E33B27">
              <w:rPr>
                <w:color w:val="000000"/>
                <w:sz w:val="24"/>
                <w:szCs w:val="24"/>
              </w:rPr>
              <w:t>( 3.8</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79 </w:t>
            </w:r>
            <w:proofErr w:type="gramStart"/>
            <w:r w:rsidRPr="00E33B27">
              <w:rPr>
                <w:color w:val="000000"/>
                <w:sz w:val="24"/>
                <w:szCs w:val="24"/>
              </w:rPr>
              <w:t>( 4.7</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93 </w:t>
            </w:r>
            <w:proofErr w:type="gramStart"/>
            <w:r w:rsidRPr="00E33B27">
              <w:rPr>
                <w:color w:val="000000"/>
                <w:sz w:val="24"/>
                <w:szCs w:val="24"/>
              </w:rPr>
              <w:t>( 5.5</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4 </w:t>
            </w:r>
            <w:proofErr w:type="gramStart"/>
            <w:r w:rsidRPr="00E33B27">
              <w:rPr>
                <w:color w:val="000000"/>
                <w:sz w:val="24"/>
                <w:szCs w:val="24"/>
              </w:rPr>
              <w:t>( 0.9</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3 </w:t>
            </w:r>
            <w:proofErr w:type="gramStart"/>
            <w:r w:rsidRPr="00E33B27">
              <w:rPr>
                <w:color w:val="000000"/>
                <w:sz w:val="24"/>
                <w:szCs w:val="24"/>
              </w:rPr>
              <w:t>( 0.7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23 </w:t>
            </w:r>
            <w:proofErr w:type="gramStart"/>
            <w:r w:rsidRPr="00E33B27">
              <w:rPr>
                <w:color w:val="000000"/>
                <w:sz w:val="24"/>
                <w:szCs w:val="24"/>
              </w:rPr>
              <w:t>( 1.4</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44 </w:t>
            </w:r>
            <w:proofErr w:type="gramStart"/>
            <w:r w:rsidRPr="00E33B27">
              <w:rPr>
                <w:color w:val="000000"/>
                <w:sz w:val="24"/>
                <w:szCs w:val="24"/>
              </w:rPr>
              <w:t>( 2.6</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3 </w:t>
            </w:r>
            <w:proofErr w:type="gramStart"/>
            <w:r w:rsidRPr="00E33B27">
              <w:rPr>
                <w:color w:val="000000"/>
                <w:sz w:val="24"/>
                <w:szCs w:val="24"/>
              </w:rPr>
              <w:t>( 0.7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4 </w:t>
            </w:r>
            <w:proofErr w:type="gramStart"/>
            <w:r w:rsidRPr="00E33B27">
              <w:rPr>
                <w:color w:val="000000"/>
                <w:sz w:val="24"/>
                <w:szCs w:val="24"/>
              </w:rPr>
              <w:t>( 0.9</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17 </w:t>
            </w:r>
            <w:proofErr w:type="gramStart"/>
            <w:r w:rsidRPr="00E33B27">
              <w:rPr>
                <w:color w:val="000000"/>
                <w:sz w:val="24"/>
                <w:szCs w:val="24"/>
              </w:rPr>
              <w:t>( 1.0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12 </w:t>
            </w:r>
            <w:proofErr w:type="gramStart"/>
            <w:r w:rsidRPr="00E33B27">
              <w:rPr>
                <w:color w:val="000000"/>
                <w:sz w:val="24"/>
                <w:szCs w:val="24"/>
              </w:rPr>
              <w:t>( 0.7</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2 </w:t>
            </w:r>
            <w:proofErr w:type="gramStart"/>
            <w:r w:rsidRPr="00E33B27">
              <w:rPr>
                <w:color w:val="000000"/>
                <w:sz w:val="24"/>
                <w:szCs w:val="24"/>
              </w:rPr>
              <w:t>( 0.5</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19 </w:t>
            </w:r>
            <w:proofErr w:type="gramStart"/>
            <w:r w:rsidRPr="00E33B27">
              <w:rPr>
                <w:color w:val="000000"/>
                <w:sz w:val="24"/>
                <w:szCs w:val="24"/>
              </w:rPr>
              <w:t>( 1.1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19 </w:t>
            </w:r>
            <w:proofErr w:type="gramStart"/>
            <w:r w:rsidRPr="00E33B27">
              <w:rPr>
                <w:color w:val="000000"/>
                <w:sz w:val="24"/>
                <w:szCs w:val="24"/>
              </w:rPr>
              <w:t>( 1.1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ED Visits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310 (73.5%)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295 (69.9%)</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1164 (69.0%)</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1124 (66.6%)</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66 (15.6%)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74 (17.5%)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310 (18.4%)</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300 (17.8%)</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26 </w:t>
            </w:r>
            <w:proofErr w:type="gramStart"/>
            <w:r w:rsidRPr="00E33B27">
              <w:rPr>
                <w:color w:val="000000"/>
                <w:sz w:val="24"/>
                <w:szCs w:val="24"/>
              </w:rPr>
              <w:t>( 6.2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29 </w:t>
            </w:r>
            <w:proofErr w:type="gramStart"/>
            <w:r w:rsidRPr="00E33B27">
              <w:rPr>
                <w:color w:val="000000"/>
                <w:sz w:val="24"/>
                <w:szCs w:val="24"/>
              </w:rPr>
              <w:t>( 6.9</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105 </w:t>
            </w:r>
            <w:proofErr w:type="gramStart"/>
            <w:r w:rsidRPr="00E33B27">
              <w:rPr>
                <w:color w:val="000000"/>
                <w:sz w:val="24"/>
                <w:szCs w:val="24"/>
              </w:rPr>
              <w:t>( 6.2</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140 </w:t>
            </w:r>
            <w:proofErr w:type="gramStart"/>
            <w:r w:rsidRPr="00E33B27">
              <w:rPr>
                <w:color w:val="000000"/>
                <w:sz w:val="24"/>
                <w:szCs w:val="24"/>
              </w:rPr>
              <w:t>( 8.3</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6 </w:t>
            </w:r>
            <w:proofErr w:type="gramStart"/>
            <w:r w:rsidRPr="00E33B27">
              <w:rPr>
                <w:color w:val="000000"/>
                <w:sz w:val="24"/>
                <w:szCs w:val="24"/>
              </w:rPr>
              <w:t>( 1.4</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12 </w:t>
            </w:r>
            <w:proofErr w:type="gramStart"/>
            <w:r w:rsidRPr="00E33B27">
              <w:rPr>
                <w:color w:val="000000"/>
                <w:sz w:val="24"/>
                <w:szCs w:val="24"/>
              </w:rPr>
              <w:t>( 2.8</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51 </w:t>
            </w:r>
            <w:proofErr w:type="gramStart"/>
            <w:r w:rsidRPr="00E33B27">
              <w:rPr>
                <w:color w:val="000000"/>
                <w:sz w:val="24"/>
                <w:szCs w:val="24"/>
              </w:rPr>
              <w:t>( 3.0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58 </w:t>
            </w:r>
            <w:proofErr w:type="gramStart"/>
            <w:r w:rsidRPr="00E33B27">
              <w:rPr>
                <w:color w:val="000000"/>
                <w:sz w:val="24"/>
                <w:szCs w:val="24"/>
              </w:rPr>
              <w:t>( 3.4</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7 </w:t>
            </w:r>
            <w:proofErr w:type="gramStart"/>
            <w:r w:rsidRPr="00E33B27">
              <w:rPr>
                <w:color w:val="000000"/>
                <w:sz w:val="24"/>
                <w:szCs w:val="24"/>
              </w:rPr>
              <w:t>( 1.7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7 </w:t>
            </w:r>
            <w:proofErr w:type="gramStart"/>
            <w:r w:rsidRPr="00E33B27">
              <w:rPr>
                <w:color w:val="000000"/>
                <w:sz w:val="24"/>
                <w:szCs w:val="24"/>
              </w:rPr>
              <w:t>( 1.7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20 </w:t>
            </w:r>
            <w:proofErr w:type="gramStart"/>
            <w:r w:rsidRPr="00E33B27">
              <w:rPr>
                <w:color w:val="000000"/>
                <w:sz w:val="24"/>
                <w:szCs w:val="24"/>
              </w:rPr>
              <w:t>( 1.2</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27 </w:t>
            </w:r>
            <w:proofErr w:type="gramStart"/>
            <w:r w:rsidRPr="00E33B27">
              <w:rPr>
                <w:color w:val="000000"/>
                <w:sz w:val="24"/>
                <w:szCs w:val="24"/>
              </w:rPr>
              <w:t>( 1.6</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lastRenderedPageBreak/>
              <w:t>- - 5+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7 </w:t>
            </w:r>
            <w:proofErr w:type="gramStart"/>
            <w:r w:rsidRPr="00E33B27">
              <w:rPr>
                <w:color w:val="000000"/>
                <w:sz w:val="24"/>
                <w:szCs w:val="24"/>
              </w:rPr>
              <w:t>( 1.7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 </w:t>
            </w:r>
            <w:proofErr w:type="gramStart"/>
            <w:r w:rsidRPr="00E33B27">
              <w:rPr>
                <w:color w:val="000000"/>
                <w:sz w:val="24"/>
                <w:szCs w:val="24"/>
              </w:rPr>
              <w:t>( 1.2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38 </w:t>
            </w:r>
            <w:proofErr w:type="gramStart"/>
            <w:r w:rsidRPr="00E33B27">
              <w:rPr>
                <w:color w:val="000000"/>
                <w:sz w:val="24"/>
                <w:szCs w:val="24"/>
              </w:rPr>
              <w:t>( 2.3</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39 </w:t>
            </w:r>
            <w:proofErr w:type="gramStart"/>
            <w:r w:rsidRPr="00E33B27">
              <w:rPr>
                <w:color w:val="000000"/>
                <w:sz w:val="24"/>
                <w:szCs w:val="24"/>
              </w:rPr>
              <w:t>( 2.3</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proofErr w:type="spellStart"/>
            <w:r w:rsidRPr="00E33B27">
              <w:rPr>
                <w:color w:val="000000"/>
                <w:sz w:val="24"/>
                <w:szCs w:val="24"/>
              </w:rPr>
              <w:t>Obs</w:t>
            </w:r>
            <w:proofErr w:type="spellEnd"/>
            <w:r w:rsidRPr="00E33B27">
              <w:rPr>
                <w:color w:val="000000"/>
                <w:sz w:val="24"/>
                <w:szCs w:val="24"/>
              </w:rPr>
              <w:t xml:space="preserve"> Visits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385 (91.2%)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380 (90.0%)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1542 (91.4%)</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1480 (87.7%)</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30 </w:t>
            </w:r>
            <w:proofErr w:type="gramStart"/>
            <w:r w:rsidRPr="00E33B27">
              <w:rPr>
                <w:color w:val="000000"/>
                <w:sz w:val="24"/>
                <w:szCs w:val="24"/>
              </w:rPr>
              <w:t>( 7.1</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38 </w:t>
            </w:r>
            <w:proofErr w:type="gramStart"/>
            <w:r w:rsidRPr="00E33B27">
              <w:rPr>
                <w:color w:val="000000"/>
                <w:sz w:val="24"/>
                <w:szCs w:val="24"/>
              </w:rPr>
              <w:t>( 9.0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129 </w:t>
            </w:r>
            <w:proofErr w:type="gramStart"/>
            <w:r w:rsidRPr="00E33B27">
              <w:rPr>
                <w:color w:val="000000"/>
                <w:sz w:val="24"/>
                <w:szCs w:val="24"/>
              </w:rPr>
              <w:t>( 7.6</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174 (10.3%)</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 </w:t>
            </w:r>
            <w:proofErr w:type="gramStart"/>
            <w:r w:rsidRPr="00E33B27">
              <w:rPr>
                <w:color w:val="000000"/>
                <w:sz w:val="24"/>
                <w:szCs w:val="24"/>
              </w:rPr>
              <w:t>( 1.2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 </w:t>
            </w:r>
            <w:proofErr w:type="gramStart"/>
            <w:r w:rsidRPr="00E33B27">
              <w:rPr>
                <w:color w:val="000000"/>
                <w:sz w:val="24"/>
                <w:szCs w:val="24"/>
              </w:rPr>
              <w:t>( 0.7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10 </w:t>
            </w:r>
            <w:proofErr w:type="gramStart"/>
            <w:r w:rsidRPr="00E33B27">
              <w:rPr>
                <w:color w:val="000000"/>
                <w:sz w:val="24"/>
                <w:szCs w:val="24"/>
              </w:rPr>
              <w:t>( 0.6</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29 </w:t>
            </w:r>
            <w:proofErr w:type="gramStart"/>
            <w:r w:rsidRPr="00E33B27">
              <w:rPr>
                <w:color w:val="000000"/>
                <w:sz w:val="24"/>
                <w:szCs w:val="24"/>
              </w:rPr>
              <w:t>( 1.7</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 </w:t>
            </w:r>
            <w:proofErr w:type="gramStart"/>
            <w:r w:rsidRPr="00E33B27">
              <w:rPr>
                <w:color w:val="000000"/>
                <w:sz w:val="24"/>
                <w:szCs w:val="24"/>
              </w:rPr>
              <w:t>( 0.2</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4 </w:t>
            </w:r>
            <w:proofErr w:type="gramStart"/>
            <w:r w:rsidRPr="00E33B27">
              <w:rPr>
                <w:color w:val="000000"/>
                <w:sz w:val="24"/>
                <w:szCs w:val="24"/>
              </w:rPr>
              <w:t>( 0.2</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4 </w:t>
            </w:r>
            <w:proofErr w:type="gramStart"/>
            <w:r w:rsidRPr="00E33B27">
              <w:rPr>
                <w:color w:val="000000"/>
                <w:sz w:val="24"/>
                <w:szCs w:val="24"/>
              </w:rPr>
              <w:t>( 0.2</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All Hospital Encounters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258 (61.1%)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244 (57.8%)</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930 (55.1%)</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882 (52.3%)</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82 (19.4%)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85 (20.1%)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360 (21.3%)</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335 (19.8%)</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39 </w:t>
            </w:r>
            <w:proofErr w:type="gramStart"/>
            <w:r w:rsidRPr="00E33B27">
              <w:rPr>
                <w:color w:val="000000"/>
                <w:sz w:val="24"/>
                <w:szCs w:val="24"/>
              </w:rPr>
              <w:t>( 9.2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44 (10.4%)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171 (10.1%)</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172 (10.2%)</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11 </w:t>
            </w:r>
            <w:proofErr w:type="gramStart"/>
            <w:r w:rsidRPr="00E33B27">
              <w:rPr>
                <w:color w:val="000000"/>
                <w:sz w:val="24"/>
                <w:szCs w:val="24"/>
              </w:rPr>
              <w:t>( 2.6</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18 </w:t>
            </w:r>
            <w:proofErr w:type="gramStart"/>
            <w:r w:rsidRPr="00E33B27">
              <w:rPr>
                <w:color w:val="000000"/>
                <w:sz w:val="24"/>
                <w:szCs w:val="24"/>
              </w:rPr>
              <w:t>( 4.3</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74 </w:t>
            </w:r>
            <w:proofErr w:type="gramStart"/>
            <w:r w:rsidRPr="00E33B27">
              <w:rPr>
                <w:color w:val="000000"/>
                <w:sz w:val="24"/>
                <w:szCs w:val="24"/>
              </w:rPr>
              <w:t>( 4.4</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119 </w:t>
            </w:r>
            <w:proofErr w:type="gramStart"/>
            <w:r w:rsidRPr="00E33B27">
              <w:rPr>
                <w:color w:val="000000"/>
                <w:sz w:val="24"/>
                <w:szCs w:val="24"/>
              </w:rPr>
              <w:t>( 7.0</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12 </w:t>
            </w:r>
            <w:proofErr w:type="gramStart"/>
            <w:r w:rsidRPr="00E33B27">
              <w:rPr>
                <w:color w:val="000000"/>
                <w:sz w:val="24"/>
                <w:szCs w:val="24"/>
              </w:rPr>
              <w:t>( 2.8</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15 </w:t>
            </w:r>
            <w:proofErr w:type="gramStart"/>
            <w:r w:rsidRPr="00E33B27">
              <w:rPr>
                <w:color w:val="000000"/>
                <w:sz w:val="24"/>
                <w:szCs w:val="24"/>
              </w:rPr>
              <w:t>( 3.6</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59 </w:t>
            </w:r>
            <w:proofErr w:type="gramStart"/>
            <w:r w:rsidRPr="00E33B27">
              <w:rPr>
                <w:color w:val="000000"/>
                <w:sz w:val="24"/>
                <w:szCs w:val="24"/>
              </w:rPr>
              <w:t>( 3.5</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67 </w:t>
            </w:r>
            <w:proofErr w:type="gramStart"/>
            <w:r w:rsidRPr="00E33B27">
              <w:rPr>
                <w:color w:val="000000"/>
                <w:sz w:val="24"/>
                <w:szCs w:val="24"/>
              </w:rPr>
              <w:t>( 4.0</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lastRenderedPageBreak/>
              <w:t>- - 5+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20 </w:t>
            </w:r>
            <w:proofErr w:type="gramStart"/>
            <w:r w:rsidRPr="00E33B27">
              <w:rPr>
                <w:color w:val="000000"/>
                <w:sz w:val="24"/>
                <w:szCs w:val="24"/>
              </w:rPr>
              <w:t>( 4.7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16 </w:t>
            </w:r>
            <w:proofErr w:type="gramStart"/>
            <w:r w:rsidRPr="00E33B27">
              <w:rPr>
                <w:color w:val="000000"/>
                <w:sz w:val="24"/>
                <w:szCs w:val="24"/>
              </w:rPr>
              <w:t>( 3.8</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94 </w:t>
            </w:r>
            <w:proofErr w:type="gramStart"/>
            <w:r w:rsidRPr="00E33B27">
              <w:rPr>
                <w:color w:val="000000"/>
                <w:sz w:val="24"/>
                <w:szCs w:val="24"/>
              </w:rPr>
              <w:t>( 5.6</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113 </w:t>
            </w:r>
            <w:proofErr w:type="gramStart"/>
            <w:r w:rsidRPr="00E33B27">
              <w:rPr>
                <w:color w:val="000000"/>
                <w:sz w:val="24"/>
                <w:szCs w:val="24"/>
              </w:rPr>
              <w:t>( 6.7</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Admissions related to Diabetes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418 (99.1%)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420 (99.5%)</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1668 (98.8%)</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1674 (99.2%)</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 </w:t>
            </w:r>
            <w:proofErr w:type="gramStart"/>
            <w:r w:rsidRPr="00E33B27">
              <w:rPr>
                <w:color w:val="000000"/>
                <w:sz w:val="24"/>
                <w:szCs w:val="24"/>
              </w:rPr>
              <w:t>( 0.7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 </w:t>
            </w:r>
            <w:proofErr w:type="gramStart"/>
            <w:r w:rsidRPr="00E33B27">
              <w:rPr>
                <w:color w:val="000000"/>
                <w:sz w:val="24"/>
                <w:szCs w:val="24"/>
              </w:rPr>
              <w:t>( 0.5</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19 </w:t>
            </w:r>
            <w:proofErr w:type="gramStart"/>
            <w:r w:rsidRPr="00E33B27">
              <w:rPr>
                <w:color w:val="000000"/>
                <w:sz w:val="24"/>
                <w:szCs w:val="24"/>
              </w:rPr>
              <w:t>( 1.1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13 </w:t>
            </w:r>
            <w:proofErr w:type="gramStart"/>
            <w:r w:rsidRPr="00E33B27">
              <w:rPr>
                <w:color w:val="000000"/>
                <w:sz w:val="24"/>
                <w:szCs w:val="24"/>
              </w:rPr>
              <w:t>( 0.8</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ED Visits related to Diabetes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415 (98.3%)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416 (98.6%)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1669 (98.9%)</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1664 (98.6%)</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6 </w:t>
            </w:r>
            <w:proofErr w:type="gramStart"/>
            <w:r w:rsidRPr="00E33B27">
              <w:rPr>
                <w:color w:val="000000"/>
                <w:sz w:val="24"/>
                <w:szCs w:val="24"/>
              </w:rPr>
              <w:t>( 1.4</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 </w:t>
            </w:r>
            <w:proofErr w:type="gramStart"/>
            <w:r w:rsidRPr="00E33B27">
              <w:rPr>
                <w:color w:val="000000"/>
                <w:sz w:val="24"/>
                <w:szCs w:val="24"/>
              </w:rPr>
              <w:t>( 1.2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17 </w:t>
            </w:r>
            <w:proofErr w:type="gramStart"/>
            <w:r w:rsidRPr="00E33B27">
              <w:rPr>
                <w:color w:val="000000"/>
                <w:sz w:val="24"/>
                <w:szCs w:val="24"/>
              </w:rPr>
              <w:t>( 1.0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22 </w:t>
            </w:r>
            <w:proofErr w:type="gramStart"/>
            <w:r w:rsidRPr="00E33B27">
              <w:rPr>
                <w:color w:val="000000"/>
                <w:sz w:val="24"/>
                <w:szCs w:val="24"/>
              </w:rPr>
              <w:t>( 1.3</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0 </w:t>
            </w:r>
            <w:proofErr w:type="gramStart"/>
            <w:r w:rsidRPr="00E33B27">
              <w:rPr>
                <w:color w:val="000000"/>
                <w:sz w:val="24"/>
                <w:szCs w:val="24"/>
              </w:rPr>
              <w:t>( 0.0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 </w:t>
            </w:r>
            <w:proofErr w:type="gramStart"/>
            <w:r w:rsidRPr="00E33B27">
              <w:rPr>
                <w:color w:val="000000"/>
                <w:sz w:val="24"/>
                <w:szCs w:val="24"/>
              </w:rPr>
              <w:t>( 0.1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- 6</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 1 </w:t>
            </w:r>
            <w:proofErr w:type="gramStart"/>
            <w:r w:rsidRPr="00E33B27">
              <w:rPr>
                <w:color w:val="000000"/>
                <w:sz w:val="24"/>
                <w:szCs w:val="24"/>
              </w:rPr>
              <w:t>( 0.1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proofErr w:type="spellStart"/>
            <w:r w:rsidRPr="00E33B27">
              <w:rPr>
                <w:color w:val="000000"/>
                <w:sz w:val="24"/>
                <w:szCs w:val="24"/>
              </w:rPr>
              <w:t>Obs</w:t>
            </w:r>
            <w:proofErr w:type="spellEnd"/>
            <w:r w:rsidRPr="00E33B27">
              <w:rPr>
                <w:color w:val="000000"/>
                <w:sz w:val="24"/>
                <w:szCs w:val="24"/>
              </w:rPr>
              <w:t xml:space="preserve"> Visits related to Diabetes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421 (99.8%)</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422 </w:t>
            </w:r>
            <w:proofErr w:type="gramStart"/>
            <w:r w:rsidRPr="00E33B27">
              <w:rPr>
                <w:color w:val="000000"/>
                <w:sz w:val="24"/>
                <w:szCs w:val="24"/>
              </w:rPr>
              <w:t>( 100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1683 (99.7%)</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1677 (99.3%)</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5 </w:t>
            </w:r>
            <w:proofErr w:type="gramStart"/>
            <w:r w:rsidRPr="00E33B27">
              <w:rPr>
                <w:color w:val="000000"/>
                <w:sz w:val="24"/>
                <w:szCs w:val="24"/>
              </w:rPr>
              <w:t>( 0.3</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11 </w:t>
            </w:r>
            <w:proofErr w:type="gramStart"/>
            <w:r w:rsidRPr="00E33B27">
              <w:rPr>
                <w:color w:val="000000"/>
                <w:sz w:val="24"/>
                <w:szCs w:val="24"/>
              </w:rPr>
              <w:t>( 0.7</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lastRenderedPageBreak/>
              <w:t>All Hospital Encounters related to Diabetes</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- 0</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411 (97.4%)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414 (98.1%)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1647 (97.6%)</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1647 (97.6%)</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- 1</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9 </w:t>
            </w:r>
            <w:proofErr w:type="gramStart"/>
            <w:r w:rsidRPr="00E33B27">
              <w:rPr>
                <w:color w:val="000000"/>
                <w:sz w:val="24"/>
                <w:szCs w:val="24"/>
              </w:rPr>
              <w:t>( 2.1</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7 </w:t>
            </w:r>
            <w:proofErr w:type="gramStart"/>
            <w:r w:rsidRPr="00E33B27">
              <w:rPr>
                <w:color w:val="000000"/>
                <w:sz w:val="24"/>
                <w:szCs w:val="24"/>
              </w:rPr>
              <w:t>( 1.7</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37 </w:t>
            </w:r>
            <w:proofErr w:type="gramStart"/>
            <w:r w:rsidRPr="00E33B27">
              <w:rPr>
                <w:color w:val="000000"/>
                <w:sz w:val="24"/>
                <w:szCs w:val="24"/>
              </w:rPr>
              <w:t>( 2.2</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32 </w:t>
            </w:r>
            <w:proofErr w:type="gramStart"/>
            <w:r w:rsidRPr="00E33B27">
              <w:rPr>
                <w:color w:val="000000"/>
                <w:sz w:val="24"/>
                <w:szCs w:val="24"/>
              </w:rPr>
              <w:t>( 1.9</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- 2</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 </w:t>
            </w:r>
            <w:proofErr w:type="gramStart"/>
            <w:r w:rsidRPr="00E33B27">
              <w:rPr>
                <w:color w:val="000000"/>
                <w:sz w:val="24"/>
                <w:szCs w:val="24"/>
              </w:rPr>
              <w:t>( 0.1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7 </w:t>
            </w:r>
            <w:proofErr w:type="gramStart"/>
            <w:r w:rsidRPr="00E33B27">
              <w:rPr>
                <w:color w:val="000000"/>
                <w:sz w:val="24"/>
                <w:szCs w:val="24"/>
              </w:rPr>
              <w:t>( 0.4</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- 3</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( 0.2</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r w:rsidR="00D61225" w:rsidRPr="00E33B27" w:rsidTr="00A31450">
        <w:trPr>
          <w:cantSplit/>
          <w:jc w:val="center"/>
        </w:trPr>
        <w:tc>
          <w:tcPr>
            <w:tcW w:w="3615" w:type="dxa"/>
            <w:tcBorders>
              <w:top w:val="nil"/>
              <w:left w:val="single" w:sz="6"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rPr>
                <w:color w:val="000000"/>
                <w:sz w:val="24"/>
                <w:szCs w:val="24"/>
              </w:rPr>
            </w:pPr>
            <w:r w:rsidRPr="00E33B27">
              <w:rPr>
                <w:color w:val="000000"/>
                <w:sz w:val="24"/>
                <w:szCs w:val="24"/>
              </w:rPr>
              <w:t>- - 4</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0 </w:t>
            </w:r>
            <w:proofErr w:type="gramStart"/>
            <w:r w:rsidRPr="00E33B27">
              <w:rPr>
                <w:color w:val="000000"/>
                <w:sz w:val="24"/>
                <w:szCs w:val="24"/>
              </w:rPr>
              <w:t>( 0.0</w:t>
            </w:r>
            <w:proofErr w:type="gramEnd"/>
            <w:r w:rsidRPr="00E33B27">
              <w:rPr>
                <w:color w:val="000000"/>
                <w:sz w:val="24"/>
                <w:szCs w:val="24"/>
              </w:rPr>
              <w:t>%)</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2 </w:t>
            </w:r>
            <w:proofErr w:type="gramStart"/>
            <w:r w:rsidRPr="00E33B27">
              <w:rPr>
                <w:color w:val="000000"/>
                <w:sz w:val="24"/>
                <w:szCs w:val="24"/>
              </w:rPr>
              <w:t>( 0.1</w:t>
            </w:r>
            <w:proofErr w:type="gramEnd"/>
            <w:r w:rsidRPr="00E33B27">
              <w:rPr>
                <w:color w:val="000000"/>
                <w:sz w:val="24"/>
                <w:szCs w:val="24"/>
              </w:rPr>
              <w:t>%)</w:t>
            </w:r>
          </w:p>
        </w:tc>
        <w:tc>
          <w:tcPr>
            <w:tcW w:w="152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E33B27" w:rsidRDefault="00D61225" w:rsidP="00A31450">
            <w:pPr>
              <w:adjustRightInd w:val="0"/>
              <w:spacing w:before="60" w:after="60" w:line="480" w:lineRule="auto"/>
              <w:jc w:val="center"/>
              <w:rPr>
                <w:color w:val="000000"/>
                <w:sz w:val="24"/>
                <w:szCs w:val="24"/>
              </w:rPr>
            </w:pPr>
            <w:r w:rsidRPr="00E33B27">
              <w:rPr>
                <w:color w:val="000000"/>
                <w:sz w:val="24"/>
                <w:szCs w:val="24"/>
              </w:rPr>
              <w:t xml:space="preserve">1 </w:t>
            </w:r>
            <w:proofErr w:type="gramStart"/>
            <w:r w:rsidRPr="00E33B27">
              <w:rPr>
                <w:color w:val="000000"/>
                <w:sz w:val="24"/>
                <w:szCs w:val="24"/>
              </w:rPr>
              <w:t>( 0.1</w:t>
            </w:r>
            <w:proofErr w:type="gramEnd"/>
            <w:r w:rsidRPr="00E33B27">
              <w:rPr>
                <w:color w:val="000000"/>
                <w:sz w:val="24"/>
                <w:szCs w:val="24"/>
              </w:rPr>
              <w:t>%)</w:t>
            </w:r>
          </w:p>
        </w:tc>
      </w:tr>
    </w:tbl>
    <w:p w:rsidR="00D61225" w:rsidRDefault="00D61225" w:rsidP="00D61225"/>
    <w:p w:rsidR="00D61225" w:rsidRDefault="00D61225" w:rsidP="00D61225">
      <w:pPr>
        <w:sectPr w:rsidR="00D61225">
          <w:pgSz w:w="12240" w:h="15840"/>
          <w:pgMar w:top="1440" w:right="1440" w:bottom="1440" w:left="1440" w:header="720" w:footer="720" w:gutter="0"/>
          <w:cols w:space="720"/>
          <w:docGrid w:linePitch="360"/>
        </w:sectPr>
      </w:pPr>
    </w:p>
    <w:p w:rsidR="00D61225" w:rsidRDefault="00D61225" w:rsidP="00D61225"/>
    <w:p w:rsidR="00D61225" w:rsidRDefault="00D61225" w:rsidP="00D61225">
      <w:pPr>
        <w:adjustRightInd w:val="0"/>
        <w:spacing w:before="10" w:after="10"/>
        <w:rPr>
          <w:b/>
          <w:bCs/>
          <w:iCs/>
          <w:color w:val="000000"/>
          <w:sz w:val="24"/>
          <w:szCs w:val="24"/>
        </w:rPr>
      </w:pPr>
      <w:r w:rsidRPr="00C25EA7">
        <w:rPr>
          <w:b/>
          <w:bCs/>
          <w:iCs/>
          <w:color w:val="000000"/>
          <w:sz w:val="24"/>
          <w:szCs w:val="24"/>
        </w:rPr>
        <w:t>Table</w:t>
      </w:r>
      <w:r>
        <w:rPr>
          <w:b/>
          <w:bCs/>
          <w:iCs/>
          <w:color w:val="000000"/>
          <w:sz w:val="24"/>
          <w:szCs w:val="24"/>
        </w:rPr>
        <w:t xml:space="preserve"> A.2:</w:t>
      </w:r>
      <w:r w:rsidRPr="00C25EA7">
        <w:rPr>
          <w:b/>
          <w:bCs/>
          <w:iCs/>
          <w:color w:val="000000"/>
          <w:sz w:val="24"/>
          <w:szCs w:val="24"/>
        </w:rPr>
        <w:t xml:space="preserve"> West Virginia 10th SOW EDC program Cost Saving</w:t>
      </w:r>
    </w:p>
    <w:p w:rsidR="00D61225" w:rsidRPr="00C25EA7" w:rsidRDefault="00D61225" w:rsidP="00D61225">
      <w:pPr>
        <w:adjustRightInd w:val="0"/>
        <w:spacing w:before="10" w:after="10"/>
        <w:rPr>
          <w:b/>
          <w:bCs/>
          <w:iCs/>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743"/>
        <w:gridCol w:w="1157"/>
        <w:gridCol w:w="1157"/>
        <w:gridCol w:w="1445"/>
        <w:gridCol w:w="1157"/>
        <w:gridCol w:w="1157"/>
        <w:gridCol w:w="1445"/>
        <w:gridCol w:w="1157"/>
        <w:gridCol w:w="1266"/>
        <w:gridCol w:w="1063"/>
      </w:tblGrid>
      <w:tr w:rsidR="00D61225" w:rsidTr="00A31450">
        <w:trPr>
          <w:cantSplit/>
          <w:tblHeader/>
          <w:jc w:val="center"/>
        </w:trPr>
        <w:tc>
          <w:tcPr>
            <w:tcW w:w="174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Label</w:t>
            </w:r>
          </w:p>
        </w:tc>
        <w:tc>
          <w:tcPr>
            <w:tcW w:w="3759" w:type="dxa"/>
            <w:gridSpan w:val="3"/>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DSME Completers</w:t>
            </w:r>
          </w:p>
        </w:tc>
        <w:tc>
          <w:tcPr>
            <w:tcW w:w="3759" w:type="dxa"/>
            <w:gridSpan w:val="3"/>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Non-DSME Completers</w:t>
            </w:r>
          </w:p>
        </w:tc>
        <w:tc>
          <w:tcPr>
            <w:tcW w:w="3486" w:type="dxa"/>
            <w:gridSpan w:val="3"/>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Cost Saving</w:t>
            </w:r>
          </w:p>
        </w:tc>
      </w:tr>
      <w:tr w:rsidR="00D61225" w:rsidTr="00A31450">
        <w:trPr>
          <w:cantSplit/>
          <w:tblHeader/>
          <w:jc w:val="center"/>
        </w:trPr>
        <w:tc>
          <w:tcPr>
            <w:tcW w:w="1743" w:type="dxa"/>
            <w:tcBorders>
              <w:top w:val="nil"/>
              <w:left w:val="single" w:sz="6"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Variables</w:t>
            </w:r>
          </w:p>
        </w:tc>
        <w:tc>
          <w:tcPr>
            <w:tcW w:w="1157"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Pre</w:t>
            </w:r>
          </w:p>
        </w:tc>
        <w:tc>
          <w:tcPr>
            <w:tcW w:w="1157"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Post</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Pr>
                <w:b/>
                <w:bCs/>
                <w:color w:val="000000"/>
                <w:sz w:val="24"/>
                <w:szCs w:val="24"/>
              </w:rPr>
              <w:t xml:space="preserve">% </w:t>
            </w:r>
            <w:r w:rsidRPr="00C25EA7">
              <w:rPr>
                <w:b/>
                <w:bCs/>
                <w:color w:val="000000"/>
                <w:sz w:val="24"/>
                <w:szCs w:val="24"/>
              </w:rPr>
              <w:t xml:space="preserve"> Change</w:t>
            </w:r>
          </w:p>
        </w:tc>
        <w:tc>
          <w:tcPr>
            <w:tcW w:w="1157"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Pre</w:t>
            </w:r>
          </w:p>
        </w:tc>
        <w:tc>
          <w:tcPr>
            <w:tcW w:w="1157"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Post</w:t>
            </w:r>
          </w:p>
        </w:tc>
        <w:tc>
          <w:tcPr>
            <w:tcW w:w="1445"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Pr>
                <w:b/>
                <w:bCs/>
                <w:color w:val="000000"/>
                <w:sz w:val="24"/>
                <w:szCs w:val="24"/>
              </w:rPr>
              <w:t xml:space="preserve">% </w:t>
            </w:r>
            <w:r w:rsidRPr="00C25EA7">
              <w:rPr>
                <w:b/>
                <w:bCs/>
                <w:color w:val="000000"/>
                <w:sz w:val="24"/>
                <w:szCs w:val="24"/>
              </w:rPr>
              <w:t>Change</w:t>
            </w:r>
          </w:p>
        </w:tc>
        <w:tc>
          <w:tcPr>
            <w:tcW w:w="1157"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Average Cost</w:t>
            </w:r>
            <w:r w:rsidRPr="00C25EA7">
              <w:rPr>
                <w:b/>
                <w:bCs/>
                <w:color w:val="000000"/>
                <w:sz w:val="24"/>
                <w:szCs w:val="24"/>
              </w:rPr>
              <w:br/>
              <w:t>per stay</w:t>
            </w:r>
          </w:p>
        </w:tc>
        <w:tc>
          <w:tcPr>
            <w:tcW w:w="1266" w:type="dxa"/>
            <w:tcBorders>
              <w:top w:val="nil"/>
              <w:left w:val="single" w:sz="2" w:space="0" w:color="000000"/>
              <w:bottom w:val="single" w:sz="2" w:space="0" w:color="000000"/>
              <w:right w:val="nil"/>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Reductions</w:t>
            </w:r>
          </w:p>
        </w:tc>
        <w:tc>
          <w:tcPr>
            <w:tcW w:w="1063"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D61225" w:rsidRPr="00C25EA7" w:rsidRDefault="00D61225" w:rsidP="00A31450">
            <w:pPr>
              <w:keepNext/>
              <w:adjustRightInd w:val="0"/>
              <w:spacing w:before="60" w:after="60"/>
              <w:jc w:val="center"/>
              <w:rPr>
                <w:b/>
                <w:bCs/>
                <w:color w:val="000000"/>
                <w:sz w:val="24"/>
                <w:szCs w:val="24"/>
              </w:rPr>
            </w:pPr>
            <w:r w:rsidRPr="00C25EA7">
              <w:rPr>
                <w:b/>
                <w:bCs/>
                <w:color w:val="000000"/>
                <w:sz w:val="24"/>
                <w:szCs w:val="24"/>
              </w:rPr>
              <w:t>Savings</w:t>
            </w:r>
          </w:p>
        </w:tc>
      </w:tr>
      <w:tr w:rsidR="00D61225" w:rsidTr="00A31450">
        <w:trPr>
          <w:cantSplit/>
          <w:jc w:val="center"/>
        </w:trPr>
        <w:tc>
          <w:tcPr>
            <w:tcW w:w="1743" w:type="dxa"/>
            <w:tcBorders>
              <w:top w:val="nil"/>
              <w:left w:val="single" w:sz="6"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rPr>
                <w:color w:val="000000"/>
                <w:sz w:val="24"/>
                <w:szCs w:val="24"/>
              </w:rPr>
            </w:pPr>
            <w:r w:rsidRPr="00C25EA7">
              <w:rPr>
                <w:color w:val="000000"/>
                <w:sz w:val="24"/>
                <w:szCs w:val="24"/>
              </w:rPr>
              <w:t>Admissions</w:t>
            </w:r>
          </w:p>
        </w:tc>
        <w:tc>
          <w:tcPr>
            <w:tcW w:w="1157"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121</w:t>
            </w:r>
          </w:p>
        </w:tc>
        <w:tc>
          <w:tcPr>
            <w:tcW w:w="1157"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119</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(1.7%)</w:t>
            </w:r>
          </w:p>
        </w:tc>
        <w:tc>
          <w:tcPr>
            <w:tcW w:w="1157"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675</w:t>
            </w:r>
          </w:p>
        </w:tc>
        <w:tc>
          <w:tcPr>
            <w:tcW w:w="1157"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747</w:t>
            </w:r>
          </w:p>
        </w:tc>
        <w:tc>
          <w:tcPr>
            <w:tcW w:w="1445"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10.7%</w:t>
            </w:r>
          </w:p>
        </w:tc>
        <w:tc>
          <w:tcPr>
            <w:tcW w:w="1157"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$10,101</w:t>
            </w:r>
          </w:p>
        </w:tc>
        <w:tc>
          <w:tcPr>
            <w:tcW w:w="1266" w:type="dxa"/>
            <w:tcBorders>
              <w:top w:val="nil"/>
              <w:left w:val="single" w:sz="2" w:space="0" w:color="000000"/>
              <w:bottom w:val="single" w:sz="2" w:space="0" w:color="000000"/>
              <w:right w:val="nil"/>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15</w:t>
            </w:r>
          </w:p>
        </w:tc>
        <w:tc>
          <w:tcPr>
            <w:tcW w:w="106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D61225" w:rsidRPr="00C25EA7" w:rsidRDefault="00D61225" w:rsidP="00A31450">
            <w:pPr>
              <w:adjustRightInd w:val="0"/>
              <w:spacing w:before="60" w:after="60"/>
              <w:jc w:val="center"/>
              <w:rPr>
                <w:color w:val="000000"/>
                <w:sz w:val="24"/>
                <w:szCs w:val="24"/>
              </w:rPr>
            </w:pPr>
            <w:r w:rsidRPr="00C25EA7">
              <w:rPr>
                <w:color w:val="000000"/>
                <w:sz w:val="24"/>
                <w:szCs w:val="24"/>
              </w:rPr>
              <w:t>$151,515</w:t>
            </w:r>
          </w:p>
        </w:tc>
      </w:tr>
    </w:tbl>
    <w:p w:rsidR="00D61225" w:rsidRDefault="00D61225" w:rsidP="00D61225">
      <w:pPr>
        <w:sectPr w:rsidR="00D61225" w:rsidSect="00456700">
          <w:pgSz w:w="15840" w:h="12240" w:orient="landscape"/>
          <w:pgMar w:top="1440" w:right="1440" w:bottom="1440" w:left="1440" w:header="720" w:footer="720" w:gutter="0"/>
          <w:cols w:space="720"/>
          <w:docGrid w:linePitch="360"/>
        </w:sectPr>
      </w:pPr>
      <w:bookmarkStart w:id="0" w:name="_GoBack"/>
      <w:bookmarkEnd w:id="0"/>
    </w:p>
    <w:p w:rsidR="00D61225" w:rsidRDefault="00D61225" w:rsidP="00D61225"/>
    <w:p w:rsidR="00D61225" w:rsidRPr="001C62AB" w:rsidRDefault="00D61225" w:rsidP="00D61225">
      <w:pPr>
        <w:spacing w:line="480" w:lineRule="auto"/>
        <w:rPr>
          <w:rFonts w:eastAsia="Times New Roman"/>
          <w:sz w:val="24"/>
          <w:szCs w:val="24"/>
        </w:rPr>
      </w:pPr>
    </w:p>
    <w:p w:rsidR="007144F5" w:rsidRDefault="007144F5"/>
    <w:sectPr w:rsidR="0071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25"/>
    <w:rsid w:val="007144F5"/>
    <w:rsid w:val="00D6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22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6122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22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612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Lori</dc:creator>
  <cp:lastModifiedBy>Silveira, Lori</cp:lastModifiedBy>
  <cp:revision>1</cp:revision>
  <dcterms:created xsi:type="dcterms:W3CDTF">2017-09-22T21:27:00Z</dcterms:created>
  <dcterms:modified xsi:type="dcterms:W3CDTF">2017-09-22T21:28:00Z</dcterms:modified>
</cp:coreProperties>
</file>