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8DA3" w14:textId="4095A2B4" w:rsidR="00FF602F" w:rsidRPr="00583FE5" w:rsidRDefault="00010BCE" w:rsidP="001A70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methods</w:t>
      </w:r>
    </w:p>
    <w:p w14:paraId="13806EB2" w14:textId="593D73C1" w:rsidR="00DB6FA1" w:rsidRPr="00583FE5" w:rsidRDefault="00DB6FA1" w:rsidP="001A70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Immunohistochemistry</w:t>
      </w:r>
      <w:r w:rsidR="00B85B5C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histopathology</w:t>
      </w:r>
    </w:p>
    <w:p w14:paraId="71A02570" w14:textId="0C52A25E" w:rsidR="00DB6FA1" w:rsidRPr="00583FE5" w:rsidRDefault="00DB6FA1" w:rsidP="001A708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liver specimens used for immunohistochemistry were 4 </w:t>
      </w:r>
      <w:r w:rsidRPr="00583FE5">
        <w:rPr>
          <w:rStyle w:val="acopre"/>
          <w:rFonts w:ascii="Times New Roman" w:hAnsi="Times New Roman" w:cs="Times New Roman"/>
          <w:sz w:val="24"/>
          <w:szCs w:val="24"/>
        </w:rPr>
        <w:t>µm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formalin-fixed paraffin-embedded (FFPE) sections. FGF19 immunohistochemistry was performed using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Dako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Target Retrieval Solution (S1699;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Dako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83FE5">
        <w:rPr>
          <w:rFonts w:ascii="Times New Roman" w:hAnsi="Times New Roman" w:cs="Times New Roman"/>
          <w:sz w:val="24"/>
          <w:szCs w:val="24"/>
        </w:rPr>
        <w:t>Glostrup</w:t>
      </w:r>
      <w:proofErr w:type="spellEnd"/>
      <w:r w:rsidRPr="00583FE5">
        <w:rPr>
          <w:rFonts w:ascii="Times New Roman" w:hAnsi="Times New Roman" w:cs="Times New Roman"/>
          <w:sz w:val="24"/>
          <w:szCs w:val="24"/>
        </w:rPr>
        <w:t>, Denmark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and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Novolink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Polymer Detection System kit (Leica, </w:t>
      </w:r>
      <w:r w:rsidRPr="00583FE5">
        <w:rPr>
          <w:rFonts w:ascii="Times New Roman" w:hAnsi="Times New Roman" w:cs="Times New Roman"/>
          <w:sz w:val="24"/>
          <w:szCs w:val="24"/>
        </w:rPr>
        <w:t>Newcastle, UK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). Primary antibody (1:18000, MAB969-100; R&amp;D Systems, Minneapolis, MN, USA) was incubated for one hour in room temperature</w:t>
      </w:r>
      <w:r w:rsidR="008A4176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(Supplementary Table </w:t>
      </w:r>
      <w:r w:rsidR="006E1AA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8A4176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CK7 staining was performed at Diagnostic Center of Hospital District of Helsinki and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Uusimaa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fully automated Ventana Benchmark Ultra IHC system (Ventana, Roche, Basel, </w:t>
      </w:r>
      <w:r w:rsidRPr="00583FE5">
        <w:rPr>
          <w:rFonts w:ascii="Times New Roman" w:hAnsi="Times New Roman" w:cs="Times New Roman"/>
          <w:color w:val="000000"/>
          <w:sz w:val="24"/>
          <w:szCs w:val="24"/>
        </w:rPr>
        <w:t>Switzerland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). Primary antibody (</w:t>
      </w:r>
      <w:r w:rsidRPr="00583FE5">
        <w:rPr>
          <w:rFonts w:ascii="Times New Roman" w:hAnsi="Times New Roman" w:cs="Times New Roman"/>
          <w:sz w:val="24"/>
          <w:szCs w:val="24"/>
        </w:rPr>
        <w:t>790-4462, Ventana, Roche)</w:t>
      </w:r>
      <w:r w:rsidRPr="00583FE5">
        <w:rPr>
          <w:rFonts w:ascii="Calibri Light" w:hAnsi="Calibri Light" w:cs="Calibri Light"/>
          <w:sz w:val="24"/>
          <w:szCs w:val="24"/>
        </w:rPr>
        <w:t xml:space="preserve"> 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incubated 16 minutes at</w:t>
      </w:r>
      <w:r w:rsidR="00AE6E57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37°C. Collagen fibers were stained with Sirius red (ab150681; Abcam) following manufacturer’s instructions. </w:t>
      </w:r>
    </w:p>
    <w:p w14:paraId="52C7B9D7" w14:textId="771C6D74" w:rsidR="00B76488" w:rsidRPr="00583FE5" w:rsidRDefault="00E97BF7" w:rsidP="001A708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scanned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</w:rPr>
        <w:t>mages were generated using 3DHISTECH 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</w:rPr>
        <w:t>Pannoramic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</w:rPr>
        <w:t xml:space="preserve"> 250 FLASH II digital slide scanner at Genome Biology Unit supported by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</w:rPr>
        <w:t>HiLIFE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</w:rPr>
        <w:t xml:space="preserve"> and the Faculty of Medicine, University of Helsinki, and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</w:rPr>
        <w:t>Biocenter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</w:rPr>
        <w:t xml:space="preserve"> Finland</w:t>
      </w: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Proportional CK7 and Sirius red stained areas of liver biopsies were quantified by measuring </w:t>
      </w:r>
      <w:proofErr w:type="spellStart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intensity and shade avoiding liver capsule </w:t>
      </w:r>
      <w:bookmarkStart w:id="0" w:name="_Hlk108257970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using </w:t>
      </w:r>
      <w:proofErr w:type="spellStart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CaseViewer</w:t>
      </w:r>
      <w:proofErr w:type="spellEnd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HistoQuant</w:t>
      </w:r>
      <w:proofErr w:type="spellEnd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software</w:t>
      </w:r>
      <w:bookmarkEnd w:id="0"/>
      <w:r w:rsidR="00A8089E"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(3DHISTECH, Budapest, Hungary).</w:t>
      </w:r>
    </w:p>
    <w:p w14:paraId="790EECBC" w14:textId="3E07A55D" w:rsidR="00583FE5" w:rsidRDefault="00B85B5C" w:rsidP="001A708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CK7 stained proliferating bile ducts (0 = no, 1 = moderate, 2 = extensive) and periportal hepatocytes (0 = no staining, 1 = slight, 2 = multifocal periportal, 3 = extends to lobular areas, 4 = diffuse) were scored, and histological liver fibrosis was classified according to the </w:t>
      </w:r>
      <w:proofErr w:type="spellStart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Metavir</w:t>
      </w:r>
      <w:proofErr w:type="spellEnd"/>
      <w:r w:rsidRP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staging. Two experienced pediatric pathologists, blinded to clinical data, performed scoring until a consensus was reached.</w:t>
      </w:r>
      <w:r w:rsidR="00583FE5"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14:paraId="73312640" w14:textId="4FF40F40" w:rsidR="00010BCE" w:rsidRPr="00583FE5" w:rsidRDefault="00010BCE" w:rsidP="001A70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 situ hybridization</w:t>
      </w:r>
    </w:p>
    <w:p w14:paraId="01AC3765" w14:textId="3004C58F" w:rsidR="006E211D" w:rsidRPr="00583FE5" w:rsidRDefault="00010BCE" w:rsidP="001A7083">
      <w:pPr>
        <w:spacing w:line="480" w:lineRule="auto"/>
        <w:rPr>
          <w:lang w:val="en-US"/>
        </w:rPr>
      </w:pPr>
      <w:r w:rsidRPr="00583FE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RNA in situ hybridization was performed on FFPE sections by using </w:t>
      </w:r>
      <w:proofErr w:type="spellStart"/>
      <w:r w:rsidRPr="00583FE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RNAscope</w:t>
      </w:r>
      <w:proofErr w:type="spellEnd"/>
      <w:r w:rsidRPr="00583FE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Multiplex Fluorescent Reagent Kit v2 (323100; Advanced Cell Diagnostics, Newark, CA, USA) according to the manufacturer’s instruction. The target retrieval was performed for 15 min at 98°C and protease plus treatment for 15 min at 40°C. All the probes (Bio-Techne Ltd, Advanced Cell Diagnostics) were hybridized for two hours at 40°C. Localization of FGF19 (Hs-553981-C2) was detected with TSA Plus fluorophore Cyanine 3 (1:1000, NEL745001KT; Akoya Biosciences, Menlo Park, CA, USA), hepatocytes were identified with HPX (Hs-1083421-C1) and fluorescein (1:500, NEL741001KT; Akoya Biosciences), cholangiocytes with KRT19 (Hs- 426221-C3) and Cyanine 5 (1:3000, NEL745001KT; Akoya Biosciences), and activated stellate cells with ACTA2-O4 (Hs-1083431-C3) and Cyanine 5 (1:2000). Positive 3-plex control probe (Hs-320861) was run on all the samples. The sections were counterstained with DAPI. </w:t>
      </w:r>
      <w:r w:rsidR="006E211D" w:rsidRPr="00583FE5">
        <w:rPr>
          <w:lang w:val="en-US"/>
        </w:rPr>
        <w:br w:type="page"/>
      </w:r>
    </w:p>
    <w:p w14:paraId="6B33A153" w14:textId="5569B88E" w:rsidR="006675DC" w:rsidRPr="00583FE5" w:rsidRDefault="00B71DB4" w:rsidP="001A7083">
      <w:pPr>
        <w:spacing w:line="480" w:lineRule="auto"/>
        <w:ind w:right="1416"/>
        <w:rPr>
          <w:rFonts w:ascii="Times New Roman" w:hAnsi="Times New Roman" w:cs="Times New Roman"/>
          <w:b/>
          <w:bCs/>
          <w:sz w:val="28"/>
          <w:szCs w:val="28"/>
        </w:rPr>
      </w:pPr>
      <w:r w:rsidRPr="00583F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 w:rsidR="006675DC" w:rsidRPr="00583FE5">
        <w:rPr>
          <w:rFonts w:ascii="Times New Roman" w:hAnsi="Times New Roman" w:cs="Times New Roman"/>
          <w:b/>
          <w:bCs/>
          <w:sz w:val="28"/>
          <w:szCs w:val="28"/>
        </w:rPr>
        <w:t>Tables</w:t>
      </w:r>
    </w:p>
    <w:p w14:paraId="4745CEAC" w14:textId="07C6CA0C" w:rsidR="006675DC" w:rsidRPr="00583FE5" w:rsidRDefault="006675DC" w:rsidP="001A7083">
      <w:pPr>
        <w:spacing w:line="480" w:lineRule="auto"/>
        <w:ind w:right="1416"/>
        <w:rPr>
          <w:rFonts w:ascii="Times New Roman" w:hAnsi="Times New Roman" w:cs="Times New Roman"/>
          <w:b/>
          <w:bCs/>
          <w:sz w:val="24"/>
          <w:szCs w:val="24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</w:rPr>
        <w:t>Supp</w:t>
      </w:r>
      <w:r w:rsidR="00D05C56" w:rsidRPr="00583FE5">
        <w:rPr>
          <w:rFonts w:ascii="Times New Roman" w:hAnsi="Times New Roman" w:cs="Times New Roman"/>
          <w:b/>
          <w:bCs/>
          <w:sz w:val="24"/>
          <w:szCs w:val="24"/>
        </w:rPr>
        <w:t>lementary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155522" w:rsidRPr="00583F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FE5">
        <w:rPr>
          <w:rFonts w:ascii="Times New Roman" w:hAnsi="Times New Roman" w:cs="Times New Roman"/>
          <w:sz w:val="24"/>
          <w:szCs w:val="24"/>
        </w:rPr>
        <w:t>Clinical diagnoses</w:t>
      </w:r>
      <w:r w:rsidR="00AA15A1" w:rsidRPr="00583FE5">
        <w:rPr>
          <w:rFonts w:ascii="Times New Roman" w:hAnsi="Times New Roman" w:cs="Times New Roman"/>
          <w:sz w:val="24"/>
          <w:szCs w:val="24"/>
        </w:rPr>
        <w:t xml:space="preserve"> and</w:t>
      </w:r>
      <w:r w:rsidRPr="00583FE5">
        <w:rPr>
          <w:rFonts w:ascii="Times New Roman" w:hAnsi="Times New Roman" w:cs="Times New Roman"/>
          <w:sz w:val="24"/>
          <w:szCs w:val="24"/>
        </w:rPr>
        <w:t xml:space="preserve"> liver biochemistry</w:t>
      </w:r>
      <w:r w:rsidR="000A3DC2" w:rsidRPr="00583FE5">
        <w:rPr>
          <w:rFonts w:ascii="Times New Roman" w:hAnsi="Times New Roman" w:cs="Times New Roman"/>
          <w:sz w:val="24"/>
          <w:szCs w:val="24"/>
        </w:rPr>
        <w:t xml:space="preserve"> presented separately for age-matched cholestatic disease controls with serum and/or liver </w:t>
      </w:r>
      <w:r w:rsidR="00AA15A1" w:rsidRPr="00583FE5">
        <w:rPr>
          <w:rFonts w:ascii="Times New Roman" w:hAnsi="Times New Roman" w:cs="Times New Roman"/>
          <w:sz w:val="24"/>
          <w:szCs w:val="24"/>
        </w:rPr>
        <w:t>RNA specimens.</w:t>
      </w:r>
    </w:p>
    <w:tbl>
      <w:tblPr>
        <w:tblStyle w:val="TableGridLight"/>
        <w:tblW w:w="8217" w:type="dxa"/>
        <w:tblLook w:val="04A0" w:firstRow="1" w:lastRow="0" w:firstColumn="1" w:lastColumn="0" w:noHBand="0" w:noVBand="1"/>
      </w:tblPr>
      <w:tblGrid>
        <w:gridCol w:w="4248"/>
        <w:gridCol w:w="1843"/>
        <w:gridCol w:w="2126"/>
      </w:tblGrid>
      <w:tr w:rsidR="006675DC" w:rsidRPr="00583FE5" w14:paraId="435232D2" w14:textId="77777777" w:rsidTr="00D37328">
        <w:trPr>
          <w:trHeight w:val="288"/>
        </w:trPr>
        <w:tc>
          <w:tcPr>
            <w:tcW w:w="4248" w:type="dxa"/>
            <w:noWrap/>
            <w:hideMark/>
          </w:tcPr>
          <w:p w14:paraId="5C1675FC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843" w:type="dxa"/>
            <w:noWrap/>
            <w:hideMark/>
          </w:tcPr>
          <w:p w14:paraId="64B91970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Serum available</w:t>
            </w:r>
          </w:p>
        </w:tc>
        <w:tc>
          <w:tcPr>
            <w:tcW w:w="2126" w:type="dxa"/>
            <w:noWrap/>
            <w:hideMark/>
          </w:tcPr>
          <w:p w14:paraId="2C11D62C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Liver RNA available</w:t>
            </w:r>
          </w:p>
        </w:tc>
      </w:tr>
      <w:tr w:rsidR="006675DC" w:rsidRPr="00583FE5" w14:paraId="5CACE5B8" w14:textId="77777777" w:rsidTr="00D37328">
        <w:trPr>
          <w:trHeight w:val="288"/>
        </w:trPr>
        <w:tc>
          <w:tcPr>
            <w:tcW w:w="4248" w:type="dxa"/>
            <w:noWrap/>
            <w:hideMark/>
          </w:tcPr>
          <w:p w14:paraId="43747E27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Number</w:t>
            </w:r>
          </w:p>
        </w:tc>
        <w:tc>
          <w:tcPr>
            <w:tcW w:w="1843" w:type="dxa"/>
            <w:noWrap/>
            <w:hideMark/>
          </w:tcPr>
          <w:p w14:paraId="67186C2B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2EFA8AD5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13</w:t>
            </w:r>
          </w:p>
        </w:tc>
      </w:tr>
      <w:tr w:rsidR="006675DC" w:rsidRPr="00583FE5" w14:paraId="18F6A7E9" w14:textId="77777777" w:rsidTr="00D37328">
        <w:trPr>
          <w:trHeight w:val="288"/>
        </w:trPr>
        <w:tc>
          <w:tcPr>
            <w:tcW w:w="4248" w:type="dxa"/>
            <w:noWrap/>
          </w:tcPr>
          <w:p w14:paraId="6FF5A399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Age, d</w:t>
            </w:r>
          </w:p>
        </w:tc>
        <w:tc>
          <w:tcPr>
            <w:tcW w:w="1843" w:type="dxa"/>
            <w:noWrap/>
          </w:tcPr>
          <w:p w14:paraId="3D922A08" w14:textId="57A34C99" w:rsidR="006675DC" w:rsidRPr="00583FE5" w:rsidRDefault="006675D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(40</w:t>
            </w:r>
            <w:r w:rsidR="00B441F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58)</w:t>
            </w:r>
          </w:p>
        </w:tc>
        <w:tc>
          <w:tcPr>
            <w:tcW w:w="2126" w:type="dxa"/>
            <w:noWrap/>
          </w:tcPr>
          <w:p w14:paraId="2B633BB7" w14:textId="2EBE64EC" w:rsidR="006675DC" w:rsidRPr="00583FE5" w:rsidRDefault="006675D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(32</w:t>
            </w:r>
            <w:r w:rsidR="00B441F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63)</w:t>
            </w:r>
          </w:p>
        </w:tc>
      </w:tr>
      <w:tr w:rsidR="006675DC" w:rsidRPr="00583FE5" w14:paraId="257BBD98" w14:textId="77777777" w:rsidTr="00D37328">
        <w:trPr>
          <w:trHeight w:val="288"/>
        </w:trPr>
        <w:tc>
          <w:tcPr>
            <w:tcW w:w="4248" w:type="dxa"/>
            <w:noWrap/>
          </w:tcPr>
          <w:p w14:paraId="4994539C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Diagnosis</w:t>
            </w:r>
          </w:p>
        </w:tc>
        <w:tc>
          <w:tcPr>
            <w:tcW w:w="1843" w:type="dxa"/>
            <w:noWrap/>
          </w:tcPr>
          <w:p w14:paraId="5A5869D4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2126" w:type="dxa"/>
            <w:noWrap/>
          </w:tcPr>
          <w:p w14:paraId="0CE0C1E9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675DC" w:rsidRPr="00583FE5" w14:paraId="38BD4F2F" w14:textId="77777777" w:rsidTr="00D37328">
        <w:trPr>
          <w:trHeight w:val="288"/>
        </w:trPr>
        <w:tc>
          <w:tcPr>
            <w:tcW w:w="4248" w:type="dxa"/>
            <w:noWrap/>
            <w:hideMark/>
          </w:tcPr>
          <w:p w14:paraId="172541AB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Transient neonatal cholestasis</w:t>
            </w:r>
          </w:p>
        </w:tc>
        <w:tc>
          <w:tcPr>
            <w:tcW w:w="1843" w:type="dxa"/>
            <w:noWrap/>
            <w:hideMark/>
          </w:tcPr>
          <w:p w14:paraId="0B55019C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8 (47%)</w:t>
            </w:r>
          </w:p>
        </w:tc>
        <w:tc>
          <w:tcPr>
            <w:tcW w:w="2126" w:type="dxa"/>
            <w:noWrap/>
            <w:hideMark/>
          </w:tcPr>
          <w:p w14:paraId="572B71E5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3 (23%)</w:t>
            </w:r>
          </w:p>
        </w:tc>
      </w:tr>
      <w:tr w:rsidR="006675DC" w:rsidRPr="00583FE5" w14:paraId="597E3A3F" w14:textId="77777777" w:rsidTr="00D37328">
        <w:trPr>
          <w:trHeight w:val="288"/>
        </w:trPr>
        <w:tc>
          <w:tcPr>
            <w:tcW w:w="4248" w:type="dxa"/>
            <w:noWrap/>
            <w:hideMark/>
          </w:tcPr>
          <w:p w14:paraId="5193949E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Bile duct hypoplasia</w:t>
            </w:r>
          </w:p>
        </w:tc>
        <w:tc>
          <w:tcPr>
            <w:tcW w:w="1843" w:type="dxa"/>
            <w:noWrap/>
            <w:hideMark/>
          </w:tcPr>
          <w:p w14:paraId="25B9435F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2 (12%)</w:t>
            </w:r>
          </w:p>
        </w:tc>
        <w:tc>
          <w:tcPr>
            <w:tcW w:w="2126" w:type="dxa"/>
            <w:noWrap/>
            <w:hideMark/>
          </w:tcPr>
          <w:p w14:paraId="4F5A6269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4 (31%)</w:t>
            </w:r>
          </w:p>
        </w:tc>
      </w:tr>
      <w:tr w:rsidR="006675DC" w:rsidRPr="00583FE5" w14:paraId="1F3B20FD" w14:textId="77777777" w:rsidTr="00D37328">
        <w:trPr>
          <w:trHeight w:val="288"/>
        </w:trPr>
        <w:tc>
          <w:tcPr>
            <w:tcW w:w="4248" w:type="dxa"/>
            <w:noWrap/>
            <w:hideMark/>
          </w:tcPr>
          <w:p w14:paraId="5A8D7680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Alagille syndrome</w:t>
            </w:r>
          </w:p>
        </w:tc>
        <w:tc>
          <w:tcPr>
            <w:tcW w:w="1843" w:type="dxa"/>
            <w:noWrap/>
            <w:hideMark/>
          </w:tcPr>
          <w:p w14:paraId="0007F0C2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2 (12%)</w:t>
            </w:r>
          </w:p>
        </w:tc>
        <w:tc>
          <w:tcPr>
            <w:tcW w:w="2126" w:type="dxa"/>
            <w:noWrap/>
            <w:hideMark/>
          </w:tcPr>
          <w:p w14:paraId="4BABF74D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(8%)</w:t>
            </w:r>
          </w:p>
        </w:tc>
      </w:tr>
      <w:tr w:rsidR="006675DC" w:rsidRPr="00583FE5" w14:paraId="4377911D" w14:textId="77777777" w:rsidTr="00D37328">
        <w:trPr>
          <w:trHeight w:val="288"/>
        </w:trPr>
        <w:tc>
          <w:tcPr>
            <w:tcW w:w="4248" w:type="dxa"/>
            <w:noWrap/>
            <w:hideMark/>
          </w:tcPr>
          <w:p w14:paraId="3A6D4D1F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Cytomegalovirus infection</w:t>
            </w:r>
          </w:p>
        </w:tc>
        <w:tc>
          <w:tcPr>
            <w:tcW w:w="1843" w:type="dxa"/>
            <w:noWrap/>
            <w:hideMark/>
          </w:tcPr>
          <w:p w14:paraId="0E34757B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2 (12%)</w:t>
            </w:r>
          </w:p>
        </w:tc>
        <w:tc>
          <w:tcPr>
            <w:tcW w:w="2126" w:type="dxa"/>
            <w:noWrap/>
            <w:hideMark/>
          </w:tcPr>
          <w:p w14:paraId="0D8BB3A6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(8%)</w:t>
            </w:r>
          </w:p>
        </w:tc>
      </w:tr>
      <w:tr w:rsidR="006675DC" w:rsidRPr="00583FE5" w14:paraId="7A339D73" w14:textId="77777777" w:rsidTr="00D37328">
        <w:trPr>
          <w:trHeight w:val="288"/>
        </w:trPr>
        <w:tc>
          <w:tcPr>
            <w:tcW w:w="4248" w:type="dxa"/>
            <w:noWrap/>
            <w:hideMark/>
          </w:tcPr>
          <w:p w14:paraId="5D06ED02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Alpha-1 antitrypsin deficiency</w:t>
            </w:r>
          </w:p>
        </w:tc>
        <w:tc>
          <w:tcPr>
            <w:tcW w:w="1843" w:type="dxa"/>
            <w:noWrap/>
            <w:hideMark/>
          </w:tcPr>
          <w:p w14:paraId="6DBF6002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(6%)</w:t>
            </w:r>
          </w:p>
        </w:tc>
        <w:tc>
          <w:tcPr>
            <w:tcW w:w="2126" w:type="dxa"/>
            <w:noWrap/>
            <w:hideMark/>
          </w:tcPr>
          <w:p w14:paraId="61D31759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(8%)</w:t>
            </w:r>
          </w:p>
        </w:tc>
      </w:tr>
      <w:tr w:rsidR="006675DC" w:rsidRPr="00583FE5" w14:paraId="6AC1BB6F" w14:textId="77777777" w:rsidTr="00D37328">
        <w:trPr>
          <w:trHeight w:val="288"/>
        </w:trPr>
        <w:tc>
          <w:tcPr>
            <w:tcW w:w="4248" w:type="dxa"/>
            <w:noWrap/>
          </w:tcPr>
          <w:p w14:paraId="292C491A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Duodenal atresia </w:t>
            </w:r>
          </w:p>
        </w:tc>
        <w:tc>
          <w:tcPr>
            <w:tcW w:w="1843" w:type="dxa"/>
            <w:noWrap/>
          </w:tcPr>
          <w:p w14:paraId="22FD3BE5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(6%)</w:t>
            </w:r>
          </w:p>
        </w:tc>
        <w:tc>
          <w:tcPr>
            <w:tcW w:w="2126" w:type="dxa"/>
            <w:noWrap/>
          </w:tcPr>
          <w:p w14:paraId="67EF84AC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(0%)</w:t>
            </w:r>
          </w:p>
        </w:tc>
      </w:tr>
      <w:tr w:rsidR="006675DC" w:rsidRPr="00583FE5" w14:paraId="2AE2F214" w14:textId="77777777" w:rsidTr="00D37328">
        <w:trPr>
          <w:trHeight w:val="288"/>
        </w:trPr>
        <w:tc>
          <w:tcPr>
            <w:tcW w:w="4248" w:type="dxa"/>
            <w:noWrap/>
          </w:tcPr>
          <w:p w14:paraId="25408251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Progressive familial intrahepatic cholestasis type 2</w:t>
            </w:r>
          </w:p>
        </w:tc>
        <w:tc>
          <w:tcPr>
            <w:tcW w:w="1843" w:type="dxa"/>
            <w:noWrap/>
          </w:tcPr>
          <w:p w14:paraId="36D433F8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(6%)</w:t>
            </w:r>
          </w:p>
        </w:tc>
        <w:tc>
          <w:tcPr>
            <w:tcW w:w="2126" w:type="dxa"/>
            <w:noWrap/>
          </w:tcPr>
          <w:p w14:paraId="05DA8312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 (0%)</w:t>
            </w:r>
          </w:p>
        </w:tc>
      </w:tr>
      <w:tr w:rsidR="006675DC" w:rsidRPr="00583FE5" w14:paraId="3236A717" w14:textId="77777777" w:rsidTr="00D37328">
        <w:trPr>
          <w:trHeight w:val="288"/>
        </w:trPr>
        <w:tc>
          <w:tcPr>
            <w:tcW w:w="4248" w:type="dxa"/>
            <w:noWrap/>
          </w:tcPr>
          <w:p w14:paraId="5F6DA701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Choledochal malformation</w:t>
            </w:r>
          </w:p>
        </w:tc>
        <w:tc>
          <w:tcPr>
            <w:tcW w:w="1843" w:type="dxa"/>
            <w:noWrap/>
          </w:tcPr>
          <w:p w14:paraId="0CACC4FB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 (0%)</w:t>
            </w:r>
          </w:p>
        </w:tc>
        <w:tc>
          <w:tcPr>
            <w:tcW w:w="2126" w:type="dxa"/>
            <w:noWrap/>
          </w:tcPr>
          <w:p w14:paraId="5B0D8F13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(8%)</w:t>
            </w:r>
          </w:p>
        </w:tc>
      </w:tr>
      <w:tr w:rsidR="006675DC" w:rsidRPr="00583FE5" w14:paraId="79B31553" w14:textId="77777777" w:rsidTr="00D37328">
        <w:trPr>
          <w:trHeight w:val="288"/>
        </w:trPr>
        <w:tc>
          <w:tcPr>
            <w:tcW w:w="4248" w:type="dxa"/>
            <w:noWrap/>
          </w:tcPr>
          <w:p w14:paraId="75B4F95D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Haemophagocytic</w:t>
            </w:r>
            <w:proofErr w:type="spellEnd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lymphohistiocytosis</w:t>
            </w:r>
            <w:proofErr w:type="spellEnd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parenteral nutrition</w:t>
            </w:r>
          </w:p>
        </w:tc>
        <w:tc>
          <w:tcPr>
            <w:tcW w:w="1843" w:type="dxa"/>
            <w:noWrap/>
          </w:tcPr>
          <w:p w14:paraId="3ACF6716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 (0%)</w:t>
            </w:r>
          </w:p>
        </w:tc>
        <w:tc>
          <w:tcPr>
            <w:tcW w:w="2126" w:type="dxa"/>
            <w:noWrap/>
          </w:tcPr>
          <w:p w14:paraId="41B28C09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(8%)</w:t>
            </w:r>
          </w:p>
        </w:tc>
      </w:tr>
      <w:tr w:rsidR="006675DC" w:rsidRPr="00583FE5" w14:paraId="2C842613" w14:textId="77777777" w:rsidTr="00D37328">
        <w:trPr>
          <w:trHeight w:val="288"/>
        </w:trPr>
        <w:tc>
          <w:tcPr>
            <w:tcW w:w="4248" w:type="dxa"/>
            <w:noWrap/>
          </w:tcPr>
          <w:p w14:paraId="66460C1C" w14:textId="77777777" w:rsidR="006675DC" w:rsidRPr="00583FE5" w:rsidRDefault="006675DC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Undetermined cholestasis</w:t>
            </w:r>
          </w:p>
        </w:tc>
        <w:tc>
          <w:tcPr>
            <w:tcW w:w="1843" w:type="dxa"/>
            <w:noWrap/>
          </w:tcPr>
          <w:p w14:paraId="284B6ADC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 (0%)</w:t>
            </w:r>
          </w:p>
        </w:tc>
        <w:tc>
          <w:tcPr>
            <w:tcW w:w="2126" w:type="dxa"/>
            <w:noWrap/>
          </w:tcPr>
          <w:p w14:paraId="704F47D8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(8%)</w:t>
            </w:r>
          </w:p>
        </w:tc>
      </w:tr>
      <w:tr w:rsidR="006675DC" w:rsidRPr="00583FE5" w14:paraId="15A2769D" w14:textId="77777777" w:rsidTr="00D37328">
        <w:trPr>
          <w:trHeight w:val="288"/>
        </w:trPr>
        <w:tc>
          <w:tcPr>
            <w:tcW w:w="4248" w:type="dxa"/>
            <w:noWrap/>
          </w:tcPr>
          <w:p w14:paraId="64B58370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Liver biochemistry</w:t>
            </w:r>
          </w:p>
        </w:tc>
        <w:tc>
          <w:tcPr>
            <w:tcW w:w="1843" w:type="dxa"/>
            <w:noWrap/>
          </w:tcPr>
          <w:p w14:paraId="2280460B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2126" w:type="dxa"/>
            <w:noWrap/>
          </w:tcPr>
          <w:p w14:paraId="2E0BCC1E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081272" w:rsidRPr="00583FE5" w14:paraId="7AC2B038" w14:textId="77777777" w:rsidTr="00D37328">
        <w:trPr>
          <w:trHeight w:val="288"/>
        </w:trPr>
        <w:tc>
          <w:tcPr>
            <w:tcW w:w="4248" w:type="dxa"/>
            <w:noWrap/>
          </w:tcPr>
          <w:p w14:paraId="14AD251A" w14:textId="77777777" w:rsidR="00081272" w:rsidRPr="00583FE5" w:rsidRDefault="00081272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Bilirubin,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1843" w:type="dxa"/>
            <w:noWrap/>
          </w:tcPr>
          <w:p w14:paraId="51751589" w14:textId="565CFCCD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(83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165)</w:t>
            </w:r>
          </w:p>
        </w:tc>
        <w:tc>
          <w:tcPr>
            <w:tcW w:w="2126" w:type="dxa"/>
            <w:noWrap/>
          </w:tcPr>
          <w:p w14:paraId="13C8005D" w14:textId="519482E0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127 (92-165)</w:t>
            </w:r>
          </w:p>
        </w:tc>
      </w:tr>
      <w:tr w:rsidR="00081272" w:rsidRPr="00583FE5" w14:paraId="63C3821F" w14:textId="77777777" w:rsidTr="00D37328">
        <w:trPr>
          <w:trHeight w:val="288"/>
        </w:trPr>
        <w:tc>
          <w:tcPr>
            <w:tcW w:w="4248" w:type="dxa"/>
            <w:noWrap/>
          </w:tcPr>
          <w:p w14:paraId="19EF5CA4" w14:textId="77777777" w:rsidR="00081272" w:rsidRPr="00583FE5" w:rsidRDefault="00081272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lastRenderedPageBreak/>
              <w:t xml:space="preserve">Conjugated Bilirubin,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1843" w:type="dxa"/>
            <w:noWrap/>
          </w:tcPr>
          <w:p w14:paraId="0EC1C2A4" w14:textId="6EAEA64E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(44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128)</w:t>
            </w:r>
          </w:p>
        </w:tc>
        <w:tc>
          <w:tcPr>
            <w:tcW w:w="2126" w:type="dxa"/>
            <w:noWrap/>
          </w:tcPr>
          <w:p w14:paraId="3A54D6DC" w14:textId="10258C9C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94 (66-123)</w:t>
            </w:r>
          </w:p>
        </w:tc>
      </w:tr>
      <w:tr w:rsidR="00081272" w:rsidRPr="00583FE5" w14:paraId="2D5B04BE" w14:textId="77777777" w:rsidTr="00D37328">
        <w:trPr>
          <w:trHeight w:val="288"/>
        </w:trPr>
        <w:tc>
          <w:tcPr>
            <w:tcW w:w="4248" w:type="dxa"/>
            <w:noWrap/>
          </w:tcPr>
          <w:p w14:paraId="5E63D50C" w14:textId="77777777" w:rsidR="00081272" w:rsidRPr="00583FE5" w:rsidRDefault="00081272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ALT, U/l</w:t>
            </w:r>
          </w:p>
        </w:tc>
        <w:tc>
          <w:tcPr>
            <w:tcW w:w="1843" w:type="dxa"/>
            <w:noWrap/>
          </w:tcPr>
          <w:p w14:paraId="36F11BE1" w14:textId="4B97CBF5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(38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91)</w:t>
            </w:r>
          </w:p>
        </w:tc>
        <w:tc>
          <w:tcPr>
            <w:tcW w:w="2126" w:type="dxa"/>
            <w:noWrap/>
          </w:tcPr>
          <w:p w14:paraId="5AC75D81" w14:textId="2DEDFD1B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64 (50-137)</w:t>
            </w:r>
          </w:p>
        </w:tc>
      </w:tr>
      <w:tr w:rsidR="00081272" w:rsidRPr="00583FE5" w14:paraId="731456DA" w14:textId="77777777" w:rsidTr="00D37328">
        <w:trPr>
          <w:trHeight w:val="288"/>
        </w:trPr>
        <w:tc>
          <w:tcPr>
            <w:tcW w:w="4248" w:type="dxa"/>
            <w:noWrap/>
          </w:tcPr>
          <w:p w14:paraId="17D1AF90" w14:textId="77777777" w:rsidR="00081272" w:rsidRPr="00583FE5" w:rsidRDefault="00081272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AST, U/l</w:t>
            </w:r>
          </w:p>
        </w:tc>
        <w:tc>
          <w:tcPr>
            <w:tcW w:w="1843" w:type="dxa"/>
            <w:noWrap/>
          </w:tcPr>
          <w:p w14:paraId="6248E62D" w14:textId="35C1987B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(86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164)</w:t>
            </w:r>
          </w:p>
        </w:tc>
        <w:tc>
          <w:tcPr>
            <w:tcW w:w="2126" w:type="dxa"/>
            <w:noWrap/>
          </w:tcPr>
          <w:p w14:paraId="21B33566" w14:textId="77777777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154 (126-164)</w:t>
            </w:r>
          </w:p>
        </w:tc>
      </w:tr>
      <w:tr w:rsidR="00081272" w:rsidRPr="00583FE5" w14:paraId="2DFB7D52" w14:textId="77777777" w:rsidTr="00D37328">
        <w:trPr>
          <w:trHeight w:val="288"/>
        </w:trPr>
        <w:tc>
          <w:tcPr>
            <w:tcW w:w="4248" w:type="dxa"/>
            <w:noWrap/>
          </w:tcPr>
          <w:p w14:paraId="6E54F05D" w14:textId="77777777" w:rsidR="00081272" w:rsidRPr="00583FE5" w:rsidRDefault="00081272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GGT, U/l</w:t>
            </w:r>
          </w:p>
        </w:tc>
        <w:tc>
          <w:tcPr>
            <w:tcW w:w="1843" w:type="dxa"/>
            <w:noWrap/>
          </w:tcPr>
          <w:p w14:paraId="4B9613B3" w14:textId="22BFD95D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(68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195)</w:t>
            </w:r>
          </w:p>
        </w:tc>
        <w:tc>
          <w:tcPr>
            <w:tcW w:w="2126" w:type="dxa"/>
            <w:noWrap/>
          </w:tcPr>
          <w:p w14:paraId="577E93DE" w14:textId="77777777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192 (161-224)</w:t>
            </w:r>
          </w:p>
        </w:tc>
      </w:tr>
      <w:tr w:rsidR="00081272" w:rsidRPr="00583FE5" w14:paraId="3105E188" w14:textId="77777777" w:rsidTr="00D37328">
        <w:trPr>
          <w:trHeight w:val="288"/>
        </w:trPr>
        <w:tc>
          <w:tcPr>
            <w:tcW w:w="4248" w:type="dxa"/>
            <w:noWrap/>
          </w:tcPr>
          <w:p w14:paraId="24038C2E" w14:textId="77777777" w:rsidR="00081272" w:rsidRPr="00583FE5" w:rsidRDefault="00081272" w:rsidP="001A7083">
            <w:pPr>
              <w:spacing w:line="480" w:lineRule="auto"/>
              <w:ind w:firstLine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1843" w:type="dxa"/>
            <w:noWrap/>
          </w:tcPr>
          <w:p w14:paraId="37258EF0" w14:textId="3F476069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(0.27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0.81)</w:t>
            </w:r>
          </w:p>
        </w:tc>
        <w:tc>
          <w:tcPr>
            <w:tcW w:w="2126" w:type="dxa"/>
            <w:noWrap/>
          </w:tcPr>
          <w:p w14:paraId="36E958F1" w14:textId="77777777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0.75 (0.54-1.31)</w:t>
            </w:r>
          </w:p>
        </w:tc>
      </w:tr>
    </w:tbl>
    <w:p w14:paraId="13F3D09F" w14:textId="302D1012" w:rsidR="003878CD" w:rsidRPr="00583FE5" w:rsidRDefault="006675DC" w:rsidP="001A7083">
      <w:pPr>
        <w:spacing w:line="480" w:lineRule="auto"/>
        <w:ind w:right="1416"/>
        <w:rPr>
          <w:rFonts w:ascii="Times New Roman" w:hAnsi="Times New Roman" w:cs="Times New Roman"/>
          <w:b/>
          <w:bCs/>
          <w:sz w:val="24"/>
          <w:szCs w:val="24"/>
        </w:rPr>
      </w:pPr>
      <w:r w:rsidRPr="00583FE5">
        <w:rPr>
          <w:rFonts w:ascii="Times New Roman" w:hAnsi="Times New Roman" w:cs="Times New Roman"/>
          <w:sz w:val="24"/>
          <w:szCs w:val="24"/>
        </w:rPr>
        <w:t>Data are presented as median with interquartile range or frequencies. ALT, alanine transaminase; AST, aspartate transaminase; GGT, gamma-</w:t>
      </w:r>
      <w:proofErr w:type="spellStart"/>
      <w:r w:rsidRPr="00583FE5">
        <w:rPr>
          <w:rFonts w:ascii="Times New Roman" w:hAnsi="Times New Roman" w:cs="Times New Roman"/>
          <w:sz w:val="24"/>
          <w:szCs w:val="24"/>
        </w:rPr>
        <w:t>gluta</w:t>
      </w:r>
      <w:r w:rsidR="005D713C" w:rsidRPr="00583FE5">
        <w:rPr>
          <w:rFonts w:ascii="Times New Roman" w:hAnsi="Times New Roman" w:cs="Times New Roman"/>
          <w:sz w:val="24"/>
          <w:szCs w:val="24"/>
        </w:rPr>
        <w:t>m</w:t>
      </w:r>
      <w:r w:rsidRPr="00583FE5">
        <w:rPr>
          <w:rFonts w:ascii="Times New Roman" w:hAnsi="Times New Roman" w:cs="Times New Roman"/>
          <w:sz w:val="24"/>
          <w:szCs w:val="24"/>
        </w:rPr>
        <w:t>yltransferase</w:t>
      </w:r>
      <w:proofErr w:type="spellEnd"/>
      <w:r w:rsidRPr="00583FE5">
        <w:rPr>
          <w:rFonts w:ascii="Times New Roman" w:hAnsi="Times New Roman" w:cs="Times New Roman"/>
          <w:sz w:val="24"/>
          <w:szCs w:val="24"/>
        </w:rPr>
        <w:t>; APRI, a</w:t>
      </w:r>
      <w:r w:rsidR="005D713C" w:rsidRPr="00583FE5">
        <w:rPr>
          <w:rFonts w:ascii="Times New Roman" w:hAnsi="Times New Roman" w:cs="Times New Roman"/>
          <w:sz w:val="24"/>
          <w:szCs w:val="24"/>
        </w:rPr>
        <w:t>spartate</w:t>
      </w:r>
      <w:r w:rsidRPr="00583FE5">
        <w:rPr>
          <w:rFonts w:ascii="Times New Roman" w:hAnsi="Times New Roman" w:cs="Times New Roman"/>
          <w:sz w:val="24"/>
          <w:szCs w:val="24"/>
        </w:rPr>
        <w:t xml:space="preserve"> transaminase to platelet ratio index.</w:t>
      </w:r>
      <w:r w:rsidR="003878CD" w:rsidRPr="00583FE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0A343A" w14:textId="77777777" w:rsidR="004B3277" w:rsidRPr="00583FE5" w:rsidRDefault="004B3277" w:rsidP="004B3277">
      <w:pPr>
        <w:spacing w:line="48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FE5">
        <w:rPr>
          <w:rFonts w:ascii="Times New Roman" w:hAnsi="Times New Roman" w:cs="Times New Roman"/>
          <w:sz w:val="24"/>
          <w:szCs w:val="24"/>
        </w:rPr>
        <w:t>List of antibodies and staining colours used in the study.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263"/>
        <w:gridCol w:w="1830"/>
        <w:gridCol w:w="1843"/>
        <w:gridCol w:w="1816"/>
        <w:gridCol w:w="1876"/>
      </w:tblGrid>
      <w:tr w:rsidR="004B3277" w:rsidRPr="00583FE5" w14:paraId="043DEB68" w14:textId="77777777" w:rsidTr="0002614D">
        <w:trPr>
          <w:trHeight w:val="288"/>
        </w:trPr>
        <w:tc>
          <w:tcPr>
            <w:tcW w:w="2263" w:type="dxa"/>
            <w:noWrap/>
            <w:hideMark/>
          </w:tcPr>
          <w:p w14:paraId="6D825EB9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Target</w:t>
            </w:r>
          </w:p>
        </w:tc>
        <w:tc>
          <w:tcPr>
            <w:tcW w:w="1830" w:type="dxa"/>
          </w:tcPr>
          <w:p w14:paraId="3D78CE40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Catalog number</w:t>
            </w:r>
          </w:p>
        </w:tc>
        <w:tc>
          <w:tcPr>
            <w:tcW w:w="1843" w:type="dxa"/>
            <w:noWrap/>
            <w:hideMark/>
          </w:tcPr>
          <w:p w14:paraId="5E8D4E95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Manufacturer</w:t>
            </w:r>
          </w:p>
        </w:tc>
        <w:tc>
          <w:tcPr>
            <w:tcW w:w="1816" w:type="dxa"/>
            <w:noWrap/>
            <w:hideMark/>
          </w:tcPr>
          <w:p w14:paraId="6E0C8218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Positive control</w:t>
            </w:r>
          </w:p>
        </w:tc>
        <w:tc>
          <w:tcPr>
            <w:tcW w:w="1876" w:type="dxa"/>
            <w:noWrap/>
            <w:hideMark/>
          </w:tcPr>
          <w:p w14:paraId="70E7B5FF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Negative control</w:t>
            </w:r>
          </w:p>
        </w:tc>
      </w:tr>
      <w:tr w:rsidR="004B3277" w:rsidRPr="00583FE5" w14:paraId="7EE9553F" w14:textId="77777777" w:rsidTr="0002614D">
        <w:trPr>
          <w:trHeight w:val="288"/>
        </w:trPr>
        <w:tc>
          <w:tcPr>
            <w:tcW w:w="2263" w:type="dxa"/>
            <w:noWrap/>
          </w:tcPr>
          <w:p w14:paraId="567C9A52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FGF19 (IHC)</w:t>
            </w:r>
          </w:p>
        </w:tc>
        <w:tc>
          <w:tcPr>
            <w:tcW w:w="1830" w:type="dxa"/>
          </w:tcPr>
          <w:p w14:paraId="053915B5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MAB969-100</w:t>
            </w:r>
          </w:p>
        </w:tc>
        <w:tc>
          <w:tcPr>
            <w:tcW w:w="1843" w:type="dxa"/>
            <w:noWrap/>
          </w:tcPr>
          <w:p w14:paraId="7A027307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R&amp;D Systems</w:t>
            </w:r>
          </w:p>
        </w:tc>
        <w:tc>
          <w:tcPr>
            <w:tcW w:w="1816" w:type="dxa"/>
            <w:noWrap/>
          </w:tcPr>
          <w:p w14:paraId="4B03CF2D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</w:p>
        </w:tc>
        <w:tc>
          <w:tcPr>
            <w:tcW w:w="1876" w:type="dxa"/>
            <w:noWrap/>
          </w:tcPr>
          <w:p w14:paraId="6C2FC018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Normal liver,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ovary</w:t>
            </w:r>
          </w:p>
        </w:tc>
      </w:tr>
      <w:tr w:rsidR="004B3277" w:rsidRPr="00583FE5" w14:paraId="73ED0CE8" w14:textId="77777777" w:rsidTr="0002614D">
        <w:trPr>
          <w:trHeight w:val="288"/>
        </w:trPr>
        <w:tc>
          <w:tcPr>
            <w:tcW w:w="2263" w:type="dxa"/>
            <w:noWrap/>
          </w:tcPr>
          <w:p w14:paraId="58784DE4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CK7 (IHC)</w:t>
            </w:r>
          </w:p>
        </w:tc>
        <w:tc>
          <w:tcPr>
            <w:tcW w:w="1830" w:type="dxa"/>
          </w:tcPr>
          <w:p w14:paraId="1A511559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790-4462</w:t>
            </w:r>
          </w:p>
        </w:tc>
        <w:tc>
          <w:tcPr>
            <w:tcW w:w="1843" w:type="dxa"/>
            <w:noWrap/>
          </w:tcPr>
          <w:p w14:paraId="33ACB1ED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Ventana</w:t>
            </w:r>
          </w:p>
        </w:tc>
        <w:tc>
          <w:tcPr>
            <w:tcW w:w="1816" w:type="dxa"/>
            <w:noWrap/>
          </w:tcPr>
          <w:p w14:paraId="0332AC97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Normal liver (cholangiocytes)</w:t>
            </w:r>
          </w:p>
        </w:tc>
        <w:tc>
          <w:tcPr>
            <w:tcW w:w="1876" w:type="dxa"/>
            <w:noWrap/>
          </w:tcPr>
          <w:p w14:paraId="4A13C804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Normal liver (parenchyme)</w:t>
            </w:r>
          </w:p>
        </w:tc>
      </w:tr>
      <w:tr w:rsidR="004B3277" w:rsidRPr="00583FE5" w14:paraId="1FD19890" w14:textId="77777777" w:rsidTr="0002614D">
        <w:trPr>
          <w:trHeight w:val="288"/>
        </w:trPr>
        <w:tc>
          <w:tcPr>
            <w:tcW w:w="2263" w:type="dxa"/>
            <w:noWrap/>
          </w:tcPr>
          <w:p w14:paraId="68150DC0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Sirius red (staining)</w:t>
            </w:r>
          </w:p>
        </w:tc>
        <w:tc>
          <w:tcPr>
            <w:tcW w:w="1830" w:type="dxa"/>
          </w:tcPr>
          <w:p w14:paraId="0ABD6721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ab150681</w:t>
            </w:r>
          </w:p>
        </w:tc>
        <w:tc>
          <w:tcPr>
            <w:tcW w:w="1843" w:type="dxa"/>
            <w:noWrap/>
          </w:tcPr>
          <w:p w14:paraId="1F2A1171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Abcam</w:t>
            </w:r>
          </w:p>
        </w:tc>
        <w:tc>
          <w:tcPr>
            <w:tcW w:w="1816" w:type="dxa"/>
            <w:noWrap/>
          </w:tcPr>
          <w:p w14:paraId="2BEBD539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Normal liver (capsule), portal plates</w:t>
            </w:r>
          </w:p>
        </w:tc>
        <w:tc>
          <w:tcPr>
            <w:tcW w:w="1876" w:type="dxa"/>
            <w:noWrap/>
          </w:tcPr>
          <w:p w14:paraId="115FB5E4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Normal liver (parenchyme)</w:t>
            </w:r>
          </w:p>
        </w:tc>
      </w:tr>
      <w:tr w:rsidR="004B3277" w:rsidRPr="00583FE5" w14:paraId="3EF568F6" w14:textId="77777777" w:rsidTr="0002614D">
        <w:trPr>
          <w:trHeight w:val="288"/>
        </w:trPr>
        <w:tc>
          <w:tcPr>
            <w:tcW w:w="2263" w:type="dxa"/>
            <w:noWrap/>
            <w:hideMark/>
          </w:tcPr>
          <w:p w14:paraId="46D690A6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FGF19 (ISH)</w:t>
            </w:r>
          </w:p>
        </w:tc>
        <w:tc>
          <w:tcPr>
            <w:tcW w:w="1830" w:type="dxa"/>
          </w:tcPr>
          <w:p w14:paraId="3077FCF5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Hs-553981-C2</w:t>
            </w:r>
          </w:p>
        </w:tc>
        <w:tc>
          <w:tcPr>
            <w:tcW w:w="1843" w:type="dxa"/>
            <w:noWrap/>
            <w:hideMark/>
          </w:tcPr>
          <w:p w14:paraId="063015E1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Bio-Techne Ltd</w:t>
            </w:r>
          </w:p>
        </w:tc>
        <w:tc>
          <w:tcPr>
            <w:tcW w:w="1816" w:type="dxa"/>
            <w:noWrap/>
            <w:hideMark/>
          </w:tcPr>
          <w:p w14:paraId="7DC4082A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</w:p>
        </w:tc>
        <w:tc>
          <w:tcPr>
            <w:tcW w:w="1876" w:type="dxa"/>
            <w:noWrap/>
            <w:hideMark/>
          </w:tcPr>
          <w:p w14:paraId="647A32A2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Normal liver, ovary</w:t>
            </w:r>
          </w:p>
        </w:tc>
      </w:tr>
      <w:tr w:rsidR="004B3277" w:rsidRPr="00583FE5" w14:paraId="352B6215" w14:textId="77777777" w:rsidTr="0002614D">
        <w:trPr>
          <w:trHeight w:val="288"/>
        </w:trPr>
        <w:tc>
          <w:tcPr>
            <w:tcW w:w="2263" w:type="dxa"/>
            <w:noWrap/>
          </w:tcPr>
          <w:p w14:paraId="67C885B9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HPX (ISH)</w:t>
            </w:r>
          </w:p>
        </w:tc>
        <w:tc>
          <w:tcPr>
            <w:tcW w:w="1830" w:type="dxa"/>
          </w:tcPr>
          <w:p w14:paraId="12BEFAAD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Hs-1083421-C1</w:t>
            </w:r>
          </w:p>
        </w:tc>
        <w:tc>
          <w:tcPr>
            <w:tcW w:w="1843" w:type="dxa"/>
            <w:noWrap/>
          </w:tcPr>
          <w:p w14:paraId="43A38AFA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Bio-Techne Ltd</w:t>
            </w:r>
          </w:p>
        </w:tc>
        <w:tc>
          <w:tcPr>
            <w:tcW w:w="1816" w:type="dxa"/>
            <w:noWrap/>
          </w:tcPr>
          <w:p w14:paraId="74176146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Normal liver (hepatocytes)</w:t>
            </w:r>
          </w:p>
        </w:tc>
        <w:tc>
          <w:tcPr>
            <w:tcW w:w="1876" w:type="dxa"/>
            <w:noWrap/>
          </w:tcPr>
          <w:p w14:paraId="3FFBAD12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Normal liver (</w:t>
            </w:r>
            <w:proofErr w:type="spellStart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cholangiocytes</w:t>
            </w:r>
            <w:proofErr w:type="spellEnd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), ovary</w:t>
            </w:r>
          </w:p>
        </w:tc>
      </w:tr>
      <w:tr w:rsidR="004B3277" w:rsidRPr="00583FE5" w14:paraId="6F42B7EB" w14:textId="77777777" w:rsidTr="0002614D">
        <w:trPr>
          <w:trHeight w:val="288"/>
        </w:trPr>
        <w:tc>
          <w:tcPr>
            <w:tcW w:w="2263" w:type="dxa"/>
            <w:noWrap/>
          </w:tcPr>
          <w:p w14:paraId="5C5E9199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KRT19 (ISH)</w:t>
            </w:r>
          </w:p>
        </w:tc>
        <w:tc>
          <w:tcPr>
            <w:tcW w:w="1830" w:type="dxa"/>
          </w:tcPr>
          <w:p w14:paraId="33048FD9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Hs- 426221-C3</w:t>
            </w:r>
          </w:p>
        </w:tc>
        <w:tc>
          <w:tcPr>
            <w:tcW w:w="1843" w:type="dxa"/>
            <w:noWrap/>
          </w:tcPr>
          <w:p w14:paraId="510F3592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Bio-Techne Ltd</w:t>
            </w:r>
          </w:p>
        </w:tc>
        <w:tc>
          <w:tcPr>
            <w:tcW w:w="1816" w:type="dxa"/>
            <w:noWrap/>
          </w:tcPr>
          <w:p w14:paraId="4F8715A7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Normal liver (cholangiocytes)</w:t>
            </w:r>
          </w:p>
        </w:tc>
        <w:tc>
          <w:tcPr>
            <w:tcW w:w="1876" w:type="dxa"/>
            <w:noWrap/>
          </w:tcPr>
          <w:p w14:paraId="0C568BED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Normal liver (</w:t>
            </w:r>
            <w:proofErr w:type="spellStart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parenchyme</w:t>
            </w:r>
            <w:proofErr w:type="spellEnd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), ovary</w:t>
            </w:r>
          </w:p>
        </w:tc>
      </w:tr>
      <w:tr w:rsidR="004B3277" w:rsidRPr="00583FE5" w14:paraId="66CF1F95" w14:textId="77777777" w:rsidTr="0002614D">
        <w:trPr>
          <w:trHeight w:val="288"/>
        </w:trPr>
        <w:tc>
          <w:tcPr>
            <w:tcW w:w="2263" w:type="dxa"/>
            <w:noWrap/>
          </w:tcPr>
          <w:p w14:paraId="6D96B4BE" w14:textId="77777777" w:rsidR="004B3277" w:rsidRPr="00583FE5" w:rsidRDefault="004B3277" w:rsidP="000261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ACTA2 (ISH)</w:t>
            </w:r>
          </w:p>
        </w:tc>
        <w:tc>
          <w:tcPr>
            <w:tcW w:w="1830" w:type="dxa"/>
          </w:tcPr>
          <w:p w14:paraId="49A0DF53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Hs-1083431-C3</w:t>
            </w:r>
          </w:p>
        </w:tc>
        <w:tc>
          <w:tcPr>
            <w:tcW w:w="1843" w:type="dxa"/>
            <w:noWrap/>
          </w:tcPr>
          <w:p w14:paraId="3BA44832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3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Bio-Techne Ltd</w:t>
            </w:r>
          </w:p>
        </w:tc>
        <w:tc>
          <w:tcPr>
            <w:tcW w:w="1816" w:type="dxa"/>
            <w:noWrap/>
          </w:tcPr>
          <w:p w14:paraId="28728639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</w:p>
        </w:tc>
        <w:tc>
          <w:tcPr>
            <w:tcW w:w="1876" w:type="dxa"/>
            <w:noWrap/>
          </w:tcPr>
          <w:p w14:paraId="4C940D4D" w14:textId="77777777" w:rsidR="004B3277" w:rsidRPr="00583FE5" w:rsidRDefault="004B3277" w:rsidP="000261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Normal liver (</w:t>
            </w:r>
            <w:proofErr w:type="spellStart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cholangiocytes</w:t>
            </w:r>
            <w:proofErr w:type="spellEnd"/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), ovary</w:t>
            </w:r>
          </w:p>
        </w:tc>
      </w:tr>
    </w:tbl>
    <w:p w14:paraId="32FB8473" w14:textId="77777777" w:rsidR="004B3277" w:rsidRPr="00583FE5" w:rsidRDefault="004B3277" w:rsidP="004B3277">
      <w:pPr>
        <w:spacing w:line="48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sz w:val="24"/>
          <w:szCs w:val="24"/>
        </w:rPr>
        <w:t xml:space="preserve">ACTA2,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actin alpha 2; CK7, cytokeratin 7; FGF19, fibroblast growth factor 19; </w:t>
      </w:r>
      <w:r w:rsidRPr="00583FE5">
        <w:rPr>
          <w:rFonts w:ascii="Times New Roman" w:hAnsi="Times New Roman" w:cs="Times New Roman"/>
          <w:sz w:val="24"/>
          <w:szCs w:val="24"/>
        </w:rPr>
        <w:t>HPX, hemopexin; IHC, immunohistochemistry; ISH, in situ hybridization; KRT19, keratin 19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F8B5D6" w14:textId="28B64BF2" w:rsidR="006675DC" w:rsidRPr="00583FE5" w:rsidRDefault="006675DC" w:rsidP="001A7083">
      <w:pPr>
        <w:spacing w:line="48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</w:t>
      </w:r>
      <w:r w:rsidR="00577CA3" w:rsidRPr="00583FE5">
        <w:rPr>
          <w:rFonts w:ascii="Times New Roman" w:hAnsi="Times New Roman" w:cs="Times New Roman"/>
          <w:b/>
          <w:bCs/>
          <w:sz w:val="24"/>
          <w:szCs w:val="24"/>
        </w:rPr>
        <w:t>lementary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4B32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FE5">
        <w:rPr>
          <w:rFonts w:ascii="Times New Roman" w:hAnsi="Times New Roman" w:cs="Times New Roman"/>
          <w:sz w:val="24"/>
          <w:szCs w:val="24"/>
        </w:rPr>
        <w:t>Clinical characteristics presented separately for BA patients with serum and/or liver RNA specimens.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2835"/>
        <w:gridCol w:w="2835"/>
      </w:tblGrid>
      <w:tr w:rsidR="006675DC" w:rsidRPr="00583FE5" w14:paraId="569174FB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7F64A1B7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835" w:type="dxa"/>
            <w:noWrap/>
            <w:hideMark/>
          </w:tcPr>
          <w:p w14:paraId="529CD48D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Serum available</w:t>
            </w:r>
          </w:p>
        </w:tc>
        <w:tc>
          <w:tcPr>
            <w:tcW w:w="2835" w:type="dxa"/>
          </w:tcPr>
          <w:p w14:paraId="659314CA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Liver RNA available</w:t>
            </w:r>
          </w:p>
        </w:tc>
      </w:tr>
      <w:tr w:rsidR="006675DC" w:rsidRPr="00583FE5" w14:paraId="4A79A1AF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254194BB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Number of patients</w:t>
            </w:r>
          </w:p>
        </w:tc>
        <w:tc>
          <w:tcPr>
            <w:tcW w:w="2835" w:type="dxa"/>
            <w:noWrap/>
            <w:hideMark/>
          </w:tcPr>
          <w:p w14:paraId="5FF391B7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74</w:t>
            </w:r>
          </w:p>
        </w:tc>
        <w:tc>
          <w:tcPr>
            <w:tcW w:w="2835" w:type="dxa"/>
          </w:tcPr>
          <w:p w14:paraId="1E29F3C5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69</w:t>
            </w:r>
          </w:p>
        </w:tc>
      </w:tr>
      <w:tr w:rsidR="00AD72AD" w:rsidRPr="00583FE5" w14:paraId="63931AED" w14:textId="77777777" w:rsidTr="00D37328">
        <w:trPr>
          <w:trHeight w:val="288"/>
        </w:trPr>
        <w:tc>
          <w:tcPr>
            <w:tcW w:w="3823" w:type="dxa"/>
            <w:noWrap/>
          </w:tcPr>
          <w:p w14:paraId="13747F09" w14:textId="31AC2854" w:rsidR="00AD72AD" w:rsidRPr="00583FE5" w:rsidRDefault="00AD72AD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Male, n (%)</w:t>
            </w:r>
          </w:p>
        </w:tc>
        <w:tc>
          <w:tcPr>
            <w:tcW w:w="2835" w:type="dxa"/>
            <w:noWrap/>
          </w:tcPr>
          <w:p w14:paraId="773A36A3" w14:textId="7AE1728A" w:rsidR="00AD72AD" w:rsidRPr="00583FE5" w:rsidRDefault="0013778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32 (43%)</w:t>
            </w:r>
          </w:p>
        </w:tc>
        <w:tc>
          <w:tcPr>
            <w:tcW w:w="2835" w:type="dxa"/>
          </w:tcPr>
          <w:p w14:paraId="0F4EF82A" w14:textId="7F7EFF13" w:rsidR="00AD72AD" w:rsidRPr="00583FE5" w:rsidRDefault="00307A30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28 (41%)</w:t>
            </w:r>
          </w:p>
        </w:tc>
      </w:tr>
      <w:tr w:rsidR="006675DC" w:rsidRPr="00583FE5" w14:paraId="7F04015B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373C9D9A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Place of care, n (%)</w:t>
            </w:r>
          </w:p>
        </w:tc>
        <w:tc>
          <w:tcPr>
            <w:tcW w:w="2835" w:type="dxa"/>
            <w:noWrap/>
            <w:hideMark/>
          </w:tcPr>
          <w:p w14:paraId="2B76ED6B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2835" w:type="dxa"/>
          </w:tcPr>
          <w:p w14:paraId="0C7EFEDC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675DC" w:rsidRPr="00583FE5" w14:paraId="4A860875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57B4EC2E" w14:textId="77777777" w:rsidR="006675DC" w:rsidRPr="00583FE5" w:rsidRDefault="006675D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Helsinki, Finland</w:t>
            </w:r>
          </w:p>
        </w:tc>
        <w:tc>
          <w:tcPr>
            <w:tcW w:w="2835" w:type="dxa"/>
            <w:noWrap/>
            <w:hideMark/>
          </w:tcPr>
          <w:p w14:paraId="52D57EBF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15 (20%)</w:t>
            </w:r>
          </w:p>
        </w:tc>
        <w:tc>
          <w:tcPr>
            <w:tcW w:w="2835" w:type="dxa"/>
          </w:tcPr>
          <w:p w14:paraId="636C3DA7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17 (25%)</w:t>
            </w:r>
          </w:p>
        </w:tc>
      </w:tr>
      <w:tr w:rsidR="006675DC" w:rsidRPr="00583FE5" w14:paraId="2A0998AB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12FF53B6" w14:textId="77777777" w:rsidR="006675DC" w:rsidRPr="00583FE5" w:rsidRDefault="006675D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London, UK</w:t>
            </w:r>
          </w:p>
        </w:tc>
        <w:tc>
          <w:tcPr>
            <w:tcW w:w="2835" w:type="dxa"/>
            <w:noWrap/>
            <w:hideMark/>
          </w:tcPr>
          <w:p w14:paraId="683B3379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59 (80%)</w:t>
            </w:r>
          </w:p>
        </w:tc>
        <w:tc>
          <w:tcPr>
            <w:tcW w:w="2835" w:type="dxa"/>
          </w:tcPr>
          <w:p w14:paraId="4232984D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52 (75%)</w:t>
            </w:r>
          </w:p>
        </w:tc>
      </w:tr>
      <w:tr w:rsidR="006675DC" w:rsidRPr="00583FE5" w14:paraId="1B79DE04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4D3291AA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Type 3 BA, n (%)</w:t>
            </w:r>
          </w:p>
        </w:tc>
        <w:tc>
          <w:tcPr>
            <w:tcW w:w="2835" w:type="dxa"/>
            <w:noWrap/>
            <w:hideMark/>
          </w:tcPr>
          <w:p w14:paraId="280B13C8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74 (100%)</w:t>
            </w:r>
          </w:p>
        </w:tc>
        <w:tc>
          <w:tcPr>
            <w:tcW w:w="2835" w:type="dxa"/>
          </w:tcPr>
          <w:p w14:paraId="4C029E25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68 (99%)</w:t>
            </w:r>
          </w:p>
        </w:tc>
      </w:tr>
      <w:tr w:rsidR="006675DC" w:rsidRPr="00583FE5" w14:paraId="559F8EBA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2D46FA80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Cystic disease, n (%)</w:t>
            </w:r>
          </w:p>
        </w:tc>
        <w:tc>
          <w:tcPr>
            <w:tcW w:w="2835" w:type="dxa"/>
            <w:noWrap/>
            <w:hideMark/>
          </w:tcPr>
          <w:p w14:paraId="1704B913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11 (15%)</w:t>
            </w:r>
          </w:p>
        </w:tc>
        <w:tc>
          <w:tcPr>
            <w:tcW w:w="2835" w:type="dxa"/>
          </w:tcPr>
          <w:p w14:paraId="2B3CC6B3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12 (17%)</w:t>
            </w:r>
          </w:p>
        </w:tc>
      </w:tr>
      <w:tr w:rsidR="006675DC" w:rsidRPr="00583FE5" w14:paraId="27E8C650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65335D45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Splenic malformation, n (%)</w:t>
            </w:r>
          </w:p>
        </w:tc>
        <w:tc>
          <w:tcPr>
            <w:tcW w:w="2835" w:type="dxa"/>
            <w:noWrap/>
            <w:hideMark/>
          </w:tcPr>
          <w:p w14:paraId="7E8E08E3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8 (11%)</w:t>
            </w:r>
          </w:p>
        </w:tc>
        <w:tc>
          <w:tcPr>
            <w:tcW w:w="2835" w:type="dxa"/>
          </w:tcPr>
          <w:p w14:paraId="29F7F117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11 (16%)</w:t>
            </w:r>
          </w:p>
        </w:tc>
      </w:tr>
      <w:tr w:rsidR="006675DC" w:rsidRPr="00583FE5" w14:paraId="4DBCBD88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280CC56E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Associated anomalies, n (%)</w:t>
            </w:r>
          </w:p>
        </w:tc>
        <w:tc>
          <w:tcPr>
            <w:tcW w:w="2835" w:type="dxa"/>
            <w:noWrap/>
            <w:hideMark/>
          </w:tcPr>
          <w:p w14:paraId="0CFEC2B0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15 (20%)</w:t>
            </w:r>
          </w:p>
        </w:tc>
        <w:tc>
          <w:tcPr>
            <w:tcW w:w="2835" w:type="dxa"/>
          </w:tcPr>
          <w:p w14:paraId="247F967B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15 (22%)</w:t>
            </w:r>
          </w:p>
        </w:tc>
      </w:tr>
      <w:tr w:rsidR="006675DC" w:rsidRPr="00583FE5" w14:paraId="13AD57D2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5CBFE3DF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KPE, d</w:t>
            </w:r>
          </w:p>
        </w:tc>
        <w:tc>
          <w:tcPr>
            <w:tcW w:w="2835" w:type="dxa"/>
            <w:noWrap/>
            <w:hideMark/>
          </w:tcPr>
          <w:p w14:paraId="4895B734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56 (41-75)</w:t>
            </w:r>
          </w:p>
        </w:tc>
        <w:tc>
          <w:tcPr>
            <w:tcW w:w="2835" w:type="dxa"/>
          </w:tcPr>
          <w:p w14:paraId="32A233E3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58 (44 - 78)</w:t>
            </w:r>
          </w:p>
        </w:tc>
      </w:tr>
      <w:tr w:rsidR="006675DC" w:rsidRPr="00583FE5" w14:paraId="6C51D6D4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7C0ECA48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Clearance of jaundice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sym w:font="Symbol" w:char="F02A"/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2835" w:type="dxa"/>
            <w:noWrap/>
            <w:hideMark/>
          </w:tcPr>
          <w:p w14:paraId="5E7338CC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43 (58%)</w:t>
            </w:r>
          </w:p>
        </w:tc>
        <w:tc>
          <w:tcPr>
            <w:tcW w:w="2835" w:type="dxa"/>
          </w:tcPr>
          <w:p w14:paraId="0556C1B4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37 (54%)</w:t>
            </w:r>
          </w:p>
        </w:tc>
      </w:tr>
      <w:tr w:rsidR="006675DC" w:rsidRPr="00583FE5" w14:paraId="5B0A63AA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1AAB64F3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Outcome, n (%)</w:t>
            </w:r>
          </w:p>
        </w:tc>
        <w:tc>
          <w:tcPr>
            <w:tcW w:w="2835" w:type="dxa"/>
            <w:noWrap/>
            <w:hideMark/>
          </w:tcPr>
          <w:p w14:paraId="3C4C8157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2835" w:type="dxa"/>
          </w:tcPr>
          <w:p w14:paraId="5E0AAFE2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675DC" w:rsidRPr="00583FE5" w14:paraId="11D81439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389E668C" w14:textId="77777777" w:rsidR="006675DC" w:rsidRPr="00583FE5" w:rsidRDefault="006675D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Native liver</w:t>
            </w:r>
          </w:p>
        </w:tc>
        <w:tc>
          <w:tcPr>
            <w:tcW w:w="2835" w:type="dxa"/>
            <w:noWrap/>
            <w:hideMark/>
          </w:tcPr>
          <w:p w14:paraId="2FD0D104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30 (41%)</w:t>
            </w:r>
          </w:p>
        </w:tc>
        <w:tc>
          <w:tcPr>
            <w:tcW w:w="2835" w:type="dxa"/>
          </w:tcPr>
          <w:p w14:paraId="78EF5D38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24 (35%)</w:t>
            </w:r>
          </w:p>
        </w:tc>
      </w:tr>
      <w:tr w:rsidR="006675DC" w:rsidRPr="00583FE5" w14:paraId="0694C77B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298C9152" w14:textId="77777777" w:rsidR="006675DC" w:rsidRPr="00583FE5" w:rsidRDefault="006675D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Died with native liver</w:t>
            </w:r>
          </w:p>
        </w:tc>
        <w:tc>
          <w:tcPr>
            <w:tcW w:w="2835" w:type="dxa"/>
            <w:noWrap/>
            <w:hideMark/>
          </w:tcPr>
          <w:p w14:paraId="10AFBCA0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3 (4%)</w:t>
            </w:r>
          </w:p>
        </w:tc>
        <w:tc>
          <w:tcPr>
            <w:tcW w:w="2835" w:type="dxa"/>
          </w:tcPr>
          <w:p w14:paraId="40E404B1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4 (6%)</w:t>
            </w:r>
          </w:p>
        </w:tc>
      </w:tr>
      <w:tr w:rsidR="006675DC" w:rsidRPr="00583FE5" w14:paraId="7781CEBA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14B5709C" w14:textId="77777777" w:rsidR="006675DC" w:rsidRPr="00583FE5" w:rsidRDefault="006675D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LT</w:t>
            </w:r>
          </w:p>
        </w:tc>
        <w:tc>
          <w:tcPr>
            <w:tcW w:w="2835" w:type="dxa"/>
            <w:noWrap/>
            <w:hideMark/>
          </w:tcPr>
          <w:p w14:paraId="0FADC99F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41 (55%)</w:t>
            </w:r>
          </w:p>
        </w:tc>
        <w:tc>
          <w:tcPr>
            <w:tcW w:w="2835" w:type="dxa"/>
          </w:tcPr>
          <w:p w14:paraId="191C8E0A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40 (58%)</w:t>
            </w:r>
          </w:p>
        </w:tc>
      </w:tr>
      <w:tr w:rsidR="006675DC" w:rsidRPr="00583FE5" w14:paraId="1A194520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49E49F25" w14:textId="77777777" w:rsidR="006675DC" w:rsidRPr="00583FE5" w:rsidRDefault="006675D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Died after LT</w:t>
            </w:r>
          </w:p>
        </w:tc>
        <w:tc>
          <w:tcPr>
            <w:tcW w:w="2835" w:type="dxa"/>
            <w:noWrap/>
            <w:hideMark/>
          </w:tcPr>
          <w:p w14:paraId="62BA25BB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 (0%)</w:t>
            </w:r>
          </w:p>
        </w:tc>
        <w:tc>
          <w:tcPr>
            <w:tcW w:w="2835" w:type="dxa"/>
          </w:tcPr>
          <w:p w14:paraId="1A46683A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 (1%)</w:t>
            </w:r>
          </w:p>
        </w:tc>
      </w:tr>
      <w:tr w:rsidR="006675DC" w:rsidRPr="00583FE5" w14:paraId="0561F207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567D9E1C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Native liver survival, y</w:t>
            </w:r>
          </w:p>
        </w:tc>
        <w:tc>
          <w:tcPr>
            <w:tcW w:w="2835" w:type="dxa"/>
            <w:noWrap/>
            <w:hideMark/>
          </w:tcPr>
          <w:p w14:paraId="2C278EEF" w14:textId="3DB66D18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2.4 (0.9</w:t>
            </w:r>
            <w:r w:rsidR="00AC535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="00AC535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7.5)</w:t>
            </w:r>
          </w:p>
        </w:tc>
        <w:tc>
          <w:tcPr>
            <w:tcW w:w="2835" w:type="dxa"/>
          </w:tcPr>
          <w:p w14:paraId="04A33CD9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2.2 (0.9 - 6.5)</w:t>
            </w:r>
          </w:p>
        </w:tc>
      </w:tr>
      <w:tr w:rsidR="006675DC" w:rsidRPr="00583FE5" w14:paraId="3D285629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198EBBEE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LT, y</w:t>
            </w:r>
          </w:p>
        </w:tc>
        <w:tc>
          <w:tcPr>
            <w:tcW w:w="2835" w:type="dxa"/>
            <w:noWrap/>
            <w:hideMark/>
          </w:tcPr>
          <w:p w14:paraId="13CC5495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1.1 (0.70 - 2.3)</w:t>
            </w:r>
          </w:p>
        </w:tc>
        <w:tc>
          <w:tcPr>
            <w:tcW w:w="2835" w:type="dxa"/>
          </w:tcPr>
          <w:p w14:paraId="20D597AC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1.2 (0.8 - 2.3)</w:t>
            </w:r>
          </w:p>
        </w:tc>
      </w:tr>
      <w:tr w:rsidR="006675DC" w:rsidRPr="00583FE5" w14:paraId="5C3E1B70" w14:textId="77777777" w:rsidTr="00D37328">
        <w:trPr>
          <w:trHeight w:val="288"/>
        </w:trPr>
        <w:tc>
          <w:tcPr>
            <w:tcW w:w="3823" w:type="dxa"/>
            <w:noWrap/>
          </w:tcPr>
          <w:p w14:paraId="4F7E30F8" w14:textId="77777777" w:rsidR="006675DC" w:rsidRPr="00583FE5" w:rsidRDefault="006675D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Liver biochemistry at KPE</w:t>
            </w:r>
          </w:p>
        </w:tc>
        <w:tc>
          <w:tcPr>
            <w:tcW w:w="2835" w:type="dxa"/>
            <w:noWrap/>
          </w:tcPr>
          <w:p w14:paraId="37297E46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DDE17A6" w14:textId="77777777" w:rsidR="006675DC" w:rsidRPr="00583FE5" w:rsidRDefault="006675DC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1272" w:rsidRPr="00583FE5" w14:paraId="456C1FE7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55AF7340" w14:textId="77777777" w:rsidR="00081272" w:rsidRPr="00583FE5" w:rsidRDefault="00081272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Bilirubin,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2835" w:type="dxa"/>
            <w:noWrap/>
            <w:hideMark/>
          </w:tcPr>
          <w:p w14:paraId="46E536BD" w14:textId="0DE4A032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145 (124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- 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181)</w:t>
            </w:r>
          </w:p>
        </w:tc>
        <w:tc>
          <w:tcPr>
            <w:tcW w:w="2835" w:type="dxa"/>
          </w:tcPr>
          <w:p w14:paraId="6271DE5A" w14:textId="21AE5A65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155 (133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-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184)</w:t>
            </w:r>
          </w:p>
        </w:tc>
      </w:tr>
      <w:tr w:rsidR="00081272" w:rsidRPr="00583FE5" w14:paraId="2645AFB7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6010A866" w14:textId="77777777" w:rsidR="00081272" w:rsidRPr="00583FE5" w:rsidRDefault="00081272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Conjugated Bilirubin,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2835" w:type="dxa"/>
            <w:noWrap/>
            <w:hideMark/>
          </w:tcPr>
          <w:p w14:paraId="7A1935D4" w14:textId="051D7E56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114 (96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-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137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</w:tcPr>
          <w:p w14:paraId="343311FC" w14:textId="06084282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11</w:t>
            </w:r>
            <w:r w:rsidR="00196A96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8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(</w:t>
            </w:r>
            <w:r w:rsidR="00196A96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100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- 1</w:t>
            </w:r>
            <w:r w:rsidR="00196A96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44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)</w:t>
            </w:r>
          </w:p>
        </w:tc>
      </w:tr>
      <w:tr w:rsidR="00081272" w:rsidRPr="00583FE5" w14:paraId="01F0DF2A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5A72B7AD" w14:textId="77777777" w:rsidR="00081272" w:rsidRPr="00583FE5" w:rsidRDefault="00081272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lastRenderedPageBreak/>
              <w:t>ALT, U/l</w:t>
            </w:r>
          </w:p>
        </w:tc>
        <w:tc>
          <w:tcPr>
            <w:tcW w:w="2835" w:type="dxa"/>
            <w:noWrap/>
            <w:hideMark/>
          </w:tcPr>
          <w:p w14:paraId="7DFD4A86" w14:textId="0E753308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124 (65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-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213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</w:tcPr>
          <w:p w14:paraId="7920FF59" w14:textId="3C58135E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12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6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(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87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- 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271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)</w:t>
            </w:r>
          </w:p>
        </w:tc>
      </w:tr>
      <w:tr w:rsidR="00081272" w:rsidRPr="00583FE5" w14:paraId="61ACCD28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10ADFC0B" w14:textId="77777777" w:rsidR="00081272" w:rsidRPr="00583FE5" w:rsidRDefault="00081272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AST, U/l</w:t>
            </w:r>
          </w:p>
        </w:tc>
        <w:tc>
          <w:tcPr>
            <w:tcW w:w="2835" w:type="dxa"/>
            <w:noWrap/>
            <w:hideMark/>
          </w:tcPr>
          <w:p w14:paraId="7DAAE4CC" w14:textId="6FD2396C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199 (147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-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277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</w:tcPr>
          <w:p w14:paraId="20185CCC" w14:textId="14745931" w:rsidR="00081272" w:rsidRPr="00583FE5" w:rsidRDefault="000E06A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205</w:t>
            </w:r>
            <w:r w:rsidR="00081272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(16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</w:t>
            </w:r>
            <w:r w:rsidR="00081272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- 2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85</w:t>
            </w:r>
            <w:r w:rsidR="00081272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)</w:t>
            </w:r>
          </w:p>
        </w:tc>
      </w:tr>
      <w:tr w:rsidR="00081272" w:rsidRPr="00583FE5" w14:paraId="6EBA3BF2" w14:textId="77777777" w:rsidTr="00D37328">
        <w:trPr>
          <w:trHeight w:val="288"/>
        </w:trPr>
        <w:tc>
          <w:tcPr>
            <w:tcW w:w="3823" w:type="dxa"/>
            <w:noWrap/>
            <w:hideMark/>
          </w:tcPr>
          <w:p w14:paraId="3D476993" w14:textId="77777777" w:rsidR="00081272" w:rsidRPr="00583FE5" w:rsidRDefault="00081272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GGT, U/l</w:t>
            </w:r>
          </w:p>
        </w:tc>
        <w:tc>
          <w:tcPr>
            <w:tcW w:w="2835" w:type="dxa"/>
            <w:noWrap/>
            <w:hideMark/>
          </w:tcPr>
          <w:p w14:paraId="77A9F169" w14:textId="7CA7DCBA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585 (251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-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875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</w:tcPr>
          <w:p w14:paraId="4D9F2E26" w14:textId="02317120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4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91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(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214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- 8</w:t>
            </w:r>
            <w:r w:rsidR="000E06A5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58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)</w:t>
            </w:r>
          </w:p>
        </w:tc>
      </w:tr>
      <w:tr w:rsidR="00081272" w:rsidRPr="00583FE5" w14:paraId="5ABD0D03" w14:textId="77777777" w:rsidTr="00D37328">
        <w:trPr>
          <w:trHeight w:val="288"/>
        </w:trPr>
        <w:tc>
          <w:tcPr>
            <w:tcW w:w="3823" w:type="dxa"/>
            <w:noWrap/>
          </w:tcPr>
          <w:p w14:paraId="799AB270" w14:textId="77777777" w:rsidR="00081272" w:rsidRPr="00583FE5" w:rsidRDefault="00081272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2835" w:type="dxa"/>
            <w:noWrap/>
          </w:tcPr>
          <w:p w14:paraId="3EBC78E2" w14:textId="78641E8F" w:rsidR="00081272" w:rsidRPr="00583FE5" w:rsidRDefault="00081272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0.88 (0.56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-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1.28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</w:tcPr>
          <w:p w14:paraId="5F765C3A" w14:textId="6A818CCA" w:rsidR="00081272" w:rsidRPr="00583FE5" w:rsidRDefault="000E06A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0.94</w:t>
            </w:r>
            <w:r w:rsidR="0008127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(0.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59</w:t>
            </w:r>
            <w:r w:rsidR="0008127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- 1.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45</w:t>
            </w:r>
            <w:r w:rsidR="0008127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</w:tbl>
    <w:p w14:paraId="3945BDAE" w14:textId="2A477614" w:rsidR="00EB3DD6" w:rsidRPr="00583FE5" w:rsidRDefault="006675DC" w:rsidP="001A70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sz w:val="24"/>
          <w:szCs w:val="24"/>
        </w:rPr>
        <w:t>Data are presented as median with interquartile range or frequencies. BA, biliary atresia; KPE, Kasai portoenterostomy; LT, liver transplantation; ALT, alanine transaminase; AST, aspartate transaminase; GGT, gamma-</w:t>
      </w:r>
      <w:proofErr w:type="spellStart"/>
      <w:r w:rsidRPr="00583FE5">
        <w:rPr>
          <w:rFonts w:ascii="Times New Roman" w:hAnsi="Times New Roman" w:cs="Times New Roman"/>
          <w:sz w:val="24"/>
          <w:szCs w:val="24"/>
        </w:rPr>
        <w:t>gluta</w:t>
      </w:r>
      <w:r w:rsidR="005D713C" w:rsidRPr="00583FE5">
        <w:rPr>
          <w:rFonts w:ascii="Times New Roman" w:hAnsi="Times New Roman" w:cs="Times New Roman"/>
          <w:sz w:val="24"/>
          <w:szCs w:val="24"/>
        </w:rPr>
        <w:t>m</w:t>
      </w:r>
      <w:r w:rsidRPr="00583FE5">
        <w:rPr>
          <w:rFonts w:ascii="Times New Roman" w:hAnsi="Times New Roman" w:cs="Times New Roman"/>
          <w:sz w:val="24"/>
          <w:szCs w:val="24"/>
        </w:rPr>
        <w:t>yltransferase</w:t>
      </w:r>
      <w:proofErr w:type="spellEnd"/>
      <w:r w:rsidRPr="00583FE5">
        <w:rPr>
          <w:rFonts w:ascii="Times New Roman" w:hAnsi="Times New Roman" w:cs="Times New Roman"/>
          <w:sz w:val="24"/>
          <w:szCs w:val="24"/>
        </w:rPr>
        <w:t>; APRI, a</w:t>
      </w:r>
      <w:r w:rsidR="005D713C" w:rsidRPr="00583FE5">
        <w:rPr>
          <w:rFonts w:ascii="Times New Roman" w:hAnsi="Times New Roman" w:cs="Times New Roman"/>
          <w:sz w:val="24"/>
          <w:szCs w:val="24"/>
        </w:rPr>
        <w:t>spartate</w:t>
      </w:r>
      <w:r w:rsidRPr="00583FE5">
        <w:rPr>
          <w:rFonts w:ascii="Times New Roman" w:hAnsi="Times New Roman" w:cs="Times New Roman"/>
          <w:sz w:val="24"/>
          <w:szCs w:val="24"/>
        </w:rPr>
        <w:t xml:space="preserve"> transaminase to platelet ratio index. </w:t>
      </w:r>
      <w:r w:rsidRPr="00583FE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Decrease of serum bilirubin concentration &lt; 20 </w:t>
      </w:r>
      <w:r w:rsidRPr="00583FE5">
        <w:rPr>
          <w:rFonts w:ascii="Times New Roman" w:hAnsi="Times New Roman" w:cs="Times New Roman"/>
          <w:sz w:val="24"/>
          <w:szCs w:val="24"/>
        </w:rPr>
        <w:t>µmol/l after KPE.</w:t>
      </w:r>
      <w:r w:rsidR="004C3958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4C3958" w:rsidRPr="00583FE5">
        <w:rPr>
          <w:rFonts w:ascii="Times New Roman" w:hAnsi="Times New Roman" w:cs="Times New Roman"/>
          <w:sz w:val="24"/>
          <w:szCs w:val="24"/>
        </w:rPr>
        <w:br w:type="page"/>
      </w:r>
    </w:p>
    <w:p w14:paraId="45999370" w14:textId="3AC1D644" w:rsidR="00EB3DD6" w:rsidRPr="00583FE5" w:rsidRDefault="00EB3DD6" w:rsidP="001A7083">
      <w:pPr>
        <w:rPr>
          <w:rFonts w:ascii="Times New Roman" w:hAnsi="Times New Roman" w:cs="Times New Roman"/>
          <w:sz w:val="24"/>
          <w:szCs w:val="24"/>
          <w:lang w:val="en-US"/>
        </w:rPr>
        <w:sectPr w:rsidR="00EB3DD6" w:rsidRPr="00583FE5" w:rsidSect="001A7083">
          <w:headerReference w:type="default" r:id="rId10"/>
          <w:pgSz w:w="11906" w:h="16838"/>
          <w:pgMar w:top="1417" w:right="1134" w:bottom="1417" w:left="1134" w:header="708" w:footer="708" w:gutter="0"/>
          <w:lnNumType w:countBy="1" w:restart="continuous"/>
          <w:cols w:space="708"/>
          <w:docGrid w:linePitch="360"/>
        </w:sectPr>
      </w:pPr>
    </w:p>
    <w:p w14:paraId="732E175B" w14:textId="088AA9C6" w:rsidR="00F01338" w:rsidRPr="00583FE5" w:rsidRDefault="00F01338" w:rsidP="001A7083">
      <w:pPr>
        <w:spacing w:line="480" w:lineRule="auto"/>
        <w:ind w:right="127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</w:t>
      </w:r>
      <w:r w:rsidR="00577CA3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lementary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D65E5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4B327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5563C9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6790" w:rsidRPr="00583FE5">
        <w:rPr>
          <w:rFonts w:ascii="Times New Roman" w:hAnsi="Times New Roman" w:cs="Times New Roman"/>
          <w:sz w:val="24"/>
          <w:szCs w:val="24"/>
          <w:lang w:val="en-US"/>
        </w:rPr>
        <w:t>Biochemical and clinical predictors</w:t>
      </w:r>
      <w:r w:rsidR="007E337B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790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for native liver survival assessed with </w:t>
      </w:r>
      <w:r w:rsidR="00566790" w:rsidRPr="003D1E88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r w:rsidR="005563C9" w:rsidRPr="003D1E88">
        <w:rPr>
          <w:rFonts w:ascii="Times New Roman" w:hAnsi="Times New Roman" w:cs="Times New Roman"/>
          <w:sz w:val="24"/>
          <w:szCs w:val="24"/>
          <w:u w:val="single"/>
          <w:lang w:val="en-US"/>
        </w:rPr>
        <w:t>nivaria</w:t>
      </w:r>
      <w:r w:rsidR="003D1E88" w:rsidRPr="003D1E88">
        <w:rPr>
          <w:rFonts w:ascii="Times New Roman" w:hAnsi="Times New Roman" w:cs="Times New Roman"/>
          <w:sz w:val="24"/>
          <w:szCs w:val="24"/>
          <w:u w:val="single"/>
          <w:lang w:val="en-US"/>
        </w:rPr>
        <w:t>ble</w:t>
      </w:r>
      <w:r w:rsidR="005563C9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Cox proportional hazards regression model</w:t>
      </w:r>
      <w:r w:rsidR="00566790" w:rsidRPr="00583F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114"/>
        <w:gridCol w:w="1843"/>
        <w:gridCol w:w="3118"/>
        <w:gridCol w:w="1553"/>
      </w:tblGrid>
      <w:tr w:rsidR="00E8634B" w:rsidRPr="00583FE5" w14:paraId="59AF6480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75562A91" w14:textId="77777777" w:rsidR="00E8634B" w:rsidRPr="00583FE5" w:rsidRDefault="00E8634B" w:rsidP="001A708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noWrap/>
            <w:hideMark/>
          </w:tcPr>
          <w:p w14:paraId="05ABF7C9" w14:textId="61E45E7C" w:rsidR="00E8634B" w:rsidRPr="00583FE5" w:rsidRDefault="00E8634B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Coefficient</w:t>
            </w:r>
          </w:p>
        </w:tc>
        <w:tc>
          <w:tcPr>
            <w:tcW w:w="3118" w:type="dxa"/>
            <w:noWrap/>
            <w:hideMark/>
          </w:tcPr>
          <w:p w14:paraId="314D9E48" w14:textId="77777777" w:rsidR="00E8634B" w:rsidRPr="00583FE5" w:rsidRDefault="00E8634B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HR (95% CI)</w:t>
            </w:r>
          </w:p>
        </w:tc>
        <w:tc>
          <w:tcPr>
            <w:tcW w:w="1553" w:type="dxa"/>
            <w:noWrap/>
            <w:hideMark/>
          </w:tcPr>
          <w:p w14:paraId="09BDF5D8" w14:textId="751D413F" w:rsidR="00E8634B" w:rsidRPr="00583FE5" w:rsidRDefault="00E8634B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p-value</w:t>
            </w:r>
          </w:p>
        </w:tc>
      </w:tr>
      <w:tr w:rsidR="00E8634B" w:rsidRPr="00583FE5" w14:paraId="2807BE2E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38AF5F0A" w14:textId="59806F76" w:rsidR="00E8634B" w:rsidRPr="00583FE5" w:rsidRDefault="00E8634B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FGF19</w:t>
            </w:r>
          </w:p>
        </w:tc>
        <w:tc>
          <w:tcPr>
            <w:tcW w:w="1843" w:type="dxa"/>
            <w:noWrap/>
            <w:hideMark/>
          </w:tcPr>
          <w:p w14:paraId="3ADDC29F" w14:textId="1015CF64" w:rsidR="00E8634B" w:rsidRPr="00583FE5" w:rsidRDefault="00E8634B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0.35</w:t>
            </w:r>
            <w:r w:rsidR="0079399A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</w:t>
            </w:r>
          </w:p>
        </w:tc>
        <w:tc>
          <w:tcPr>
            <w:tcW w:w="3118" w:type="dxa"/>
            <w:noWrap/>
            <w:hideMark/>
          </w:tcPr>
          <w:p w14:paraId="68802C3F" w14:textId="2BFCC58D" w:rsidR="00E8634B" w:rsidRPr="00583FE5" w:rsidRDefault="00E8634B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1.42 (1.1</w:t>
            </w:r>
            <w:r w:rsidR="00D37328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4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- 1.7</w:t>
            </w:r>
            <w:r w:rsidR="00D37328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8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)</w:t>
            </w:r>
          </w:p>
        </w:tc>
        <w:tc>
          <w:tcPr>
            <w:tcW w:w="1553" w:type="dxa"/>
            <w:noWrap/>
            <w:hideMark/>
          </w:tcPr>
          <w:p w14:paraId="182E489A" w14:textId="2694E4B2" w:rsidR="00E8634B" w:rsidRPr="00583FE5" w:rsidRDefault="00E8634B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0.002</w:t>
            </w:r>
          </w:p>
        </w:tc>
      </w:tr>
      <w:tr w:rsidR="006035EE" w:rsidRPr="00583FE5" w14:paraId="46714DD0" w14:textId="77777777" w:rsidTr="00473138">
        <w:trPr>
          <w:trHeight w:val="288"/>
        </w:trPr>
        <w:tc>
          <w:tcPr>
            <w:tcW w:w="3114" w:type="dxa"/>
            <w:noWrap/>
          </w:tcPr>
          <w:p w14:paraId="39DB75F0" w14:textId="0AF30DDB" w:rsidR="006035EE" w:rsidRPr="00583FE5" w:rsidRDefault="006035EE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Conjugated Bilirubin,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1843" w:type="dxa"/>
            <w:noWrap/>
          </w:tcPr>
          <w:p w14:paraId="33485207" w14:textId="29674155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0.002</w:t>
            </w:r>
          </w:p>
        </w:tc>
        <w:tc>
          <w:tcPr>
            <w:tcW w:w="3118" w:type="dxa"/>
            <w:noWrap/>
          </w:tcPr>
          <w:p w14:paraId="787FA836" w14:textId="79422B3F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1.00 (1.00 - 1.00)</w:t>
            </w:r>
          </w:p>
        </w:tc>
        <w:tc>
          <w:tcPr>
            <w:tcW w:w="1553" w:type="dxa"/>
            <w:noWrap/>
          </w:tcPr>
          <w:p w14:paraId="54651F5E" w14:textId="6E2F18AB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</w:t>
            </w:r>
            <w:r w:rsidR="00172050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</w:t>
            </w:r>
          </w:p>
        </w:tc>
      </w:tr>
      <w:tr w:rsidR="006035EE" w:rsidRPr="00583FE5" w14:paraId="541CEB6D" w14:textId="77777777" w:rsidTr="00473138">
        <w:trPr>
          <w:trHeight w:val="288"/>
        </w:trPr>
        <w:tc>
          <w:tcPr>
            <w:tcW w:w="3114" w:type="dxa"/>
            <w:noWrap/>
          </w:tcPr>
          <w:p w14:paraId="156ACE34" w14:textId="1F83D2BE" w:rsidR="006035EE" w:rsidRPr="00583FE5" w:rsidRDefault="006035EE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GGT, U/l</w:t>
            </w:r>
          </w:p>
        </w:tc>
        <w:tc>
          <w:tcPr>
            <w:tcW w:w="1843" w:type="dxa"/>
            <w:noWrap/>
          </w:tcPr>
          <w:p w14:paraId="3D7569CC" w14:textId="1F388A5C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0.000</w:t>
            </w:r>
          </w:p>
        </w:tc>
        <w:tc>
          <w:tcPr>
            <w:tcW w:w="3118" w:type="dxa"/>
            <w:noWrap/>
          </w:tcPr>
          <w:p w14:paraId="5C6886D5" w14:textId="7DE0E6B6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1.00 (1.00 </w:t>
            </w:r>
            <w:r w:rsidR="00B441F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-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1.00)</w:t>
            </w:r>
          </w:p>
        </w:tc>
        <w:tc>
          <w:tcPr>
            <w:tcW w:w="1553" w:type="dxa"/>
            <w:noWrap/>
          </w:tcPr>
          <w:p w14:paraId="31097D69" w14:textId="1909B467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0.9</w:t>
            </w:r>
          </w:p>
        </w:tc>
      </w:tr>
      <w:tr w:rsidR="006035EE" w:rsidRPr="00583FE5" w14:paraId="2C8EA059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4C17C24D" w14:textId="77777777" w:rsidR="006035EE" w:rsidRPr="00583FE5" w:rsidRDefault="006035EE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1843" w:type="dxa"/>
            <w:noWrap/>
            <w:hideMark/>
          </w:tcPr>
          <w:p w14:paraId="4685EAC6" w14:textId="2CA05584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</w:t>
            </w:r>
            <w:r w:rsidR="00AA2813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265</w:t>
            </w:r>
          </w:p>
        </w:tc>
        <w:tc>
          <w:tcPr>
            <w:tcW w:w="3118" w:type="dxa"/>
            <w:noWrap/>
            <w:hideMark/>
          </w:tcPr>
          <w:p w14:paraId="1A8C8FDD" w14:textId="171087EA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1.3</w:t>
            </w:r>
            <w:r w:rsidR="00AA2813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(1.</w:t>
            </w:r>
            <w:r w:rsidR="00AA2813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09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- 1.</w:t>
            </w:r>
            <w:r w:rsidR="00AA2813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55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)</w:t>
            </w:r>
          </w:p>
        </w:tc>
        <w:tc>
          <w:tcPr>
            <w:tcW w:w="1553" w:type="dxa"/>
            <w:noWrap/>
            <w:hideMark/>
          </w:tcPr>
          <w:p w14:paraId="1D77D446" w14:textId="1C65DC14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0.00</w:t>
            </w:r>
            <w:r w:rsidR="00AA2813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3</w:t>
            </w:r>
          </w:p>
        </w:tc>
      </w:tr>
      <w:tr w:rsidR="006035EE" w:rsidRPr="00583FE5" w14:paraId="08AF4B68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2F5C44FC" w14:textId="61DDEBA6" w:rsidR="006035EE" w:rsidRPr="00583FE5" w:rsidRDefault="006035EE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Total bile acids,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1843" w:type="dxa"/>
            <w:noWrap/>
            <w:hideMark/>
          </w:tcPr>
          <w:p w14:paraId="01CF410E" w14:textId="057C63A6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0.002</w:t>
            </w:r>
          </w:p>
        </w:tc>
        <w:tc>
          <w:tcPr>
            <w:tcW w:w="3118" w:type="dxa"/>
            <w:noWrap/>
            <w:hideMark/>
          </w:tcPr>
          <w:p w14:paraId="06FF70D5" w14:textId="2E04FFB9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1.00 (1.00 - 1.01)</w:t>
            </w:r>
          </w:p>
        </w:tc>
        <w:tc>
          <w:tcPr>
            <w:tcW w:w="1553" w:type="dxa"/>
            <w:noWrap/>
            <w:hideMark/>
          </w:tcPr>
          <w:p w14:paraId="10985E72" w14:textId="7ABE4698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0.6</w:t>
            </w:r>
          </w:p>
        </w:tc>
      </w:tr>
      <w:tr w:rsidR="006035EE" w:rsidRPr="00583FE5" w14:paraId="18FAFD5B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47EC9345" w14:textId="48C556D3" w:rsidR="006035EE" w:rsidRPr="00583FE5" w:rsidRDefault="006035EE" w:rsidP="001A70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Primary bile acids,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1843" w:type="dxa"/>
            <w:noWrap/>
            <w:hideMark/>
          </w:tcPr>
          <w:p w14:paraId="59DAAAA3" w14:textId="6EC5820D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-0.001</w:t>
            </w:r>
          </w:p>
        </w:tc>
        <w:tc>
          <w:tcPr>
            <w:tcW w:w="3118" w:type="dxa"/>
            <w:noWrap/>
            <w:hideMark/>
          </w:tcPr>
          <w:p w14:paraId="34D1109F" w14:textId="4AC6C938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1.00 (0.99 - 1.01)</w:t>
            </w:r>
          </w:p>
        </w:tc>
        <w:tc>
          <w:tcPr>
            <w:tcW w:w="1553" w:type="dxa"/>
            <w:noWrap/>
            <w:hideMark/>
          </w:tcPr>
          <w:p w14:paraId="537782B2" w14:textId="59464727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0.7</w:t>
            </w:r>
          </w:p>
        </w:tc>
      </w:tr>
      <w:tr w:rsidR="006035EE" w:rsidRPr="00583FE5" w14:paraId="0AAE0CBC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6FD64D65" w14:textId="036DEE3D" w:rsidR="006035EE" w:rsidRPr="00583FE5" w:rsidRDefault="006035EE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</w:t>
            </w:r>
            <w:r w:rsidR="004C3ABA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1843" w:type="dxa"/>
            <w:noWrap/>
            <w:hideMark/>
          </w:tcPr>
          <w:p w14:paraId="0B640485" w14:textId="44D686B9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-0.005</w:t>
            </w:r>
          </w:p>
        </w:tc>
        <w:tc>
          <w:tcPr>
            <w:tcW w:w="3118" w:type="dxa"/>
            <w:noWrap/>
            <w:hideMark/>
          </w:tcPr>
          <w:p w14:paraId="170E1A4A" w14:textId="61B02694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1.00 (0.98 - 1.01)</w:t>
            </w:r>
          </w:p>
        </w:tc>
        <w:tc>
          <w:tcPr>
            <w:tcW w:w="1553" w:type="dxa"/>
            <w:noWrap/>
            <w:hideMark/>
          </w:tcPr>
          <w:p w14:paraId="131356A9" w14:textId="2D8E685D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0.6</w:t>
            </w:r>
          </w:p>
        </w:tc>
      </w:tr>
      <w:tr w:rsidR="006035EE" w:rsidRPr="00583FE5" w14:paraId="2F6C6D53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522B4091" w14:textId="6EB03A9B" w:rsidR="006035EE" w:rsidRPr="00583FE5" w:rsidRDefault="006035EE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4C3ABA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DCA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83FE5">
              <w:rPr>
                <w:rFonts w:ascii="Times New Roman" w:hAnsi="Times New Roman" w:cs="Times New Roman"/>
                <w:sz w:val="24"/>
                <w:szCs w:val="24"/>
              </w:rPr>
              <w:t>µmol/l</w:t>
            </w:r>
          </w:p>
        </w:tc>
        <w:tc>
          <w:tcPr>
            <w:tcW w:w="1843" w:type="dxa"/>
            <w:noWrap/>
            <w:hideMark/>
          </w:tcPr>
          <w:p w14:paraId="6058E453" w14:textId="78FD590A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-0.0009</w:t>
            </w:r>
          </w:p>
        </w:tc>
        <w:tc>
          <w:tcPr>
            <w:tcW w:w="3118" w:type="dxa"/>
            <w:noWrap/>
            <w:hideMark/>
          </w:tcPr>
          <w:p w14:paraId="4D3C2256" w14:textId="03A09399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1.00 (0.99 - 1.01)</w:t>
            </w:r>
          </w:p>
        </w:tc>
        <w:tc>
          <w:tcPr>
            <w:tcW w:w="1553" w:type="dxa"/>
            <w:noWrap/>
            <w:hideMark/>
          </w:tcPr>
          <w:p w14:paraId="16FE2372" w14:textId="68C42D0B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0.9</w:t>
            </w:r>
          </w:p>
        </w:tc>
      </w:tr>
      <w:tr w:rsidR="006035EE" w:rsidRPr="00583FE5" w14:paraId="5CB0CDF0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1CD29E1F" w14:textId="3BECC343" w:rsidR="006035EE" w:rsidRPr="00583FE5" w:rsidRDefault="006035EE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KPE</w:t>
            </w:r>
            <w:r w:rsidR="00FC4919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, d</w:t>
            </w:r>
          </w:p>
        </w:tc>
        <w:tc>
          <w:tcPr>
            <w:tcW w:w="1843" w:type="dxa"/>
            <w:noWrap/>
            <w:hideMark/>
          </w:tcPr>
          <w:p w14:paraId="5708D238" w14:textId="37FE4C9C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0.013</w:t>
            </w:r>
          </w:p>
        </w:tc>
        <w:tc>
          <w:tcPr>
            <w:tcW w:w="3118" w:type="dxa"/>
            <w:noWrap/>
            <w:hideMark/>
          </w:tcPr>
          <w:p w14:paraId="087588B6" w14:textId="543F1396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1.01 (1.00 - 1.03)</w:t>
            </w:r>
          </w:p>
        </w:tc>
        <w:tc>
          <w:tcPr>
            <w:tcW w:w="1553" w:type="dxa"/>
            <w:noWrap/>
            <w:hideMark/>
          </w:tcPr>
          <w:p w14:paraId="200A63D8" w14:textId="42C481CF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0.02</w:t>
            </w:r>
          </w:p>
        </w:tc>
      </w:tr>
      <w:tr w:rsidR="006035EE" w:rsidRPr="00583FE5" w14:paraId="07A5531B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05D949A8" w14:textId="77777777" w:rsidR="006035EE" w:rsidRPr="00583FE5" w:rsidRDefault="006035EE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Splenic malformation</w:t>
            </w:r>
          </w:p>
        </w:tc>
        <w:tc>
          <w:tcPr>
            <w:tcW w:w="1843" w:type="dxa"/>
            <w:noWrap/>
            <w:hideMark/>
          </w:tcPr>
          <w:p w14:paraId="7BEB60DC" w14:textId="31CDCB6C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0.441</w:t>
            </w:r>
          </w:p>
        </w:tc>
        <w:tc>
          <w:tcPr>
            <w:tcW w:w="3118" w:type="dxa"/>
            <w:noWrap/>
            <w:hideMark/>
          </w:tcPr>
          <w:p w14:paraId="0FEFC5EB" w14:textId="4BA0C0CF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1.56 (0.69 - 3.50)</w:t>
            </w:r>
          </w:p>
        </w:tc>
        <w:tc>
          <w:tcPr>
            <w:tcW w:w="1553" w:type="dxa"/>
            <w:noWrap/>
            <w:hideMark/>
          </w:tcPr>
          <w:p w14:paraId="7C8894B8" w14:textId="3A00AFEE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0.3</w:t>
            </w:r>
          </w:p>
        </w:tc>
      </w:tr>
      <w:tr w:rsidR="006035EE" w:rsidRPr="00583FE5" w14:paraId="4FC09549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6C71F1E5" w14:textId="13C4F077" w:rsidR="006035EE" w:rsidRPr="00583FE5" w:rsidRDefault="00F80CD5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</w:t>
            </w:r>
            <w:r w:rsidR="006035EE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ongenital disorders</w:t>
            </w:r>
          </w:p>
        </w:tc>
        <w:tc>
          <w:tcPr>
            <w:tcW w:w="1843" w:type="dxa"/>
            <w:noWrap/>
            <w:hideMark/>
          </w:tcPr>
          <w:p w14:paraId="6A59DC25" w14:textId="28A36627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-0.144</w:t>
            </w:r>
          </w:p>
        </w:tc>
        <w:tc>
          <w:tcPr>
            <w:tcW w:w="3118" w:type="dxa"/>
            <w:noWrap/>
            <w:hideMark/>
          </w:tcPr>
          <w:p w14:paraId="145F5E52" w14:textId="4AE3F5A2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0.87 (0.40 - 1.87)</w:t>
            </w:r>
          </w:p>
        </w:tc>
        <w:tc>
          <w:tcPr>
            <w:tcW w:w="1553" w:type="dxa"/>
            <w:noWrap/>
            <w:hideMark/>
          </w:tcPr>
          <w:p w14:paraId="29B23254" w14:textId="48ED9A99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0.7</w:t>
            </w:r>
          </w:p>
        </w:tc>
      </w:tr>
      <w:tr w:rsidR="006035EE" w:rsidRPr="00583FE5" w14:paraId="02AF2973" w14:textId="77777777" w:rsidTr="00473138">
        <w:trPr>
          <w:trHeight w:val="288"/>
        </w:trPr>
        <w:tc>
          <w:tcPr>
            <w:tcW w:w="3114" w:type="dxa"/>
            <w:noWrap/>
            <w:hideMark/>
          </w:tcPr>
          <w:p w14:paraId="2A2C04B0" w14:textId="4D062AA0" w:rsidR="006035EE" w:rsidRPr="00583FE5" w:rsidRDefault="006035EE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Cystic disease</w:t>
            </w:r>
          </w:p>
        </w:tc>
        <w:tc>
          <w:tcPr>
            <w:tcW w:w="1843" w:type="dxa"/>
            <w:noWrap/>
            <w:hideMark/>
          </w:tcPr>
          <w:p w14:paraId="75BC8E61" w14:textId="05C72AA9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-0.765</w:t>
            </w:r>
          </w:p>
        </w:tc>
        <w:tc>
          <w:tcPr>
            <w:tcW w:w="3118" w:type="dxa"/>
            <w:noWrap/>
            <w:hideMark/>
          </w:tcPr>
          <w:p w14:paraId="5DAF1327" w14:textId="11B4D26A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0.47 (0.17 - 1.31)</w:t>
            </w:r>
          </w:p>
        </w:tc>
        <w:tc>
          <w:tcPr>
            <w:tcW w:w="1553" w:type="dxa"/>
            <w:noWrap/>
            <w:hideMark/>
          </w:tcPr>
          <w:p w14:paraId="207E9902" w14:textId="32C76EFB" w:rsidR="006035EE" w:rsidRPr="00583FE5" w:rsidRDefault="006035E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0.1</w:t>
            </w:r>
          </w:p>
        </w:tc>
      </w:tr>
    </w:tbl>
    <w:p w14:paraId="51B19EA4" w14:textId="560DB93F" w:rsidR="001A578C" w:rsidRPr="00583FE5" w:rsidRDefault="007E337B" w:rsidP="001A70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sz w:val="24"/>
          <w:szCs w:val="24"/>
        </w:rPr>
        <w:t>Biochemical factors measured at time of KPE.</w:t>
      </w:r>
      <w:r w:rsidR="003A2F9F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363DA2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4A0E5B" w:rsidRPr="00583FE5">
        <w:rPr>
          <w:rFonts w:ascii="Times New Roman" w:hAnsi="Times New Roman" w:cs="Times New Roman"/>
          <w:sz w:val="24"/>
          <w:szCs w:val="24"/>
          <w:u w:val="single"/>
        </w:rPr>
        <w:t>Logarithmically transformed serum</w:t>
      </w:r>
      <w:r w:rsidR="004A0E5B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546FE4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FGF19 </w:t>
      </w:r>
      <w:r w:rsidR="004A0E5B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levels were used</w:t>
      </w:r>
      <w:r w:rsidR="00546FE4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Cox proportional hazards regression model</w:t>
      </w:r>
      <w:r w:rsidR="00546FE4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6FE4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363DA2" w:rsidRPr="00583FE5">
        <w:rPr>
          <w:rFonts w:ascii="Times New Roman" w:hAnsi="Times New Roman" w:cs="Times New Roman"/>
          <w:sz w:val="24"/>
          <w:szCs w:val="24"/>
        </w:rPr>
        <w:t xml:space="preserve">KPE, Kasai portoenterostomy; </w:t>
      </w:r>
      <w:r w:rsidR="00F34334" w:rsidRPr="00583FE5">
        <w:rPr>
          <w:rFonts w:ascii="Times New Roman" w:hAnsi="Times New Roman" w:cs="Times New Roman"/>
          <w:sz w:val="24"/>
          <w:szCs w:val="24"/>
        </w:rPr>
        <w:t xml:space="preserve">HR, hazard ratio; CI, confidence interval; </w:t>
      </w:r>
      <w:r w:rsidR="00363DA2" w:rsidRPr="00583FE5">
        <w:rPr>
          <w:rFonts w:ascii="Times New Roman" w:hAnsi="Times New Roman" w:cs="Times New Roman"/>
          <w:sz w:val="24"/>
          <w:szCs w:val="24"/>
        </w:rPr>
        <w:t>GGT, gamma-</w:t>
      </w:r>
      <w:proofErr w:type="spellStart"/>
      <w:r w:rsidR="00363DA2" w:rsidRPr="00583FE5">
        <w:rPr>
          <w:rFonts w:ascii="Times New Roman" w:hAnsi="Times New Roman" w:cs="Times New Roman"/>
          <w:sz w:val="24"/>
          <w:szCs w:val="24"/>
        </w:rPr>
        <w:t>gluta</w:t>
      </w:r>
      <w:r w:rsidR="005D713C" w:rsidRPr="00583FE5">
        <w:rPr>
          <w:rFonts w:ascii="Times New Roman" w:hAnsi="Times New Roman" w:cs="Times New Roman"/>
          <w:sz w:val="24"/>
          <w:szCs w:val="24"/>
        </w:rPr>
        <w:t>m</w:t>
      </w:r>
      <w:r w:rsidR="00363DA2" w:rsidRPr="00583FE5">
        <w:rPr>
          <w:rFonts w:ascii="Times New Roman" w:hAnsi="Times New Roman" w:cs="Times New Roman"/>
          <w:sz w:val="24"/>
          <w:szCs w:val="24"/>
        </w:rPr>
        <w:t>yltransferase</w:t>
      </w:r>
      <w:proofErr w:type="spellEnd"/>
      <w:r w:rsidR="00363DA2" w:rsidRPr="00583FE5">
        <w:rPr>
          <w:rFonts w:ascii="Times New Roman" w:hAnsi="Times New Roman" w:cs="Times New Roman"/>
          <w:sz w:val="24"/>
          <w:szCs w:val="24"/>
        </w:rPr>
        <w:t>; APRI, a</w:t>
      </w:r>
      <w:r w:rsidR="008023AA" w:rsidRPr="00583FE5">
        <w:rPr>
          <w:rFonts w:ascii="Times New Roman" w:hAnsi="Times New Roman" w:cs="Times New Roman"/>
          <w:sz w:val="24"/>
          <w:szCs w:val="24"/>
        </w:rPr>
        <w:t>spartate</w:t>
      </w:r>
      <w:r w:rsidR="00363DA2" w:rsidRPr="00583FE5">
        <w:rPr>
          <w:rFonts w:ascii="Times New Roman" w:hAnsi="Times New Roman" w:cs="Times New Roman"/>
          <w:sz w:val="24"/>
          <w:szCs w:val="24"/>
        </w:rPr>
        <w:t xml:space="preserve"> transaminase to platelet ratio index</w:t>
      </w:r>
      <w:r w:rsidR="008A4176" w:rsidRPr="00583FE5">
        <w:rPr>
          <w:rFonts w:ascii="Times New Roman" w:hAnsi="Times New Roman" w:cs="Times New Roman"/>
          <w:sz w:val="24"/>
          <w:szCs w:val="24"/>
        </w:rPr>
        <w:t>; CA, cholic acid</w:t>
      </w:r>
      <w:r w:rsidR="00A26100" w:rsidRPr="00583FE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A4176" w:rsidRPr="00583FE5">
        <w:rPr>
          <w:rFonts w:ascii="Times New Roman" w:hAnsi="Times New Roman" w:cs="Times New Roman"/>
          <w:sz w:val="24"/>
          <w:szCs w:val="24"/>
        </w:rPr>
        <w:t>; CDCA, chenodeoxycholic acid</w:t>
      </w:r>
      <w:r w:rsidR="00A26100" w:rsidRPr="00583FE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63DA2" w:rsidRPr="00583FE5">
        <w:rPr>
          <w:rFonts w:ascii="Times New Roman" w:hAnsi="Times New Roman" w:cs="Times New Roman"/>
          <w:sz w:val="24"/>
          <w:szCs w:val="24"/>
        </w:rPr>
        <w:t>.</w:t>
      </w:r>
      <w:r w:rsidR="001A578C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D0DFB56" w14:textId="65E47DE1" w:rsidR="002E3721" w:rsidRPr="00583FE5" w:rsidRDefault="002E3721" w:rsidP="001A70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5D65E5" w:rsidRPr="00583FE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4B32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4FAB" w:rsidRPr="00583FE5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83FE5">
        <w:rPr>
          <w:rFonts w:ascii="Times New Roman" w:hAnsi="Times New Roman" w:cs="Times New Roman"/>
          <w:sz w:val="24"/>
          <w:szCs w:val="24"/>
          <w:u w:val="single"/>
        </w:rPr>
        <w:t>nternal validation of Cox proportional hazards regression models</w:t>
      </w:r>
      <w:r w:rsidR="00504FAB" w:rsidRPr="00583FE5">
        <w:rPr>
          <w:rFonts w:ascii="Times New Roman" w:hAnsi="Times New Roman" w:cs="Times New Roman"/>
          <w:sz w:val="24"/>
          <w:szCs w:val="24"/>
          <w:u w:val="single"/>
        </w:rPr>
        <w:t xml:space="preserve"> for serum FGF19 predicting native liver survival in</w:t>
      </w:r>
      <w:r w:rsidR="000628C5" w:rsidRPr="00583FE5">
        <w:rPr>
          <w:rFonts w:ascii="Times New Roman" w:hAnsi="Times New Roman" w:cs="Times New Roman"/>
          <w:sz w:val="24"/>
          <w:szCs w:val="24"/>
          <w:u w:val="single"/>
        </w:rPr>
        <w:t xml:space="preserve"> all BA patients and</w:t>
      </w:r>
      <w:r w:rsidR="00504FAB" w:rsidRPr="00583FE5">
        <w:rPr>
          <w:rFonts w:ascii="Times New Roman" w:hAnsi="Times New Roman" w:cs="Times New Roman"/>
          <w:sz w:val="24"/>
          <w:szCs w:val="24"/>
          <w:u w:val="single"/>
        </w:rPr>
        <w:t xml:space="preserve"> different BA sub-cohorts</w:t>
      </w:r>
      <w:r w:rsidRPr="00583F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4FAB" w:rsidRPr="00583FE5">
        <w:rPr>
          <w:rFonts w:ascii="Times New Roman" w:hAnsi="Times New Roman" w:cs="Times New Roman"/>
          <w:sz w:val="24"/>
          <w:szCs w:val="24"/>
          <w:u w:val="single"/>
        </w:rPr>
        <w:t>using</w:t>
      </w:r>
      <w:r w:rsidRPr="00583FE5">
        <w:rPr>
          <w:rFonts w:ascii="Times New Roman" w:hAnsi="Times New Roman" w:cs="Times New Roman"/>
          <w:sz w:val="24"/>
          <w:szCs w:val="24"/>
          <w:u w:val="single"/>
        </w:rPr>
        <w:t xml:space="preserve"> Bootstrapping method</w:t>
      </w:r>
      <w:r w:rsidRPr="00583F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539"/>
        <w:gridCol w:w="3129"/>
        <w:gridCol w:w="2960"/>
      </w:tblGrid>
      <w:tr w:rsidR="002E3721" w:rsidRPr="00583FE5" w14:paraId="48A5B169" w14:textId="77777777" w:rsidTr="00ED5531">
        <w:trPr>
          <w:trHeight w:val="288"/>
        </w:trPr>
        <w:tc>
          <w:tcPr>
            <w:tcW w:w="3539" w:type="dxa"/>
            <w:noWrap/>
          </w:tcPr>
          <w:p w14:paraId="2C6FE6B0" w14:textId="77777777" w:rsidR="002E3721" w:rsidRPr="00583FE5" w:rsidRDefault="002E3721" w:rsidP="001A708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cohort</w:t>
            </w:r>
          </w:p>
        </w:tc>
        <w:tc>
          <w:tcPr>
            <w:tcW w:w="3129" w:type="dxa"/>
            <w:noWrap/>
          </w:tcPr>
          <w:p w14:paraId="5BF1BC9C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 (95% CI)</w:t>
            </w:r>
          </w:p>
        </w:tc>
        <w:tc>
          <w:tcPr>
            <w:tcW w:w="2960" w:type="dxa"/>
            <w:noWrap/>
          </w:tcPr>
          <w:p w14:paraId="63DDA23C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(95% CI)</w:t>
            </w:r>
          </w:p>
        </w:tc>
      </w:tr>
      <w:tr w:rsidR="002E3721" w:rsidRPr="00583FE5" w14:paraId="541063AA" w14:textId="77777777" w:rsidTr="00ED5531">
        <w:trPr>
          <w:trHeight w:val="288"/>
        </w:trPr>
        <w:tc>
          <w:tcPr>
            <w:tcW w:w="3539" w:type="dxa"/>
            <w:noWrap/>
            <w:hideMark/>
          </w:tcPr>
          <w:p w14:paraId="1793EC47" w14:textId="77777777" w:rsidR="002E3721" w:rsidRPr="00583FE5" w:rsidRDefault="002E3721" w:rsidP="001A708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BA patients</w:t>
            </w:r>
          </w:p>
        </w:tc>
        <w:tc>
          <w:tcPr>
            <w:tcW w:w="3129" w:type="dxa"/>
            <w:noWrap/>
            <w:hideMark/>
          </w:tcPr>
          <w:p w14:paraId="20DC1F2F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0.364 (0.127 - 0.641)</w:t>
            </w:r>
          </w:p>
        </w:tc>
        <w:tc>
          <w:tcPr>
            <w:tcW w:w="2960" w:type="dxa"/>
            <w:noWrap/>
            <w:hideMark/>
          </w:tcPr>
          <w:p w14:paraId="37A51B2D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 (1.14 - 1.90)</w:t>
            </w:r>
          </w:p>
        </w:tc>
      </w:tr>
      <w:tr w:rsidR="002E3721" w:rsidRPr="00583FE5" w14:paraId="21B5528B" w14:textId="77777777" w:rsidTr="00ED5531">
        <w:trPr>
          <w:trHeight w:val="288"/>
        </w:trPr>
        <w:tc>
          <w:tcPr>
            <w:tcW w:w="3539" w:type="dxa"/>
            <w:noWrap/>
            <w:hideMark/>
          </w:tcPr>
          <w:p w14:paraId="13CC5431" w14:textId="77777777" w:rsidR="002E3721" w:rsidRPr="00583FE5" w:rsidRDefault="002E3721" w:rsidP="001A708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Without associated anomalies</w:t>
            </w:r>
          </w:p>
        </w:tc>
        <w:tc>
          <w:tcPr>
            <w:tcW w:w="3129" w:type="dxa"/>
            <w:noWrap/>
            <w:hideMark/>
          </w:tcPr>
          <w:p w14:paraId="20C690B4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0.434 (0.150 - 0.761)</w:t>
            </w:r>
          </w:p>
        </w:tc>
        <w:tc>
          <w:tcPr>
            <w:tcW w:w="0" w:type="auto"/>
            <w:noWrap/>
            <w:hideMark/>
          </w:tcPr>
          <w:p w14:paraId="7CAA0601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 (1.16 - 2.14)</w:t>
            </w:r>
          </w:p>
        </w:tc>
      </w:tr>
      <w:tr w:rsidR="002E3721" w:rsidRPr="00583FE5" w14:paraId="5A0DF930" w14:textId="77777777" w:rsidTr="00ED5531">
        <w:trPr>
          <w:trHeight w:val="288"/>
        </w:trPr>
        <w:tc>
          <w:tcPr>
            <w:tcW w:w="3539" w:type="dxa"/>
            <w:noWrap/>
            <w:hideMark/>
          </w:tcPr>
          <w:p w14:paraId="442C73D7" w14:textId="77777777" w:rsidR="002E3721" w:rsidRPr="00583FE5" w:rsidRDefault="002E3721" w:rsidP="001A708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KPE &lt;60 days</w:t>
            </w:r>
          </w:p>
        </w:tc>
        <w:tc>
          <w:tcPr>
            <w:tcW w:w="3129" w:type="dxa"/>
            <w:noWrap/>
            <w:hideMark/>
          </w:tcPr>
          <w:p w14:paraId="7864D4AC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0.512 (0.175 - 0.927)</w:t>
            </w:r>
          </w:p>
        </w:tc>
        <w:tc>
          <w:tcPr>
            <w:tcW w:w="0" w:type="auto"/>
            <w:noWrap/>
            <w:hideMark/>
          </w:tcPr>
          <w:p w14:paraId="4F3FB4F5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 (1.19 - 2.53)</w:t>
            </w:r>
          </w:p>
        </w:tc>
      </w:tr>
      <w:tr w:rsidR="002E3721" w:rsidRPr="00583FE5" w14:paraId="0AACE672" w14:textId="77777777" w:rsidTr="00ED5531">
        <w:trPr>
          <w:trHeight w:val="288"/>
        </w:trPr>
        <w:tc>
          <w:tcPr>
            <w:tcW w:w="3539" w:type="dxa"/>
            <w:noWrap/>
            <w:hideMark/>
          </w:tcPr>
          <w:p w14:paraId="651D8CA3" w14:textId="77777777" w:rsidR="002E3721" w:rsidRPr="00583FE5" w:rsidRDefault="002E3721" w:rsidP="001A708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Patients with COJ*</w:t>
            </w:r>
          </w:p>
        </w:tc>
        <w:tc>
          <w:tcPr>
            <w:tcW w:w="3129" w:type="dxa"/>
            <w:noWrap/>
            <w:hideMark/>
          </w:tcPr>
          <w:p w14:paraId="39A94020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 (0.240 - 1.126)</w:t>
            </w:r>
          </w:p>
        </w:tc>
        <w:tc>
          <w:tcPr>
            <w:tcW w:w="0" w:type="auto"/>
            <w:noWrap/>
            <w:hideMark/>
          </w:tcPr>
          <w:p w14:paraId="2D0DEF95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 (1.27 - 3.083)</w:t>
            </w:r>
          </w:p>
        </w:tc>
      </w:tr>
      <w:tr w:rsidR="002E3721" w:rsidRPr="00583FE5" w14:paraId="238C108B" w14:textId="77777777" w:rsidTr="00ED5531">
        <w:trPr>
          <w:trHeight w:val="288"/>
        </w:trPr>
        <w:tc>
          <w:tcPr>
            <w:tcW w:w="3539" w:type="dxa"/>
            <w:noWrap/>
            <w:hideMark/>
          </w:tcPr>
          <w:p w14:paraId="2611698D" w14:textId="77777777" w:rsidR="002E3721" w:rsidRPr="00583FE5" w:rsidRDefault="002E3721" w:rsidP="001A708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Patients without COJ</w:t>
            </w:r>
          </w:p>
        </w:tc>
        <w:tc>
          <w:tcPr>
            <w:tcW w:w="3129" w:type="dxa"/>
            <w:noWrap/>
            <w:hideMark/>
          </w:tcPr>
          <w:p w14:paraId="050AFA4D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 (-0.352 - 0.327)</w:t>
            </w:r>
          </w:p>
        </w:tc>
        <w:tc>
          <w:tcPr>
            <w:tcW w:w="0" w:type="auto"/>
            <w:noWrap/>
            <w:hideMark/>
          </w:tcPr>
          <w:p w14:paraId="113118AB" w14:textId="77777777" w:rsidR="002E3721" w:rsidRPr="00583FE5" w:rsidRDefault="002E3721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 (0.70 - 1.37)</w:t>
            </w:r>
          </w:p>
        </w:tc>
      </w:tr>
    </w:tbl>
    <w:p w14:paraId="4934DFB4" w14:textId="694FE840" w:rsidR="00A01FAF" w:rsidRPr="00583FE5" w:rsidRDefault="002E3721" w:rsidP="001A7083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Pr="00583FE5">
        <w:rPr>
          <w:rFonts w:ascii="Times New Roman" w:hAnsi="Times New Roman" w:cs="Times New Roman"/>
          <w:sz w:val="24"/>
          <w:szCs w:val="24"/>
          <w:lang w:val="en-US"/>
        </w:rPr>
        <w:t>oefficients</w:t>
      </w:r>
      <w:proofErr w:type="spellEnd"/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analyzed from 1000 regression model repetitions of resampling and replacements of the data. </w:t>
      </w:r>
      <w:r w:rsidR="00504FAB" w:rsidRPr="00583FE5">
        <w:rPr>
          <w:rFonts w:ascii="Times New Roman" w:hAnsi="Times New Roman" w:cs="Times New Roman"/>
          <w:sz w:val="24"/>
          <w:szCs w:val="24"/>
          <w:u w:val="single"/>
        </w:rPr>
        <w:t>Logarithmically transformed serum</w:t>
      </w:r>
      <w:r w:rsidR="00504FAB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504FAB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FGF19 levels were used in Cox proportional hazards regression models.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3FE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Decrease of serum bilirubin concentration &lt; 20 </w:t>
      </w:r>
      <w:r w:rsidRPr="00583FE5">
        <w:rPr>
          <w:rFonts w:ascii="Times New Roman" w:hAnsi="Times New Roman" w:cs="Times New Roman"/>
          <w:sz w:val="24"/>
          <w:szCs w:val="24"/>
        </w:rPr>
        <w:t>µmol/l after KPE.</w:t>
      </w:r>
      <w:r w:rsidR="00714552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714552" w:rsidRPr="00583FE5">
        <w:rPr>
          <w:rFonts w:ascii="Times New Roman" w:hAnsi="Times New Roman" w:cs="Times New Roman"/>
          <w:sz w:val="24"/>
          <w:szCs w:val="24"/>
          <w:u w:val="single"/>
        </w:rPr>
        <w:t>BA, biliary atresia</w:t>
      </w:r>
      <w:r w:rsidR="00714552" w:rsidRPr="00583FE5">
        <w:rPr>
          <w:rFonts w:ascii="Times New Roman" w:hAnsi="Times New Roman" w:cs="Times New Roman"/>
          <w:sz w:val="24"/>
          <w:szCs w:val="24"/>
        </w:rPr>
        <w:t>;</w:t>
      </w:r>
      <w:r w:rsidRPr="00583FE5">
        <w:rPr>
          <w:rFonts w:ascii="Times New Roman" w:hAnsi="Times New Roman" w:cs="Times New Roman"/>
          <w:sz w:val="24"/>
          <w:szCs w:val="24"/>
        </w:rPr>
        <w:t xml:space="preserve"> KPE, Kasai portoenterostomy; HR, hazard ratio; CI, confidence interval; COJ, clearance of jaundice.</w:t>
      </w:r>
      <w:r w:rsidR="00A01FAF" w:rsidRPr="00583FE5">
        <w:rPr>
          <w:rFonts w:ascii="Times New Roman" w:hAnsi="Times New Roman" w:cs="Times New Roman"/>
          <w:sz w:val="24"/>
          <w:szCs w:val="24"/>
        </w:rPr>
        <w:br w:type="page"/>
      </w:r>
    </w:p>
    <w:p w14:paraId="517EDA3B" w14:textId="21E25CB0" w:rsidR="007B595F" w:rsidRPr="00583FE5" w:rsidRDefault="007B595F" w:rsidP="001A7083">
      <w:pPr>
        <w:spacing w:line="48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</w:t>
      </w:r>
      <w:r w:rsidR="009367EA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lementary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D65E5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4B3277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Predictors for native liver survival assessed with multivaria</w:t>
      </w:r>
      <w:r w:rsidR="00EB582D" w:rsidRPr="00583FE5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e Cox proportional hazards regression model</w:t>
      </w:r>
      <w:r w:rsidR="00714552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1455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="007C7386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cluding </w:t>
      </w:r>
      <w:r w:rsidR="00981FD6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serum </w:t>
      </w:r>
      <w:r w:rsidR="007C7386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FGF19 with previously established prognosticators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KPE age and APRI</w:t>
      </w:r>
      <w:r w:rsidR="005F4388" w:rsidRPr="00583F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1701"/>
        <w:gridCol w:w="3118"/>
        <w:gridCol w:w="1559"/>
      </w:tblGrid>
      <w:tr w:rsidR="005F4388" w:rsidRPr="00583FE5" w14:paraId="52360438" w14:textId="77777777" w:rsidTr="00FB5567">
        <w:trPr>
          <w:trHeight w:val="288"/>
        </w:trPr>
        <w:tc>
          <w:tcPr>
            <w:tcW w:w="3256" w:type="dxa"/>
            <w:noWrap/>
          </w:tcPr>
          <w:p w14:paraId="51F14666" w14:textId="77777777" w:rsidR="005F4388" w:rsidRPr="00583FE5" w:rsidRDefault="005F4388" w:rsidP="001A708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</w:tcPr>
          <w:p w14:paraId="30268F79" w14:textId="1EA7C817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Coefficient</w:t>
            </w:r>
          </w:p>
        </w:tc>
        <w:tc>
          <w:tcPr>
            <w:tcW w:w="3118" w:type="dxa"/>
            <w:noWrap/>
          </w:tcPr>
          <w:p w14:paraId="525AD552" w14:textId="25B3CC69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HR (95% CI)</w:t>
            </w:r>
          </w:p>
        </w:tc>
        <w:tc>
          <w:tcPr>
            <w:tcW w:w="1559" w:type="dxa"/>
            <w:noWrap/>
          </w:tcPr>
          <w:p w14:paraId="01B685C2" w14:textId="7DB59881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p-value</w:t>
            </w:r>
          </w:p>
        </w:tc>
      </w:tr>
      <w:tr w:rsidR="00417208" w:rsidRPr="00583FE5" w14:paraId="316E3735" w14:textId="77777777" w:rsidTr="00FB5567">
        <w:trPr>
          <w:trHeight w:val="288"/>
        </w:trPr>
        <w:tc>
          <w:tcPr>
            <w:tcW w:w="3256" w:type="dxa"/>
            <w:noWrap/>
          </w:tcPr>
          <w:p w14:paraId="1DD3096D" w14:textId="3ECE9087" w:rsidR="00417208" w:rsidRPr="00583FE5" w:rsidRDefault="00417208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patients</w:t>
            </w:r>
          </w:p>
        </w:tc>
        <w:tc>
          <w:tcPr>
            <w:tcW w:w="1701" w:type="dxa"/>
            <w:noWrap/>
          </w:tcPr>
          <w:p w14:paraId="441D64B4" w14:textId="77777777" w:rsidR="00417208" w:rsidRPr="00583FE5" w:rsidRDefault="0041720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3118" w:type="dxa"/>
            <w:noWrap/>
          </w:tcPr>
          <w:p w14:paraId="36AD1985" w14:textId="77777777" w:rsidR="00417208" w:rsidRPr="00583FE5" w:rsidRDefault="0041720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  <w:noWrap/>
          </w:tcPr>
          <w:p w14:paraId="29B8CBC6" w14:textId="77777777" w:rsidR="00417208" w:rsidRPr="00583FE5" w:rsidRDefault="0041720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5F4388" w:rsidRPr="00583FE5" w14:paraId="14026AD6" w14:textId="77777777" w:rsidTr="00FB5567">
        <w:trPr>
          <w:trHeight w:val="288"/>
        </w:trPr>
        <w:tc>
          <w:tcPr>
            <w:tcW w:w="3256" w:type="dxa"/>
            <w:noWrap/>
            <w:hideMark/>
          </w:tcPr>
          <w:p w14:paraId="3FAB6C9E" w14:textId="1C65CCF8" w:rsidR="005F4388" w:rsidRPr="00583FE5" w:rsidRDefault="005F4388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FGF19</w:t>
            </w:r>
          </w:p>
        </w:tc>
        <w:tc>
          <w:tcPr>
            <w:tcW w:w="1701" w:type="dxa"/>
            <w:noWrap/>
            <w:hideMark/>
          </w:tcPr>
          <w:p w14:paraId="2E72B41A" w14:textId="61B16C78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</w:t>
            </w:r>
            <w:r w:rsidR="00626219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309</w:t>
            </w:r>
          </w:p>
        </w:tc>
        <w:tc>
          <w:tcPr>
            <w:tcW w:w="3118" w:type="dxa"/>
            <w:noWrap/>
            <w:hideMark/>
          </w:tcPr>
          <w:p w14:paraId="017426F6" w14:textId="0F953B4C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1.3</w:t>
            </w:r>
            <w:r w:rsidR="00626219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6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(</w:t>
            </w:r>
            <w:r w:rsidR="002323FD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1.0</w:t>
            </w:r>
            <w:r w:rsidR="00626219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9</w:t>
            </w:r>
            <w:r w:rsidR="002323FD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- 1.</w:t>
            </w:r>
            <w:r w:rsidR="00626219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69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600752DA" w14:textId="408F0B2D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0.0</w:t>
            </w:r>
            <w:r w:rsidR="00626219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06</w:t>
            </w:r>
          </w:p>
        </w:tc>
      </w:tr>
      <w:tr w:rsidR="005F4388" w:rsidRPr="00583FE5" w14:paraId="78FB6A14" w14:textId="77777777" w:rsidTr="00FB5567">
        <w:trPr>
          <w:trHeight w:val="288"/>
        </w:trPr>
        <w:tc>
          <w:tcPr>
            <w:tcW w:w="3256" w:type="dxa"/>
            <w:noWrap/>
            <w:hideMark/>
          </w:tcPr>
          <w:p w14:paraId="3BC9596D" w14:textId="77777777" w:rsidR="005F4388" w:rsidRPr="00583FE5" w:rsidRDefault="005F4388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1701" w:type="dxa"/>
            <w:noWrap/>
            <w:hideMark/>
          </w:tcPr>
          <w:p w14:paraId="36788197" w14:textId="6825B5F4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0.25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</w:t>
            </w:r>
          </w:p>
        </w:tc>
        <w:tc>
          <w:tcPr>
            <w:tcW w:w="3118" w:type="dxa"/>
            <w:noWrap/>
            <w:hideMark/>
          </w:tcPr>
          <w:p w14:paraId="48105346" w14:textId="0F3BB493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1.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28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(1.0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6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 xml:space="preserve"> - 1.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55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355780F8" w14:textId="74185050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0.0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</w:t>
            </w:r>
          </w:p>
        </w:tc>
      </w:tr>
      <w:tr w:rsidR="005F4388" w:rsidRPr="00583FE5" w14:paraId="5DAD192B" w14:textId="77777777" w:rsidTr="00FB5567">
        <w:trPr>
          <w:trHeight w:val="288"/>
        </w:trPr>
        <w:tc>
          <w:tcPr>
            <w:tcW w:w="3256" w:type="dxa"/>
            <w:noWrap/>
          </w:tcPr>
          <w:p w14:paraId="46518579" w14:textId="208E83A3" w:rsidR="005F4388" w:rsidRPr="00583FE5" w:rsidRDefault="005F4388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KPE, d</w:t>
            </w:r>
          </w:p>
        </w:tc>
        <w:tc>
          <w:tcPr>
            <w:tcW w:w="1701" w:type="dxa"/>
            <w:noWrap/>
          </w:tcPr>
          <w:p w14:paraId="407A51D1" w14:textId="7161781D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0.01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</w:t>
            </w:r>
          </w:p>
        </w:tc>
        <w:tc>
          <w:tcPr>
            <w:tcW w:w="3118" w:type="dxa"/>
            <w:noWrap/>
          </w:tcPr>
          <w:p w14:paraId="2FA1971E" w14:textId="0252A647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1.01 (1.00 - 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1.0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2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)</w:t>
            </w:r>
          </w:p>
        </w:tc>
        <w:tc>
          <w:tcPr>
            <w:tcW w:w="1559" w:type="dxa"/>
            <w:noWrap/>
          </w:tcPr>
          <w:p w14:paraId="652F2BB8" w14:textId="41FA2808" w:rsidR="005F4388" w:rsidRPr="00583FE5" w:rsidRDefault="005F438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0.</w:t>
            </w:r>
            <w:r w:rsidR="00E3356B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  <w:t>10</w:t>
            </w:r>
          </w:p>
        </w:tc>
      </w:tr>
      <w:tr w:rsidR="001C5A50" w:rsidRPr="00583FE5" w14:paraId="43E239FA" w14:textId="77777777" w:rsidTr="007518D3">
        <w:trPr>
          <w:trHeight w:val="288"/>
        </w:trPr>
        <w:tc>
          <w:tcPr>
            <w:tcW w:w="3256" w:type="dxa"/>
            <w:noWrap/>
          </w:tcPr>
          <w:p w14:paraId="262C0C31" w14:textId="6AAE8D08" w:rsidR="001C5A50" w:rsidRPr="00583FE5" w:rsidRDefault="001C5A50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Patients with</w:t>
            </w:r>
            <w:r w:rsidR="003B4532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isolated BA</w:t>
            </w:r>
          </w:p>
        </w:tc>
        <w:tc>
          <w:tcPr>
            <w:tcW w:w="1701" w:type="dxa"/>
            <w:noWrap/>
            <w:vAlign w:val="bottom"/>
          </w:tcPr>
          <w:p w14:paraId="02DC772A" w14:textId="77777777" w:rsidR="001C5A50" w:rsidRPr="00583FE5" w:rsidRDefault="001C5A50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bottom"/>
          </w:tcPr>
          <w:p w14:paraId="5ED4450C" w14:textId="77777777" w:rsidR="001C5A50" w:rsidRPr="00583FE5" w:rsidRDefault="001C5A50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069BF72" w14:textId="77777777" w:rsidR="001C5A50" w:rsidRPr="00583FE5" w:rsidRDefault="001C5A50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35" w:rsidRPr="00583FE5" w14:paraId="5A89D46E" w14:textId="77777777" w:rsidTr="007518D3">
        <w:trPr>
          <w:trHeight w:val="288"/>
        </w:trPr>
        <w:tc>
          <w:tcPr>
            <w:tcW w:w="3256" w:type="dxa"/>
            <w:noWrap/>
          </w:tcPr>
          <w:p w14:paraId="6B447656" w14:textId="24DDFAF1" w:rsidR="00D63935" w:rsidRPr="00583FE5" w:rsidRDefault="00D63935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FGF19</w:t>
            </w:r>
          </w:p>
        </w:tc>
        <w:tc>
          <w:tcPr>
            <w:tcW w:w="1701" w:type="dxa"/>
            <w:noWrap/>
            <w:vAlign w:val="bottom"/>
          </w:tcPr>
          <w:p w14:paraId="3C7CBC20" w14:textId="0739696E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424</w:t>
            </w:r>
          </w:p>
        </w:tc>
        <w:tc>
          <w:tcPr>
            <w:tcW w:w="3118" w:type="dxa"/>
            <w:noWrap/>
            <w:vAlign w:val="bottom"/>
          </w:tcPr>
          <w:p w14:paraId="1849ED45" w14:textId="0E0F193A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53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1.18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- 1.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99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67203B24" w14:textId="17610663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02</w:t>
            </w:r>
          </w:p>
        </w:tc>
      </w:tr>
      <w:tr w:rsidR="00D63935" w:rsidRPr="00583FE5" w14:paraId="14D0CA01" w14:textId="77777777" w:rsidTr="007518D3">
        <w:trPr>
          <w:trHeight w:val="288"/>
        </w:trPr>
        <w:tc>
          <w:tcPr>
            <w:tcW w:w="3256" w:type="dxa"/>
            <w:noWrap/>
          </w:tcPr>
          <w:p w14:paraId="2A5BFC37" w14:textId="1726AF2C" w:rsidR="00D63935" w:rsidRPr="00583FE5" w:rsidRDefault="00D63935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1701" w:type="dxa"/>
            <w:noWrap/>
            <w:vAlign w:val="bottom"/>
          </w:tcPr>
          <w:p w14:paraId="25E79642" w14:textId="4FC9440E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288</w:t>
            </w:r>
          </w:p>
        </w:tc>
        <w:tc>
          <w:tcPr>
            <w:tcW w:w="3118" w:type="dxa"/>
            <w:noWrap/>
            <w:vAlign w:val="bottom"/>
          </w:tcPr>
          <w:p w14:paraId="407C385F" w14:textId="32FA56D9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33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(1.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- 1.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62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788B588B" w14:textId="62C0004B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04</w:t>
            </w:r>
          </w:p>
        </w:tc>
      </w:tr>
      <w:tr w:rsidR="00D63935" w:rsidRPr="00583FE5" w14:paraId="65E65974" w14:textId="77777777" w:rsidTr="007518D3">
        <w:trPr>
          <w:trHeight w:val="288"/>
        </w:trPr>
        <w:tc>
          <w:tcPr>
            <w:tcW w:w="3256" w:type="dxa"/>
            <w:noWrap/>
          </w:tcPr>
          <w:p w14:paraId="28E2456E" w14:textId="421AFC0F" w:rsidR="00D63935" w:rsidRPr="00583FE5" w:rsidRDefault="00D63935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KPE, d</w:t>
            </w:r>
          </w:p>
        </w:tc>
        <w:tc>
          <w:tcPr>
            <w:tcW w:w="1701" w:type="dxa"/>
            <w:noWrap/>
            <w:vAlign w:val="bottom"/>
          </w:tcPr>
          <w:p w14:paraId="0B8E683A" w14:textId="2D6CA498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3118" w:type="dxa"/>
            <w:noWrap/>
            <w:vAlign w:val="bottom"/>
          </w:tcPr>
          <w:p w14:paraId="714135AF" w14:textId="55BF2A7C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(0.99 - 1.03)</w:t>
            </w:r>
          </w:p>
        </w:tc>
        <w:tc>
          <w:tcPr>
            <w:tcW w:w="1559" w:type="dxa"/>
            <w:noWrap/>
            <w:vAlign w:val="bottom"/>
          </w:tcPr>
          <w:p w14:paraId="6DB578C0" w14:textId="50BDC45C" w:rsidR="00D63935" w:rsidRPr="00583FE5" w:rsidRDefault="00D63935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0.2</w:t>
            </w:r>
            <w:r w:rsidR="00E515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1C5A50" w:rsidRPr="00583FE5" w14:paraId="779D8112" w14:textId="77777777" w:rsidTr="000F5521">
        <w:trPr>
          <w:trHeight w:val="288"/>
        </w:trPr>
        <w:tc>
          <w:tcPr>
            <w:tcW w:w="3256" w:type="dxa"/>
            <w:noWrap/>
          </w:tcPr>
          <w:p w14:paraId="02B289D7" w14:textId="4861ECA0" w:rsidR="001C5A50" w:rsidRPr="00583FE5" w:rsidRDefault="001C5A50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Patients</w:t>
            </w:r>
            <w:r w:rsidR="003B4532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&lt;60</w:t>
            </w:r>
            <w:r w:rsidR="007C7386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B4532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4C4007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21AD4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age </w:t>
            </w:r>
            <w:r w:rsidR="004C4007"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KPE</w:t>
            </w:r>
          </w:p>
        </w:tc>
        <w:tc>
          <w:tcPr>
            <w:tcW w:w="1701" w:type="dxa"/>
            <w:noWrap/>
            <w:vAlign w:val="bottom"/>
          </w:tcPr>
          <w:p w14:paraId="165EBD3F" w14:textId="77777777" w:rsidR="001C5A50" w:rsidRPr="00583FE5" w:rsidRDefault="001C5A50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bottom"/>
          </w:tcPr>
          <w:p w14:paraId="4B8EDFF2" w14:textId="77777777" w:rsidR="001C5A50" w:rsidRPr="00583FE5" w:rsidRDefault="001C5A50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3323163" w14:textId="77777777" w:rsidR="001C5A50" w:rsidRPr="00583FE5" w:rsidRDefault="001C5A50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AA3" w:rsidRPr="00583FE5" w14:paraId="3FEADB89" w14:textId="77777777" w:rsidTr="000F5521">
        <w:trPr>
          <w:trHeight w:val="288"/>
        </w:trPr>
        <w:tc>
          <w:tcPr>
            <w:tcW w:w="3256" w:type="dxa"/>
            <w:noWrap/>
          </w:tcPr>
          <w:p w14:paraId="52005A18" w14:textId="0DC03662" w:rsidR="000D4AA3" w:rsidRPr="00583FE5" w:rsidRDefault="000D4AA3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FGF19</w:t>
            </w:r>
          </w:p>
        </w:tc>
        <w:tc>
          <w:tcPr>
            <w:tcW w:w="1701" w:type="dxa"/>
            <w:noWrap/>
            <w:vAlign w:val="bottom"/>
          </w:tcPr>
          <w:p w14:paraId="728D1F29" w14:textId="5427FBD9" w:rsidR="000D4AA3" w:rsidRPr="00583FE5" w:rsidRDefault="000D4AA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389</w:t>
            </w:r>
          </w:p>
        </w:tc>
        <w:tc>
          <w:tcPr>
            <w:tcW w:w="3118" w:type="dxa"/>
            <w:noWrap/>
            <w:vAlign w:val="bottom"/>
          </w:tcPr>
          <w:p w14:paraId="2AF15CEF" w14:textId="1666AAF8" w:rsidR="000D4AA3" w:rsidRPr="00583FE5" w:rsidRDefault="000D4AA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48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1.03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- 2.1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08870C2D" w14:textId="75441E63" w:rsidR="000D4AA3" w:rsidRPr="00583FE5" w:rsidRDefault="000D4AA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03</w:t>
            </w:r>
          </w:p>
        </w:tc>
      </w:tr>
      <w:tr w:rsidR="000D4AA3" w:rsidRPr="00583FE5" w14:paraId="32674960" w14:textId="77777777" w:rsidTr="000F5521">
        <w:trPr>
          <w:trHeight w:val="288"/>
        </w:trPr>
        <w:tc>
          <w:tcPr>
            <w:tcW w:w="3256" w:type="dxa"/>
            <w:noWrap/>
          </w:tcPr>
          <w:p w14:paraId="2FF4F1A9" w14:textId="34A02071" w:rsidR="000D4AA3" w:rsidRPr="00583FE5" w:rsidRDefault="000D4AA3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1701" w:type="dxa"/>
            <w:noWrap/>
            <w:vAlign w:val="bottom"/>
          </w:tcPr>
          <w:p w14:paraId="62E7A088" w14:textId="2F66A27D" w:rsidR="000D4AA3" w:rsidRPr="00583FE5" w:rsidRDefault="003B73A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0.180</w:t>
            </w:r>
          </w:p>
        </w:tc>
        <w:tc>
          <w:tcPr>
            <w:tcW w:w="3118" w:type="dxa"/>
            <w:noWrap/>
            <w:vAlign w:val="bottom"/>
          </w:tcPr>
          <w:p w14:paraId="6B066DD3" w14:textId="345A5364" w:rsidR="000D4AA3" w:rsidRPr="00583FE5" w:rsidRDefault="003B73AE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1.20</w:t>
            </w:r>
            <w:r w:rsidR="000D4AA3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(0.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86</w:t>
            </w:r>
            <w:r w:rsidR="000D4AA3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–</w:t>
            </w:r>
            <w:r w:rsidR="000D4AA3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1.66</w:t>
            </w:r>
            <w:r w:rsidR="000D4AA3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70B0317C" w14:textId="5D1F0A40" w:rsidR="000D4AA3" w:rsidRPr="00583FE5" w:rsidRDefault="000D4AA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28</w:t>
            </w:r>
          </w:p>
        </w:tc>
      </w:tr>
      <w:tr w:rsidR="000D4AA3" w:rsidRPr="00583FE5" w14:paraId="1CBAFCB0" w14:textId="77777777" w:rsidTr="000F5521">
        <w:trPr>
          <w:trHeight w:val="288"/>
        </w:trPr>
        <w:tc>
          <w:tcPr>
            <w:tcW w:w="3256" w:type="dxa"/>
            <w:noWrap/>
          </w:tcPr>
          <w:p w14:paraId="3F76ADEF" w14:textId="7E096E35" w:rsidR="000D4AA3" w:rsidRPr="00583FE5" w:rsidRDefault="000D4AA3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KPE, d</w:t>
            </w:r>
          </w:p>
        </w:tc>
        <w:tc>
          <w:tcPr>
            <w:tcW w:w="1701" w:type="dxa"/>
            <w:noWrap/>
            <w:vAlign w:val="bottom"/>
          </w:tcPr>
          <w:p w14:paraId="46FB7D4B" w14:textId="45CF3EBE" w:rsidR="000D4AA3" w:rsidRPr="00583FE5" w:rsidRDefault="000D4AA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0.02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3118" w:type="dxa"/>
            <w:noWrap/>
            <w:vAlign w:val="bottom"/>
          </w:tcPr>
          <w:p w14:paraId="39028D6C" w14:textId="4FF402FD" w:rsidR="000D4AA3" w:rsidRPr="00583FE5" w:rsidRDefault="000D4AA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1.0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(0.9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- 1.0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31F846A5" w14:textId="76CE1B2A" w:rsidR="000D4AA3" w:rsidRPr="00583FE5" w:rsidRDefault="000D4AA3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3B73AE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25</w:t>
            </w:r>
          </w:p>
        </w:tc>
      </w:tr>
      <w:tr w:rsidR="004E06AC" w:rsidRPr="00583FE5" w14:paraId="2202A823" w14:textId="77777777" w:rsidTr="000F5521">
        <w:trPr>
          <w:trHeight w:val="288"/>
        </w:trPr>
        <w:tc>
          <w:tcPr>
            <w:tcW w:w="3256" w:type="dxa"/>
            <w:noWrap/>
          </w:tcPr>
          <w:p w14:paraId="12A3B7FA" w14:textId="7BA202EB" w:rsidR="004E06AC" w:rsidRPr="00583FE5" w:rsidRDefault="004E06A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Patients with COJ*</w:t>
            </w:r>
          </w:p>
        </w:tc>
        <w:tc>
          <w:tcPr>
            <w:tcW w:w="1701" w:type="dxa"/>
            <w:noWrap/>
            <w:vAlign w:val="bottom"/>
          </w:tcPr>
          <w:p w14:paraId="2DD5BDA6" w14:textId="77777777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bottom"/>
          </w:tcPr>
          <w:p w14:paraId="7BD95C3F" w14:textId="77777777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5CB4E003" w14:textId="77777777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6AC" w:rsidRPr="00583FE5" w14:paraId="39D6F66F" w14:textId="77777777" w:rsidTr="000F5521">
        <w:trPr>
          <w:trHeight w:val="288"/>
        </w:trPr>
        <w:tc>
          <w:tcPr>
            <w:tcW w:w="3256" w:type="dxa"/>
            <w:noWrap/>
          </w:tcPr>
          <w:p w14:paraId="24C2250B" w14:textId="463FEABC" w:rsidR="004E06AC" w:rsidRPr="00583FE5" w:rsidRDefault="004E06A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FGF19</w:t>
            </w:r>
          </w:p>
        </w:tc>
        <w:tc>
          <w:tcPr>
            <w:tcW w:w="1701" w:type="dxa"/>
            <w:noWrap/>
            <w:vAlign w:val="bottom"/>
          </w:tcPr>
          <w:p w14:paraId="4713E778" w14:textId="22FF83BD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476B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522</w:t>
            </w:r>
          </w:p>
        </w:tc>
        <w:tc>
          <w:tcPr>
            <w:tcW w:w="3118" w:type="dxa"/>
            <w:noWrap/>
            <w:vAlign w:val="bottom"/>
          </w:tcPr>
          <w:p w14:paraId="61A3C394" w14:textId="0ADE9A57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</w:t>
            </w:r>
            <w:r w:rsidR="00476B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68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(1.1</w:t>
            </w:r>
            <w:r w:rsidR="00476B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476B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–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476B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2.54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6292EE90" w14:textId="0F3AC469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</w:t>
            </w:r>
            <w:r w:rsidR="00476BF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4E06AC" w:rsidRPr="00583FE5" w14:paraId="72742FAF" w14:textId="77777777" w:rsidTr="000F5521">
        <w:trPr>
          <w:trHeight w:val="288"/>
        </w:trPr>
        <w:tc>
          <w:tcPr>
            <w:tcW w:w="3256" w:type="dxa"/>
            <w:noWrap/>
          </w:tcPr>
          <w:p w14:paraId="4570B955" w14:textId="2DE235BF" w:rsidR="004E06AC" w:rsidRPr="00583FE5" w:rsidRDefault="004E06A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1701" w:type="dxa"/>
            <w:noWrap/>
            <w:vAlign w:val="bottom"/>
          </w:tcPr>
          <w:p w14:paraId="1082C367" w14:textId="3F33AFE5" w:rsidR="004E06AC" w:rsidRPr="00583FE5" w:rsidRDefault="00040112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0.352</w:t>
            </w:r>
          </w:p>
        </w:tc>
        <w:tc>
          <w:tcPr>
            <w:tcW w:w="3118" w:type="dxa"/>
            <w:noWrap/>
            <w:vAlign w:val="bottom"/>
          </w:tcPr>
          <w:p w14:paraId="038F11E0" w14:textId="417BAED5" w:rsidR="004E06AC" w:rsidRPr="00583FE5" w:rsidRDefault="00040112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1.42</w:t>
            </w:r>
            <w:r w:rsidR="004E06AC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(0.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91</w:t>
            </w:r>
            <w:r w:rsidR="004E06AC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- 2.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 w:rsidR="004E06AC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22AD6E7B" w14:textId="5E5BC375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04011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</w:t>
            </w:r>
          </w:p>
        </w:tc>
      </w:tr>
      <w:tr w:rsidR="004E06AC" w:rsidRPr="00583FE5" w14:paraId="2529C959" w14:textId="77777777" w:rsidTr="000F5521">
        <w:trPr>
          <w:trHeight w:val="288"/>
        </w:trPr>
        <w:tc>
          <w:tcPr>
            <w:tcW w:w="3256" w:type="dxa"/>
            <w:noWrap/>
          </w:tcPr>
          <w:p w14:paraId="6E5645F5" w14:textId="70A2D5A0" w:rsidR="004E06AC" w:rsidRPr="00583FE5" w:rsidRDefault="004E06A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KPE, d</w:t>
            </w:r>
          </w:p>
        </w:tc>
        <w:tc>
          <w:tcPr>
            <w:tcW w:w="1701" w:type="dxa"/>
            <w:noWrap/>
            <w:vAlign w:val="bottom"/>
          </w:tcPr>
          <w:p w14:paraId="7EC6ABBB" w14:textId="63A7A9F4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</w:t>
            </w:r>
            <w:r w:rsidR="0004011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03</w:t>
            </w:r>
          </w:p>
        </w:tc>
        <w:tc>
          <w:tcPr>
            <w:tcW w:w="3118" w:type="dxa"/>
            <w:noWrap/>
            <w:vAlign w:val="bottom"/>
          </w:tcPr>
          <w:p w14:paraId="26B71C25" w14:textId="0F4432FB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1.0</w:t>
            </w:r>
            <w:r w:rsidR="0004011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(0.98 - 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1.0</w:t>
            </w:r>
            <w:r w:rsidR="0004011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59BF90FB" w14:textId="35145C53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040112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78</w:t>
            </w:r>
          </w:p>
        </w:tc>
      </w:tr>
      <w:tr w:rsidR="004E06AC" w:rsidRPr="00583FE5" w14:paraId="3DB97FD1" w14:textId="77777777" w:rsidTr="000F5521">
        <w:trPr>
          <w:trHeight w:val="288"/>
        </w:trPr>
        <w:tc>
          <w:tcPr>
            <w:tcW w:w="3256" w:type="dxa"/>
            <w:noWrap/>
          </w:tcPr>
          <w:p w14:paraId="0844EB61" w14:textId="0416C0A1" w:rsidR="004E06AC" w:rsidRPr="00583FE5" w:rsidRDefault="004E06AC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Patients without COJ</w:t>
            </w:r>
          </w:p>
        </w:tc>
        <w:tc>
          <w:tcPr>
            <w:tcW w:w="1701" w:type="dxa"/>
            <w:noWrap/>
            <w:vAlign w:val="bottom"/>
          </w:tcPr>
          <w:p w14:paraId="5706A23B" w14:textId="77777777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bottom"/>
          </w:tcPr>
          <w:p w14:paraId="348AA1E7" w14:textId="77777777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571E70C" w14:textId="77777777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6AC" w:rsidRPr="00583FE5" w14:paraId="4FC632ED" w14:textId="77777777" w:rsidTr="000F5521">
        <w:trPr>
          <w:trHeight w:val="288"/>
        </w:trPr>
        <w:tc>
          <w:tcPr>
            <w:tcW w:w="3256" w:type="dxa"/>
            <w:noWrap/>
          </w:tcPr>
          <w:p w14:paraId="10694135" w14:textId="4E3CB3AB" w:rsidR="004E06AC" w:rsidRPr="00583FE5" w:rsidRDefault="004E06A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FGF19</w:t>
            </w:r>
          </w:p>
        </w:tc>
        <w:tc>
          <w:tcPr>
            <w:tcW w:w="1701" w:type="dxa"/>
            <w:noWrap/>
            <w:vAlign w:val="bottom"/>
          </w:tcPr>
          <w:p w14:paraId="30F73E49" w14:textId="24537E5B" w:rsidR="004E06AC" w:rsidRPr="00583FE5" w:rsidRDefault="00F20865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0.033</w:t>
            </w:r>
          </w:p>
        </w:tc>
        <w:tc>
          <w:tcPr>
            <w:tcW w:w="3118" w:type="dxa"/>
            <w:noWrap/>
            <w:vAlign w:val="bottom"/>
          </w:tcPr>
          <w:p w14:paraId="181D3A8F" w14:textId="40FE9F42" w:rsidR="004E06AC" w:rsidRPr="00583FE5" w:rsidRDefault="00F20865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1.03</w:t>
            </w:r>
            <w:r w:rsidR="004E06AC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(0.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76</w:t>
            </w:r>
            <w:r w:rsidR="004E06AC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- 1.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40</w:t>
            </w:r>
            <w:r w:rsidR="004E06AC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345C30BB" w14:textId="02504A73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</w:t>
            </w:r>
            <w:r w:rsidR="00F20865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83</w:t>
            </w:r>
          </w:p>
        </w:tc>
      </w:tr>
      <w:tr w:rsidR="004E06AC" w:rsidRPr="00583FE5" w14:paraId="79102448" w14:textId="77777777" w:rsidTr="000F5521">
        <w:trPr>
          <w:trHeight w:val="288"/>
        </w:trPr>
        <w:tc>
          <w:tcPr>
            <w:tcW w:w="3256" w:type="dxa"/>
            <w:noWrap/>
          </w:tcPr>
          <w:p w14:paraId="019C8265" w14:textId="1F47BCAC" w:rsidR="004E06AC" w:rsidRPr="00583FE5" w:rsidRDefault="004E06A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APRI</w:t>
            </w:r>
          </w:p>
        </w:tc>
        <w:tc>
          <w:tcPr>
            <w:tcW w:w="1701" w:type="dxa"/>
            <w:noWrap/>
            <w:vAlign w:val="bottom"/>
          </w:tcPr>
          <w:p w14:paraId="6C431D6D" w14:textId="30D95ED9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0.3</w:t>
            </w:r>
            <w:r w:rsidR="00CD300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59</w:t>
            </w:r>
          </w:p>
        </w:tc>
        <w:tc>
          <w:tcPr>
            <w:tcW w:w="3118" w:type="dxa"/>
            <w:noWrap/>
            <w:vAlign w:val="bottom"/>
          </w:tcPr>
          <w:p w14:paraId="65CCDC67" w14:textId="2749E16D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1.4</w:t>
            </w:r>
            <w:r w:rsidR="00CD300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(1.1</w:t>
            </w:r>
            <w:r w:rsidR="00CD300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- 1.8</w:t>
            </w:r>
            <w:r w:rsidR="00CD300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14:paraId="7F303FE5" w14:textId="0B4C47D2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0.00</w:t>
            </w:r>
            <w:r w:rsidR="00CD300B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4E06AC" w:rsidRPr="00583FE5" w14:paraId="3D2D2BB8" w14:textId="77777777" w:rsidTr="000F5521">
        <w:trPr>
          <w:trHeight w:val="288"/>
        </w:trPr>
        <w:tc>
          <w:tcPr>
            <w:tcW w:w="3256" w:type="dxa"/>
            <w:noWrap/>
          </w:tcPr>
          <w:p w14:paraId="7B4CD42A" w14:textId="7D6F72E6" w:rsidR="004E06AC" w:rsidRPr="00583FE5" w:rsidRDefault="004E06AC" w:rsidP="001A7083">
            <w:pPr>
              <w:spacing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Age at KPE, d</w:t>
            </w:r>
          </w:p>
        </w:tc>
        <w:tc>
          <w:tcPr>
            <w:tcW w:w="1701" w:type="dxa"/>
            <w:noWrap/>
            <w:vAlign w:val="bottom"/>
          </w:tcPr>
          <w:p w14:paraId="4D7452C2" w14:textId="59D52A90" w:rsidR="004E06AC" w:rsidRPr="00583FE5" w:rsidRDefault="001345E0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0.0001</w:t>
            </w:r>
          </w:p>
        </w:tc>
        <w:tc>
          <w:tcPr>
            <w:tcW w:w="3118" w:type="dxa"/>
            <w:noWrap/>
            <w:vAlign w:val="bottom"/>
          </w:tcPr>
          <w:p w14:paraId="0297ADED" w14:textId="55FC60FB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(0.98 - 1.02)</w:t>
            </w:r>
          </w:p>
        </w:tc>
        <w:tc>
          <w:tcPr>
            <w:tcW w:w="1559" w:type="dxa"/>
            <w:noWrap/>
            <w:vAlign w:val="bottom"/>
          </w:tcPr>
          <w:p w14:paraId="0FF82196" w14:textId="54003A8B" w:rsidR="004E06AC" w:rsidRPr="00583FE5" w:rsidRDefault="004E06AC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0.9</w:t>
            </w:r>
            <w:r w:rsidR="001345E0" w:rsidRPr="00583F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</w:p>
        </w:tc>
      </w:tr>
    </w:tbl>
    <w:p w14:paraId="35BF9DBD" w14:textId="7535050D" w:rsidR="00D85928" w:rsidRPr="00583FE5" w:rsidRDefault="00981FD6" w:rsidP="001A70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sz w:val="24"/>
          <w:szCs w:val="24"/>
        </w:rPr>
        <w:lastRenderedPageBreak/>
        <w:t xml:space="preserve">Serum </w:t>
      </w:r>
      <w:r w:rsidR="00714552" w:rsidRPr="00583FE5">
        <w:rPr>
          <w:rFonts w:ascii="Times New Roman" w:hAnsi="Times New Roman" w:cs="Times New Roman"/>
          <w:sz w:val="24"/>
          <w:szCs w:val="24"/>
        </w:rPr>
        <w:t>FGF19 and APRI</w:t>
      </w:r>
      <w:r w:rsidR="002F11E6" w:rsidRPr="00583FE5">
        <w:rPr>
          <w:rFonts w:ascii="Times New Roman" w:hAnsi="Times New Roman" w:cs="Times New Roman"/>
          <w:sz w:val="24"/>
          <w:szCs w:val="24"/>
        </w:rPr>
        <w:t xml:space="preserve"> measured at KPE.</w:t>
      </w:r>
      <w:r w:rsidR="00BB1A7C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714552" w:rsidRPr="00583FE5">
        <w:rPr>
          <w:rFonts w:ascii="Times New Roman" w:hAnsi="Times New Roman" w:cs="Times New Roman"/>
          <w:sz w:val="24"/>
          <w:szCs w:val="24"/>
          <w:u w:val="single"/>
        </w:rPr>
        <w:t>Logarithmically transformed serum</w:t>
      </w:r>
      <w:r w:rsidR="00714552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71455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FGF19 levels were used in multivariable Cox proportional hazards regression models</w:t>
      </w:r>
      <w:r w:rsidR="00BB1A7C" w:rsidRPr="00583FE5">
        <w:rPr>
          <w:rFonts w:ascii="Times New Roman" w:hAnsi="Times New Roman" w:cs="Times New Roman"/>
          <w:sz w:val="24"/>
          <w:szCs w:val="24"/>
        </w:rPr>
        <w:t>.</w:t>
      </w:r>
      <w:r w:rsidR="002F11E6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AE0E60" w:rsidRPr="00583FE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AE0E60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Decrease of serum bilirubin concentration &lt; 20 </w:t>
      </w:r>
      <w:r w:rsidR="00AE0E60" w:rsidRPr="00583FE5">
        <w:rPr>
          <w:rFonts w:ascii="Times New Roman" w:hAnsi="Times New Roman" w:cs="Times New Roman"/>
          <w:sz w:val="24"/>
          <w:szCs w:val="24"/>
        </w:rPr>
        <w:t>µmol/l after KPE.</w:t>
      </w:r>
      <w:r w:rsidR="00BA719E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2F11E6" w:rsidRPr="00583FE5">
        <w:rPr>
          <w:rFonts w:ascii="Times New Roman" w:hAnsi="Times New Roman" w:cs="Times New Roman"/>
          <w:sz w:val="24"/>
          <w:szCs w:val="24"/>
        </w:rPr>
        <w:t>KPE, Kasai portoenterostomy; HR, hazard ratio; CI, confidence interval; APRI, a</w:t>
      </w:r>
      <w:r w:rsidR="00C74304" w:rsidRPr="00583FE5">
        <w:rPr>
          <w:rFonts w:ascii="Times New Roman" w:hAnsi="Times New Roman" w:cs="Times New Roman"/>
          <w:sz w:val="24"/>
          <w:szCs w:val="24"/>
        </w:rPr>
        <w:t>spartate</w:t>
      </w:r>
      <w:r w:rsidR="002F11E6" w:rsidRPr="00583FE5">
        <w:rPr>
          <w:rFonts w:ascii="Times New Roman" w:hAnsi="Times New Roman" w:cs="Times New Roman"/>
          <w:sz w:val="24"/>
          <w:szCs w:val="24"/>
        </w:rPr>
        <w:t xml:space="preserve"> transaminase to platelet ratio index</w:t>
      </w:r>
      <w:r w:rsidR="00417208" w:rsidRPr="00583FE5">
        <w:rPr>
          <w:rFonts w:ascii="Times New Roman" w:hAnsi="Times New Roman" w:cs="Times New Roman"/>
          <w:sz w:val="24"/>
          <w:szCs w:val="24"/>
        </w:rPr>
        <w:t>; COJ, clearance of jaundice</w:t>
      </w:r>
      <w:r w:rsidR="002F11E6" w:rsidRPr="00583FE5">
        <w:rPr>
          <w:rFonts w:ascii="Times New Roman" w:hAnsi="Times New Roman" w:cs="Times New Roman"/>
          <w:sz w:val="24"/>
          <w:szCs w:val="24"/>
        </w:rPr>
        <w:t>.</w:t>
      </w:r>
      <w:r w:rsidR="00D85928" w:rsidRPr="00583FE5">
        <w:rPr>
          <w:rFonts w:ascii="Times New Roman" w:hAnsi="Times New Roman" w:cs="Times New Roman"/>
          <w:sz w:val="24"/>
          <w:szCs w:val="24"/>
        </w:rPr>
        <w:br w:type="page"/>
      </w:r>
    </w:p>
    <w:p w14:paraId="06D7597E" w14:textId="025EDC16" w:rsidR="00D85928" w:rsidRPr="00583FE5" w:rsidRDefault="00D85928" w:rsidP="001A7083">
      <w:pPr>
        <w:spacing w:line="480" w:lineRule="auto"/>
        <w:ind w:right="127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4D28D4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4B3277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Serum bile acid concentration in BA patients at KPE and in normal controls.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5"/>
      </w:tblGrid>
      <w:tr w:rsidR="00D85928" w:rsidRPr="00583FE5" w14:paraId="4824FBB0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0E90EA67" w14:textId="77777777" w:rsidR="00D85928" w:rsidRPr="00583FE5" w:rsidRDefault="00D85928" w:rsidP="001A708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noWrap/>
            <w:hideMark/>
          </w:tcPr>
          <w:p w14:paraId="687D2AA9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BA patients</w:t>
            </w:r>
          </w:p>
        </w:tc>
        <w:tc>
          <w:tcPr>
            <w:tcW w:w="2410" w:type="dxa"/>
            <w:noWrap/>
            <w:hideMark/>
          </w:tcPr>
          <w:p w14:paraId="24DA8CE8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Normal controls</w:t>
            </w:r>
          </w:p>
        </w:tc>
        <w:tc>
          <w:tcPr>
            <w:tcW w:w="1275" w:type="dxa"/>
            <w:noWrap/>
            <w:hideMark/>
          </w:tcPr>
          <w:p w14:paraId="6F5C6F41" w14:textId="77777777" w:rsidR="00D85928" w:rsidRPr="00583FE5" w:rsidRDefault="00D85928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p-values</w:t>
            </w:r>
          </w:p>
        </w:tc>
      </w:tr>
      <w:tr w:rsidR="00D85928" w:rsidRPr="00583FE5" w14:paraId="2512061E" w14:textId="77777777" w:rsidTr="00F20138">
        <w:trPr>
          <w:trHeight w:val="288"/>
        </w:trPr>
        <w:tc>
          <w:tcPr>
            <w:tcW w:w="2972" w:type="dxa"/>
            <w:noWrap/>
          </w:tcPr>
          <w:p w14:paraId="4DD85824" w14:textId="77777777" w:rsidR="00D85928" w:rsidRPr="00583FE5" w:rsidRDefault="00D85928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Number of patients</w:t>
            </w:r>
          </w:p>
        </w:tc>
        <w:tc>
          <w:tcPr>
            <w:tcW w:w="2410" w:type="dxa"/>
            <w:noWrap/>
            <w:vAlign w:val="bottom"/>
          </w:tcPr>
          <w:p w14:paraId="7FBA48AC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noWrap/>
            <w:vAlign w:val="bottom"/>
          </w:tcPr>
          <w:p w14:paraId="2882E865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14:paraId="411A328C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928" w:rsidRPr="00583FE5" w14:paraId="76461474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3F817DE5" w14:textId="77777777" w:rsidR="00D85928" w:rsidRPr="00583FE5" w:rsidRDefault="00D85928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Total bile acids,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65C7A197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122.4 (80.1 – 158.1)</w:t>
            </w:r>
          </w:p>
        </w:tc>
        <w:tc>
          <w:tcPr>
            <w:tcW w:w="2410" w:type="dxa"/>
            <w:noWrap/>
            <w:vAlign w:val="bottom"/>
            <w:hideMark/>
          </w:tcPr>
          <w:p w14:paraId="368F112C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(3.2 - 3.6)</w:t>
            </w:r>
          </w:p>
        </w:tc>
        <w:tc>
          <w:tcPr>
            <w:tcW w:w="1275" w:type="dxa"/>
            <w:noWrap/>
            <w:vAlign w:val="bottom"/>
            <w:hideMark/>
          </w:tcPr>
          <w:p w14:paraId="29928D5E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85928" w:rsidRPr="00583FE5" w14:paraId="6C35609F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798BA704" w14:textId="77777777" w:rsidR="00D85928" w:rsidRPr="00583FE5" w:rsidRDefault="00D85928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Primary bile acids,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7D932E79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 (64.4 – 133.7)</w:t>
            </w:r>
          </w:p>
        </w:tc>
        <w:tc>
          <w:tcPr>
            <w:tcW w:w="2410" w:type="dxa"/>
            <w:noWrap/>
            <w:vAlign w:val="bottom"/>
            <w:hideMark/>
          </w:tcPr>
          <w:p w14:paraId="126AD910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(2.2 - 2.7)</w:t>
            </w:r>
          </w:p>
        </w:tc>
        <w:tc>
          <w:tcPr>
            <w:tcW w:w="1275" w:type="dxa"/>
            <w:noWrap/>
            <w:vAlign w:val="bottom"/>
            <w:hideMark/>
          </w:tcPr>
          <w:p w14:paraId="2815ED17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85928" w:rsidRPr="00583FE5" w14:paraId="7E05BB33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56C8A8B9" w14:textId="77777777" w:rsidR="00D85928" w:rsidRPr="00583FE5" w:rsidRDefault="00D85928" w:rsidP="001A7083">
            <w:pPr>
              <w:spacing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CDCA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6AFDAFE0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 (33.1 – 72.7)</w:t>
            </w:r>
          </w:p>
        </w:tc>
        <w:tc>
          <w:tcPr>
            <w:tcW w:w="2410" w:type="dxa"/>
            <w:noWrap/>
            <w:vAlign w:val="bottom"/>
            <w:hideMark/>
          </w:tcPr>
          <w:p w14:paraId="21510915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(1.9 - 2.3)</w:t>
            </w:r>
          </w:p>
        </w:tc>
        <w:tc>
          <w:tcPr>
            <w:tcW w:w="1275" w:type="dxa"/>
            <w:noWrap/>
            <w:vAlign w:val="bottom"/>
            <w:hideMark/>
          </w:tcPr>
          <w:p w14:paraId="3CD622E7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85928" w:rsidRPr="00583FE5" w14:paraId="05B5430D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3CEB9813" w14:textId="77777777" w:rsidR="00D85928" w:rsidRPr="00583FE5" w:rsidRDefault="00D85928" w:rsidP="001A7083">
            <w:pPr>
              <w:spacing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CA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3535F72E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 (31.3 – 52.0)</w:t>
            </w:r>
          </w:p>
        </w:tc>
        <w:tc>
          <w:tcPr>
            <w:tcW w:w="2410" w:type="dxa"/>
            <w:noWrap/>
            <w:vAlign w:val="bottom"/>
            <w:hideMark/>
          </w:tcPr>
          <w:p w14:paraId="72587739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(0.33 - 0.41)</w:t>
            </w:r>
          </w:p>
        </w:tc>
        <w:tc>
          <w:tcPr>
            <w:tcW w:w="1275" w:type="dxa"/>
            <w:noWrap/>
            <w:vAlign w:val="bottom"/>
            <w:hideMark/>
          </w:tcPr>
          <w:p w14:paraId="46E2CBE7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85928" w:rsidRPr="00583FE5" w14:paraId="15B4FB44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15D9ECF1" w14:textId="77777777" w:rsidR="00D85928" w:rsidRPr="00583FE5" w:rsidRDefault="00D85928" w:rsidP="001A70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Secondary bile acids,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64639B43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 (3.55 - 10.25)</w:t>
            </w:r>
          </w:p>
        </w:tc>
        <w:tc>
          <w:tcPr>
            <w:tcW w:w="2410" w:type="dxa"/>
            <w:noWrap/>
            <w:vAlign w:val="bottom"/>
            <w:hideMark/>
          </w:tcPr>
          <w:p w14:paraId="5C483EA4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(0.76 - 1.14)</w:t>
            </w:r>
          </w:p>
        </w:tc>
        <w:tc>
          <w:tcPr>
            <w:tcW w:w="1275" w:type="dxa"/>
            <w:noWrap/>
            <w:vAlign w:val="bottom"/>
            <w:hideMark/>
          </w:tcPr>
          <w:p w14:paraId="5A980998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85928" w:rsidRPr="00583FE5" w14:paraId="0505EB6B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5B181A85" w14:textId="77777777" w:rsidR="00D85928" w:rsidRPr="00583FE5" w:rsidRDefault="00D85928" w:rsidP="001A7083">
            <w:pPr>
              <w:spacing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DCA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46BE50B5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 (1.08 - 1.91)</w:t>
            </w:r>
          </w:p>
        </w:tc>
        <w:tc>
          <w:tcPr>
            <w:tcW w:w="2410" w:type="dxa"/>
            <w:noWrap/>
            <w:vAlign w:val="bottom"/>
            <w:hideMark/>
          </w:tcPr>
          <w:p w14:paraId="0E2B1B48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 (0.41 - 0.66)</w:t>
            </w:r>
          </w:p>
        </w:tc>
        <w:tc>
          <w:tcPr>
            <w:tcW w:w="1275" w:type="dxa"/>
            <w:noWrap/>
            <w:vAlign w:val="bottom"/>
            <w:hideMark/>
          </w:tcPr>
          <w:p w14:paraId="26C23F5F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85928" w:rsidRPr="00583FE5" w14:paraId="21E148CE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4F251B6C" w14:textId="77777777" w:rsidR="00D85928" w:rsidRPr="00583FE5" w:rsidRDefault="00D85928" w:rsidP="001A7083">
            <w:pPr>
              <w:spacing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LCA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5D99D6E0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 (1.31 - 3.40)</w:t>
            </w:r>
          </w:p>
        </w:tc>
        <w:tc>
          <w:tcPr>
            <w:tcW w:w="2410" w:type="dxa"/>
            <w:noWrap/>
            <w:vAlign w:val="bottom"/>
            <w:hideMark/>
          </w:tcPr>
          <w:p w14:paraId="71D524A4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 (0.25 - 0.28)</w:t>
            </w:r>
          </w:p>
        </w:tc>
        <w:tc>
          <w:tcPr>
            <w:tcW w:w="1275" w:type="dxa"/>
            <w:noWrap/>
            <w:vAlign w:val="bottom"/>
            <w:hideMark/>
          </w:tcPr>
          <w:p w14:paraId="18EB9C8B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85928" w:rsidRPr="00583FE5" w14:paraId="484E9684" w14:textId="77777777" w:rsidTr="00F20138">
        <w:trPr>
          <w:trHeight w:val="288"/>
        </w:trPr>
        <w:tc>
          <w:tcPr>
            <w:tcW w:w="2972" w:type="dxa"/>
            <w:noWrap/>
            <w:hideMark/>
          </w:tcPr>
          <w:p w14:paraId="5AB2C52D" w14:textId="77777777" w:rsidR="00D85928" w:rsidRPr="00583FE5" w:rsidRDefault="00D85928" w:rsidP="001A7083">
            <w:pPr>
              <w:spacing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UDCA</w:t>
            </w:r>
            <w:r w:rsidRPr="005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8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µmol/l</w:t>
            </w:r>
          </w:p>
        </w:tc>
        <w:tc>
          <w:tcPr>
            <w:tcW w:w="2410" w:type="dxa"/>
            <w:noWrap/>
            <w:vAlign w:val="bottom"/>
            <w:hideMark/>
          </w:tcPr>
          <w:p w14:paraId="17432DFC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(0.52 - 3.22)</w:t>
            </w:r>
          </w:p>
        </w:tc>
        <w:tc>
          <w:tcPr>
            <w:tcW w:w="2410" w:type="dxa"/>
            <w:noWrap/>
            <w:vAlign w:val="bottom"/>
            <w:hideMark/>
          </w:tcPr>
          <w:p w14:paraId="0747DFD6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(0.07 - 0.18)</w:t>
            </w:r>
          </w:p>
        </w:tc>
        <w:tc>
          <w:tcPr>
            <w:tcW w:w="1275" w:type="dxa"/>
            <w:noWrap/>
            <w:vAlign w:val="bottom"/>
            <w:hideMark/>
          </w:tcPr>
          <w:p w14:paraId="6B62CC90" w14:textId="77777777" w:rsidR="00D85928" w:rsidRPr="00583FE5" w:rsidRDefault="00D85928" w:rsidP="001A70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58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</w:tbl>
    <w:p w14:paraId="1263A57D" w14:textId="5F566EE6" w:rsidR="00FC5864" w:rsidRDefault="00D85928" w:rsidP="00FC58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583FE5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583FE5">
        <w:rPr>
          <w:rFonts w:ascii="Times New Roman" w:hAnsi="Times New Roman" w:cs="Times New Roman"/>
          <w:sz w:val="24"/>
          <w:szCs w:val="24"/>
        </w:rPr>
        <w:t xml:space="preserve"> is presented as median with interquartile range and p-values are calculated using Mann-Whitney U test.</w:t>
      </w:r>
      <w:r w:rsidR="00862917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</w:rPr>
        <w:t>Concentrations are for combined conjugated and unconjugated bile acids.</w:t>
      </w:r>
      <w:r w:rsidRPr="00583FE5">
        <w:rPr>
          <w:rFonts w:ascii="Times New Roman" w:hAnsi="Times New Roman" w:cs="Times New Roman"/>
          <w:sz w:val="24"/>
          <w:szCs w:val="24"/>
        </w:rPr>
        <w:t xml:space="preserve"> BA, biliary atresia; CDCA, chenodeoxycholic acid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FE5">
        <w:rPr>
          <w:rFonts w:ascii="Times New Roman" w:hAnsi="Times New Roman" w:cs="Times New Roman"/>
          <w:sz w:val="24"/>
          <w:szCs w:val="24"/>
        </w:rPr>
        <w:t>; CA, cholic acid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FE5">
        <w:rPr>
          <w:rFonts w:ascii="Times New Roman" w:hAnsi="Times New Roman" w:cs="Times New Roman"/>
          <w:sz w:val="24"/>
          <w:szCs w:val="24"/>
        </w:rPr>
        <w:t>; DCA, deoxycholic acid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FE5">
        <w:rPr>
          <w:rFonts w:ascii="Times New Roman" w:hAnsi="Times New Roman" w:cs="Times New Roman"/>
          <w:sz w:val="24"/>
          <w:szCs w:val="24"/>
        </w:rPr>
        <w:t>; LCA, lithocholic acid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FE5">
        <w:rPr>
          <w:rFonts w:ascii="Times New Roman" w:hAnsi="Times New Roman" w:cs="Times New Roman"/>
          <w:sz w:val="24"/>
          <w:szCs w:val="24"/>
        </w:rPr>
        <w:t xml:space="preserve">; UDCA, </w:t>
      </w:r>
      <w:proofErr w:type="spellStart"/>
      <w:r w:rsidRPr="00583FE5">
        <w:rPr>
          <w:rFonts w:ascii="Times New Roman" w:hAnsi="Times New Roman" w:cs="Times New Roman"/>
          <w:sz w:val="24"/>
          <w:szCs w:val="24"/>
        </w:rPr>
        <w:t>ursodeoxycholic</w:t>
      </w:r>
      <w:proofErr w:type="spellEnd"/>
      <w:r w:rsidRPr="00583FE5">
        <w:rPr>
          <w:rFonts w:ascii="Times New Roman" w:hAnsi="Times New Roman" w:cs="Times New Roman"/>
          <w:sz w:val="24"/>
          <w:szCs w:val="24"/>
        </w:rPr>
        <w:t xml:space="preserve"> acid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83FE5">
        <w:rPr>
          <w:rFonts w:ascii="Times New Roman" w:hAnsi="Times New Roman" w:cs="Times New Roman"/>
          <w:sz w:val="24"/>
          <w:szCs w:val="24"/>
        </w:rPr>
        <w:t>.</w:t>
      </w:r>
      <w:r w:rsidR="00FC5864">
        <w:rPr>
          <w:rFonts w:ascii="Times New Roman" w:hAnsi="Times New Roman" w:cs="Times New Roman"/>
          <w:sz w:val="24"/>
          <w:szCs w:val="24"/>
        </w:rPr>
        <w:br w:type="page"/>
      </w:r>
    </w:p>
    <w:p w14:paraId="21DF8A4D" w14:textId="27D9DCCA" w:rsidR="00B76488" w:rsidRPr="00583FE5" w:rsidRDefault="0045128B" w:rsidP="001A7083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FE5"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</w:t>
      </w:r>
      <w:r w:rsidR="009F69F6" w:rsidRPr="00583FE5">
        <w:rPr>
          <w:rFonts w:ascii="Times New Roman" w:hAnsi="Times New Roman" w:cs="Times New Roman"/>
          <w:b/>
          <w:bCs/>
          <w:sz w:val="28"/>
          <w:szCs w:val="28"/>
        </w:rPr>
        <w:t>lementary</w:t>
      </w:r>
      <w:r w:rsidRPr="00583FE5">
        <w:rPr>
          <w:rFonts w:ascii="Times New Roman" w:hAnsi="Times New Roman" w:cs="Times New Roman"/>
          <w:b/>
          <w:bCs/>
          <w:sz w:val="28"/>
          <w:szCs w:val="28"/>
        </w:rPr>
        <w:t xml:space="preserve"> figure legends</w:t>
      </w:r>
    </w:p>
    <w:p w14:paraId="3FCE6822" w14:textId="27E35E4F" w:rsidR="003006BC" w:rsidRPr="00583FE5" w:rsidRDefault="003006BC" w:rsidP="001A70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1. </w:t>
      </w:r>
      <w:r w:rsidR="001F6311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Serum FGF19 concentration</w:t>
      </w:r>
      <w:r w:rsidR="00BD3CB4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distribution,</w:t>
      </w:r>
      <w:r w:rsidR="001F6311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BD3CB4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ROC curve for native liver survival </w:t>
      </w:r>
      <w:r w:rsidR="00792049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and </w:t>
      </w:r>
      <w:r w:rsidR="00BD3CB4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native liver survival</w:t>
      </w:r>
      <w:r w:rsidR="00792049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1F6311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 sub</w:t>
      </w:r>
      <w:r w:rsidR="00B61601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  <w:r w:rsidR="001F6311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cohorts </w:t>
      </w:r>
      <w:r w:rsidR="00AF1CB8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of BA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792049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92049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(A)</w:t>
      </w:r>
      <w:r w:rsidR="00792049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90216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BD3CB4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erum</w:t>
      </w:r>
      <w:r w:rsidR="00BD3CB4"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1F6311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FGF19 levels </w:t>
      </w:r>
      <w:r w:rsidR="00BD3CB4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in all</w:t>
      </w:r>
      <w:r w:rsidR="00784E77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BA patients </w:t>
      </w:r>
      <w:r w:rsidR="00101FB6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E90216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 a linear scale </w:t>
      </w:r>
      <w:r w:rsidR="00792049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and (B)</w:t>
      </w:r>
      <w:r w:rsidR="00792049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311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according to sex. </w:t>
      </w:r>
      <w:r w:rsidR="00AF1CB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AF1CB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) </w:t>
      </w:r>
      <w:r w:rsidR="00AF1CB8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ROC curve of serum FGF19 concentration for native liver survival after KPE in BA.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The optimal cutoff 109 </w:t>
      </w:r>
      <w:proofErr w:type="spellStart"/>
      <w:r w:rsidRPr="00583FE5">
        <w:rPr>
          <w:rFonts w:ascii="Times New Roman" w:hAnsi="Times New Roman" w:cs="Times New Roman"/>
          <w:sz w:val="24"/>
          <w:szCs w:val="24"/>
          <w:lang w:val="en-US"/>
        </w:rPr>
        <w:t>pg</w:t>
      </w:r>
      <w:proofErr w:type="spellEnd"/>
      <w:r w:rsidRPr="00583FE5">
        <w:rPr>
          <w:rFonts w:ascii="Times New Roman" w:hAnsi="Times New Roman" w:cs="Times New Roman"/>
          <w:sz w:val="24"/>
          <w:szCs w:val="24"/>
          <w:lang w:val="en-US"/>
        </w:rPr>
        <w:t>/ml was identified based on maximum sum of specificity and sensitivity.</w:t>
      </w:r>
      <w:r w:rsidR="005D5968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Kaplan-Meier native liver survival curves according to serum FGF19 above or below 109 </w:t>
      </w:r>
      <w:proofErr w:type="spellStart"/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pg</w:t>
      </w:r>
      <w:proofErr w:type="spellEnd"/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/ml at the time of KPE for (D) patients </w:t>
      </w:r>
      <w:r w:rsidR="00C06FF1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without COJ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(P = </w:t>
      </w:r>
      <w:r w:rsidR="0021155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0.98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C06FF1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(E) patients with associated anomalies (P = </w:t>
      </w:r>
      <w:r w:rsidR="0021155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0.37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), and (F) patients </w:t>
      </w:r>
      <w:r w:rsidR="004C134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60 days of age at the time of KPE (P = </w:t>
      </w:r>
      <w:r w:rsidR="0021155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0.09</w:t>
      </w:r>
      <w:r w:rsidR="005D5968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). The shaded areas represent 95% CI.</w:t>
      </w:r>
      <w:r w:rsidR="00091B25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7BA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BA, biliary atresia;</w:t>
      </w:r>
      <w:r w:rsidR="002117BA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88D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KPE, Kasai portoenterostomy; </w:t>
      </w:r>
      <w:r w:rsidR="00091B25" w:rsidRPr="00583FE5">
        <w:rPr>
          <w:rFonts w:ascii="Times New Roman" w:hAnsi="Times New Roman" w:cs="Times New Roman"/>
          <w:sz w:val="24"/>
          <w:szCs w:val="24"/>
          <w:lang w:val="en-US"/>
        </w:rPr>
        <w:t>AUC, area under curve; ROC, receiving operator system</w:t>
      </w:r>
      <w:r w:rsidR="00293422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9342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COJ, clearance of jaundice</w:t>
      </w:r>
      <w:r w:rsidR="00D073A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; CI, confidence interval</w:t>
      </w:r>
      <w:r w:rsidR="00293422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683AFAAF" w14:textId="7A0BFDD5" w:rsidR="00C77A4A" w:rsidRPr="00583FE5" w:rsidRDefault="00C77A4A" w:rsidP="001A70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2. Serum concentration and liver mRNA expression of FGF19 by </w:t>
      </w:r>
      <w:r w:rsidR="001B651E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 of sample acquisition.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51E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0365DF" w:rsidRPr="00583FE5">
        <w:rPr>
          <w:rFonts w:ascii="Times New Roman" w:hAnsi="Times New Roman" w:cs="Times New Roman"/>
          <w:sz w:val="24"/>
          <w:szCs w:val="24"/>
          <w:lang w:val="en-US"/>
        </w:rPr>
        <w:t>No d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iminution </w:t>
      </w:r>
      <w:r w:rsidR="00766CF7" w:rsidRPr="00583FE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serum</w:t>
      </w:r>
      <w:r w:rsidR="00532B9E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concentrations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(R = -0.24, P = 0.03) or </w:t>
      </w:r>
      <w:r w:rsidR="001B651E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liver expression (R = -0.13, P = 0.30)</w:t>
      </w:r>
      <w:r w:rsidR="00C856D0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CF7" w:rsidRPr="00583FE5">
        <w:rPr>
          <w:rFonts w:ascii="Times New Roman" w:hAnsi="Times New Roman" w:cs="Times New Roman"/>
          <w:sz w:val="24"/>
          <w:szCs w:val="24"/>
          <w:lang w:val="en-US"/>
        </w:rPr>
        <w:t>occurred as function of storage time</w:t>
      </w:r>
      <w:r w:rsidR="00C856D0" w:rsidRPr="00583F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9E84D4" w14:textId="2CB25C55" w:rsidR="00E737BE" w:rsidRPr="00583FE5" w:rsidRDefault="00E737BE" w:rsidP="001A70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 w:rsidR="006A2FC1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. Internal validation of regression analyses with Bootstrapping method.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255" w:rsidRPr="00583F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5CE4" w:rsidRPr="00583FE5">
        <w:rPr>
          <w:rFonts w:ascii="Times New Roman" w:hAnsi="Times New Roman" w:cs="Times New Roman"/>
          <w:sz w:val="24"/>
          <w:szCs w:val="24"/>
          <w:lang w:val="en-US"/>
        </w:rPr>
        <w:t>redicti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ve</w:t>
      </w:r>
      <w:r w:rsidR="00245CE4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value of FGF19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60F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for native liver survival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009AD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validation cohorts of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(A) all patients, (B) </w:t>
      </w:r>
      <w:r w:rsidR="007607D8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isolated BA, (C) patients &lt;60 days of age at the time of KPE, (D) COJ patients, and (E) patients without COJ. </w:t>
      </w:r>
      <w:r w:rsidR="00245CE4" w:rsidRPr="00583FE5">
        <w:rPr>
          <w:rFonts w:ascii="Times New Roman" w:hAnsi="Times New Roman" w:cs="Times New Roman"/>
          <w:sz w:val="24"/>
          <w:szCs w:val="24"/>
          <w:lang w:val="en-US"/>
        </w:rPr>
        <w:t>Density plots display distribution and mean of hazard ratios</w:t>
      </w:r>
      <w:r w:rsidR="007607D8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analyzed from 1000 </w:t>
      </w:r>
      <w:r w:rsidR="001C7EF9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regression model </w:t>
      </w:r>
      <w:r w:rsidR="007607D8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repetitions of resampling </w:t>
      </w:r>
      <w:r w:rsidR="001C7EF9" w:rsidRPr="00583F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607D8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replacements</w:t>
      </w:r>
      <w:r w:rsidR="00EB764F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of the data</w:t>
      </w:r>
      <w:r w:rsidR="00245CE4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5487" w:rsidRPr="00583FE5">
        <w:rPr>
          <w:rFonts w:ascii="Times New Roman" w:hAnsi="Times New Roman" w:cs="Times New Roman"/>
          <w:sz w:val="24"/>
          <w:szCs w:val="24"/>
          <w:u w:val="single"/>
        </w:rPr>
        <w:t>Logarithmically transformed serum</w:t>
      </w:r>
      <w:r w:rsidR="000F5487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0F5487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FGF19 levels were used in Cox proportional hazards regression models.</w:t>
      </w:r>
      <w:r w:rsidR="0018578A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78A" w:rsidRPr="00583FE5">
        <w:rPr>
          <w:rFonts w:ascii="Times New Roman" w:hAnsi="Times New Roman" w:cs="Times New Roman"/>
          <w:sz w:val="24"/>
          <w:szCs w:val="24"/>
        </w:rPr>
        <w:t>KPE, Kasai portoenterostomy; COJ, clearance of jaundice</w:t>
      </w:r>
      <w:r w:rsidR="008361B2" w:rsidRPr="00583FE5">
        <w:rPr>
          <w:rFonts w:ascii="Times New Roman" w:hAnsi="Times New Roman" w:cs="Times New Roman"/>
          <w:sz w:val="24"/>
          <w:szCs w:val="24"/>
        </w:rPr>
        <w:t>.</w:t>
      </w:r>
    </w:p>
    <w:p w14:paraId="79FB7DE9" w14:textId="507AA1C3" w:rsidR="00F65D3C" w:rsidRPr="00583FE5" w:rsidRDefault="00F65D3C" w:rsidP="001A70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4. </w:t>
      </w:r>
      <w:r w:rsidR="008D20D5" w:rsidRPr="00583FE5">
        <w:rPr>
          <w:rFonts w:ascii="Times New Roman" w:hAnsi="Times New Roman" w:cs="Times New Roman"/>
          <w:b/>
          <w:bCs/>
          <w:sz w:val="24"/>
          <w:szCs w:val="24"/>
        </w:rPr>
        <w:t>Expression of l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iver </w:t>
      </w:r>
      <w:r w:rsidR="006C7173" w:rsidRPr="00583F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FGF19</w:t>
      </w:r>
      <w:r w:rsidR="006C7173"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8D20D5"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other bile acid metabolism genes 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normalized to </w:t>
      </w:r>
      <w:proofErr w:type="spellStart"/>
      <w:r w:rsidRPr="00583FE5">
        <w:rPr>
          <w:rFonts w:ascii="Times New Roman" w:hAnsi="Times New Roman" w:cs="Times New Roman"/>
          <w:b/>
          <w:bCs/>
          <w:sz w:val="24"/>
          <w:szCs w:val="24"/>
        </w:rPr>
        <w:t>cholangiocyte</w:t>
      </w:r>
      <w:proofErr w:type="spellEnd"/>
      <w:r w:rsidRPr="00583FE5">
        <w:rPr>
          <w:rFonts w:ascii="Times New Roman" w:hAnsi="Times New Roman" w:cs="Times New Roman"/>
          <w:b/>
          <w:bCs/>
          <w:sz w:val="24"/>
          <w:szCs w:val="24"/>
        </w:rPr>
        <w:t xml:space="preserve"> and hepatocyte </w:t>
      </w:r>
      <w:r w:rsidR="008D20D5" w:rsidRPr="00583FE5">
        <w:rPr>
          <w:rFonts w:ascii="Times New Roman" w:hAnsi="Times New Roman" w:cs="Times New Roman"/>
          <w:b/>
          <w:bCs/>
          <w:sz w:val="24"/>
          <w:szCs w:val="24"/>
        </w:rPr>
        <w:t>control genes</w:t>
      </w:r>
      <w:r w:rsidRPr="00583F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4F5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E172A7" w:rsidRPr="00583FE5">
        <w:rPr>
          <w:rFonts w:ascii="Times New Roman" w:hAnsi="Times New Roman" w:cs="Times New Roman"/>
          <w:sz w:val="24"/>
          <w:szCs w:val="24"/>
        </w:rPr>
        <w:t>(A) Liver</w:t>
      </w:r>
      <w:r w:rsidR="00E62AC9" w:rsidRPr="00583FE5">
        <w:rPr>
          <w:rFonts w:ascii="Times New Roman" w:hAnsi="Times New Roman" w:cs="Times New Roman"/>
          <w:sz w:val="24"/>
          <w:szCs w:val="24"/>
        </w:rPr>
        <w:t xml:space="preserve"> mRNA</w:t>
      </w:r>
      <w:r w:rsidR="00E172A7" w:rsidRPr="00583FE5">
        <w:rPr>
          <w:rFonts w:ascii="Times New Roman" w:hAnsi="Times New Roman" w:cs="Times New Roman"/>
          <w:sz w:val="24"/>
          <w:szCs w:val="24"/>
        </w:rPr>
        <w:t xml:space="preserve"> expression of </w:t>
      </w:r>
      <w:r w:rsidR="00E172A7" w:rsidRPr="00583FE5">
        <w:rPr>
          <w:rFonts w:ascii="Times New Roman" w:hAnsi="Times New Roman" w:cs="Times New Roman"/>
          <w:i/>
          <w:iCs/>
          <w:sz w:val="24"/>
          <w:szCs w:val="24"/>
        </w:rPr>
        <w:t>FGF19</w:t>
      </w:r>
      <w:r w:rsidR="00E172A7" w:rsidRPr="00583FE5">
        <w:rPr>
          <w:rFonts w:ascii="Times New Roman" w:hAnsi="Times New Roman" w:cs="Times New Roman"/>
          <w:sz w:val="24"/>
          <w:szCs w:val="24"/>
        </w:rPr>
        <w:t xml:space="preserve"> normalized to </w:t>
      </w:r>
      <w:r w:rsidR="00E172A7" w:rsidRPr="00583FE5">
        <w:rPr>
          <w:rFonts w:ascii="Times New Roman" w:hAnsi="Times New Roman" w:cs="Times New Roman"/>
          <w:i/>
          <w:iCs/>
          <w:sz w:val="24"/>
          <w:szCs w:val="24"/>
        </w:rPr>
        <w:t>KRT19</w:t>
      </w:r>
      <w:r w:rsidR="00E172A7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CB4907" w:rsidRPr="00583FE5">
        <w:rPr>
          <w:rFonts w:ascii="Times New Roman" w:hAnsi="Times New Roman" w:cs="Times New Roman"/>
          <w:sz w:val="24"/>
          <w:szCs w:val="24"/>
        </w:rPr>
        <w:t xml:space="preserve">for cholangiocytes and (B) HMGCR for hepatocytes </w:t>
      </w:r>
      <w:r w:rsidR="00E172A7" w:rsidRPr="00583FE5">
        <w:rPr>
          <w:rFonts w:ascii="Times New Roman" w:hAnsi="Times New Roman" w:cs="Times New Roman"/>
          <w:sz w:val="24"/>
          <w:szCs w:val="24"/>
        </w:rPr>
        <w:t>in BA at</w:t>
      </w:r>
      <w:r w:rsidR="00EB7C08" w:rsidRPr="00583FE5">
        <w:rPr>
          <w:rFonts w:ascii="Times New Roman" w:hAnsi="Times New Roman" w:cs="Times New Roman"/>
          <w:sz w:val="24"/>
          <w:szCs w:val="24"/>
        </w:rPr>
        <w:t xml:space="preserve"> the</w:t>
      </w:r>
      <w:r w:rsidR="00E172A7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E172A7" w:rsidRPr="00583FE5">
        <w:rPr>
          <w:rFonts w:ascii="Times New Roman" w:hAnsi="Times New Roman" w:cs="Times New Roman"/>
          <w:sz w:val="24"/>
          <w:szCs w:val="24"/>
        </w:rPr>
        <w:lastRenderedPageBreak/>
        <w:t xml:space="preserve">time of KPE. </w:t>
      </w:r>
      <w:r w:rsidR="00B31151" w:rsidRPr="00583FE5">
        <w:rPr>
          <w:rFonts w:ascii="Times New Roman" w:hAnsi="Times New Roman" w:cs="Times New Roman"/>
          <w:sz w:val="24"/>
          <w:szCs w:val="24"/>
        </w:rPr>
        <w:t>(</w:t>
      </w:r>
      <w:r w:rsidR="00CB4907" w:rsidRPr="00583FE5">
        <w:rPr>
          <w:rFonts w:ascii="Times New Roman" w:hAnsi="Times New Roman" w:cs="Times New Roman"/>
          <w:sz w:val="24"/>
          <w:szCs w:val="24"/>
        </w:rPr>
        <w:t>C</w:t>
      </w:r>
      <w:r w:rsidR="00B31151" w:rsidRPr="00583FE5">
        <w:rPr>
          <w:rFonts w:ascii="Times New Roman" w:hAnsi="Times New Roman" w:cs="Times New Roman"/>
          <w:sz w:val="24"/>
          <w:szCs w:val="24"/>
        </w:rPr>
        <w:t xml:space="preserve">) </w:t>
      </w:r>
      <w:r w:rsidR="00A314F5" w:rsidRPr="00583FE5">
        <w:rPr>
          <w:rFonts w:ascii="Times New Roman" w:hAnsi="Times New Roman" w:cs="Times New Roman"/>
          <w:sz w:val="24"/>
          <w:szCs w:val="24"/>
        </w:rPr>
        <w:t xml:space="preserve">Liver mRNA expression of </w:t>
      </w:r>
      <w:r w:rsidR="00A314F5" w:rsidRPr="00583FE5">
        <w:rPr>
          <w:rFonts w:ascii="Times New Roman" w:hAnsi="Times New Roman" w:cs="Times New Roman"/>
          <w:sz w:val="24"/>
          <w:szCs w:val="24"/>
          <w:lang w:val="en-US"/>
        </w:rPr>
        <w:t>FXR (</w:t>
      </w:r>
      <w:r w:rsidR="00A314F5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NR1H4</w:t>
      </w:r>
      <w:r w:rsidR="00A314F5" w:rsidRPr="00583FE5">
        <w:rPr>
          <w:rFonts w:ascii="Times New Roman" w:hAnsi="Times New Roman" w:cs="Times New Roman"/>
          <w:sz w:val="24"/>
          <w:szCs w:val="24"/>
          <w:lang w:val="en-US"/>
        </w:rPr>
        <w:t>), SHP (</w:t>
      </w:r>
      <w:r w:rsidR="00A314F5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NR0B2</w:t>
      </w:r>
      <w:r w:rsidR="00A314F5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314F5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FGFR4,</w:t>
      </w:r>
      <w:r w:rsidR="00A314F5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4F5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KLB</w:t>
      </w:r>
      <w:r w:rsidR="00A314F5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14F5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CYP7A1</w:t>
      </w:r>
      <w:r w:rsidR="00A314F5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14F5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CYP8B1</w:t>
      </w:r>
      <w:r w:rsidR="00A314F5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314F5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CYP27A1 </w:t>
      </w:r>
      <w:r w:rsidR="006C7173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normalized to </w:t>
      </w:r>
      <w:r w:rsidR="006C7173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KRT19 </w:t>
      </w:r>
      <w:r w:rsidR="006C7173" w:rsidRPr="00583FE5">
        <w:rPr>
          <w:rFonts w:ascii="Times New Roman" w:hAnsi="Times New Roman" w:cs="Times New Roman"/>
          <w:sz w:val="24"/>
          <w:szCs w:val="24"/>
          <w:lang w:val="en-US"/>
        </w:rPr>
        <w:t>(cholangiocytes) and (</w:t>
      </w:r>
      <w:r w:rsidR="00CB4907" w:rsidRPr="00583F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7173" w:rsidRPr="00583F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7173"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HMGCR </w:t>
      </w:r>
      <w:r w:rsidR="006C7173" w:rsidRPr="00583FE5">
        <w:rPr>
          <w:rFonts w:ascii="Times New Roman" w:hAnsi="Times New Roman" w:cs="Times New Roman"/>
          <w:sz w:val="24"/>
          <w:szCs w:val="24"/>
          <w:lang w:val="en-US"/>
        </w:rPr>
        <w:t>(hepatocytes).</w:t>
      </w:r>
      <w:r w:rsidR="00E72865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Violin plots display median, interquartile range and individual data points</w:t>
      </w:r>
      <w:r w:rsidR="00936D84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. Expression levels are presented as fold-changes relative to normal controls and P-values were corrected for multiple comparisons with </w:t>
      </w:r>
      <w:proofErr w:type="spellStart"/>
      <w:r w:rsidR="00936D84" w:rsidRPr="00583FE5">
        <w:rPr>
          <w:rFonts w:ascii="Times New Roman" w:hAnsi="Times New Roman" w:cs="Times New Roman"/>
          <w:sz w:val="24"/>
          <w:szCs w:val="24"/>
          <w:lang w:val="en-US"/>
        </w:rPr>
        <w:t>Benjamini</w:t>
      </w:r>
      <w:proofErr w:type="spellEnd"/>
      <w:r w:rsidR="00936D84" w:rsidRPr="00583FE5">
        <w:rPr>
          <w:rFonts w:ascii="Times New Roman" w:hAnsi="Times New Roman" w:cs="Times New Roman"/>
          <w:sz w:val="24"/>
          <w:szCs w:val="24"/>
          <w:lang w:val="en-US"/>
        </w:rPr>
        <w:t>- Hochberg method</w:t>
      </w:r>
      <w:r w:rsidR="00652F30" w:rsidRPr="00583F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6D84" w:rsidRPr="00583FE5">
        <w:rPr>
          <w:rFonts w:ascii="Times New Roman" w:hAnsi="Times New Roman" w:cs="Times New Roman"/>
          <w:sz w:val="24"/>
          <w:szCs w:val="24"/>
        </w:rPr>
        <w:t xml:space="preserve"> </w:t>
      </w:r>
      <w:r w:rsidR="00936D84" w:rsidRPr="00583FE5">
        <w:rPr>
          <w:rFonts w:ascii="Times New Roman" w:hAnsi="Times New Roman" w:cs="Times New Roman"/>
          <w:sz w:val="24"/>
          <w:szCs w:val="24"/>
          <w:lang w:val="en-US"/>
        </w:rPr>
        <w:t>*P &lt; 0.05, **P &lt; 0.01. BA, biliary atresia; DC, disease control; FGF19, fibroblast growth factor 19; NC, normal control.</w:t>
      </w:r>
    </w:p>
    <w:p w14:paraId="6C5DED8E" w14:textId="29A8BAB5" w:rsidR="003006BC" w:rsidRPr="00583FE5" w:rsidRDefault="003006BC" w:rsidP="001A70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 w:rsidR="0059234D"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83FE5">
        <w:rPr>
          <w:rFonts w:ascii="Times New Roman" w:hAnsi="Times New Roman" w:cs="Times New Roman"/>
          <w:b/>
          <w:bCs/>
          <w:sz w:val="24"/>
          <w:szCs w:val="24"/>
          <w:lang w:val="en-US"/>
        </w:rPr>
        <w:t>. Liver mRNA expression of bile acid transporter genes.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Liver mRNA expression of (A) MRP2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ABCC2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), MRP3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ABCC3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), and MRP4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ABCC4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) and MDR3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ABCB4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), and (B) NTCP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SLC10A1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), BSEP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ABCB11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), OSTα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SLC51A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) and OSTβ (</w:t>
      </w:r>
      <w:r w:rsidRPr="00583FE5">
        <w:rPr>
          <w:rFonts w:ascii="Times New Roman" w:hAnsi="Times New Roman" w:cs="Times New Roman"/>
          <w:i/>
          <w:iCs/>
          <w:sz w:val="24"/>
          <w:szCs w:val="24"/>
          <w:lang w:val="en-US"/>
        </w:rPr>
        <w:t>SLC51B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) in BA at the time of KPE, age-matched cholestatic disease controls (DC) and normal controls (NC). </w:t>
      </w:r>
      <w:r w:rsidR="00862917"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>Violin plots display median, interquartile range and individual data points</w:t>
      </w:r>
      <w:r w:rsidR="00652F30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05FA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Expression levels were </w:t>
      </w:r>
      <w:r w:rsidR="008C05FA" w:rsidRPr="00583FE5">
        <w:rPr>
          <w:rFonts w:ascii="Times New Roman" w:hAnsi="Times New Roman" w:cs="Times New Roman"/>
          <w:sz w:val="24"/>
          <w:szCs w:val="24"/>
        </w:rPr>
        <w:t>normalised to arithmetic mean of four housekeeping genes (</w:t>
      </w:r>
      <w:r w:rsidR="008C05FA" w:rsidRPr="00583FE5">
        <w:rPr>
          <w:rFonts w:ascii="Times New Roman" w:hAnsi="Times New Roman" w:cs="Times New Roman"/>
          <w:i/>
          <w:iCs/>
          <w:sz w:val="24"/>
          <w:szCs w:val="24"/>
        </w:rPr>
        <w:t xml:space="preserve">GAPDH, ACTB, B2M, </w:t>
      </w:r>
      <w:r w:rsidR="008C05FA" w:rsidRPr="00583FE5">
        <w:rPr>
          <w:rFonts w:ascii="Times New Roman" w:hAnsi="Times New Roman" w:cs="Times New Roman"/>
          <w:sz w:val="24"/>
          <w:szCs w:val="24"/>
        </w:rPr>
        <w:t>and</w:t>
      </w:r>
      <w:r w:rsidR="008C05FA" w:rsidRPr="00583FE5">
        <w:rPr>
          <w:rFonts w:ascii="Times New Roman" w:hAnsi="Times New Roman" w:cs="Times New Roman"/>
          <w:i/>
          <w:iCs/>
          <w:sz w:val="24"/>
          <w:szCs w:val="24"/>
        </w:rPr>
        <w:t xml:space="preserve"> HPRT1</w:t>
      </w:r>
      <w:r w:rsidR="008C05FA" w:rsidRPr="00583FE5">
        <w:rPr>
          <w:rFonts w:ascii="Times New Roman" w:hAnsi="Times New Roman" w:cs="Times New Roman"/>
          <w:sz w:val="24"/>
          <w:szCs w:val="24"/>
        </w:rPr>
        <w:t xml:space="preserve">) and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>presented as fold-changes relative to normal controls</w:t>
      </w:r>
      <w:r w:rsidR="008C05FA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P-values were corrected for multiple comparisons with </w:t>
      </w:r>
      <w:proofErr w:type="spellStart"/>
      <w:r w:rsidRPr="00583FE5">
        <w:rPr>
          <w:rFonts w:ascii="Times New Roman" w:hAnsi="Times New Roman" w:cs="Times New Roman"/>
          <w:sz w:val="24"/>
          <w:szCs w:val="24"/>
          <w:lang w:val="en-US"/>
        </w:rPr>
        <w:t>Benjamini</w:t>
      </w:r>
      <w:proofErr w:type="spellEnd"/>
      <w:r w:rsidRPr="00583F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C1022"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Hochberg</w:t>
      </w:r>
      <w:r w:rsidRPr="00583FE5">
        <w:rPr>
          <w:rFonts w:ascii="Times New Roman" w:hAnsi="Times New Roman" w:cs="Times New Roman"/>
          <w:sz w:val="24"/>
          <w:szCs w:val="24"/>
          <w:lang w:val="en-US"/>
        </w:rPr>
        <w:t xml:space="preserve"> method. </w:t>
      </w:r>
      <w:r w:rsidR="00652F30" w:rsidRPr="00583FE5">
        <w:rPr>
          <w:rFonts w:ascii="Times New Roman" w:hAnsi="Times New Roman" w:cs="Times New Roman"/>
          <w:sz w:val="24"/>
          <w:szCs w:val="24"/>
          <w:lang w:val="en-US"/>
        </w:rPr>
        <w:t>*P &lt; 0.05, **P &lt; 0.01. BA, biliary atresia; DC, disease control; NC, normal control.</w:t>
      </w:r>
    </w:p>
    <w:p w14:paraId="2D96A008" w14:textId="4EE64EA2" w:rsidR="00A75300" w:rsidRPr="00FC5864" w:rsidRDefault="00A75300" w:rsidP="001A708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3F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Supplementary Figure 6. Liver FGF19 expression localized mainly in hepatocytes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Liver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In situ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hybridization at the time of KPE in BA. (A)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FGF19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HPX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(hepatocytes),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KRT19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(cholangiocytes), and merge. (B)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FGF19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HPX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ACTA2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(activated myofibroblasts), and merge.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FGF19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expressed in hepatocytes with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HPX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in </w:t>
      </w:r>
      <w:r w:rsidRPr="00583FE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ACTA2</w:t>
      </w:r>
      <w:r w:rsidRPr="00583F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negative parenchymal cells. (C) Immunostaining of FGF19 was observed in periportal hepatocytes, bile ductular cholangiocytes and occasional spindle-like parenchymal cells. (D) No immunostaining was seen in healthy liver. (For details, see Methods). BA, biliary atresia; FGF19, fibroblast growth factor 19; NC, normal control.</w:t>
      </w:r>
    </w:p>
    <w:sectPr w:rsidR="00A75300" w:rsidRPr="00FC5864" w:rsidSect="001A7083">
      <w:headerReference w:type="default" r:id="rId11"/>
      <w:pgSz w:w="11906" w:h="16838"/>
      <w:pgMar w:top="1417" w:right="1134" w:bottom="1417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0441" w14:textId="77777777" w:rsidR="005277C2" w:rsidRDefault="005277C2" w:rsidP="00CF57F7">
      <w:pPr>
        <w:spacing w:after="0" w:line="240" w:lineRule="auto"/>
      </w:pPr>
      <w:r>
        <w:separator/>
      </w:r>
    </w:p>
  </w:endnote>
  <w:endnote w:type="continuationSeparator" w:id="0">
    <w:p w14:paraId="0ABC5A3E" w14:textId="77777777" w:rsidR="005277C2" w:rsidRDefault="005277C2" w:rsidP="00CF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8139" w14:textId="77777777" w:rsidR="005277C2" w:rsidRDefault="005277C2" w:rsidP="00CF57F7">
      <w:pPr>
        <w:spacing w:after="0" w:line="240" w:lineRule="auto"/>
      </w:pPr>
      <w:r>
        <w:separator/>
      </w:r>
    </w:p>
  </w:footnote>
  <w:footnote w:type="continuationSeparator" w:id="0">
    <w:p w14:paraId="53A27D30" w14:textId="77777777" w:rsidR="005277C2" w:rsidRDefault="005277C2" w:rsidP="00CF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678584"/>
      <w:docPartObj>
        <w:docPartGallery w:val="Page Numbers (Top of Page)"/>
        <w:docPartUnique/>
      </w:docPartObj>
    </w:sdtPr>
    <w:sdtEndPr/>
    <w:sdtContent>
      <w:p w14:paraId="25F09983" w14:textId="554C1435" w:rsidR="001A7083" w:rsidRDefault="001A708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667E8F18" w14:textId="77777777" w:rsidR="001A7083" w:rsidRDefault="001A7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F57F7" w14:paraId="06C77158" w14:textId="77777777">
      <w:trPr>
        <w:trHeight w:val="720"/>
      </w:trPr>
      <w:tc>
        <w:tcPr>
          <w:tcW w:w="1667" w:type="pct"/>
        </w:tcPr>
        <w:p w14:paraId="7B234C79" w14:textId="77777777" w:rsidR="00CF57F7" w:rsidRDefault="00CF57F7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1439A5D0" w14:textId="77777777" w:rsidR="00CF57F7" w:rsidRDefault="00CF57F7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029AC6C0" w14:textId="77777777" w:rsidR="00CF57F7" w:rsidRDefault="00CF57F7">
          <w:pPr>
            <w:pStyle w:val="Header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  <w:lang w:val="fi-FI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08792ECE" w14:textId="77777777" w:rsidR="00CF57F7" w:rsidRDefault="00CF5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D2"/>
    <w:rsid w:val="000009AD"/>
    <w:rsid w:val="00002B9A"/>
    <w:rsid w:val="00010BCE"/>
    <w:rsid w:val="00021C4A"/>
    <w:rsid w:val="00027C55"/>
    <w:rsid w:val="000365DF"/>
    <w:rsid w:val="00040112"/>
    <w:rsid w:val="00055D79"/>
    <w:rsid w:val="000628C5"/>
    <w:rsid w:val="00074492"/>
    <w:rsid w:val="0008080C"/>
    <w:rsid w:val="00081272"/>
    <w:rsid w:val="0009151D"/>
    <w:rsid w:val="00091B25"/>
    <w:rsid w:val="000A3DC2"/>
    <w:rsid w:val="000A3ECA"/>
    <w:rsid w:val="000B28D7"/>
    <w:rsid w:val="000C6BE0"/>
    <w:rsid w:val="000C748E"/>
    <w:rsid w:val="000D346E"/>
    <w:rsid w:val="000D4AA3"/>
    <w:rsid w:val="000E06A5"/>
    <w:rsid w:val="000E2CFA"/>
    <w:rsid w:val="000F192B"/>
    <w:rsid w:val="000F5487"/>
    <w:rsid w:val="00101FB6"/>
    <w:rsid w:val="00104ACB"/>
    <w:rsid w:val="00106CE8"/>
    <w:rsid w:val="0011299F"/>
    <w:rsid w:val="00122092"/>
    <w:rsid w:val="00123A6C"/>
    <w:rsid w:val="00124DDA"/>
    <w:rsid w:val="001345E0"/>
    <w:rsid w:val="00137783"/>
    <w:rsid w:val="00155522"/>
    <w:rsid w:val="00166D95"/>
    <w:rsid w:val="00172050"/>
    <w:rsid w:val="00172BA6"/>
    <w:rsid w:val="0018116F"/>
    <w:rsid w:val="0018578A"/>
    <w:rsid w:val="0018714F"/>
    <w:rsid w:val="00196A96"/>
    <w:rsid w:val="001A578C"/>
    <w:rsid w:val="001A7083"/>
    <w:rsid w:val="001B49E1"/>
    <w:rsid w:val="001B651E"/>
    <w:rsid w:val="001B76E2"/>
    <w:rsid w:val="001C5A50"/>
    <w:rsid w:val="001C7EF9"/>
    <w:rsid w:val="001D5AE4"/>
    <w:rsid w:val="001E6C43"/>
    <w:rsid w:val="001F09DF"/>
    <w:rsid w:val="001F136D"/>
    <w:rsid w:val="001F6311"/>
    <w:rsid w:val="00201375"/>
    <w:rsid w:val="00211552"/>
    <w:rsid w:val="002117BA"/>
    <w:rsid w:val="002136E4"/>
    <w:rsid w:val="002323FD"/>
    <w:rsid w:val="00235980"/>
    <w:rsid w:val="00237789"/>
    <w:rsid w:val="002415D2"/>
    <w:rsid w:val="002435B7"/>
    <w:rsid w:val="00245CE4"/>
    <w:rsid w:val="0025338E"/>
    <w:rsid w:val="0025608F"/>
    <w:rsid w:val="00272972"/>
    <w:rsid w:val="002864E7"/>
    <w:rsid w:val="00291743"/>
    <w:rsid w:val="002923BC"/>
    <w:rsid w:val="00293422"/>
    <w:rsid w:val="002A3F2A"/>
    <w:rsid w:val="002B0EAE"/>
    <w:rsid w:val="002B1273"/>
    <w:rsid w:val="002C357A"/>
    <w:rsid w:val="002E0C86"/>
    <w:rsid w:val="002E3721"/>
    <w:rsid w:val="002F0589"/>
    <w:rsid w:val="002F11E6"/>
    <w:rsid w:val="002F7097"/>
    <w:rsid w:val="003006BC"/>
    <w:rsid w:val="00307A30"/>
    <w:rsid w:val="00312413"/>
    <w:rsid w:val="00331C57"/>
    <w:rsid w:val="00342F84"/>
    <w:rsid w:val="00350A38"/>
    <w:rsid w:val="0036148D"/>
    <w:rsid w:val="00363DA2"/>
    <w:rsid w:val="00382F22"/>
    <w:rsid w:val="0038683C"/>
    <w:rsid w:val="003878CD"/>
    <w:rsid w:val="0039268E"/>
    <w:rsid w:val="003A2345"/>
    <w:rsid w:val="003A2F9F"/>
    <w:rsid w:val="003B38DE"/>
    <w:rsid w:val="003B4532"/>
    <w:rsid w:val="003B73AE"/>
    <w:rsid w:val="003C2534"/>
    <w:rsid w:val="003C300B"/>
    <w:rsid w:val="003D1E88"/>
    <w:rsid w:val="003E309F"/>
    <w:rsid w:val="003F5A08"/>
    <w:rsid w:val="00406558"/>
    <w:rsid w:val="00416C1C"/>
    <w:rsid w:val="00417208"/>
    <w:rsid w:val="00421AD4"/>
    <w:rsid w:val="004274D0"/>
    <w:rsid w:val="00431C5B"/>
    <w:rsid w:val="00432225"/>
    <w:rsid w:val="0044122A"/>
    <w:rsid w:val="00441882"/>
    <w:rsid w:val="004478D2"/>
    <w:rsid w:val="0045128B"/>
    <w:rsid w:val="004676ED"/>
    <w:rsid w:val="0046793F"/>
    <w:rsid w:val="00473138"/>
    <w:rsid w:val="00476BFB"/>
    <w:rsid w:val="00480DA2"/>
    <w:rsid w:val="00490E37"/>
    <w:rsid w:val="00491139"/>
    <w:rsid w:val="004A0E5B"/>
    <w:rsid w:val="004B1409"/>
    <w:rsid w:val="004B3277"/>
    <w:rsid w:val="004C1348"/>
    <w:rsid w:val="004C1A2C"/>
    <w:rsid w:val="004C3958"/>
    <w:rsid w:val="004C3ABA"/>
    <w:rsid w:val="004C4007"/>
    <w:rsid w:val="004D28D4"/>
    <w:rsid w:val="004E06AC"/>
    <w:rsid w:val="004E4456"/>
    <w:rsid w:val="004E595D"/>
    <w:rsid w:val="004F0042"/>
    <w:rsid w:val="004F391F"/>
    <w:rsid w:val="00504FAB"/>
    <w:rsid w:val="005100BC"/>
    <w:rsid w:val="005277C2"/>
    <w:rsid w:val="00530907"/>
    <w:rsid w:val="00531C0E"/>
    <w:rsid w:val="00532B9E"/>
    <w:rsid w:val="00543253"/>
    <w:rsid w:val="00544F7D"/>
    <w:rsid w:val="00546FE4"/>
    <w:rsid w:val="00550DC1"/>
    <w:rsid w:val="005563C9"/>
    <w:rsid w:val="00561CA2"/>
    <w:rsid w:val="00566790"/>
    <w:rsid w:val="00567E44"/>
    <w:rsid w:val="005723A4"/>
    <w:rsid w:val="00577CA3"/>
    <w:rsid w:val="00583FE5"/>
    <w:rsid w:val="0059234D"/>
    <w:rsid w:val="005A6E87"/>
    <w:rsid w:val="005A707E"/>
    <w:rsid w:val="005C1022"/>
    <w:rsid w:val="005D279B"/>
    <w:rsid w:val="005D5968"/>
    <w:rsid w:val="005D65E5"/>
    <w:rsid w:val="005D713C"/>
    <w:rsid w:val="005F023A"/>
    <w:rsid w:val="005F4388"/>
    <w:rsid w:val="006035EE"/>
    <w:rsid w:val="00603D66"/>
    <w:rsid w:val="00614A58"/>
    <w:rsid w:val="00626219"/>
    <w:rsid w:val="00637E78"/>
    <w:rsid w:val="00652F30"/>
    <w:rsid w:val="006675DC"/>
    <w:rsid w:val="00676703"/>
    <w:rsid w:val="00683C21"/>
    <w:rsid w:val="00683FC9"/>
    <w:rsid w:val="00695ED0"/>
    <w:rsid w:val="006A2FC1"/>
    <w:rsid w:val="006B55A0"/>
    <w:rsid w:val="006C0A91"/>
    <w:rsid w:val="006C7173"/>
    <w:rsid w:val="006D1573"/>
    <w:rsid w:val="006E1AAE"/>
    <w:rsid w:val="006E211D"/>
    <w:rsid w:val="006E2B23"/>
    <w:rsid w:val="006E787C"/>
    <w:rsid w:val="00714552"/>
    <w:rsid w:val="00717913"/>
    <w:rsid w:val="00733E70"/>
    <w:rsid w:val="0074057A"/>
    <w:rsid w:val="00756BD7"/>
    <w:rsid w:val="007607D8"/>
    <w:rsid w:val="00765BC6"/>
    <w:rsid w:val="00766CF7"/>
    <w:rsid w:val="00776DDC"/>
    <w:rsid w:val="007825B5"/>
    <w:rsid w:val="00784BE5"/>
    <w:rsid w:val="00784E77"/>
    <w:rsid w:val="00792049"/>
    <w:rsid w:val="0079399A"/>
    <w:rsid w:val="00795882"/>
    <w:rsid w:val="007A399D"/>
    <w:rsid w:val="007A5C6B"/>
    <w:rsid w:val="007B224B"/>
    <w:rsid w:val="007B3255"/>
    <w:rsid w:val="007B595F"/>
    <w:rsid w:val="007B7782"/>
    <w:rsid w:val="007B7982"/>
    <w:rsid w:val="007C7386"/>
    <w:rsid w:val="007D043C"/>
    <w:rsid w:val="007E07D5"/>
    <w:rsid w:val="007E337B"/>
    <w:rsid w:val="007E3F36"/>
    <w:rsid w:val="007E6A76"/>
    <w:rsid w:val="008023AA"/>
    <w:rsid w:val="00806FC8"/>
    <w:rsid w:val="008361B2"/>
    <w:rsid w:val="008459AA"/>
    <w:rsid w:val="00856E17"/>
    <w:rsid w:val="0085729D"/>
    <w:rsid w:val="00857C41"/>
    <w:rsid w:val="0086144C"/>
    <w:rsid w:val="00862917"/>
    <w:rsid w:val="00862EE5"/>
    <w:rsid w:val="00864BE3"/>
    <w:rsid w:val="00865F08"/>
    <w:rsid w:val="00880EB4"/>
    <w:rsid w:val="00895D27"/>
    <w:rsid w:val="008A287D"/>
    <w:rsid w:val="008A2E67"/>
    <w:rsid w:val="008A4176"/>
    <w:rsid w:val="008C05FA"/>
    <w:rsid w:val="008C0D76"/>
    <w:rsid w:val="008C600C"/>
    <w:rsid w:val="008C69ED"/>
    <w:rsid w:val="008D20D5"/>
    <w:rsid w:val="008D5222"/>
    <w:rsid w:val="008D66BA"/>
    <w:rsid w:val="008E3FA6"/>
    <w:rsid w:val="008F0372"/>
    <w:rsid w:val="008F694E"/>
    <w:rsid w:val="00901EBE"/>
    <w:rsid w:val="00903F76"/>
    <w:rsid w:val="0091302B"/>
    <w:rsid w:val="00915340"/>
    <w:rsid w:val="00926004"/>
    <w:rsid w:val="0092722C"/>
    <w:rsid w:val="009367EA"/>
    <w:rsid w:val="00936D84"/>
    <w:rsid w:val="00956257"/>
    <w:rsid w:val="009605DB"/>
    <w:rsid w:val="00965AE7"/>
    <w:rsid w:val="00967253"/>
    <w:rsid w:val="0097221B"/>
    <w:rsid w:val="00975A6C"/>
    <w:rsid w:val="00977EC2"/>
    <w:rsid w:val="00980A4D"/>
    <w:rsid w:val="00981FD6"/>
    <w:rsid w:val="009A0E32"/>
    <w:rsid w:val="009B10A6"/>
    <w:rsid w:val="009B6067"/>
    <w:rsid w:val="009C0EDE"/>
    <w:rsid w:val="009D2C8B"/>
    <w:rsid w:val="009D43BC"/>
    <w:rsid w:val="009E257F"/>
    <w:rsid w:val="009E7292"/>
    <w:rsid w:val="009F51FA"/>
    <w:rsid w:val="009F5B6C"/>
    <w:rsid w:val="009F69F6"/>
    <w:rsid w:val="00A01FAF"/>
    <w:rsid w:val="00A02C70"/>
    <w:rsid w:val="00A0313B"/>
    <w:rsid w:val="00A26100"/>
    <w:rsid w:val="00A314F5"/>
    <w:rsid w:val="00A343AD"/>
    <w:rsid w:val="00A40F52"/>
    <w:rsid w:val="00A42100"/>
    <w:rsid w:val="00A57BC9"/>
    <w:rsid w:val="00A7074F"/>
    <w:rsid w:val="00A75300"/>
    <w:rsid w:val="00A75D60"/>
    <w:rsid w:val="00A777B2"/>
    <w:rsid w:val="00A8089E"/>
    <w:rsid w:val="00AA0B1F"/>
    <w:rsid w:val="00AA15A1"/>
    <w:rsid w:val="00AA2813"/>
    <w:rsid w:val="00AB4890"/>
    <w:rsid w:val="00AB7F9A"/>
    <w:rsid w:val="00AC5355"/>
    <w:rsid w:val="00AD0EF6"/>
    <w:rsid w:val="00AD72AD"/>
    <w:rsid w:val="00AE060F"/>
    <w:rsid w:val="00AE0E60"/>
    <w:rsid w:val="00AE1D10"/>
    <w:rsid w:val="00AE6E57"/>
    <w:rsid w:val="00AF1CB8"/>
    <w:rsid w:val="00AF6E4B"/>
    <w:rsid w:val="00B122C2"/>
    <w:rsid w:val="00B30D41"/>
    <w:rsid w:val="00B31151"/>
    <w:rsid w:val="00B441FB"/>
    <w:rsid w:val="00B61144"/>
    <w:rsid w:val="00B61601"/>
    <w:rsid w:val="00B71DB4"/>
    <w:rsid w:val="00B753D8"/>
    <w:rsid w:val="00B76488"/>
    <w:rsid w:val="00B85B5C"/>
    <w:rsid w:val="00B95F3C"/>
    <w:rsid w:val="00BA1DD9"/>
    <w:rsid w:val="00BA2010"/>
    <w:rsid w:val="00BA32F9"/>
    <w:rsid w:val="00BA719E"/>
    <w:rsid w:val="00BB1A7C"/>
    <w:rsid w:val="00BD171B"/>
    <w:rsid w:val="00BD3CB4"/>
    <w:rsid w:val="00BE6CD8"/>
    <w:rsid w:val="00BF25CD"/>
    <w:rsid w:val="00BF671B"/>
    <w:rsid w:val="00C06FF1"/>
    <w:rsid w:val="00C11D81"/>
    <w:rsid w:val="00C25E80"/>
    <w:rsid w:val="00C27036"/>
    <w:rsid w:val="00C27E3B"/>
    <w:rsid w:val="00C3427B"/>
    <w:rsid w:val="00C4081E"/>
    <w:rsid w:val="00C707AD"/>
    <w:rsid w:val="00C73835"/>
    <w:rsid w:val="00C74304"/>
    <w:rsid w:val="00C77A4A"/>
    <w:rsid w:val="00C856D0"/>
    <w:rsid w:val="00C87953"/>
    <w:rsid w:val="00C87AA8"/>
    <w:rsid w:val="00CA11CD"/>
    <w:rsid w:val="00CA7146"/>
    <w:rsid w:val="00CB4907"/>
    <w:rsid w:val="00CB6042"/>
    <w:rsid w:val="00CC1300"/>
    <w:rsid w:val="00CD300B"/>
    <w:rsid w:val="00CF0730"/>
    <w:rsid w:val="00CF50E1"/>
    <w:rsid w:val="00CF57F7"/>
    <w:rsid w:val="00CF7715"/>
    <w:rsid w:val="00D05C56"/>
    <w:rsid w:val="00D073A2"/>
    <w:rsid w:val="00D07A34"/>
    <w:rsid w:val="00D227B2"/>
    <w:rsid w:val="00D257F4"/>
    <w:rsid w:val="00D32060"/>
    <w:rsid w:val="00D37328"/>
    <w:rsid w:val="00D5488D"/>
    <w:rsid w:val="00D55E81"/>
    <w:rsid w:val="00D576E9"/>
    <w:rsid w:val="00D63935"/>
    <w:rsid w:val="00D66DC6"/>
    <w:rsid w:val="00D85928"/>
    <w:rsid w:val="00DB05F6"/>
    <w:rsid w:val="00DB6FA1"/>
    <w:rsid w:val="00DD18E9"/>
    <w:rsid w:val="00DE2DA7"/>
    <w:rsid w:val="00DE4BE0"/>
    <w:rsid w:val="00DE4FB8"/>
    <w:rsid w:val="00DE623A"/>
    <w:rsid w:val="00DE7BED"/>
    <w:rsid w:val="00DF29F8"/>
    <w:rsid w:val="00DF4596"/>
    <w:rsid w:val="00DF4A15"/>
    <w:rsid w:val="00DF5459"/>
    <w:rsid w:val="00E015E0"/>
    <w:rsid w:val="00E15072"/>
    <w:rsid w:val="00E172A7"/>
    <w:rsid w:val="00E261F1"/>
    <w:rsid w:val="00E3356B"/>
    <w:rsid w:val="00E515FB"/>
    <w:rsid w:val="00E53CFD"/>
    <w:rsid w:val="00E57704"/>
    <w:rsid w:val="00E62AC9"/>
    <w:rsid w:val="00E6482C"/>
    <w:rsid w:val="00E706E9"/>
    <w:rsid w:val="00E72865"/>
    <w:rsid w:val="00E737BE"/>
    <w:rsid w:val="00E742C0"/>
    <w:rsid w:val="00E851DA"/>
    <w:rsid w:val="00E8634B"/>
    <w:rsid w:val="00E90216"/>
    <w:rsid w:val="00E97BF7"/>
    <w:rsid w:val="00EA3211"/>
    <w:rsid w:val="00EB3DD6"/>
    <w:rsid w:val="00EB582D"/>
    <w:rsid w:val="00EB645F"/>
    <w:rsid w:val="00EB764F"/>
    <w:rsid w:val="00EB7C08"/>
    <w:rsid w:val="00ED23AD"/>
    <w:rsid w:val="00ED4BA0"/>
    <w:rsid w:val="00ED786B"/>
    <w:rsid w:val="00EE1DF5"/>
    <w:rsid w:val="00F00298"/>
    <w:rsid w:val="00F01338"/>
    <w:rsid w:val="00F0364D"/>
    <w:rsid w:val="00F03CC0"/>
    <w:rsid w:val="00F16B7C"/>
    <w:rsid w:val="00F20865"/>
    <w:rsid w:val="00F247CB"/>
    <w:rsid w:val="00F30CAD"/>
    <w:rsid w:val="00F33985"/>
    <w:rsid w:val="00F34334"/>
    <w:rsid w:val="00F440A6"/>
    <w:rsid w:val="00F47A1D"/>
    <w:rsid w:val="00F65D3C"/>
    <w:rsid w:val="00F74AFF"/>
    <w:rsid w:val="00F80CD5"/>
    <w:rsid w:val="00F8680B"/>
    <w:rsid w:val="00F96298"/>
    <w:rsid w:val="00F97FBD"/>
    <w:rsid w:val="00FB0797"/>
    <w:rsid w:val="00FB21EF"/>
    <w:rsid w:val="00FB5567"/>
    <w:rsid w:val="00FB598F"/>
    <w:rsid w:val="00FC4919"/>
    <w:rsid w:val="00FC5864"/>
    <w:rsid w:val="00FC681B"/>
    <w:rsid w:val="00FF2C59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A57A"/>
  <w15:chartTrackingRefBased/>
  <w15:docId w15:val="{687E85BC-9B3A-4ADD-8764-755B7486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675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copre">
    <w:name w:val="acopre"/>
    <w:basedOn w:val="DefaultParagraphFont"/>
    <w:rsid w:val="00DB6FA1"/>
  </w:style>
  <w:style w:type="paragraph" w:styleId="Revision">
    <w:name w:val="Revision"/>
    <w:hidden/>
    <w:uiPriority w:val="99"/>
    <w:semiHidden/>
    <w:rsid w:val="00FF602F"/>
    <w:pPr>
      <w:spacing w:after="0" w:line="240" w:lineRule="auto"/>
    </w:pPr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B7F9A"/>
  </w:style>
  <w:style w:type="table" w:styleId="TableGrid">
    <w:name w:val="Table Grid"/>
    <w:basedOn w:val="TableNormal"/>
    <w:uiPriority w:val="39"/>
    <w:rsid w:val="008C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E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E67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2" ma:contentTypeDescription="Create a new document." ma:contentTypeScope="" ma:versionID="23f3b4484ee20137dd4216097b3618f8">
  <xsd:schema xmlns:xsd="http://www.w3.org/2001/XMLSchema" xmlns:xs="http://www.w3.org/2001/XMLSchema" xmlns:p="http://schemas.microsoft.com/office/2006/metadata/properties" xmlns:ns3="cb0683d1-dd49-4838-9284-20360810c9ef" targetNamespace="http://schemas.microsoft.com/office/2006/metadata/properties" ma:root="true" ma:fieldsID="8a308ed15d47acad4699d77c785207c9" ns3:_=""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0AAE6-88F5-4EEE-9318-739BF384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8BFEF-538B-4B61-A1BD-1B6941176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B09C7-DB91-469C-9D42-EEC2996EA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A973E-D86E-4EED-9CC6-593EADDBF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Iiris A</dc:creator>
  <cp:keywords/>
  <dc:description/>
  <cp:lastModifiedBy>Cordero, Irma</cp:lastModifiedBy>
  <cp:revision>2</cp:revision>
  <cp:lastPrinted>2022-01-13T04:41:00Z</cp:lastPrinted>
  <dcterms:created xsi:type="dcterms:W3CDTF">2023-01-13T15:12:00Z</dcterms:created>
  <dcterms:modified xsi:type="dcterms:W3CDTF">2023-01-13T15:12:00Z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