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DE7D" w14:textId="61A4A2FF" w:rsidR="00CC5345" w:rsidRPr="00685DE9" w:rsidRDefault="00052DD3" w:rsidP="00B20824">
      <w:pPr>
        <w:shd w:val="clear" w:color="auto" w:fill="FFFFFF"/>
        <w:spacing w:before="75" w:after="75" w:line="240" w:lineRule="auto"/>
        <w:jc w:val="center"/>
        <w:rPr>
          <w:rFonts w:ascii="Arial" w:eastAsia="Times New Roman" w:hAnsi="Arial" w:cs="Arial"/>
          <w:b/>
          <w:bCs/>
          <w:sz w:val="24"/>
          <w:szCs w:val="24"/>
          <w:lang w:eastAsia="fr-FR"/>
        </w:rPr>
      </w:pPr>
      <w:r w:rsidRPr="00685DE9">
        <w:rPr>
          <w:rFonts w:ascii="Arial" w:eastAsia="Times New Roman" w:hAnsi="Arial" w:cs="Arial"/>
          <w:b/>
          <w:bCs/>
          <w:sz w:val="24"/>
          <w:szCs w:val="24"/>
          <w:lang w:eastAsia="fr-FR"/>
        </w:rPr>
        <w:t>HEP-21-2028.R</w:t>
      </w:r>
      <w:r w:rsidR="00B10F10" w:rsidRPr="00685DE9">
        <w:rPr>
          <w:rFonts w:ascii="Arial" w:eastAsia="Times New Roman" w:hAnsi="Arial" w:cs="Arial"/>
          <w:b/>
          <w:bCs/>
          <w:sz w:val="24"/>
          <w:szCs w:val="24"/>
          <w:lang w:eastAsia="fr-FR"/>
        </w:rPr>
        <w:t>2</w:t>
      </w:r>
      <w:r w:rsidRPr="00685DE9">
        <w:rPr>
          <w:rFonts w:ascii="Arial" w:eastAsia="Times New Roman" w:hAnsi="Arial" w:cs="Arial"/>
          <w:b/>
          <w:bCs/>
          <w:sz w:val="24"/>
          <w:szCs w:val="24"/>
          <w:lang w:eastAsia="fr-FR"/>
        </w:rPr>
        <w:t xml:space="preserve"> </w:t>
      </w:r>
    </w:p>
    <w:p w14:paraId="5E4C4701" w14:textId="1E9314F7" w:rsidR="00614713" w:rsidRPr="00685DE9" w:rsidRDefault="00614713" w:rsidP="00B20824">
      <w:pPr>
        <w:shd w:val="clear" w:color="auto" w:fill="FFFFFF"/>
        <w:spacing w:before="75" w:after="75" w:line="240" w:lineRule="auto"/>
        <w:jc w:val="center"/>
        <w:rPr>
          <w:rFonts w:ascii="Arial" w:eastAsia="Times New Roman" w:hAnsi="Arial" w:cs="Arial"/>
          <w:b/>
          <w:bCs/>
          <w:sz w:val="24"/>
          <w:szCs w:val="24"/>
          <w:lang w:eastAsia="fr-FR"/>
        </w:rPr>
      </w:pPr>
      <w:r w:rsidRPr="00685DE9">
        <w:rPr>
          <w:rFonts w:ascii="Arial" w:eastAsia="Times New Roman" w:hAnsi="Arial" w:cs="Arial"/>
          <w:b/>
          <w:bCs/>
          <w:sz w:val="24"/>
          <w:szCs w:val="24"/>
          <w:lang w:eastAsia="fr-FR"/>
        </w:rPr>
        <w:t>SUPPLEMENTARY MATERIAL</w:t>
      </w:r>
    </w:p>
    <w:p w14:paraId="0E11D333" w14:textId="1C6CBF31" w:rsidR="00577B0C" w:rsidRPr="00685DE9" w:rsidRDefault="00577B0C" w:rsidP="00EA349C">
      <w:pPr>
        <w:autoSpaceDE w:val="0"/>
        <w:adjustRightInd w:val="0"/>
        <w:spacing w:after="0" w:line="360" w:lineRule="auto"/>
        <w:outlineLvl w:val="0"/>
        <w:rPr>
          <w:rFonts w:ascii="Arial" w:hAnsi="Arial" w:cs="Arial"/>
          <w:b/>
          <w:sz w:val="24"/>
          <w:szCs w:val="24"/>
        </w:rPr>
      </w:pPr>
    </w:p>
    <w:p w14:paraId="7673FBE7" w14:textId="77777777" w:rsidR="006B5104" w:rsidRPr="00685DE9" w:rsidRDefault="006B5104" w:rsidP="006B5104">
      <w:pPr>
        <w:autoSpaceDE w:val="0"/>
        <w:adjustRightInd w:val="0"/>
        <w:spacing w:after="0" w:line="360" w:lineRule="auto"/>
        <w:jc w:val="center"/>
        <w:outlineLvl w:val="0"/>
        <w:rPr>
          <w:rFonts w:ascii="Arial" w:hAnsi="Arial" w:cs="Arial"/>
          <w:b/>
          <w:sz w:val="24"/>
          <w:szCs w:val="24"/>
        </w:rPr>
      </w:pPr>
      <w:bookmarkStart w:id="0" w:name="_Hlk81994875"/>
      <w:r w:rsidRPr="00685DE9">
        <w:rPr>
          <w:rFonts w:ascii="Arial" w:hAnsi="Arial" w:cs="Arial"/>
          <w:b/>
          <w:sz w:val="24"/>
          <w:szCs w:val="24"/>
        </w:rPr>
        <w:t>MITOCHONDRIAL STRESS IN ADVANCED FIBROSIS AND CIRRHOSIS ASSOCIATED WITH CHRONIC HEPATITIS B, CHRONIC HEPATITIS C OR NONALCOHOLIC STEATOHEPATITIS</w:t>
      </w:r>
    </w:p>
    <w:p w14:paraId="5A93C9BF" w14:textId="77777777" w:rsidR="006B5104" w:rsidRPr="00685DE9" w:rsidRDefault="006B5104" w:rsidP="006B5104">
      <w:pPr>
        <w:autoSpaceDE w:val="0"/>
        <w:adjustRightInd w:val="0"/>
        <w:spacing w:after="0" w:line="360" w:lineRule="auto"/>
        <w:jc w:val="center"/>
        <w:outlineLvl w:val="0"/>
        <w:rPr>
          <w:rFonts w:ascii="Arial" w:hAnsi="Arial" w:cs="Arial"/>
          <w:b/>
          <w:sz w:val="24"/>
          <w:szCs w:val="24"/>
        </w:rPr>
      </w:pPr>
    </w:p>
    <w:bookmarkEnd w:id="0"/>
    <w:p w14:paraId="1A5E1FAE" w14:textId="77777777" w:rsidR="00104A43" w:rsidRPr="00685DE9" w:rsidRDefault="00104A43" w:rsidP="00104A43">
      <w:pPr>
        <w:pStyle w:val="NoSpacing"/>
        <w:spacing w:after="0"/>
        <w:jc w:val="center"/>
        <w:rPr>
          <w:bCs/>
          <w:lang w:val="en-US"/>
        </w:rPr>
      </w:pPr>
      <w:r w:rsidRPr="00685DE9">
        <w:rPr>
          <w:bCs/>
          <w:lang w:val="en-US"/>
        </w:rPr>
        <w:t>Dimitri Loureiro</w:t>
      </w:r>
      <w:r w:rsidRPr="00685DE9">
        <w:rPr>
          <w:shd w:val="clear" w:color="auto" w:fill="FFFFFF"/>
          <w:vertAlign w:val="superscript"/>
          <w:lang w:val="en-US"/>
        </w:rPr>
        <w:t>1,2</w:t>
      </w:r>
      <w:r w:rsidRPr="00685DE9">
        <w:rPr>
          <w:bCs/>
          <w:lang w:val="en-US"/>
        </w:rPr>
        <w:t xml:space="preserve">, </w:t>
      </w:r>
      <w:proofErr w:type="spellStart"/>
      <w:r w:rsidRPr="00685DE9">
        <w:rPr>
          <w:bCs/>
          <w:lang w:val="en-US"/>
        </w:rPr>
        <w:t>Issam</w:t>
      </w:r>
      <w:proofErr w:type="spellEnd"/>
      <w:r w:rsidRPr="00685DE9">
        <w:rPr>
          <w:bCs/>
          <w:lang w:val="en-US"/>
        </w:rPr>
        <w:t xml:space="preserve"> Tout</w:t>
      </w:r>
      <w:r w:rsidRPr="00685DE9">
        <w:rPr>
          <w:shd w:val="clear" w:color="auto" w:fill="FFFFFF"/>
          <w:vertAlign w:val="superscript"/>
          <w:lang w:val="en-US"/>
        </w:rPr>
        <w:t>1,2</w:t>
      </w:r>
      <w:r w:rsidRPr="00685DE9">
        <w:rPr>
          <w:bCs/>
          <w:lang w:val="en-US"/>
        </w:rPr>
        <w:t xml:space="preserve">, </w:t>
      </w:r>
      <w:proofErr w:type="spellStart"/>
      <w:r w:rsidRPr="00685DE9">
        <w:rPr>
          <w:bCs/>
          <w:lang w:val="en-US"/>
        </w:rPr>
        <w:t>Stéphanie</w:t>
      </w:r>
      <w:proofErr w:type="spellEnd"/>
      <w:r w:rsidRPr="00685DE9">
        <w:rPr>
          <w:bCs/>
          <w:lang w:val="en-US"/>
        </w:rPr>
        <w:t xml:space="preserve"> Narguet</w:t>
      </w:r>
      <w:r w:rsidRPr="00685DE9">
        <w:rPr>
          <w:shd w:val="clear" w:color="auto" w:fill="FFFFFF"/>
          <w:vertAlign w:val="superscript"/>
          <w:lang w:val="en-US"/>
        </w:rPr>
        <w:t>1,2</w:t>
      </w:r>
      <w:r w:rsidRPr="00685DE9">
        <w:rPr>
          <w:shd w:val="clear" w:color="auto" w:fill="FFFFFF"/>
          <w:lang w:val="en-US"/>
        </w:rPr>
        <w:t xml:space="preserve">, </w:t>
      </w:r>
      <w:r w:rsidRPr="00685DE9">
        <w:rPr>
          <w:bCs/>
          <w:lang w:val="en-US"/>
        </w:rPr>
        <w:t>Cheikh Mohamed Bed</w:t>
      </w:r>
      <w:r w:rsidRPr="00685DE9">
        <w:rPr>
          <w:shd w:val="clear" w:color="auto" w:fill="FFFFFF"/>
          <w:vertAlign w:val="superscript"/>
          <w:lang w:val="en-US"/>
        </w:rPr>
        <w:t>1,2</w:t>
      </w:r>
      <w:r w:rsidRPr="00685DE9">
        <w:rPr>
          <w:bCs/>
          <w:lang w:val="en-US"/>
        </w:rPr>
        <w:t xml:space="preserve">, </w:t>
      </w:r>
      <w:proofErr w:type="spellStart"/>
      <w:r w:rsidRPr="00685DE9">
        <w:rPr>
          <w:bCs/>
          <w:lang w:val="en-US"/>
        </w:rPr>
        <w:t>Morgane</w:t>
      </w:r>
      <w:proofErr w:type="spellEnd"/>
      <w:r w:rsidRPr="00685DE9">
        <w:rPr>
          <w:bCs/>
          <w:lang w:val="en-US"/>
        </w:rPr>
        <w:t xml:space="preserve"> Roinard</w:t>
      </w:r>
      <w:r w:rsidRPr="00685DE9">
        <w:rPr>
          <w:shd w:val="clear" w:color="auto" w:fill="FFFFFF"/>
          <w:vertAlign w:val="superscript"/>
          <w:lang w:val="en-US"/>
        </w:rPr>
        <w:t>1,2</w:t>
      </w:r>
      <w:r w:rsidRPr="00685DE9">
        <w:rPr>
          <w:bCs/>
          <w:lang w:val="en-US"/>
        </w:rPr>
        <w:t>, Ahmad Sleiman</w:t>
      </w:r>
      <w:r w:rsidRPr="00685DE9">
        <w:rPr>
          <w:shd w:val="clear" w:color="auto" w:fill="FFFFFF"/>
          <w:vertAlign w:val="superscript"/>
          <w:lang w:val="en-US"/>
        </w:rPr>
        <w:t>1,2</w:t>
      </w:r>
      <w:r w:rsidRPr="00685DE9">
        <w:rPr>
          <w:bCs/>
          <w:lang w:val="en-US"/>
        </w:rPr>
        <w:t>, Nathalie Boyer</w:t>
      </w:r>
      <w:r w:rsidRPr="00685DE9">
        <w:rPr>
          <w:shd w:val="clear" w:color="auto" w:fill="FFFFFF"/>
          <w:vertAlign w:val="superscript"/>
          <w:lang w:val="en-US"/>
        </w:rPr>
        <w:t>1,2</w:t>
      </w:r>
      <w:r w:rsidRPr="00685DE9">
        <w:rPr>
          <w:bCs/>
          <w:lang w:val="en-US"/>
        </w:rPr>
        <w:t>, Nathalie Pons-Kerjean</w:t>
      </w:r>
      <w:r w:rsidRPr="00685DE9">
        <w:rPr>
          <w:shd w:val="clear" w:color="auto" w:fill="FFFFFF"/>
          <w:vertAlign w:val="superscript"/>
          <w:lang w:val="en-US"/>
        </w:rPr>
        <w:t>3</w:t>
      </w:r>
      <w:r w:rsidRPr="00685DE9">
        <w:rPr>
          <w:bCs/>
          <w:lang w:val="en-US"/>
        </w:rPr>
        <w:t>, Corinne Castelnau</w:t>
      </w:r>
      <w:r w:rsidRPr="00685DE9">
        <w:rPr>
          <w:shd w:val="clear" w:color="auto" w:fill="FFFFFF"/>
          <w:vertAlign w:val="superscript"/>
          <w:lang w:val="en-US"/>
        </w:rPr>
        <w:t>1,2</w:t>
      </w:r>
      <w:r w:rsidRPr="00685DE9">
        <w:rPr>
          <w:bCs/>
          <w:lang w:val="en-US"/>
        </w:rPr>
        <w:t>, Nathalie Giuly</w:t>
      </w:r>
      <w:r w:rsidRPr="00685DE9">
        <w:rPr>
          <w:shd w:val="clear" w:color="auto" w:fill="FFFFFF"/>
          <w:vertAlign w:val="superscript"/>
          <w:lang w:val="en-US"/>
        </w:rPr>
        <w:t>1,2</w:t>
      </w:r>
      <w:r w:rsidRPr="00685DE9">
        <w:rPr>
          <w:bCs/>
          <w:lang w:val="en-US"/>
        </w:rPr>
        <w:t>, Dorothy Tonui</w:t>
      </w:r>
      <w:r w:rsidRPr="00685DE9">
        <w:rPr>
          <w:shd w:val="clear" w:color="auto" w:fill="FFFFFF"/>
          <w:vertAlign w:val="superscript"/>
          <w:lang w:val="en-US"/>
        </w:rPr>
        <w:t>1,2</w:t>
      </w:r>
      <w:r w:rsidRPr="00685DE9">
        <w:rPr>
          <w:bCs/>
          <w:lang w:val="en-US"/>
        </w:rPr>
        <w:t xml:space="preserve">, </w:t>
      </w:r>
      <w:proofErr w:type="spellStart"/>
      <w:r w:rsidRPr="00685DE9">
        <w:rPr>
          <w:bCs/>
          <w:lang w:val="en-US"/>
        </w:rPr>
        <w:t>Vassili</w:t>
      </w:r>
      <w:proofErr w:type="spellEnd"/>
      <w:r w:rsidRPr="00685DE9">
        <w:rPr>
          <w:bCs/>
          <w:lang w:val="en-US"/>
        </w:rPr>
        <w:t xml:space="preserve"> Soumelis</w:t>
      </w:r>
      <w:r w:rsidRPr="00685DE9">
        <w:rPr>
          <w:bCs/>
          <w:vertAlign w:val="superscript"/>
          <w:lang w:val="en-US"/>
        </w:rPr>
        <w:t>4,5</w:t>
      </w:r>
      <w:r w:rsidRPr="00685DE9">
        <w:rPr>
          <w:bCs/>
          <w:lang w:val="en-US"/>
        </w:rPr>
        <w:t xml:space="preserve">, </w:t>
      </w:r>
    </w:p>
    <w:p w14:paraId="27F2196C" w14:textId="77777777" w:rsidR="00104A43" w:rsidRPr="00685DE9" w:rsidRDefault="00104A43" w:rsidP="00104A43">
      <w:pPr>
        <w:pStyle w:val="NoSpacing"/>
        <w:spacing w:after="0"/>
        <w:jc w:val="center"/>
        <w:rPr>
          <w:bCs/>
        </w:rPr>
      </w:pPr>
      <w:proofErr w:type="spellStart"/>
      <w:r w:rsidRPr="00685DE9">
        <w:rPr>
          <w:bCs/>
        </w:rPr>
        <w:t>Jamel</w:t>
      </w:r>
      <w:proofErr w:type="spellEnd"/>
      <w:r w:rsidRPr="00685DE9">
        <w:rPr>
          <w:bCs/>
        </w:rPr>
        <w:t xml:space="preserve"> El Benna</w:t>
      </w:r>
      <w:r w:rsidRPr="00685DE9">
        <w:rPr>
          <w:bCs/>
          <w:vertAlign w:val="superscript"/>
        </w:rPr>
        <w:t>1</w:t>
      </w:r>
      <w:r w:rsidRPr="00685DE9">
        <w:rPr>
          <w:bCs/>
        </w:rPr>
        <w:t>, Patrick Soussan</w:t>
      </w:r>
      <w:r w:rsidRPr="00685DE9">
        <w:rPr>
          <w:bCs/>
          <w:vertAlign w:val="superscript"/>
        </w:rPr>
        <w:t>6</w:t>
      </w:r>
      <w:r w:rsidRPr="00685DE9">
        <w:rPr>
          <w:bCs/>
        </w:rPr>
        <w:t>, Richard Moreau</w:t>
      </w:r>
      <w:r w:rsidRPr="00685DE9">
        <w:rPr>
          <w:bCs/>
          <w:vertAlign w:val="superscript"/>
        </w:rPr>
        <w:t>1,2</w:t>
      </w:r>
      <w:r w:rsidRPr="00685DE9">
        <w:rPr>
          <w:bCs/>
        </w:rPr>
        <w:t>, Valérie Paradis</w:t>
      </w:r>
      <w:r w:rsidRPr="00685DE9">
        <w:rPr>
          <w:shd w:val="clear" w:color="auto" w:fill="FFFFFF"/>
          <w:vertAlign w:val="superscript"/>
        </w:rPr>
        <w:t>1,2</w:t>
      </w:r>
      <w:r w:rsidRPr="00685DE9">
        <w:rPr>
          <w:bCs/>
        </w:rPr>
        <w:t xml:space="preserve">, </w:t>
      </w:r>
    </w:p>
    <w:p w14:paraId="0DC61B74" w14:textId="7F56EA67" w:rsidR="00104A43" w:rsidRPr="00685DE9" w:rsidRDefault="00104A43" w:rsidP="00104A43">
      <w:pPr>
        <w:pStyle w:val="NoSpacing"/>
        <w:spacing w:after="0"/>
        <w:jc w:val="center"/>
        <w:rPr>
          <w:bCs/>
        </w:rPr>
      </w:pPr>
      <w:r w:rsidRPr="00685DE9">
        <w:rPr>
          <w:bCs/>
        </w:rPr>
        <w:t>Abdellah Mansouri</w:t>
      </w:r>
      <w:r w:rsidRPr="00685DE9">
        <w:rPr>
          <w:shd w:val="clear" w:color="auto" w:fill="FFFFFF"/>
          <w:vertAlign w:val="superscript"/>
        </w:rPr>
        <w:t>1,2&amp;§</w:t>
      </w:r>
      <w:r w:rsidRPr="00685DE9">
        <w:rPr>
          <w:bCs/>
        </w:rPr>
        <w:t>, Tarik</w:t>
      </w:r>
      <w:r w:rsidRPr="00685DE9">
        <w:rPr>
          <w:shd w:val="clear" w:color="auto" w:fill="FFFFFF"/>
          <w:vertAlign w:val="superscript"/>
        </w:rPr>
        <w:t xml:space="preserve"> </w:t>
      </w:r>
      <w:r w:rsidRPr="00685DE9">
        <w:rPr>
          <w:bCs/>
        </w:rPr>
        <w:t>Asselah</w:t>
      </w:r>
      <w:r w:rsidRPr="00685DE9">
        <w:rPr>
          <w:shd w:val="clear" w:color="auto" w:fill="FFFFFF"/>
          <w:vertAlign w:val="superscript"/>
        </w:rPr>
        <w:t>1,2&amp;§</w:t>
      </w:r>
    </w:p>
    <w:p w14:paraId="0417F51B" w14:textId="77777777" w:rsidR="00104A43" w:rsidRPr="00685DE9" w:rsidRDefault="00104A43" w:rsidP="00104A43">
      <w:pPr>
        <w:spacing w:line="360" w:lineRule="auto"/>
        <w:rPr>
          <w:rFonts w:ascii="Arial" w:hAnsi="Arial" w:cs="Arial"/>
          <w:sz w:val="24"/>
          <w:szCs w:val="24"/>
          <w:lang w:val="fr-FR" w:eastAsia="fr-FR"/>
        </w:rPr>
      </w:pPr>
    </w:p>
    <w:p w14:paraId="2622B69F" w14:textId="77777777" w:rsidR="00104A43" w:rsidRPr="00685DE9" w:rsidRDefault="00104A43" w:rsidP="00104A43">
      <w:pPr>
        <w:tabs>
          <w:tab w:val="left" w:pos="90"/>
        </w:tabs>
        <w:spacing w:after="0" w:line="360" w:lineRule="auto"/>
        <w:jc w:val="both"/>
        <w:rPr>
          <w:rFonts w:ascii="Arial" w:hAnsi="Arial" w:cs="Arial"/>
          <w:sz w:val="24"/>
          <w:szCs w:val="24"/>
          <w:lang w:val="fr-FR"/>
        </w:rPr>
      </w:pPr>
      <w:r w:rsidRPr="00685DE9">
        <w:rPr>
          <w:rFonts w:ascii="Arial" w:hAnsi="Arial" w:cs="Arial"/>
          <w:sz w:val="24"/>
          <w:szCs w:val="24"/>
          <w:shd w:val="clear" w:color="auto" w:fill="FFFFFF"/>
          <w:vertAlign w:val="superscript"/>
          <w:lang w:val="fr-FR" w:eastAsia="fr-FR"/>
        </w:rPr>
        <w:t xml:space="preserve">1 </w:t>
      </w:r>
      <w:proofErr w:type="spellStart"/>
      <w:r w:rsidRPr="00685DE9">
        <w:rPr>
          <w:rFonts w:ascii="Arial" w:hAnsi="Arial" w:cs="Arial"/>
          <w:sz w:val="24"/>
          <w:szCs w:val="24"/>
          <w:lang w:val="fr-FR"/>
        </w:rPr>
        <w:t>Universite</w:t>
      </w:r>
      <w:proofErr w:type="spellEnd"/>
      <w:r w:rsidRPr="00685DE9">
        <w:rPr>
          <w:rFonts w:ascii="Arial" w:hAnsi="Arial" w:cs="Arial"/>
          <w:sz w:val="24"/>
          <w:szCs w:val="24"/>
          <w:lang w:val="fr-FR"/>
        </w:rPr>
        <w:t xml:space="preserve">́ Paris Cité, </w:t>
      </w:r>
      <w:r w:rsidRPr="00685DE9">
        <w:rPr>
          <w:rFonts w:ascii="Arial" w:hAnsi="Arial" w:cs="Arial"/>
          <w:bCs/>
          <w:sz w:val="24"/>
          <w:szCs w:val="24"/>
          <w:shd w:val="clear" w:color="auto" w:fill="FFFFFF"/>
          <w:lang w:val="fr-FR"/>
        </w:rPr>
        <w:t>Centre de Recherche sur l'Inflammation, Inserm U1149, CNRS ERL8252, F-75018 Paris, France</w:t>
      </w:r>
      <w:r w:rsidRPr="00685DE9">
        <w:rPr>
          <w:rFonts w:ascii="Arial" w:hAnsi="Arial" w:cs="Arial"/>
          <w:sz w:val="24"/>
          <w:szCs w:val="24"/>
          <w:lang w:val="fr-FR"/>
        </w:rPr>
        <w:t>.</w:t>
      </w:r>
    </w:p>
    <w:p w14:paraId="1CC4B2E0" w14:textId="77777777" w:rsidR="00104A43" w:rsidRPr="00685DE9" w:rsidRDefault="00104A43" w:rsidP="00104A43">
      <w:pPr>
        <w:tabs>
          <w:tab w:val="left" w:pos="90"/>
        </w:tabs>
        <w:spacing w:after="0" w:line="360" w:lineRule="auto"/>
        <w:jc w:val="both"/>
        <w:rPr>
          <w:rFonts w:ascii="Arial" w:hAnsi="Arial" w:cs="Arial"/>
          <w:sz w:val="24"/>
          <w:szCs w:val="24"/>
          <w:lang w:val="fr-FR"/>
        </w:rPr>
      </w:pPr>
      <w:r w:rsidRPr="00685DE9">
        <w:rPr>
          <w:rFonts w:ascii="Arial" w:hAnsi="Arial" w:cs="Arial"/>
          <w:sz w:val="24"/>
          <w:szCs w:val="24"/>
          <w:vertAlign w:val="superscript"/>
          <w:lang w:val="fr-FR"/>
        </w:rPr>
        <w:t xml:space="preserve">2 </w:t>
      </w:r>
      <w:r w:rsidRPr="00685DE9">
        <w:rPr>
          <w:rFonts w:ascii="Arial" w:hAnsi="Arial" w:cs="Arial"/>
          <w:sz w:val="24"/>
          <w:szCs w:val="24"/>
          <w:lang w:val="fr-FR"/>
        </w:rPr>
        <w:t xml:space="preserve">Assistance Publique-Hôpitaux de Paris (AP-HP), </w:t>
      </w:r>
      <w:proofErr w:type="spellStart"/>
      <w:r w:rsidRPr="00685DE9">
        <w:rPr>
          <w:rFonts w:ascii="Arial" w:hAnsi="Arial" w:cs="Arial"/>
          <w:sz w:val="24"/>
          <w:szCs w:val="24"/>
          <w:lang w:val="fr-FR"/>
        </w:rPr>
        <w:t>Department</w:t>
      </w:r>
      <w:proofErr w:type="spellEnd"/>
      <w:r w:rsidRPr="00685DE9">
        <w:rPr>
          <w:rFonts w:ascii="Arial" w:hAnsi="Arial" w:cs="Arial"/>
          <w:sz w:val="24"/>
          <w:szCs w:val="24"/>
          <w:lang w:val="fr-FR"/>
        </w:rPr>
        <w:t xml:space="preserve"> of Hepatology, Hôpital Beaujon, </w:t>
      </w:r>
      <w:r w:rsidRPr="00685DE9">
        <w:rPr>
          <w:rFonts w:ascii="Arial" w:hAnsi="Arial" w:cs="Arial"/>
          <w:bCs/>
          <w:sz w:val="24"/>
          <w:szCs w:val="24"/>
          <w:shd w:val="clear" w:color="auto" w:fill="FFFFFF"/>
          <w:lang w:val="fr-FR"/>
        </w:rPr>
        <w:t xml:space="preserve">F-92110 </w:t>
      </w:r>
      <w:r w:rsidRPr="00685DE9">
        <w:rPr>
          <w:rFonts w:ascii="Arial" w:hAnsi="Arial" w:cs="Arial"/>
          <w:sz w:val="24"/>
          <w:szCs w:val="24"/>
          <w:lang w:val="fr-FR"/>
        </w:rPr>
        <w:t xml:space="preserve">Clichy, France. </w:t>
      </w:r>
    </w:p>
    <w:p w14:paraId="410F0F4C" w14:textId="77777777" w:rsidR="00104A43" w:rsidRPr="00685DE9" w:rsidRDefault="00104A43" w:rsidP="00104A43">
      <w:pPr>
        <w:tabs>
          <w:tab w:val="left" w:pos="90"/>
        </w:tabs>
        <w:spacing w:after="0" w:line="360" w:lineRule="auto"/>
        <w:jc w:val="both"/>
        <w:rPr>
          <w:rFonts w:ascii="Arial" w:hAnsi="Arial" w:cs="Arial"/>
          <w:sz w:val="24"/>
          <w:szCs w:val="24"/>
          <w:vertAlign w:val="superscript"/>
          <w:lang w:val="fr-FR"/>
        </w:rPr>
      </w:pPr>
      <w:r w:rsidRPr="00685DE9">
        <w:rPr>
          <w:rFonts w:ascii="Arial" w:hAnsi="Arial" w:cs="Arial"/>
          <w:sz w:val="24"/>
          <w:szCs w:val="24"/>
          <w:vertAlign w:val="superscript"/>
          <w:lang w:val="fr-FR"/>
        </w:rPr>
        <w:t xml:space="preserve">3 </w:t>
      </w:r>
      <w:r w:rsidRPr="00685DE9">
        <w:rPr>
          <w:rFonts w:ascii="Arial" w:hAnsi="Arial" w:cs="Arial"/>
          <w:sz w:val="24"/>
          <w:szCs w:val="24"/>
          <w:lang w:val="fr-FR"/>
        </w:rPr>
        <w:t xml:space="preserve">Assistance Publique-Hôpitaux de Paris (AP-HP), </w:t>
      </w:r>
      <w:proofErr w:type="spellStart"/>
      <w:r w:rsidRPr="00685DE9">
        <w:rPr>
          <w:rFonts w:ascii="Arial" w:hAnsi="Arial" w:cs="Arial"/>
          <w:sz w:val="24"/>
          <w:szCs w:val="24"/>
          <w:lang w:val="fr-FR"/>
        </w:rPr>
        <w:t>Department</w:t>
      </w:r>
      <w:proofErr w:type="spellEnd"/>
      <w:r w:rsidRPr="00685DE9">
        <w:rPr>
          <w:rFonts w:ascii="Arial" w:hAnsi="Arial" w:cs="Arial"/>
          <w:sz w:val="24"/>
          <w:szCs w:val="24"/>
          <w:lang w:val="fr-FR"/>
        </w:rPr>
        <w:t xml:space="preserve"> of </w:t>
      </w:r>
      <w:proofErr w:type="spellStart"/>
      <w:r w:rsidRPr="00685DE9">
        <w:rPr>
          <w:rFonts w:ascii="Arial" w:hAnsi="Arial" w:cs="Arial"/>
          <w:sz w:val="24"/>
          <w:szCs w:val="24"/>
          <w:lang w:val="fr-FR"/>
        </w:rPr>
        <w:t>Pharmacy</w:t>
      </w:r>
      <w:proofErr w:type="spellEnd"/>
      <w:r w:rsidRPr="00685DE9">
        <w:rPr>
          <w:rFonts w:ascii="Arial" w:hAnsi="Arial" w:cs="Arial"/>
          <w:sz w:val="24"/>
          <w:szCs w:val="24"/>
          <w:lang w:val="fr-FR"/>
        </w:rPr>
        <w:t xml:space="preserve">, Hôpital Beaujon, </w:t>
      </w:r>
      <w:r w:rsidRPr="00685DE9">
        <w:rPr>
          <w:rFonts w:ascii="Arial" w:hAnsi="Arial" w:cs="Arial"/>
          <w:bCs/>
          <w:sz w:val="24"/>
          <w:szCs w:val="24"/>
          <w:shd w:val="clear" w:color="auto" w:fill="FFFFFF"/>
          <w:lang w:val="fr-FR"/>
        </w:rPr>
        <w:t xml:space="preserve">F-92110 </w:t>
      </w:r>
      <w:r w:rsidRPr="00685DE9">
        <w:rPr>
          <w:rFonts w:ascii="Arial" w:hAnsi="Arial" w:cs="Arial"/>
          <w:sz w:val="24"/>
          <w:szCs w:val="24"/>
          <w:lang w:val="fr-FR"/>
        </w:rPr>
        <w:t>Clichy, France.</w:t>
      </w:r>
    </w:p>
    <w:p w14:paraId="79CA9ADE" w14:textId="77777777" w:rsidR="00104A43" w:rsidRPr="00685DE9" w:rsidRDefault="00104A43" w:rsidP="00104A43">
      <w:pPr>
        <w:tabs>
          <w:tab w:val="left" w:pos="90"/>
        </w:tabs>
        <w:spacing w:after="0" w:line="360" w:lineRule="auto"/>
        <w:jc w:val="both"/>
        <w:rPr>
          <w:rFonts w:ascii="Arial" w:hAnsi="Arial" w:cs="Arial"/>
          <w:sz w:val="24"/>
          <w:szCs w:val="24"/>
          <w:vertAlign w:val="superscript"/>
          <w:lang w:val="fr-FR"/>
        </w:rPr>
      </w:pPr>
      <w:r w:rsidRPr="00685DE9">
        <w:rPr>
          <w:rFonts w:ascii="Arial" w:hAnsi="Arial" w:cs="Arial"/>
          <w:sz w:val="24"/>
          <w:szCs w:val="24"/>
          <w:vertAlign w:val="superscript"/>
          <w:lang w:val="fr-FR"/>
        </w:rPr>
        <w:t xml:space="preserve">4 </w:t>
      </w:r>
      <w:r w:rsidRPr="00685DE9">
        <w:rPr>
          <w:rFonts w:ascii="Arial" w:hAnsi="Arial" w:cs="Arial"/>
          <w:sz w:val="24"/>
          <w:szCs w:val="24"/>
          <w:lang w:val="fr-FR"/>
        </w:rPr>
        <w:t>Université de Paris Cité, Inserm U976 HIPI Unit, F-75006 Paris, France.</w:t>
      </w:r>
    </w:p>
    <w:p w14:paraId="6CA422B1" w14:textId="77777777" w:rsidR="00104A43" w:rsidRPr="00685DE9" w:rsidRDefault="00104A43" w:rsidP="00104A43">
      <w:pPr>
        <w:tabs>
          <w:tab w:val="left" w:pos="90"/>
        </w:tabs>
        <w:spacing w:after="0" w:line="360" w:lineRule="auto"/>
        <w:jc w:val="both"/>
        <w:rPr>
          <w:rFonts w:ascii="Arial" w:hAnsi="Arial" w:cs="Arial"/>
          <w:sz w:val="24"/>
          <w:szCs w:val="24"/>
          <w:lang w:val="fr-FR"/>
        </w:rPr>
      </w:pPr>
      <w:r w:rsidRPr="00685DE9">
        <w:rPr>
          <w:rFonts w:ascii="Arial" w:hAnsi="Arial" w:cs="Arial"/>
          <w:sz w:val="24"/>
          <w:szCs w:val="24"/>
          <w:vertAlign w:val="superscript"/>
          <w:lang w:val="fr-FR"/>
        </w:rPr>
        <w:t xml:space="preserve">5 </w:t>
      </w:r>
      <w:r w:rsidRPr="00685DE9">
        <w:rPr>
          <w:rFonts w:ascii="Arial" w:hAnsi="Arial" w:cs="Arial"/>
          <w:sz w:val="24"/>
          <w:szCs w:val="24"/>
          <w:lang w:val="fr-FR"/>
        </w:rPr>
        <w:t>Assistance Publique-Hôpitaux de Paris (AP-HP), Laboratoire d'Immunologie et Histocompatibilité, Hôpital Saint-Louis, F-75010 Paris, France.</w:t>
      </w:r>
    </w:p>
    <w:p w14:paraId="6FD3DDCE" w14:textId="77777777" w:rsidR="00104A43" w:rsidRPr="00685DE9" w:rsidRDefault="00104A43" w:rsidP="00104A43">
      <w:pPr>
        <w:tabs>
          <w:tab w:val="left" w:pos="90"/>
        </w:tabs>
        <w:spacing w:after="0" w:line="360" w:lineRule="auto"/>
        <w:jc w:val="both"/>
        <w:rPr>
          <w:rFonts w:ascii="Arial" w:hAnsi="Arial" w:cs="Arial"/>
          <w:sz w:val="24"/>
          <w:szCs w:val="24"/>
          <w:lang w:val="fr-FR"/>
        </w:rPr>
      </w:pPr>
      <w:r w:rsidRPr="00685DE9">
        <w:rPr>
          <w:rFonts w:ascii="Arial" w:hAnsi="Arial" w:cs="Arial"/>
          <w:sz w:val="24"/>
          <w:szCs w:val="24"/>
          <w:vertAlign w:val="superscript"/>
          <w:lang w:val="fr-FR"/>
        </w:rPr>
        <w:t>6</w:t>
      </w:r>
      <w:r w:rsidRPr="00685DE9">
        <w:rPr>
          <w:rFonts w:ascii="Arial" w:hAnsi="Arial" w:cs="Arial"/>
          <w:sz w:val="24"/>
          <w:szCs w:val="24"/>
          <w:lang w:val="fr-FR"/>
        </w:rPr>
        <w:t>Université de Paris Cité, Inserm U1135, -75012 Paris, France.</w:t>
      </w:r>
    </w:p>
    <w:p w14:paraId="2DF10B44" w14:textId="77777777" w:rsidR="00104A43" w:rsidRPr="00685DE9" w:rsidRDefault="00104A43" w:rsidP="00104A43">
      <w:pPr>
        <w:tabs>
          <w:tab w:val="left" w:pos="90"/>
        </w:tabs>
        <w:spacing w:after="0" w:line="360" w:lineRule="auto"/>
        <w:jc w:val="both"/>
        <w:rPr>
          <w:rFonts w:ascii="Arial" w:hAnsi="Arial" w:cs="Arial"/>
          <w:sz w:val="24"/>
          <w:szCs w:val="24"/>
          <w:lang w:val="fr-FR"/>
        </w:rPr>
      </w:pPr>
    </w:p>
    <w:p w14:paraId="134A0B0B" w14:textId="77777777" w:rsidR="00104A43" w:rsidRPr="00685DE9" w:rsidRDefault="00104A43" w:rsidP="00104A43">
      <w:pPr>
        <w:spacing w:after="0" w:line="360" w:lineRule="auto"/>
        <w:jc w:val="both"/>
        <w:rPr>
          <w:rFonts w:ascii="Arial" w:hAnsi="Arial" w:cs="Arial"/>
          <w:sz w:val="24"/>
          <w:szCs w:val="24"/>
        </w:rPr>
      </w:pPr>
      <w:r w:rsidRPr="00685DE9">
        <w:rPr>
          <w:rFonts w:ascii="Arial" w:hAnsi="Arial" w:cs="Arial"/>
          <w:b/>
          <w:iCs/>
          <w:sz w:val="24"/>
          <w:szCs w:val="24"/>
        </w:rPr>
        <w:t>Keywords:</w:t>
      </w:r>
      <w:r w:rsidRPr="00685DE9">
        <w:rPr>
          <w:rFonts w:ascii="Arial" w:hAnsi="Arial" w:cs="Arial"/>
          <w:sz w:val="24"/>
          <w:szCs w:val="24"/>
        </w:rPr>
        <w:t xml:space="preserve"> Hepatitis B virus; Mitochondrial dysfunctions; Inflammation, Mitochondrial DNA; Mitochondrial unfolded protein response; </w:t>
      </w:r>
      <w:r w:rsidRPr="00685DE9">
        <w:rPr>
          <w:rFonts w:ascii="Arial" w:hAnsi="Arial" w:cs="Arial"/>
          <w:sz w:val="24"/>
          <w:szCs w:val="24"/>
          <w:shd w:val="clear" w:color="auto" w:fill="FFFFFF"/>
        </w:rPr>
        <w:t>Reactive oxygen species</w:t>
      </w:r>
      <w:r w:rsidRPr="00685DE9">
        <w:rPr>
          <w:rFonts w:ascii="Arial" w:hAnsi="Arial" w:cs="Arial"/>
          <w:sz w:val="24"/>
          <w:szCs w:val="24"/>
        </w:rPr>
        <w:t>, Mitophagy.</w:t>
      </w:r>
    </w:p>
    <w:p w14:paraId="1A966896" w14:textId="77777777" w:rsidR="00104A43" w:rsidRPr="00685DE9" w:rsidRDefault="00104A43" w:rsidP="00104A43">
      <w:pPr>
        <w:tabs>
          <w:tab w:val="left" w:pos="90"/>
        </w:tabs>
        <w:spacing w:after="0" w:line="360" w:lineRule="auto"/>
        <w:jc w:val="both"/>
        <w:rPr>
          <w:rFonts w:ascii="Arial" w:hAnsi="Arial" w:cs="Arial"/>
          <w:sz w:val="24"/>
          <w:szCs w:val="24"/>
        </w:rPr>
      </w:pPr>
    </w:p>
    <w:p w14:paraId="1A0CA81C" w14:textId="4DBEE261"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2EFF725D" w14:textId="77777777"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504160B0" w14:textId="77272696"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340042DA" w14:textId="09117080"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7D15A707" w14:textId="42B5B127"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4F59F783" w14:textId="77777777" w:rsidR="00104A43" w:rsidRPr="00685DE9" w:rsidRDefault="00104A43" w:rsidP="004C340E">
      <w:pPr>
        <w:tabs>
          <w:tab w:val="left" w:pos="90"/>
        </w:tabs>
        <w:spacing w:after="0" w:line="360" w:lineRule="auto"/>
        <w:jc w:val="both"/>
        <w:rPr>
          <w:rFonts w:ascii="Arial" w:eastAsia="Times New Roman" w:hAnsi="Arial" w:cs="Arial"/>
          <w:b/>
          <w:bCs/>
          <w:sz w:val="24"/>
          <w:szCs w:val="24"/>
          <w:lang w:eastAsia="fr-FR"/>
        </w:rPr>
      </w:pPr>
    </w:p>
    <w:p w14:paraId="735DCB6D" w14:textId="77777777" w:rsidR="00104A43" w:rsidRPr="00685DE9" w:rsidRDefault="00104A43" w:rsidP="00104A43">
      <w:pPr>
        <w:tabs>
          <w:tab w:val="left" w:pos="90"/>
        </w:tabs>
        <w:spacing w:after="0" w:line="360" w:lineRule="auto"/>
        <w:jc w:val="both"/>
        <w:rPr>
          <w:rFonts w:ascii="Arial" w:hAnsi="Arial" w:cs="Arial"/>
          <w:sz w:val="24"/>
          <w:szCs w:val="24"/>
        </w:rPr>
      </w:pPr>
      <w:r w:rsidRPr="00685DE9">
        <w:rPr>
          <w:rFonts w:ascii="Arial" w:eastAsia="Times New Roman" w:hAnsi="Arial" w:cs="Arial"/>
          <w:b/>
          <w:bCs/>
          <w:sz w:val="24"/>
          <w:szCs w:val="24"/>
          <w:lang w:eastAsia="fr-FR"/>
        </w:rPr>
        <w:lastRenderedPageBreak/>
        <w:t>Footnotes</w:t>
      </w:r>
    </w:p>
    <w:p w14:paraId="7051FDDF" w14:textId="77777777" w:rsidR="00104A43" w:rsidRPr="00685DE9" w:rsidRDefault="00104A43" w:rsidP="00104A43">
      <w:pPr>
        <w:tabs>
          <w:tab w:val="left" w:pos="90"/>
        </w:tabs>
        <w:spacing w:after="0" w:line="360" w:lineRule="auto"/>
        <w:jc w:val="both"/>
        <w:rPr>
          <w:rFonts w:ascii="Arial" w:hAnsi="Arial" w:cs="Arial"/>
          <w:bCs/>
          <w:sz w:val="24"/>
          <w:szCs w:val="24"/>
          <w:shd w:val="clear" w:color="auto" w:fill="FFFFFF"/>
        </w:rPr>
      </w:pPr>
    </w:p>
    <w:p w14:paraId="148535CC" w14:textId="77777777" w:rsidR="00104A43" w:rsidRPr="00685DE9" w:rsidRDefault="00104A43" w:rsidP="00104A43">
      <w:pPr>
        <w:spacing w:line="360" w:lineRule="auto"/>
        <w:jc w:val="both"/>
        <w:rPr>
          <w:rFonts w:ascii="Arial" w:hAnsi="Arial" w:cs="Arial"/>
          <w:sz w:val="24"/>
          <w:szCs w:val="24"/>
        </w:rPr>
      </w:pPr>
      <w:r w:rsidRPr="00685DE9">
        <w:rPr>
          <w:rFonts w:ascii="Arial" w:eastAsia="Times New Roman" w:hAnsi="Arial" w:cs="Arial"/>
          <w:sz w:val="24"/>
          <w:szCs w:val="24"/>
          <w:shd w:val="clear" w:color="auto" w:fill="FFFFFF"/>
          <w:vertAlign w:val="superscript"/>
        </w:rPr>
        <w:t xml:space="preserve">&amp; </w:t>
      </w:r>
      <w:r w:rsidRPr="00685DE9">
        <w:rPr>
          <w:rFonts w:ascii="Arial" w:hAnsi="Arial" w:cs="Arial"/>
          <w:sz w:val="24"/>
          <w:szCs w:val="24"/>
        </w:rPr>
        <w:t xml:space="preserve">Equal contribution </w:t>
      </w:r>
    </w:p>
    <w:p w14:paraId="556D883C" w14:textId="77777777" w:rsidR="00104A43" w:rsidRPr="00685DE9" w:rsidRDefault="00104A43" w:rsidP="00104A43">
      <w:pPr>
        <w:spacing w:line="360" w:lineRule="auto"/>
        <w:jc w:val="both"/>
        <w:rPr>
          <w:rFonts w:ascii="Arial" w:hAnsi="Arial" w:cs="Arial"/>
          <w:sz w:val="24"/>
          <w:szCs w:val="24"/>
        </w:rPr>
      </w:pPr>
      <w:r w:rsidRPr="00685DE9">
        <w:rPr>
          <w:rFonts w:ascii="Arial" w:hAnsi="Arial" w:cs="Arial"/>
          <w:sz w:val="24"/>
          <w:szCs w:val="24"/>
        </w:rPr>
        <w:t xml:space="preserve">§ Corresponding author: </w:t>
      </w:r>
    </w:p>
    <w:p w14:paraId="66103751" w14:textId="77777777" w:rsidR="00104A43" w:rsidRPr="00685DE9" w:rsidRDefault="00104A43" w:rsidP="00104A43">
      <w:pPr>
        <w:spacing w:line="360" w:lineRule="auto"/>
        <w:jc w:val="both"/>
        <w:rPr>
          <w:rFonts w:ascii="Arial" w:eastAsia="Times New Roman" w:hAnsi="Arial" w:cs="Arial"/>
          <w:sz w:val="24"/>
          <w:szCs w:val="24"/>
          <w:lang w:eastAsia="fr-FR"/>
        </w:rPr>
      </w:pPr>
      <w:r w:rsidRPr="00685DE9">
        <w:rPr>
          <w:rFonts w:ascii="Arial" w:hAnsi="Arial" w:cs="Arial"/>
          <w:sz w:val="24"/>
          <w:szCs w:val="24"/>
        </w:rPr>
        <w:t xml:space="preserve">Tarik </w:t>
      </w:r>
      <w:proofErr w:type="spellStart"/>
      <w:r w:rsidRPr="00685DE9">
        <w:rPr>
          <w:rFonts w:ascii="Arial" w:hAnsi="Arial" w:cs="Arial"/>
          <w:sz w:val="24"/>
          <w:szCs w:val="24"/>
        </w:rPr>
        <w:t>Asselah</w:t>
      </w:r>
      <w:proofErr w:type="spellEnd"/>
      <w:r w:rsidRPr="00685DE9">
        <w:rPr>
          <w:rFonts w:ascii="Arial" w:hAnsi="Arial" w:cs="Arial"/>
          <w:sz w:val="24"/>
          <w:szCs w:val="24"/>
        </w:rPr>
        <w:t xml:space="preserve">. Address: Viral Hepatitis, INSERM UMR 1149, </w:t>
      </w:r>
      <w:proofErr w:type="spellStart"/>
      <w:r w:rsidRPr="00685DE9">
        <w:rPr>
          <w:rFonts w:ascii="Arial" w:hAnsi="Arial" w:cs="Arial"/>
          <w:sz w:val="24"/>
          <w:szCs w:val="24"/>
        </w:rPr>
        <w:t>Hôpital</w:t>
      </w:r>
      <w:proofErr w:type="spellEnd"/>
      <w:r w:rsidRPr="00685DE9">
        <w:rPr>
          <w:rFonts w:ascii="Arial" w:hAnsi="Arial" w:cs="Arial"/>
          <w:sz w:val="24"/>
          <w:szCs w:val="24"/>
        </w:rPr>
        <w:t xml:space="preserve"> </w:t>
      </w:r>
      <w:proofErr w:type="spellStart"/>
      <w:r w:rsidRPr="00685DE9">
        <w:rPr>
          <w:rFonts w:ascii="Arial" w:hAnsi="Arial" w:cs="Arial"/>
          <w:sz w:val="24"/>
          <w:szCs w:val="24"/>
        </w:rPr>
        <w:t>Beaujon</w:t>
      </w:r>
      <w:proofErr w:type="spellEnd"/>
      <w:r w:rsidRPr="00685DE9">
        <w:rPr>
          <w:rFonts w:ascii="Arial" w:hAnsi="Arial" w:cs="Arial"/>
          <w:sz w:val="24"/>
          <w:szCs w:val="24"/>
        </w:rPr>
        <w:t xml:space="preserve">, 100 Boulevard du General Leclerc, 92110 Clichy, France. </w:t>
      </w:r>
    </w:p>
    <w:p w14:paraId="1727103F" w14:textId="77777777" w:rsidR="00104A43" w:rsidRPr="00685DE9" w:rsidRDefault="00104A43" w:rsidP="00104A43">
      <w:pPr>
        <w:pStyle w:val="NormalWeb"/>
        <w:spacing w:before="0" w:after="0" w:line="360" w:lineRule="auto"/>
        <w:jc w:val="both"/>
        <w:rPr>
          <w:rFonts w:ascii="Arial" w:hAnsi="Arial" w:cs="Arial"/>
          <w:szCs w:val="24"/>
        </w:rPr>
      </w:pPr>
      <w:r w:rsidRPr="00685DE9">
        <w:rPr>
          <w:rFonts w:ascii="Arial" w:hAnsi="Arial" w:cs="Arial"/>
          <w:szCs w:val="24"/>
        </w:rPr>
        <w:t xml:space="preserve">Tel.: +33 1 40 87 55 79, fax: +33 1 40 87 55 14. e-mail: </w:t>
      </w:r>
      <w:hyperlink r:id="rId11" w:history="1">
        <w:r w:rsidRPr="00685DE9">
          <w:rPr>
            <w:rStyle w:val="Hyperlink"/>
            <w:rFonts w:ascii="Arial" w:hAnsi="Arial" w:cs="Arial"/>
            <w:color w:val="auto"/>
            <w:szCs w:val="24"/>
          </w:rPr>
          <w:t>tarik.asselah@aphp.fr</w:t>
        </w:r>
      </w:hyperlink>
    </w:p>
    <w:p w14:paraId="50A6F0FD" w14:textId="77777777" w:rsidR="00104A43" w:rsidRPr="00685DE9" w:rsidRDefault="00104A43" w:rsidP="00104A43">
      <w:pPr>
        <w:pStyle w:val="NormalWeb"/>
        <w:spacing w:before="0" w:after="0" w:line="360" w:lineRule="auto"/>
        <w:jc w:val="both"/>
        <w:rPr>
          <w:rFonts w:ascii="Arial" w:hAnsi="Arial" w:cs="Arial"/>
          <w:szCs w:val="24"/>
        </w:rPr>
      </w:pPr>
    </w:p>
    <w:p w14:paraId="2F780B47" w14:textId="77777777" w:rsidR="00104A43" w:rsidRPr="00685DE9" w:rsidRDefault="00104A43" w:rsidP="00104A43">
      <w:pPr>
        <w:pStyle w:val="NormalWeb"/>
        <w:spacing w:before="0" w:after="0" w:line="360" w:lineRule="auto"/>
        <w:jc w:val="both"/>
        <w:rPr>
          <w:rFonts w:ascii="Arial" w:hAnsi="Arial" w:cs="Arial"/>
          <w:bCs/>
          <w:szCs w:val="24"/>
          <w:shd w:val="clear" w:color="auto" w:fill="FFFFFF"/>
          <w:lang w:val="fr-FR"/>
        </w:rPr>
      </w:pPr>
      <w:r w:rsidRPr="00685DE9">
        <w:rPr>
          <w:rFonts w:ascii="Arial" w:hAnsi="Arial" w:cs="Arial"/>
          <w:szCs w:val="24"/>
          <w:lang w:val="fr-FR"/>
        </w:rPr>
        <w:t xml:space="preserve">Abdellah Mansouri. </w:t>
      </w:r>
      <w:proofErr w:type="spellStart"/>
      <w:proofErr w:type="gramStart"/>
      <w:r w:rsidRPr="00685DE9">
        <w:rPr>
          <w:rFonts w:ascii="Arial" w:hAnsi="Arial" w:cs="Arial"/>
          <w:szCs w:val="24"/>
          <w:lang w:val="fr-FR"/>
        </w:rPr>
        <w:t>Address</w:t>
      </w:r>
      <w:proofErr w:type="spellEnd"/>
      <w:r w:rsidRPr="00685DE9">
        <w:rPr>
          <w:rFonts w:ascii="Arial" w:hAnsi="Arial" w:cs="Arial"/>
          <w:szCs w:val="24"/>
          <w:lang w:val="fr-FR"/>
        </w:rPr>
        <w:t>:</w:t>
      </w:r>
      <w:proofErr w:type="gramEnd"/>
      <w:r w:rsidRPr="00685DE9">
        <w:rPr>
          <w:rFonts w:ascii="Arial" w:hAnsi="Arial" w:cs="Arial"/>
          <w:szCs w:val="24"/>
          <w:lang w:val="fr-FR"/>
        </w:rPr>
        <w:t xml:space="preserve"> </w:t>
      </w:r>
      <w:r w:rsidRPr="00685DE9">
        <w:rPr>
          <w:rFonts w:ascii="Arial" w:hAnsi="Arial" w:cs="Arial"/>
          <w:bCs/>
          <w:szCs w:val="24"/>
          <w:shd w:val="clear" w:color="auto" w:fill="FFFFFF"/>
          <w:lang w:val="fr-FR"/>
        </w:rPr>
        <w:t xml:space="preserve">INSERM U1149, Centre de Recherche sur l'Inflammation, Faculté de Médecine site Bichat, 16 rue Henri </w:t>
      </w:r>
      <w:proofErr w:type="spellStart"/>
      <w:r w:rsidRPr="00685DE9">
        <w:rPr>
          <w:rFonts w:ascii="Arial" w:hAnsi="Arial" w:cs="Arial"/>
          <w:bCs/>
          <w:szCs w:val="24"/>
          <w:shd w:val="clear" w:color="auto" w:fill="FFFFFF"/>
          <w:lang w:val="fr-FR"/>
        </w:rPr>
        <w:t>Huchard</w:t>
      </w:r>
      <w:proofErr w:type="spellEnd"/>
      <w:r w:rsidRPr="00685DE9">
        <w:rPr>
          <w:rFonts w:ascii="Arial" w:hAnsi="Arial" w:cs="Arial"/>
          <w:bCs/>
          <w:szCs w:val="24"/>
          <w:shd w:val="clear" w:color="auto" w:fill="FFFFFF"/>
          <w:lang w:val="fr-FR"/>
        </w:rPr>
        <w:t>, 75018 Paris, France.</w:t>
      </w:r>
    </w:p>
    <w:p w14:paraId="2B5575D1" w14:textId="77777777" w:rsidR="00104A43" w:rsidRPr="00685DE9" w:rsidRDefault="00104A43" w:rsidP="00104A43">
      <w:pPr>
        <w:pStyle w:val="NormalWeb"/>
        <w:spacing w:before="0" w:after="0" w:line="360" w:lineRule="auto"/>
        <w:jc w:val="both"/>
        <w:rPr>
          <w:rFonts w:ascii="Arial" w:hAnsi="Arial" w:cs="Arial"/>
          <w:szCs w:val="24"/>
          <w:lang w:val="fr-FR"/>
        </w:rPr>
      </w:pPr>
      <w:r w:rsidRPr="00685DE9">
        <w:rPr>
          <w:rFonts w:ascii="Arial" w:hAnsi="Arial" w:cs="Arial"/>
          <w:szCs w:val="24"/>
          <w:lang w:val="fr-FR"/>
        </w:rPr>
        <w:t>Tel</w:t>
      </w:r>
      <w:proofErr w:type="gramStart"/>
      <w:r w:rsidRPr="00685DE9">
        <w:rPr>
          <w:rFonts w:ascii="Arial" w:hAnsi="Arial" w:cs="Arial"/>
          <w:szCs w:val="24"/>
          <w:lang w:val="fr-FR"/>
        </w:rPr>
        <w:t>.:</w:t>
      </w:r>
      <w:proofErr w:type="gramEnd"/>
      <w:r w:rsidRPr="00685DE9">
        <w:rPr>
          <w:rFonts w:ascii="Arial" w:hAnsi="Arial" w:cs="Arial"/>
          <w:szCs w:val="24"/>
          <w:lang w:val="fr-FR"/>
        </w:rPr>
        <w:t xml:space="preserve"> +33 1 57 27 74 70, fax: +33 1 </w:t>
      </w:r>
      <w:r w:rsidRPr="00685DE9">
        <w:rPr>
          <w:rStyle w:val="acopre1"/>
          <w:rFonts w:ascii="Arial" w:hAnsi="Arial" w:cs="Arial"/>
          <w:szCs w:val="24"/>
          <w:lang w:val="fr-FR"/>
        </w:rPr>
        <w:t>57 27 74 71</w:t>
      </w:r>
      <w:r w:rsidRPr="00685DE9">
        <w:rPr>
          <w:rFonts w:ascii="Arial" w:hAnsi="Arial" w:cs="Arial"/>
          <w:szCs w:val="24"/>
          <w:lang w:val="fr-FR"/>
        </w:rPr>
        <w:t xml:space="preserve">. </w:t>
      </w:r>
      <w:proofErr w:type="gramStart"/>
      <w:r w:rsidRPr="00685DE9">
        <w:rPr>
          <w:rFonts w:ascii="Arial" w:hAnsi="Arial" w:cs="Arial"/>
          <w:szCs w:val="24"/>
          <w:lang w:val="fr-FR"/>
        </w:rPr>
        <w:t>e-mail:</w:t>
      </w:r>
      <w:proofErr w:type="gramEnd"/>
      <w:r w:rsidRPr="00685DE9">
        <w:rPr>
          <w:rFonts w:ascii="Arial" w:hAnsi="Arial" w:cs="Arial"/>
          <w:szCs w:val="24"/>
          <w:lang w:val="fr-FR"/>
        </w:rPr>
        <w:t xml:space="preserve"> </w:t>
      </w:r>
      <w:hyperlink r:id="rId12" w:history="1">
        <w:r w:rsidRPr="00685DE9">
          <w:rPr>
            <w:rStyle w:val="Hyperlink"/>
            <w:rFonts w:ascii="Arial" w:hAnsi="Arial" w:cs="Arial"/>
            <w:color w:val="auto"/>
            <w:szCs w:val="24"/>
            <w:lang w:val="fr-FR"/>
          </w:rPr>
          <w:t>abdel.mansouri@inserm.fr</w:t>
        </w:r>
      </w:hyperlink>
    </w:p>
    <w:p w14:paraId="0895904C" w14:textId="77777777" w:rsidR="00104A43" w:rsidRPr="00685DE9" w:rsidRDefault="00104A43" w:rsidP="00104A43">
      <w:pPr>
        <w:autoSpaceDN/>
        <w:spacing w:after="150" w:line="360" w:lineRule="auto"/>
        <w:jc w:val="both"/>
        <w:rPr>
          <w:rFonts w:ascii="Arial" w:hAnsi="Arial" w:cs="Arial"/>
          <w:sz w:val="24"/>
          <w:szCs w:val="24"/>
          <w:lang w:val="fr-FR"/>
        </w:rPr>
      </w:pPr>
    </w:p>
    <w:p w14:paraId="6CCD5E04" w14:textId="77777777" w:rsidR="00104A43" w:rsidRPr="00685DE9" w:rsidRDefault="00104A43" w:rsidP="00104A43">
      <w:pPr>
        <w:autoSpaceDE w:val="0"/>
        <w:adjustRightInd w:val="0"/>
        <w:spacing w:after="0" w:line="360" w:lineRule="auto"/>
        <w:jc w:val="both"/>
        <w:rPr>
          <w:rFonts w:ascii="Arial" w:hAnsi="Arial" w:cs="Arial"/>
          <w:bCs/>
          <w:sz w:val="24"/>
          <w:szCs w:val="24"/>
          <w:lang w:val="fr-FR"/>
        </w:rPr>
      </w:pPr>
      <w:proofErr w:type="spellStart"/>
      <w:r w:rsidRPr="00685DE9">
        <w:rPr>
          <w:rFonts w:ascii="Arial" w:hAnsi="Arial" w:cs="Arial"/>
          <w:bCs/>
          <w:sz w:val="24"/>
          <w:szCs w:val="24"/>
          <w:lang w:val="fr-FR"/>
        </w:rPr>
        <w:t>Authors</w:t>
      </w:r>
      <w:proofErr w:type="spellEnd"/>
      <w:r w:rsidRPr="00685DE9">
        <w:rPr>
          <w:rFonts w:ascii="Arial" w:hAnsi="Arial" w:cs="Arial"/>
          <w:bCs/>
          <w:sz w:val="24"/>
          <w:szCs w:val="24"/>
          <w:lang w:val="fr-FR"/>
        </w:rPr>
        <w:t xml:space="preserve"> contributions </w:t>
      </w:r>
    </w:p>
    <w:p w14:paraId="1D9CB851" w14:textId="77777777" w:rsidR="00104A43" w:rsidRPr="00685DE9" w:rsidRDefault="00104A43" w:rsidP="00104A43">
      <w:pPr>
        <w:autoSpaceDE w:val="0"/>
        <w:adjustRightInd w:val="0"/>
        <w:spacing w:after="0" w:line="360" w:lineRule="auto"/>
        <w:jc w:val="both"/>
        <w:rPr>
          <w:rFonts w:ascii="Arial" w:hAnsi="Arial" w:cs="Arial"/>
          <w:bCs/>
          <w:sz w:val="24"/>
          <w:szCs w:val="24"/>
        </w:rPr>
      </w:pPr>
      <w:r w:rsidRPr="00685DE9">
        <w:rPr>
          <w:rFonts w:ascii="Arial" w:hAnsi="Arial" w:cs="Arial"/>
          <w:sz w:val="24"/>
          <w:szCs w:val="24"/>
        </w:rPr>
        <w:t xml:space="preserve">Concept, set-up and design (AM, TA); </w:t>
      </w:r>
      <w:r w:rsidRPr="00685DE9">
        <w:rPr>
          <w:rFonts w:ascii="Arial" w:hAnsi="Arial" w:cs="Arial"/>
          <w:bCs/>
          <w:sz w:val="24"/>
          <w:szCs w:val="24"/>
        </w:rPr>
        <w:t>a</w:t>
      </w:r>
      <w:r w:rsidRPr="00685DE9">
        <w:rPr>
          <w:rFonts w:ascii="Arial" w:hAnsi="Arial" w:cs="Arial"/>
          <w:sz w:val="24"/>
          <w:szCs w:val="24"/>
        </w:rPr>
        <w:t xml:space="preserve">cquisition and analysis of data (DL, AM, IT, CMB, MR, SN, </w:t>
      </w:r>
      <w:proofErr w:type="gramStart"/>
      <w:r w:rsidRPr="00685DE9">
        <w:rPr>
          <w:rFonts w:ascii="Arial" w:hAnsi="Arial" w:cs="Arial"/>
          <w:sz w:val="24"/>
          <w:szCs w:val="24"/>
        </w:rPr>
        <w:t>AS,</w:t>
      </w:r>
      <w:proofErr w:type="gramEnd"/>
      <w:r w:rsidRPr="00685DE9">
        <w:rPr>
          <w:rFonts w:ascii="Arial" w:hAnsi="Arial" w:cs="Arial"/>
          <w:sz w:val="24"/>
          <w:szCs w:val="24"/>
        </w:rPr>
        <w:t xml:space="preserve"> TA)</w:t>
      </w:r>
      <w:r w:rsidRPr="00685DE9">
        <w:rPr>
          <w:rFonts w:ascii="Arial" w:hAnsi="Arial" w:cs="Arial"/>
          <w:bCs/>
          <w:sz w:val="24"/>
          <w:szCs w:val="24"/>
        </w:rPr>
        <w:t>; w</w:t>
      </w:r>
      <w:r w:rsidRPr="00685DE9">
        <w:rPr>
          <w:rFonts w:ascii="Arial" w:hAnsi="Arial" w:cs="Arial"/>
          <w:sz w:val="24"/>
          <w:szCs w:val="24"/>
        </w:rPr>
        <w:t>riting original and final drafts (AM, TA, DL); all authors were involved in critical review of the manuscript and approved the final version of the manuscript.</w:t>
      </w:r>
    </w:p>
    <w:p w14:paraId="2057AE74" w14:textId="77777777" w:rsidR="00104A43" w:rsidRPr="00685DE9" w:rsidRDefault="00104A43" w:rsidP="00104A43">
      <w:pPr>
        <w:autoSpaceDE w:val="0"/>
        <w:adjustRightInd w:val="0"/>
        <w:spacing w:after="0" w:line="360" w:lineRule="auto"/>
        <w:jc w:val="both"/>
        <w:rPr>
          <w:rFonts w:ascii="Arial" w:hAnsi="Arial" w:cs="Arial"/>
          <w:i/>
          <w:sz w:val="24"/>
          <w:szCs w:val="24"/>
        </w:rPr>
      </w:pPr>
      <w:r w:rsidRPr="00685DE9">
        <w:rPr>
          <w:rFonts w:ascii="Arial" w:hAnsi="Arial" w:cs="Arial"/>
          <w:i/>
          <w:sz w:val="24"/>
          <w:szCs w:val="24"/>
        </w:rPr>
        <w:t xml:space="preserve"> </w:t>
      </w:r>
    </w:p>
    <w:p w14:paraId="5ECC665D" w14:textId="77777777" w:rsidR="00104A43" w:rsidRPr="00685DE9" w:rsidRDefault="00104A43" w:rsidP="00104A43">
      <w:pPr>
        <w:autoSpaceDE w:val="0"/>
        <w:adjustRightInd w:val="0"/>
        <w:spacing w:after="0" w:line="360" w:lineRule="auto"/>
        <w:jc w:val="both"/>
        <w:rPr>
          <w:rFonts w:ascii="Arial" w:hAnsi="Arial" w:cs="Arial"/>
          <w:bCs/>
          <w:sz w:val="24"/>
          <w:szCs w:val="24"/>
        </w:rPr>
      </w:pPr>
      <w:r w:rsidRPr="00685DE9">
        <w:rPr>
          <w:rFonts w:ascii="Arial" w:hAnsi="Arial" w:cs="Arial"/>
          <w:sz w:val="24"/>
          <w:szCs w:val="24"/>
        </w:rPr>
        <w:t>Acknowledgments</w:t>
      </w:r>
      <w:r w:rsidRPr="00685DE9">
        <w:rPr>
          <w:rFonts w:ascii="Arial" w:hAnsi="Arial" w:cs="Arial"/>
          <w:bCs/>
          <w:sz w:val="24"/>
          <w:szCs w:val="24"/>
        </w:rPr>
        <w:t xml:space="preserve"> </w:t>
      </w:r>
    </w:p>
    <w:p w14:paraId="627FEFE6" w14:textId="77777777" w:rsidR="00104A43" w:rsidRPr="00685DE9" w:rsidRDefault="00104A43" w:rsidP="00104A43">
      <w:pPr>
        <w:autoSpaceDE w:val="0"/>
        <w:adjustRightInd w:val="0"/>
        <w:spacing w:after="0" w:line="360" w:lineRule="auto"/>
        <w:jc w:val="both"/>
        <w:rPr>
          <w:rFonts w:ascii="Arial" w:eastAsiaTheme="minorHAnsi" w:hAnsi="Arial" w:cs="Arial"/>
          <w:sz w:val="24"/>
          <w:szCs w:val="24"/>
        </w:rPr>
      </w:pPr>
      <w:r w:rsidRPr="00685DE9">
        <w:rPr>
          <w:rFonts w:ascii="Arial" w:eastAsiaTheme="minorHAnsi" w:hAnsi="Arial" w:cs="Arial"/>
          <w:i/>
          <w:sz w:val="24"/>
          <w:szCs w:val="24"/>
        </w:rPr>
        <w:t>Funding sources:</w:t>
      </w:r>
      <w:r w:rsidRPr="00685DE9">
        <w:rPr>
          <w:rFonts w:ascii="Arial" w:eastAsiaTheme="minorHAnsi" w:hAnsi="Arial" w:cs="Arial"/>
          <w:sz w:val="24"/>
          <w:szCs w:val="24"/>
        </w:rPr>
        <w:t xml:space="preserve"> This work is funded by INSERM and Université de Paris </w:t>
      </w:r>
      <w:proofErr w:type="spellStart"/>
      <w:r w:rsidRPr="00685DE9">
        <w:rPr>
          <w:rFonts w:ascii="Arial" w:eastAsiaTheme="minorHAnsi" w:hAnsi="Arial" w:cs="Arial"/>
          <w:sz w:val="24"/>
          <w:szCs w:val="24"/>
        </w:rPr>
        <w:t>Cité</w:t>
      </w:r>
      <w:proofErr w:type="spellEnd"/>
      <w:r w:rsidRPr="00685DE9">
        <w:rPr>
          <w:rFonts w:ascii="Arial" w:eastAsiaTheme="minorHAnsi" w:hAnsi="Arial" w:cs="Arial"/>
          <w:sz w:val="24"/>
          <w:szCs w:val="24"/>
        </w:rPr>
        <w:t>.</w:t>
      </w:r>
    </w:p>
    <w:p w14:paraId="61233CE5" w14:textId="77777777" w:rsidR="00104A43" w:rsidRPr="00685DE9" w:rsidRDefault="00104A43" w:rsidP="00104A43">
      <w:pPr>
        <w:autoSpaceDE w:val="0"/>
        <w:adjustRightInd w:val="0"/>
        <w:spacing w:after="0" w:line="360" w:lineRule="auto"/>
        <w:jc w:val="both"/>
        <w:rPr>
          <w:rFonts w:ascii="Arial" w:eastAsiaTheme="minorHAnsi" w:hAnsi="Arial" w:cs="Arial"/>
          <w:sz w:val="24"/>
          <w:szCs w:val="24"/>
        </w:rPr>
      </w:pPr>
      <w:r w:rsidRPr="00685DE9">
        <w:rPr>
          <w:rFonts w:ascii="Arial" w:eastAsiaTheme="minorHAnsi" w:hAnsi="Arial" w:cs="Arial"/>
          <w:bCs/>
          <w:i/>
          <w:sz w:val="24"/>
          <w:szCs w:val="24"/>
        </w:rPr>
        <w:t xml:space="preserve">Conflict of interest: </w:t>
      </w:r>
      <w:r w:rsidRPr="00685DE9">
        <w:rPr>
          <w:rFonts w:ascii="Arial" w:eastAsiaTheme="minorHAnsi" w:hAnsi="Arial" w:cs="Arial"/>
          <w:sz w:val="24"/>
          <w:szCs w:val="24"/>
        </w:rPr>
        <w:t>The authors declare no competing financial interests.</w:t>
      </w:r>
    </w:p>
    <w:p w14:paraId="1FE3FE13" w14:textId="77777777" w:rsidR="00104A43" w:rsidRPr="00685DE9" w:rsidRDefault="00104A43" w:rsidP="00104A43">
      <w:pPr>
        <w:autoSpaceDN/>
        <w:rPr>
          <w:rFonts w:ascii="Arial" w:eastAsiaTheme="minorHAnsi" w:hAnsi="Arial" w:cs="Arial"/>
          <w:sz w:val="24"/>
          <w:szCs w:val="24"/>
        </w:rPr>
      </w:pPr>
      <w:r w:rsidRPr="00685DE9">
        <w:rPr>
          <w:rFonts w:ascii="Arial" w:eastAsiaTheme="minorHAnsi" w:hAnsi="Arial" w:cs="Arial"/>
          <w:sz w:val="24"/>
          <w:szCs w:val="24"/>
        </w:rPr>
        <w:br w:type="page"/>
      </w:r>
    </w:p>
    <w:p w14:paraId="6AA4DD5D" w14:textId="15F3A413" w:rsidR="001B4899" w:rsidRPr="00685DE9" w:rsidRDefault="001B4899" w:rsidP="00577B0C">
      <w:pPr>
        <w:spacing w:after="0" w:line="360" w:lineRule="auto"/>
        <w:jc w:val="both"/>
        <w:rPr>
          <w:rFonts w:ascii="Arial" w:hAnsi="Arial" w:cs="Arial"/>
          <w:b/>
          <w:bCs/>
          <w:iCs/>
          <w:sz w:val="24"/>
          <w:szCs w:val="24"/>
        </w:rPr>
      </w:pPr>
      <w:r w:rsidRPr="00685DE9">
        <w:rPr>
          <w:rFonts w:ascii="Arial" w:hAnsi="Arial" w:cs="Arial"/>
          <w:b/>
          <w:bCs/>
          <w:iCs/>
          <w:sz w:val="24"/>
          <w:szCs w:val="24"/>
        </w:rPr>
        <w:lastRenderedPageBreak/>
        <w:t>SUPPLEMENTAL METHODS</w:t>
      </w:r>
    </w:p>
    <w:p w14:paraId="73232CB2" w14:textId="77777777" w:rsidR="005C4902" w:rsidRPr="00685DE9" w:rsidRDefault="005C4902" w:rsidP="00E05F7A">
      <w:pPr>
        <w:spacing w:after="0" w:line="360" w:lineRule="auto"/>
        <w:jc w:val="both"/>
        <w:rPr>
          <w:rFonts w:ascii="Arial" w:hAnsi="Arial" w:cs="Arial"/>
          <w:b/>
          <w:sz w:val="24"/>
          <w:szCs w:val="24"/>
        </w:rPr>
      </w:pPr>
      <w:bookmarkStart w:id="1" w:name="_Hlk109129302"/>
      <w:r w:rsidRPr="00685DE9">
        <w:rPr>
          <w:rFonts w:ascii="Arial" w:hAnsi="Arial" w:cs="Arial"/>
          <w:b/>
          <w:sz w:val="24"/>
          <w:szCs w:val="24"/>
        </w:rPr>
        <w:t xml:space="preserve">Analyses flow chart </w:t>
      </w:r>
    </w:p>
    <w:p w14:paraId="27769F6D" w14:textId="77777777"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Different amounts of DNA, RNAs and/or proteins were obtained from distinct groups of patients and controls depending on the size of liver fragments that remained available after histological studies (Suppl. Fig. 1). </w:t>
      </w:r>
    </w:p>
    <w:p w14:paraId="0CCEEEB2" w14:textId="77777777" w:rsidR="005C4902" w:rsidRPr="00685DE9" w:rsidRDefault="005C4902" w:rsidP="005C4902">
      <w:pPr>
        <w:spacing w:after="0" w:line="360" w:lineRule="auto"/>
        <w:jc w:val="both"/>
        <w:rPr>
          <w:rFonts w:ascii="Arial" w:hAnsi="Arial" w:cs="Arial"/>
          <w:sz w:val="24"/>
          <w:szCs w:val="24"/>
        </w:rPr>
      </w:pPr>
      <w:r w:rsidRPr="00685DE9">
        <w:rPr>
          <w:rFonts w:ascii="Arial" w:hAnsi="Arial" w:cs="Arial"/>
          <w:sz w:val="24"/>
          <w:szCs w:val="24"/>
        </w:rPr>
        <w:t xml:space="preserve">In patients with CHB, RNA, DNA and proteins were simultaneously obtained in 42 cases (31 with F0-F2 and 11 with F3-F4), and both DNA and proteins obtained in 13 patients. The remaining 91 patients have only mRNA (64 cases), DNA (25 cases) or proteins (4 cases).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damage search, mRNAs levels, immunoblotting, and liver ATP content were then assessed in distinct groups of 65, 104, 44, and 30 patients with CHB, respectively (Suppl. Fig. 1). </w:t>
      </w:r>
    </w:p>
    <w:p w14:paraId="79A7CAD3" w14:textId="1D104B75" w:rsidR="005C4902" w:rsidRPr="00685DE9" w:rsidRDefault="005C4902" w:rsidP="005C4902">
      <w:pPr>
        <w:spacing w:after="0" w:line="360" w:lineRule="auto"/>
        <w:jc w:val="both"/>
        <w:rPr>
          <w:rFonts w:ascii="Arial" w:hAnsi="Arial" w:cs="Arial"/>
          <w:sz w:val="24"/>
          <w:szCs w:val="24"/>
          <w:highlight w:val="cyan"/>
        </w:rPr>
      </w:pPr>
      <w:r w:rsidRPr="00685DE9">
        <w:rPr>
          <w:rFonts w:ascii="Arial" w:hAnsi="Arial" w:cs="Arial"/>
          <w:sz w:val="24"/>
          <w:szCs w:val="24"/>
        </w:rPr>
        <w:t xml:space="preserve">The 33 patients with CHC had only total RNA, and all the 12 patients with NASH had both RNA, DNA and only 7 among 12 had RNA, </w:t>
      </w:r>
      <w:proofErr w:type="gramStart"/>
      <w:r w:rsidRPr="00685DE9">
        <w:rPr>
          <w:rFonts w:ascii="Arial" w:hAnsi="Arial" w:cs="Arial"/>
          <w:sz w:val="24"/>
          <w:szCs w:val="24"/>
        </w:rPr>
        <w:t>DNA</w:t>
      </w:r>
      <w:proofErr w:type="gramEnd"/>
      <w:r w:rsidRPr="00685DE9">
        <w:rPr>
          <w:rFonts w:ascii="Arial" w:hAnsi="Arial" w:cs="Arial"/>
          <w:sz w:val="24"/>
          <w:szCs w:val="24"/>
        </w:rPr>
        <w:t xml:space="preserve"> and proteins.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damage has been reported in CHC and therefore was not searched in the present study </w:t>
      </w:r>
      <w:r w:rsidRPr="00685DE9">
        <w:rPr>
          <w:rFonts w:ascii="Arial" w:hAnsi="Arial" w:cs="Arial"/>
          <w:sz w:val="24"/>
          <w:szCs w:val="24"/>
        </w:rPr>
        <w:fldChar w:fldCharType="begin"/>
      </w:r>
      <w:r w:rsidR="006E4C4D" w:rsidRPr="00685DE9">
        <w:rPr>
          <w:rFonts w:ascii="Arial" w:hAnsi="Arial" w:cs="Arial"/>
          <w:sz w:val="24"/>
          <w:szCs w:val="24"/>
        </w:rPr>
        <w:instrText xml:space="preserve"> ADDIN ZOTERO_ITEM CSL_CITATION {"citationID":"pVyfCfHu","properties":{"formattedCitation":"(1\\uc0\\u8211{}3)","plainCitation":"(1–3)","noteIndex":0},"citationItems":[{"id":1597,"uris":["http://zotero.org/users/3506678/items/PRGQQ6M6"],"itemData":{"id":1597,"type":"article-journal","container-title":"Hepatology (Baltimore, Md.)","DOI":"10.1053/jhep.2002.30426","ISSN":"0270-9139","issue":"1","journalAbbreviation":"Hepatology","language":"eng","note":"PMID: 11786984","page":"239-240","source":"PubMed","title":"The 4,977-base pair common deletion of mitochondrial DNA is not associated with steatosis in chronic hepatitis C patients","volume":"35","author":[{"family":"Latorre","given":"Patrizia"},{"family":"Rubbia-Brandt","given":"Laura"},{"family":"Giostra","given":"Emiliano"},{"family":"Abid","given":"Karim"},{"family":"Negro","given":"Francesco"}],"issued":{"date-parts":[["2002",1]]}}},{"id":1600,"uris":["http://zotero.org/users/3506678/items/K5N23Y3J"],"itemData":{"id":1600,"type":"article-journal","abstract":"8-Hydroxydeoxyguanosine (8-OHdG) is a promutagenic DNA lesion produced by hydroxyl radicals and is recognized as a useful marker in estimating DNA damage induced by oxidative stress. The aim of this study was to clarify the clinical significance of hepatic 8-OHdG levels in patients with chronic viral hepatitis. Hepatic 8-OHdG accumulation was investigated in patients with chronic hepatitis C (CH-C) (n = 77) and chronic hepatitis B (CH-B) (n = 34) by immunohistochemical staining of liver biopsy samples. 8-OHdG positive hepatocytes were significantly higher in patients with CH-C compared to CH-B (median 55.0 vs 18.8 cells/10(5) mum(2), P &lt; 0.0001). The number of positive hepatocytes significantly increased with the elevation of serum aminotransferase levels, especially in CH-C patients (8-OHdG vs alanine aminotransferase (ALT)/aspartate aminotrasferase (AST) were r = 0.738/0.720 in CH-C and 0.506/0.515 in CH-B). 8-OHdG reactivity was strongly correlated with body and hepatic iron storage markers in CH-C (vs serum ferritin, r = 0.615; vs hepatic total iron score, r = 0.520; vs hepatic hepcidin mRNA levels, r = 0.571), although it was related to serum HBV-DNA titers (r = 0.540) and age of patients (r = -0.559) in CH-B. These results indicate that hepatic oxidative DNA damage is common in chronic viral hepatitis, in particular chronic HCV-infected patients, suggesting a possible link between chronic hepatic inflammation and hepatocarcinogenesis. The strong positive correlation between hepatic DNA damage and iron overload suggests that iron content is one of the most likely mediators of hepatic oxidative stress and iron reduction may be beneficial to reduce the incidence of hepatic cancer in CH-C patients.","container-title":"Journal of Viral Hepatitis","DOI":"10.1111/j.1365-2893.2008.00972.x","ISSN":"1365-2893","issue":"7","journalAbbreviation":"J Viral Hepat","language":"eng","note":"PMID: 18331251","page":"498-507","source":"PubMed","title":"Comparison of hepatic oxidative DNA damage in patients with chronic hepatitis B and C","volume":"15","author":[{"family":"Fujita","given":"N."},{"family":"Sugimoto","given":"R."},{"family":"Ma","given":"N."},{"family":"Tanaka","given":"H."},{"family":"Iwasa","given":"M."},{"family":"Kobayashi","given":"Y."},{"family":"Kawanishi","given":"S."},{"family":"Watanabe","given":"S."},{"family":"Kaito","given":"M."},{"family":"Takei","given":"Y."}],"issued":{"date-parts":[["2008",7]]}}},{"id":1604,"uris":["http://zotero.org/users/3506678/items/HRVPZ4XS"],"itemData":{"id":1604,"type":"article-journal","abstract":"OBJECTIVES: The exact pathogenesis of liver injury and fibrosis in chronic hepatitis C (CHC) is unclear. Free radicals play a role in CHC liver damage. Antioxidants (AO) (enzymatic and nonenzymatic) scavenge free radicals and prevent tissue injury. The aims of our study were to estimate serum levels of malondialdehyde (MDA), serum and liver levels of nonenzymatic fat-soluble AO, and to correlate the liver AO levels with the degree of inflammation and fibrosis on biopsy.\nMETHODS: AO levels were estimated by high-pressure liquid chromatography in the pretreatment serum and liver biopsy specimen of 20 treatment-naïve patients with CHC who were not on vitamin supplements. Serum levels of MDA were measured as a marker of increased oxidative stress. Twenty-two healthy individuals with no history of vitamin supplementation served as controls. AO analyzed were: retinol, alpha- and gamma-tocopherol, lutein, beta-cryptoxanthin, lycopene, and alpha- and beta-carotene.\nRESULTS: Twenty CHC patients (11 men, nine women, mean age 48.5 +/- 7.9 yr) were studied. Patients and controls were comparable in age and sex. Serum MDA levels were significantly higher in CHC patients compared with controls (1.62 +/- 0.57 vs 0.23 +/- 0.15 micromol/L, p = &lt; 0.0000). Serum levels of all AO except lutein were significantly decreased in CHC patients, and their levels were two to ten times lower than serum levels in controls. Liver levels of alpha-carotene (p = 0.0004), beta-carotene (p = 0.006), and lutein (p = 0.002) correlated with the serum levels, whereas the levels of retinol, alpha-tocopherol, lycopene, and beta-cryptoxanthin showed no correlation. Serum MDA levels were significantly higher in patients with moderate-to-severe inflammation or fibrosis compared with those with mild inflammation or fibrosis. The levels of all liver AO except alpha-carotene were significantly lower in patients with moderate-to-severe fibrosis. The severity of inflammation (portal or lobular) did not affect liver AO levels.\nCONCLUSIONS: Our findings suggest that increased oxidative stress is present in patients with CHC. Micronutrient AO are severely depleted in serum and liver tissue of patients with CHC, and liver levels of some AO appear to reflect serum levels. Increasing fibrosis is associated with decreased liver AO levels indicating that severe disease may be a consequence of AO depletion or decreased liver storage resulting from fibrosis.","container-title":"The American Journal of Gastroenterology","DOI":"10.1111/j.1572-0241.2002.06041.x","ISSN":"0002-9270","issue":"10","journalAbbreviation":"Am J Gastroenterol","language":"eng","note":"PMID: 12385452","page":"2634-2639","source":"PubMed","title":"Serum and liver micronutrient antioxidants and serum oxidative stress in patients with chronic hepatitis C","volume":"97","author":[{"family":"Yadav","given":"Dhiraj"},{"family":"Hertan","given":"Hilary I."},{"family":"Schweitzer","given":"P."},{"family":"Norkus","given":"E. P."},{"family":"Pitchumoni","given":"C. S."}],"issued":{"date-parts":[["2002",10]]}}}],"schema":"https://github.com/citation-style-language/schema/raw/master/csl-citation.json"} </w:instrText>
      </w:r>
      <w:r w:rsidRPr="00685DE9">
        <w:rPr>
          <w:rFonts w:ascii="Arial" w:hAnsi="Arial" w:cs="Arial"/>
          <w:sz w:val="24"/>
          <w:szCs w:val="24"/>
        </w:rPr>
        <w:fldChar w:fldCharType="separate"/>
      </w:r>
      <w:r w:rsidR="005A5F3F" w:rsidRPr="00685DE9">
        <w:rPr>
          <w:rFonts w:ascii="Arial" w:hAnsi="Arial" w:cs="Arial"/>
          <w:sz w:val="24"/>
        </w:rPr>
        <w:t>(</w:t>
      </w:r>
      <w:r w:rsidRPr="00685DE9">
        <w:rPr>
          <w:rFonts w:ascii="Arial" w:hAnsi="Arial" w:cs="Arial"/>
          <w:sz w:val="24"/>
          <w:szCs w:val="24"/>
        </w:rPr>
        <w:fldChar w:fldCharType="end"/>
      </w:r>
      <w:r w:rsidR="005A5F3F" w:rsidRPr="00685DE9">
        <w:rPr>
          <w:rFonts w:ascii="Arial" w:hAnsi="Arial" w:cs="Arial"/>
          <w:sz w:val="24"/>
          <w:szCs w:val="24"/>
        </w:rPr>
        <w:t>Suppl. Ref1, 2, 34).</w:t>
      </w:r>
    </w:p>
    <w:p w14:paraId="351CE847" w14:textId="77777777" w:rsidR="005C4902" w:rsidRPr="00685DE9" w:rsidRDefault="005C4902" w:rsidP="005C4902">
      <w:pPr>
        <w:spacing w:after="0" w:line="360" w:lineRule="auto"/>
        <w:jc w:val="both"/>
        <w:rPr>
          <w:rFonts w:ascii="Arial" w:hAnsi="Arial" w:cs="Arial"/>
          <w:sz w:val="24"/>
          <w:szCs w:val="24"/>
        </w:rPr>
      </w:pPr>
      <w:r w:rsidRPr="00685DE9">
        <w:rPr>
          <w:rFonts w:ascii="Arial" w:hAnsi="Arial" w:cs="Arial"/>
          <w:sz w:val="24"/>
          <w:szCs w:val="24"/>
        </w:rPr>
        <w:t xml:space="preserve">Seven (7) of the 24 controls subjects (non-CHB, non-CHC, non-NASH) had RNA, </w:t>
      </w:r>
      <w:proofErr w:type="gramStart"/>
      <w:r w:rsidRPr="00685DE9">
        <w:rPr>
          <w:rFonts w:ascii="Arial" w:hAnsi="Arial" w:cs="Arial"/>
          <w:sz w:val="24"/>
          <w:szCs w:val="24"/>
        </w:rPr>
        <w:t>DNA</w:t>
      </w:r>
      <w:proofErr w:type="gramEnd"/>
      <w:r w:rsidRPr="00685DE9">
        <w:rPr>
          <w:rFonts w:ascii="Arial" w:hAnsi="Arial" w:cs="Arial"/>
          <w:sz w:val="24"/>
          <w:szCs w:val="24"/>
        </w:rPr>
        <w:t xml:space="preserve"> and proteins simultaneously, and 8 had both RNA and DNA while 16 had both DNA and proteins. </w:t>
      </w:r>
    </w:p>
    <w:p w14:paraId="4BF504B1" w14:textId="35FB6118" w:rsidR="005A5F3F"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mRNAs and/or proteins expression were analyzed for the main genes involved in mitochondrial function (MT-CO1, MT-CO2 and </w:t>
      </w:r>
      <w:r w:rsidRPr="00685DE9">
        <w:rPr>
          <w:rFonts w:ascii="Arial" w:hAnsi="Arial" w:cs="Arial"/>
          <w:sz w:val="24"/>
          <w:szCs w:val="24"/>
          <w:shd w:val="clear" w:color="auto" w:fill="FFFFFF"/>
        </w:rPr>
        <w:t>COX4I1</w:t>
      </w:r>
      <w:r w:rsidRPr="00685DE9">
        <w:rPr>
          <w:rFonts w:ascii="Arial" w:hAnsi="Arial" w:cs="Arial"/>
          <w:sz w:val="24"/>
          <w:szCs w:val="24"/>
        </w:rPr>
        <w:t xml:space="preserve"> subunits for complex IV; MT-ATP8 subunit for complex V), mitochondrial biogenesis (PPARGC1</w:t>
      </w:r>
      <w:r w:rsidRPr="00685DE9">
        <w:rPr>
          <w:rFonts w:ascii="Arial" w:eastAsia="Times New Roman" w:hAnsi="Arial" w:cs="Arial"/>
          <w:sz w:val="24"/>
          <w:szCs w:val="24"/>
          <w:shd w:val="clear" w:color="auto" w:fill="FFFFFF"/>
          <w:lang w:eastAsia="fr-FR"/>
        </w:rPr>
        <w:t>α</w:t>
      </w:r>
      <w:r w:rsidRPr="00685DE9">
        <w:rPr>
          <w:rFonts w:ascii="Arial" w:hAnsi="Arial" w:cs="Arial"/>
          <w:sz w:val="24"/>
          <w:szCs w:val="24"/>
        </w:rPr>
        <w:t xml:space="preserve">, TFAM), mitochondrial fusion/fission (MFN1/2, OPA-1, UTRN), </w:t>
      </w:r>
      <w:proofErr w:type="spellStart"/>
      <w:r w:rsidRPr="00685DE9">
        <w:rPr>
          <w:rFonts w:ascii="Arial" w:hAnsi="Arial" w:cs="Arial"/>
          <w:sz w:val="24"/>
          <w:szCs w:val="24"/>
          <w:vertAlign w:val="superscript"/>
        </w:rPr>
        <w:t>mt</w:t>
      </w:r>
      <w:r w:rsidRPr="00685DE9">
        <w:rPr>
          <w:rFonts w:ascii="Arial" w:hAnsi="Arial" w:cs="Arial"/>
          <w:sz w:val="24"/>
          <w:szCs w:val="24"/>
        </w:rPr>
        <w:t>UPR</w:t>
      </w:r>
      <w:proofErr w:type="spellEnd"/>
      <w:r w:rsidRPr="00685DE9">
        <w:rPr>
          <w:rFonts w:ascii="Arial" w:hAnsi="Arial" w:cs="Arial"/>
          <w:sz w:val="24"/>
          <w:szCs w:val="24"/>
        </w:rPr>
        <w:t xml:space="preserve"> (HSPD1, HSPA9, LONP1 protease), mitophagy (PINK1, PRKN), oxidative stress (</w:t>
      </w:r>
      <w:proofErr w:type="spellStart"/>
      <w:r w:rsidRPr="00685DE9">
        <w:rPr>
          <w:rFonts w:ascii="Arial" w:hAnsi="Arial" w:cs="Arial"/>
          <w:sz w:val="24"/>
          <w:szCs w:val="24"/>
        </w:rPr>
        <w:t>iNOS</w:t>
      </w:r>
      <w:proofErr w:type="spellEnd"/>
      <w:r w:rsidRPr="00685DE9">
        <w:rPr>
          <w:rFonts w:ascii="Arial" w:hAnsi="Arial" w:cs="Arial"/>
          <w:sz w:val="24"/>
          <w:szCs w:val="24"/>
        </w:rPr>
        <w:t xml:space="preserve">, </w:t>
      </w:r>
      <w:proofErr w:type="spellStart"/>
      <w:r w:rsidRPr="00685DE9">
        <w:rPr>
          <w:rFonts w:ascii="Arial" w:hAnsi="Arial" w:cs="Arial"/>
          <w:sz w:val="24"/>
          <w:szCs w:val="24"/>
        </w:rPr>
        <w:t>MnSOD</w:t>
      </w:r>
      <w:proofErr w:type="spellEnd"/>
      <w:r w:rsidRPr="00685DE9">
        <w:rPr>
          <w:rFonts w:ascii="Arial" w:hAnsi="Arial" w:cs="Arial"/>
          <w:sz w:val="24"/>
          <w:szCs w:val="24"/>
        </w:rPr>
        <w:t xml:space="preserve">), and genes for the inflammatory cytokines (TNFα, IL6, IL1β) (Suppl. Fig. 1) using specific primers (Suppl. Table 2) and/or antibodies (Suppl. Table 3). All these parameters were analyzed in normally distributed groups of patients and controls for age, ALT, </w:t>
      </w:r>
      <w:r w:rsidR="002B0C87" w:rsidRPr="00685DE9">
        <w:rPr>
          <w:rFonts w:ascii="Arial" w:hAnsi="Arial" w:cs="Arial"/>
          <w:sz w:val="24"/>
          <w:szCs w:val="24"/>
        </w:rPr>
        <w:t>steatosis,</w:t>
      </w:r>
      <w:r w:rsidRPr="00685DE9">
        <w:rPr>
          <w:rFonts w:ascii="Arial" w:hAnsi="Arial" w:cs="Arial"/>
          <w:sz w:val="24"/>
          <w:szCs w:val="24"/>
        </w:rPr>
        <w:t xml:space="preserve"> or HBV DNA.</w:t>
      </w:r>
      <w:bookmarkEnd w:id="1"/>
    </w:p>
    <w:p w14:paraId="68F4FC44" w14:textId="77777777" w:rsidR="005A5F3F" w:rsidRPr="00685DE9" w:rsidRDefault="005A5F3F" w:rsidP="005C4902">
      <w:pPr>
        <w:autoSpaceDE w:val="0"/>
        <w:adjustRightInd w:val="0"/>
        <w:spacing w:after="0" w:line="360" w:lineRule="auto"/>
        <w:rPr>
          <w:rFonts w:ascii="Arial" w:hAnsi="Arial" w:cs="Arial"/>
          <w:b/>
          <w:bCs/>
          <w:sz w:val="24"/>
          <w:szCs w:val="24"/>
        </w:rPr>
      </w:pPr>
    </w:p>
    <w:p w14:paraId="3569FF43" w14:textId="77777777" w:rsidR="005C4902" w:rsidRPr="00685DE9" w:rsidRDefault="005C4902" w:rsidP="005C4902">
      <w:pPr>
        <w:autoSpaceDE w:val="0"/>
        <w:autoSpaceDN/>
        <w:adjustRightInd w:val="0"/>
        <w:spacing w:after="0" w:line="360" w:lineRule="auto"/>
        <w:jc w:val="both"/>
        <w:rPr>
          <w:rFonts w:ascii="Arial" w:hAnsi="Arial" w:cs="Arial"/>
          <w:b/>
          <w:bCs/>
          <w:iCs/>
          <w:sz w:val="24"/>
          <w:szCs w:val="24"/>
        </w:rPr>
      </w:pPr>
      <w:bookmarkStart w:id="2" w:name="_Hlk109129347"/>
      <w:r w:rsidRPr="00685DE9">
        <w:rPr>
          <w:rFonts w:ascii="Arial" w:hAnsi="Arial" w:cs="Arial"/>
          <w:b/>
          <w:bCs/>
          <w:iCs/>
          <w:sz w:val="24"/>
          <w:szCs w:val="24"/>
        </w:rPr>
        <w:t>Real-time RT-qPCR assessment for liver mRNA levels</w:t>
      </w:r>
    </w:p>
    <w:p w14:paraId="3E727DAA" w14:textId="7983A036" w:rsidR="005C4902" w:rsidRPr="00685DE9" w:rsidRDefault="005C4902" w:rsidP="005C4902">
      <w:pPr>
        <w:autoSpaceDE w:val="0"/>
        <w:autoSpaceDN/>
        <w:adjustRightInd w:val="0"/>
        <w:spacing w:after="0" w:line="360" w:lineRule="auto"/>
        <w:jc w:val="both"/>
        <w:rPr>
          <w:rFonts w:ascii="Arial" w:hAnsi="Arial" w:cs="Arial"/>
          <w:sz w:val="24"/>
          <w:szCs w:val="24"/>
        </w:rPr>
      </w:pPr>
      <w:r w:rsidRPr="00685DE9">
        <w:rPr>
          <w:rFonts w:ascii="Arial" w:hAnsi="Arial" w:cs="Arial"/>
          <w:sz w:val="24"/>
          <w:szCs w:val="24"/>
        </w:rPr>
        <w:t>Frozen liver fragments from controls and patients with CHB, CHC or NASH were dissolved in 1mL of iced-</w:t>
      </w:r>
      <w:proofErr w:type="spellStart"/>
      <w:r w:rsidRPr="00685DE9">
        <w:rPr>
          <w:rFonts w:ascii="Arial" w:hAnsi="Arial" w:cs="Arial"/>
          <w:sz w:val="24"/>
          <w:szCs w:val="24"/>
        </w:rPr>
        <w:t>Trizol</w:t>
      </w:r>
      <w:proofErr w:type="spellEnd"/>
      <w:r w:rsidRPr="00685DE9">
        <w:rPr>
          <w:rFonts w:ascii="Arial" w:hAnsi="Arial" w:cs="Arial"/>
          <w:sz w:val="24"/>
          <w:szCs w:val="24"/>
        </w:rPr>
        <w:t xml:space="preserve"> and crushed during 60s at 30Hz using Eppendorf-</w:t>
      </w:r>
      <w:proofErr w:type="spellStart"/>
      <w:r w:rsidRPr="00685DE9">
        <w:rPr>
          <w:rFonts w:ascii="Arial" w:hAnsi="Arial" w:cs="Arial"/>
          <w:sz w:val="24"/>
          <w:szCs w:val="24"/>
        </w:rPr>
        <w:t>TissusLyser</w:t>
      </w:r>
      <w:proofErr w:type="spellEnd"/>
      <w:r w:rsidRPr="00685DE9">
        <w:rPr>
          <w:rFonts w:ascii="Arial" w:hAnsi="Arial" w:cs="Arial"/>
          <w:sz w:val="24"/>
          <w:szCs w:val="24"/>
        </w:rPr>
        <w:t xml:space="preserve"> II. Chloroform was added, and the aqueous phase was collected after centrifugation. Total RNAs was precipitated at -20°C overnight using 2-propanol and 1 µg of glycogen RNA grade. RNA was washed in 75% ethanol and the pellet obtained </w:t>
      </w:r>
      <w:r w:rsidRPr="00685DE9">
        <w:rPr>
          <w:rFonts w:ascii="Arial" w:hAnsi="Arial" w:cs="Arial"/>
          <w:sz w:val="24"/>
          <w:szCs w:val="24"/>
        </w:rPr>
        <w:lastRenderedPageBreak/>
        <w:t xml:space="preserve">was resuspended in DEPC </w:t>
      </w:r>
      <w:proofErr w:type="spellStart"/>
      <w:r w:rsidRPr="00685DE9">
        <w:rPr>
          <w:rFonts w:ascii="Arial" w:hAnsi="Arial" w:cs="Arial"/>
          <w:sz w:val="24"/>
          <w:szCs w:val="24"/>
        </w:rPr>
        <w:t>RNAse</w:t>
      </w:r>
      <w:proofErr w:type="spellEnd"/>
      <w:r w:rsidRPr="00685DE9">
        <w:rPr>
          <w:rFonts w:ascii="Arial" w:hAnsi="Arial" w:cs="Arial"/>
          <w:sz w:val="24"/>
          <w:szCs w:val="24"/>
        </w:rPr>
        <w:t xml:space="preserve"> Free water. Total RNA (0.25-1µg) treated with DNase I was retro-transcribed using random primers and Superscript II reverse transcriptase kit. mRNA levels were estimated by real-time RT-qPCR using specific primers (Suppl. Table 2) and SYBR Green I Master Mix. GAPDH was used as a reference gene, and the </w:t>
      </w:r>
      <w:r w:rsidRPr="00685DE9">
        <w:rPr>
          <w:rFonts w:ascii="Arial" w:eastAsia="LyonText-Regular" w:hAnsi="Arial" w:cs="Arial"/>
          <w:sz w:val="24"/>
          <w:szCs w:val="24"/>
        </w:rPr>
        <w:t>2</w:t>
      </w:r>
      <w:r w:rsidRPr="00685DE9">
        <w:rPr>
          <w:rFonts w:ascii="Arial" w:eastAsia="LyonText-Regular" w:hAnsi="Arial" w:cs="Arial"/>
          <w:sz w:val="24"/>
          <w:szCs w:val="24"/>
          <w:vertAlign w:val="superscript"/>
        </w:rPr>
        <w:t>−ΔΔCq</w:t>
      </w:r>
      <w:r w:rsidRPr="00685DE9">
        <w:rPr>
          <w:rFonts w:ascii="Arial" w:eastAsia="LyonText-Regular" w:hAnsi="Arial" w:cs="Arial"/>
          <w:sz w:val="24"/>
          <w:szCs w:val="24"/>
        </w:rPr>
        <w:t xml:space="preserve"> method </w:t>
      </w:r>
      <w:r w:rsidRPr="00685DE9">
        <w:rPr>
          <w:rFonts w:ascii="Arial" w:hAnsi="Arial" w:cs="Arial"/>
          <w:sz w:val="24"/>
          <w:szCs w:val="24"/>
        </w:rPr>
        <w:t xml:space="preserve">was used to estimate the relative mRNA expression following MIQE guidelines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{"citationID":"qxix7t6K","properties":{"formattedCitation":"(4)","plainCitation":"(4)","noteIndex":0},"citationItems":[{"id":1427,"uris":["http://zotero.org/users/3506678/items/XMQ89BUG"],"itemData":{"id":1427,"type":"article-journal","abstract":"BACKGROUND: Currently, a lack of consensus exists on how best to perform and interpret quantitative real-time PCR (qPCR) experiments. The problem is exacerbated by a lack of sufficient experimental detail in many publications, which impedes a reader's ability to evaluate critically the quality of the results presented or to repeat the experiments. CONTENT: The Minimum Information for Publication of Quantitative Real-Time PCR Experiments (MIQE) guidelines target the reliability of results to help ensure the integrity of the scientific literature, promote consistency between laboratories, and increase experimental transparency. MIQE is a set of guidelines that describe the minimum information necessary for evaluating qPCR experiments. Included is a checklist to accompany the initial submission of a manuscript to the publisher. By providing all relevant experimental conditions and assay characteristics, reviewers can assess the validity of the protocols used. Full disclosure of all reagents, sequences, and analysis methods is necessary to enable other investigators to reproduce results. MIQE details should be published either in abbreviated form or as an online supplement. SUMMARY: Following these guidelines will encourage better experimental practice, allowing more reliable and unequivocal interpretation of qPCR results. (C) 2009 American Association for Clinical Chemistry","container-title":"Clinical Chemistry","DOI":"10.1373/clinchem.2008.112797","ISSN":"0009-9147","issue":"4","journalAbbreviation":"Clin. Chem.","language":"English","note":"publisher-place: Washington\npublisher: Amer Assoc Clinical Chemistry\nWOS:000264774200006","page":"611-622","source":"Web of Science","title":"The MIQE Guidelines: Minimum Information for Publication of Quantitative Real-Time PCR Experiments","title-short":"The MIQE Guidelines","volume":"55","author":[{"family":"Bustin","given":"Stephen A."},{"family":"Benes","given":"Vladimir"},{"family":"Garson","given":"Jeremy A."},{"family":"Hellemans","given":"Jan"},{"family":"Huggett","given":"Jim"},{"family":"Kubista","given":"Mikael"},{"family":"Mueller","given":"Reinhold"},{"family":"Nolan","given":"Tania"},{"family":"Pfaffl","given":"Michael W."},{"family":"Shipley","given":"Gregory L."},{"family":"Vandesompele","given":"Jo"},{"family":"Wittwer","given":"Carl T."}],"issued":{"date-parts":[["2009",4]]}}}],"schema":"https://github.com/citation-style-language/schema/raw/master/csl-citation.json"}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F1752E" w:rsidRPr="00685DE9">
        <w:rPr>
          <w:rFonts w:ascii="Arial" w:hAnsi="Arial" w:cs="Arial"/>
          <w:sz w:val="24"/>
          <w:szCs w:val="24"/>
        </w:rPr>
        <w:t>Suppl. Ref 3</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w:t>
      </w:r>
    </w:p>
    <w:p w14:paraId="494BB1CF" w14:textId="77777777" w:rsidR="005C4902" w:rsidRPr="00685DE9" w:rsidRDefault="005C4902" w:rsidP="005C4902">
      <w:pPr>
        <w:autoSpaceDE w:val="0"/>
        <w:adjustRightInd w:val="0"/>
        <w:spacing w:after="0" w:line="360" w:lineRule="auto"/>
        <w:rPr>
          <w:rFonts w:ascii="Arial" w:hAnsi="Arial" w:cs="Arial"/>
          <w:b/>
          <w:bCs/>
          <w:sz w:val="24"/>
          <w:szCs w:val="24"/>
        </w:rPr>
      </w:pPr>
    </w:p>
    <w:p w14:paraId="77F11DE0" w14:textId="77777777" w:rsidR="005C4902" w:rsidRPr="00685DE9" w:rsidRDefault="005C4902" w:rsidP="005C4902">
      <w:pPr>
        <w:autoSpaceDE w:val="0"/>
        <w:adjustRightInd w:val="0"/>
        <w:spacing w:after="0" w:line="360" w:lineRule="auto"/>
        <w:rPr>
          <w:rFonts w:ascii="Arial" w:hAnsi="Arial" w:cs="Arial"/>
          <w:b/>
          <w:bCs/>
          <w:sz w:val="24"/>
          <w:szCs w:val="24"/>
        </w:rPr>
      </w:pPr>
      <w:r w:rsidRPr="00685DE9">
        <w:rPr>
          <w:rFonts w:ascii="Arial" w:hAnsi="Arial" w:cs="Arial"/>
          <w:b/>
          <w:bCs/>
          <w:sz w:val="24"/>
          <w:szCs w:val="24"/>
        </w:rPr>
        <w:t>Liver ATP determination and Western blotting analysis</w:t>
      </w:r>
    </w:p>
    <w:p w14:paraId="781405BF" w14:textId="77777777" w:rsidR="005C4902" w:rsidRPr="00685DE9" w:rsidRDefault="005C4902" w:rsidP="005C4902">
      <w:pPr>
        <w:autoSpaceDE w:val="0"/>
        <w:adjustRightInd w:val="0"/>
        <w:spacing w:after="0" w:line="360" w:lineRule="auto"/>
        <w:jc w:val="both"/>
        <w:rPr>
          <w:rFonts w:ascii="Arial" w:hAnsi="Arial" w:cs="Arial"/>
          <w:sz w:val="24"/>
          <w:szCs w:val="24"/>
        </w:rPr>
      </w:pPr>
      <w:r w:rsidRPr="00685DE9">
        <w:rPr>
          <w:rFonts w:ascii="Arial" w:hAnsi="Arial" w:cs="Arial"/>
          <w:sz w:val="24"/>
          <w:szCs w:val="24"/>
        </w:rPr>
        <w:t xml:space="preserve">Frozen liver biopsies from patients with CHB were homogenized in a lysis buffer (either 50 mmol/L Tris-HCl, pH 7.2, 250 mmol/L NaCl, 0.1% NP-40, 2 mmol/L EDTA, 10% </w:t>
      </w:r>
      <w:proofErr w:type="gramStart"/>
      <w:r w:rsidRPr="00685DE9">
        <w:rPr>
          <w:rFonts w:ascii="Arial" w:hAnsi="Arial" w:cs="Arial"/>
          <w:sz w:val="24"/>
          <w:szCs w:val="24"/>
        </w:rPr>
        <w:t>glycerol;</w:t>
      </w:r>
      <w:proofErr w:type="gramEnd"/>
      <w:r w:rsidRPr="00685DE9">
        <w:rPr>
          <w:rFonts w:ascii="Arial" w:hAnsi="Arial" w:cs="Arial"/>
          <w:sz w:val="24"/>
          <w:szCs w:val="24"/>
        </w:rPr>
        <w:t xml:space="preserve"> or 70 mmol/L sucrose, 220 mmol/L Mannitol 2 mmol/L, HEPES-KOH 0,1 mmol/L EDTA II, pH 7.4) containing protease and phosphatase inhibitors cocktail. </w:t>
      </w:r>
    </w:p>
    <w:p w14:paraId="332D5577" w14:textId="77777777" w:rsidR="005C4902" w:rsidRPr="00685DE9" w:rsidRDefault="005C4902" w:rsidP="005C4902">
      <w:pPr>
        <w:autoSpaceDE w:val="0"/>
        <w:adjustRightInd w:val="0"/>
        <w:spacing w:after="0" w:line="360" w:lineRule="auto"/>
        <w:jc w:val="both"/>
        <w:rPr>
          <w:rFonts w:ascii="Arial" w:hAnsi="Arial" w:cs="Arial"/>
          <w:sz w:val="24"/>
          <w:szCs w:val="24"/>
        </w:rPr>
      </w:pPr>
      <w:r w:rsidRPr="00685DE9">
        <w:rPr>
          <w:rFonts w:ascii="Arial" w:hAnsi="Arial" w:cs="Arial"/>
          <w:sz w:val="24"/>
          <w:szCs w:val="24"/>
        </w:rPr>
        <w:t>To measure hepatic ATP levels, 10 protein pools each from 3 patients with CHB (30 µg of liver proteins from each patient) and 4 pools of 3 controls each were constituted and permitted 10 determinations of liver ATP levels in patients with CHB and 4 determinations in the non-CHB controls. Thus, equal amounts of liver proteins from 30 patients were mixed to constitute 5 pools of patients with CHB and F0-F2 and 5 pools with F3-F4. Similarly, 12 controls were pooled into 4 mixes. These 14 liver protein pools were then ground in liquid nitrogen and transferred into 100 µl of ice-cold 1 M perchloric acid. After centrifugation at 4 °C, supernatants were neutralized with 5 M K</w:t>
      </w:r>
      <w:r w:rsidRPr="00685DE9">
        <w:rPr>
          <w:rFonts w:ascii="Arial" w:hAnsi="Arial" w:cs="Arial"/>
          <w:sz w:val="24"/>
          <w:szCs w:val="24"/>
          <w:vertAlign w:val="subscript"/>
        </w:rPr>
        <w:t>2</w:t>
      </w:r>
      <w:r w:rsidRPr="00685DE9">
        <w:rPr>
          <w:rFonts w:ascii="Arial" w:hAnsi="Arial" w:cs="Arial"/>
          <w:sz w:val="24"/>
          <w:szCs w:val="24"/>
        </w:rPr>
        <w:t>CO</w:t>
      </w:r>
      <w:r w:rsidRPr="00685DE9">
        <w:rPr>
          <w:rFonts w:ascii="Arial" w:hAnsi="Arial" w:cs="Arial"/>
          <w:sz w:val="24"/>
          <w:szCs w:val="24"/>
          <w:vertAlign w:val="subscript"/>
        </w:rPr>
        <w:t>3</w:t>
      </w:r>
      <w:r w:rsidRPr="00685DE9">
        <w:rPr>
          <w:rFonts w:ascii="Arial" w:hAnsi="Arial" w:cs="Arial"/>
          <w:sz w:val="24"/>
          <w:szCs w:val="24"/>
        </w:rPr>
        <w:t xml:space="preserve"> and centrifuged again at 4 °C. The pellets were resuspended in phosphate-buffered saline (PBS) containing 0.2N NaOH and used to determine protein content. The supernatant was used to measure ATP with Luminescent ATP Detection Assay Kit</w:t>
      </w:r>
      <w:r w:rsidRPr="00685DE9" w:rsidDel="00572C36">
        <w:rPr>
          <w:rFonts w:ascii="Arial" w:hAnsi="Arial" w:cs="Arial"/>
          <w:sz w:val="24"/>
          <w:szCs w:val="24"/>
        </w:rPr>
        <w:t xml:space="preserve"> </w:t>
      </w:r>
      <w:r w:rsidRPr="00685DE9">
        <w:rPr>
          <w:rFonts w:ascii="Arial" w:hAnsi="Arial" w:cs="Arial"/>
          <w:sz w:val="24"/>
          <w:szCs w:val="24"/>
        </w:rPr>
        <w:t xml:space="preserve">on a luminescence plate reader following the manufacturer’s recommendations. </w:t>
      </w:r>
    </w:p>
    <w:p w14:paraId="6D34916A" w14:textId="77777777" w:rsidR="005C4902" w:rsidRPr="00685DE9" w:rsidRDefault="005C4902" w:rsidP="005C4902">
      <w:pPr>
        <w:autoSpaceDE w:val="0"/>
        <w:adjustRightInd w:val="0"/>
        <w:spacing w:after="0" w:line="360" w:lineRule="auto"/>
        <w:jc w:val="both"/>
        <w:rPr>
          <w:rFonts w:ascii="Arial" w:hAnsi="Arial" w:cs="Arial"/>
          <w:sz w:val="24"/>
          <w:szCs w:val="24"/>
        </w:rPr>
      </w:pPr>
      <w:r w:rsidRPr="00685DE9">
        <w:rPr>
          <w:rFonts w:ascii="Arial" w:hAnsi="Arial" w:cs="Arial"/>
          <w:sz w:val="24"/>
          <w:szCs w:val="24"/>
        </w:rPr>
        <w:t xml:space="preserve">For Western blotting, homogenates were centrifuged, and the supernatant was collected. Total protein concentrations were determined by the Bradford reagents. Proteins (25-75 µg) were mixed with </w:t>
      </w:r>
      <w:proofErr w:type="spellStart"/>
      <w:r w:rsidRPr="00685DE9">
        <w:rPr>
          <w:rFonts w:ascii="Arial" w:hAnsi="Arial" w:cs="Arial"/>
          <w:sz w:val="24"/>
          <w:szCs w:val="24"/>
        </w:rPr>
        <w:t>Laemmli</w:t>
      </w:r>
      <w:proofErr w:type="spellEnd"/>
      <w:r w:rsidRPr="00685DE9">
        <w:rPr>
          <w:rFonts w:ascii="Arial" w:hAnsi="Arial" w:cs="Arial"/>
          <w:sz w:val="24"/>
          <w:szCs w:val="24"/>
        </w:rPr>
        <w:t xml:space="preserve"> buffer and subjected to SDS–PAGE. The proteins were blotted on nitrocellulose membranes using a semi-dry transfer system and the transfer buffer (25 mmol/L Tris, 190 mmol/L glycine, 20% ethanol). The membranes were blocked overnight in Tris-buffered saline (TBS) containing 10% BSA 0.05 % tween20 and incubated with specific antibodies (Suppl. Table 3). After 3 washes in TBS-Tween 0.05%, blots were incubated with horseradish peroxidase (HRP)- or alkaline phosphatase (AP)-conjugated secondary antibody.</w:t>
      </w:r>
    </w:p>
    <w:bookmarkEnd w:id="2"/>
    <w:p w14:paraId="762BECB5" w14:textId="77777777" w:rsidR="005C4902" w:rsidRPr="00685DE9" w:rsidRDefault="005C4902" w:rsidP="00577B0C">
      <w:pPr>
        <w:spacing w:after="0" w:line="360" w:lineRule="auto"/>
        <w:jc w:val="both"/>
        <w:rPr>
          <w:rFonts w:ascii="Arial" w:hAnsi="Arial" w:cs="Arial"/>
          <w:b/>
          <w:bCs/>
          <w:iCs/>
          <w:sz w:val="24"/>
          <w:szCs w:val="24"/>
        </w:rPr>
      </w:pPr>
    </w:p>
    <w:p w14:paraId="2D0A7936" w14:textId="0202F049" w:rsidR="00577B0C" w:rsidRPr="00685DE9" w:rsidRDefault="00577B0C" w:rsidP="00577B0C">
      <w:pPr>
        <w:spacing w:after="0" w:line="360" w:lineRule="auto"/>
        <w:jc w:val="both"/>
        <w:rPr>
          <w:rFonts w:ascii="Arial" w:hAnsi="Arial" w:cs="Arial"/>
          <w:b/>
          <w:bCs/>
          <w:iCs/>
          <w:sz w:val="24"/>
          <w:szCs w:val="24"/>
        </w:rPr>
      </w:pPr>
      <w:r w:rsidRPr="00685DE9">
        <w:rPr>
          <w:rFonts w:ascii="Arial" w:hAnsi="Arial" w:cs="Arial"/>
          <w:b/>
          <w:bCs/>
          <w:iCs/>
          <w:sz w:val="24"/>
          <w:szCs w:val="24"/>
        </w:rPr>
        <w:lastRenderedPageBreak/>
        <w:t>Cell culture and transfection</w:t>
      </w:r>
    </w:p>
    <w:p w14:paraId="05D8DAC5" w14:textId="77777777" w:rsidR="00577B0C" w:rsidRPr="00685DE9" w:rsidRDefault="00577B0C" w:rsidP="00577B0C">
      <w:pPr>
        <w:spacing w:after="0" w:line="360" w:lineRule="auto"/>
        <w:jc w:val="both"/>
        <w:rPr>
          <w:rFonts w:ascii="Arial" w:hAnsi="Arial" w:cs="Arial"/>
          <w:i/>
          <w:sz w:val="24"/>
          <w:szCs w:val="24"/>
        </w:rPr>
      </w:pPr>
      <w:r w:rsidRPr="00685DE9">
        <w:rPr>
          <w:rFonts w:ascii="Arial" w:hAnsi="Arial" w:cs="Arial"/>
          <w:sz w:val="24"/>
          <w:szCs w:val="24"/>
        </w:rPr>
        <w:t xml:space="preserve">The human hepatoma HepG2 cell line was purchased from ATCC (Rockville, MD). Cells were cultured at 37°C in a 5% CO2/95% air atmosphere in Dulbecco’s modified Eagle’s medium supplemented with 10% fetal </w:t>
      </w:r>
      <w:proofErr w:type="spellStart"/>
      <w:r w:rsidRPr="00685DE9">
        <w:rPr>
          <w:rFonts w:ascii="Arial" w:hAnsi="Arial" w:cs="Arial"/>
          <w:sz w:val="24"/>
          <w:szCs w:val="24"/>
        </w:rPr>
        <w:t>bovin</w:t>
      </w:r>
      <w:proofErr w:type="spellEnd"/>
      <w:r w:rsidRPr="00685DE9">
        <w:rPr>
          <w:rFonts w:ascii="Arial" w:hAnsi="Arial" w:cs="Arial"/>
          <w:sz w:val="24"/>
          <w:szCs w:val="24"/>
        </w:rPr>
        <w:t xml:space="preserve"> serum, streptomycin (0.1 mg/ml) and penicillin (100 U/ml). HepG2 cells were </w:t>
      </w:r>
      <w:r w:rsidRPr="00685DE9">
        <w:rPr>
          <w:rFonts w:ascii="Arial" w:eastAsia="Times New Roman" w:hAnsi="Arial" w:cs="Arial"/>
          <w:sz w:val="24"/>
          <w:szCs w:val="24"/>
        </w:rPr>
        <w:t xml:space="preserve">transfected using </w:t>
      </w:r>
      <w:proofErr w:type="spellStart"/>
      <w:r w:rsidRPr="00685DE9">
        <w:rPr>
          <w:rFonts w:ascii="Arial" w:hAnsi="Arial" w:cs="Arial"/>
          <w:sz w:val="24"/>
          <w:szCs w:val="24"/>
        </w:rPr>
        <w:t>JetOptimus</w:t>
      </w:r>
      <w:proofErr w:type="spellEnd"/>
      <w:r w:rsidRPr="00685DE9">
        <w:rPr>
          <w:rFonts w:ascii="Arial" w:hAnsi="Arial" w:cs="Arial"/>
          <w:sz w:val="24"/>
          <w:szCs w:val="24"/>
        </w:rPr>
        <w:t xml:space="preserve"> </w:t>
      </w:r>
      <w:proofErr w:type="spellStart"/>
      <w:r w:rsidRPr="00685DE9">
        <w:rPr>
          <w:rFonts w:ascii="Arial" w:hAnsi="Arial" w:cs="Arial"/>
          <w:sz w:val="24"/>
          <w:szCs w:val="24"/>
        </w:rPr>
        <w:t>DNAtransfection</w:t>
      </w:r>
      <w:proofErr w:type="spellEnd"/>
      <w:r w:rsidRPr="00685DE9">
        <w:rPr>
          <w:rFonts w:ascii="Arial" w:hAnsi="Arial" w:cs="Arial"/>
          <w:sz w:val="24"/>
          <w:szCs w:val="24"/>
        </w:rPr>
        <w:t xml:space="preserve"> reagent (</w:t>
      </w:r>
      <w:proofErr w:type="spellStart"/>
      <w:r w:rsidRPr="00685DE9">
        <w:rPr>
          <w:rFonts w:ascii="Arial" w:hAnsi="Arial" w:cs="Arial"/>
          <w:sz w:val="24"/>
          <w:szCs w:val="24"/>
        </w:rPr>
        <w:t>Polyplus</w:t>
      </w:r>
      <w:proofErr w:type="spellEnd"/>
      <w:r w:rsidRPr="00685DE9">
        <w:rPr>
          <w:rFonts w:ascii="Arial" w:hAnsi="Arial" w:cs="Arial"/>
          <w:sz w:val="24"/>
          <w:szCs w:val="24"/>
        </w:rPr>
        <w:t xml:space="preserve">-transfection) </w:t>
      </w:r>
      <w:r w:rsidRPr="00685DE9">
        <w:rPr>
          <w:rFonts w:ascii="Arial" w:eastAsia="Times New Roman" w:hAnsi="Arial" w:cs="Arial"/>
          <w:sz w:val="24"/>
          <w:szCs w:val="24"/>
        </w:rPr>
        <w:t>following the manufacturers' protocol.</w:t>
      </w:r>
      <w:r w:rsidRPr="00685DE9">
        <w:rPr>
          <w:rFonts w:ascii="Arial" w:hAnsi="Arial" w:cs="Arial"/>
          <w:sz w:val="24"/>
          <w:szCs w:val="24"/>
        </w:rPr>
        <w:t xml:space="preserve"> </w:t>
      </w:r>
    </w:p>
    <w:p w14:paraId="2B374D03" w14:textId="2664CC6D" w:rsidR="00EC2E8E" w:rsidRPr="00685DE9" w:rsidRDefault="00577B0C" w:rsidP="00E05F7A">
      <w:pPr>
        <w:spacing w:after="0" w:line="360" w:lineRule="auto"/>
        <w:jc w:val="both"/>
        <w:rPr>
          <w:rFonts w:ascii="Arial" w:eastAsia="Times New Roman" w:hAnsi="Arial" w:cs="Arial"/>
          <w:sz w:val="24"/>
          <w:szCs w:val="24"/>
          <w:lang w:eastAsia="fr-FR"/>
        </w:rPr>
      </w:pPr>
      <w:r w:rsidRPr="00685DE9">
        <w:rPr>
          <w:rFonts w:ascii="Arial" w:hAnsi="Arial" w:cs="Arial"/>
          <w:sz w:val="24"/>
          <w:szCs w:val="24"/>
        </w:rPr>
        <w:t>The plasmid Payw1.2</w:t>
      </w:r>
      <w:r w:rsidR="00403DC2" w:rsidRPr="00685DE9">
        <w:rPr>
          <w:rFonts w:ascii="Arial" w:hAnsi="Arial" w:cs="Arial"/>
          <w:sz w:val="24"/>
          <w:szCs w:val="24"/>
        </w:rPr>
        <w:t>-HBV</w:t>
      </w:r>
      <w:r w:rsidRPr="00685DE9">
        <w:rPr>
          <w:rFonts w:ascii="Arial" w:hAnsi="Arial" w:cs="Arial"/>
          <w:sz w:val="24"/>
          <w:szCs w:val="24"/>
        </w:rPr>
        <w:t xml:space="preserve"> (gift from Christine </w:t>
      </w:r>
      <w:proofErr w:type="spellStart"/>
      <w:r w:rsidRPr="00685DE9">
        <w:rPr>
          <w:rFonts w:ascii="Arial" w:hAnsi="Arial" w:cs="Arial"/>
          <w:sz w:val="24"/>
          <w:szCs w:val="24"/>
        </w:rPr>
        <w:t>Neuveut</w:t>
      </w:r>
      <w:proofErr w:type="spellEnd"/>
      <w:r w:rsidRPr="00685DE9">
        <w:rPr>
          <w:rFonts w:ascii="Arial" w:hAnsi="Arial" w:cs="Arial"/>
          <w:sz w:val="24"/>
          <w:szCs w:val="24"/>
        </w:rPr>
        <w:t xml:space="preserve">, </w:t>
      </w:r>
      <w:proofErr w:type="spellStart"/>
      <w:r w:rsidRPr="00685DE9">
        <w:rPr>
          <w:rFonts w:ascii="Arial" w:hAnsi="Arial" w:cs="Arial"/>
          <w:sz w:val="24"/>
          <w:szCs w:val="24"/>
        </w:rPr>
        <w:t>Institut</w:t>
      </w:r>
      <w:proofErr w:type="spellEnd"/>
      <w:r w:rsidRPr="00685DE9">
        <w:rPr>
          <w:rFonts w:ascii="Arial" w:hAnsi="Arial" w:cs="Arial"/>
          <w:sz w:val="24"/>
          <w:szCs w:val="24"/>
        </w:rPr>
        <w:t xml:space="preserve"> Pasteur, Paris) containing more than one </w:t>
      </w:r>
      <w:r w:rsidRPr="00685DE9">
        <w:rPr>
          <w:rFonts w:ascii="Arial" w:eastAsia="Times New Roman" w:hAnsi="Arial" w:cs="Arial"/>
          <w:sz w:val="24"/>
          <w:szCs w:val="24"/>
        </w:rPr>
        <w:t xml:space="preserve">full-length HBV genomes </w:t>
      </w:r>
      <w:r w:rsidRPr="00685DE9">
        <w:rPr>
          <w:rFonts w:ascii="Arial" w:eastAsia="Times New Roman" w:hAnsi="Arial" w:cs="Arial"/>
          <w:sz w:val="24"/>
          <w:szCs w:val="24"/>
          <w:shd w:val="clear" w:color="auto" w:fill="FFFFFF"/>
          <w:lang w:eastAsia="fr-FR"/>
        </w:rPr>
        <w:t xml:space="preserve">of the </w:t>
      </w:r>
      <w:proofErr w:type="spellStart"/>
      <w:r w:rsidRPr="00685DE9">
        <w:rPr>
          <w:rFonts w:ascii="Arial" w:eastAsia="Times New Roman" w:hAnsi="Arial" w:cs="Arial"/>
          <w:sz w:val="24"/>
          <w:szCs w:val="24"/>
          <w:shd w:val="clear" w:color="auto" w:fill="FFFFFF"/>
          <w:lang w:eastAsia="fr-FR"/>
        </w:rPr>
        <w:t>ayw</w:t>
      </w:r>
      <w:proofErr w:type="spellEnd"/>
      <w:r w:rsidRPr="00685DE9">
        <w:rPr>
          <w:rFonts w:ascii="Arial" w:eastAsia="Times New Roman" w:hAnsi="Arial" w:cs="Arial"/>
          <w:sz w:val="24"/>
          <w:szCs w:val="24"/>
          <w:shd w:val="clear" w:color="auto" w:fill="FFFFFF"/>
          <w:lang w:eastAsia="fr-FR"/>
        </w:rPr>
        <w:t xml:space="preserve"> subtype cloned into </w:t>
      </w:r>
      <w:r w:rsidRPr="00685DE9">
        <w:rPr>
          <w:rFonts w:ascii="Arial" w:eastAsia="Times New Roman" w:hAnsi="Arial" w:cs="Arial"/>
          <w:sz w:val="24"/>
          <w:szCs w:val="24"/>
          <w:lang w:eastAsia="fr-FR"/>
        </w:rPr>
        <w:t xml:space="preserve">pGEM7 </w:t>
      </w:r>
      <w:proofErr w:type="spellStart"/>
      <w:r w:rsidRPr="00685DE9">
        <w:rPr>
          <w:rFonts w:ascii="Arial" w:eastAsia="Times New Roman" w:hAnsi="Arial" w:cs="Arial"/>
          <w:sz w:val="24"/>
          <w:szCs w:val="24"/>
          <w:lang w:eastAsia="fr-FR"/>
        </w:rPr>
        <w:t>Zf</w:t>
      </w:r>
      <w:proofErr w:type="spellEnd"/>
      <w:r w:rsidRPr="00685DE9">
        <w:rPr>
          <w:rFonts w:ascii="Arial" w:eastAsia="Times New Roman" w:hAnsi="Arial" w:cs="Arial"/>
          <w:sz w:val="24"/>
          <w:szCs w:val="24"/>
          <w:lang w:eastAsia="fr-FR"/>
        </w:rPr>
        <w:t xml:space="preserve"> vector (Promega Corporation, Madison, WI) </w:t>
      </w:r>
      <w:r w:rsidRPr="00685DE9">
        <w:rPr>
          <w:rFonts w:ascii="Arial" w:eastAsia="Times New Roman" w:hAnsi="Arial" w:cs="Arial"/>
          <w:sz w:val="24"/>
          <w:szCs w:val="24"/>
          <w:shd w:val="clear" w:color="auto" w:fill="FFFFFF"/>
          <w:lang w:eastAsia="fr-FR"/>
        </w:rPr>
        <w:t xml:space="preserve">and expressing HBV </w:t>
      </w:r>
      <w:proofErr w:type="spellStart"/>
      <w:r w:rsidRPr="00685DE9">
        <w:rPr>
          <w:rFonts w:ascii="Arial" w:eastAsia="Times New Roman" w:hAnsi="Arial" w:cs="Arial"/>
          <w:sz w:val="24"/>
          <w:szCs w:val="24"/>
          <w:lang w:eastAsia="fr-FR"/>
        </w:rPr>
        <w:t>pregenomic</w:t>
      </w:r>
      <w:proofErr w:type="spellEnd"/>
      <w:r w:rsidRPr="00685DE9">
        <w:rPr>
          <w:rFonts w:ascii="Arial" w:eastAsia="Times New Roman" w:hAnsi="Arial" w:cs="Arial"/>
          <w:sz w:val="24"/>
          <w:szCs w:val="24"/>
          <w:lang w:eastAsia="fr-FR"/>
        </w:rPr>
        <w:t xml:space="preserve"> RNA </w:t>
      </w:r>
      <w:r w:rsidRPr="00685DE9">
        <w:rPr>
          <w:rFonts w:ascii="Arial" w:eastAsia="Times New Roman" w:hAnsi="Arial" w:cs="Arial"/>
          <w:sz w:val="24"/>
          <w:szCs w:val="24"/>
          <w:lang w:eastAsia="fr-FR"/>
        </w:rPr>
        <w:fldChar w:fldCharType="begin"/>
      </w:r>
      <w:r w:rsidR="00304542" w:rsidRPr="00685DE9">
        <w:rPr>
          <w:rFonts w:ascii="Arial" w:eastAsia="Times New Roman" w:hAnsi="Arial" w:cs="Arial"/>
          <w:sz w:val="24"/>
          <w:szCs w:val="24"/>
          <w:lang w:eastAsia="fr-FR"/>
        </w:rPr>
        <w:instrText xml:space="preserve"> ADDIN ZOTERO_ITEM CSL_CITATION {"citationID":"JSC0Yg8U","properties":{"formattedCitation":"(4)","plainCitation":"(4)","dontUpdate":true,"noteIndex":0},"citationItems":[{"id":1465,"uris":["http://zotero.org/users/3506678/items/IAI3LG3Z"],"itemData":{"id":1465,"type":"article-journal","abstract":"Hepadnaviruses encode two core-related open reading frames. One directs the synthesis of the p21 core protein, which subsequently becomes a structural component of the viral nucleocapsid. The other produces a p25 precore protein that is targeted by a signal peptide to a cell secretory pathway where N-terminal processing will create a p22 species. This molecule will be further modified at the C-terminal region to generate p17, and the truncated protein is secreted from the cell as hepatitis B e antigen (HBeAg). The function of the precore gene in the biology of hepadnaviruses is unknown. We found that ablation of the precore gene resulted in the generation of a hepatitis B virus (HBV) species with a high-replication-level phenotype. More important, expression in trans of physiologic levels of p25 restored viral replication to wild-type levels. Moreover, transient or stable overexpression of the precore gene resulted in striking inhibition of HBV replication. The molecular species responsible for this viral inhibitory effect was identified as the p22 nonsecreted HBeAg precursor protein. By sucrose gradient sedimentation analysis, we determined that expression of p22 leads to the formation of nucleocapsids similar to those made with wild-type p21 core protein. Immunoprecipitation experiments revealed that the p21 and p22 physically interact and form hybrid nucleocapsid structures devoid of pregenomic viral RNA. These experiments suggest that expression of the precore gene may be important in the regulation of HBV replication and describe a possible molecular mechanism(s) for this effect.","container-title":"Journal of Virology","DOI":"10.1128/JVI.71.1.345-353.1997","ISSN":"0022-538X","issue":"1","journalAbbreviation":"J Virol","language":"eng","note":"PMID: 8985356\nPMCID: PMC191057","page":"345-353","source":"PubMed","title":"Posttranscriptional regulation of hepatitis B virus replication by the precore protein","volume":"71","author":[{"family":"Scaglioni","given":"P. P."},{"family":"Melegari","given":"M."},{"family":"Wands","given":"J. R."}],"issued":{"date-parts":[["1997",1]]}}}],"schema":"https://github.com/citation-style-language/schema/raw/master/csl-citation.json"} </w:instrText>
      </w:r>
      <w:r w:rsidRPr="00685DE9">
        <w:rPr>
          <w:rFonts w:ascii="Arial" w:eastAsia="Times New Roman" w:hAnsi="Arial" w:cs="Arial"/>
          <w:sz w:val="24"/>
          <w:szCs w:val="24"/>
          <w:lang w:eastAsia="fr-FR"/>
        </w:rPr>
        <w:fldChar w:fldCharType="separate"/>
      </w:r>
      <w:r w:rsidRPr="00685DE9">
        <w:rPr>
          <w:rFonts w:ascii="Arial" w:hAnsi="Arial" w:cs="Arial"/>
          <w:sz w:val="24"/>
        </w:rPr>
        <w:t>(</w:t>
      </w:r>
      <w:r w:rsidR="00056439" w:rsidRPr="00685DE9">
        <w:rPr>
          <w:rFonts w:ascii="Arial" w:hAnsi="Arial" w:cs="Arial"/>
          <w:sz w:val="24"/>
        </w:rPr>
        <w:t xml:space="preserve">Suppl. Ref. </w:t>
      </w:r>
      <w:r w:rsidR="002A4D32" w:rsidRPr="00685DE9">
        <w:rPr>
          <w:rFonts w:ascii="Arial" w:hAnsi="Arial" w:cs="Arial"/>
          <w:sz w:val="24"/>
        </w:rPr>
        <w:t>4</w:t>
      </w:r>
      <w:r w:rsidRPr="00685DE9">
        <w:rPr>
          <w:rFonts w:ascii="Arial" w:hAnsi="Arial" w:cs="Arial"/>
          <w:sz w:val="24"/>
        </w:rPr>
        <w:t>)</w:t>
      </w:r>
      <w:r w:rsidRPr="00685DE9">
        <w:rPr>
          <w:rFonts w:ascii="Arial" w:eastAsia="Times New Roman" w:hAnsi="Arial" w:cs="Arial"/>
          <w:sz w:val="24"/>
          <w:szCs w:val="24"/>
          <w:lang w:eastAsia="fr-FR"/>
        </w:rPr>
        <w:fldChar w:fldCharType="end"/>
      </w:r>
      <w:r w:rsidRPr="00685DE9">
        <w:rPr>
          <w:rFonts w:ascii="Arial" w:eastAsia="Times New Roman" w:hAnsi="Arial" w:cs="Arial"/>
          <w:sz w:val="24"/>
          <w:szCs w:val="24"/>
        </w:rPr>
        <w:t xml:space="preserve"> was </w:t>
      </w:r>
      <w:r w:rsidR="00EC2E8E" w:rsidRPr="00685DE9">
        <w:rPr>
          <w:rFonts w:ascii="Arial" w:hAnsi="Arial" w:cs="Arial"/>
          <w:sz w:val="24"/>
          <w:szCs w:val="24"/>
          <w:shd w:val="clear" w:color="auto" w:fill="FFFFFF"/>
        </w:rPr>
        <w:t xml:space="preserve">transiently </w:t>
      </w:r>
      <w:r w:rsidRPr="00685DE9">
        <w:rPr>
          <w:rFonts w:ascii="Arial" w:eastAsia="Times New Roman" w:hAnsi="Arial" w:cs="Arial"/>
          <w:sz w:val="24"/>
          <w:szCs w:val="24"/>
        </w:rPr>
        <w:t>t</w:t>
      </w:r>
      <w:r w:rsidR="00C410BB" w:rsidRPr="00685DE9">
        <w:rPr>
          <w:rFonts w:ascii="Arial" w:eastAsia="Times New Roman" w:hAnsi="Arial" w:cs="Arial"/>
          <w:sz w:val="24"/>
          <w:szCs w:val="24"/>
        </w:rPr>
        <w:t>ransfected into HepG2 cell</w:t>
      </w:r>
      <w:r w:rsidRPr="00685DE9">
        <w:rPr>
          <w:rFonts w:ascii="Arial" w:eastAsia="Times New Roman" w:hAnsi="Arial" w:cs="Arial"/>
          <w:sz w:val="24"/>
          <w:szCs w:val="24"/>
        </w:rPr>
        <w:t xml:space="preserve">s. The expression of </w:t>
      </w:r>
      <w:r w:rsidRPr="00685DE9">
        <w:rPr>
          <w:rFonts w:ascii="Arial" w:eastAsia="Times New Roman" w:hAnsi="Arial" w:cs="Arial"/>
          <w:sz w:val="24"/>
          <w:szCs w:val="24"/>
          <w:shd w:val="clear" w:color="auto" w:fill="FFFFFF"/>
          <w:lang w:eastAsia="fr-FR"/>
        </w:rPr>
        <w:t xml:space="preserve">HBV </w:t>
      </w:r>
      <w:proofErr w:type="spellStart"/>
      <w:r w:rsidRPr="00685DE9">
        <w:rPr>
          <w:rFonts w:ascii="Arial" w:eastAsia="Times New Roman" w:hAnsi="Arial" w:cs="Arial"/>
          <w:sz w:val="24"/>
          <w:szCs w:val="24"/>
          <w:lang w:eastAsia="fr-FR"/>
        </w:rPr>
        <w:t>pregenomic</w:t>
      </w:r>
      <w:proofErr w:type="spellEnd"/>
      <w:r w:rsidRPr="00685DE9">
        <w:rPr>
          <w:rFonts w:ascii="Arial" w:eastAsia="Times New Roman" w:hAnsi="Arial" w:cs="Arial"/>
          <w:sz w:val="24"/>
          <w:szCs w:val="24"/>
          <w:lang w:eastAsia="fr-FR"/>
        </w:rPr>
        <w:t xml:space="preserve"> RNA was confirmed by PCR using specific primers (</w:t>
      </w:r>
      <w:r w:rsidRPr="00685DE9">
        <w:rPr>
          <w:rFonts w:ascii="Arial" w:hAnsi="Arial" w:cs="Arial"/>
          <w:sz w:val="24"/>
          <w:szCs w:val="24"/>
        </w:rPr>
        <w:t xml:space="preserve">Suppl. Table </w:t>
      </w:r>
      <w:r w:rsidR="00EC2E8E" w:rsidRPr="00685DE9">
        <w:rPr>
          <w:rFonts w:ascii="Arial" w:hAnsi="Arial" w:cs="Arial"/>
          <w:sz w:val="24"/>
          <w:szCs w:val="24"/>
        </w:rPr>
        <w:t>1</w:t>
      </w:r>
      <w:r w:rsidR="00BB08CE" w:rsidRPr="00685DE9">
        <w:rPr>
          <w:rFonts w:ascii="Arial" w:eastAsia="Times New Roman" w:hAnsi="Arial" w:cs="Arial"/>
          <w:sz w:val="24"/>
          <w:szCs w:val="24"/>
          <w:lang w:eastAsia="fr-FR"/>
        </w:rPr>
        <w:t>).</w:t>
      </w:r>
    </w:p>
    <w:p w14:paraId="08C39188" w14:textId="4FCD3C3A" w:rsidR="00B84D90" w:rsidRPr="00685DE9" w:rsidRDefault="00CE420A" w:rsidP="00E05F7A">
      <w:pPr>
        <w:spacing w:after="0" w:line="360" w:lineRule="auto"/>
        <w:jc w:val="both"/>
        <w:rPr>
          <w:rFonts w:ascii="Arial" w:hAnsi="Arial" w:cs="Arial"/>
        </w:rPr>
      </w:pPr>
      <w:bookmarkStart w:id="3" w:name="_Hlk109131924"/>
      <w:r w:rsidRPr="00685DE9">
        <w:rPr>
          <w:rFonts w:ascii="Arial" w:hAnsi="Arial" w:cs="Arial"/>
          <w:sz w:val="24"/>
          <w:szCs w:val="24"/>
        </w:rPr>
        <w:t>The plasmid</w:t>
      </w:r>
      <w:r w:rsidR="0088596C" w:rsidRPr="00685DE9">
        <w:rPr>
          <w:rFonts w:ascii="Arial" w:hAnsi="Arial" w:cs="Arial"/>
          <w:sz w:val="24"/>
          <w:szCs w:val="24"/>
        </w:rPr>
        <w:t>s</w:t>
      </w:r>
      <w:r w:rsidRPr="00685DE9">
        <w:rPr>
          <w:rFonts w:ascii="Arial" w:hAnsi="Arial" w:cs="Arial"/>
          <w:sz w:val="24"/>
          <w:szCs w:val="24"/>
        </w:rPr>
        <w:t xml:space="preserve"> pcDNA3.1</w:t>
      </w:r>
      <w:r w:rsidR="00577B0C" w:rsidRPr="00685DE9">
        <w:rPr>
          <w:rFonts w:ascii="Arial" w:hAnsi="Arial" w:cs="Arial"/>
          <w:sz w:val="24"/>
          <w:szCs w:val="24"/>
        </w:rPr>
        <w:t>Flag-HBx (</w:t>
      </w:r>
      <w:proofErr w:type="spellStart"/>
      <w:r w:rsidR="00577B0C" w:rsidRPr="00685DE9">
        <w:rPr>
          <w:rFonts w:ascii="Arial" w:hAnsi="Arial" w:cs="Arial"/>
          <w:sz w:val="24"/>
          <w:szCs w:val="24"/>
        </w:rPr>
        <w:t>Addgene</w:t>
      </w:r>
      <w:proofErr w:type="spellEnd"/>
      <w:r w:rsidR="00577B0C" w:rsidRPr="00685DE9">
        <w:rPr>
          <w:rFonts w:ascii="Arial" w:hAnsi="Arial" w:cs="Arial"/>
          <w:sz w:val="24"/>
          <w:szCs w:val="24"/>
        </w:rPr>
        <w:t>, #42596)</w:t>
      </w:r>
      <w:r w:rsidR="00577B0C" w:rsidRPr="00685DE9">
        <w:rPr>
          <w:rFonts w:ascii="Arial" w:hAnsi="Arial" w:cs="Arial"/>
          <w:sz w:val="24"/>
          <w:szCs w:val="24"/>
          <w:shd w:val="clear" w:color="auto" w:fill="FFFFFF"/>
        </w:rPr>
        <w:t xml:space="preserve"> </w:t>
      </w:r>
      <w:r w:rsidR="0088596C" w:rsidRPr="00685DE9">
        <w:rPr>
          <w:rFonts w:ascii="Arial" w:hAnsi="Arial" w:cs="Arial"/>
          <w:sz w:val="24"/>
          <w:szCs w:val="24"/>
          <w:shd w:val="clear" w:color="auto" w:fill="FFFFFF"/>
        </w:rPr>
        <w:t xml:space="preserve">and </w:t>
      </w:r>
      <w:r w:rsidR="009A2A96" w:rsidRPr="00685DE9">
        <w:rPr>
          <w:rFonts w:ascii="Arial" w:hAnsi="Arial" w:cs="Arial"/>
          <w:sz w:val="24"/>
          <w:szCs w:val="24"/>
        </w:rPr>
        <w:t>pcDNA3.1</w:t>
      </w:r>
      <w:r w:rsidR="0088596C" w:rsidRPr="00685DE9">
        <w:rPr>
          <w:rFonts w:ascii="Arial" w:hAnsi="Arial" w:cs="Arial"/>
          <w:sz w:val="24"/>
          <w:szCs w:val="24"/>
        </w:rPr>
        <w:t>Flag</w:t>
      </w:r>
      <w:r w:rsidR="009A2A96" w:rsidRPr="00685DE9">
        <w:rPr>
          <w:rFonts w:ascii="Arial" w:hAnsi="Arial" w:cs="Arial"/>
          <w:sz w:val="24"/>
          <w:szCs w:val="24"/>
        </w:rPr>
        <w:t>-</w:t>
      </w:r>
      <w:r w:rsidR="0088596C" w:rsidRPr="00685DE9">
        <w:rPr>
          <w:rFonts w:ascii="Arial" w:hAnsi="Arial" w:cs="Arial"/>
          <w:sz w:val="24"/>
          <w:szCs w:val="24"/>
        </w:rPr>
        <w:t>HBx(G124L, I127A) (</w:t>
      </w:r>
      <w:proofErr w:type="spellStart"/>
      <w:r w:rsidR="0088596C" w:rsidRPr="00685DE9">
        <w:rPr>
          <w:rFonts w:ascii="Arial" w:hAnsi="Arial" w:cs="Arial"/>
          <w:sz w:val="24"/>
          <w:szCs w:val="24"/>
        </w:rPr>
        <w:t>Addgene</w:t>
      </w:r>
      <w:proofErr w:type="spellEnd"/>
      <w:r w:rsidR="0088596C" w:rsidRPr="00685DE9">
        <w:rPr>
          <w:rFonts w:ascii="Arial" w:hAnsi="Arial" w:cs="Arial"/>
          <w:sz w:val="24"/>
          <w:szCs w:val="24"/>
        </w:rPr>
        <w:t>, #</w:t>
      </w:r>
      <w:r w:rsidR="0088596C" w:rsidRPr="00685DE9">
        <w:rPr>
          <w:rFonts w:ascii="Arial" w:eastAsia="Times New Roman" w:hAnsi="Arial" w:cs="Arial"/>
          <w:sz w:val="24"/>
          <w:szCs w:val="24"/>
          <w:lang w:eastAsia="fr-FR"/>
        </w:rPr>
        <w:t xml:space="preserve">42598) were respectively </w:t>
      </w:r>
      <w:r w:rsidR="00577B0C" w:rsidRPr="00685DE9">
        <w:rPr>
          <w:rFonts w:ascii="Arial" w:hAnsi="Arial" w:cs="Arial"/>
          <w:sz w:val="24"/>
          <w:szCs w:val="24"/>
          <w:shd w:val="clear" w:color="auto" w:fill="FFFFFF"/>
        </w:rPr>
        <w:t xml:space="preserve">used to express </w:t>
      </w:r>
      <w:r w:rsidR="0088596C" w:rsidRPr="00685DE9">
        <w:rPr>
          <w:rFonts w:ascii="Arial" w:hAnsi="Arial" w:cs="Arial"/>
          <w:sz w:val="24"/>
          <w:szCs w:val="24"/>
          <w:shd w:val="clear" w:color="auto" w:fill="FFFFFF"/>
        </w:rPr>
        <w:t xml:space="preserve">wild type and mutated </w:t>
      </w:r>
      <w:proofErr w:type="spellStart"/>
      <w:r w:rsidR="00577B0C" w:rsidRPr="00685DE9">
        <w:rPr>
          <w:rFonts w:ascii="Arial" w:hAnsi="Arial" w:cs="Arial"/>
          <w:sz w:val="24"/>
          <w:szCs w:val="24"/>
          <w:shd w:val="clear" w:color="auto" w:fill="FFFFFF"/>
        </w:rPr>
        <w:t>HBx</w:t>
      </w:r>
      <w:proofErr w:type="spellEnd"/>
      <w:r w:rsidR="00577B0C" w:rsidRPr="00685DE9">
        <w:rPr>
          <w:rFonts w:ascii="Arial" w:hAnsi="Arial" w:cs="Arial"/>
          <w:sz w:val="24"/>
          <w:szCs w:val="24"/>
          <w:shd w:val="clear" w:color="auto" w:fill="FFFFFF"/>
        </w:rPr>
        <w:t xml:space="preserve"> protein under </w:t>
      </w:r>
      <w:r w:rsidR="00577B0C" w:rsidRPr="00685DE9">
        <w:rPr>
          <w:rFonts w:ascii="Arial" w:hAnsi="Arial" w:cs="Arial"/>
          <w:sz w:val="24"/>
          <w:szCs w:val="24"/>
        </w:rPr>
        <w:t xml:space="preserve">Cytomegalovirus promotor </w:t>
      </w:r>
      <w:r w:rsidR="00577B0C"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{"citationID":"vkOCPqjZ","properties":{"formattedCitation":"(5)","plainCitation":"(5)","dontUpdate":true,"noteIndex":0},"citationItems":[{"id":1468,"uris":["http://zotero.org/users/3506678/items/T4HCFM3V"],"itemData":{"id":1468,"type":"article-journal","abstract":"Infection with the hepatitis B virus (HBV) promotes the development of hepatitis, cirrhosis, and hepatocellular carcinoma (HCC) and is a leading cause of morbidity and mortality worldwide. HBV X protein (HBx) is an important effector for HBV pathogenesis, but its cellular targets and acting mechanisms remain elusive. We show here that HBx interacts with the anti-apoptotic proteins Bcl-2 and Bcl-xL through a Bcl-2 homology 3 (BH3)-like motif in mammalian cells. Importantly, mutations in the BH3-like motif that prevent HBx binding to Bcl-2 and Bcl-xL abrogate cytosolic calcium elevation and cell death induced by HBx expression in hepatocytes and severely impair HBV viral replication, which can be substantially rescued by restoring cytosolic calcium. These results suggest that HBx binding to Bcl-2 family members and subsequent elevation of cytosolic calcium are important for HBV viral replication. Consistently, RNAi knockdown of Bcl-2 or Bcl-xL results in reduced calcium elevation by HBx and decreased viral replication in hepatocytes. Our results suggest that HBx targets Bcl-2 proteins through its BH3-like motif to promote cytosolic calcium elevation, cell death, and viral replication during HBV pathogenesis, which presents an excellent therapeutic intervention point in treating patients with chronic HBV.","container-title":"Proceedings of the National Academy of Sciences of the United States of America","DOI":"10.1073/pnas.1204668109","ISSN":"1091-6490","issue":"45","journalAbbreviation":"Proc Natl Acad Sci U S A","language":"eng","note":"PMID: 23091012\nPMCID: PMC3494919","page":"18471-18476","source":"PubMed","title":"Hepatitis B virus X protein targets Bcl-2 proteins to increase intracellular calcium, required for virus replication and cell death induction","volume":"109","author":[{"family":"Geng","given":"Xin"},{"family":"Huang","given":"Chenghao"},{"family":"Qin","given":"Yan"},{"family":"McCombs","given":"Janet E."},{"family":"Yuan","given":"Quan"},{"family":"Harry","given":"Brian L."},{"family":"Palmer","given":"Amy E."},{"family":"Xia","given":"Ning-Shao"},{"family":"Xue","given":"Ding"}],"issued":{"date-parts":[["2012",11,6]]}}}],"schema":"https://github.com/citation-style-language/schema/raw/master/csl-citation.json"} </w:instrText>
      </w:r>
      <w:r w:rsidR="00577B0C" w:rsidRPr="00685DE9">
        <w:rPr>
          <w:rFonts w:ascii="Arial" w:hAnsi="Arial" w:cs="Arial"/>
          <w:sz w:val="24"/>
          <w:szCs w:val="24"/>
        </w:rPr>
        <w:fldChar w:fldCharType="separate"/>
      </w:r>
      <w:r w:rsidR="005B6311" w:rsidRPr="00685DE9">
        <w:rPr>
          <w:rFonts w:ascii="Arial" w:hAnsi="Arial" w:cs="Arial"/>
          <w:sz w:val="24"/>
        </w:rPr>
        <w:t>(</w:t>
      </w:r>
      <w:r w:rsidR="00015869" w:rsidRPr="00685DE9">
        <w:rPr>
          <w:rFonts w:ascii="Arial" w:hAnsi="Arial" w:cs="Arial"/>
          <w:sz w:val="24"/>
        </w:rPr>
        <w:t>41</w:t>
      </w:r>
      <w:r w:rsidR="00577B0C" w:rsidRPr="00685DE9">
        <w:rPr>
          <w:rFonts w:ascii="Arial" w:hAnsi="Arial" w:cs="Arial"/>
          <w:sz w:val="24"/>
        </w:rPr>
        <w:t>)</w:t>
      </w:r>
      <w:r w:rsidR="00577B0C" w:rsidRPr="00685DE9">
        <w:rPr>
          <w:rFonts w:ascii="Arial" w:hAnsi="Arial" w:cs="Arial"/>
          <w:sz w:val="24"/>
          <w:szCs w:val="24"/>
        </w:rPr>
        <w:fldChar w:fldCharType="end"/>
      </w:r>
      <w:r w:rsidR="00577B0C" w:rsidRPr="00685DE9">
        <w:rPr>
          <w:rFonts w:ascii="Arial" w:hAnsi="Arial" w:cs="Arial"/>
          <w:sz w:val="24"/>
          <w:szCs w:val="24"/>
          <w:shd w:val="clear" w:color="auto" w:fill="FFFFFF"/>
        </w:rPr>
        <w:t xml:space="preserve">. </w:t>
      </w:r>
    </w:p>
    <w:bookmarkEnd w:id="3"/>
    <w:p w14:paraId="49021F29" w14:textId="31DD5F76" w:rsidR="001565DB" w:rsidRPr="00685DE9" w:rsidRDefault="00B84D90" w:rsidP="00E05F7A">
      <w:pPr>
        <w:autoSpaceDE w:val="0"/>
        <w:adjustRightInd w:val="0"/>
        <w:spacing w:after="0" w:line="360" w:lineRule="auto"/>
        <w:jc w:val="both"/>
        <w:rPr>
          <w:rFonts w:ascii="Arial" w:eastAsiaTheme="minorHAnsi" w:hAnsi="Arial" w:cs="Arial"/>
          <w:sz w:val="24"/>
          <w:szCs w:val="24"/>
        </w:rPr>
      </w:pPr>
      <w:r w:rsidRPr="00685DE9">
        <w:rPr>
          <w:rFonts w:ascii="Arial" w:eastAsiaTheme="minorHAnsi" w:hAnsi="Arial" w:cs="Arial"/>
          <w:sz w:val="24"/>
          <w:szCs w:val="24"/>
        </w:rPr>
        <w:t xml:space="preserve">In some cases, </w:t>
      </w:r>
      <w:r w:rsidR="001565DB" w:rsidRPr="00685DE9">
        <w:rPr>
          <w:rFonts w:ascii="Arial" w:eastAsiaTheme="minorHAnsi" w:hAnsi="Arial" w:cs="Arial"/>
          <w:sz w:val="24"/>
          <w:szCs w:val="24"/>
        </w:rPr>
        <w:t>5 µM of the mitochondrial-targeted superoxide scavenger Mito-Tempo[(2-(2,2,6,6-Tetramethylpiperidin-1-Oxyl-4-Ylamino)-2-Oxoethyl)</w:t>
      </w:r>
      <w:r w:rsidR="004C340E" w:rsidRPr="00685DE9">
        <w:rPr>
          <w:rFonts w:ascii="Arial" w:eastAsiaTheme="minorHAnsi" w:hAnsi="Arial" w:cs="Arial"/>
          <w:sz w:val="24"/>
          <w:szCs w:val="24"/>
        </w:rPr>
        <w:t xml:space="preserve"> </w:t>
      </w:r>
      <w:proofErr w:type="spellStart"/>
      <w:r w:rsidR="001565DB" w:rsidRPr="00685DE9">
        <w:rPr>
          <w:rFonts w:ascii="Arial" w:eastAsiaTheme="minorHAnsi" w:hAnsi="Arial" w:cs="Arial"/>
          <w:sz w:val="24"/>
          <w:szCs w:val="24"/>
        </w:rPr>
        <w:t>Triphenylphosphonium</w:t>
      </w:r>
      <w:proofErr w:type="spellEnd"/>
      <w:r w:rsidR="001565DB" w:rsidRPr="00685DE9">
        <w:rPr>
          <w:rFonts w:ascii="Arial" w:eastAsiaTheme="minorHAnsi" w:hAnsi="Arial" w:cs="Arial"/>
          <w:sz w:val="24"/>
          <w:szCs w:val="24"/>
        </w:rPr>
        <w:t xml:space="preserve"> Chloride, Monohydrate] (Life Sciences, Villeurbanne, France) or 5 µM of the specific </w:t>
      </w:r>
      <w:proofErr w:type="spellStart"/>
      <w:r w:rsidR="001565DB" w:rsidRPr="00685DE9">
        <w:rPr>
          <w:rFonts w:ascii="Arial" w:eastAsiaTheme="minorHAnsi" w:hAnsi="Arial" w:cs="Arial"/>
          <w:sz w:val="24"/>
          <w:szCs w:val="24"/>
        </w:rPr>
        <w:t>iNOS</w:t>
      </w:r>
      <w:proofErr w:type="spellEnd"/>
      <w:r w:rsidR="001565DB" w:rsidRPr="00685DE9">
        <w:rPr>
          <w:rFonts w:ascii="Arial" w:eastAsiaTheme="minorHAnsi" w:hAnsi="Arial" w:cs="Arial"/>
          <w:sz w:val="24"/>
          <w:szCs w:val="24"/>
        </w:rPr>
        <w:t xml:space="preserve"> inhibitor </w:t>
      </w:r>
      <w:r w:rsidR="002538FB" w:rsidRPr="00685DE9">
        <w:rPr>
          <w:rFonts w:ascii="Arial" w:eastAsiaTheme="minorHAnsi" w:hAnsi="Arial" w:cs="Arial"/>
          <w:sz w:val="24"/>
          <w:szCs w:val="24"/>
        </w:rPr>
        <w:t>N-[3-(</w:t>
      </w:r>
      <w:proofErr w:type="spellStart"/>
      <w:proofErr w:type="gramStart"/>
      <w:r w:rsidR="002538FB" w:rsidRPr="00685DE9">
        <w:rPr>
          <w:rFonts w:ascii="Arial" w:eastAsiaTheme="minorHAnsi" w:hAnsi="Arial" w:cs="Arial"/>
          <w:sz w:val="24"/>
          <w:szCs w:val="24"/>
        </w:rPr>
        <w:t>aminomethyl</w:t>
      </w:r>
      <w:proofErr w:type="spellEnd"/>
      <w:r w:rsidR="002538FB" w:rsidRPr="00685DE9">
        <w:rPr>
          <w:rFonts w:ascii="Arial" w:eastAsiaTheme="minorHAnsi" w:hAnsi="Arial" w:cs="Arial"/>
          <w:sz w:val="24"/>
          <w:szCs w:val="24"/>
        </w:rPr>
        <w:t>)benzyl</w:t>
      </w:r>
      <w:proofErr w:type="gramEnd"/>
      <w:r w:rsidR="002538FB" w:rsidRPr="00685DE9">
        <w:rPr>
          <w:rFonts w:ascii="Arial" w:eastAsiaTheme="minorHAnsi" w:hAnsi="Arial" w:cs="Arial"/>
          <w:sz w:val="24"/>
          <w:szCs w:val="24"/>
        </w:rPr>
        <w:t xml:space="preserve">]acetamidine (1400W) </w:t>
      </w:r>
      <w:r w:rsidR="001565DB" w:rsidRPr="00685DE9">
        <w:rPr>
          <w:rFonts w:ascii="Arial" w:eastAsiaTheme="minorHAnsi" w:hAnsi="Arial" w:cs="Arial"/>
          <w:sz w:val="24"/>
          <w:szCs w:val="24"/>
        </w:rPr>
        <w:t>(30) were added to the cultured HepG2 cells 30 minutes before transfection. A second dose of the treatment was added 16 h after transfection.</w:t>
      </w:r>
    </w:p>
    <w:p w14:paraId="0B3B9F08" w14:textId="77777777" w:rsidR="00CC02F4" w:rsidRPr="00685DE9" w:rsidRDefault="001565DB" w:rsidP="001D6D11">
      <w:pPr>
        <w:spacing w:after="0" w:line="360" w:lineRule="auto"/>
        <w:jc w:val="both"/>
        <w:rPr>
          <w:rFonts w:ascii="Arial" w:hAnsi="Arial" w:cs="Arial"/>
          <w:bCs/>
          <w:sz w:val="24"/>
          <w:szCs w:val="24"/>
        </w:rPr>
      </w:pPr>
      <w:r w:rsidRPr="00685DE9">
        <w:rPr>
          <w:rFonts w:ascii="Arial" w:hAnsi="Arial" w:cs="Arial"/>
          <w:sz w:val="24"/>
          <w:szCs w:val="24"/>
          <w:shd w:val="clear" w:color="auto" w:fill="FFFFFF"/>
        </w:rPr>
        <w:t xml:space="preserve">Cells were collected at 24, 48, 72 or 96 h after transfection. </w:t>
      </w:r>
      <w:r w:rsidR="00577B0C" w:rsidRPr="00685DE9">
        <w:rPr>
          <w:rFonts w:ascii="Arial" w:hAnsi="Arial" w:cs="Arial"/>
          <w:bCs/>
          <w:sz w:val="24"/>
          <w:szCs w:val="24"/>
        </w:rPr>
        <w:t>Anti-</w:t>
      </w:r>
      <w:proofErr w:type="spellStart"/>
      <w:r w:rsidR="00577B0C" w:rsidRPr="00685DE9">
        <w:rPr>
          <w:rFonts w:ascii="Arial" w:hAnsi="Arial" w:cs="Arial"/>
          <w:bCs/>
          <w:sz w:val="24"/>
          <w:szCs w:val="24"/>
        </w:rPr>
        <w:t>HBx</w:t>
      </w:r>
      <w:proofErr w:type="spellEnd"/>
      <w:r w:rsidR="00577B0C" w:rsidRPr="00685DE9">
        <w:rPr>
          <w:rFonts w:ascii="Arial" w:hAnsi="Arial" w:cs="Arial"/>
          <w:bCs/>
          <w:sz w:val="24"/>
          <w:szCs w:val="24"/>
        </w:rPr>
        <w:t xml:space="preserve"> antibody (ab39716</w:t>
      </w:r>
      <w:r w:rsidR="00C05E69" w:rsidRPr="00685DE9">
        <w:rPr>
          <w:rFonts w:ascii="Arial" w:hAnsi="Arial" w:cs="Arial"/>
          <w:bCs/>
          <w:sz w:val="24"/>
          <w:szCs w:val="24"/>
        </w:rPr>
        <w:t xml:space="preserve">; </w:t>
      </w:r>
      <w:r w:rsidR="00C05E69" w:rsidRPr="00685DE9">
        <w:rPr>
          <w:rFonts w:ascii="Arial" w:hAnsi="Arial" w:cs="Arial"/>
          <w:sz w:val="24"/>
          <w:szCs w:val="24"/>
        </w:rPr>
        <w:t>Suppl. Table 1</w:t>
      </w:r>
      <w:r w:rsidR="00C05E69" w:rsidRPr="00685DE9">
        <w:rPr>
          <w:rFonts w:ascii="Arial" w:eastAsia="Times New Roman" w:hAnsi="Arial" w:cs="Arial"/>
          <w:sz w:val="24"/>
          <w:szCs w:val="24"/>
          <w:lang w:eastAsia="fr-FR"/>
        </w:rPr>
        <w:t>)</w:t>
      </w:r>
      <w:r w:rsidR="00577B0C" w:rsidRPr="00685DE9">
        <w:rPr>
          <w:rFonts w:ascii="Arial" w:hAnsi="Arial" w:cs="Arial"/>
          <w:bCs/>
          <w:sz w:val="24"/>
          <w:szCs w:val="24"/>
        </w:rPr>
        <w:t xml:space="preserve"> was used to confirm </w:t>
      </w:r>
      <w:proofErr w:type="spellStart"/>
      <w:r w:rsidR="00577B0C" w:rsidRPr="00685DE9">
        <w:rPr>
          <w:rFonts w:ascii="Arial" w:hAnsi="Arial" w:cs="Arial"/>
          <w:bCs/>
          <w:sz w:val="24"/>
          <w:szCs w:val="24"/>
        </w:rPr>
        <w:t>HBx</w:t>
      </w:r>
      <w:proofErr w:type="spellEnd"/>
      <w:r w:rsidR="00577B0C" w:rsidRPr="00685DE9">
        <w:rPr>
          <w:rFonts w:ascii="Arial" w:hAnsi="Arial" w:cs="Arial"/>
          <w:bCs/>
          <w:sz w:val="24"/>
          <w:szCs w:val="24"/>
        </w:rPr>
        <w:t xml:space="preserve"> expression. </w:t>
      </w:r>
    </w:p>
    <w:p w14:paraId="1E0D5960" w14:textId="248837E8" w:rsidR="00A63208" w:rsidRPr="00685DE9" w:rsidRDefault="00577B0C" w:rsidP="001D6D11">
      <w:pPr>
        <w:spacing w:after="0" w:line="360" w:lineRule="auto"/>
        <w:jc w:val="both"/>
        <w:rPr>
          <w:rFonts w:ascii="Arial" w:hAnsi="Arial" w:cs="Arial"/>
          <w:sz w:val="24"/>
          <w:szCs w:val="24"/>
        </w:rPr>
      </w:pPr>
      <w:r w:rsidRPr="00685DE9">
        <w:rPr>
          <w:rFonts w:ascii="Arial" w:hAnsi="Arial" w:cs="Arial"/>
          <w:bCs/>
          <w:sz w:val="24"/>
          <w:szCs w:val="24"/>
        </w:rPr>
        <w:t xml:space="preserve">The empty plasmids </w:t>
      </w:r>
      <w:r w:rsidRPr="00685DE9">
        <w:rPr>
          <w:rFonts w:ascii="Arial" w:hAnsi="Arial" w:cs="Arial"/>
          <w:sz w:val="24"/>
          <w:szCs w:val="24"/>
        </w:rPr>
        <w:t xml:space="preserve">pGEM7 </w:t>
      </w:r>
      <w:proofErr w:type="spellStart"/>
      <w:r w:rsidRPr="00685DE9">
        <w:rPr>
          <w:rFonts w:ascii="Arial" w:hAnsi="Arial" w:cs="Arial"/>
          <w:sz w:val="24"/>
          <w:szCs w:val="24"/>
        </w:rPr>
        <w:t>Zf</w:t>
      </w:r>
      <w:proofErr w:type="spellEnd"/>
      <w:r w:rsidRPr="00685DE9">
        <w:rPr>
          <w:rFonts w:ascii="Arial" w:hAnsi="Arial" w:cs="Arial"/>
          <w:sz w:val="24"/>
          <w:szCs w:val="24"/>
        </w:rPr>
        <w:t xml:space="preserve"> and pcDNA3.1 were used as transfection controls.</w:t>
      </w:r>
    </w:p>
    <w:p w14:paraId="55DB8D59" w14:textId="77777777" w:rsidR="001D6D11" w:rsidRPr="00685DE9" w:rsidRDefault="001D6D11" w:rsidP="001D6D11">
      <w:pPr>
        <w:spacing w:after="0" w:line="360" w:lineRule="auto"/>
        <w:jc w:val="both"/>
        <w:rPr>
          <w:rFonts w:ascii="Arial" w:hAnsi="Arial" w:cs="Arial"/>
          <w:sz w:val="24"/>
          <w:szCs w:val="24"/>
        </w:rPr>
      </w:pPr>
    </w:p>
    <w:p w14:paraId="14D2D69F" w14:textId="77777777" w:rsidR="007D4AC6" w:rsidRPr="00685DE9" w:rsidRDefault="007D4AC6" w:rsidP="00E05F7A">
      <w:pPr>
        <w:spacing w:after="0" w:line="360" w:lineRule="auto"/>
        <w:jc w:val="both"/>
        <w:outlineLvl w:val="1"/>
        <w:rPr>
          <w:rFonts w:ascii="Arial" w:eastAsia="Times New Roman" w:hAnsi="Arial" w:cs="Arial"/>
          <w:b/>
          <w:bCs/>
          <w:sz w:val="24"/>
          <w:szCs w:val="24"/>
          <w:lang w:eastAsia="fr-FR"/>
        </w:rPr>
      </w:pPr>
      <w:r w:rsidRPr="00685DE9">
        <w:rPr>
          <w:rFonts w:ascii="Arial" w:eastAsia="Times New Roman" w:hAnsi="Arial" w:cs="Arial"/>
          <w:b/>
          <w:bCs/>
          <w:sz w:val="24"/>
          <w:szCs w:val="24"/>
          <w:lang w:eastAsia="fr-FR"/>
        </w:rPr>
        <w:t>Cytotoxicity detection of lactate dehydrogenase activity (LDH) in the cell culture media</w:t>
      </w:r>
    </w:p>
    <w:p w14:paraId="677F2C49" w14:textId="5B209564" w:rsidR="007D4AC6" w:rsidRPr="00685DE9" w:rsidRDefault="007D4AC6" w:rsidP="00E05F7A">
      <w:pPr>
        <w:pStyle w:val="p"/>
        <w:spacing w:before="0" w:beforeAutospacing="0" w:after="0" w:afterAutospacing="0" w:line="360" w:lineRule="auto"/>
        <w:jc w:val="both"/>
        <w:rPr>
          <w:rFonts w:ascii="Arial" w:hAnsi="Arial" w:cs="Arial"/>
          <w:lang w:val="en-US"/>
        </w:rPr>
      </w:pPr>
      <w:r w:rsidRPr="00685DE9">
        <w:rPr>
          <w:rFonts w:ascii="Arial" w:hAnsi="Arial" w:cs="Arial"/>
          <w:lang w:val="en-US"/>
        </w:rPr>
        <w:t xml:space="preserve">Damaged cells release the LDH enzyme into the extracellular medium. LDH activity was determined in cell culture media using the colorimetric (450 nm) </w:t>
      </w:r>
      <w:r w:rsidRPr="00685DE9">
        <w:rPr>
          <w:rFonts w:ascii="Arial" w:hAnsi="Arial" w:cs="Arial"/>
          <w:bCs/>
          <w:lang w:val="en-US"/>
        </w:rPr>
        <w:t>Cytotoxicity Detection Kit (LDH) (</w:t>
      </w:r>
      <w:r w:rsidRPr="00685DE9">
        <w:rPr>
          <w:rFonts w:ascii="Arial" w:hAnsi="Arial" w:cs="Arial"/>
          <w:lang w:val="en-US"/>
        </w:rPr>
        <w:t>MAK066-1KT</w:t>
      </w:r>
      <w:r w:rsidRPr="00685DE9">
        <w:rPr>
          <w:rFonts w:ascii="Arial" w:hAnsi="Arial" w:cs="Arial"/>
          <w:bCs/>
          <w:lang w:val="en-US"/>
        </w:rPr>
        <w:t xml:space="preserve">, Sigma-Aldrich) </w:t>
      </w:r>
      <w:r w:rsidRPr="00685DE9">
        <w:rPr>
          <w:rFonts w:ascii="Arial" w:hAnsi="Arial" w:cs="Arial"/>
          <w:lang w:val="en-US"/>
        </w:rPr>
        <w:t>following the manufacturer’s recommendations. At the indicated time-points the medium was changed and</w:t>
      </w:r>
      <w:r w:rsidRPr="00685DE9">
        <w:rPr>
          <w:rFonts w:ascii="Arial" w:hAnsi="Arial" w:cs="Arial"/>
          <w:lang w:val="en-US"/>
        </w:rPr>
        <w:br/>
        <w:t xml:space="preserve">LDH released into the medium per 24 h was calculated and expressed as LDH activity </w:t>
      </w:r>
      <w:r w:rsidR="00EB4A69" w:rsidRPr="00685DE9">
        <w:rPr>
          <w:rFonts w:ascii="Arial" w:hAnsi="Arial" w:cs="Arial"/>
          <w:lang w:val="en-US"/>
        </w:rPr>
        <w:t>(U/mL).</w:t>
      </w:r>
    </w:p>
    <w:p w14:paraId="22A377AE" w14:textId="1807CAD4" w:rsidR="002B7A9D" w:rsidRPr="00685DE9" w:rsidRDefault="006C44CF" w:rsidP="00782801">
      <w:pPr>
        <w:pStyle w:val="NormalWeb"/>
        <w:spacing w:before="0" w:after="0" w:line="360" w:lineRule="auto"/>
        <w:jc w:val="both"/>
        <w:rPr>
          <w:rFonts w:ascii="Arial" w:hAnsi="Arial" w:cs="Arial"/>
          <w:szCs w:val="24"/>
        </w:rPr>
      </w:pPr>
      <w:r w:rsidRPr="00685DE9">
        <w:rPr>
          <w:rFonts w:ascii="Arial" w:hAnsi="Arial" w:cs="Arial"/>
          <w:szCs w:val="24"/>
        </w:rPr>
        <w:lastRenderedPageBreak/>
        <w:t xml:space="preserve">Fresh medium was added every 24 h post-transfection. At 24, 48, 72 and 96 h post-transfection, medium was taken for lactate dehydrogenase (LDH) activity determination and cells were recovered for total DNA and proteins extraction. </w:t>
      </w:r>
      <w:proofErr w:type="spellStart"/>
      <w:r w:rsidR="002B7A9D" w:rsidRPr="00685DE9">
        <w:rPr>
          <w:rFonts w:ascii="Arial" w:hAnsi="Arial" w:cs="Arial"/>
          <w:szCs w:val="24"/>
        </w:rPr>
        <w:t>mtDNA</w:t>
      </w:r>
      <w:proofErr w:type="spellEnd"/>
      <w:r w:rsidR="002B7A9D" w:rsidRPr="00685DE9">
        <w:rPr>
          <w:rFonts w:ascii="Arial" w:hAnsi="Arial" w:cs="Arial"/>
          <w:szCs w:val="24"/>
        </w:rPr>
        <w:t xml:space="preserve"> damage,</w:t>
      </w:r>
      <w:r w:rsidRPr="00685DE9">
        <w:rPr>
          <w:rFonts w:ascii="Arial" w:hAnsi="Arial" w:cs="Arial"/>
          <w:szCs w:val="24"/>
        </w:rPr>
        <w:t xml:space="preserve"> </w:t>
      </w:r>
      <w:proofErr w:type="spellStart"/>
      <w:r w:rsidR="002B7A9D" w:rsidRPr="00685DE9">
        <w:rPr>
          <w:rFonts w:ascii="Arial" w:hAnsi="Arial" w:cs="Arial"/>
          <w:szCs w:val="24"/>
        </w:rPr>
        <w:t>iNOS</w:t>
      </w:r>
      <w:proofErr w:type="spellEnd"/>
      <w:r w:rsidR="002B7A9D" w:rsidRPr="00685DE9">
        <w:rPr>
          <w:rFonts w:ascii="Arial" w:hAnsi="Arial" w:cs="Arial"/>
          <w:szCs w:val="24"/>
        </w:rPr>
        <w:t xml:space="preserve">, </w:t>
      </w:r>
      <w:proofErr w:type="spellStart"/>
      <w:r w:rsidR="002B7A9D" w:rsidRPr="00685DE9">
        <w:rPr>
          <w:rFonts w:ascii="Arial" w:hAnsi="Arial" w:cs="Arial"/>
          <w:szCs w:val="24"/>
        </w:rPr>
        <w:t>MnSOD</w:t>
      </w:r>
      <w:proofErr w:type="spellEnd"/>
      <w:r w:rsidR="002B7A9D" w:rsidRPr="00685DE9">
        <w:rPr>
          <w:rFonts w:ascii="Arial" w:hAnsi="Arial" w:cs="Arial"/>
          <w:szCs w:val="24"/>
        </w:rPr>
        <w:t xml:space="preserve"> and mitochondrial oxidative stress </w:t>
      </w:r>
      <w:r w:rsidRPr="00685DE9">
        <w:rPr>
          <w:rFonts w:ascii="Arial" w:hAnsi="Arial" w:cs="Arial"/>
          <w:szCs w:val="24"/>
        </w:rPr>
        <w:t xml:space="preserve">were </w:t>
      </w:r>
      <w:r w:rsidR="002B7A9D" w:rsidRPr="00685DE9">
        <w:rPr>
          <w:rFonts w:ascii="Arial" w:hAnsi="Arial" w:cs="Arial"/>
          <w:szCs w:val="24"/>
        </w:rPr>
        <w:t>analyzed.</w:t>
      </w:r>
    </w:p>
    <w:p w14:paraId="020618F8" w14:textId="77777777" w:rsidR="000903C1" w:rsidRPr="00685DE9" w:rsidRDefault="000903C1" w:rsidP="0076784A">
      <w:pPr>
        <w:spacing w:after="0" w:line="360" w:lineRule="auto"/>
        <w:rPr>
          <w:rFonts w:ascii="Arial" w:hAnsi="Arial" w:cs="Arial"/>
          <w:iCs/>
          <w:sz w:val="24"/>
          <w:szCs w:val="24"/>
        </w:rPr>
      </w:pPr>
    </w:p>
    <w:p w14:paraId="424D472F" w14:textId="22FD646D" w:rsidR="00D10EB8" w:rsidRPr="00685DE9" w:rsidRDefault="00D10EB8" w:rsidP="00D10EB8">
      <w:pPr>
        <w:spacing w:after="0" w:line="360" w:lineRule="auto"/>
        <w:jc w:val="both"/>
        <w:rPr>
          <w:rFonts w:ascii="Arial" w:hAnsi="Arial" w:cs="Arial"/>
          <w:b/>
          <w:bCs/>
          <w:sz w:val="24"/>
          <w:szCs w:val="24"/>
        </w:rPr>
      </w:pPr>
      <w:r w:rsidRPr="00685DE9">
        <w:rPr>
          <w:rFonts w:ascii="Arial" w:hAnsi="Arial" w:cs="Arial"/>
          <w:b/>
          <w:bCs/>
          <w:sz w:val="24"/>
          <w:szCs w:val="24"/>
        </w:rPr>
        <w:t>Mitochondrial formation of reactive oxygen species (ROS) and reactive nitrogen species (RNS) in transfected HepG2 cells</w:t>
      </w:r>
    </w:p>
    <w:p w14:paraId="743314A4" w14:textId="5C88AA53" w:rsidR="002B7A9D" w:rsidRPr="00685DE9" w:rsidRDefault="002B7A9D" w:rsidP="002B7A9D">
      <w:pPr>
        <w:pStyle w:val="NormalWeb"/>
        <w:spacing w:before="0" w:after="0" w:line="360" w:lineRule="auto"/>
        <w:jc w:val="both"/>
        <w:rPr>
          <w:rFonts w:ascii="Arial" w:hAnsi="Arial" w:cs="Arial"/>
          <w:szCs w:val="24"/>
        </w:rPr>
      </w:pPr>
      <w:r w:rsidRPr="00685DE9">
        <w:rPr>
          <w:rFonts w:ascii="Arial" w:hAnsi="Arial" w:cs="Arial"/>
          <w:szCs w:val="24"/>
        </w:rPr>
        <w:t>To measure</w:t>
      </w:r>
      <w:r w:rsidR="00EA349C" w:rsidRPr="00685DE9">
        <w:rPr>
          <w:rFonts w:ascii="Arial" w:hAnsi="Arial" w:cs="Arial"/>
          <w:szCs w:val="24"/>
        </w:rPr>
        <w:t xml:space="preserve"> </w:t>
      </w:r>
      <w:r w:rsidRPr="00685DE9">
        <w:rPr>
          <w:rFonts w:ascii="Arial" w:hAnsi="Arial" w:cs="Arial"/>
          <w:szCs w:val="24"/>
        </w:rPr>
        <w:t xml:space="preserve">the nitration of the mitochondrial respiratory complexes, mitochondria were isolated by differential centrifugation using the Kit </w:t>
      </w:r>
      <w:r w:rsidRPr="00685DE9">
        <w:rPr>
          <w:rFonts w:ascii="Arial" w:hAnsi="Arial" w:cs="Arial"/>
          <w:bCs/>
          <w:szCs w:val="24"/>
        </w:rPr>
        <w:t>MITOISO2-1KT</w:t>
      </w:r>
      <w:r w:rsidRPr="00685DE9">
        <w:rPr>
          <w:rFonts w:ascii="Arial" w:hAnsi="Arial" w:cs="Arial"/>
          <w:szCs w:val="24"/>
        </w:rPr>
        <w:t xml:space="preserve"> (Sigma, Aldrich). </w:t>
      </w:r>
    </w:p>
    <w:p w14:paraId="0EB605DB" w14:textId="1DDE24B5" w:rsidR="009A2A96" w:rsidRPr="00685DE9" w:rsidRDefault="00D10EB8" w:rsidP="001B656B">
      <w:pPr>
        <w:spacing w:after="0" w:line="360" w:lineRule="auto"/>
        <w:jc w:val="both"/>
        <w:rPr>
          <w:rFonts w:ascii="Arial" w:hAnsi="Arial" w:cs="Arial"/>
          <w:sz w:val="24"/>
          <w:szCs w:val="24"/>
        </w:rPr>
      </w:pPr>
      <w:r w:rsidRPr="00685DE9">
        <w:rPr>
          <w:rFonts w:ascii="Arial" w:hAnsi="Arial" w:cs="Arial"/>
          <w:sz w:val="24"/>
          <w:szCs w:val="24"/>
        </w:rPr>
        <w:t xml:space="preserve">To assess </w:t>
      </w:r>
      <w:r w:rsidR="002B7A9D" w:rsidRPr="00685DE9">
        <w:rPr>
          <w:rFonts w:ascii="Arial" w:hAnsi="Arial" w:cs="Arial"/>
          <w:sz w:val="24"/>
          <w:szCs w:val="24"/>
        </w:rPr>
        <w:t xml:space="preserve">mitochondrial ROS and </w:t>
      </w:r>
      <w:r w:rsidRPr="00685DE9">
        <w:rPr>
          <w:rFonts w:ascii="Arial" w:hAnsi="Arial" w:cs="Arial"/>
          <w:sz w:val="24"/>
          <w:szCs w:val="24"/>
        </w:rPr>
        <w:t>RNS formation, HepG2 homogenates or purified mitochondria were prepared 24 h after Payw1.2</w:t>
      </w:r>
      <w:r w:rsidR="00403DC2" w:rsidRPr="00685DE9">
        <w:rPr>
          <w:rFonts w:ascii="Arial" w:hAnsi="Arial" w:cs="Arial"/>
          <w:sz w:val="24"/>
          <w:szCs w:val="24"/>
        </w:rPr>
        <w:t>-HBV</w:t>
      </w:r>
      <w:r w:rsidRPr="00685DE9">
        <w:rPr>
          <w:rFonts w:ascii="Arial" w:hAnsi="Arial" w:cs="Arial"/>
          <w:sz w:val="24"/>
          <w:szCs w:val="24"/>
        </w:rPr>
        <w:t xml:space="preserve"> or pcDNA3.1Flag-HBx</w:t>
      </w:r>
      <w:r w:rsidR="009A2A96" w:rsidRPr="00685DE9">
        <w:rPr>
          <w:rFonts w:ascii="Arial" w:hAnsi="Arial" w:cs="Arial"/>
          <w:sz w:val="24"/>
          <w:szCs w:val="24"/>
        </w:rPr>
        <w:t xml:space="preserve"> or pcDNA3.1Flag-HBx</w:t>
      </w:r>
      <w:r w:rsidR="00015869" w:rsidRPr="00685DE9">
        <w:rPr>
          <w:rFonts w:ascii="Arial" w:hAnsi="Arial" w:cs="Arial"/>
          <w:sz w:val="24"/>
          <w:szCs w:val="24"/>
        </w:rPr>
        <w:t xml:space="preserve"> </w:t>
      </w:r>
      <w:r w:rsidR="009A2A96" w:rsidRPr="00685DE9">
        <w:rPr>
          <w:rFonts w:ascii="Arial" w:hAnsi="Arial" w:cs="Arial"/>
          <w:sz w:val="24"/>
          <w:szCs w:val="24"/>
        </w:rPr>
        <w:t xml:space="preserve">(G124L, I127A) </w:t>
      </w:r>
      <w:r w:rsidRPr="00685DE9">
        <w:rPr>
          <w:rFonts w:ascii="Arial" w:hAnsi="Arial" w:cs="Arial"/>
          <w:sz w:val="24"/>
          <w:szCs w:val="24"/>
        </w:rPr>
        <w:t xml:space="preserve">transfection, and incubated with 10 mM succinate or 5 mM each of malate and glutamate in the presence of either the </w:t>
      </w:r>
      <w:proofErr w:type="spellStart"/>
      <w:r w:rsidRPr="00685DE9">
        <w:rPr>
          <w:rFonts w:ascii="Arial" w:hAnsi="Arial" w:cs="Arial"/>
          <w:sz w:val="24"/>
          <w:szCs w:val="24"/>
        </w:rPr>
        <w:t>MitoSOX</w:t>
      </w:r>
      <w:proofErr w:type="spellEnd"/>
      <w:r w:rsidRPr="00685DE9">
        <w:rPr>
          <w:rFonts w:ascii="Arial" w:hAnsi="Arial" w:cs="Arial"/>
          <w:sz w:val="24"/>
          <w:szCs w:val="24"/>
        </w:rPr>
        <w:t xml:space="preserve"> Red reagent (Invitrogen), a mitochondria-targeted superoxide indicator, or H</w:t>
      </w:r>
      <w:r w:rsidRPr="00685DE9">
        <w:rPr>
          <w:rFonts w:ascii="Arial" w:hAnsi="Arial" w:cs="Arial"/>
          <w:sz w:val="24"/>
          <w:szCs w:val="24"/>
          <w:vertAlign w:val="subscript"/>
        </w:rPr>
        <w:t>2</w:t>
      </w:r>
      <w:r w:rsidRPr="00685DE9">
        <w:rPr>
          <w:rFonts w:ascii="Arial" w:hAnsi="Arial" w:cs="Arial"/>
          <w:sz w:val="24"/>
          <w:szCs w:val="24"/>
        </w:rPr>
        <w:t xml:space="preserve">DCF-DA, which forms the green fluorescent 2’,7’-dichlorofluorescein in the presence of hydrogen peroxide and other peroxides, or DHR 123, a mitochondrial avid cationic dye oxidized by </w:t>
      </w:r>
      <w:proofErr w:type="spellStart"/>
      <w:r w:rsidRPr="00685DE9">
        <w:rPr>
          <w:rFonts w:ascii="Arial" w:hAnsi="Arial" w:cs="Arial"/>
          <w:sz w:val="24"/>
          <w:szCs w:val="24"/>
        </w:rPr>
        <w:t>peroxynititrite</w:t>
      </w:r>
      <w:proofErr w:type="spellEnd"/>
      <w:r w:rsidRPr="00685DE9">
        <w:rPr>
          <w:rFonts w:ascii="Arial" w:hAnsi="Arial" w:cs="Arial"/>
          <w:sz w:val="24"/>
          <w:szCs w:val="24"/>
        </w:rPr>
        <w:t xml:space="preserve"> and other ROS to rhodamine 123</w:t>
      </w:r>
      <w:r w:rsidR="009A2A96" w:rsidRPr="00685DE9">
        <w:rPr>
          <w:rFonts w:ascii="Arial" w:hAnsi="Arial" w:cs="Arial"/>
          <w:sz w:val="24"/>
          <w:szCs w:val="24"/>
        </w:rPr>
        <w:t xml:space="preserve">. </w:t>
      </w:r>
      <w:r w:rsidR="001B656B" w:rsidRPr="00685DE9">
        <w:rPr>
          <w:rFonts w:ascii="Arial" w:hAnsi="Arial" w:cs="Arial"/>
          <w:sz w:val="24"/>
          <w:szCs w:val="24"/>
        </w:rPr>
        <w:t xml:space="preserve"> </w:t>
      </w:r>
    </w:p>
    <w:p w14:paraId="5AFC124D" w14:textId="77777777" w:rsidR="00E05F7A" w:rsidRPr="00685DE9" w:rsidRDefault="009A2A96" w:rsidP="00E05F7A">
      <w:pPr>
        <w:spacing w:after="0" w:line="360" w:lineRule="auto"/>
        <w:jc w:val="both"/>
        <w:rPr>
          <w:rFonts w:ascii="Arial" w:hAnsi="Arial" w:cs="Arial"/>
          <w:sz w:val="24"/>
          <w:szCs w:val="24"/>
        </w:rPr>
      </w:pPr>
      <w:r w:rsidRPr="00685DE9">
        <w:rPr>
          <w:rFonts w:ascii="Arial" w:hAnsi="Arial" w:cs="Arial"/>
          <w:sz w:val="24"/>
          <w:szCs w:val="24"/>
        </w:rPr>
        <w:t>E</w:t>
      </w:r>
      <w:r w:rsidR="00D10EB8" w:rsidRPr="00685DE9">
        <w:rPr>
          <w:rFonts w:ascii="Arial" w:hAnsi="Arial" w:cs="Arial"/>
          <w:sz w:val="24"/>
          <w:szCs w:val="24"/>
        </w:rPr>
        <w:t xml:space="preserve">ach well of a 96-well plate was filled with respiration buffer (130 mM sucrose, 50 mM </w:t>
      </w:r>
      <w:proofErr w:type="spellStart"/>
      <w:r w:rsidR="00D10EB8" w:rsidRPr="00685DE9">
        <w:rPr>
          <w:rFonts w:ascii="Arial" w:hAnsi="Arial" w:cs="Arial"/>
          <w:sz w:val="24"/>
          <w:szCs w:val="24"/>
        </w:rPr>
        <w:t>KCl</w:t>
      </w:r>
      <w:proofErr w:type="spellEnd"/>
      <w:r w:rsidR="00D10EB8" w:rsidRPr="00685DE9">
        <w:rPr>
          <w:rFonts w:ascii="Arial" w:hAnsi="Arial" w:cs="Arial"/>
          <w:sz w:val="24"/>
          <w:szCs w:val="24"/>
        </w:rPr>
        <w:t>, 5 mM MgCl</w:t>
      </w:r>
      <w:r w:rsidR="00D10EB8" w:rsidRPr="00685DE9">
        <w:rPr>
          <w:rFonts w:ascii="Arial" w:hAnsi="Arial" w:cs="Arial"/>
          <w:sz w:val="24"/>
          <w:szCs w:val="24"/>
          <w:vertAlign w:val="subscript"/>
        </w:rPr>
        <w:t>2</w:t>
      </w:r>
      <w:r w:rsidR="00D10EB8" w:rsidRPr="00685DE9">
        <w:rPr>
          <w:rFonts w:ascii="Arial" w:hAnsi="Arial" w:cs="Arial"/>
          <w:sz w:val="24"/>
          <w:szCs w:val="24"/>
        </w:rPr>
        <w:t>, 5 mM KH</w:t>
      </w:r>
      <w:r w:rsidR="00D10EB8" w:rsidRPr="00685DE9">
        <w:rPr>
          <w:rFonts w:ascii="Arial" w:hAnsi="Arial" w:cs="Arial"/>
          <w:sz w:val="24"/>
          <w:szCs w:val="24"/>
          <w:vertAlign w:val="subscript"/>
        </w:rPr>
        <w:t>2</w:t>
      </w:r>
      <w:r w:rsidR="00D10EB8" w:rsidRPr="00685DE9">
        <w:rPr>
          <w:rFonts w:ascii="Arial" w:hAnsi="Arial" w:cs="Arial"/>
          <w:sz w:val="24"/>
          <w:szCs w:val="24"/>
        </w:rPr>
        <w:t>PO</w:t>
      </w:r>
      <w:r w:rsidR="00D10EB8" w:rsidRPr="00685DE9">
        <w:rPr>
          <w:rFonts w:ascii="Arial" w:hAnsi="Arial" w:cs="Arial"/>
          <w:sz w:val="24"/>
          <w:szCs w:val="24"/>
          <w:vertAlign w:val="subscript"/>
        </w:rPr>
        <w:t>4</w:t>
      </w:r>
      <w:r w:rsidR="00D10EB8" w:rsidRPr="00685DE9">
        <w:rPr>
          <w:rFonts w:ascii="Arial" w:hAnsi="Arial" w:cs="Arial"/>
          <w:sz w:val="24"/>
          <w:szCs w:val="24"/>
        </w:rPr>
        <w:t>, 0.05 mM EDTA, 5 mM HEPES, pH 7.4) containing 2 µM H</w:t>
      </w:r>
      <w:r w:rsidR="00D10EB8" w:rsidRPr="00685DE9">
        <w:rPr>
          <w:rFonts w:ascii="Arial" w:hAnsi="Arial" w:cs="Arial"/>
          <w:sz w:val="24"/>
          <w:szCs w:val="24"/>
          <w:vertAlign w:val="subscript"/>
        </w:rPr>
        <w:t>2</w:t>
      </w:r>
      <w:r w:rsidR="005B6311" w:rsidRPr="00685DE9">
        <w:rPr>
          <w:rFonts w:ascii="Arial" w:hAnsi="Arial" w:cs="Arial"/>
          <w:sz w:val="24"/>
          <w:szCs w:val="24"/>
        </w:rPr>
        <w:t>DCF-DA,</w:t>
      </w:r>
      <w:r w:rsidR="00D10EB8" w:rsidRPr="00685DE9">
        <w:rPr>
          <w:rFonts w:ascii="Arial" w:hAnsi="Arial" w:cs="Arial"/>
          <w:sz w:val="24"/>
          <w:szCs w:val="24"/>
        </w:rPr>
        <w:t xml:space="preserve"> and mitochondria (5-20 mg protein/ml). The reaction was started by the addition of 10 mM succinate or 5 mM each of glutamate and malate. Fluorescence was recorded at 480/520 nm with a </w:t>
      </w:r>
      <w:proofErr w:type="spellStart"/>
      <w:r w:rsidR="00D10EB8" w:rsidRPr="00685DE9">
        <w:rPr>
          <w:rFonts w:ascii="Arial" w:hAnsi="Arial" w:cs="Arial"/>
          <w:sz w:val="24"/>
          <w:szCs w:val="24"/>
        </w:rPr>
        <w:t>FLUOstar</w:t>
      </w:r>
      <w:proofErr w:type="spellEnd"/>
      <w:r w:rsidR="00D10EB8" w:rsidRPr="00685DE9">
        <w:rPr>
          <w:rFonts w:ascii="Arial" w:hAnsi="Arial" w:cs="Arial"/>
          <w:sz w:val="24"/>
          <w:szCs w:val="24"/>
        </w:rPr>
        <w:t xml:space="preserve"> fluorimeter for 60 min at 30 °C.</w:t>
      </w:r>
    </w:p>
    <w:p w14:paraId="21477F7A" w14:textId="1222C569" w:rsidR="00D10EB8" w:rsidRPr="00685DE9" w:rsidRDefault="00D10EB8" w:rsidP="00E05F7A">
      <w:pPr>
        <w:spacing w:after="0" w:line="360" w:lineRule="auto"/>
        <w:jc w:val="both"/>
        <w:rPr>
          <w:rFonts w:ascii="Arial" w:hAnsi="Arial" w:cs="Arial"/>
          <w:sz w:val="24"/>
          <w:szCs w:val="24"/>
        </w:rPr>
      </w:pPr>
      <w:r w:rsidRPr="00685DE9">
        <w:rPr>
          <w:rFonts w:ascii="Arial" w:hAnsi="Arial" w:cs="Arial"/>
          <w:sz w:val="24"/>
          <w:szCs w:val="24"/>
        </w:rPr>
        <w:t xml:space="preserve">Mitochondrial superoxide anion was determined by incubating mitochondria with either </w:t>
      </w:r>
      <w:proofErr w:type="spellStart"/>
      <w:proofErr w:type="gramStart"/>
      <w:r w:rsidRPr="00685DE9">
        <w:rPr>
          <w:rFonts w:ascii="Arial" w:hAnsi="Arial" w:cs="Arial"/>
          <w:sz w:val="24"/>
          <w:szCs w:val="24"/>
        </w:rPr>
        <w:t>malate:glutamate</w:t>
      </w:r>
      <w:proofErr w:type="spellEnd"/>
      <w:proofErr w:type="gramEnd"/>
      <w:r w:rsidRPr="00685DE9">
        <w:rPr>
          <w:rFonts w:ascii="Arial" w:hAnsi="Arial" w:cs="Arial"/>
          <w:sz w:val="24"/>
          <w:szCs w:val="24"/>
        </w:rPr>
        <w:t xml:space="preserve"> or succinate in the presence of </w:t>
      </w:r>
      <w:proofErr w:type="spellStart"/>
      <w:r w:rsidRPr="00685DE9">
        <w:rPr>
          <w:rFonts w:ascii="Arial" w:hAnsi="Arial" w:cs="Arial"/>
          <w:sz w:val="24"/>
          <w:szCs w:val="24"/>
        </w:rPr>
        <w:t>MitoSOX</w:t>
      </w:r>
      <w:proofErr w:type="spellEnd"/>
      <w:r w:rsidRPr="00685DE9">
        <w:rPr>
          <w:rFonts w:ascii="Arial" w:hAnsi="Arial" w:cs="Arial"/>
          <w:sz w:val="24"/>
          <w:szCs w:val="24"/>
        </w:rPr>
        <w:t xml:space="preserve"> Red reagent (Invitrogen), a mitochondria superoxide indicator which exhibited red fluorescence in the presence of superoxide but </w:t>
      </w:r>
      <w:proofErr w:type="spellStart"/>
      <w:r w:rsidRPr="00685DE9">
        <w:rPr>
          <w:rFonts w:ascii="Arial" w:hAnsi="Arial" w:cs="Arial"/>
          <w:sz w:val="24"/>
          <w:szCs w:val="24"/>
        </w:rPr>
        <w:t>not</w:t>
      </w:r>
      <w:proofErr w:type="spellEnd"/>
      <w:r w:rsidRPr="00685DE9">
        <w:rPr>
          <w:rFonts w:ascii="Arial" w:hAnsi="Arial" w:cs="Arial"/>
          <w:sz w:val="24"/>
          <w:szCs w:val="24"/>
        </w:rPr>
        <w:t xml:space="preserve"> other ROS or RNS. The </w:t>
      </w:r>
      <w:proofErr w:type="spellStart"/>
      <w:r w:rsidRPr="00685DE9">
        <w:rPr>
          <w:rFonts w:ascii="Arial" w:hAnsi="Arial" w:cs="Arial"/>
          <w:sz w:val="24"/>
          <w:szCs w:val="24"/>
        </w:rPr>
        <w:t>MitoSOX</w:t>
      </w:r>
      <w:proofErr w:type="spellEnd"/>
      <w:r w:rsidRPr="00685DE9">
        <w:rPr>
          <w:rFonts w:ascii="Arial" w:hAnsi="Arial" w:cs="Arial"/>
          <w:sz w:val="24"/>
          <w:szCs w:val="24"/>
        </w:rPr>
        <w:t xml:space="preserve"> red fluorescence was recorded at 510/580 nm.</w:t>
      </w:r>
    </w:p>
    <w:p w14:paraId="3C90E762" w14:textId="33F75497" w:rsidR="00D10EB8" w:rsidRPr="00685DE9" w:rsidRDefault="00D10EB8" w:rsidP="00D10EB8">
      <w:pPr>
        <w:spacing w:after="0" w:line="360" w:lineRule="auto"/>
        <w:jc w:val="both"/>
        <w:rPr>
          <w:rFonts w:ascii="Arial" w:hAnsi="Arial" w:cs="Arial"/>
          <w:sz w:val="24"/>
          <w:szCs w:val="24"/>
        </w:rPr>
      </w:pPr>
      <w:r w:rsidRPr="00685DE9">
        <w:rPr>
          <w:rFonts w:ascii="Arial" w:hAnsi="Arial" w:cs="Arial"/>
          <w:sz w:val="24"/>
          <w:szCs w:val="24"/>
        </w:rPr>
        <w:t xml:space="preserve">The formation of </w:t>
      </w:r>
      <w:proofErr w:type="spellStart"/>
      <w:r w:rsidRPr="00685DE9">
        <w:rPr>
          <w:rFonts w:ascii="Arial" w:hAnsi="Arial" w:cs="Arial"/>
          <w:sz w:val="24"/>
          <w:szCs w:val="24"/>
        </w:rPr>
        <w:t>peroxynitrite</w:t>
      </w:r>
      <w:proofErr w:type="spellEnd"/>
      <w:r w:rsidRPr="00685DE9">
        <w:rPr>
          <w:rFonts w:ascii="Arial" w:hAnsi="Arial" w:cs="Arial"/>
          <w:sz w:val="24"/>
          <w:szCs w:val="24"/>
        </w:rPr>
        <w:t xml:space="preserve"> was determined in total HepG2 lysates by measuring the ONOO</w:t>
      </w:r>
      <w:r w:rsidRPr="00685DE9">
        <w:rPr>
          <w:rFonts w:ascii="Arial" w:hAnsi="Arial" w:cs="Arial"/>
          <w:sz w:val="24"/>
          <w:szCs w:val="24"/>
          <w:vertAlign w:val="superscript"/>
        </w:rPr>
        <w:t xml:space="preserve">− </w:t>
      </w:r>
      <w:r w:rsidRPr="00685DE9">
        <w:rPr>
          <w:rFonts w:ascii="Arial" w:hAnsi="Arial" w:cs="Arial"/>
          <w:sz w:val="24"/>
          <w:szCs w:val="24"/>
        </w:rPr>
        <w:t xml:space="preserve">dependent oxidation of </w:t>
      </w:r>
      <w:proofErr w:type="spellStart"/>
      <w:r w:rsidRPr="00685DE9">
        <w:rPr>
          <w:rFonts w:ascii="Arial" w:hAnsi="Arial" w:cs="Arial"/>
          <w:sz w:val="24"/>
          <w:szCs w:val="24"/>
        </w:rPr>
        <w:t>dihydrorhodamine</w:t>
      </w:r>
      <w:proofErr w:type="spellEnd"/>
      <w:r w:rsidRPr="00685DE9">
        <w:rPr>
          <w:rFonts w:ascii="Arial" w:hAnsi="Arial" w:cs="Arial"/>
          <w:sz w:val="24"/>
          <w:szCs w:val="24"/>
        </w:rPr>
        <w:t xml:space="preserve"> (DHR) 123 to rhodamine 123. DHR is a cell-permeant mitochondrial-avid analog of H</w:t>
      </w:r>
      <w:r w:rsidRPr="00685DE9">
        <w:rPr>
          <w:rFonts w:ascii="Arial" w:hAnsi="Arial" w:cs="Arial"/>
          <w:sz w:val="24"/>
          <w:szCs w:val="24"/>
          <w:vertAlign w:val="subscript"/>
        </w:rPr>
        <w:t>2</w:t>
      </w:r>
      <w:r w:rsidRPr="00685DE9">
        <w:rPr>
          <w:rFonts w:ascii="Arial" w:hAnsi="Arial" w:cs="Arial"/>
          <w:sz w:val="24"/>
          <w:szCs w:val="24"/>
        </w:rPr>
        <w:t xml:space="preserve">DCF-DA. Following malate/glutamate or succinate addition, homogenates were incubated with 5 </w:t>
      </w:r>
      <w:proofErr w:type="spellStart"/>
      <w:r w:rsidRPr="00685DE9">
        <w:rPr>
          <w:rFonts w:ascii="Arial" w:hAnsi="Arial" w:cs="Arial"/>
          <w:sz w:val="24"/>
          <w:szCs w:val="24"/>
        </w:rPr>
        <w:t>μM</w:t>
      </w:r>
      <w:proofErr w:type="spellEnd"/>
      <w:r w:rsidRPr="00685DE9">
        <w:rPr>
          <w:rFonts w:ascii="Arial" w:hAnsi="Arial" w:cs="Arial"/>
          <w:sz w:val="24"/>
          <w:szCs w:val="24"/>
        </w:rPr>
        <w:t xml:space="preserve"> DHR 123 for 1 h at 37 °C. The fluorescence of rhodamine 123 was measured at excitation 485 nm, emission 530 nm.</w:t>
      </w:r>
    </w:p>
    <w:p w14:paraId="1E095DF7" w14:textId="77777777" w:rsidR="00D10EB8" w:rsidRPr="00685DE9" w:rsidRDefault="00D10EB8" w:rsidP="00D10EB8">
      <w:pPr>
        <w:spacing w:after="0" w:line="360" w:lineRule="auto"/>
        <w:jc w:val="both"/>
        <w:rPr>
          <w:rFonts w:ascii="Arial" w:hAnsi="Arial" w:cs="Arial"/>
          <w:b/>
          <w:sz w:val="24"/>
          <w:szCs w:val="24"/>
        </w:rPr>
      </w:pPr>
      <w:r w:rsidRPr="00685DE9">
        <w:rPr>
          <w:rFonts w:ascii="Arial" w:hAnsi="Arial" w:cs="Arial"/>
          <w:b/>
          <w:sz w:val="24"/>
          <w:szCs w:val="24"/>
        </w:rPr>
        <w:lastRenderedPageBreak/>
        <w:t>Nitrite/Nitrate levels in cell culture medium</w:t>
      </w:r>
    </w:p>
    <w:p w14:paraId="41034F66" w14:textId="691F8B70" w:rsidR="00D10EB8" w:rsidRPr="00685DE9" w:rsidRDefault="00D10EB8" w:rsidP="001B656B">
      <w:pPr>
        <w:spacing w:after="0" w:line="360" w:lineRule="auto"/>
        <w:jc w:val="both"/>
        <w:rPr>
          <w:rFonts w:ascii="Arial" w:hAnsi="Arial" w:cs="Arial"/>
          <w:sz w:val="24"/>
          <w:szCs w:val="24"/>
        </w:rPr>
      </w:pPr>
      <w:r w:rsidRPr="00685DE9">
        <w:rPr>
          <w:rFonts w:ascii="Arial" w:hAnsi="Arial" w:cs="Arial"/>
          <w:sz w:val="24"/>
          <w:szCs w:val="24"/>
        </w:rPr>
        <w:t xml:space="preserve">Medium nitrite/nitrate concentrations were determined using the Griess reaction, as previously described </w:t>
      </w:r>
      <w:r w:rsidR="001B656B"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eK8HQcr5","properties":{"formattedCitation":"(1\\uc0\\u8211{}3)","plainCitation":"(1–3)","dontUpdate":true,"noteIndex":0},"citationItems":[{"id":1451,"uris":["http://zotero.org/users/3506678/items/JAP6IKRU"],"itemData":{"id":1451,"type":"article-journal","abstract":"Hepatic energy depletion has been described in severe sepsis, and lipopolysaccharide (LPS) has been shown to cause mitochondrial DNA (mtDNA) damage. To clarify the mechanisms of LPS-induced mtDNA damage and mitochondrial alterations, we treated wild-type (WT) or transgenic manganese superoxide dismutase-overerexpressing (MnSOD(+++)) mice with a single dose of LPS (5 mg/kg). In WT mice, LPS increased mitochondrial reactive oxygen species formation, hepatic inducible nitric oxide synthase (NOS) mRNA and protein, tumor necrosis factor-alpha, interleukin-1 beta, and high-mobility group protein B1 concentrations. Six to 48 h after LPS administration (5 mg/kg), liver mtDNA levels, respiratory complex I activity, and adenosine triphosphate (ATP) contents were decreased. In addition, LPS increased interferon-β concentration and decreased mitochondrial transcription factor A (Tfam) mRNA, Tfam protein, and mtDNA-encoded mRNAs. Morphological studies showed mild hepatic inflammation. The LPS (5 mg/kg)-induced mtDNA depletion, complex I inactivation, ATP depletion, and alanine aminotransferase increase were prevented in MnSOD(+++) mice or in WT mice cotreated with 1400W (a NOS inhibitor), (2-(2,2,6,6-tetramethylpiperidin-1-oxyl-4-ylamino)-2-oxoethyl)triphenylphosphonium chloride, monohydrate (a superoxide scavenger) or uric acid (a peroxynitrite scavenger). The MnSOD overexpression delayed death in mice challenged by a higher, lethal dose of LPS (25 mg/kg). In conclusion, LPS administration damages mtDNA and alters mitochondrial function. The protective effects of MnSOD, NOS inhibitors, and superoxide or peroxynitrite scavengers point out a role of the superoxide anion reacting with NO to form mtDNA- and protein-damaging peroxynitrite. In addition to the acute damage caused by reactive species, decreased levels of mitochondrial transcripts contribute to mitochondrial dysfunction.","container-title":"Antioxidants &amp; Redox Signaling","DOI":"10.1089/ars.2010.3713","ISSN":"1557-7716","issue":"11","journalAbbreviation":"Antioxid Redox Signal","language":"eng","note":"PMID: 21767162","page":"2837-2854","source":"PubMed","title":"Lipopolysaccharide-induced mitochondrial DNA depletion","volume":"15","author":[{"family":"Choumar","given":"Amal"},{"family":"Tarhuni","given":"Arige"},{"family":"Lettéron","given":"Philippe"},{"family":"Reyl-Desmars","given":"Florence"},{"family":"Dauhoo","given":"Nismah"},{"family":"Damasse","given":"Julie"},{"family":"Vadrot","given":"Nathalie"},{"family":"Nahon","given":"Pierre"},{"family":"Moreau","given":"Richard"},{"family":"Pessayre","given":"Dominique"},{"family":"Mansouri","given":"Abdellah"}],"issued":{"date-parts":[["2011",12,1]]}}},{"id":1450,"uris":["http://zotero.org/users/3506678/items/XQQGDD3B"],"itemData":{"id":1450,"type":"article-journal","abstract":"Both acute and chronic alcohol consumption increase reactive oxygen species (ROS) formation and lipid peroxidation, whose products damage hepatic mitochondrial DNA (mtDNA). To test whether manganese superoxide dismutase (MnSOD) overexpression modulates acute and chronic alcohol-induced mtDNA lesions, transgenic MnSOD-overexpressing (TgMnSOD(+++)) mice and wild-type (WT) mice were treated by alcohol, either chronically (7 weeks in drinking water) or acutely (single intragastric dose of 5 g/kg). Acute alcohol administration increased mitochondrial ROS formation, decreased mitochondrial glutathione, depleted and damaged mtDNA, durably increased inducible nitric oxide synthase (NOS) expression, plasma nitrites/nitrates and the nitration of tyrosine residues in complex V proteins and decreased complex V activity in WT mice. These effects were prevented in TgMnSOD(+++) mice. In acutely alcoholized WT mice, mtDNA depletion was prevented by tempol, a superoxide scavenger, L-NAME and 1400W, two NOS inhibitors, or uric acid, a peroxynitrite scavenger. In contrast, chronic alcohol consumption decreased cytosolic glutathione and increased hepatic iron, lipid peroxidation products and respiratory complex I protein carbonyls only in ethanol-treated TgMnSOD(+++) mice but not in WT mice. In chronic ethanol-fed TgMnSOD(+++) mice, but not WT mice, mtDNA was damaged and depleted, and the iron chelator, deferoxamine (DFO), prevented this effect. In conclusion, MnSOD overexpression prevents mtDNA depletion after an acute alcohol binge but aggravates this effect after prolonged alcohol consumption, which selectively triggers iron accumulation in TgMnSOD(+++) mice but not in WT mice. In the model of acute alcohol binge, the protective effects of MnSOD, tempol, NOS inhibitors and uric acid suggested a role of the superoxide anion reacting with NO to form mtDNA-damaging peroxynitrite. In the model of prolonged ethanol consumption, the protective effects of DFO suggested the role of iron reacting with hydrogen peroxide to form mtDNA-damaging hydroxyl radical.","container-title":"Digestive Diseases (Basel, Switzerland)","DOI":"10.1159/000324284","ISSN":"1421-9875","issue":"6","journalAbbreviation":"Dig Dis","language":"eng","note":"PMID: 21525761","page":"756-775","source":"PubMed","title":"MnSOD overexpression prevents liver mitochondrial DNA depletion after an alcohol binge but worsens this effect after prolonged alcohol consumption in mice","volume":"28","author":[{"family":"Mansouri","given":"Abdellah"},{"family":"Tarhuni","given":"Arige"},{"family":"Larosche","given":"Isabelle"},{"family":"Reyl-Desmars","given":"Florence"},{"family":"Demeilliers","given":"Christine"},{"family":"Degoul","given":"Françoise"},{"family":"Nahon","given":"Pierre"},{"family":"Sutton","given":"Angela"},{"family":"Moreau","given":"Richard"},{"family":"Fromenty","given":"Bernard"},{"family":"Pessayre","given":"Dominique"}],"issued":{"date-parts":[["2010"]]}}},{"id":1449,"uris":["http://zotero.org/users/3506678/items/VRSPIFDN"],"itemData":{"id":1449,"type":"article-journal","abstract":"Alcohol consumption increases reactive oxygen species (ROS) formation, which can damage mitochondrial DNA (mtDNA) and alter mitochondrial function. To test whether manganese superoxide dismutase (MnSOD) modulates acute alcohol-induced mitochondrial alterations, transgenic MnSOD-overexpressing (MnSOD(+++)) mice, heterozygous knockout (MnSOD(+/-)) mice, and wild-type (WT) littermates were sacrificed 2 or 24 h after intragastric ethanol administration (5 g/kg). Alcohol administration further increased MnSOD activity in MnSOD(+++) mice, but further decreased it in MnSOD(+/-) mice. In WT mice, alcohol administration transiently increased mitochondrial ROS formation, decreased mitochondrial glutathione, depleted and damaged mtDNA, and decreased complex I and V activities; alcohol durably increased inducible nitric-oxide synthase (NOS) expression, plasma nitrites/nitrates, and the nitration of tyrosine residues in complex V proteins. These effects were prevented in MnSOD(+++) mice and prolonged in MnSOD(+/-) mice. In alcoholized WT or MnSOD(+/-) mice, mtDNA depletion and the nitration of tyrosine residues in complex I and V proteins were prevented or attenuated by cotreatment with tempol (4-hydroxy-2,2,6,6-tetramethylpiperidine-N-oxyl), a superoxide scavenger; N(omega)-nitro-l-arginine methyl ester and N-[3-(aminomethyl)benzyl]acetamidine (1,400W), two NOS inhibitors; or uric acid, a peroxynitrite scavenger. In conclusion, MnSOD overexpression prevents, and MnSOD deficiency prolongs, mtDNA depletion after an acute alcohol binge in mice. The protective effects of MnSOD, tempol, NOS inhibitors, and uric acid point out a role of the superoxide anion reacting with NO to form mtDNA-damaging peroxynitrite.","container-title":"The Journal of Pharmacology and Experimental Therapeutics","DOI":"10.1124/jpet.109.160879","ISSN":"1521-0103","issue":"3","journalAbbreviation":"J Pharmacol Exp Ther","language":"eng","note":"PMID: 20016022","page":"886-897","source":"PubMed","title":"Hepatic mitochondrial DNA depletion after an alcohol binge in mice: probable role of peroxynitrite and modulation by manganese superoxide dismutase","title-short":"Hepatic mitochondrial DNA depletion after an alcohol binge in mice","volume":"332","author":[{"family":"Larosche","given":"Isabelle"},{"family":"Lettéron","given":"Philippe"},{"family":"Berson","given":"Alain"},{"family":"Fromenty","given":"Bernard"},{"family":"Huang","given":"Ting-Ting"},{"family":"Moreau","given":"Richard"},{"family":"Pessayre","given":"Dominique"},{"family":"Mansouri","given":"Abdellah"}],"issued":{"date-parts":[["2010",3]]}}}],"schema":"https://github.com/citation-style-language/schema/raw/master/csl-citation.json"} </w:instrText>
      </w:r>
      <w:r w:rsidR="001B656B" w:rsidRPr="00685DE9">
        <w:rPr>
          <w:rFonts w:ascii="Arial" w:hAnsi="Arial" w:cs="Arial"/>
          <w:sz w:val="24"/>
          <w:szCs w:val="24"/>
        </w:rPr>
        <w:fldChar w:fldCharType="separate"/>
      </w:r>
      <w:r w:rsidR="001B656B" w:rsidRPr="00685DE9">
        <w:rPr>
          <w:rFonts w:ascii="Arial" w:hAnsi="Arial" w:cs="Arial"/>
          <w:sz w:val="24"/>
          <w:szCs w:val="24"/>
        </w:rPr>
        <w:t>(</w:t>
      </w:r>
      <w:r w:rsidR="005D5DD2" w:rsidRPr="00685DE9">
        <w:rPr>
          <w:rFonts w:ascii="Arial" w:hAnsi="Arial" w:cs="Arial"/>
          <w:sz w:val="24"/>
          <w:szCs w:val="24"/>
        </w:rPr>
        <w:t>17-19</w:t>
      </w:r>
      <w:r w:rsidR="001B656B" w:rsidRPr="00685DE9">
        <w:rPr>
          <w:rFonts w:ascii="Arial" w:hAnsi="Arial" w:cs="Arial"/>
          <w:sz w:val="24"/>
          <w:szCs w:val="24"/>
        </w:rPr>
        <w:t>)</w:t>
      </w:r>
      <w:r w:rsidR="001B656B" w:rsidRPr="00685DE9">
        <w:rPr>
          <w:rFonts w:ascii="Arial" w:hAnsi="Arial" w:cs="Arial"/>
          <w:sz w:val="24"/>
          <w:szCs w:val="24"/>
        </w:rPr>
        <w:fldChar w:fldCharType="end"/>
      </w:r>
      <w:r w:rsidRPr="00685DE9">
        <w:rPr>
          <w:rFonts w:ascii="Arial" w:hAnsi="Arial" w:cs="Arial"/>
          <w:sz w:val="24"/>
          <w:szCs w:val="24"/>
        </w:rPr>
        <w:t>. The produced NO was measured in culture medium of the transfected cells using a colorimetric Nitrite/Nitrate Assay Kit (Sigma, St. Louis, MO, USA) according to the manufacturer's instructions.  Absorbance at 540 nm was recorded with microplate reader (Tecan Infinite M200 Pro, Tecan Group Ltd., Switzerland).</w:t>
      </w:r>
    </w:p>
    <w:p w14:paraId="2648618B" w14:textId="77777777" w:rsidR="00D10EB8" w:rsidRPr="00685DE9" w:rsidRDefault="00D10EB8" w:rsidP="00D10EB8">
      <w:pPr>
        <w:pStyle w:val="NormalWeb"/>
        <w:spacing w:before="0" w:after="0" w:line="360" w:lineRule="auto"/>
        <w:jc w:val="both"/>
        <w:rPr>
          <w:rFonts w:ascii="Arial" w:hAnsi="Arial" w:cs="Arial"/>
          <w:szCs w:val="24"/>
        </w:rPr>
      </w:pPr>
    </w:p>
    <w:p w14:paraId="41D2DB4D" w14:textId="77777777" w:rsidR="00D10EB8" w:rsidRPr="00685DE9" w:rsidRDefault="00D10EB8" w:rsidP="00D10EB8">
      <w:pPr>
        <w:spacing w:after="0" w:line="360" w:lineRule="auto"/>
        <w:jc w:val="both"/>
        <w:outlineLvl w:val="0"/>
        <w:rPr>
          <w:rFonts w:ascii="Arial" w:hAnsi="Arial" w:cs="Arial"/>
          <w:b/>
          <w:iCs/>
          <w:kern w:val="36"/>
          <w:sz w:val="24"/>
          <w:szCs w:val="24"/>
        </w:rPr>
      </w:pPr>
      <w:proofErr w:type="spellStart"/>
      <w:r w:rsidRPr="00685DE9">
        <w:rPr>
          <w:rFonts w:ascii="Arial" w:hAnsi="Arial" w:cs="Arial"/>
          <w:b/>
          <w:iCs/>
          <w:kern w:val="36"/>
          <w:sz w:val="24"/>
          <w:szCs w:val="24"/>
        </w:rPr>
        <w:t>MnSOD</w:t>
      </w:r>
      <w:proofErr w:type="spellEnd"/>
      <w:r w:rsidRPr="00685DE9">
        <w:rPr>
          <w:rFonts w:ascii="Arial" w:hAnsi="Arial" w:cs="Arial"/>
          <w:b/>
          <w:iCs/>
          <w:kern w:val="36"/>
          <w:sz w:val="24"/>
          <w:szCs w:val="24"/>
        </w:rPr>
        <w:t xml:space="preserve"> and </w:t>
      </w:r>
      <w:proofErr w:type="spellStart"/>
      <w:proofErr w:type="gramStart"/>
      <w:r w:rsidRPr="00685DE9">
        <w:rPr>
          <w:rFonts w:ascii="Arial" w:hAnsi="Arial" w:cs="Arial"/>
          <w:b/>
          <w:iCs/>
          <w:kern w:val="36"/>
          <w:sz w:val="24"/>
          <w:szCs w:val="24"/>
        </w:rPr>
        <w:t>Cu,ZnSOD</w:t>
      </w:r>
      <w:proofErr w:type="spellEnd"/>
      <w:proofErr w:type="gramEnd"/>
      <w:r w:rsidRPr="00685DE9">
        <w:rPr>
          <w:rFonts w:ascii="Arial" w:hAnsi="Arial" w:cs="Arial"/>
          <w:b/>
          <w:iCs/>
          <w:kern w:val="36"/>
          <w:sz w:val="24"/>
          <w:szCs w:val="24"/>
        </w:rPr>
        <w:t xml:space="preserve"> activities, total and mitochondrial Glutathione (GSH)  levels in HepG2 cells. </w:t>
      </w:r>
    </w:p>
    <w:p w14:paraId="09CB15ED" w14:textId="79CD7E5C" w:rsidR="00317788" w:rsidRPr="00685DE9" w:rsidRDefault="00D10EB8" w:rsidP="00D10EB8">
      <w:pPr>
        <w:spacing w:after="0" w:line="360" w:lineRule="auto"/>
        <w:jc w:val="both"/>
        <w:outlineLvl w:val="0"/>
        <w:rPr>
          <w:rFonts w:ascii="Arial" w:hAnsi="Arial" w:cs="Arial"/>
          <w:bCs/>
          <w:kern w:val="36"/>
          <w:sz w:val="24"/>
          <w:szCs w:val="24"/>
        </w:rPr>
      </w:pPr>
      <w:r w:rsidRPr="00685DE9">
        <w:rPr>
          <w:rFonts w:ascii="Arial" w:hAnsi="Arial" w:cs="Arial"/>
          <w:bCs/>
          <w:kern w:val="36"/>
          <w:sz w:val="24"/>
          <w:szCs w:val="24"/>
        </w:rPr>
        <w:t xml:space="preserve">Native gel assays were used to assess </w:t>
      </w:r>
      <w:proofErr w:type="spellStart"/>
      <w:r w:rsidRPr="00685DE9">
        <w:rPr>
          <w:rFonts w:ascii="Arial" w:hAnsi="Arial" w:cs="Arial"/>
          <w:bCs/>
          <w:kern w:val="36"/>
          <w:sz w:val="24"/>
          <w:szCs w:val="24"/>
        </w:rPr>
        <w:t>MnSOD</w:t>
      </w:r>
      <w:proofErr w:type="spellEnd"/>
      <w:r w:rsidRPr="00685DE9">
        <w:rPr>
          <w:rFonts w:ascii="Arial" w:hAnsi="Arial" w:cs="Arial"/>
          <w:bCs/>
          <w:kern w:val="36"/>
          <w:sz w:val="24"/>
          <w:szCs w:val="24"/>
        </w:rPr>
        <w:t xml:space="preserve"> and </w:t>
      </w:r>
      <w:proofErr w:type="spellStart"/>
      <w:proofErr w:type="gramStart"/>
      <w:r w:rsidRPr="00685DE9">
        <w:rPr>
          <w:rFonts w:ascii="Arial" w:hAnsi="Arial" w:cs="Arial"/>
          <w:bCs/>
          <w:kern w:val="36"/>
          <w:sz w:val="24"/>
          <w:szCs w:val="24"/>
        </w:rPr>
        <w:t>Cu,ZnSOD</w:t>
      </w:r>
      <w:proofErr w:type="spellEnd"/>
      <w:proofErr w:type="gramEnd"/>
      <w:r w:rsidRPr="00685DE9">
        <w:rPr>
          <w:rFonts w:ascii="Arial" w:hAnsi="Arial" w:cs="Arial"/>
          <w:bCs/>
          <w:kern w:val="36"/>
          <w:sz w:val="24"/>
          <w:szCs w:val="24"/>
        </w:rPr>
        <w:t xml:space="preserve"> activities. HepG2 proteins (50 µg) were resuspended in 40% glycerol and 0.025% bromophenol </w:t>
      </w:r>
      <w:r w:rsidR="001B656B" w:rsidRPr="00685DE9">
        <w:rPr>
          <w:rFonts w:ascii="Arial" w:hAnsi="Arial" w:cs="Arial"/>
          <w:bCs/>
          <w:kern w:val="36"/>
          <w:sz w:val="24"/>
          <w:szCs w:val="24"/>
        </w:rPr>
        <w:t>blue and</w:t>
      </w:r>
      <w:r w:rsidRPr="00685DE9">
        <w:rPr>
          <w:rFonts w:ascii="Arial" w:hAnsi="Arial" w:cs="Arial"/>
          <w:bCs/>
          <w:kern w:val="36"/>
          <w:sz w:val="24"/>
          <w:szCs w:val="24"/>
        </w:rPr>
        <w:t xml:space="preserve"> loaded on a non-denaturing 15% polyacrylamide gel. Migration was performed at 4°C for 12 h at 120 V, and superoxide dismutase activity was assessed within the gel, as described (</w:t>
      </w:r>
      <w:r w:rsidR="0090200A" w:rsidRPr="00685DE9">
        <w:rPr>
          <w:rFonts w:ascii="Arial" w:hAnsi="Arial" w:cs="Arial"/>
          <w:bCs/>
          <w:kern w:val="36"/>
          <w:sz w:val="24"/>
          <w:szCs w:val="24"/>
        </w:rPr>
        <w:t>1</w:t>
      </w:r>
      <w:r w:rsidR="009D7A07" w:rsidRPr="00685DE9">
        <w:rPr>
          <w:rFonts w:ascii="Arial" w:hAnsi="Arial" w:cs="Arial"/>
          <w:bCs/>
          <w:kern w:val="36"/>
          <w:sz w:val="24"/>
          <w:szCs w:val="24"/>
        </w:rPr>
        <w:t>8</w:t>
      </w:r>
      <w:r w:rsidRPr="00685DE9">
        <w:rPr>
          <w:rFonts w:ascii="Arial" w:hAnsi="Arial" w:cs="Arial"/>
          <w:bCs/>
          <w:kern w:val="36"/>
          <w:sz w:val="24"/>
          <w:szCs w:val="24"/>
        </w:rPr>
        <w:t xml:space="preserve">). The total and the mitochondrial contents of reduced glutathione were determined as has been described </w:t>
      </w:r>
      <w:r w:rsidR="001B656B" w:rsidRPr="00685DE9">
        <w:rPr>
          <w:rFonts w:ascii="Arial" w:hAnsi="Arial" w:cs="Arial"/>
          <w:bCs/>
          <w:kern w:val="36"/>
          <w:sz w:val="24"/>
          <w:szCs w:val="24"/>
        </w:rPr>
        <w:fldChar w:fldCharType="begin"/>
      </w:r>
      <w:r w:rsidR="00304542" w:rsidRPr="00685DE9">
        <w:rPr>
          <w:rFonts w:ascii="Arial" w:hAnsi="Arial" w:cs="Arial"/>
          <w:bCs/>
          <w:kern w:val="36"/>
          <w:sz w:val="24"/>
          <w:szCs w:val="24"/>
        </w:rPr>
        <w:instrText xml:space="preserve"> ADDIN ZOTERO_ITEM CSL_CITATION {"citationID":"4bmB5NRh","properties":{"formattedCitation":"(1,2)","plainCitation":"(1,2)","dontUpdate":true,"noteIndex":0},"citationItems":[{"id":1451,"uris":["http://zotero.org/users/3506678/items/JAP6IKRU"],"itemData":{"id":1451,"type":"article-journal","abstract":"Hepatic energy depletion has been described in severe sepsis, and lipopolysaccharide (LPS) has been shown to cause mitochondrial DNA (mtDNA) damage. To clarify the mechanisms of LPS-induced mtDNA damage and mitochondrial alterations, we treated wild-type (WT) or transgenic manganese superoxide dismutase-overerexpressing (MnSOD(+++)) mice with a single dose of LPS (5 mg/kg). In WT mice, LPS increased mitochondrial reactive oxygen species formation, hepatic inducible nitric oxide synthase (NOS) mRNA and protein, tumor necrosis factor-alpha, interleukin-1 beta, and high-mobility group protein B1 concentrations. Six to 48 h after LPS administration (5 mg/kg), liver mtDNA levels, respiratory complex I activity, and adenosine triphosphate (ATP) contents were decreased. In addition, LPS increased interferon-β concentration and decreased mitochondrial transcription factor A (Tfam) mRNA, Tfam protein, and mtDNA-encoded mRNAs. Morphological studies showed mild hepatic inflammation. The LPS (5 mg/kg)-induced mtDNA depletion, complex I inactivation, ATP depletion, and alanine aminotransferase increase were prevented in MnSOD(+++) mice or in WT mice cotreated with 1400W (a NOS inhibitor), (2-(2,2,6,6-tetramethylpiperidin-1-oxyl-4-ylamino)-2-oxoethyl)triphenylphosphonium chloride, monohydrate (a superoxide scavenger) or uric acid (a peroxynitrite scavenger). The MnSOD overexpression delayed death in mice challenged by a higher, lethal dose of LPS (25 mg/kg). In conclusion, LPS administration damages mtDNA and alters mitochondrial function. The protective effects of MnSOD, NOS inhibitors, and superoxide or peroxynitrite scavengers point out a role of the superoxide anion reacting with NO to form mtDNA- and protein-damaging peroxynitrite. In addition to the acute damage caused by reactive species, decreased levels of mitochondrial transcripts contribute to mitochondrial dysfunction.","container-title":"Antioxidants &amp; Redox Signaling","DOI":"10.1089/ars.2010.3713","ISSN":"1557-7716","issue":"11","journalAbbreviation":"Antioxid Redox Signal","language":"eng","note":"PMID: 21767162","page":"2837-2854","source":"PubMed","title":"Lipopolysaccharide-induced mitochondrial DNA depletion","volume":"15","author":[{"family":"Choumar","given":"Amal"},{"family":"Tarhuni","given":"Arige"},{"family":"Lettéron","given":"Philippe"},{"family":"Reyl-Desmars","given":"Florence"},{"family":"Dauhoo","given":"Nismah"},{"family":"Damasse","given":"Julie"},{"family":"Vadrot","given":"Nathalie"},{"family":"Nahon","given":"Pierre"},{"family":"Moreau","given":"Richard"},{"family":"Pessayre","given":"Dominique"},{"family":"Mansouri","given":"Abdellah"}],"issued":{"date-parts":[["2011",12,1]]}}},{"id":1450,"uris":["http://zotero.org/users/3506678/items/XQQGDD3B"],"itemData":{"id":1450,"type":"article-journal","abstract":"Both acute and chronic alcohol consumption increase reactive oxygen species (ROS) formation and lipid peroxidation, whose products damage hepatic mitochondrial DNA (mtDNA). To test whether manganese superoxide dismutase (MnSOD) overexpression modulates acute and chronic alcohol-induced mtDNA lesions, transgenic MnSOD-overexpressing (TgMnSOD(+++)) mice and wild-type (WT) mice were treated by alcohol, either chronically (7 weeks in drinking water) or acutely (single intragastric dose of 5 g/kg). Acute alcohol administration increased mitochondrial ROS formation, decreased mitochondrial glutathione, depleted and damaged mtDNA, durably increased inducible nitric oxide synthase (NOS) expression, plasma nitrites/nitrates and the nitration of tyrosine residues in complex V proteins and decreased complex V activity in WT mice. These effects were prevented in TgMnSOD(+++) mice. In acutely alcoholized WT mice, mtDNA depletion was prevented by tempol, a superoxide scavenger, L-NAME and 1400W, two NOS inhibitors, or uric acid, a peroxynitrite scavenger. In contrast, chronic alcohol consumption decreased cytosolic glutathione and increased hepatic iron, lipid peroxidation products and respiratory complex I protein carbonyls only in ethanol-treated TgMnSOD(+++) mice but not in WT mice. In chronic ethanol-fed TgMnSOD(+++) mice, but not WT mice, mtDNA was damaged and depleted, and the iron chelator, deferoxamine (DFO), prevented this effect. In conclusion, MnSOD overexpression prevents mtDNA depletion after an acute alcohol binge but aggravates this effect after prolonged alcohol consumption, which selectively triggers iron accumulation in TgMnSOD(+++) mice but not in WT mice. In the model of acute alcohol binge, the protective effects of MnSOD, tempol, NOS inhibitors and uric acid suggested a role of the superoxide anion reacting with NO to form mtDNA-damaging peroxynitrite. In the model of prolonged ethanol consumption, the protective effects of DFO suggested the role of iron reacting with hydrogen peroxide to form mtDNA-damaging hydroxyl radical.","container-title":"Digestive Diseases (Basel, Switzerland)","DOI":"10.1159/000324284","ISSN":"1421-9875","issue":"6","journalAbbreviation":"Dig Dis","language":"eng","note":"PMID: 21525761","page":"756-775","source":"PubMed","title":"MnSOD overexpression prevents liver mitochondrial DNA depletion after an alcohol binge but worsens this effect after prolonged alcohol consumption in mice","volume":"28","author":[{"family":"Mansouri","given":"Abdellah"},{"family":"Tarhuni","given":"Arige"},{"family":"Larosche","given":"Isabelle"},{"family":"Reyl-Desmars","given":"Florence"},{"family":"Demeilliers","given":"Christine"},{"family":"Degoul","given":"Françoise"},{"family":"Nahon","given":"Pierre"},{"family":"Sutton","given":"Angela"},{"family":"Moreau","given":"Richard"},{"family":"Fromenty","given":"Bernard"},{"family":"Pessayre","given":"Dominique"}],"issued":{"date-parts":[["2010"]]}}}],"schema":"https://github.com/citation-style-language/schema/raw/master/csl-citation.json"} </w:instrText>
      </w:r>
      <w:r w:rsidR="001B656B" w:rsidRPr="00685DE9">
        <w:rPr>
          <w:rFonts w:ascii="Arial" w:hAnsi="Arial" w:cs="Arial"/>
          <w:bCs/>
          <w:kern w:val="36"/>
          <w:sz w:val="24"/>
          <w:szCs w:val="24"/>
        </w:rPr>
        <w:fldChar w:fldCharType="separate"/>
      </w:r>
      <w:r w:rsidR="001B656B" w:rsidRPr="00685DE9">
        <w:rPr>
          <w:rFonts w:ascii="Arial" w:hAnsi="Arial" w:cs="Arial"/>
          <w:sz w:val="24"/>
        </w:rPr>
        <w:t>(</w:t>
      </w:r>
      <w:r w:rsidR="005A5069" w:rsidRPr="00685DE9">
        <w:rPr>
          <w:rFonts w:ascii="Arial" w:hAnsi="Arial" w:cs="Arial"/>
          <w:sz w:val="24"/>
        </w:rPr>
        <w:t>17,18</w:t>
      </w:r>
      <w:r w:rsidR="001B656B" w:rsidRPr="00685DE9">
        <w:rPr>
          <w:rFonts w:ascii="Arial" w:hAnsi="Arial" w:cs="Arial"/>
          <w:sz w:val="24"/>
        </w:rPr>
        <w:t>)</w:t>
      </w:r>
      <w:r w:rsidR="001B656B" w:rsidRPr="00685DE9">
        <w:rPr>
          <w:rFonts w:ascii="Arial" w:hAnsi="Arial" w:cs="Arial"/>
          <w:bCs/>
          <w:kern w:val="36"/>
          <w:sz w:val="24"/>
          <w:szCs w:val="24"/>
        </w:rPr>
        <w:fldChar w:fldCharType="end"/>
      </w:r>
      <w:r w:rsidR="001B656B" w:rsidRPr="00685DE9">
        <w:rPr>
          <w:rFonts w:ascii="Arial" w:hAnsi="Arial" w:cs="Arial"/>
          <w:bCs/>
          <w:kern w:val="36"/>
          <w:sz w:val="24"/>
          <w:szCs w:val="24"/>
        </w:rPr>
        <w:t>.</w:t>
      </w:r>
    </w:p>
    <w:p w14:paraId="709F7039" w14:textId="77777777" w:rsidR="00317788" w:rsidRPr="00685DE9" w:rsidRDefault="00317788" w:rsidP="00D10EB8">
      <w:pPr>
        <w:spacing w:after="0" w:line="360" w:lineRule="auto"/>
        <w:jc w:val="both"/>
        <w:outlineLvl w:val="0"/>
        <w:rPr>
          <w:rFonts w:ascii="Arial" w:hAnsi="Arial" w:cs="Arial"/>
          <w:bCs/>
          <w:kern w:val="36"/>
          <w:sz w:val="24"/>
          <w:szCs w:val="24"/>
        </w:rPr>
      </w:pPr>
    </w:p>
    <w:p w14:paraId="5CCF05B1" w14:textId="206D74AB" w:rsidR="006F47F4" w:rsidRPr="00685DE9" w:rsidRDefault="00C51918" w:rsidP="006F47F4">
      <w:pPr>
        <w:spacing w:after="0" w:line="360" w:lineRule="auto"/>
        <w:jc w:val="both"/>
        <w:outlineLvl w:val="0"/>
        <w:rPr>
          <w:rFonts w:ascii="Arial" w:hAnsi="Arial" w:cs="Arial"/>
          <w:b/>
          <w:bCs/>
          <w:iCs/>
          <w:kern w:val="36"/>
          <w:sz w:val="24"/>
          <w:szCs w:val="24"/>
        </w:rPr>
      </w:pPr>
      <w:r w:rsidRPr="00685DE9">
        <w:rPr>
          <w:rFonts w:ascii="Arial" w:hAnsi="Arial" w:cs="Arial"/>
          <w:b/>
          <w:bCs/>
          <w:iCs/>
          <w:sz w:val="24"/>
          <w:szCs w:val="24"/>
        </w:rPr>
        <w:t>Complex I activity and p</w:t>
      </w:r>
      <w:r w:rsidR="006F47F4" w:rsidRPr="00685DE9">
        <w:rPr>
          <w:rFonts w:ascii="Arial" w:hAnsi="Arial" w:cs="Arial"/>
          <w:b/>
          <w:bCs/>
          <w:iCs/>
          <w:sz w:val="24"/>
          <w:szCs w:val="24"/>
        </w:rPr>
        <w:t xml:space="preserve">rotein levels and detection of 3-Nitrotyrosine residues in proteins of respiratory chain complexes I, III and V. </w:t>
      </w:r>
    </w:p>
    <w:p w14:paraId="7BB63A91" w14:textId="5632FB11" w:rsidR="00C51918" w:rsidRPr="00685DE9" w:rsidRDefault="00C51918" w:rsidP="00C51918">
      <w:pPr>
        <w:autoSpaceDE w:val="0"/>
        <w:adjustRightInd w:val="0"/>
        <w:spacing w:after="0" w:line="360" w:lineRule="auto"/>
        <w:jc w:val="both"/>
        <w:rPr>
          <w:rFonts w:ascii="Arial" w:hAnsi="Arial" w:cs="Arial"/>
          <w:sz w:val="24"/>
          <w:szCs w:val="24"/>
        </w:rPr>
      </w:pPr>
      <w:r w:rsidRPr="00685DE9">
        <w:rPr>
          <w:rFonts w:ascii="Arial" w:hAnsi="Arial" w:cs="Arial"/>
          <w:sz w:val="24"/>
          <w:szCs w:val="24"/>
        </w:rPr>
        <w:t>Hepatic mitochondria were isolated and submitochondrial particles were prepared by two cycles of freezing/thawing. Complex I was assayed by following the oxidation of NADH</w:t>
      </w:r>
      <w:r w:rsidR="00EA349C" w:rsidRPr="00685DE9">
        <w:rPr>
          <w:rFonts w:ascii="Arial" w:hAnsi="Arial" w:cs="Arial"/>
          <w:sz w:val="24"/>
          <w:szCs w:val="24"/>
        </w:rPr>
        <w:t xml:space="preserve"> </w:t>
      </w:r>
      <w:r w:rsidRPr="00685DE9">
        <w:rPr>
          <w:rFonts w:ascii="Arial" w:hAnsi="Arial" w:cs="Arial"/>
          <w:sz w:val="24"/>
          <w:szCs w:val="24"/>
        </w:rPr>
        <w:t>in the</w:t>
      </w:r>
      <w:r w:rsidR="009A2A96" w:rsidRPr="00685DE9">
        <w:rPr>
          <w:rFonts w:ascii="Arial" w:hAnsi="Arial" w:cs="Arial"/>
          <w:sz w:val="24"/>
          <w:szCs w:val="24"/>
        </w:rPr>
        <w:t xml:space="preserve"> presence of </w:t>
      </w:r>
      <w:proofErr w:type="spellStart"/>
      <w:r w:rsidR="009A2A96" w:rsidRPr="00685DE9">
        <w:rPr>
          <w:rFonts w:ascii="Arial" w:hAnsi="Arial" w:cs="Arial"/>
          <w:sz w:val="24"/>
          <w:szCs w:val="24"/>
        </w:rPr>
        <w:t>decylubiquinone</w:t>
      </w:r>
      <w:proofErr w:type="spellEnd"/>
      <w:r w:rsidR="009A2A96" w:rsidRPr="00685DE9">
        <w:rPr>
          <w:rFonts w:ascii="Arial" w:hAnsi="Arial" w:cs="Arial"/>
          <w:sz w:val="24"/>
          <w:szCs w:val="24"/>
        </w:rPr>
        <w:t xml:space="preserve"> (</w:t>
      </w:r>
      <w:r w:rsidR="009D7A07" w:rsidRPr="00685DE9">
        <w:rPr>
          <w:rFonts w:ascii="Arial" w:hAnsi="Arial" w:cs="Arial"/>
          <w:sz w:val="24"/>
          <w:szCs w:val="24"/>
        </w:rPr>
        <w:t>17,18</w:t>
      </w:r>
      <w:r w:rsidRPr="00685DE9">
        <w:rPr>
          <w:rFonts w:ascii="Arial" w:hAnsi="Arial" w:cs="Arial"/>
          <w:sz w:val="24"/>
          <w:szCs w:val="24"/>
        </w:rPr>
        <w:t>).</w:t>
      </w:r>
    </w:p>
    <w:p w14:paraId="7F684387" w14:textId="6935AA1D" w:rsidR="00E611F9" w:rsidRPr="00685DE9" w:rsidRDefault="006F47F4" w:rsidP="00E05F7A">
      <w:pPr>
        <w:spacing w:after="0" w:line="360" w:lineRule="auto"/>
        <w:jc w:val="both"/>
        <w:outlineLvl w:val="0"/>
        <w:rPr>
          <w:rFonts w:ascii="Arial" w:hAnsi="Arial" w:cs="Arial"/>
          <w:sz w:val="24"/>
          <w:szCs w:val="24"/>
        </w:rPr>
      </w:pPr>
      <w:r w:rsidRPr="00685DE9">
        <w:rPr>
          <w:rFonts w:ascii="Arial" w:hAnsi="Arial" w:cs="Arial"/>
          <w:sz w:val="24"/>
          <w:szCs w:val="24"/>
        </w:rPr>
        <w:t xml:space="preserve">Alterations in the levels of mitochondrial complexes I, III and V were examined using blue native polyacrylamide gel electrophoresis (BN-PAGE) </w:t>
      </w:r>
      <w:r w:rsidR="009D7A07" w:rsidRPr="00685DE9">
        <w:rPr>
          <w:rFonts w:ascii="Arial" w:hAnsi="Arial" w:cs="Arial"/>
          <w:sz w:val="24"/>
          <w:szCs w:val="24"/>
        </w:rPr>
        <w:t xml:space="preserve">(17,18). </w:t>
      </w:r>
      <w:r w:rsidRPr="00685DE9">
        <w:rPr>
          <w:rFonts w:ascii="Arial" w:hAnsi="Arial" w:cs="Arial"/>
          <w:sz w:val="24"/>
          <w:szCs w:val="24"/>
        </w:rPr>
        <w:t>Mitochondrial extracts were treated with n-dode</w:t>
      </w:r>
      <w:r w:rsidR="003743B3" w:rsidRPr="00685DE9">
        <w:rPr>
          <w:rFonts w:ascii="Arial" w:hAnsi="Arial" w:cs="Arial"/>
          <w:sz w:val="24"/>
          <w:szCs w:val="24"/>
        </w:rPr>
        <w:t>c</w:t>
      </w:r>
      <w:r w:rsidRPr="00685DE9">
        <w:rPr>
          <w:rFonts w:ascii="Arial" w:hAnsi="Arial" w:cs="Arial"/>
          <w:sz w:val="24"/>
          <w:szCs w:val="24"/>
        </w:rPr>
        <w:t>yl-β-D-</w:t>
      </w:r>
      <w:proofErr w:type="spellStart"/>
      <w:r w:rsidRPr="00685DE9">
        <w:rPr>
          <w:rFonts w:ascii="Arial" w:hAnsi="Arial" w:cs="Arial"/>
          <w:sz w:val="24"/>
          <w:szCs w:val="24"/>
        </w:rPr>
        <w:t>maltoside</w:t>
      </w:r>
      <w:proofErr w:type="spellEnd"/>
      <w:r w:rsidRPr="00685DE9">
        <w:rPr>
          <w:rFonts w:ascii="Arial" w:hAnsi="Arial" w:cs="Arial"/>
          <w:sz w:val="24"/>
          <w:szCs w:val="24"/>
        </w:rPr>
        <w:t xml:space="preserve">, a mild detergent that allows the separation of respiratory chain complexes, whereas their subunit assembly and activity remain intact. BN-PAGE was performed using 5 to 13% polyacrylamide gel gradient with a 4% stacking gel. The anode buffer contained 50 mM Bis-Tris and the cathode buffer contained 50 mM Tricine, 15 mM Bis-Tris, and 0.02% of the </w:t>
      </w:r>
      <w:proofErr w:type="spellStart"/>
      <w:r w:rsidRPr="00685DE9">
        <w:rPr>
          <w:rFonts w:ascii="Arial" w:hAnsi="Arial" w:cs="Arial"/>
          <w:sz w:val="24"/>
          <w:szCs w:val="24"/>
        </w:rPr>
        <w:t>Serva</w:t>
      </w:r>
      <w:proofErr w:type="spellEnd"/>
      <w:r w:rsidRPr="00685DE9">
        <w:rPr>
          <w:rFonts w:ascii="Arial" w:hAnsi="Arial" w:cs="Arial"/>
          <w:sz w:val="24"/>
          <w:szCs w:val="24"/>
        </w:rPr>
        <w:t xml:space="preserve"> Blue G dye. Protein samples (25 µg) in 2 µl of 5% </w:t>
      </w:r>
      <w:proofErr w:type="spellStart"/>
      <w:r w:rsidRPr="00685DE9">
        <w:rPr>
          <w:rFonts w:ascii="Arial" w:hAnsi="Arial" w:cs="Arial"/>
          <w:sz w:val="24"/>
          <w:szCs w:val="24"/>
        </w:rPr>
        <w:t>Serva</w:t>
      </w:r>
      <w:proofErr w:type="spellEnd"/>
      <w:r w:rsidRPr="00685DE9">
        <w:rPr>
          <w:rFonts w:ascii="Arial" w:hAnsi="Arial" w:cs="Arial"/>
          <w:sz w:val="24"/>
          <w:szCs w:val="24"/>
        </w:rPr>
        <w:t xml:space="preserve"> Blue G, 750 mM aminocaproic acid, and 50 mM Bis-Tris/HCl, pH 7.0, were applied to a 10-well gel. Electrophoresis was conducted first at 100 V at 4°C until the samples entered the </w:t>
      </w:r>
      <w:r w:rsidR="00095046" w:rsidRPr="00685DE9">
        <w:rPr>
          <w:rFonts w:ascii="Arial" w:hAnsi="Arial" w:cs="Arial"/>
          <w:sz w:val="24"/>
          <w:szCs w:val="24"/>
        </w:rPr>
        <w:t>stacking gel</w:t>
      </w:r>
      <w:r w:rsidRPr="00685DE9">
        <w:rPr>
          <w:rFonts w:ascii="Arial" w:hAnsi="Arial" w:cs="Arial"/>
          <w:sz w:val="24"/>
          <w:szCs w:val="24"/>
        </w:rPr>
        <w:t xml:space="preserve">, then the voltage was increased to 200 V. When the dye front reached the middle of the gel, the initial cathode buffer containing 0.02% </w:t>
      </w:r>
      <w:proofErr w:type="spellStart"/>
      <w:r w:rsidRPr="00685DE9">
        <w:rPr>
          <w:rFonts w:ascii="Arial" w:hAnsi="Arial" w:cs="Arial"/>
          <w:sz w:val="24"/>
          <w:szCs w:val="24"/>
        </w:rPr>
        <w:t>Serva</w:t>
      </w:r>
      <w:proofErr w:type="spellEnd"/>
      <w:r w:rsidRPr="00685DE9">
        <w:rPr>
          <w:rFonts w:ascii="Arial" w:hAnsi="Arial" w:cs="Arial"/>
          <w:sz w:val="24"/>
          <w:szCs w:val="24"/>
        </w:rPr>
        <w:t xml:space="preserve"> Blue G was replaced by a cathode buffer </w:t>
      </w:r>
      <w:r w:rsidRPr="00685DE9">
        <w:rPr>
          <w:rFonts w:ascii="Arial" w:hAnsi="Arial" w:cs="Arial"/>
          <w:sz w:val="24"/>
          <w:szCs w:val="24"/>
        </w:rPr>
        <w:lastRenderedPageBreak/>
        <w:t xml:space="preserve">containing 0.002% </w:t>
      </w:r>
      <w:proofErr w:type="spellStart"/>
      <w:r w:rsidRPr="00685DE9">
        <w:rPr>
          <w:rFonts w:ascii="Arial" w:hAnsi="Arial" w:cs="Arial"/>
          <w:sz w:val="24"/>
          <w:szCs w:val="24"/>
        </w:rPr>
        <w:t>Serva</w:t>
      </w:r>
      <w:proofErr w:type="spellEnd"/>
      <w:r w:rsidRPr="00685DE9">
        <w:rPr>
          <w:rFonts w:ascii="Arial" w:hAnsi="Arial" w:cs="Arial"/>
          <w:sz w:val="24"/>
          <w:szCs w:val="24"/>
        </w:rPr>
        <w:t xml:space="preserve"> Blue G. The banding pattern was scanned and quantified by densitometry to measure the level of protein loaded on the gel for each complex. Immediately after electrophoresis, the separated complexes on BN-PAGE were transferred </w:t>
      </w:r>
      <w:proofErr w:type="spellStart"/>
      <w:r w:rsidRPr="00685DE9">
        <w:rPr>
          <w:rFonts w:ascii="Arial" w:hAnsi="Arial" w:cs="Arial"/>
          <w:sz w:val="24"/>
          <w:szCs w:val="24"/>
        </w:rPr>
        <w:t>electrophoretically</w:t>
      </w:r>
      <w:proofErr w:type="spellEnd"/>
      <w:r w:rsidRPr="00685DE9">
        <w:rPr>
          <w:rFonts w:ascii="Arial" w:hAnsi="Arial" w:cs="Arial"/>
          <w:sz w:val="24"/>
          <w:szCs w:val="24"/>
        </w:rPr>
        <w:t xml:space="preserve"> to nitrocellulose membranes for Western blot detection of 3-nitrotyrosine using anti-3-nitrotyrosine antibody (Suppl</w:t>
      </w:r>
      <w:r w:rsidR="00095046" w:rsidRPr="00685DE9">
        <w:rPr>
          <w:rFonts w:ascii="Arial" w:hAnsi="Arial" w:cs="Arial"/>
          <w:sz w:val="24"/>
          <w:szCs w:val="24"/>
        </w:rPr>
        <w:t>.</w:t>
      </w:r>
      <w:r w:rsidRPr="00685DE9">
        <w:rPr>
          <w:rFonts w:ascii="Arial" w:hAnsi="Arial" w:cs="Arial"/>
          <w:sz w:val="24"/>
          <w:szCs w:val="24"/>
        </w:rPr>
        <w:t xml:space="preserve"> Table </w:t>
      </w:r>
      <w:r w:rsidR="0076784A" w:rsidRPr="00685DE9">
        <w:rPr>
          <w:rFonts w:ascii="Arial" w:hAnsi="Arial" w:cs="Arial"/>
          <w:sz w:val="24"/>
          <w:szCs w:val="24"/>
        </w:rPr>
        <w:t>2</w:t>
      </w:r>
      <w:r w:rsidRPr="00685DE9">
        <w:rPr>
          <w:rFonts w:ascii="Arial" w:hAnsi="Arial" w:cs="Arial"/>
          <w:sz w:val="24"/>
          <w:szCs w:val="24"/>
        </w:rPr>
        <w:t>). Membranes were blocked with 5% nonfat dry milk for 1 h at room temperature and incubated overnight at 4°C with a monoclonal antibody against 3-nitrotyrosine. Membranes were washed several times and incubated with HRP-conjugated secondary antibody for 1 h. Protein bands were visualized by enhanced chemiluminescence.</w:t>
      </w:r>
    </w:p>
    <w:p w14:paraId="1D04B57A" w14:textId="77777777" w:rsidR="00E611F9" w:rsidRPr="00685DE9" w:rsidRDefault="00E611F9">
      <w:pPr>
        <w:autoSpaceDN/>
        <w:spacing w:after="160" w:line="259" w:lineRule="auto"/>
        <w:rPr>
          <w:rFonts w:ascii="Arial" w:hAnsi="Arial" w:cs="Arial"/>
          <w:b/>
          <w:bCs/>
          <w:iCs/>
          <w:sz w:val="24"/>
          <w:szCs w:val="24"/>
        </w:rPr>
      </w:pPr>
      <w:r w:rsidRPr="00685DE9">
        <w:rPr>
          <w:rFonts w:ascii="Arial" w:hAnsi="Arial" w:cs="Arial"/>
          <w:b/>
          <w:bCs/>
          <w:iCs/>
          <w:sz w:val="24"/>
          <w:szCs w:val="24"/>
        </w:rPr>
        <w:br w:type="page"/>
      </w:r>
    </w:p>
    <w:p w14:paraId="5A46FABF" w14:textId="348DE3B5" w:rsidR="00834BC2" w:rsidRPr="00685DE9" w:rsidRDefault="00834BC2" w:rsidP="00834BC2">
      <w:pPr>
        <w:spacing w:after="0" w:line="360" w:lineRule="auto"/>
        <w:jc w:val="both"/>
        <w:rPr>
          <w:rFonts w:ascii="Arial" w:hAnsi="Arial" w:cs="Arial"/>
          <w:b/>
          <w:bCs/>
          <w:iCs/>
          <w:sz w:val="24"/>
          <w:szCs w:val="24"/>
        </w:rPr>
      </w:pPr>
      <w:r w:rsidRPr="00685DE9">
        <w:rPr>
          <w:rFonts w:ascii="Arial" w:hAnsi="Arial" w:cs="Arial"/>
          <w:b/>
          <w:bCs/>
          <w:iCs/>
          <w:sz w:val="24"/>
          <w:szCs w:val="24"/>
        </w:rPr>
        <w:lastRenderedPageBreak/>
        <w:t>SUPPLEMENTAL RESULTS</w:t>
      </w:r>
    </w:p>
    <w:p w14:paraId="6F4DB8A2" w14:textId="77777777" w:rsidR="00834BC2" w:rsidRPr="00685DE9" w:rsidRDefault="00834BC2" w:rsidP="00834BC2">
      <w:pPr>
        <w:autoSpaceDE w:val="0"/>
        <w:adjustRightInd w:val="0"/>
        <w:spacing w:after="0" w:line="360" w:lineRule="auto"/>
        <w:jc w:val="both"/>
        <w:rPr>
          <w:rFonts w:ascii="Arial" w:hAnsi="Arial" w:cs="Arial"/>
          <w:b/>
          <w:iCs/>
          <w:sz w:val="24"/>
          <w:szCs w:val="24"/>
        </w:rPr>
      </w:pPr>
      <w:proofErr w:type="spellStart"/>
      <w:r w:rsidRPr="00685DE9">
        <w:rPr>
          <w:rFonts w:ascii="Arial" w:hAnsi="Arial" w:cs="Arial"/>
          <w:b/>
          <w:sz w:val="24"/>
          <w:szCs w:val="24"/>
        </w:rPr>
        <w:t>mtDNA</w:t>
      </w:r>
      <w:proofErr w:type="spellEnd"/>
      <w:r w:rsidRPr="00685DE9">
        <w:rPr>
          <w:rFonts w:ascii="Arial" w:hAnsi="Arial" w:cs="Arial"/>
          <w:b/>
          <w:sz w:val="24"/>
          <w:szCs w:val="24"/>
        </w:rPr>
        <w:t xml:space="preserve"> </w:t>
      </w:r>
      <w:proofErr w:type="spellStart"/>
      <w:r w:rsidRPr="00685DE9">
        <w:rPr>
          <w:rFonts w:ascii="Arial" w:hAnsi="Arial" w:cs="Arial"/>
          <w:b/>
          <w:sz w:val="24"/>
          <w:szCs w:val="24"/>
        </w:rPr>
        <w:t>toplogy</w:t>
      </w:r>
      <w:proofErr w:type="spellEnd"/>
      <w:r w:rsidRPr="00685DE9">
        <w:rPr>
          <w:rFonts w:ascii="Arial" w:hAnsi="Arial" w:cs="Arial"/>
          <w:b/>
          <w:sz w:val="24"/>
          <w:szCs w:val="24"/>
        </w:rPr>
        <w:t xml:space="preserve"> changes</w:t>
      </w:r>
      <w:r w:rsidRPr="00685DE9">
        <w:rPr>
          <w:rFonts w:ascii="Arial" w:hAnsi="Arial" w:cs="Arial"/>
          <w:b/>
          <w:iCs/>
          <w:sz w:val="24"/>
          <w:szCs w:val="24"/>
        </w:rPr>
        <w:t xml:space="preserve"> in patients with CHB</w:t>
      </w:r>
    </w:p>
    <w:p w14:paraId="13B10B33" w14:textId="1A5891E9" w:rsidR="00834BC2" w:rsidRPr="00685DE9" w:rsidRDefault="00834BC2" w:rsidP="00834BC2">
      <w:pPr>
        <w:spacing w:after="0" w:line="360" w:lineRule="auto"/>
        <w:jc w:val="both"/>
        <w:rPr>
          <w:rFonts w:ascii="Arial" w:hAnsi="Arial" w:cs="Arial"/>
          <w:sz w:val="24"/>
          <w:szCs w:val="24"/>
        </w:rPr>
      </w:pPr>
      <w:r w:rsidRPr="00685DE9">
        <w:rPr>
          <w:rFonts w:ascii="Arial" w:hAnsi="Arial" w:cs="Arial"/>
          <w:sz w:val="24"/>
          <w:szCs w:val="24"/>
        </w:rPr>
        <w:t xml:space="preserve">The distribution of the main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forms was an</w:t>
      </w:r>
      <w:r w:rsidR="00A51C9E" w:rsidRPr="00685DE9">
        <w:rPr>
          <w:rFonts w:ascii="Arial" w:hAnsi="Arial" w:cs="Arial"/>
          <w:sz w:val="24"/>
          <w:szCs w:val="24"/>
        </w:rPr>
        <w:t>alyzed by Southern Blot (Suppl.Fig.3B)</w:t>
      </w:r>
      <w:r w:rsidRPr="00685DE9">
        <w:rPr>
          <w:rFonts w:ascii="Arial" w:hAnsi="Arial" w:cs="Arial"/>
          <w:sz w:val="24"/>
          <w:szCs w:val="24"/>
        </w:rPr>
        <w:t xml:space="preserve">. Southern blots were hybridized with the radio-labeled </w:t>
      </w:r>
      <w:r w:rsidRPr="00685DE9">
        <w:rPr>
          <w:rFonts w:ascii="Arial" w:hAnsi="Arial" w:cs="Arial"/>
          <w:iCs/>
          <w:sz w:val="24"/>
          <w:szCs w:val="24"/>
        </w:rPr>
        <w:t>6.080</w:t>
      </w:r>
      <w:r w:rsidRPr="00685DE9">
        <w:rPr>
          <w:rFonts w:ascii="Arial" w:hAnsi="Arial" w:cs="Arial"/>
          <w:sz w:val="24"/>
          <w:szCs w:val="24"/>
        </w:rPr>
        <w:t xml:space="preserve">-kb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probe, and the percentages of supercoiled, circular, and linear (full-length)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were determined in 5 control subjects and 10 patients with CHB (5 with F3-F4 fibrosis and 5 with F0-F2) (Suppl. Fig. </w:t>
      </w:r>
      <w:r w:rsidR="00A51C9E" w:rsidRPr="00685DE9">
        <w:rPr>
          <w:rFonts w:ascii="Arial" w:hAnsi="Arial" w:cs="Arial"/>
          <w:sz w:val="24"/>
          <w:szCs w:val="24"/>
        </w:rPr>
        <w:t>3</w:t>
      </w:r>
      <w:r w:rsidRPr="00685DE9">
        <w:rPr>
          <w:rFonts w:ascii="Arial" w:hAnsi="Arial" w:cs="Arial"/>
          <w:sz w:val="24"/>
          <w:szCs w:val="24"/>
        </w:rPr>
        <w:t xml:space="preserve">C). Supercoiled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corresponds to unnicked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circular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may correspond either to un-nicked DNA or to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molecules with single strand break(s), whereas the linear 16.5-kb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is a form that has been cut on both strands (Suppl. Fig. </w:t>
      </w:r>
      <w:r w:rsidR="00A51C9E" w:rsidRPr="00685DE9">
        <w:rPr>
          <w:rFonts w:ascii="Arial" w:hAnsi="Arial" w:cs="Arial"/>
          <w:sz w:val="24"/>
          <w:szCs w:val="24"/>
        </w:rPr>
        <w:t>3B</w:t>
      </w:r>
      <w:r w:rsidRPr="00685DE9">
        <w:rPr>
          <w:rFonts w:ascii="Arial" w:hAnsi="Arial" w:cs="Arial"/>
          <w:sz w:val="24"/>
          <w:szCs w:val="24"/>
        </w:rPr>
        <w:t xml:space="preserve">). </w:t>
      </w:r>
    </w:p>
    <w:p w14:paraId="0A07702F" w14:textId="2F9E0AE3" w:rsidR="00834BC2" w:rsidRPr="00685DE9" w:rsidRDefault="00834BC2" w:rsidP="00834BC2">
      <w:pPr>
        <w:spacing w:after="0" w:line="360" w:lineRule="auto"/>
        <w:jc w:val="both"/>
        <w:rPr>
          <w:rFonts w:ascii="Arial" w:hAnsi="Arial" w:cs="Arial"/>
          <w:sz w:val="24"/>
          <w:szCs w:val="24"/>
        </w:rPr>
      </w:pPr>
      <w:r w:rsidRPr="00685DE9">
        <w:rPr>
          <w:rFonts w:ascii="Arial" w:hAnsi="Arial" w:cs="Arial"/>
          <w:sz w:val="24"/>
          <w:szCs w:val="24"/>
        </w:rPr>
        <w:t xml:space="preserve">In non-CHB controls, the percentages of supercoiled, circular, and linear 16.5-kb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were </w:t>
      </w:r>
      <w:r w:rsidRPr="00685DE9">
        <w:rPr>
          <w:rFonts w:ascii="Arial" w:hAnsi="Arial" w:cs="Arial"/>
          <w:kern w:val="24"/>
          <w:sz w:val="24"/>
          <w:szCs w:val="24"/>
        </w:rPr>
        <w:t xml:space="preserve">51% ± 9%, 44% ± 14%, and 4% ± 2 %, respectively (mean ± SEM, n=5) (Fig. </w:t>
      </w:r>
      <w:r w:rsidR="00A51C9E" w:rsidRPr="00685DE9">
        <w:rPr>
          <w:rFonts w:ascii="Arial" w:hAnsi="Arial" w:cs="Arial"/>
          <w:kern w:val="24"/>
          <w:sz w:val="24"/>
          <w:szCs w:val="24"/>
        </w:rPr>
        <w:t>3C</w:t>
      </w:r>
      <w:r w:rsidRPr="00685DE9">
        <w:rPr>
          <w:rFonts w:ascii="Arial" w:hAnsi="Arial" w:cs="Arial"/>
          <w:kern w:val="24"/>
          <w:sz w:val="24"/>
          <w:szCs w:val="24"/>
        </w:rPr>
        <w:t xml:space="preserve">). In patients with CHB, the proportion of supercoiled </w:t>
      </w:r>
      <w:proofErr w:type="spellStart"/>
      <w:r w:rsidRPr="00685DE9">
        <w:rPr>
          <w:rFonts w:ascii="Arial" w:hAnsi="Arial" w:cs="Arial"/>
          <w:kern w:val="24"/>
          <w:sz w:val="24"/>
          <w:szCs w:val="24"/>
        </w:rPr>
        <w:t>mtDNA</w:t>
      </w:r>
      <w:proofErr w:type="spellEnd"/>
      <w:r w:rsidRPr="00685DE9">
        <w:rPr>
          <w:rFonts w:ascii="Arial" w:hAnsi="Arial" w:cs="Arial"/>
          <w:kern w:val="24"/>
          <w:sz w:val="24"/>
          <w:szCs w:val="24"/>
        </w:rPr>
        <w:t xml:space="preserve"> (10% ± 5%) was only 20% of that in control subjects (</w:t>
      </w:r>
      <w:r w:rsidRPr="00685DE9">
        <w:rPr>
          <w:rFonts w:ascii="Arial" w:hAnsi="Arial" w:cs="Arial"/>
          <w:i/>
          <w:iCs/>
          <w:kern w:val="24"/>
          <w:sz w:val="24"/>
          <w:szCs w:val="24"/>
        </w:rPr>
        <w:t>p&lt;0.05</w:t>
      </w:r>
      <w:r w:rsidRPr="00685DE9">
        <w:rPr>
          <w:rFonts w:ascii="Arial" w:hAnsi="Arial" w:cs="Arial"/>
          <w:kern w:val="24"/>
          <w:sz w:val="24"/>
          <w:szCs w:val="24"/>
        </w:rPr>
        <w:t>) (</w:t>
      </w:r>
      <w:r w:rsidRPr="00685DE9">
        <w:rPr>
          <w:rFonts w:ascii="Arial" w:hAnsi="Arial" w:cs="Arial"/>
          <w:sz w:val="24"/>
          <w:szCs w:val="24"/>
        </w:rPr>
        <w:t xml:space="preserve">Suppl. Fig. </w:t>
      </w:r>
      <w:r w:rsidR="00A9482C" w:rsidRPr="00685DE9">
        <w:rPr>
          <w:rFonts w:ascii="Arial" w:hAnsi="Arial" w:cs="Arial"/>
          <w:sz w:val="24"/>
          <w:szCs w:val="24"/>
        </w:rPr>
        <w:t>3</w:t>
      </w:r>
      <w:r w:rsidRPr="00685DE9">
        <w:rPr>
          <w:rFonts w:ascii="Arial" w:hAnsi="Arial" w:cs="Arial"/>
          <w:sz w:val="24"/>
          <w:szCs w:val="24"/>
        </w:rPr>
        <w:t>C</w:t>
      </w:r>
      <w:r w:rsidRPr="00685DE9">
        <w:rPr>
          <w:rFonts w:ascii="Arial" w:hAnsi="Arial" w:cs="Arial"/>
          <w:kern w:val="24"/>
          <w:sz w:val="24"/>
          <w:szCs w:val="24"/>
        </w:rPr>
        <w:t xml:space="preserve">). The percentage of relaxed-circular form was 64% ± 14%, whereas the proportion of full-length linear </w:t>
      </w:r>
      <w:proofErr w:type="spellStart"/>
      <w:r w:rsidRPr="00685DE9">
        <w:rPr>
          <w:rFonts w:ascii="Arial" w:hAnsi="Arial" w:cs="Arial"/>
          <w:kern w:val="24"/>
          <w:sz w:val="24"/>
          <w:szCs w:val="24"/>
        </w:rPr>
        <w:t>mtDNA</w:t>
      </w:r>
      <w:proofErr w:type="spellEnd"/>
      <w:r w:rsidRPr="00685DE9">
        <w:rPr>
          <w:rFonts w:ascii="Arial" w:hAnsi="Arial" w:cs="Arial"/>
          <w:kern w:val="24"/>
          <w:sz w:val="24"/>
          <w:szCs w:val="24"/>
        </w:rPr>
        <w:t xml:space="preserve"> was 8.5-fold that of controls (</w:t>
      </w:r>
      <w:r w:rsidR="00A9482C" w:rsidRPr="00685DE9">
        <w:rPr>
          <w:rFonts w:ascii="Arial" w:hAnsi="Arial" w:cs="Arial"/>
          <w:sz w:val="24"/>
          <w:szCs w:val="24"/>
        </w:rPr>
        <w:t>Suppl. Fig. 3C</w:t>
      </w:r>
      <w:r w:rsidRPr="00685DE9">
        <w:rPr>
          <w:rFonts w:ascii="Arial" w:hAnsi="Arial" w:cs="Arial"/>
          <w:kern w:val="24"/>
          <w:sz w:val="24"/>
          <w:szCs w:val="24"/>
        </w:rPr>
        <w:t xml:space="preserve">). Similarly, while the uncut </w:t>
      </w:r>
      <w:proofErr w:type="spellStart"/>
      <w:r w:rsidRPr="00685DE9">
        <w:rPr>
          <w:rFonts w:ascii="Arial" w:hAnsi="Arial" w:cs="Arial"/>
          <w:kern w:val="24"/>
          <w:sz w:val="24"/>
          <w:szCs w:val="24"/>
        </w:rPr>
        <w:t>mtDNA</w:t>
      </w:r>
      <w:proofErr w:type="spellEnd"/>
      <w:r w:rsidRPr="00685DE9">
        <w:rPr>
          <w:rFonts w:ascii="Arial" w:hAnsi="Arial" w:cs="Arial"/>
          <w:kern w:val="24"/>
          <w:sz w:val="24"/>
          <w:szCs w:val="24"/>
        </w:rPr>
        <w:t xml:space="preserve"> almost disappeared (less than 2%) in patients with F3-F4, it was 12% in patients with F0-F2. Whereas the proportion of full length linear </w:t>
      </w:r>
      <w:proofErr w:type="spellStart"/>
      <w:r w:rsidRPr="00685DE9">
        <w:rPr>
          <w:rFonts w:ascii="Arial" w:hAnsi="Arial" w:cs="Arial"/>
          <w:kern w:val="24"/>
          <w:sz w:val="24"/>
          <w:szCs w:val="24"/>
        </w:rPr>
        <w:t>mtDNA</w:t>
      </w:r>
      <w:proofErr w:type="spellEnd"/>
      <w:r w:rsidRPr="00685DE9">
        <w:rPr>
          <w:rFonts w:ascii="Arial" w:hAnsi="Arial" w:cs="Arial"/>
          <w:kern w:val="24"/>
          <w:sz w:val="24"/>
          <w:szCs w:val="24"/>
        </w:rPr>
        <w:t xml:space="preserve"> was 48% in F3-F4, it was only 14% in F0-F2 fibrosis (</w:t>
      </w:r>
      <w:r w:rsidRPr="00685DE9">
        <w:rPr>
          <w:rFonts w:ascii="Arial" w:hAnsi="Arial" w:cs="Arial"/>
          <w:i/>
          <w:iCs/>
          <w:kern w:val="24"/>
          <w:sz w:val="24"/>
          <w:szCs w:val="24"/>
        </w:rPr>
        <w:t>p&lt;0.05</w:t>
      </w:r>
      <w:r w:rsidRPr="00685DE9">
        <w:rPr>
          <w:rFonts w:ascii="Arial" w:hAnsi="Arial" w:cs="Arial"/>
          <w:kern w:val="24"/>
          <w:sz w:val="24"/>
          <w:szCs w:val="24"/>
        </w:rPr>
        <w:t>) (</w:t>
      </w:r>
      <w:r w:rsidR="00A9482C" w:rsidRPr="00685DE9">
        <w:rPr>
          <w:rFonts w:ascii="Arial" w:hAnsi="Arial" w:cs="Arial"/>
          <w:sz w:val="24"/>
          <w:szCs w:val="24"/>
        </w:rPr>
        <w:t>Suppl. Fig. 3C</w:t>
      </w:r>
      <w:r w:rsidRPr="00685DE9">
        <w:rPr>
          <w:rFonts w:ascii="Arial" w:hAnsi="Arial" w:cs="Arial"/>
          <w:kern w:val="24"/>
          <w:sz w:val="24"/>
          <w:szCs w:val="24"/>
        </w:rPr>
        <w:t xml:space="preserve">). </w:t>
      </w:r>
      <w:r w:rsidRPr="00685DE9">
        <w:rPr>
          <w:rFonts w:ascii="Arial" w:hAnsi="Arial" w:cs="Arial"/>
          <w:sz w:val="24"/>
          <w:szCs w:val="24"/>
        </w:rPr>
        <w:t xml:space="preserve"> Combined with the 66% decrease in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levels in F3-F4 fibrosis (</w:t>
      </w:r>
      <w:r w:rsidR="00A9482C" w:rsidRPr="00685DE9">
        <w:rPr>
          <w:rFonts w:ascii="Arial" w:hAnsi="Arial" w:cs="Arial"/>
          <w:sz w:val="24"/>
          <w:szCs w:val="24"/>
        </w:rPr>
        <w:t>Suppl. Fig. 3C</w:t>
      </w:r>
      <w:r w:rsidRPr="00685DE9">
        <w:rPr>
          <w:rFonts w:ascii="Arial" w:hAnsi="Arial" w:cs="Arial"/>
          <w:sz w:val="24"/>
          <w:szCs w:val="24"/>
        </w:rPr>
        <w:t xml:space="preserve">), these percentages indicated that the supercoiled form had almost disappeared, and the circular form had been halved (in absolute amounts), whereas most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had been converted to linear forms (partly to the full-length linear form) and mostly to lower-sized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fragments.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smears were observed below the 16.5-kb linear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in two patients with CHB and advanced fibrosis, confirming degradation into lower-sized linear fragments.</w:t>
      </w:r>
    </w:p>
    <w:p w14:paraId="2DFA612F" w14:textId="77777777" w:rsidR="00EC4B31" w:rsidRPr="00685DE9" w:rsidRDefault="00EC4B31" w:rsidP="00834BC2">
      <w:pPr>
        <w:spacing w:after="0" w:line="360" w:lineRule="auto"/>
        <w:jc w:val="both"/>
        <w:rPr>
          <w:rFonts w:ascii="Arial" w:hAnsi="Arial" w:cs="Arial"/>
          <w:sz w:val="24"/>
          <w:szCs w:val="24"/>
        </w:rPr>
      </w:pPr>
    </w:p>
    <w:p w14:paraId="7C665B1C" w14:textId="77777777" w:rsidR="005C4902" w:rsidRPr="00685DE9" w:rsidRDefault="005C4902" w:rsidP="00E05F7A">
      <w:pPr>
        <w:spacing w:after="0" w:line="360" w:lineRule="auto"/>
        <w:jc w:val="both"/>
        <w:rPr>
          <w:rFonts w:ascii="Arial" w:hAnsi="Arial" w:cs="Arial"/>
          <w:b/>
          <w:sz w:val="24"/>
          <w:szCs w:val="24"/>
        </w:rPr>
      </w:pPr>
      <w:bookmarkStart w:id="4" w:name="_Hlk109129791"/>
      <w:r w:rsidRPr="00685DE9">
        <w:rPr>
          <w:rFonts w:ascii="Arial" w:hAnsi="Arial" w:cs="Arial"/>
          <w:b/>
          <w:sz w:val="24"/>
          <w:szCs w:val="24"/>
        </w:rPr>
        <w:t xml:space="preserve">mRNA and/or protein levels for the mitochondrial biogenesis markers </w:t>
      </w:r>
      <w:r w:rsidRPr="00685DE9">
        <w:rPr>
          <w:rFonts w:ascii="Arial" w:hAnsi="Arial" w:cs="Arial"/>
          <w:b/>
          <w:sz w:val="24"/>
          <w:szCs w:val="24"/>
          <w:shd w:val="clear" w:color="auto" w:fill="FFFFFF"/>
        </w:rPr>
        <w:t xml:space="preserve">PPARGC1α and </w:t>
      </w:r>
      <w:r w:rsidRPr="00685DE9">
        <w:rPr>
          <w:rFonts w:ascii="Arial" w:hAnsi="Arial" w:cs="Arial"/>
          <w:b/>
          <w:sz w:val="24"/>
          <w:szCs w:val="24"/>
        </w:rPr>
        <w:t>TFAM and for the mitochondrial import marker TOMM20 in patients with CHB, CHC or NASH</w:t>
      </w:r>
    </w:p>
    <w:p w14:paraId="7DC231A3" w14:textId="048EAE40" w:rsidR="005C4902" w:rsidRPr="00685DE9" w:rsidRDefault="005C4902" w:rsidP="00E05F7A">
      <w:pPr>
        <w:spacing w:after="0" w:line="360" w:lineRule="auto"/>
        <w:jc w:val="both"/>
        <w:rPr>
          <w:rFonts w:ascii="Arial" w:hAnsi="Arial" w:cs="Arial"/>
          <w:sz w:val="24"/>
          <w:szCs w:val="24"/>
          <w:shd w:val="clear" w:color="auto" w:fill="FFFFFF"/>
        </w:rPr>
      </w:pPr>
      <w:r w:rsidRPr="00685DE9">
        <w:rPr>
          <w:rFonts w:ascii="Arial" w:hAnsi="Arial" w:cs="Arial"/>
          <w:sz w:val="24"/>
          <w:szCs w:val="24"/>
        </w:rPr>
        <w:t xml:space="preserve">The mitochondrial transcription factor A (TFAM) is involved in both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transcription and </w:t>
      </w:r>
      <w:r w:rsidR="00EC4B31" w:rsidRPr="00685DE9">
        <w:rPr>
          <w:rFonts w:ascii="Arial" w:hAnsi="Arial" w:cs="Arial"/>
          <w:sz w:val="24"/>
          <w:szCs w:val="24"/>
        </w:rPr>
        <w:t>replication,</w:t>
      </w:r>
      <w:r w:rsidRPr="00685DE9">
        <w:rPr>
          <w:rFonts w:ascii="Arial" w:hAnsi="Arial" w:cs="Arial"/>
          <w:sz w:val="24"/>
          <w:szCs w:val="24"/>
        </w:rPr>
        <w:t xml:space="preserve"> and </w:t>
      </w:r>
      <w:r w:rsidRPr="00685DE9">
        <w:rPr>
          <w:rFonts w:ascii="Arial" w:hAnsi="Arial" w:cs="Arial"/>
          <w:sz w:val="24"/>
          <w:szCs w:val="24"/>
          <w:shd w:val="clear" w:color="auto" w:fill="FFFFFF"/>
        </w:rPr>
        <w:t>peroxisome proliferator-activated receptor gamma coactivator 1 alpha (PPARGC1α)</w:t>
      </w:r>
      <w:r w:rsidRPr="00685DE9">
        <w:rPr>
          <w:rFonts w:ascii="Arial" w:hAnsi="Arial" w:cs="Arial"/>
          <w:sz w:val="24"/>
          <w:szCs w:val="24"/>
        </w:rPr>
        <w:t xml:space="preserve"> is involved in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replication (7).</w:t>
      </w:r>
    </w:p>
    <w:p w14:paraId="1DF72CC8" w14:textId="77777777"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Compared to control subjects, both TFAM and </w:t>
      </w:r>
      <w:r w:rsidRPr="00685DE9">
        <w:rPr>
          <w:rFonts w:ascii="Arial" w:hAnsi="Arial" w:cs="Arial"/>
          <w:sz w:val="24"/>
          <w:szCs w:val="24"/>
          <w:shd w:val="clear" w:color="auto" w:fill="FFFFFF"/>
        </w:rPr>
        <w:t>PPARGC1α</w:t>
      </w:r>
      <w:r w:rsidRPr="00685DE9">
        <w:rPr>
          <w:rFonts w:ascii="Arial" w:hAnsi="Arial" w:cs="Arial"/>
          <w:sz w:val="24"/>
          <w:szCs w:val="24"/>
        </w:rPr>
        <w:t xml:space="preserve"> mRNAs levels significantly dropped in patients with CHB whatever the degree of fibrosis (Fig. 5A, C). TFAM </w:t>
      </w:r>
      <w:r w:rsidRPr="00685DE9">
        <w:rPr>
          <w:rFonts w:ascii="Arial" w:hAnsi="Arial" w:cs="Arial"/>
          <w:sz w:val="24"/>
          <w:szCs w:val="24"/>
        </w:rPr>
        <w:lastRenderedPageBreak/>
        <w:t xml:space="preserve">mRNA significantly decreased also in patients with CHC as compared to controls, while </w:t>
      </w:r>
      <w:r w:rsidRPr="00685DE9">
        <w:rPr>
          <w:rFonts w:ascii="Arial" w:hAnsi="Arial" w:cs="Arial"/>
          <w:sz w:val="24"/>
          <w:szCs w:val="24"/>
          <w:shd w:val="clear" w:color="auto" w:fill="FFFFFF"/>
        </w:rPr>
        <w:t>PPARGC1α</w:t>
      </w:r>
      <w:r w:rsidRPr="00685DE9">
        <w:rPr>
          <w:rFonts w:ascii="Arial" w:hAnsi="Arial" w:cs="Arial"/>
          <w:sz w:val="24"/>
          <w:szCs w:val="24"/>
        </w:rPr>
        <w:t xml:space="preserve"> mRNA levels were unchanged (Fig. 5A, C). Compared to controls, patients with NASH and cirrhosis had significantly higher levels of </w:t>
      </w:r>
      <w:r w:rsidRPr="00685DE9">
        <w:rPr>
          <w:rFonts w:ascii="Arial" w:hAnsi="Arial" w:cs="Arial"/>
          <w:sz w:val="24"/>
          <w:szCs w:val="24"/>
          <w:shd w:val="clear" w:color="auto" w:fill="FFFFFF"/>
        </w:rPr>
        <w:t xml:space="preserve">PPARGC1α mRNA but lower levels of TFAM mRNA </w:t>
      </w:r>
      <w:r w:rsidRPr="00685DE9">
        <w:rPr>
          <w:rFonts w:ascii="Arial" w:hAnsi="Arial" w:cs="Arial"/>
          <w:sz w:val="24"/>
          <w:szCs w:val="24"/>
        </w:rPr>
        <w:t>(Fig. 5A, C).</w:t>
      </w:r>
    </w:p>
    <w:p w14:paraId="2E7DC428" w14:textId="1E248AD1"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While TFAM and </w:t>
      </w:r>
      <w:r w:rsidRPr="00685DE9">
        <w:rPr>
          <w:rFonts w:ascii="Arial" w:hAnsi="Arial" w:cs="Arial"/>
          <w:sz w:val="24"/>
          <w:szCs w:val="24"/>
          <w:shd w:val="clear" w:color="auto" w:fill="FFFFFF"/>
        </w:rPr>
        <w:t>PPARGC1α</w:t>
      </w:r>
      <w:r w:rsidRPr="00685DE9">
        <w:rPr>
          <w:rFonts w:ascii="Arial" w:hAnsi="Arial" w:cs="Arial"/>
          <w:sz w:val="24"/>
          <w:szCs w:val="24"/>
        </w:rPr>
        <w:t xml:space="preserve"> mRNAs levels were similar in patients with CHB and F3-F4 (n=20; 0.23±0.13 and n=20; 0.43±0.25 respectively) as compared to those F0-F2 (n=60; 0.29±0.15, and n=60; 0,58±0.45, respectively), these levels significantly decreased in patients with CHC and F3-F4 (n=20; 0,44±0.19 and n=20; 0,63±0.31 respectively) compared to patients with CHC and F0-F2 (n=60; 0.68±0.29, </w:t>
      </w:r>
      <w:r w:rsidRPr="00685DE9">
        <w:rPr>
          <w:rFonts w:ascii="Arial" w:hAnsi="Arial" w:cs="Arial"/>
          <w:i/>
          <w:iCs/>
          <w:sz w:val="24"/>
          <w:szCs w:val="24"/>
        </w:rPr>
        <w:t>p&lt;0.05</w:t>
      </w:r>
      <w:r w:rsidRPr="00685DE9">
        <w:rPr>
          <w:rFonts w:ascii="Arial" w:hAnsi="Arial" w:cs="Arial"/>
          <w:sz w:val="24"/>
          <w:szCs w:val="24"/>
        </w:rPr>
        <w:t xml:space="preserve"> and n=60; 1.71±1.19, </w:t>
      </w:r>
      <w:r w:rsidRPr="00685DE9">
        <w:rPr>
          <w:rFonts w:ascii="Arial" w:hAnsi="Arial" w:cs="Arial"/>
          <w:i/>
          <w:iCs/>
          <w:sz w:val="24"/>
          <w:szCs w:val="24"/>
        </w:rPr>
        <w:t xml:space="preserve">p&lt;0.01 </w:t>
      </w:r>
      <w:r w:rsidRPr="00685DE9">
        <w:rPr>
          <w:rFonts w:ascii="Arial" w:hAnsi="Arial" w:cs="Arial"/>
          <w:sz w:val="24"/>
          <w:szCs w:val="24"/>
        </w:rPr>
        <w:t>respectively) (Fig. 5A, C).</w:t>
      </w:r>
    </w:p>
    <w:p w14:paraId="29DB01A8" w14:textId="77777777"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Patients with NASH and cirrhosis had significantly higher TFAM (n=12; 0.39±0.19, </w:t>
      </w:r>
      <w:r w:rsidRPr="00685DE9">
        <w:rPr>
          <w:rFonts w:ascii="Arial" w:hAnsi="Arial" w:cs="Arial"/>
          <w:i/>
          <w:iCs/>
          <w:sz w:val="24"/>
          <w:szCs w:val="24"/>
        </w:rPr>
        <w:t>p&lt;0.05</w:t>
      </w:r>
      <w:r w:rsidRPr="00685DE9">
        <w:rPr>
          <w:rFonts w:ascii="Arial" w:hAnsi="Arial" w:cs="Arial"/>
          <w:sz w:val="24"/>
          <w:szCs w:val="24"/>
        </w:rPr>
        <w:t xml:space="preserve">) and </w:t>
      </w:r>
      <w:r w:rsidRPr="00685DE9">
        <w:rPr>
          <w:rFonts w:ascii="Arial" w:hAnsi="Arial" w:cs="Arial"/>
          <w:sz w:val="24"/>
          <w:szCs w:val="24"/>
          <w:shd w:val="clear" w:color="auto" w:fill="FFFFFF"/>
        </w:rPr>
        <w:t>PPARGC1α</w:t>
      </w:r>
      <w:r w:rsidRPr="00685DE9">
        <w:rPr>
          <w:rFonts w:ascii="Arial" w:hAnsi="Arial" w:cs="Arial"/>
          <w:sz w:val="24"/>
          <w:szCs w:val="24"/>
        </w:rPr>
        <w:t xml:space="preserve"> (n=12; 2.82±1.21, </w:t>
      </w:r>
      <w:r w:rsidRPr="00685DE9">
        <w:rPr>
          <w:rFonts w:ascii="Arial" w:hAnsi="Arial" w:cs="Arial"/>
          <w:i/>
          <w:iCs/>
          <w:sz w:val="24"/>
          <w:szCs w:val="24"/>
        </w:rPr>
        <w:t>p&lt;0.01</w:t>
      </w:r>
      <w:r w:rsidRPr="00685DE9">
        <w:rPr>
          <w:rFonts w:ascii="Arial" w:hAnsi="Arial" w:cs="Arial"/>
          <w:sz w:val="24"/>
          <w:szCs w:val="24"/>
        </w:rPr>
        <w:t xml:space="preserve">) mRNAs levels than patients with CHB and advanced fibrosis-cirrhosis (Fig. 5A, C). Patients with NASH had also significant increases in </w:t>
      </w:r>
      <w:r w:rsidRPr="00685DE9">
        <w:rPr>
          <w:rFonts w:ascii="Arial" w:hAnsi="Arial" w:cs="Arial"/>
          <w:sz w:val="24"/>
          <w:szCs w:val="24"/>
          <w:shd w:val="clear" w:color="auto" w:fill="FFFFFF"/>
        </w:rPr>
        <w:t>PPARGC1α (</w:t>
      </w:r>
      <w:r w:rsidRPr="00685DE9">
        <w:rPr>
          <w:rFonts w:ascii="Arial" w:hAnsi="Arial" w:cs="Arial"/>
          <w:i/>
          <w:iCs/>
          <w:sz w:val="24"/>
          <w:szCs w:val="24"/>
          <w:shd w:val="clear" w:color="auto" w:fill="FFFFFF"/>
        </w:rPr>
        <w:t>p&lt;0.</w:t>
      </w:r>
      <w:r w:rsidRPr="00685DE9">
        <w:rPr>
          <w:rFonts w:ascii="Arial" w:hAnsi="Arial" w:cs="Arial"/>
          <w:sz w:val="24"/>
          <w:szCs w:val="24"/>
          <w:shd w:val="clear" w:color="auto" w:fill="FFFFFF"/>
        </w:rPr>
        <w:t xml:space="preserve">001) mRNA levels but similar TFAM mRNA levels when compared to patients with CHC and advanced fibrosis-cirrhosis </w:t>
      </w:r>
      <w:r w:rsidRPr="00685DE9">
        <w:rPr>
          <w:rFonts w:ascii="Arial" w:hAnsi="Arial" w:cs="Arial"/>
          <w:sz w:val="24"/>
          <w:szCs w:val="24"/>
        </w:rPr>
        <w:t>(Fig. 5A, C).</w:t>
      </w:r>
    </w:p>
    <w:p w14:paraId="51DB5CAD" w14:textId="5268D8C6"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Compared to controls subjects (n=7, 1.59</w:t>
      </w:r>
      <w:r w:rsidRPr="00685DE9">
        <w:rPr>
          <w:rFonts w:ascii="Arial" w:hAnsi="Arial" w:cs="Arial"/>
          <w:kern w:val="24"/>
          <w:sz w:val="24"/>
          <w:szCs w:val="24"/>
        </w:rPr>
        <w:t>±0.75)</w:t>
      </w:r>
      <w:r w:rsidRPr="00685DE9">
        <w:rPr>
          <w:rFonts w:ascii="Arial" w:hAnsi="Arial" w:cs="Arial"/>
          <w:sz w:val="24"/>
          <w:szCs w:val="24"/>
        </w:rPr>
        <w:t>, TFAM/β-actin ratios significantly decreased in patients with CHB and F3-F4 (n=7; 0.74</w:t>
      </w:r>
      <w:r w:rsidRPr="00685DE9">
        <w:rPr>
          <w:rFonts w:ascii="Arial" w:hAnsi="Arial" w:cs="Arial"/>
          <w:kern w:val="24"/>
          <w:sz w:val="24"/>
          <w:szCs w:val="24"/>
        </w:rPr>
        <w:t xml:space="preserve">±0.25, </w:t>
      </w:r>
      <w:r w:rsidRPr="00685DE9">
        <w:rPr>
          <w:rFonts w:ascii="Arial" w:hAnsi="Arial" w:cs="Arial"/>
          <w:i/>
          <w:iCs/>
          <w:kern w:val="24"/>
          <w:sz w:val="24"/>
          <w:szCs w:val="24"/>
        </w:rPr>
        <w:t>p&lt;0.</w:t>
      </w:r>
      <w:r w:rsidRPr="00685DE9">
        <w:rPr>
          <w:rFonts w:ascii="Arial" w:hAnsi="Arial" w:cs="Arial"/>
          <w:kern w:val="24"/>
          <w:sz w:val="24"/>
          <w:szCs w:val="24"/>
        </w:rPr>
        <w:t xml:space="preserve">05) </w:t>
      </w:r>
      <w:r w:rsidRPr="00685DE9">
        <w:rPr>
          <w:rFonts w:ascii="Arial" w:hAnsi="Arial" w:cs="Arial"/>
          <w:sz w:val="24"/>
          <w:szCs w:val="24"/>
        </w:rPr>
        <w:t>but unchanged in patients with CHB and F0-F2 (n=10; 1.11</w:t>
      </w:r>
      <w:r w:rsidRPr="00685DE9">
        <w:rPr>
          <w:rFonts w:ascii="Arial" w:hAnsi="Arial" w:cs="Arial"/>
          <w:kern w:val="24"/>
          <w:sz w:val="24"/>
          <w:szCs w:val="24"/>
        </w:rPr>
        <w:t xml:space="preserve">±0.37, </w:t>
      </w:r>
      <w:r w:rsidRPr="00685DE9">
        <w:rPr>
          <w:rFonts w:ascii="Arial" w:hAnsi="Arial" w:cs="Arial"/>
          <w:i/>
          <w:iCs/>
          <w:kern w:val="24"/>
          <w:sz w:val="24"/>
          <w:szCs w:val="24"/>
        </w:rPr>
        <w:t>p=0.26</w:t>
      </w:r>
      <w:r w:rsidRPr="00685DE9">
        <w:rPr>
          <w:rFonts w:ascii="Arial" w:hAnsi="Arial" w:cs="Arial"/>
          <w:kern w:val="24"/>
          <w:sz w:val="24"/>
          <w:szCs w:val="24"/>
        </w:rPr>
        <w:t>)</w:t>
      </w:r>
      <w:r w:rsidRPr="00685DE9">
        <w:rPr>
          <w:rFonts w:ascii="Arial" w:hAnsi="Arial" w:cs="Arial"/>
          <w:sz w:val="24"/>
          <w:szCs w:val="24"/>
        </w:rPr>
        <w:t xml:space="preserve"> or in patients with NASH and cirrhosis (n=12; 1.26</w:t>
      </w:r>
      <w:r w:rsidRPr="00685DE9">
        <w:rPr>
          <w:rFonts w:ascii="Arial" w:hAnsi="Arial" w:cs="Arial"/>
          <w:kern w:val="24"/>
          <w:sz w:val="24"/>
          <w:szCs w:val="24"/>
        </w:rPr>
        <w:t>±</w:t>
      </w:r>
      <w:r w:rsidRPr="00685DE9">
        <w:rPr>
          <w:rFonts w:ascii="Arial" w:hAnsi="Arial" w:cs="Arial"/>
          <w:sz w:val="24"/>
          <w:szCs w:val="24"/>
        </w:rPr>
        <w:t xml:space="preserve"> 0.39, </w:t>
      </w:r>
      <w:r w:rsidRPr="00685DE9">
        <w:rPr>
          <w:rFonts w:ascii="Arial" w:hAnsi="Arial" w:cs="Arial"/>
          <w:i/>
          <w:iCs/>
          <w:sz w:val="24"/>
          <w:szCs w:val="24"/>
        </w:rPr>
        <w:t>p=0.62</w:t>
      </w:r>
      <w:r w:rsidRPr="00685DE9">
        <w:rPr>
          <w:rFonts w:ascii="Arial" w:hAnsi="Arial" w:cs="Arial"/>
          <w:sz w:val="24"/>
          <w:szCs w:val="24"/>
        </w:rPr>
        <w:t>)</w:t>
      </w:r>
      <w:r w:rsidR="00D779BE" w:rsidRPr="00685DE9">
        <w:rPr>
          <w:rFonts w:ascii="Arial" w:hAnsi="Arial" w:cs="Arial"/>
          <w:sz w:val="24"/>
          <w:szCs w:val="24"/>
        </w:rPr>
        <w:t xml:space="preserve"> </w:t>
      </w:r>
      <w:r w:rsidRPr="00685DE9">
        <w:rPr>
          <w:rFonts w:ascii="Arial" w:hAnsi="Arial" w:cs="Arial"/>
          <w:sz w:val="24"/>
          <w:szCs w:val="24"/>
        </w:rPr>
        <w:t>(Fig. 5B).</w:t>
      </w:r>
    </w:p>
    <w:p w14:paraId="17CAE476" w14:textId="5D5CC90A"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 xml:space="preserve">TOMM20 is involved in the mitochondrial import machinery (7). TOMM20 protein/β-actin ratios significantly decreased in patients with CHB and F0-F2 </w:t>
      </w:r>
      <w:r w:rsidR="00F55E2D" w:rsidRPr="00685DE9">
        <w:rPr>
          <w:rFonts w:ascii="Arial" w:hAnsi="Arial" w:cs="Arial"/>
          <w:sz w:val="24"/>
          <w:szCs w:val="24"/>
        </w:rPr>
        <w:t>fibrosis but</w:t>
      </w:r>
      <w:r w:rsidRPr="00685DE9">
        <w:rPr>
          <w:rFonts w:ascii="Arial" w:hAnsi="Arial" w:cs="Arial"/>
          <w:sz w:val="24"/>
          <w:szCs w:val="24"/>
        </w:rPr>
        <w:t xml:space="preserve"> were not altered in patients with CHB and F3-F4 or in patients with NASH and cirrhosis as compared to controls subjects (Suppl. Fig. 4B).</w:t>
      </w:r>
    </w:p>
    <w:p w14:paraId="5784C5B6" w14:textId="77777777" w:rsidR="00F55E2D" w:rsidRPr="00685DE9" w:rsidRDefault="00F55E2D" w:rsidP="005C4902">
      <w:pPr>
        <w:spacing w:line="360" w:lineRule="auto"/>
        <w:jc w:val="both"/>
        <w:rPr>
          <w:rFonts w:ascii="Arial" w:hAnsi="Arial" w:cs="Arial"/>
          <w:sz w:val="24"/>
          <w:szCs w:val="24"/>
        </w:rPr>
      </w:pPr>
    </w:p>
    <w:p w14:paraId="5DAB537D" w14:textId="77777777" w:rsidR="005C4902" w:rsidRPr="00685DE9" w:rsidRDefault="005C4902" w:rsidP="00E05F7A">
      <w:pPr>
        <w:spacing w:after="0" w:line="360" w:lineRule="auto"/>
        <w:jc w:val="both"/>
        <w:rPr>
          <w:rFonts w:ascii="Arial" w:hAnsi="Arial" w:cs="Arial"/>
          <w:sz w:val="24"/>
          <w:szCs w:val="24"/>
        </w:rPr>
      </w:pPr>
      <w:r w:rsidRPr="00685DE9">
        <w:rPr>
          <w:rFonts w:ascii="Arial" w:hAnsi="Arial" w:cs="Arial"/>
          <w:b/>
          <w:sz w:val="24"/>
          <w:szCs w:val="24"/>
        </w:rPr>
        <w:t xml:space="preserve">Altered expression of the mitochondrial fusion marker mitofusin1 and the fission marker OPA1 in patients with CHB and F3-F4 </w:t>
      </w:r>
    </w:p>
    <w:p w14:paraId="1D081770" w14:textId="095ED06E" w:rsidR="005C4902" w:rsidRPr="00685DE9" w:rsidRDefault="005C4902" w:rsidP="00E05F7A">
      <w:pPr>
        <w:spacing w:after="0" w:line="360" w:lineRule="auto"/>
        <w:jc w:val="both"/>
        <w:rPr>
          <w:rFonts w:ascii="Arial" w:hAnsi="Arial" w:cs="Arial"/>
          <w:sz w:val="24"/>
          <w:szCs w:val="24"/>
        </w:rPr>
      </w:pPr>
      <w:r w:rsidRPr="00685DE9">
        <w:rPr>
          <w:rFonts w:ascii="Arial" w:hAnsi="Arial" w:cs="Arial"/>
          <w:sz w:val="24"/>
          <w:szCs w:val="24"/>
        </w:rPr>
        <w:t>Mitofusin1/β-Actin and OPA1/β-Actin ratios were significantly decreased by 1.8 and 1.5-fold in patients with CHB and F3-F4 (n=5; 0.70±0.37 and n=5, 0.71±0.36, respectively</w:t>
      </w:r>
      <w:r w:rsidRPr="00685DE9">
        <w:rPr>
          <w:rFonts w:ascii="Arial" w:hAnsi="Arial" w:cs="Arial"/>
          <w:bCs/>
          <w:sz w:val="24"/>
          <w:szCs w:val="24"/>
        </w:rPr>
        <w:t xml:space="preserve">) compared to those with F0-F2 </w:t>
      </w:r>
      <w:r w:rsidRPr="00685DE9">
        <w:rPr>
          <w:rFonts w:ascii="Arial" w:hAnsi="Arial" w:cs="Arial"/>
          <w:sz w:val="24"/>
          <w:szCs w:val="24"/>
        </w:rPr>
        <w:t xml:space="preserve">(n=6; 1.31±0.49, </w:t>
      </w:r>
      <w:r w:rsidRPr="00685DE9">
        <w:rPr>
          <w:rFonts w:ascii="Arial" w:hAnsi="Arial" w:cs="Arial"/>
          <w:bCs/>
          <w:i/>
          <w:iCs/>
          <w:sz w:val="24"/>
          <w:szCs w:val="24"/>
        </w:rPr>
        <w:t>p&lt;0.05</w:t>
      </w:r>
      <w:r w:rsidRPr="00685DE9">
        <w:rPr>
          <w:rFonts w:ascii="Arial" w:hAnsi="Arial" w:cs="Arial"/>
          <w:bCs/>
          <w:sz w:val="24"/>
          <w:szCs w:val="24"/>
        </w:rPr>
        <w:t xml:space="preserve"> and n=7; </w:t>
      </w:r>
      <w:r w:rsidRPr="00685DE9">
        <w:rPr>
          <w:rFonts w:ascii="Arial" w:hAnsi="Arial" w:cs="Arial"/>
          <w:sz w:val="24"/>
          <w:szCs w:val="24"/>
        </w:rPr>
        <w:t xml:space="preserve">1.09±0.32, </w:t>
      </w:r>
      <w:r w:rsidRPr="00685DE9">
        <w:rPr>
          <w:rFonts w:ascii="Arial" w:hAnsi="Arial" w:cs="Arial"/>
          <w:bCs/>
          <w:i/>
          <w:iCs/>
          <w:sz w:val="24"/>
          <w:szCs w:val="24"/>
        </w:rPr>
        <w:t>p&lt;0.05</w:t>
      </w:r>
      <w:r w:rsidRPr="00685DE9">
        <w:rPr>
          <w:rFonts w:ascii="Arial" w:hAnsi="Arial" w:cs="Arial"/>
          <w:bCs/>
          <w:sz w:val="24"/>
          <w:szCs w:val="24"/>
        </w:rPr>
        <w:t xml:space="preserve"> respectively) (</w:t>
      </w:r>
      <w:r w:rsidR="000831F4" w:rsidRPr="00685DE9">
        <w:rPr>
          <w:rFonts w:ascii="Arial" w:hAnsi="Arial" w:cs="Arial"/>
          <w:sz w:val="24"/>
          <w:szCs w:val="24"/>
        </w:rPr>
        <w:t>Suppl. Fig 4C, D)</w:t>
      </w:r>
      <w:r w:rsidR="005F294E" w:rsidRPr="00685DE9">
        <w:rPr>
          <w:rFonts w:ascii="Arial" w:hAnsi="Arial" w:cs="Arial"/>
          <w:sz w:val="24"/>
          <w:szCs w:val="24"/>
        </w:rPr>
        <w:t>.</w:t>
      </w:r>
    </w:p>
    <w:p w14:paraId="5A77EA32" w14:textId="77777777" w:rsidR="005C4902" w:rsidRPr="00685DE9" w:rsidRDefault="005C4902" w:rsidP="005C4902">
      <w:pPr>
        <w:spacing w:after="0" w:line="360" w:lineRule="auto"/>
        <w:jc w:val="both"/>
        <w:rPr>
          <w:rFonts w:ascii="Arial" w:eastAsia="Times New Roman" w:hAnsi="Arial" w:cs="Arial"/>
          <w:b/>
          <w:bCs/>
          <w:iCs/>
          <w:sz w:val="24"/>
          <w:szCs w:val="24"/>
        </w:rPr>
      </w:pPr>
    </w:p>
    <w:p w14:paraId="45605715" w14:textId="77777777" w:rsidR="005C4902" w:rsidRPr="00685DE9" w:rsidRDefault="005C4902" w:rsidP="005C4902">
      <w:pPr>
        <w:spacing w:after="0" w:line="360" w:lineRule="auto"/>
        <w:jc w:val="both"/>
        <w:rPr>
          <w:rFonts w:ascii="Arial" w:eastAsia="Times New Roman" w:hAnsi="Arial" w:cs="Arial"/>
          <w:b/>
          <w:bCs/>
          <w:iCs/>
          <w:sz w:val="24"/>
          <w:szCs w:val="24"/>
        </w:rPr>
      </w:pPr>
      <w:bookmarkStart w:id="5" w:name="_Hlk109132523"/>
      <w:r w:rsidRPr="00685DE9">
        <w:rPr>
          <w:rFonts w:ascii="Arial" w:eastAsia="Times New Roman" w:hAnsi="Arial" w:cs="Arial"/>
          <w:b/>
          <w:bCs/>
          <w:iCs/>
          <w:sz w:val="24"/>
          <w:szCs w:val="24"/>
        </w:rPr>
        <w:lastRenderedPageBreak/>
        <w:t xml:space="preserve">HBV replication and wild-type </w:t>
      </w:r>
      <w:proofErr w:type="spellStart"/>
      <w:r w:rsidRPr="00685DE9">
        <w:rPr>
          <w:rFonts w:ascii="Arial" w:eastAsia="Times New Roman" w:hAnsi="Arial" w:cs="Arial"/>
          <w:b/>
          <w:bCs/>
          <w:iCs/>
          <w:sz w:val="24"/>
          <w:szCs w:val="24"/>
        </w:rPr>
        <w:t>HBx</w:t>
      </w:r>
      <w:proofErr w:type="spellEnd"/>
      <w:r w:rsidRPr="00685DE9">
        <w:rPr>
          <w:rFonts w:ascii="Arial" w:eastAsia="Times New Roman" w:hAnsi="Arial" w:cs="Arial"/>
          <w:b/>
          <w:bCs/>
          <w:iCs/>
          <w:sz w:val="24"/>
          <w:szCs w:val="24"/>
        </w:rPr>
        <w:t xml:space="preserve"> or mutated </w:t>
      </w:r>
      <w:proofErr w:type="spellStart"/>
      <w:proofErr w:type="gramStart"/>
      <w:r w:rsidRPr="00685DE9">
        <w:rPr>
          <w:rFonts w:ascii="Arial" w:eastAsia="Times New Roman" w:hAnsi="Arial" w:cs="Arial"/>
          <w:b/>
          <w:bCs/>
          <w:iCs/>
          <w:sz w:val="24"/>
          <w:szCs w:val="24"/>
        </w:rPr>
        <w:t>HBx</w:t>
      </w:r>
      <w:proofErr w:type="spellEnd"/>
      <w:r w:rsidRPr="00685DE9">
        <w:rPr>
          <w:rFonts w:ascii="Arial" w:hAnsi="Arial" w:cs="Arial"/>
          <w:b/>
          <w:sz w:val="24"/>
          <w:szCs w:val="24"/>
        </w:rPr>
        <w:t>(</w:t>
      </w:r>
      <w:proofErr w:type="gramEnd"/>
      <w:r w:rsidRPr="00685DE9">
        <w:rPr>
          <w:rFonts w:ascii="Arial" w:hAnsi="Arial" w:cs="Arial"/>
          <w:b/>
          <w:sz w:val="24"/>
          <w:szCs w:val="24"/>
        </w:rPr>
        <w:t>G124L, I127A) expression</w:t>
      </w:r>
      <w:r w:rsidRPr="00685DE9">
        <w:rPr>
          <w:rFonts w:ascii="Arial" w:hAnsi="Arial" w:cs="Arial"/>
          <w:sz w:val="24"/>
          <w:szCs w:val="24"/>
        </w:rPr>
        <w:t xml:space="preserve"> </w:t>
      </w:r>
      <w:r w:rsidRPr="00685DE9">
        <w:rPr>
          <w:rFonts w:ascii="Arial" w:eastAsia="Times New Roman" w:hAnsi="Arial" w:cs="Arial"/>
          <w:b/>
          <w:bCs/>
          <w:iCs/>
          <w:sz w:val="24"/>
          <w:szCs w:val="24"/>
        </w:rPr>
        <w:t xml:space="preserve">in human HepG2 cells </w:t>
      </w:r>
      <w:r w:rsidRPr="00685DE9">
        <w:rPr>
          <w:rFonts w:ascii="Arial" w:eastAsia="Times New Roman" w:hAnsi="Arial" w:cs="Arial"/>
          <w:b/>
          <w:bCs/>
          <w:i/>
          <w:iCs/>
          <w:sz w:val="24"/>
          <w:szCs w:val="24"/>
        </w:rPr>
        <w:t>in vitro</w:t>
      </w:r>
    </w:p>
    <w:p w14:paraId="1BF98F15" w14:textId="1BA1C20B" w:rsidR="005C4902" w:rsidRPr="00685DE9" w:rsidRDefault="005C4902" w:rsidP="005C4902">
      <w:pPr>
        <w:spacing w:line="360" w:lineRule="auto"/>
        <w:jc w:val="both"/>
        <w:rPr>
          <w:rFonts w:ascii="Arial" w:hAnsi="Arial" w:cs="Arial"/>
          <w:sz w:val="24"/>
          <w:szCs w:val="24"/>
        </w:rPr>
      </w:pPr>
      <w:r w:rsidRPr="00685DE9">
        <w:rPr>
          <w:rFonts w:ascii="Arial" w:hAnsi="Arial" w:cs="Arial"/>
          <w:kern w:val="24"/>
          <w:sz w:val="24"/>
          <w:szCs w:val="24"/>
        </w:rPr>
        <w:t xml:space="preserve">Transfection with pcDNA3.1Flag-HBx expressing wild-type </w:t>
      </w:r>
      <w:proofErr w:type="spellStart"/>
      <w:r w:rsidRPr="00685DE9">
        <w:rPr>
          <w:rFonts w:ascii="Arial" w:hAnsi="Arial" w:cs="Arial"/>
          <w:kern w:val="24"/>
          <w:sz w:val="24"/>
          <w:szCs w:val="24"/>
        </w:rPr>
        <w:t>HBx</w:t>
      </w:r>
      <w:proofErr w:type="spellEnd"/>
      <w:r w:rsidRPr="00685DE9">
        <w:rPr>
          <w:rFonts w:ascii="Arial" w:hAnsi="Arial" w:cs="Arial"/>
          <w:kern w:val="24"/>
          <w:sz w:val="24"/>
          <w:szCs w:val="24"/>
        </w:rPr>
        <w:t xml:space="preserve"> protein, </w:t>
      </w:r>
      <w:r w:rsidRPr="00685DE9">
        <w:rPr>
          <w:rFonts w:ascii="Arial" w:hAnsi="Arial" w:cs="Arial"/>
          <w:sz w:val="24"/>
          <w:szCs w:val="24"/>
        </w:rPr>
        <w:t>pcDNA3.1Flag-HBx</w:t>
      </w:r>
      <w:r w:rsidR="00F55E2D" w:rsidRPr="00685DE9">
        <w:rPr>
          <w:rFonts w:ascii="Arial" w:hAnsi="Arial" w:cs="Arial"/>
          <w:sz w:val="24"/>
          <w:szCs w:val="24"/>
        </w:rPr>
        <w:t xml:space="preserve"> </w:t>
      </w:r>
      <w:r w:rsidRPr="00685DE9">
        <w:rPr>
          <w:rFonts w:ascii="Arial" w:hAnsi="Arial" w:cs="Arial"/>
          <w:sz w:val="24"/>
          <w:szCs w:val="24"/>
        </w:rPr>
        <w:t xml:space="preserve">(G124L, I127A) expressing mutated </w:t>
      </w:r>
      <w:proofErr w:type="spellStart"/>
      <w:r w:rsidRPr="00685DE9">
        <w:rPr>
          <w:rFonts w:ascii="Arial" w:hAnsi="Arial" w:cs="Arial"/>
          <w:sz w:val="24"/>
          <w:szCs w:val="24"/>
        </w:rPr>
        <w:t>HBx</w:t>
      </w:r>
      <w:proofErr w:type="spellEnd"/>
      <w:r w:rsidRPr="00685DE9">
        <w:rPr>
          <w:rFonts w:ascii="Arial" w:hAnsi="Arial" w:cs="Arial"/>
          <w:sz w:val="24"/>
          <w:szCs w:val="24"/>
        </w:rPr>
        <w:t xml:space="preserve"> </w:t>
      </w:r>
      <w:r w:rsidRPr="00685DE9">
        <w:rPr>
          <w:rFonts w:ascii="Arial" w:hAnsi="Arial" w:cs="Arial"/>
          <w:kern w:val="24"/>
          <w:sz w:val="24"/>
          <w:szCs w:val="24"/>
        </w:rPr>
        <w:t xml:space="preserve">or Payw1.2 expressing whole HBV genome confirmed the expression of </w:t>
      </w:r>
      <w:proofErr w:type="spellStart"/>
      <w:r w:rsidRPr="00685DE9">
        <w:rPr>
          <w:rFonts w:ascii="Arial" w:hAnsi="Arial" w:cs="Arial"/>
          <w:kern w:val="24"/>
          <w:sz w:val="24"/>
          <w:szCs w:val="24"/>
        </w:rPr>
        <w:t>HBx</w:t>
      </w:r>
      <w:proofErr w:type="spellEnd"/>
      <w:r w:rsidRPr="00685DE9">
        <w:rPr>
          <w:rFonts w:ascii="Arial" w:hAnsi="Arial" w:cs="Arial"/>
          <w:kern w:val="24"/>
          <w:sz w:val="24"/>
          <w:szCs w:val="24"/>
        </w:rPr>
        <w:t xml:space="preserve"> protein (Suppl. Fig. </w:t>
      </w:r>
      <w:r w:rsidR="005F294E" w:rsidRPr="00685DE9">
        <w:rPr>
          <w:rFonts w:ascii="Arial" w:hAnsi="Arial" w:cs="Arial"/>
          <w:kern w:val="24"/>
          <w:sz w:val="24"/>
          <w:szCs w:val="24"/>
        </w:rPr>
        <w:t>6</w:t>
      </w:r>
      <w:r w:rsidRPr="00685DE9">
        <w:rPr>
          <w:rFonts w:ascii="Arial" w:hAnsi="Arial" w:cs="Arial"/>
          <w:kern w:val="24"/>
          <w:sz w:val="24"/>
          <w:szCs w:val="24"/>
        </w:rPr>
        <w:t xml:space="preserve">A) or HBV </w:t>
      </w:r>
      <w:proofErr w:type="spellStart"/>
      <w:r w:rsidRPr="00685DE9">
        <w:rPr>
          <w:rFonts w:ascii="Arial" w:hAnsi="Arial" w:cs="Arial"/>
          <w:kern w:val="24"/>
          <w:sz w:val="24"/>
          <w:szCs w:val="24"/>
        </w:rPr>
        <w:t>pregenomic</w:t>
      </w:r>
      <w:proofErr w:type="spellEnd"/>
      <w:r w:rsidRPr="00685DE9">
        <w:rPr>
          <w:rFonts w:ascii="Arial" w:hAnsi="Arial" w:cs="Arial"/>
          <w:kern w:val="24"/>
          <w:sz w:val="24"/>
          <w:szCs w:val="24"/>
        </w:rPr>
        <w:t xml:space="preserve"> RNA (HBV </w:t>
      </w:r>
      <w:proofErr w:type="spellStart"/>
      <w:r w:rsidRPr="00685DE9">
        <w:rPr>
          <w:rFonts w:ascii="Arial" w:hAnsi="Arial" w:cs="Arial"/>
          <w:kern w:val="24"/>
          <w:sz w:val="24"/>
          <w:szCs w:val="24"/>
        </w:rPr>
        <w:t>pgRNA</w:t>
      </w:r>
      <w:proofErr w:type="spellEnd"/>
      <w:r w:rsidRPr="00685DE9">
        <w:rPr>
          <w:rFonts w:ascii="Arial" w:hAnsi="Arial" w:cs="Arial"/>
          <w:kern w:val="24"/>
          <w:sz w:val="24"/>
          <w:szCs w:val="24"/>
        </w:rPr>
        <w:t xml:space="preserve">) (Suppl. Fig. </w:t>
      </w:r>
      <w:r w:rsidR="005F294E" w:rsidRPr="00685DE9">
        <w:rPr>
          <w:rFonts w:ascii="Arial" w:hAnsi="Arial" w:cs="Arial"/>
          <w:kern w:val="24"/>
          <w:sz w:val="24"/>
          <w:szCs w:val="24"/>
        </w:rPr>
        <w:t>6</w:t>
      </w:r>
      <w:r w:rsidRPr="00685DE9">
        <w:rPr>
          <w:rFonts w:ascii="Arial" w:hAnsi="Arial" w:cs="Arial"/>
          <w:kern w:val="24"/>
          <w:sz w:val="24"/>
          <w:szCs w:val="24"/>
        </w:rPr>
        <w:t xml:space="preserve">B). </w:t>
      </w:r>
    </w:p>
    <w:bookmarkEnd w:id="5"/>
    <w:p w14:paraId="4FF2D2EC" w14:textId="77777777" w:rsidR="005C4902" w:rsidRPr="00685DE9" w:rsidRDefault="005C4902" w:rsidP="005C4902">
      <w:pPr>
        <w:spacing w:after="0" w:line="360" w:lineRule="auto"/>
        <w:jc w:val="both"/>
        <w:rPr>
          <w:rFonts w:ascii="Arial" w:eastAsia="Times New Roman" w:hAnsi="Arial" w:cs="Arial"/>
          <w:b/>
          <w:bCs/>
          <w:iCs/>
          <w:sz w:val="24"/>
          <w:szCs w:val="24"/>
        </w:rPr>
      </w:pPr>
    </w:p>
    <w:p w14:paraId="31928DB7" w14:textId="77777777" w:rsidR="005C4902" w:rsidRPr="00685DE9" w:rsidRDefault="005C4902" w:rsidP="005C4902">
      <w:pPr>
        <w:spacing w:after="0" w:line="360" w:lineRule="auto"/>
        <w:jc w:val="both"/>
        <w:rPr>
          <w:rFonts w:ascii="Arial" w:eastAsia="Times New Roman" w:hAnsi="Arial" w:cs="Arial"/>
          <w:b/>
          <w:bCs/>
          <w:iCs/>
          <w:sz w:val="24"/>
          <w:szCs w:val="24"/>
        </w:rPr>
      </w:pPr>
      <w:r w:rsidRPr="00685DE9">
        <w:rPr>
          <w:rFonts w:ascii="Arial" w:eastAsia="Times New Roman" w:hAnsi="Arial" w:cs="Arial"/>
          <w:b/>
          <w:bCs/>
          <w:iCs/>
          <w:sz w:val="24"/>
          <w:szCs w:val="24"/>
        </w:rPr>
        <w:t xml:space="preserve">Time course of LDH leakage in HepG2 cells replicating HBV or expressing wild-type </w:t>
      </w:r>
      <w:proofErr w:type="spellStart"/>
      <w:r w:rsidRPr="00685DE9">
        <w:rPr>
          <w:rFonts w:ascii="Arial" w:eastAsia="Times New Roman" w:hAnsi="Arial" w:cs="Arial"/>
          <w:b/>
          <w:bCs/>
          <w:iCs/>
          <w:sz w:val="24"/>
          <w:szCs w:val="24"/>
        </w:rPr>
        <w:t>HBx</w:t>
      </w:r>
      <w:proofErr w:type="spellEnd"/>
      <w:r w:rsidRPr="00685DE9">
        <w:rPr>
          <w:rFonts w:ascii="Arial" w:eastAsia="Times New Roman" w:hAnsi="Arial" w:cs="Arial"/>
          <w:b/>
          <w:bCs/>
          <w:iCs/>
          <w:sz w:val="24"/>
          <w:szCs w:val="24"/>
        </w:rPr>
        <w:t xml:space="preserve"> protein </w:t>
      </w:r>
      <w:r w:rsidRPr="00685DE9">
        <w:rPr>
          <w:rFonts w:ascii="Arial" w:eastAsia="Times New Roman" w:hAnsi="Arial" w:cs="Arial"/>
          <w:b/>
          <w:bCs/>
          <w:i/>
          <w:iCs/>
          <w:sz w:val="24"/>
          <w:szCs w:val="24"/>
        </w:rPr>
        <w:t xml:space="preserve">in vitro  </w:t>
      </w:r>
    </w:p>
    <w:p w14:paraId="5E53611F" w14:textId="74F11C5C" w:rsidR="005C4902" w:rsidRPr="00685DE9" w:rsidRDefault="005C4902" w:rsidP="005C4902">
      <w:pPr>
        <w:spacing w:after="0" w:line="360" w:lineRule="auto"/>
        <w:jc w:val="both"/>
        <w:rPr>
          <w:rFonts w:ascii="Arial" w:eastAsia="Times New Roman" w:hAnsi="Arial" w:cs="Arial"/>
          <w:bCs/>
          <w:iCs/>
          <w:sz w:val="24"/>
          <w:szCs w:val="24"/>
        </w:rPr>
      </w:pPr>
      <w:r w:rsidRPr="00685DE9">
        <w:rPr>
          <w:rFonts w:ascii="Arial" w:eastAsia="Times New Roman" w:hAnsi="Arial" w:cs="Arial"/>
          <w:bCs/>
          <w:iCs/>
          <w:sz w:val="24"/>
          <w:szCs w:val="24"/>
        </w:rPr>
        <w:t xml:space="preserve">LDH activity was assessed in the </w:t>
      </w:r>
      <w:r w:rsidRPr="00685DE9">
        <w:rPr>
          <w:rFonts w:ascii="Arial" w:hAnsi="Arial" w:cs="Arial"/>
          <w:sz w:val="24"/>
          <w:szCs w:val="24"/>
        </w:rPr>
        <w:t>extracellular medium</w:t>
      </w:r>
      <w:r w:rsidRPr="00685DE9">
        <w:rPr>
          <w:rFonts w:ascii="Arial" w:eastAsia="Times New Roman" w:hAnsi="Arial" w:cs="Arial"/>
          <w:bCs/>
          <w:iCs/>
          <w:sz w:val="24"/>
          <w:szCs w:val="24"/>
        </w:rPr>
        <w:t xml:space="preserve"> as cell survival marker at 24, 48, 72 and 96 h after transfection (Suppl. Fig. </w:t>
      </w:r>
      <w:r w:rsidR="0017394F" w:rsidRPr="00685DE9">
        <w:rPr>
          <w:rFonts w:ascii="Arial" w:eastAsia="Times New Roman" w:hAnsi="Arial" w:cs="Arial"/>
          <w:bCs/>
          <w:iCs/>
          <w:sz w:val="24"/>
          <w:szCs w:val="24"/>
        </w:rPr>
        <w:t>6</w:t>
      </w:r>
      <w:r w:rsidRPr="00685DE9">
        <w:rPr>
          <w:rFonts w:ascii="Arial" w:eastAsia="Times New Roman" w:hAnsi="Arial" w:cs="Arial"/>
          <w:bCs/>
          <w:iCs/>
          <w:sz w:val="24"/>
          <w:szCs w:val="24"/>
        </w:rPr>
        <w:t xml:space="preserve">C). Medium </w:t>
      </w:r>
      <w:r w:rsidR="00D779BE" w:rsidRPr="00685DE9">
        <w:rPr>
          <w:rFonts w:ascii="Arial" w:eastAsia="Times New Roman" w:hAnsi="Arial" w:cs="Arial"/>
          <w:bCs/>
          <w:iCs/>
          <w:sz w:val="24"/>
          <w:szCs w:val="24"/>
        </w:rPr>
        <w:t>LDH activity was minimal in non-</w:t>
      </w:r>
      <w:r w:rsidRPr="00685DE9">
        <w:rPr>
          <w:rFonts w:ascii="Arial" w:eastAsia="Times New Roman" w:hAnsi="Arial" w:cs="Arial"/>
          <w:bCs/>
          <w:iCs/>
          <w:sz w:val="24"/>
          <w:szCs w:val="24"/>
        </w:rPr>
        <w:t xml:space="preserve">transfected cells, in cells transfected with empty vectors, or in cells transfected for 24 h with </w:t>
      </w:r>
      <w:r w:rsidRPr="00685DE9">
        <w:rPr>
          <w:rFonts w:ascii="Arial" w:hAnsi="Arial" w:cs="Arial"/>
          <w:sz w:val="24"/>
          <w:szCs w:val="24"/>
        </w:rPr>
        <w:t xml:space="preserve">pcDNA3.1Flag-HBx or with Payw1.2 vectors </w:t>
      </w:r>
      <w:r w:rsidRPr="00685DE9">
        <w:rPr>
          <w:rFonts w:ascii="Arial" w:eastAsia="Times New Roman" w:hAnsi="Arial" w:cs="Arial"/>
          <w:bCs/>
          <w:iCs/>
          <w:sz w:val="24"/>
          <w:szCs w:val="24"/>
        </w:rPr>
        <w:t xml:space="preserve">(Suppl. Fig. </w:t>
      </w:r>
      <w:r w:rsidR="005F294E" w:rsidRPr="00685DE9">
        <w:rPr>
          <w:rFonts w:ascii="Arial" w:eastAsia="Times New Roman" w:hAnsi="Arial" w:cs="Arial"/>
          <w:bCs/>
          <w:iCs/>
          <w:sz w:val="24"/>
          <w:szCs w:val="24"/>
        </w:rPr>
        <w:t>6</w:t>
      </w:r>
      <w:r w:rsidRPr="00685DE9">
        <w:rPr>
          <w:rFonts w:ascii="Arial" w:eastAsia="Times New Roman" w:hAnsi="Arial" w:cs="Arial"/>
          <w:bCs/>
          <w:iCs/>
          <w:sz w:val="24"/>
          <w:szCs w:val="24"/>
        </w:rPr>
        <w:t xml:space="preserve">C). LDH activity dramatically increased at later time-points indicating that necrotic damage and cell death occurred after longest times of </w:t>
      </w:r>
      <w:proofErr w:type="spellStart"/>
      <w:r w:rsidRPr="00685DE9">
        <w:rPr>
          <w:rFonts w:ascii="Arial" w:eastAsia="Times New Roman" w:hAnsi="Arial" w:cs="Arial"/>
          <w:bCs/>
          <w:iCs/>
          <w:sz w:val="24"/>
          <w:szCs w:val="24"/>
        </w:rPr>
        <w:t>HBx</w:t>
      </w:r>
      <w:proofErr w:type="spellEnd"/>
      <w:r w:rsidRPr="00685DE9">
        <w:rPr>
          <w:rFonts w:ascii="Arial" w:eastAsia="Times New Roman" w:hAnsi="Arial" w:cs="Arial"/>
          <w:bCs/>
          <w:iCs/>
          <w:sz w:val="24"/>
          <w:szCs w:val="24"/>
        </w:rPr>
        <w:t xml:space="preserve"> expression or HBV replication. The % of attached cell (survivals) significantly decreased starting at 48 h post-transfection with vectors expressing </w:t>
      </w:r>
      <w:proofErr w:type="spellStart"/>
      <w:r w:rsidRPr="00685DE9">
        <w:rPr>
          <w:rFonts w:ascii="Arial" w:eastAsia="Times New Roman" w:hAnsi="Arial" w:cs="Arial"/>
          <w:bCs/>
          <w:iCs/>
          <w:sz w:val="24"/>
          <w:szCs w:val="24"/>
        </w:rPr>
        <w:t>HBx</w:t>
      </w:r>
      <w:proofErr w:type="spellEnd"/>
      <w:r w:rsidRPr="00685DE9">
        <w:rPr>
          <w:rFonts w:ascii="Arial" w:eastAsia="Times New Roman" w:hAnsi="Arial" w:cs="Arial"/>
          <w:bCs/>
          <w:iCs/>
          <w:sz w:val="24"/>
          <w:szCs w:val="24"/>
        </w:rPr>
        <w:t xml:space="preserve"> or HBV. We therefore kept 24 h time-point to further investigate the effects of </w:t>
      </w:r>
      <w:proofErr w:type="spellStart"/>
      <w:r w:rsidRPr="00685DE9">
        <w:rPr>
          <w:rFonts w:ascii="Arial" w:eastAsia="Times New Roman" w:hAnsi="Arial" w:cs="Arial"/>
          <w:bCs/>
          <w:iCs/>
          <w:sz w:val="24"/>
          <w:szCs w:val="24"/>
        </w:rPr>
        <w:t>HBx</w:t>
      </w:r>
      <w:proofErr w:type="spellEnd"/>
      <w:r w:rsidRPr="00685DE9">
        <w:rPr>
          <w:rFonts w:ascii="Arial" w:eastAsia="Times New Roman" w:hAnsi="Arial" w:cs="Arial"/>
          <w:bCs/>
          <w:iCs/>
          <w:sz w:val="24"/>
          <w:szCs w:val="24"/>
        </w:rPr>
        <w:t xml:space="preserve"> and HBV on </w:t>
      </w:r>
      <w:proofErr w:type="spellStart"/>
      <w:r w:rsidRPr="00685DE9">
        <w:rPr>
          <w:rFonts w:ascii="Arial" w:eastAsia="Times New Roman" w:hAnsi="Arial" w:cs="Arial"/>
          <w:bCs/>
          <w:iCs/>
          <w:sz w:val="24"/>
          <w:szCs w:val="24"/>
        </w:rPr>
        <w:t>mtDNA</w:t>
      </w:r>
      <w:proofErr w:type="spellEnd"/>
      <w:r w:rsidRPr="00685DE9">
        <w:rPr>
          <w:rFonts w:ascii="Arial" w:eastAsia="Times New Roman" w:hAnsi="Arial" w:cs="Arial"/>
          <w:bCs/>
          <w:iCs/>
          <w:sz w:val="24"/>
          <w:szCs w:val="24"/>
        </w:rPr>
        <w:t xml:space="preserve"> damage, mitochondrial oxidative stress, mitochondrial antioxidant system and mitochondrial function.</w:t>
      </w:r>
    </w:p>
    <w:p w14:paraId="3FC1D294" w14:textId="77777777" w:rsidR="005C4902" w:rsidRPr="00685DE9" w:rsidRDefault="005C4902" w:rsidP="005C4902">
      <w:pPr>
        <w:spacing w:after="0" w:line="360" w:lineRule="auto"/>
        <w:jc w:val="both"/>
        <w:rPr>
          <w:rFonts w:ascii="Arial" w:eastAsia="Times New Roman" w:hAnsi="Arial" w:cs="Arial"/>
          <w:b/>
          <w:bCs/>
          <w:iCs/>
          <w:sz w:val="24"/>
          <w:szCs w:val="24"/>
        </w:rPr>
      </w:pPr>
    </w:p>
    <w:p w14:paraId="09B85C53" w14:textId="77777777" w:rsidR="005C4902" w:rsidRPr="00685DE9" w:rsidRDefault="005C4902" w:rsidP="005C4902">
      <w:pPr>
        <w:spacing w:after="0" w:line="360" w:lineRule="auto"/>
        <w:jc w:val="both"/>
        <w:rPr>
          <w:rFonts w:ascii="Arial" w:eastAsia="Times New Roman" w:hAnsi="Arial" w:cs="Arial"/>
          <w:b/>
          <w:bCs/>
          <w:iCs/>
          <w:sz w:val="24"/>
          <w:szCs w:val="24"/>
        </w:rPr>
      </w:pPr>
      <w:r w:rsidRPr="00685DE9">
        <w:rPr>
          <w:rFonts w:ascii="Arial" w:eastAsia="Times New Roman" w:hAnsi="Arial" w:cs="Arial"/>
          <w:b/>
          <w:bCs/>
          <w:iCs/>
          <w:sz w:val="24"/>
          <w:szCs w:val="24"/>
        </w:rPr>
        <w:t xml:space="preserve">HBV and </w:t>
      </w:r>
      <w:proofErr w:type="spellStart"/>
      <w:r w:rsidRPr="00685DE9">
        <w:rPr>
          <w:rFonts w:ascii="Arial" w:eastAsia="Times New Roman" w:hAnsi="Arial" w:cs="Arial"/>
          <w:b/>
          <w:bCs/>
          <w:iCs/>
          <w:sz w:val="24"/>
          <w:szCs w:val="24"/>
        </w:rPr>
        <w:t>HBx</w:t>
      </w:r>
      <w:proofErr w:type="spellEnd"/>
      <w:r w:rsidRPr="00685DE9">
        <w:rPr>
          <w:rFonts w:ascii="Arial" w:eastAsia="Times New Roman" w:hAnsi="Arial" w:cs="Arial"/>
          <w:b/>
          <w:bCs/>
          <w:iCs/>
          <w:sz w:val="24"/>
          <w:szCs w:val="24"/>
        </w:rPr>
        <w:t xml:space="preserve"> protein induced </w:t>
      </w:r>
      <w:proofErr w:type="spellStart"/>
      <w:r w:rsidRPr="00685DE9">
        <w:rPr>
          <w:rFonts w:ascii="Arial" w:eastAsia="Times New Roman" w:hAnsi="Arial" w:cs="Arial"/>
          <w:b/>
          <w:bCs/>
          <w:iCs/>
          <w:sz w:val="24"/>
          <w:szCs w:val="24"/>
        </w:rPr>
        <w:t>iNOS</w:t>
      </w:r>
      <w:proofErr w:type="spellEnd"/>
      <w:r w:rsidRPr="00685DE9">
        <w:rPr>
          <w:rFonts w:ascii="Arial" w:eastAsia="Times New Roman" w:hAnsi="Arial" w:cs="Arial"/>
          <w:b/>
          <w:bCs/>
          <w:iCs/>
          <w:sz w:val="24"/>
          <w:szCs w:val="24"/>
        </w:rPr>
        <w:t xml:space="preserve">, decreased </w:t>
      </w:r>
      <w:proofErr w:type="spellStart"/>
      <w:r w:rsidRPr="00685DE9">
        <w:rPr>
          <w:rFonts w:ascii="Arial" w:eastAsia="Times New Roman" w:hAnsi="Arial" w:cs="Arial"/>
          <w:b/>
          <w:bCs/>
          <w:iCs/>
          <w:sz w:val="24"/>
          <w:szCs w:val="24"/>
        </w:rPr>
        <w:t>MnSOD</w:t>
      </w:r>
      <w:proofErr w:type="spellEnd"/>
      <w:r w:rsidRPr="00685DE9">
        <w:rPr>
          <w:rFonts w:ascii="Arial" w:eastAsia="Times New Roman" w:hAnsi="Arial" w:cs="Arial"/>
          <w:b/>
          <w:bCs/>
          <w:iCs/>
          <w:sz w:val="24"/>
          <w:szCs w:val="24"/>
        </w:rPr>
        <w:t xml:space="preserve"> activity and increased the nitration of tyrosine residues in mitochondrial complexes I, III and V in cultured </w:t>
      </w:r>
      <w:r w:rsidRPr="00685DE9">
        <w:rPr>
          <w:rFonts w:ascii="Arial" w:hAnsi="Arial" w:cs="Arial"/>
          <w:b/>
          <w:sz w:val="24"/>
          <w:szCs w:val="24"/>
        </w:rPr>
        <w:t>HepG2 cells</w:t>
      </w:r>
      <w:r w:rsidRPr="00685DE9">
        <w:rPr>
          <w:rFonts w:ascii="Arial" w:eastAsia="Times New Roman" w:hAnsi="Arial" w:cs="Arial"/>
          <w:b/>
          <w:bCs/>
          <w:iCs/>
          <w:sz w:val="24"/>
          <w:szCs w:val="24"/>
        </w:rPr>
        <w:t xml:space="preserve"> </w:t>
      </w:r>
      <w:r w:rsidRPr="00685DE9">
        <w:rPr>
          <w:rFonts w:ascii="Arial" w:eastAsia="Times New Roman" w:hAnsi="Arial" w:cs="Arial"/>
          <w:b/>
          <w:bCs/>
          <w:i/>
          <w:iCs/>
          <w:sz w:val="24"/>
          <w:szCs w:val="24"/>
        </w:rPr>
        <w:t>in vitro</w:t>
      </w:r>
    </w:p>
    <w:p w14:paraId="00BA867E" w14:textId="3F05E02B" w:rsidR="005C4902" w:rsidRPr="00685DE9" w:rsidRDefault="00D779BE" w:rsidP="005C4902">
      <w:pPr>
        <w:spacing w:after="0" w:line="360" w:lineRule="auto"/>
        <w:jc w:val="both"/>
        <w:rPr>
          <w:rFonts w:ascii="Arial" w:hAnsi="Arial" w:cs="Arial"/>
          <w:kern w:val="24"/>
          <w:sz w:val="24"/>
          <w:szCs w:val="24"/>
        </w:rPr>
      </w:pPr>
      <w:r w:rsidRPr="00685DE9">
        <w:rPr>
          <w:rFonts w:ascii="Arial" w:hAnsi="Arial" w:cs="Arial"/>
          <w:kern w:val="24"/>
          <w:sz w:val="24"/>
          <w:szCs w:val="24"/>
        </w:rPr>
        <w:t>Twenty-</w:t>
      </w:r>
      <w:r w:rsidR="005C4902" w:rsidRPr="00685DE9">
        <w:rPr>
          <w:rFonts w:ascii="Arial" w:hAnsi="Arial" w:cs="Arial"/>
          <w:kern w:val="24"/>
          <w:sz w:val="24"/>
          <w:szCs w:val="24"/>
        </w:rPr>
        <w:t>four hour</w:t>
      </w:r>
      <w:r w:rsidRPr="00685DE9">
        <w:rPr>
          <w:rFonts w:ascii="Arial" w:hAnsi="Arial" w:cs="Arial"/>
          <w:kern w:val="24"/>
          <w:sz w:val="24"/>
          <w:szCs w:val="24"/>
        </w:rPr>
        <w:t>s</w:t>
      </w:r>
      <w:r w:rsidR="005C4902" w:rsidRPr="00685DE9">
        <w:rPr>
          <w:rFonts w:ascii="Arial" w:hAnsi="Arial" w:cs="Arial"/>
          <w:kern w:val="24"/>
          <w:sz w:val="24"/>
          <w:szCs w:val="24"/>
        </w:rPr>
        <w:t xml:space="preserve"> post-transfection, both HBV and </w:t>
      </w:r>
      <w:proofErr w:type="spellStart"/>
      <w:r w:rsidR="005C4902" w:rsidRPr="00685DE9">
        <w:rPr>
          <w:rFonts w:ascii="Arial" w:hAnsi="Arial" w:cs="Arial"/>
          <w:kern w:val="24"/>
          <w:sz w:val="24"/>
          <w:szCs w:val="24"/>
        </w:rPr>
        <w:t>HBx</w:t>
      </w:r>
      <w:proofErr w:type="spellEnd"/>
      <w:r w:rsidR="005C4902" w:rsidRPr="00685DE9">
        <w:rPr>
          <w:rFonts w:ascii="Arial" w:hAnsi="Arial" w:cs="Arial"/>
          <w:kern w:val="24"/>
          <w:sz w:val="24"/>
          <w:szCs w:val="24"/>
        </w:rPr>
        <w:t xml:space="preserve"> significantly induced </w:t>
      </w:r>
      <w:proofErr w:type="spellStart"/>
      <w:r w:rsidR="005C4902" w:rsidRPr="00685DE9">
        <w:rPr>
          <w:rFonts w:ascii="Arial" w:hAnsi="Arial" w:cs="Arial"/>
          <w:kern w:val="24"/>
          <w:sz w:val="24"/>
          <w:szCs w:val="24"/>
        </w:rPr>
        <w:t>iNOS</w:t>
      </w:r>
      <w:proofErr w:type="spellEnd"/>
      <w:r w:rsidR="005C4902" w:rsidRPr="00685DE9">
        <w:rPr>
          <w:rFonts w:ascii="Arial" w:hAnsi="Arial" w:cs="Arial"/>
          <w:kern w:val="24"/>
          <w:sz w:val="24"/>
          <w:szCs w:val="24"/>
        </w:rPr>
        <w:t xml:space="preserve"> protein (</w:t>
      </w:r>
      <w:proofErr w:type="spellStart"/>
      <w:r w:rsidR="005C4902" w:rsidRPr="00685DE9">
        <w:rPr>
          <w:rFonts w:ascii="Arial" w:hAnsi="Arial" w:cs="Arial"/>
          <w:kern w:val="24"/>
          <w:sz w:val="24"/>
          <w:szCs w:val="24"/>
        </w:rPr>
        <w:t>iNOS</w:t>
      </w:r>
      <w:proofErr w:type="spellEnd"/>
      <w:r w:rsidR="005C4902" w:rsidRPr="00685DE9">
        <w:rPr>
          <w:rFonts w:ascii="Arial" w:hAnsi="Arial" w:cs="Arial"/>
          <w:kern w:val="24"/>
          <w:sz w:val="24"/>
          <w:szCs w:val="24"/>
        </w:rPr>
        <w:t xml:space="preserve">/β-actin ratios were 2.59 </w:t>
      </w:r>
      <w:r w:rsidR="005C4902" w:rsidRPr="00685DE9">
        <w:rPr>
          <w:rFonts w:ascii="Arial" w:hAnsi="Arial" w:cs="Arial"/>
          <w:sz w:val="24"/>
          <w:szCs w:val="24"/>
        </w:rPr>
        <w:t>± 0.30 and 4.33 ± 0.26, respectively)</w:t>
      </w:r>
      <w:r w:rsidR="005C4902" w:rsidRPr="00685DE9">
        <w:rPr>
          <w:rFonts w:ascii="Arial" w:hAnsi="Arial" w:cs="Arial"/>
          <w:kern w:val="24"/>
          <w:sz w:val="24"/>
          <w:szCs w:val="24"/>
        </w:rPr>
        <w:t xml:space="preserve"> compared to corresponding empty vectors (0.52 </w:t>
      </w:r>
      <w:r w:rsidR="005C4902" w:rsidRPr="00685DE9">
        <w:rPr>
          <w:rFonts w:ascii="Arial" w:hAnsi="Arial" w:cs="Arial"/>
          <w:sz w:val="24"/>
          <w:szCs w:val="24"/>
        </w:rPr>
        <w:t xml:space="preserve">± 0.14 and 1.25 ± 0.35, respectively, </w:t>
      </w:r>
      <w:r w:rsidR="005C4902" w:rsidRPr="00685DE9">
        <w:rPr>
          <w:rFonts w:ascii="Arial" w:hAnsi="Arial" w:cs="Arial"/>
          <w:i/>
          <w:sz w:val="24"/>
          <w:szCs w:val="24"/>
        </w:rPr>
        <w:t>p&lt;0.05</w:t>
      </w:r>
      <w:r w:rsidR="005C4902" w:rsidRPr="00685DE9">
        <w:rPr>
          <w:rFonts w:ascii="Arial" w:hAnsi="Arial" w:cs="Arial"/>
          <w:sz w:val="24"/>
          <w:szCs w:val="24"/>
        </w:rPr>
        <w:t>)</w:t>
      </w:r>
      <w:r w:rsidR="0017394F" w:rsidRPr="00685DE9">
        <w:rPr>
          <w:rFonts w:ascii="Arial" w:hAnsi="Arial" w:cs="Arial"/>
          <w:kern w:val="24"/>
          <w:sz w:val="24"/>
          <w:szCs w:val="24"/>
        </w:rPr>
        <w:t xml:space="preserve"> (Suppl. Fig. </w:t>
      </w:r>
      <w:r w:rsidR="005F294E" w:rsidRPr="00685DE9">
        <w:rPr>
          <w:rFonts w:ascii="Arial" w:hAnsi="Arial" w:cs="Arial"/>
          <w:kern w:val="24"/>
          <w:sz w:val="24"/>
          <w:szCs w:val="24"/>
        </w:rPr>
        <w:t>7</w:t>
      </w:r>
      <w:r w:rsidR="005C4902" w:rsidRPr="00685DE9">
        <w:rPr>
          <w:rFonts w:ascii="Arial" w:hAnsi="Arial" w:cs="Arial"/>
          <w:kern w:val="24"/>
          <w:sz w:val="24"/>
          <w:szCs w:val="24"/>
        </w:rPr>
        <w:t>A). Although HBV significantly indu</w:t>
      </w:r>
      <w:r w:rsidR="0017394F" w:rsidRPr="00685DE9">
        <w:rPr>
          <w:rFonts w:ascii="Arial" w:hAnsi="Arial" w:cs="Arial"/>
          <w:kern w:val="24"/>
          <w:sz w:val="24"/>
          <w:szCs w:val="24"/>
        </w:rPr>
        <w:t xml:space="preserve">ced </w:t>
      </w:r>
      <w:proofErr w:type="spellStart"/>
      <w:r w:rsidR="0017394F" w:rsidRPr="00685DE9">
        <w:rPr>
          <w:rFonts w:ascii="Arial" w:hAnsi="Arial" w:cs="Arial"/>
          <w:kern w:val="24"/>
          <w:sz w:val="24"/>
          <w:szCs w:val="24"/>
        </w:rPr>
        <w:t>MnSOD</w:t>
      </w:r>
      <w:proofErr w:type="spellEnd"/>
      <w:r w:rsidR="0017394F" w:rsidRPr="00685DE9">
        <w:rPr>
          <w:rFonts w:ascii="Arial" w:hAnsi="Arial" w:cs="Arial"/>
          <w:kern w:val="24"/>
          <w:sz w:val="24"/>
          <w:szCs w:val="24"/>
        </w:rPr>
        <w:t xml:space="preserve"> protein (Suppl. Fig. </w:t>
      </w:r>
      <w:r w:rsidR="005F294E" w:rsidRPr="00685DE9">
        <w:rPr>
          <w:rFonts w:ascii="Arial" w:hAnsi="Arial" w:cs="Arial"/>
          <w:kern w:val="24"/>
          <w:sz w:val="24"/>
          <w:szCs w:val="24"/>
        </w:rPr>
        <w:t>7</w:t>
      </w:r>
      <w:r w:rsidR="005C4902" w:rsidRPr="00685DE9">
        <w:rPr>
          <w:rFonts w:ascii="Arial" w:hAnsi="Arial" w:cs="Arial"/>
          <w:kern w:val="24"/>
          <w:sz w:val="24"/>
          <w:szCs w:val="24"/>
        </w:rPr>
        <w:t xml:space="preserve">B), it significantly inactivates </w:t>
      </w:r>
      <w:proofErr w:type="spellStart"/>
      <w:r w:rsidR="005C4902" w:rsidRPr="00685DE9">
        <w:rPr>
          <w:rFonts w:ascii="Arial" w:hAnsi="Arial" w:cs="Arial"/>
          <w:kern w:val="24"/>
          <w:sz w:val="24"/>
          <w:szCs w:val="24"/>
        </w:rPr>
        <w:t>MnSOD</w:t>
      </w:r>
      <w:proofErr w:type="spellEnd"/>
      <w:r w:rsidR="005C4902" w:rsidRPr="00685DE9">
        <w:rPr>
          <w:rFonts w:ascii="Arial" w:hAnsi="Arial" w:cs="Arial"/>
          <w:kern w:val="24"/>
          <w:sz w:val="24"/>
          <w:szCs w:val="24"/>
        </w:rPr>
        <w:t xml:space="preserve"> activity (</w:t>
      </w:r>
      <w:r w:rsidR="005C4902" w:rsidRPr="00685DE9">
        <w:rPr>
          <w:rFonts w:ascii="Arial" w:hAnsi="Arial" w:cs="Arial"/>
          <w:i/>
          <w:iCs/>
          <w:kern w:val="24"/>
          <w:sz w:val="24"/>
          <w:szCs w:val="24"/>
        </w:rPr>
        <w:t>p&lt;0.05</w:t>
      </w:r>
      <w:r w:rsidR="005C4902" w:rsidRPr="00685DE9">
        <w:rPr>
          <w:rFonts w:ascii="Arial" w:hAnsi="Arial" w:cs="Arial"/>
          <w:kern w:val="24"/>
          <w:sz w:val="24"/>
          <w:szCs w:val="24"/>
        </w:rPr>
        <w:t xml:space="preserve">) (Suppl. Fig. </w:t>
      </w:r>
      <w:r w:rsidR="005F294E" w:rsidRPr="00685DE9">
        <w:rPr>
          <w:rFonts w:ascii="Arial" w:hAnsi="Arial" w:cs="Arial"/>
          <w:kern w:val="24"/>
          <w:sz w:val="24"/>
          <w:szCs w:val="24"/>
        </w:rPr>
        <w:t>7</w:t>
      </w:r>
      <w:r w:rsidR="005C4902" w:rsidRPr="00685DE9">
        <w:rPr>
          <w:rFonts w:ascii="Arial" w:hAnsi="Arial" w:cs="Arial"/>
          <w:kern w:val="24"/>
          <w:sz w:val="24"/>
          <w:szCs w:val="24"/>
        </w:rPr>
        <w:t xml:space="preserve">C). However, </w:t>
      </w:r>
      <w:proofErr w:type="spellStart"/>
      <w:r w:rsidR="005C4902" w:rsidRPr="00685DE9">
        <w:rPr>
          <w:rFonts w:ascii="Arial" w:hAnsi="Arial" w:cs="Arial"/>
          <w:kern w:val="24"/>
          <w:sz w:val="24"/>
          <w:szCs w:val="24"/>
        </w:rPr>
        <w:t>HBx</w:t>
      </w:r>
      <w:proofErr w:type="spellEnd"/>
      <w:r w:rsidR="005C4902" w:rsidRPr="00685DE9">
        <w:rPr>
          <w:rFonts w:ascii="Arial" w:hAnsi="Arial" w:cs="Arial"/>
          <w:kern w:val="24"/>
          <w:sz w:val="24"/>
          <w:szCs w:val="24"/>
        </w:rPr>
        <w:t xml:space="preserve"> did not induce </w:t>
      </w:r>
      <w:proofErr w:type="spellStart"/>
      <w:r w:rsidR="005C4902" w:rsidRPr="00685DE9">
        <w:rPr>
          <w:rFonts w:ascii="Arial" w:hAnsi="Arial" w:cs="Arial"/>
          <w:kern w:val="24"/>
          <w:sz w:val="24"/>
          <w:szCs w:val="24"/>
        </w:rPr>
        <w:t>MnSOD</w:t>
      </w:r>
      <w:proofErr w:type="spellEnd"/>
      <w:r w:rsidR="005C4902" w:rsidRPr="00685DE9">
        <w:rPr>
          <w:rFonts w:ascii="Arial" w:hAnsi="Arial" w:cs="Arial"/>
          <w:kern w:val="24"/>
          <w:sz w:val="24"/>
          <w:szCs w:val="24"/>
        </w:rPr>
        <w:t xml:space="preserve"> protein, rather it decreased residual </w:t>
      </w:r>
      <w:proofErr w:type="spellStart"/>
      <w:r w:rsidR="005C4902" w:rsidRPr="00685DE9">
        <w:rPr>
          <w:rFonts w:ascii="Arial" w:hAnsi="Arial" w:cs="Arial"/>
          <w:kern w:val="24"/>
          <w:sz w:val="24"/>
          <w:szCs w:val="24"/>
        </w:rPr>
        <w:t>MnSOD</w:t>
      </w:r>
      <w:proofErr w:type="spellEnd"/>
      <w:r w:rsidR="005C4902" w:rsidRPr="00685DE9">
        <w:rPr>
          <w:rFonts w:ascii="Arial" w:hAnsi="Arial" w:cs="Arial"/>
          <w:kern w:val="24"/>
          <w:sz w:val="24"/>
          <w:szCs w:val="24"/>
        </w:rPr>
        <w:t xml:space="preserve"> activity (Suppl. Fig. </w:t>
      </w:r>
      <w:r w:rsidR="005F294E" w:rsidRPr="00685DE9">
        <w:rPr>
          <w:rFonts w:ascii="Arial" w:hAnsi="Arial" w:cs="Arial"/>
          <w:kern w:val="24"/>
          <w:sz w:val="24"/>
          <w:szCs w:val="24"/>
        </w:rPr>
        <w:t>7</w:t>
      </w:r>
      <w:r w:rsidR="005C4902" w:rsidRPr="00685DE9">
        <w:rPr>
          <w:rFonts w:ascii="Arial" w:hAnsi="Arial" w:cs="Arial"/>
          <w:kern w:val="24"/>
          <w:sz w:val="24"/>
          <w:szCs w:val="24"/>
        </w:rPr>
        <w:t xml:space="preserve">C). </w:t>
      </w:r>
      <w:proofErr w:type="spellStart"/>
      <w:proofErr w:type="gramStart"/>
      <w:r w:rsidR="005C4902" w:rsidRPr="00685DE9">
        <w:rPr>
          <w:rFonts w:ascii="Arial" w:hAnsi="Arial" w:cs="Arial"/>
          <w:kern w:val="24"/>
          <w:sz w:val="24"/>
          <w:szCs w:val="24"/>
        </w:rPr>
        <w:t>Cu,ZnSOD</w:t>
      </w:r>
      <w:proofErr w:type="spellEnd"/>
      <w:proofErr w:type="gramEnd"/>
      <w:r w:rsidR="005C4902" w:rsidRPr="00685DE9">
        <w:rPr>
          <w:rFonts w:ascii="Arial" w:hAnsi="Arial" w:cs="Arial"/>
          <w:kern w:val="24"/>
          <w:sz w:val="24"/>
          <w:szCs w:val="24"/>
        </w:rPr>
        <w:t xml:space="preserve"> activity remained unchanged.</w:t>
      </w:r>
    </w:p>
    <w:p w14:paraId="0EC634F1" w14:textId="09776E26" w:rsidR="005C4902" w:rsidRPr="00685DE9" w:rsidRDefault="005C4902" w:rsidP="005C4902">
      <w:pPr>
        <w:autoSpaceDE w:val="0"/>
        <w:adjustRightInd w:val="0"/>
        <w:spacing w:after="0" w:line="360" w:lineRule="auto"/>
        <w:jc w:val="both"/>
        <w:rPr>
          <w:rFonts w:ascii="Arial" w:hAnsi="Arial" w:cs="Arial"/>
          <w:kern w:val="24"/>
          <w:sz w:val="24"/>
          <w:szCs w:val="24"/>
        </w:rPr>
      </w:pPr>
      <w:r w:rsidRPr="00685DE9">
        <w:rPr>
          <w:rFonts w:ascii="Arial" w:eastAsiaTheme="minorHAnsi" w:hAnsi="Arial" w:cs="Arial"/>
          <w:sz w:val="24"/>
          <w:szCs w:val="24"/>
        </w:rPr>
        <w:t xml:space="preserve">There were no changes in the protein levels of mitochondrial respiratory chain complexes as separated by blue native polyacrylamide gel electrophoresis 24 h after HBV or </w:t>
      </w:r>
      <w:proofErr w:type="spellStart"/>
      <w:r w:rsidRPr="00685DE9">
        <w:rPr>
          <w:rFonts w:ascii="Arial" w:eastAsiaTheme="minorHAnsi" w:hAnsi="Arial" w:cs="Arial"/>
          <w:sz w:val="24"/>
          <w:szCs w:val="24"/>
        </w:rPr>
        <w:t>HBx</w:t>
      </w:r>
      <w:proofErr w:type="spellEnd"/>
      <w:r w:rsidRPr="00685DE9">
        <w:rPr>
          <w:rFonts w:ascii="Arial" w:eastAsiaTheme="minorHAnsi" w:hAnsi="Arial" w:cs="Arial"/>
          <w:sz w:val="24"/>
          <w:szCs w:val="24"/>
        </w:rPr>
        <w:t xml:space="preserve"> transfection (</w:t>
      </w:r>
      <w:r w:rsidRPr="00685DE9">
        <w:rPr>
          <w:rFonts w:ascii="Arial" w:hAnsi="Arial" w:cs="Arial"/>
          <w:kern w:val="24"/>
          <w:sz w:val="24"/>
          <w:szCs w:val="24"/>
        </w:rPr>
        <w:t xml:space="preserve">Suppl. Fig. </w:t>
      </w:r>
      <w:r w:rsidR="005F294E" w:rsidRPr="00685DE9">
        <w:rPr>
          <w:rFonts w:ascii="Arial" w:hAnsi="Arial" w:cs="Arial"/>
          <w:kern w:val="24"/>
          <w:sz w:val="24"/>
          <w:szCs w:val="24"/>
        </w:rPr>
        <w:t>7</w:t>
      </w:r>
      <w:r w:rsidRPr="00685DE9">
        <w:rPr>
          <w:rFonts w:ascii="Arial" w:hAnsi="Arial" w:cs="Arial"/>
          <w:kern w:val="24"/>
          <w:sz w:val="24"/>
          <w:szCs w:val="24"/>
        </w:rPr>
        <w:t>D</w:t>
      </w:r>
      <w:r w:rsidRPr="00685DE9">
        <w:rPr>
          <w:rFonts w:ascii="Arial" w:eastAsiaTheme="minorHAnsi" w:hAnsi="Arial" w:cs="Arial"/>
          <w:sz w:val="24"/>
          <w:szCs w:val="24"/>
        </w:rPr>
        <w:t xml:space="preserve">). The separated respiratory chain complexes </w:t>
      </w:r>
      <w:r w:rsidRPr="00685DE9">
        <w:rPr>
          <w:rFonts w:ascii="Arial" w:eastAsiaTheme="minorHAnsi" w:hAnsi="Arial" w:cs="Arial"/>
          <w:sz w:val="24"/>
          <w:szCs w:val="24"/>
        </w:rPr>
        <w:lastRenderedPageBreak/>
        <w:t>were transferred onto nitrocellulose membranes and revealed with an antibody against 3-nitrotyrosine (</w:t>
      </w:r>
      <w:r w:rsidR="00C346F1" w:rsidRPr="00685DE9">
        <w:rPr>
          <w:rFonts w:ascii="Arial" w:hAnsi="Arial" w:cs="Arial"/>
          <w:kern w:val="24"/>
          <w:sz w:val="24"/>
          <w:szCs w:val="24"/>
        </w:rPr>
        <w:t xml:space="preserve">Suppl. Fig. </w:t>
      </w:r>
      <w:r w:rsidR="005F294E" w:rsidRPr="00685DE9">
        <w:rPr>
          <w:rFonts w:ascii="Arial" w:hAnsi="Arial" w:cs="Arial"/>
          <w:kern w:val="24"/>
          <w:sz w:val="24"/>
          <w:szCs w:val="24"/>
        </w:rPr>
        <w:t>7</w:t>
      </w:r>
      <w:r w:rsidRPr="00685DE9">
        <w:rPr>
          <w:rFonts w:ascii="Arial" w:hAnsi="Arial" w:cs="Arial"/>
          <w:kern w:val="24"/>
          <w:sz w:val="24"/>
          <w:szCs w:val="24"/>
        </w:rPr>
        <w:t>D</w:t>
      </w:r>
      <w:r w:rsidRPr="00685DE9">
        <w:rPr>
          <w:rFonts w:ascii="Arial" w:eastAsiaTheme="minorHAnsi" w:hAnsi="Arial" w:cs="Arial"/>
          <w:sz w:val="24"/>
          <w:szCs w:val="24"/>
        </w:rPr>
        <w:t xml:space="preserve">). In </w:t>
      </w:r>
      <w:proofErr w:type="spellStart"/>
      <w:r w:rsidRPr="00685DE9">
        <w:rPr>
          <w:rFonts w:ascii="Arial" w:eastAsiaTheme="minorHAnsi" w:hAnsi="Arial" w:cs="Arial"/>
          <w:sz w:val="24"/>
          <w:szCs w:val="24"/>
        </w:rPr>
        <w:t>pGEM</w:t>
      </w:r>
      <w:proofErr w:type="spellEnd"/>
      <w:r w:rsidRPr="00685DE9">
        <w:rPr>
          <w:rFonts w:ascii="Arial" w:eastAsiaTheme="minorHAnsi" w:hAnsi="Arial" w:cs="Arial"/>
          <w:sz w:val="24"/>
          <w:szCs w:val="24"/>
        </w:rPr>
        <w:t xml:space="preserve"> or pcDNA3.1 transfected HepG2 cells, 3-nitrotyrosine residues were not detected or less presented in the proteins of complexes I, III and V, but significantly increased after the transfection with </w:t>
      </w:r>
      <w:r w:rsidRPr="00685DE9">
        <w:rPr>
          <w:rFonts w:ascii="Arial" w:hAnsi="Arial" w:cs="Arial"/>
          <w:kern w:val="24"/>
          <w:sz w:val="24"/>
          <w:szCs w:val="24"/>
        </w:rPr>
        <w:t xml:space="preserve">Payw1.2 expressing whole HBV genome or with pcDNA3.1FlagHBx </w:t>
      </w:r>
      <w:r w:rsidRPr="00685DE9">
        <w:rPr>
          <w:rFonts w:ascii="Arial" w:eastAsiaTheme="minorHAnsi" w:hAnsi="Arial" w:cs="Arial"/>
          <w:sz w:val="24"/>
          <w:szCs w:val="24"/>
        </w:rPr>
        <w:t>(</w:t>
      </w:r>
      <w:r w:rsidR="00C346F1" w:rsidRPr="00685DE9">
        <w:rPr>
          <w:rFonts w:ascii="Arial" w:hAnsi="Arial" w:cs="Arial"/>
          <w:kern w:val="24"/>
          <w:sz w:val="24"/>
          <w:szCs w:val="24"/>
        </w:rPr>
        <w:t xml:space="preserve">Suppl. Fig. </w:t>
      </w:r>
      <w:r w:rsidR="005F294E" w:rsidRPr="00685DE9">
        <w:rPr>
          <w:rFonts w:ascii="Arial" w:hAnsi="Arial" w:cs="Arial"/>
          <w:kern w:val="24"/>
          <w:sz w:val="24"/>
          <w:szCs w:val="24"/>
        </w:rPr>
        <w:t>7</w:t>
      </w:r>
      <w:r w:rsidRPr="00685DE9">
        <w:rPr>
          <w:rFonts w:ascii="Arial" w:hAnsi="Arial" w:cs="Arial"/>
          <w:kern w:val="24"/>
          <w:sz w:val="24"/>
          <w:szCs w:val="24"/>
        </w:rPr>
        <w:t>D).</w:t>
      </w:r>
    </w:p>
    <w:p w14:paraId="64E9B89F" w14:textId="77777777" w:rsidR="005C4902" w:rsidRPr="00685DE9" w:rsidRDefault="005C4902" w:rsidP="005C4902">
      <w:pPr>
        <w:spacing w:after="0" w:line="360" w:lineRule="auto"/>
        <w:jc w:val="both"/>
        <w:rPr>
          <w:rFonts w:ascii="Arial" w:hAnsi="Arial" w:cs="Arial"/>
          <w:kern w:val="24"/>
          <w:sz w:val="24"/>
          <w:szCs w:val="24"/>
        </w:rPr>
      </w:pPr>
    </w:p>
    <w:p w14:paraId="755CA481" w14:textId="05278DC2" w:rsidR="005C4902" w:rsidRPr="00685DE9" w:rsidRDefault="005C4902" w:rsidP="005C4902">
      <w:pPr>
        <w:spacing w:after="0" w:line="360" w:lineRule="auto"/>
        <w:jc w:val="both"/>
        <w:rPr>
          <w:rFonts w:ascii="Arial" w:eastAsia="Times New Roman" w:hAnsi="Arial" w:cs="Arial"/>
          <w:b/>
          <w:bCs/>
          <w:iCs/>
          <w:sz w:val="24"/>
          <w:szCs w:val="24"/>
        </w:rPr>
      </w:pPr>
      <w:bookmarkStart w:id="6" w:name="_Hlk109132552"/>
      <w:r w:rsidRPr="00685DE9">
        <w:rPr>
          <w:rFonts w:ascii="Arial" w:eastAsia="Times New Roman" w:hAnsi="Arial" w:cs="Arial"/>
          <w:b/>
          <w:bCs/>
          <w:iCs/>
          <w:sz w:val="24"/>
          <w:szCs w:val="24"/>
        </w:rPr>
        <w:t xml:space="preserve">HBV and wild-type </w:t>
      </w:r>
      <w:proofErr w:type="spellStart"/>
      <w:r w:rsidRPr="00685DE9">
        <w:rPr>
          <w:rFonts w:ascii="Arial" w:eastAsia="Times New Roman" w:hAnsi="Arial" w:cs="Arial"/>
          <w:b/>
          <w:bCs/>
          <w:iCs/>
          <w:sz w:val="24"/>
          <w:szCs w:val="24"/>
        </w:rPr>
        <w:t>HBx</w:t>
      </w:r>
      <w:proofErr w:type="spellEnd"/>
      <w:r w:rsidRPr="00685DE9">
        <w:rPr>
          <w:rFonts w:ascii="Arial" w:eastAsia="Times New Roman" w:hAnsi="Arial" w:cs="Arial"/>
          <w:b/>
          <w:bCs/>
          <w:iCs/>
          <w:sz w:val="24"/>
          <w:szCs w:val="24"/>
        </w:rPr>
        <w:t xml:space="preserve"> but not mutated </w:t>
      </w:r>
      <w:proofErr w:type="spellStart"/>
      <w:r w:rsidRPr="00685DE9">
        <w:rPr>
          <w:rFonts w:ascii="Arial" w:eastAsia="Times New Roman" w:hAnsi="Arial" w:cs="Arial"/>
          <w:b/>
          <w:bCs/>
          <w:iCs/>
          <w:sz w:val="24"/>
          <w:szCs w:val="24"/>
        </w:rPr>
        <w:t>HBx</w:t>
      </w:r>
      <w:proofErr w:type="spellEnd"/>
      <w:r w:rsidR="007F2F6A" w:rsidRPr="00685DE9">
        <w:rPr>
          <w:rFonts w:ascii="Arial" w:eastAsia="Times New Roman" w:hAnsi="Arial" w:cs="Arial"/>
          <w:b/>
          <w:bCs/>
          <w:iCs/>
          <w:sz w:val="24"/>
          <w:szCs w:val="24"/>
        </w:rPr>
        <w:t xml:space="preserve"> </w:t>
      </w:r>
      <w:r w:rsidRPr="00685DE9">
        <w:rPr>
          <w:rFonts w:ascii="Arial" w:hAnsi="Arial" w:cs="Arial"/>
          <w:b/>
          <w:sz w:val="24"/>
          <w:szCs w:val="24"/>
        </w:rPr>
        <w:t>(G124L, I127A)</w:t>
      </w:r>
      <w:r w:rsidRPr="00685DE9">
        <w:rPr>
          <w:rFonts w:ascii="Arial" w:eastAsia="Times New Roman" w:hAnsi="Arial" w:cs="Arial"/>
          <w:b/>
          <w:bCs/>
          <w:iCs/>
          <w:sz w:val="24"/>
          <w:szCs w:val="24"/>
        </w:rPr>
        <w:t xml:space="preserve"> increased mitochondrial ROS and RNS formation, depleted </w:t>
      </w:r>
      <w:proofErr w:type="spellStart"/>
      <w:r w:rsidRPr="00685DE9">
        <w:rPr>
          <w:rFonts w:ascii="Arial" w:eastAsia="Times New Roman" w:hAnsi="Arial" w:cs="Arial"/>
          <w:b/>
          <w:bCs/>
          <w:iCs/>
          <w:sz w:val="24"/>
          <w:szCs w:val="24"/>
        </w:rPr>
        <w:t>mtDNA</w:t>
      </w:r>
      <w:proofErr w:type="spellEnd"/>
      <w:r w:rsidRPr="00685DE9">
        <w:rPr>
          <w:rFonts w:ascii="Arial" w:eastAsia="Times New Roman" w:hAnsi="Arial" w:cs="Arial"/>
          <w:b/>
          <w:bCs/>
          <w:iCs/>
          <w:sz w:val="24"/>
          <w:szCs w:val="24"/>
        </w:rPr>
        <w:t xml:space="preserve"> and mitochondrial GSH and decreased complex I activity </w:t>
      </w:r>
      <w:r w:rsidRPr="00685DE9">
        <w:rPr>
          <w:rFonts w:ascii="Arial" w:eastAsia="Times New Roman" w:hAnsi="Arial" w:cs="Arial"/>
          <w:b/>
          <w:bCs/>
          <w:i/>
          <w:iCs/>
          <w:sz w:val="24"/>
          <w:szCs w:val="24"/>
        </w:rPr>
        <w:t>in vitro</w:t>
      </w:r>
    </w:p>
    <w:p w14:paraId="7E1FF13B" w14:textId="09B1957A" w:rsidR="005C4902" w:rsidRPr="00685DE9" w:rsidRDefault="005C4902" w:rsidP="00E05F7A">
      <w:pPr>
        <w:spacing w:after="0" w:line="360" w:lineRule="auto"/>
        <w:jc w:val="both"/>
        <w:rPr>
          <w:rFonts w:ascii="Arial" w:hAnsi="Arial" w:cs="Arial"/>
          <w:sz w:val="24"/>
          <w:szCs w:val="24"/>
        </w:rPr>
      </w:pPr>
      <w:proofErr w:type="spellStart"/>
      <w:r w:rsidRPr="00685DE9">
        <w:rPr>
          <w:rFonts w:ascii="Arial" w:hAnsi="Arial" w:cs="Arial"/>
          <w:sz w:val="24"/>
          <w:szCs w:val="24"/>
        </w:rPr>
        <w:t>HBx</w:t>
      </w:r>
      <w:proofErr w:type="spellEnd"/>
      <w:r w:rsidRPr="00685DE9">
        <w:rPr>
          <w:rFonts w:ascii="Arial" w:hAnsi="Arial" w:cs="Arial"/>
          <w:sz w:val="24"/>
          <w:szCs w:val="24"/>
        </w:rPr>
        <w:t xml:space="preserve"> has been shown interact with the mitochondrial voltage-dependent anion channel (54), and to bind </w:t>
      </w:r>
      <w:r w:rsidR="00D779BE" w:rsidRPr="00685DE9">
        <w:rPr>
          <w:rFonts w:ascii="Arial" w:hAnsi="Arial" w:cs="Arial"/>
          <w:sz w:val="24"/>
          <w:szCs w:val="24"/>
        </w:rPr>
        <w:t>to the mitochondrial Bcl-2 fami</w:t>
      </w:r>
      <w:r w:rsidRPr="00685DE9">
        <w:rPr>
          <w:rFonts w:ascii="Arial" w:hAnsi="Arial" w:cs="Arial"/>
          <w:sz w:val="24"/>
          <w:szCs w:val="24"/>
        </w:rPr>
        <w:t xml:space="preserve">ly members (Bcl-2 and </w:t>
      </w:r>
      <w:proofErr w:type="spellStart"/>
      <w:r w:rsidRPr="00685DE9">
        <w:rPr>
          <w:rFonts w:ascii="Arial" w:hAnsi="Arial" w:cs="Arial"/>
          <w:sz w:val="24"/>
          <w:szCs w:val="24"/>
        </w:rPr>
        <w:t>Bcl-xL</w:t>
      </w:r>
      <w:proofErr w:type="spellEnd"/>
      <w:r w:rsidRPr="00685DE9">
        <w:rPr>
          <w:rFonts w:ascii="Arial" w:hAnsi="Arial" w:cs="Arial"/>
          <w:sz w:val="24"/>
          <w:szCs w:val="24"/>
        </w:rPr>
        <w:t xml:space="preserve">) to cause the mitochondrial transition pore (MTP) opening and the fall of the mitochondrial membrane potential </w:t>
      </w:r>
      <w:proofErr w:type="spellStart"/>
      <w:r w:rsidRPr="00685DE9">
        <w:rPr>
          <w:rFonts w:ascii="Arial" w:hAnsi="Arial" w:cs="Arial"/>
          <w:sz w:val="24"/>
          <w:szCs w:val="24"/>
        </w:rPr>
        <w:t>Δpsi</w:t>
      </w:r>
      <w:proofErr w:type="spellEnd"/>
      <w:r w:rsidRPr="00685DE9">
        <w:rPr>
          <w:rFonts w:ascii="Arial" w:hAnsi="Arial" w:cs="Arial"/>
          <w:sz w:val="24"/>
          <w:szCs w:val="24"/>
        </w:rPr>
        <w:t xml:space="preserve"> (</w:t>
      </w:r>
      <w:r w:rsidR="00CE5494" w:rsidRPr="00685DE9">
        <w:rPr>
          <w:rFonts w:ascii="Arial" w:hAnsi="Arial" w:cs="Arial"/>
          <w:sz w:val="24"/>
          <w:szCs w:val="24"/>
        </w:rPr>
        <w:t>48</w:t>
      </w:r>
      <w:r w:rsidRPr="00685DE9">
        <w:rPr>
          <w:rFonts w:ascii="Arial" w:hAnsi="Arial" w:cs="Arial"/>
          <w:sz w:val="24"/>
          <w:szCs w:val="24"/>
        </w:rPr>
        <w:t xml:space="preserve">). </w:t>
      </w:r>
      <w:proofErr w:type="spellStart"/>
      <w:r w:rsidRPr="00685DE9">
        <w:rPr>
          <w:rFonts w:ascii="Arial" w:hAnsi="Arial" w:cs="Arial"/>
          <w:sz w:val="24"/>
          <w:szCs w:val="24"/>
        </w:rPr>
        <w:t>HBx</w:t>
      </w:r>
      <w:proofErr w:type="spellEnd"/>
      <w:r w:rsidRPr="00685DE9">
        <w:rPr>
          <w:rFonts w:ascii="Arial" w:hAnsi="Arial" w:cs="Arial"/>
          <w:sz w:val="24"/>
          <w:szCs w:val="24"/>
        </w:rPr>
        <w:t xml:space="preserve"> containing G124L and I127A substitutions prevented </w:t>
      </w:r>
      <w:proofErr w:type="spellStart"/>
      <w:r w:rsidRPr="00685DE9">
        <w:rPr>
          <w:rFonts w:ascii="Arial" w:hAnsi="Arial" w:cs="Arial"/>
          <w:sz w:val="24"/>
          <w:szCs w:val="24"/>
        </w:rPr>
        <w:t>HBx</w:t>
      </w:r>
      <w:proofErr w:type="spellEnd"/>
      <w:r w:rsidRPr="00685DE9">
        <w:rPr>
          <w:rFonts w:ascii="Arial" w:hAnsi="Arial" w:cs="Arial"/>
          <w:sz w:val="24"/>
          <w:szCs w:val="24"/>
        </w:rPr>
        <w:t xml:space="preserve"> binding to mitochondrial Bcl-2 and </w:t>
      </w:r>
      <w:proofErr w:type="spellStart"/>
      <w:r w:rsidRPr="00685DE9">
        <w:rPr>
          <w:rFonts w:ascii="Arial" w:hAnsi="Arial" w:cs="Arial"/>
          <w:sz w:val="24"/>
          <w:szCs w:val="24"/>
        </w:rPr>
        <w:t>Bcl-xL</w:t>
      </w:r>
      <w:proofErr w:type="spellEnd"/>
      <w:r w:rsidRPr="00685DE9">
        <w:rPr>
          <w:rFonts w:ascii="Arial" w:hAnsi="Arial" w:cs="Arial"/>
          <w:sz w:val="24"/>
          <w:szCs w:val="24"/>
        </w:rPr>
        <w:t xml:space="preserve"> and thus prevented </w:t>
      </w:r>
      <w:proofErr w:type="spellStart"/>
      <w:r w:rsidRPr="00685DE9">
        <w:rPr>
          <w:rFonts w:ascii="Arial" w:hAnsi="Arial" w:cs="Arial"/>
          <w:sz w:val="24"/>
          <w:szCs w:val="24"/>
        </w:rPr>
        <w:t>HBx</w:t>
      </w:r>
      <w:proofErr w:type="spellEnd"/>
      <w:r w:rsidRPr="00685DE9">
        <w:rPr>
          <w:rFonts w:ascii="Arial" w:hAnsi="Arial" w:cs="Arial"/>
          <w:sz w:val="24"/>
          <w:szCs w:val="24"/>
        </w:rPr>
        <w:t xml:space="preserve">-induced MTP opening and </w:t>
      </w:r>
      <w:proofErr w:type="spellStart"/>
      <w:r w:rsidRPr="00685DE9">
        <w:rPr>
          <w:rFonts w:ascii="Arial" w:hAnsi="Arial" w:cs="Arial"/>
          <w:sz w:val="24"/>
          <w:szCs w:val="24"/>
        </w:rPr>
        <w:t>Δpsi</w:t>
      </w:r>
      <w:proofErr w:type="spellEnd"/>
      <w:r w:rsidRPr="00685DE9">
        <w:rPr>
          <w:rFonts w:ascii="Arial" w:hAnsi="Arial" w:cs="Arial"/>
          <w:sz w:val="24"/>
          <w:szCs w:val="24"/>
        </w:rPr>
        <w:t xml:space="preserve"> </w:t>
      </w:r>
      <w:proofErr w:type="spellStart"/>
      <w:r w:rsidRPr="00685DE9">
        <w:rPr>
          <w:rFonts w:ascii="Arial" w:hAnsi="Arial" w:cs="Arial"/>
          <w:sz w:val="24"/>
          <w:szCs w:val="24"/>
        </w:rPr>
        <w:t>collaps</w:t>
      </w:r>
      <w:proofErr w:type="spellEnd"/>
      <w:r w:rsidRPr="00685DE9">
        <w:rPr>
          <w:rFonts w:ascii="Arial" w:hAnsi="Arial" w:cs="Arial"/>
          <w:sz w:val="24"/>
          <w:szCs w:val="24"/>
        </w:rPr>
        <w:t xml:space="preserve"> (</w:t>
      </w:r>
      <w:r w:rsidR="00CE5494" w:rsidRPr="00685DE9">
        <w:rPr>
          <w:rFonts w:ascii="Arial" w:hAnsi="Arial" w:cs="Arial"/>
          <w:sz w:val="24"/>
          <w:szCs w:val="24"/>
        </w:rPr>
        <w:t>48</w:t>
      </w:r>
      <w:r w:rsidRPr="00685DE9">
        <w:rPr>
          <w:rFonts w:ascii="Arial" w:hAnsi="Arial" w:cs="Arial"/>
          <w:sz w:val="24"/>
          <w:szCs w:val="24"/>
        </w:rPr>
        <w:t>). pcDNA3.1Flag-</w:t>
      </w:r>
      <w:proofErr w:type="gramStart"/>
      <w:r w:rsidRPr="00685DE9">
        <w:rPr>
          <w:rFonts w:ascii="Arial" w:hAnsi="Arial" w:cs="Arial"/>
          <w:sz w:val="24"/>
          <w:szCs w:val="24"/>
        </w:rPr>
        <w:t>HBx(</w:t>
      </w:r>
      <w:proofErr w:type="gramEnd"/>
      <w:r w:rsidRPr="00685DE9">
        <w:rPr>
          <w:rFonts w:ascii="Arial" w:hAnsi="Arial" w:cs="Arial"/>
          <w:sz w:val="24"/>
          <w:szCs w:val="24"/>
        </w:rPr>
        <w:t xml:space="preserve">G124L, I127A) was therefore used to further explore the possibility that </w:t>
      </w:r>
      <w:proofErr w:type="spellStart"/>
      <w:r w:rsidRPr="00685DE9">
        <w:rPr>
          <w:rFonts w:ascii="Arial" w:hAnsi="Arial" w:cs="Arial"/>
          <w:sz w:val="24"/>
          <w:szCs w:val="24"/>
        </w:rPr>
        <w:t>Hbx</w:t>
      </w:r>
      <w:proofErr w:type="spellEnd"/>
      <w:r w:rsidRPr="00685DE9">
        <w:rPr>
          <w:rFonts w:ascii="Arial" w:hAnsi="Arial" w:cs="Arial"/>
          <w:sz w:val="24"/>
          <w:szCs w:val="24"/>
        </w:rPr>
        <w:t xml:space="preserve">-induced mitochondrial stress might involve its binding to Bcl-2 and </w:t>
      </w:r>
      <w:proofErr w:type="spellStart"/>
      <w:r w:rsidRPr="00685DE9">
        <w:rPr>
          <w:rFonts w:ascii="Arial" w:hAnsi="Arial" w:cs="Arial"/>
          <w:sz w:val="24"/>
          <w:szCs w:val="24"/>
        </w:rPr>
        <w:t>Bcl-xL</w:t>
      </w:r>
      <w:proofErr w:type="spellEnd"/>
      <w:r w:rsidRPr="00685DE9">
        <w:rPr>
          <w:rFonts w:ascii="Arial" w:hAnsi="Arial" w:cs="Arial"/>
          <w:sz w:val="24"/>
          <w:szCs w:val="24"/>
        </w:rPr>
        <w:t>.</w:t>
      </w:r>
    </w:p>
    <w:p w14:paraId="2A7654C1" w14:textId="71927C4B" w:rsidR="005C4902" w:rsidRPr="00685DE9" w:rsidRDefault="005C4902" w:rsidP="00E05F7A">
      <w:pPr>
        <w:spacing w:after="0" w:line="360" w:lineRule="auto"/>
        <w:jc w:val="both"/>
        <w:rPr>
          <w:rFonts w:ascii="Arial" w:eastAsia="Times New Roman" w:hAnsi="Arial" w:cs="Arial"/>
          <w:sz w:val="24"/>
          <w:szCs w:val="24"/>
        </w:rPr>
      </w:pPr>
      <w:r w:rsidRPr="00685DE9">
        <w:rPr>
          <w:rFonts w:ascii="Arial" w:eastAsia="Times New Roman" w:hAnsi="Arial" w:cs="Arial"/>
          <w:sz w:val="24"/>
          <w:szCs w:val="24"/>
        </w:rPr>
        <w:t xml:space="preserve">Twenty-four hours after transfection, both HBV and wild-type </w:t>
      </w:r>
      <w:proofErr w:type="spellStart"/>
      <w:r w:rsidRPr="00685DE9">
        <w:rPr>
          <w:rFonts w:ascii="Arial" w:eastAsia="Times New Roman" w:hAnsi="Arial" w:cs="Arial"/>
          <w:sz w:val="24"/>
          <w:szCs w:val="24"/>
        </w:rPr>
        <w:t>HBx</w:t>
      </w:r>
      <w:proofErr w:type="spellEnd"/>
      <w:r w:rsidRPr="00685DE9">
        <w:rPr>
          <w:rFonts w:ascii="Arial" w:eastAsia="Times New Roman" w:hAnsi="Arial" w:cs="Arial"/>
          <w:sz w:val="24"/>
          <w:szCs w:val="24"/>
        </w:rPr>
        <w:t xml:space="preserve"> significantly increased the formation of superoxide anion and hydrogen peroxide by purified mitochondria isolated from transf</w:t>
      </w:r>
      <w:r w:rsidR="0017394F" w:rsidRPr="00685DE9">
        <w:rPr>
          <w:rFonts w:ascii="Arial" w:eastAsia="Times New Roman" w:hAnsi="Arial" w:cs="Arial"/>
          <w:sz w:val="24"/>
          <w:szCs w:val="24"/>
        </w:rPr>
        <w:t xml:space="preserve">ected HepG2 cells (Suppl. Fig </w:t>
      </w:r>
      <w:r w:rsidR="005F294E" w:rsidRPr="00685DE9">
        <w:rPr>
          <w:rFonts w:ascii="Arial" w:eastAsia="Times New Roman" w:hAnsi="Arial" w:cs="Arial"/>
          <w:sz w:val="24"/>
          <w:szCs w:val="24"/>
        </w:rPr>
        <w:t>8</w:t>
      </w:r>
      <w:r w:rsidR="000831F4" w:rsidRPr="00685DE9">
        <w:rPr>
          <w:rFonts w:ascii="Arial" w:eastAsia="Times New Roman" w:hAnsi="Arial" w:cs="Arial"/>
          <w:sz w:val="24"/>
          <w:szCs w:val="24"/>
        </w:rPr>
        <w:t>A</w:t>
      </w:r>
      <w:r w:rsidRPr="00685DE9">
        <w:rPr>
          <w:rFonts w:ascii="Arial" w:eastAsia="Times New Roman" w:hAnsi="Arial" w:cs="Arial"/>
          <w:sz w:val="24"/>
          <w:szCs w:val="24"/>
        </w:rPr>
        <w:t xml:space="preserve">, Suppl. Table 4). HBV and wild type </w:t>
      </w:r>
      <w:proofErr w:type="spellStart"/>
      <w:r w:rsidRPr="00685DE9">
        <w:rPr>
          <w:rFonts w:ascii="Arial" w:eastAsia="Times New Roman" w:hAnsi="Arial" w:cs="Arial"/>
          <w:sz w:val="24"/>
          <w:szCs w:val="24"/>
        </w:rPr>
        <w:t>HBx</w:t>
      </w:r>
      <w:proofErr w:type="spellEnd"/>
      <w:r w:rsidRPr="00685DE9">
        <w:rPr>
          <w:rFonts w:ascii="Arial" w:eastAsia="Times New Roman" w:hAnsi="Arial" w:cs="Arial"/>
          <w:sz w:val="24"/>
          <w:szCs w:val="24"/>
        </w:rPr>
        <w:t xml:space="preserve"> also significantly increased the </w:t>
      </w:r>
      <w:proofErr w:type="spellStart"/>
      <w:r w:rsidRPr="00685DE9">
        <w:rPr>
          <w:rFonts w:ascii="Arial" w:eastAsia="Times New Roman" w:hAnsi="Arial" w:cs="Arial"/>
          <w:sz w:val="24"/>
          <w:szCs w:val="24"/>
        </w:rPr>
        <w:t>peroxynitrite</w:t>
      </w:r>
      <w:proofErr w:type="spellEnd"/>
      <w:r w:rsidRPr="00685DE9">
        <w:rPr>
          <w:rFonts w:ascii="Arial" w:eastAsia="Times New Roman" w:hAnsi="Arial" w:cs="Arial"/>
          <w:sz w:val="24"/>
          <w:szCs w:val="24"/>
        </w:rPr>
        <w:t xml:space="preserve"> formation by whole HepG2 cells homogenates (Suppl. Table 4).</w:t>
      </w:r>
    </w:p>
    <w:p w14:paraId="189E2E62" w14:textId="22D7FD18" w:rsidR="005C4902" w:rsidRPr="00685DE9" w:rsidRDefault="005C4902" w:rsidP="00E05F7A">
      <w:pPr>
        <w:autoSpaceDE w:val="0"/>
        <w:adjustRightInd w:val="0"/>
        <w:spacing w:after="0" w:line="360" w:lineRule="auto"/>
        <w:jc w:val="both"/>
        <w:rPr>
          <w:rFonts w:ascii="Arial" w:hAnsi="Arial" w:cs="Arial"/>
          <w:sz w:val="24"/>
          <w:szCs w:val="24"/>
        </w:rPr>
      </w:pPr>
      <w:r w:rsidRPr="00685DE9">
        <w:rPr>
          <w:rFonts w:ascii="Arial" w:eastAsia="Times New Roman" w:hAnsi="Arial" w:cs="Arial"/>
          <w:sz w:val="24"/>
          <w:szCs w:val="24"/>
        </w:rPr>
        <w:t xml:space="preserve">Consequently, HBV and wild type </w:t>
      </w:r>
      <w:proofErr w:type="spellStart"/>
      <w:r w:rsidRPr="00685DE9">
        <w:rPr>
          <w:rFonts w:ascii="Arial" w:eastAsia="Times New Roman" w:hAnsi="Arial" w:cs="Arial"/>
          <w:sz w:val="24"/>
          <w:szCs w:val="24"/>
        </w:rPr>
        <w:t>HBx</w:t>
      </w:r>
      <w:proofErr w:type="spellEnd"/>
      <w:r w:rsidRPr="00685DE9">
        <w:rPr>
          <w:rFonts w:ascii="Arial" w:eastAsia="Times New Roman" w:hAnsi="Arial" w:cs="Arial"/>
          <w:sz w:val="24"/>
          <w:szCs w:val="24"/>
        </w:rPr>
        <w:t xml:space="preserve"> significantly depleted </w:t>
      </w:r>
      <w:proofErr w:type="spellStart"/>
      <w:r w:rsidRPr="00685DE9">
        <w:rPr>
          <w:rFonts w:ascii="Arial" w:eastAsia="Times New Roman" w:hAnsi="Arial" w:cs="Arial"/>
          <w:sz w:val="24"/>
          <w:szCs w:val="24"/>
        </w:rPr>
        <w:t>mtDNA</w:t>
      </w:r>
      <w:proofErr w:type="spellEnd"/>
      <w:r w:rsidRPr="00685DE9">
        <w:rPr>
          <w:rFonts w:ascii="Arial" w:eastAsia="Times New Roman" w:hAnsi="Arial" w:cs="Arial"/>
          <w:sz w:val="24"/>
          <w:szCs w:val="24"/>
        </w:rPr>
        <w:t xml:space="preserve"> </w:t>
      </w:r>
      <w:r w:rsidRPr="00685DE9">
        <w:rPr>
          <w:rFonts w:ascii="Arial" w:hAnsi="Arial" w:cs="Arial"/>
          <w:sz w:val="24"/>
          <w:szCs w:val="24"/>
        </w:rPr>
        <w:t xml:space="preserve">at 24 h post-transfection. </w:t>
      </w:r>
      <w:proofErr w:type="spellStart"/>
      <w:r w:rsidRPr="00685DE9">
        <w:rPr>
          <w:rFonts w:ascii="Arial" w:hAnsi="Arial" w:cs="Arial"/>
          <w:sz w:val="24"/>
          <w:szCs w:val="24"/>
        </w:rPr>
        <w:t>mtDNA</w:t>
      </w:r>
      <w:proofErr w:type="spellEnd"/>
      <w:r w:rsidRPr="00685DE9">
        <w:rPr>
          <w:rFonts w:ascii="Arial" w:hAnsi="Arial" w:cs="Arial"/>
          <w:sz w:val="24"/>
          <w:szCs w:val="24"/>
        </w:rPr>
        <w:t>/</w:t>
      </w:r>
      <w:proofErr w:type="spellStart"/>
      <w:r w:rsidRPr="00685DE9">
        <w:rPr>
          <w:rFonts w:ascii="Arial" w:hAnsi="Arial" w:cs="Arial"/>
          <w:sz w:val="24"/>
          <w:szCs w:val="24"/>
        </w:rPr>
        <w:t>nDNA</w:t>
      </w:r>
      <w:proofErr w:type="spellEnd"/>
      <w:r w:rsidRPr="00685DE9">
        <w:rPr>
          <w:rFonts w:ascii="Arial" w:hAnsi="Arial" w:cs="Arial"/>
          <w:sz w:val="24"/>
          <w:szCs w:val="24"/>
        </w:rPr>
        <w:t xml:space="preserve"> ratios were 0.78 ± 0.17 in </w:t>
      </w:r>
      <w:proofErr w:type="spellStart"/>
      <w:r w:rsidRPr="00685DE9">
        <w:rPr>
          <w:rFonts w:ascii="Arial" w:hAnsi="Arial" w:cs="Arial"/>
          <w:sz w:val="24"/>
          <w:szCs w:val="24"/>
        </w:rPr>
        <w:t>pGEM</w:t>
      </w:r>
      <w:proofErr w:type="spellEnd"/>
      <w:r w:rsidRPr="00685DE9">
        <w:rPr>
          <w:rFonts w:ascii="Arial" w:hAnsi="Arial" w:cs="Arial"/>
          <w:sz w:val="24"/>
          <w:szCs w:val="24"/>
        </w:rPr>
        <w:t>-transfected HepG2 cells</w:t>
      </w:r>
      <w:r w:rsidRPr="00685DE9">
        <w:rPr>
          <w:rFonts w:ascii="Arial" w:hAnsi="Arial" w:cs="Arial"/>
          <w:i/>
          <w:sz w:val="24"/>
          <w:szCs w:val="24"/>
        </w:rPr>
        <w:t xml:space="preserve"> and</w:t>
      </w:r>
      <w:r w:rsidRPr="00685DE9">
        <w:rPr>
          <w:rFonts w:ascii="Arial" w:hAnsi="Arial" w:cs="Arial"/>
          <w:sz w:val="24"/>
          <w:szCs w:val="24"/>
        </w:rPr>
        <w:t xml:space="preserve"> 0.29 ± 0.12 in HepG2 replicating HBV, and were 1.17 ± 0.19 in HepG2 transfected with pcDNA3.1 and 0.49 ± 0.09 in HepG2 cells expressing wild type </w:t>
      </w:r>
      <w:proofErr w:type="spellStart"/>
      <w:r w:rsidRPr="00685DE9">
        <w:rPr>
          <w:rFonts w:ascii="Arial" w:hAnsi="Arial" w:cs="Arial"/>
          <w:sz w:val="24"/>
          <w:szCs w:val="24"/>
        </w:rPr>
        <w:t>HBx</w:t>
      </w:r>
      <w:proofErr w:type="spellEnd"/>
      <w:r w:rsidRPr="00685DE9">
        <w:rPr>
          <w:rFonts w:ascii="Arial" w:hAnsi="Arial" w:cs="Arial"/>
          <w:sz w:val="24"/>
          <w:szCs w:val="24"/>
        </w:rPr>
        <w:t xml:space="preserve"> protein (</w:t>
      </w:r>
      <w:r w:rsidRPr="00685DE9">
        <w:rPr>
          <w:rFonts w:ascii="Arial" w:eastAsia="Times New Roman" w:hAnsi="Arial" w:cs="Arial"/>
          <w:sz w:val="24"/>
          <w:szCs w:val="24"/>
        </w:rPr>
        <w:t xml:space="preserve">Suppl. </w:t>
      </w:r>
      <w:r w:rsidR="0017394F" w:rsidRPr="00685DE9">
        <w:rPr>
          <w:rFonts w:ascii="Arial" w:hAnsi="Arial" w:cs="Arial"/>
          <w:sz w:val="24"/>
          <w:szCs w:val="24"/>
        </w:rPr>
        <w:t xml:space="preserve">Fig. </w:t>
      </w:r>
      <w:r w:rsidR="005F294E" w:rsidRPr="00685DE9">
        <w:rPr>
          <w:rFonts w:ascii="Arial" w:hAnsi="Arial" w:cs="Arial"/>
          <w:sz w:val="24"/>
          <w:szCs w:val="24"/>
        </w:rPr>
        <w:t>8</w:t>
      </w:r>
      <w:proofErr w:type="gramStart"/>
      <w:r w:rsidR="000831F4" w:rsidRPr="00685DE9">
        <w:rPr>
          <w:rFonts w:ascii="Arial" w:hAnsi="Arial" w:cs="Arial"/>
          <w:sz w:val="24"/>
          <w:szCs w:val="24"/>
        </w:rPr>
        <w:t>B,</w:t>
      </w:r>
      <w:r w:rsidRPr="00685DE9">
        <w:rPr>
          <w:rFonts w:ascii="Arial" w:hAnsi="Arial" w:cs="Arial"/>
          <w:sz w:val="24"/>
          <w:szCs w:val="24"/>
        </w:rPr>
        <w:t>C</w:t>
      </w:r>
      <w:proofErr w:type="gramEnd"/>
      <w:r w:rsidRPr="00685DE9">
        <w:rPr>
          <w:rFonts w:ascii="Arial" w:hAnsi="Arial" w:cs="Arial"/>
          <w:sz w:val="24"/>
          <w:szCs w:val="24"/>
        </w:rPr>
        <w:t xml:space="preserve">). However,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were not detected in cells replicating HBV or expressing </w:t>
      </w:r>
      <w:proofErr w:type="spellStart"/>
      <w:r w:rsidRPr="00685DE9">
        <w:rPr>
          <w:rFonts w:ascii="Arial" w:hAnsi="Arial" w:cs="Arial"/>
          <w:sz w:val="24"/>
          <w:szCs w:val="24"/>
        </w:rPr>
        <w:t>HBx</w:t>
      </w:r>
      <w:proofErr w:type="spellEnd"/>
      <w:r w:rsidRPr="00685DE9">
        <w:rPr>
          <w:rFonts w:ascii="Arial" w:hAnsi="Arial" w:cs="Arial"/>
          <w:sz w:val="24"/>
          <w:szCs w:val="24"/>
        </w:rPr>
        <w:t xml:space="preserve"> protein up to 72 h post</w:t>
      </w:r>
      <w:r w:rsidR="00D779BE" w:rsidRPr="00685DE9">
        <w:rPr>
          <w:rFonts w:ascii="Arial" w:hAnsi="Arial" w:cs="Arial"/>
          <w:sz w:val="24"/>
          <w:szCs w:val="24"/>
        </w:rPr>
        <w:t>-t</w:t>
      </w:r>
      <w:r w:rsidRPr="00685DE9">
        <w:rPr>
          <w:rFonts w:ascii="Arial" w:hAnsi="Arial" w:cs="Arial"/>
          <w:sz w:val="24"/>
          <w:szCs w:val="24"/>
        </w:rPr>
        <w:t>ransfection (</w:t>
      </w:r>
      <w:r w:rsidRPr="00685DE9">
        <w:rPr>
          <w:rFonts w:ascii="Arial" w:eastAsia="Times New Roman" w:hAnsi="Arial" w:cs="Arial"/>
          <w:sz w:val="24"/>
          <w:szCs w:val="24"/>
        </w:rPr>
        <w:t xml:space="preserve">Suppl. Fig </w:t>
      </w:r>
      <w:r w:rsidR="005F294E" w:rsidRPr="00685DE9">
        <w:rPr>
          <w:rFonts w:ascii="Arial" w:eastAsia="Times New Roman" w:hAnsi="Arial" w:cs="Arial"/>
          <w:sz w:val="24"/>
          <w:szCs w:val="24"/>
        </w:rPr>
        <w:t>8</w:t>
      </w:r>
      <w:r w:rsidRPr="00685DE9">
        <w:rPr>
          <w:rFonts w:ascii="Arial" w:eastAsia="Times New Roman" w:hAnsi="Arial" w:cs="Arial"/>
          <w:sz w:val="24"/>
          <w:szCs w:val="24"/>
        </w:rPr>
        <w:t>D).</w:t>
      </w:r>
    </w:p>
    <w:p w14:paraId="076616E8" w14:textId="4A4B55FB" w:rsidR="005C4902" w:rsidRPr="00685DE9" w:rsidRDefault="005C4902" w:rsidP="005C4902">
      <w:pPr>
        <w:autoSpaceDE w:val="0"/>
        <w:adjustRightInd w:val="0"/>
        <w:spacing w:after="0" w:line="360" w:lineRule="auto"/>
        <w:jc w:val="both"/>
        <w:rPr>
          <w:rFonts w:ascii="Arial" w:eastAsiaTheme="minorHAnsi" w:hAnsi="Arial" w:cs="Arial"/>
          <w:sz w:val="24"/>
          <w:szCs w:val="24"/>
        </w:rPr>
      </w:pPr>
      <w:r w:rsidRPr="00685DE9">
        <w:rPr>
          <w:rFonts w:ascii="Arial" w:eastAsiaTheme="minorHAnsi" w:hAnsi="Arial" w:cs="Arial"/>
          <w:sz w:val="24"/>
          <w:szCs w:val="24"/>
        </w:rPr>
        <w:t xml:space="preserve">Culture medium nitrite/nitrate concentrations were 4.4 </w:t>
      </w:r>
      <w:r w:rsidRPr="00685DE9">
        <w:rPr>
          <w:rFonts w:ascii="Arial" w:hAnsi="Arial" w:cs="Arial"/>
          <w:sz w:val="24"/>
          <w:szCs w:val="24"/>
        </w:rPr>
        <w:t xml:space="preserve">± 0.6 µM and 3.8 ± 1.2 µM after transfection with the corresponding control </w:t>
      </w:r>
      <w:r w:rsidR="00520364" w:rsidRPr="00685DE9">
        <w:rPr>
          <w:rFonts w:ascii="Arial" w:hAnsi="Arial" w:cs="Arial"/>
          <w:sz w:val="24"/>
          <w:szCs w:val="24"/>
        </w:rPr>
        <w:t>plasmids and</w:t>
      </w:r>
      <w:r w:rsidRPr="00685DE9">
        <w:rPr>
          <w:rFonts w:ascii="Arial" w:hAnsi="Arial" w:cs="Arial"/>
          <w:sz w:val="24"/>
          <w:szCs w:val="24"/>
        </w:rPr>
        <w:t xml:space="preserve"> increased significantly to 8.85 ± 1.21 µM and 7.34 ± 0.89 µM in culture supernatants from HepG2 replicating HBV or expressing wild type </w:t>
      </w:r>
      <w:proofErr w:type="spellStart"/>
      <w:r w:rsidRPr="00685DE9">
        <w:rPr>
          <w:rFonts w:ascii="Arial" w:hAnsi="Arial" w:cs="Arial"/>
          <w:sz w:val="24"/>
          <w:szCs w:val="24"/>
        </w:rPr>
        <w:t>HBx</w:t>
      </w:r>
      <w:proofErr w:type="spellEnd"/>
      <w:r w:rsidRPr="00685DE9">
        <w:rPr>
          <w:rFonts w:ascii="Arial" w:hAnsi="Arial" w:cs="Arial"/>
          <w:sz w:val="24"/>
          <w:szCs w:val="24"/>
        </w:rPr>
        <w:t>, respectively (</w:t>
      </w:r>
      <w:r w:rsidRPr="00685DE9">
        <w:rPr>
          <w:rFonts w:ascii="Arial" w:hAnsi="Arial" w:cs="Arial"/>
          <w:i/>
          <w:iCs/>
          <w:sz w:val="24"/>
          <w:szCs w:val="24"/>
        </w:rPr>
        <w:t>p&lt;0.05</w:t>
      </w:r>
      <w:r w:rsidRPr="00685DE9">
        <w:rPr>
          <w:rFonts w:ascii="Arial" w:hAnsi="Arial" w:cs="Arial"/>
          <w:sz w:val="24"/>
          <w:szCs w:val="24"/>
        </w:rPr>
        <w:t xml:space="preserve">) (Suppl. Table </w:t>
      </w:r>
      <w:r w:rsidRPr="00685DE9">
        <w:rPr>
          <w:rFonts w:ascii="Arial" w:eastAsia="Times New Roman" w:hAnsi="Arial" w:cs="Arial"/>
          <w:sz w:val="24"/>
          <w:szCs w:val="24"/>
        </w:rPr>
        <w:t>4</w:t>
      </w:r>
      <w:r w:rsidRPr="00685DE9">
        <w:rPr>
          <w:rFonts w:ascii="Arial" w:hAnsi="Arial" w:cs="Arial"/>
          <w:sz w:val="24"/>
          <w:szCs w:val="24"/>
        </w:rPr>
        <w:t xml:space="preserve">). </w:t>
      </w:r>
    </w:p>
    <w:p w14:paraId="728989AF" w14:textId="77777777" w:rsidR="005C4902" w:rsidRPr="00685DE9" w:rsidRDefault="005C4902" w:rsidP="005C4902">
      <w:pPr>
        <w:spacing w:after="0" w:line="360" w:lineRule="auto"/>
        <w:jc w:val="both"/>
        <w:rPr>
          <w:rFonts w:ascii="Arial" w:eastAsia="Times New Roman" w:hAnsi="Arial" w:cs="Arial"/>
          <w:sz w:val="24"/>
          <w:szCs w:val="24"/>
        </w:rPr>
      </w:pPr>
      <w:r w:rsidRPr="00685DE9">
        <w:rPr>
          <w:rFonts w:ascii="Arial" w:eastAsia="Times New Roman" w:hAnsi="Arial" w:cs="Arial"/>
          <w:sz w:val="24"/>
          <w:szCs w:val="24"/>
        </w:rPr>
        <w:t xml:space="preserve">Both mitochondrial GSH and total GSH were significantly depleted in HepG2 </w:t>
      </w:r>
      <w:r w:rsidRPr="00685DE9">
        <w:rPr>
          <w:rFonts w:ascii="Arial" w:hAnsi="Arial" w:cs="Arial"/>
          <w:sz w:val="24"/>
          <w:szCs w:val="24"/>
        </w:rPr>
        <w:t>cells replicating</w:t>
      </w:r>
      <w:r w:rsidRPr="00685DE9">
        <w:rPr>
          <w:rFonts w:ascii="Arial" w:eastAsia="Times New Roman" w:hAnsi="Arial" w:cs="Arial"/>
          <w:sz w:val="24"/>
          <w:szCs w:val="24"/>
        </w:rPr>
        <w:t xml:space="preserve"> HBV or expressing wild type </w:t>
      </w:r>
      <w:proofErr w:type="spellStart"/>
      <w:r w:rsidRPr="00685DE9">
        <w:rPr>
          <w:rFonts w:ascii="Arial" w:eastAsia="Times New Roman" w:hAnsi="Arial" w:cs="Arial"/>
          <w:sz w:val="24"/>
          <w:szCs w:val="24"/>
        </w:rPr>
        <w:t>HBx</w:t>
      </w:r>
      <w:proofErr w:type="spellEnd"/>
      <w:r w:rsidRPr="00685DE9">
        <w:rPr>
          <w:rFonts w:ascii="Arial" w:eastAsia="Times New Roman" w:hAnsi="Arial" w:cs="Arial"/>
          <w:sz w:val="24"/>
          <w:szCs w:val="24"/>
        </w:rPr>
        <w:t xml:space="preserve">. Mitochondrial GSH was </w:t>
      </w:r>
      <w:r w:rsidRPr="00685DE9">
        <w:rPr>
          <w:rFonts w:ascii="Arial" w:hAnsi="Arial" w:cs="Arial"/>
          <w:sz w:val="24"/>
          <w:szCs w:val="24"/>
        </w:rPr>
        <w:t xml:space="preserve">8.84 ± 1.12 and </w:t>
      </w:r>
      <w:r w:rsidRPr="00685DE9">
        <w:rPr>
          <w:rFonts w:ascii="Arial" w:hAnsi="Arial" w:cs="Arial"/>
          <w:sz w:val="24"/>
          <w:szCs w:val="24"/>
        </w:rPr>
        <w:lastRenderedPageBreak/>
        <w:t>3.63 ± 0.58</w:t>
      </w:r>
      <w:r w:rsidRPr="00685DE9">
        <w:rPr>
          <w:rFonts w:ascii="Arial" w:hAnsi="Arial" w:cs="Arial"/>
          <w:sz w:val="20"/>
          <w:szCs w:val="20"/>
        </w:rPr>
        <w:t xml:space="preserve"> </w:t>
      </w:r>
      <w:r w:rsidRPr="00685DE9">
        <w:rPr>
          <w:rFonts w:ascii="Arial" w:hAnsi="Arial" w:cs="Arial"/>
          <w:sz w:val="24"/>
          <w:szCs w:val="24"/>
        </w:rPr>
        <w:t xml:space="preserve">nmol/mg protein in </w:t>
      </w:r>
      <w:proofErr w:type="spellStart"/>
      <w:r w:rsidRPr="00685DE9">
        <w:rPr>
          <w:rFonts w:ascii="Arial" w:hAnsi="Arial" w:cs="Arial"/>
          <w:sz w:val="24"/>
          <w:szCs w:val="24"/>
        </w:rPr>
        <w:t>pGEM</w:t>
      </w:r>
      <w:proofErr w:type="spellEnd"/>
      <w:r w:rsidRPr="00685DE9">
        <w:rPr>
          <w:rFonts w:ascii="Arial" w:hAnsi="Arial" w:cs="Arial"/>
          <w:sz w:val="24"/>
          <w:szCs w:val="24"/>
        </w:rPr>
        <w:t xml:space="preserve"> and payw1.2-HBV transfected HepG2, respectively (p&lt;0.05) and was 9.24 ± 1.12 and 4.21 ± 1.10 nmol/mg protein in pcDNA3.1 and </w:t>
      </w:r>
      <w:proofErr w:type="spellStart"/>
      <w:r w:rsidRPr="00685DE9">
        <w:rPr>
          <w:rFonts w:ascii="Arial" w:hAnsi="Arial" w:cs="Arial"/>
          <w:sz w:val="24"/>
          <w:szCs w:val="24"/>
        </w:rPr>
        <w:t>pcDNA-FlagHBx</w:t>
      </w:r>
      <w:proofErr w:type="spellEnd"/>
      <w:r w:rsidRPr="00685DE9">
        <w:rPr>
          <w:rFonts w:ascii="Arial" w:hAnsi="Arial" w:cs="Arial"/>
          <w:sz w:val="24"/>
          <w:szCs w:val="24"/>
        </w:rPr>
        <w:t xml:space="preserve"> transfected HepG2, respectively </w:t>
      </w:r>
      <w:r w:rsidRPr="00685DE9">
        <w:rPr>
          <w:rFonts w:ascii="Arial" w:hAnsi="Arial" w:cs="Arial"/>
          <w:i/>
          <w:iCs/>
          <w:sz w:val="24"/>
          <w:szCs w:val="24"/>
        </w:rPr>
        <w:t>(p&lt;0.05</w:t>
      </w:r>
      <w:r w:rsidRPr="00685DE9">
        <w:rPr>
          <w:rFonts w:ascii="Arial" w:hAnsi="Arial" w:cs="Arial"/>
          <w:sz w:val="24"/>
          <w:szCs w:val="24"/>
        </w:rPr>
        <w:t xml:space="preserve">) (Suppl. Table </w:t>
      </w:r>
      <w:r w:rsidRPr="00685DE9">
        <w:rPr>
          <w:rFonts w:ascii="Arial" w:eastAsia="Times New Roman" w:hAnsi="Arial" w:cs="Arial"/>
          <w:sz w:val="24"/>
          <w:szCs w:val="24"/>
        </w:rPr>
        <w:t>4</w:t>
      </w:r>
      <w:r w:rsidRPr="00685DE9">
        <w:rPr>
          <w:rFonts w:ascii="Arial" w:hAnsi="Arial" w:cs="Arial"/>
          <w:sz w:val="24"/>
          <w:szCs w:val="24"/>
        </w:rPr>
        <w:t>).</w:t>
      </w:r>
    </w:p>
    <w:p w14:paraId="217402C0" w14:textId="77777777" w:rsidR="005C4902" w:rsidRPr="00685DE9" w:rsidRDefault="005C4902" w:rsidP="005C4902">
      <w:pPr>
        <w:spacing w:after="0" w:line="360" w:lineRule="auto"/>
        <w:jc w:val="both"/>
        <w:rPr>
          <w:rFonts w:ascii="Arial" w:hAnsi="Arial" w:cs="Arial"/>
          <w:sz w:val="24"/>
          <w:szCs w:val="24"/>
        </w:rPr>
      </w:pPr>
      <w:r w:rsidRPr="00685DE9">
        <w:rPr>
          <w:rFonts w:ascii="Arial" w:hAnsi="Arial" w:cs="Arial"/>
          <w:sz w:val="24"/>
          <w:szCs w:val="24"/>
        </w:rPr>
        <w:t xml:space="preserve">Finally, plasmids expressing HBV or wild type </w:t>
      </w:r>
      <w:proofErr w:type="spellStart"/>
      <w:r w:rsidRPr="00685DE9">
        <w:rPr>
          <w:rFonts w:ascii="Arial" w:hAnsi="Arial" w:cs="Arial"/>
          <w:sz w:val="24"/>
          <w:szCs w:val="24"/>
        </w:rPr>
        <w:t>HBx</w:t>
      </w:r>
      <w:proofErr w:type="spellEnd"/>
      <w:r w:rsidRPr="00685DE9">
        <w:rPr>
          <w:rFonts w:ascii="Arial" w:hAnsi="Arial" w:cs="Arial"/>
          <w:sz w:val="24"/>
          <w:szCs w:val="24"/>
        </w:rPr>
        <w:t xml:space="preserve"> significantly decreased the complex I activity by 46% and 37%, respectively, as compared to the corresponding empty vectors (</w:t>
      </w:r>
      <w:r w:rsidRPr="00685DE9">
        <w:rPr>
          <w:rFonts w:ascii="Arial" w:eastAsia="Times New Roman" w:hAnsi="Arial" w:cs="Arial"/>
          <w:sz w:val="24"/>
          <w:szCs w:val="24"/>
        </w:rPr>
        <w:t xml:space="preserve">Suppl. Table 5). </w:t>
      </w:r>
      <w:r w:rsidRPr="00685DE9">
        <w:rPr>
          <w:rFonts w:ascii="Arial" w:hAnsi="Arial" w:cs="Arial"/>
          <w:sz w:val="24"/>
          <w:szCs w:val="24"/>
        </w:rPr>
        <w:t xml:space="preserve">  </w:t>
      </w:r>
    </w:p>
    <w:p w14:paraId="7A9A431B" w14:textId="1DAFE82E" w:rsidR="005C4902" w:rsidRPr="00685DE9" w:rsidRDefault="005C4902" w:rsidP="005C4902">
      <w:pPr>
        <w:spacing w:after="0" w:line="360" w:lineRule="auto"/>
        <w:jc w:val="both"/>
        <w:rPr>
          <w:rFonts w:ascii="Arial" w:eastAsia="Times New Roman" w:hAnsi="Arial" w:cs="Arial"/>
          <w:sz w:val="24"/>
          <w:szCs w:val="24"/>
        </w:rPr>
      </w:pPr>
      <w:r w:rsidRPr="00685DE9">
        <w:rPr>
          <w:rFonts w:ascii="Arial" w:hAnsi="Arial" w:cs="Arial"/>
          <w:sz w:val="24"/>
          <w:szCs w:val="24"/>
        </w:rPr>
        <w:t>Importantly,</w:t>
      </w:r>
      <w:r w:rsidRPr="00685DE9">
        <w:rPr>
          <w:rFonts w:ascii="Arial" w:eastAsia="Times New Roman" w:hAnsi="Arial" w:cs="Arial"/>
          <w:sz w:val="24"/>
          <w:szCs w:val="24"/>
        </w:rPr>
        <w:t xml:space="preserve"> </w:t>
      </w:r>
      <w:proofErr w:type="spellStart"/>
      <w:proofErr w:type="gramStart"/>
      <w:r w:rsidRPr="00685DE9">
        <w:rPr>
          <w:rFonts w:ascii="Arial" w:hAnsi="Arial" w:cs="Arial"/>
          <w:sz w:val="24"/>
          <w:szCs w:val="24"/>
        </w:rPr>
        <w:t>HBx</w:t>
      </w:r>
      <w:proofErr w:type="spellEnd"/>
      <w:r w:rsidRPr="00685DE9">
        <w:rPr>
          <w:rFonts w:ascii="Arial" w:hAnsi="Arial" w:cs="Arial"/>
          <w:sz w:val="24"/>
          <w:szCs w:val="24"/>
        </w:rPr>
        <w:t>(</w:t>
      </w:r>
      <w:proofErr w:type="gramEnd"/>
      <w:r w:rsidRPr="00685DE9">
        <w:rPr>
          <w:rFonts w:ascii="Arial" w:hAnsi="Arial" w:cs="Arial"/>
          <w:sz w:val="24"/>
          <w:szCs w:val="24"/>
        </w:rPr>
        <w:t xml:space="preserve">G124L, I127A) failed to increase mitochondrial ROS formation, </w:t>
      </w:r>
      <w:r w:rsidRPr="00685DE9">
        <w:rPr>
          <w:rFonts w:ascii="Arial" w:eastAsia="Times New Roman" w:hAnsi="Arial" w:cs="Arial"/>
          <w:sz w:val="24"/>
          <w:szCs w:val="24"/>
        </w:rPr>
        <w:t xml:space="preserve">failed to deplete </w:t>
      </w:r>
      <w:proofErr w:type="spellStart"/>
      <w:r w:rsidRPr="00685DE9">
        <w:rPr>
          <w:rFonts w:ascii="Arial" w:eastAsia="Times New Roman" w:hAnsi="Arial" w:cs="Arial"/>
          <w:sz w:val="24"/>
          <w:szCs w:val="24"/>
        </w:rPr>
        <w:t>mtDNA</w:t>
      </w:r>
      <w:proofErr w:type="spellEnd"/>
      <w:r w:rsidRPr="00685DE9">
        <w:rPr>
          <w:rFonts w:ascii="Arial" w:eastAsia="Times New Roman" w:hAnsi="Arial" w:cs="Arial"/>
          <w:sz w:val="24"/>
          <w:szCs w:val="24"/>
        </w:rPr>
        <w:t xml:space="preserve"> or mitochondrial GSH and preserved complex I activity compared to wild type </w:t>
      </w:r>
      <w:proofErr w:type="spellStart"/>
      <w:r w:rsidRPr="00685DE9">
        <w:rPr>
          <w:rFonts w:ascii="Arial" w:eastAsia="Times New Roman" w:hAnsi="Arial" w:cs="Arial"/>
          <w:sz w:val="24"/>
          <w:szCs w:val="24"/>
        </w:rPr>
        <w:t>HBx</w:t>
      </w:r>
      <w:proofErr w:type="spellEnd"/>
      <w:r w:rsidRPr="00685DE9">
        <w:rPr>
          <w:rFonts w:ascii="Arial" w:eastAsia="Times New Roman" w:hAnsi="Arial" w:cs="Arial"/>
          <w:sz w:val="24"/>
          <w:szCs w:val="24"/>
        </w:rPr>
        <w:t xml:space="preserve"> </w:t>
      </w:r>
      <w:r w:rsidRPr="00685DE9">
        <w:rPr>
          <w:rFonts w:ascii="Arial" w:hAnsi="Arial" w:cs="Arial"/>
          <w:sz w:val="24"/>
          <w:szCs w:val="24"/>
        </w:rPr>
        <w:t>(</w:t>
      </w:r>
      <w:r w:rsidRPr="00685DE9">
        <w:rPr>
          <w:rFonts w:ascii="Arial" w:eastAsia="Times New Roman" w:hAnsi="Arial" w:cs="Arial"/>
          <w:sz w:val="24"/>
          <w:szCs w:val="24"/>
        </w:rPr>
        <w:t xml:space="preserve">Suppl. </w:t>
      </w:r>
      <w:r w:rsidR="0017394F" w:rsidRPr="00685DE9">
        <w:rPr>
          <w:rFonts w:ascii="Arial" w:hAnsi="Arial" w:cs="Arial"/>
          <w:sz w:val="24"/>
          <w:szCs w:val="24"/>
        </w:rPr>
        <w:t xml:space="preserve">Fig. </w:t>
      </w:r>
      <w:r w:rsidR="005F294E" w:rsidRPr="00685DE9">
        <w:rPr>
          <w:rFonts w:ascii="Arial" w:hAnsi="Arial" w:cs="Arial"/>
          <w:sz w:val="24"/>
          <w:szCs w:val="24"/>
        </w:rPr>
        <w:t>7</w:t>
      </w:r>
      <w:r w:rsidRPr="00685DE9">
        <w:rPr>
          <w:rFonts w:ascii="Arial" w:hAnsi="Arial" w:cs="Arial"/>
          <w:sz w:val="24"/>
          <w:szCs w:val="24"/>
        </w:rPr>
        <w:t xml:space="preserve">A,C; </w:t>
      </w:r>
      <w:r w:rsidRPr="00685DE9">
        <w:rPr>
          <w:rFonts w:ascii="Arial" w:eastAsia="Times New Roman" w:hAnsi="Arial" w:cs="Arial"/>
          <w:sz w:val="24"/>
          <w:szCs w:val="24"/>
        </w:rPr>
        <w:t xml:space="preserve">Suppl. Tables 4,5). </w:t>
      </w:r>
    </w:p>
    <w:p w14:paraId="0B0D6E54" w14:textId="77777777" w:rsidR="005C4902" w:rsidRPr="00685DE9" w:rsidRDefault="005C4902" w:rsidP="005C4902">
      <w:pPr>
        <w:spacing w:after="0" w:line="360" w:lineRule="auto"/>
        <w:jc w:val="both"/>
        <w:rPr>
          <w:rFonts w:ascii="Arial" w:hAnsi="Arial" w:cs="Arial"/>
          <w:sz w:val="24"/>
          <w:szCs w:val="24"/>
        </w:rPr>
      </w:pPr>
    </w:p>
    <w:p w14:paraId="1D4E4863" w14:textId="77777777" w:rsidR="005C4902" w:rsidRPr="00685DE9" w:rsidRDefault="005C4902" w:rsidP="005C4902">
      <w:pPr>
        <w:autoSpaceDE w:val="0"/>
        <w:adjustRightInd w:val="0"/>
        <w:spacing w:after="0" w:line="360" w:lineRule="auto"/>
        <w:jc w:val="both"/>
        <w:rPr>
          <w:rFonts w:ascii="Arial" w:eastAsiaTheme="minorHAnsi" w:hAnsi="Arial" w:cs="Arial"/>
          <w:b/>
          <w:sz w:val="24"/>
          <w:szCs w:val="24"/>
        </w:rPr>
      </w:pPr>
      <w:r w:rsidRPr="00685DE9">
        <w:rPr>
          <w:rFonts w:ascii="Arial" w:eastAsiaTheme="minorHAnsi" w:hAnsi="Arial" w:cs="Arial"/>
          <w:b/>
          <w:sz w:val="24"/>
          <w:szCs w:val="24"/>
        </w:rPr>
        <w:t xml:space="preserve">Mito-Tempo or 1400W protected against </w:t>
      </w:r>
      <w:proofErr w:type="spellStart"/>
      <w:r w:rsidRPr="00685DE9">
        <w:rPr>
          <w:rFonts w:ascii="Arial" w:eastAsiaTheme="minorHAnsi" w:hAnsi="Arial" w:cs="Arial"/>
          <w:b/>
          <w:sz w:val="24"/>
          <w:szCs w:val="24"/>
        </w:rPr>
        <w:t>HBx</w:t>
      </w:r>
      <w:proofErr w:type="spellEnd"/>
      <w:r w:rsidRPr="00685DE9">
        <w:rPr>
          <w:rFonts w:ascii="Arial" w:eastAsiaTheme="minorHAnsi" w:hAnsi="Arial" w:cs="Arial"/>
          <w:b/>
          <w:sz w:val="24"/>
          <w:szCs w:val="24"/>
        </w:rPr>
        <w:t xml:space="preserve">- and HBV-induced </w:t>
      </w:r>
      <w:proofErr w:type="spellStart"/>
      <w:r w:rsidRPr="00685DE9">
        <w:rPr>
          <w:rFonts w:ascii="Arial" w:eastAsiaTheme="minorHAnsi" w:hAnsi="Arial" w:cs="Arial"/>
          <w:b/>
          <w:sz w:val="24"/>
          <w:szCs w:val="24"/>
        </w:rPr>
        <w:t>mtDNA</w:t>
      </w:r>
      <w:proofErr w:type="spellEnd"/>
      <w:r w:rsidRPr="00685DE9">
        <w:rPr>
          <w:rFonts w:ascii="Arial" w:eastAsiaTheme="minorHAnsi" w:hAnsi="Arial" w:cs="Arial"/>
          <w:b/>
          <w:sz w:val="24"/>
          <w:szCs w:val="24"/>
        </w:rPr>
        <w:t xml:space="preserve"> depletion and against respiratory complex I impairment</w:t>
      </w:r>
    </w:p>
    <w:p w14:paraId="5F3BB676" w14:textId="4AF8D50D" w:rsidR="005C4902" w:rsidRPr="00685DE9" w:rsidRDefault="005C4902" w:rsidP="005C4902">
      <w:pPr>
        <w:autoSpaceDE w:val="0"/>
        <w:adjustRightInd w:val="0"/>
        <w:spacing w:after="0" w:line="360" w:lineRule="auto"/>
        <w:jc w:val="both"/>
        <w:rPr>
          <w:rFonts w:ascii="Arial" w:eastAsiaTheme="minorHAnsi" w:hAnsi="Arial" w:cs="Arial"/>
          <w:sz w:val="24"/>
          <w:szCs w:val="24"/>
        </w:rPr>
      </w:pPr>
      <w:r w:rsidRPr="00685DE9">
        <w:rPr>
          <w:rFonts w:ascii="Arial" w:eastAsiaTheme="minorHAnsi" w:hAnsi="Arial" w:cs="Arial"/>
          <w:sz w:val="24"/>
          <w:szCs w:val="24"/>
        </w:rPr>
        <w:t xml:space="preserve">To gain further insight into the type and origin of the reactive species involved in </w:t>
      </w:r>
      <w:proofErr w:type="spellStart"/>
      <w:r w:rsidRPr="00685DE9">
        <w:rPr>
          <w:rFonts w:ascii="Arial" w:eastAsiaTheme="minorHAnsi" w:hAnsi="Arial" w:cs="Arial"/>
          <w:sz w:val="24"/>
          <w:szCs w:val="24"/>
        </w:rPr>
        <w:t>mtDNA</w:t>
      </w:r>
      <w:proofErr w:type="spellEnd"/>
      <w:r w:rsidRPr="00685DE9">
        <w:rPr>
          <w:rFonts w:ascii="Arial" w:eastAsiaTheme="minorHAnsi" w:hAnsi="Arial" w:cs="Arial"/>
          <w:sz w:val="24"/>
          <w:szCs w:val="24"/>
        </w:rPr>
        <w:t xml:space="preserve"> depletion, we treated transfected cells with Mito-TEMPO</w:t>
      </w:r>
      <w:r w:rsidR="00D779BE" w:rsidRPr="00685DE9">
        <w:rPr>
          <w:rFonts w:ascii="Arial" w:eastAsiaTheme="minorHAnsi" w:hAnsi="Arial" w:cs="Arial"/>
          <w:sz w:val="24"/>
          <w:szCs w:val="24"/>
        </w:rPr>
        <w:t xml:space="preserve"> (superoxide sca</w:t>
      </w:r>
      <w:r w:rsidRPr="00685DE9">
        <w:rPr>
          <w:rFonts w:ascii="Arial" w:eastAsiaTheme="minorHAnsi" w:hAnsi="Arial" w:cs="Arial"/>
          <w:sz w:val="24"/>
          <w:szCs w:val="24"/>
        </w:rPr>
        <w:t xml:space="preserve">venger) or with 1400W (selective </w:t>
      </w:r>
      <w:proofErr w:type="spellStart"/>
      <w:r w:rsidRPr="00685DE9">
        <w:rPr>
          <w:rFonts w:ascii="Arial" w:eastAsiaTheme="minorHAnsi" w:hAnsi="Arial" w:cs="Arial"/>
          <w:sz w:val="24"/>
          <w:szCs w:val="24"/>
        </w:rPr>
        <w:t>iNOS</w:t>
      </w:r>
      <w:proofErr w:type="spellEnd"/>
      <w:r w:rsidRPr="00685DE9">
        <w:rPr>
          <w:rFonts w:ascii="Arial" w:eastAsiaTheme="minorHAnsi" w:hAnsi="Arial" w:cs="Arial"/>
          <w:sz w:val="24"/>
          <w:szCs w:val="24"/>
        </w:rPr>
        <w:t xml:space="preserve"> inhibitor).</w:t>
      </w:r>
    </w:p>
    <w:p w14:paraId="10D3A510" w14:textId="455648C8" w:rsidR="009E62C0" w:rsidRPr="00685DE9" w:rsidRDefault="005C4902" w:rsidP="005C4902">
      <w:pPr>
        <w:autoSpaceDE w:val="0"/>
        <w:adjustRightInd w:val="0"/>
        <w:spacing w:after="0" w:line="360" w:lineRule="auto"/>
        <w:jc w:val="both"/>
        <w:rPr>
          <w:rFonts w:ascii="Arial" w:hAnsi="Arial" w:cs="Arial"/>
          <w:sz w:val="24"/>
          <w:szCs w:val="24"/>
        </w:rPr>
      </w:pPr>
      <w:r w:rsidRPr="00685DE9">
        <w:rPr>
          <w:rFonts w:ascii="Arial" w:eastAsiaTheme="minorHAnsi" w:hAnsi="Arial" w:cs="Arial"/>
          <w:sz w:val="24"/>
          <w:szCs w:val="24"/>
        </w:rPr>
        <w:t xml:space="preserve">Twenty-four hours after transfection, Mito-Tempo fully prevented </w:t>
      </w:r>
      <w:proofErr w:type="spellStart"/>
      <w:r w:rsidRPr="00685DE9">
        <w:rPr>
          <w:rFonts w:ascii="Arial" w:eastAsiaTheme="minorHAnsi" w:hAnsi="Arial" w:cs="Arial"/>
          <w:sz w:val="24"/>
          <w:szCs w:val="24"/>
        </w:rPr>
        <w:t>HBx</w:t>
      </w:r>
      <w:proofErr w:type="spellEnd"/>
      <w:r w:rsidRPr="00685DE9">
        <w:rPr>
          <w:rFonts w:ascii="Arial" w:eastAsiaTheme="minorHAnsi" w:hAnsi="Arial" w:cs="Arial"/>
          <w:sz w:val="24"/>
          <w:szCs w:val="24"/>
        </w:rPr>
        <w:t xml:space="preserve">- and HBV-mediated </w:t>
      </w:r>
      <w:proofErr w:type="spellStart"/>
      <w:r w:rsidRPr="00685DE9">
        <w:rPr>
          <w:rFonts w:ascii="Arial" w:eastAsiaTheme="minorHAnsi" w:hAnsi="Arial" w:cs="Arial"/>
          <w:sz w:val="24"/>
          <w:szCs w:val="24"/>
        </w:rPr>
        <w:t>mtDNA</w:t>
      </w:r>
      <w:proofErr w:type="spellEnd"/>
      <w:r w:rsidRPr="00685DE9">
        <w:rPr>
          <w:rFonts w:ascii="Arial" w:eastAsiaTheme="minorHAnsi" w:hAnsi="Arial" w:cs="Arial"/>
          <w:sz w:val="24"/>
          <w:szCs w:val="24"/>
        </w:rPr>
        <w:t xml:space="preserve"> depletion, while 1400W partially protected against </w:t>
      </w:r>
      <w:proofErr w:type="spellStart"/>
      <w:r w:rsidRPr="00685DE9">
        <w:rPr>
          <w:rFonts w:ascii="Arial" w:eastAsiaTheme="minorHAnsi" w:hAnsi="Arial" w:cs="Arial"/>
          <w:sz w:val="24"/>
          <w:szCs w:val="24"/>
        </w:rPr>
        <w:t>HBx</w:t>
      </w:r>
      <w:proofErr w:type="spellEnd"/>
      <w:r w:rsidRPr="00685DE9">
        <w:rPr>
          <w:rFonts w:ascii="Arial" w:eastAsiaTheme="minorHAnsi" w:hAnsi="Arial" w:cs="Arial"/>
          <w:sz w:val="24"/>
          <w:szCs w:val="24"/>
        </w:rPr>
        <w:t xml:space="preserve">- and HBV-mediated complex I inactivation in HepG2 cells </w:t>
      </w:r>
      <w:r w:rsidRPr="00685DE9">
        <w:rPr>
          <w:rFonts w:ascii="Arial" w:hAnsi="Arial" w:cs="Arial"/>
          <w:sz w:val="24"/>
          <w:szCs w:val="24"/>
        </w:rPr>
        <w:t xml:space="preserve">(Suppl. Table </w:t>
      </w:r>
      <w:r w:rsidRPr="00685DE9">
        <w:rPr>
          <w:rFonts w:ascii="Arial" w:eastAsia="Times New Roman" w:hAnsi="Arial" w:cs="Arial"/>
          <w:sz w:val="24"/>
          <w:szCs w:val="24"/>
        </w:rPr>
        <w:t>5</w:t>
      </w:r>
      <w:r w:rsidRPr="00685DE9">
        <w:rPr>
          <w:rFonts w:ascii="Arial" w:hAnsi="Arial" w:cs="Arial"/>
          <w:sz w:val="24"/>
          <w:szCs w:val="24"/>
        </w:rPr>
        <w:t>).</w:t>
      </w:r>
    </w:p>
    <w:bookmarkEnd w:id="6"/>
    <w:p w14:paraId="1A330C42" w14:textId="77777777" w:rsidR="009E62C0" w:rsidRPr="00685DE9" w:rsidRDefault="009E62C0">
      <w:pPr>
        <w:autoSpaceDN/>
        <w:spacing w:after="160" w:line="259" w:lineRule="auto"/>
        <w:rPr>
          <w:rFonts w:ascii="Arial" w:hAnsi="Arial" w:cs="Arial"/>
          <w:sz w:val="24"/>
          <w:szCs w:val="24"/>
        </w:rPr>
      </w:pPr>
      <w:r w:rsidRPr="00685DE9">
        <w:rPr>
          <w:rFonts w:ascii="Arial" w:hAnsi="Arial" w:cs="Arial"/>
          <w:sz w:val="24"/>
          <w:szCs w:val="24"/>
        </w:rPr>
        <w:br w:type="page"/>
      </w:r>
    </w:p>
    <w:bookmarkEnd w:id="4"/>
    <w:p w14:paraId="088DDCA5" w14:textId="45422B6C" w:rsidR="005C4902" w:rsidRPr="00685DE9" w:rsidRDefault="009E62C0" w:rsidP="00E05F7A">
      <w:pPr>
        <w:spacing w:after="0" w:line="360" w:lineRule="auto"/>
        <w:jc w:val="both"/>
        <w:rPr>
          <w:rFonts w:ascii="Arial" w:hAnsi="Arial" w:cs="Arial"/>
          <w:b/>
          <w:bCs/>
          <w:iCs/>
          <w:sz w:val="24"/>
          <w:szCs w:val="24"/>
        </w:rPr>
      </w:pPr>
      <w:r w:rsidRPr="00685DE9">
        <w:rPr>
          <w:rFonts w:ascii="Arial" w:hAnsi="Arial" w:cs="Arial"/>
          <w:b/>
          <w:bCs/>
          <w:iCs/>
          <w:sz w:val="24"/>
          <w:szCs w:val="24"/>
        </w:rPr>
        <w:lastRenderedPageBreak/>
        <w:t>SUPPLEMENTAL DISCUSSION</w:t>
      </w:r>
    </w:p>
    <w:p w14:paraId="1F5FB0E8" w14:textId="76368173" w:rsidR="009E62C0" w:rsidRPr="00685DE9" w:rsidRDefault="009E62C0" w:rsidP="009E62C0">
      <w:pPr>
        <w:autoSpaceDE w:val="0"/>
        <w:adjustRightInd w:val="0"/>
        <w:spacing w:after="0" w:line="360" w:lineRule="auto"/>
        <w:jc w:val="both"/>
        <w:rPr>
          <w:rFonts w:ascii="Arial" w:eastAsiaTheme="minorHAnsi" w:hAnsi="Arial" w:cs="Arial"/>
          <w:sz w:val="24"/>
          <w:szCs w:val="24"/>
        </w:rPr>
      </w:pPr>
      <w:r w:rsidRPr="00685DE9">
        <w:rPr>
          <w:rFonts w:ascii="Arial" w:hAnsi="Arial" w:cs="Arial"/>
          <w:sz w:val="24"/>
          <w:szCs w:val="24"/>
          <w:lang w:val="en"/>
        </w:rPr>
        <w:t>Impaired mitochondrial function leads to liver steatosis,</w:t>
      </w:r>
      <w:r w:rsidRPr="00685DE9">
        <w:rPr>
          <w:rFonts w:ascii="Arial" w:hAnsi="Arial" w:cs="Arial"/>
          <w:sz w:val="24"/>
          <w:szCs w:val="24"/>
        </w:rPr>
        <w:t xml:space="preserve"> a lesion ascribed as consequence of altered lipids metabolism and mitochondrial β-oxidation of fatty acids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{"citationID":"BOjO5YjM","properties":{"formattedCitation":"(10)","plainCitation":"(10)","noteIndex":0},"citationItems":[{"id":352,"uris":["http://zotero.org/users/3506678/items/32P65DDC"],"itemData":{"id":352,"type":"article-journal","abstract":"Mitochondria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FC021A"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NASH is a condition characterized by the presence of fat droplets associated with liver fibrosis, necroinflammation, lipid peroxidation and underlying </w:t>
      </w:r>
      <w:proofErr w:type="spellStart"/>
      <w:r w:rsidRPr="00685DE9">
        <w:rPr>
          <w:rFonts w:ascii="Arial" w:hAnsi="Arial" w:cs="Arial"/>
          <w:sz w:val="24"/>
          <w:szCs w:val="24"/>
        </w:rPr>
        <w:t>lipotoxicity</w:t>
      </w:r>
      <w:proofErr w:type="spellEnd"/>
      <w:r w:rsidRPr="00685DE9">
        <w:rPr>
          <w:rFonts w:ascii="Arial" w:hAnsi="Arial" w:cs="Arial"/>
          <w:sz w:val="24"/>
          <w:szCs w:val="24"/>
        </w:rPr>
        <w:t xml:space="preserve">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Q8FXQM6D","properties":{"formattedCitation":"(10\\uc0\\u8211{}13)","plainCitation":"(10–13)","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id":1553,"uris":["http://zotero.org/users/3506678/items/SP8ZLKEL"],"itemData":{"id":1553,"type":"article-journal","abstract":"The association of hepatic mitochondrial function with insulin resistance and non-alcoholic fatty liver (NAFL) or steatohepatitis (NASH) remains unclear. This study applied high-resolution respirometry to directly quantify mitochondrial respiration in liver biopsies of obese insulin-resistant humans without (n = 18) or with (n = 16) histologically proven NAFL or with NASH (n = 7) compared to lean individuals (n = 12). Despite similar mitochondrial content, obese humans with or without NAFL had 4.3- to 5.0-fold higher maximal respiration rates in isolated mitochondria than lean persons. NASH patients featured higher mitochondrial mass, but 31%-40% lower maximal respiration, which associated with greater hepatic insulin resistance, mitochondrial uncoupling, and leaking activity. In NASH, augmented hepatic oxidative stress (H2O2, lipid peroxides) and oxidative DNA damage (8-OH-deoxyguanosine) was paralleled by reduced anti-oxidant defense capacity and increased inflammatory response. These data suggest adaptation of the liver (\"hepatic mitochondrial flexibility\") at early stages of obesity-related insulin resistance, which is subsequently lost in NASH.","container-title":"Cell Metabolism","DOI":"10.1016/j.cmet.2015.04.004","ISSN":"1932-7420","issue":"5","journalAbbreviation":"Cell Metab","language":"eng","note":"PMID: 25955209","page":"739-746","source":"PubMed","title":"Adaptation of hepatic mitochondrial function in humans with non-alcoholic fatty liver is lost in steatohepatitis","volume":"21","author":[{"family":"Koliaki","given":"Chrysi"},{"family":"Szendroedi","given":"Julia"},{"family":"Kaul","given":"Kirti"},{"family":"Jelenik","given":"Tomas"},{"family":"Nowotny","given":"Peter"},{"family":"Jankowiak","given":"Frank"},{"family":"Herder","given":"Christian"},{"family":"Carstensen","given":"Maren"},{"family":"Krausch","given":"Markus"},{"family":"Knoefel","given":"Wolfram Trudo"},{"family":"Schlensak","given":"Matthias"},{"family":"Roden","given":"Michael"}],"issued":{"date-parts":[["2015",5,5]]}}},{"id":1556,"uris":["http://zotero.org/users/3506678/items/86XLCDUU"],"itemData":{"id":1556,"type":"article-journal","abstract":"Lipid accumulation often leads to lipotoxic injuries to hepatocytes, which can cause nonalcoholic steatohepatitis. The association of inflammation with lipid accumulation in liver tissue has been studied for decades; however, key mechanisms have been identified only recently. In particular, it is still unknown how hepatic inflammation regulates lipid metabolism in hepatocytes. Herein, we found that PA treatment or direct stimulation of STING1 promoted, whereas STING1 deficiency impaired, MTORC1 activation, suggesting that STING1 is involved in PA-induced MTORC1 activation. Mechanistic studies revealed that STING1 interacted with several components of the MTORC1 complex and played an important role in the complex formation of MTORC1 under PA treatment. The involvement of STING1 in MTORC1 activation was dependent on SQSTM1, a key regulator of the MTORC1 pathway. In SQSTM1-deficient cells, the interaction of STING1 with the components of MTORC1 was weak. Furthermore, the impaired activity of MTORC1 via rapamycin treatment or STING1 deficiency decreased the numbers of LDs in cells. PA treatment inhibited lipophagy, which was not observed in STING1-deficient cells or rapamycin-treated cells. Restoration of MTORC1 activity via treatment with amino acids blocked lipophagy and LDs degradation. Finally, increased MTORC1 activation concomitant with STING1 activation was observed in liver tissues of nonalcoholic fatty liver disease patients, which provided clinical evidence for the involvement of STING1 in MTORC1 activation. In summary, we identified a novel regulatory loop of STING1-MTORC1 and explain how hepatic inflammation regulates lipid accumulation. Our findings may facilitate the development of new strategies for clinical treatment of hepatic steatosis.Abbreviations: AA: amino acid; ACTB: actin beta; cGAMP: cyclic GMP-AMP; CGAS: cyclic GMP-AMP synthase; DEPTOR: DEP domain containing MTOR interacting protein; EIF4EBP1: eukaryotic translation initiation factor 4E binding protein 1; FFAs: free fatty acids; GFP: green fluorescent protein; HFD: high-fat diet; HT-DNA: herring testis DNA; IL1B: interleukin 1 beta; LAMP1: lysosomal associated membrane protein 1; LDs: lipid droplets; MAP1LC3: microtubule associated protein 1 light chain 3; MAP1LC3B: microtubule associated protein 1 light chain 3 beta; MEFs: mouse embryonic fibroblasts; MLST8: MTOR associated protein, LST8 homolog; MT-ND1: mitochondrially encoded NADH: ubiquinone oxidoreductase core subunit 1; mtDNA: mitochondrial DNA; MTOR: mechanistic target of rapamycin kinase; MTORC1: MTOR complex 1; NAFL: nonalcoholic fatty liver; NAFLD: nonalcoholic fatty liver disease; NASH: nonalcoholic steatohepatitis; NPCs: non-parenchymal cells; PA: palmitic acid; PLIN2: perilipin 2; RD: regular diet; RELA: RELA proto-oncogene, NF-kB subunit; RPS6: ribosomal protein S6; RPS6KB1: ribosomal protein S6 kinase B1; RPTOR: regulatory associated protein of MTOR complex 1; RRAGA: Ras related GTP binding A; RRAGC: Ras related GTP binding C; SQSTM1: sequestosome 1; STING1: stimulator of interferon response cGAMP interactor 1; TBK1: TANK binding kinase 1; TGs: triglycerides; TREX1: three prime repair exonuclease 1.","container-title":"Autophagy","DOI":"10.1080/15548627.2021.1961072","ISSN":"1554-8635","journalAbbreviation":"Autophagy","language":"eng","note":"PMID: 34382907","page":"1-17","source":"PubMed","title":"Lipotoxicity-induced STING1 activation stimulates MTORC1 and restricts hepatic lipophagy","author":[{"family":"Liu","given":"Kunpeng"},{"family":"Qiu","given":"Dongbo"},{"family":"Liang","given":"Xue"},{"family":"Huang","given":"Yingqi"},{"family":"Wang","given":"Yao"},{"family":"Jia","given":"Xin"},{"family":"Li","given":"Kun"},{"family":"Zhao","given":"Jingyuan"},{"family":"Du","given":"Cong"},{"family":"Qiu","given":"Xiusheng"},{"family":"Cui","given":"Jun"},{"family":"Xiao","given":"Zhendong"},{"family":"Qin","given":"Yunfei"},{"family":"Zhang","given":"Qi"}],"issued":{"date-parts":[["2021",8,12]]}}},{"id":1558,"uris":["http://zotero.org/users/3506678/items/NUVCGK5P"],"itemData":{"id":1558,"type":"article-journal","abstract":"Nonalcoholic fatty liver disease (NAFLD) is the most common chronic liver disease worldwide, and scientific studies consistently report that NAFLD development can be accelerated by oxidative stress. Oxidative stress can induce the progression of NAFLD to NASH by stimulating Kupffer cells, hepatic stellate cells, and hepatocytes. Therefore, studies are underway to identify the role of antioxidants in the treatment of NAFLD. In this review, we have summarized the origins of reactive oxygen species (ROS) in cells, the relationship between ROS and NAFLD, and have discussed the use of antioxidants as therapeutic agents for NAFLD.","container-title":"Antioxidants (Basel, Switzerland)","DOI":"10.3390/antiox11010091","ISSN":"2076-3921","issue":"1","journalAbbreviation":"Antioxidants (Basel)","language":"eng","note":"PMID: 35052595\nPMCID: PMC8772974","page":"91","source":"PubMed","title":"Oxidative Stress Is a Key Modulator in the Development of Nonalcoholic Fatty Liver Disease","volume":"11","author":[{"family":"Ma","given":"Yuanqiang"},{"family":"Lee","given":"Gyurim"},{"family":"Heo","given":"Su-Young"},{"family":"Roh","given":"Yoon-Seok"}],"issued":{"date-parts":[["2021",12,30]]}}}],"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sz w:val="24"/>
        </w:rPr>
        <w:t>(</w:t>
      </w:r>
      <w:r w:rsidR="003C5F6D" w:rsidRPr="00685DE9">
        <w:rPr>
          <w:rFonts w:ascii="Arial" w:hAnsi="Arial" w:cs="Arial"/>
          <w:sz w:val="24"/>
        </w:rPr>
        <w:t>Suppl. Ref 5</w:t>
      </w:r>
      <w:r w:rsidR="00FC0FC1" w:rsidRPr="00685DE9">
        <w:rPr>
          <w:rFonts w:ascii="Arial" w:hAnsi="Arial" w:cs="Arial"/>
          <w:sz w:val="24"/>
        </w:rPr>
        <w:t>-7</w:t>
      </w:r>
      <w:r w:rsidR="00304542" w:rsidRPr="00685DE9">
        <w:rPr>
          <w:rFonts w:ascii="Arial" w:hAnsi="Arial" w:cs="Arial"/>
          <w:sz w:val="24"/>
        </w:rPr>
        <w:t>)</w:t>
      </w:r>
      <w:r w:rsidRPr="00685DE9">
        <w:rPr>
          <w:rFonts w:ascii="Arial" w:hAnsi="Arial" w:cs="Arial"/>
          <w:sz w:val="24"/>
          <w:szCs w:val="24"/>
        </w:rPr>
        <w:fldChar w:fldCharType="end"/>
      </w:r>
      <w:r w:rsidRPr="00685DE9">
        <w:rPr>
          <w:rFonts w:ascii="Arial" w:hAnsi="Arial" w:cs="Arial"/>
          <w:sz w:val="24"/>
          <w:szCs w:val="24"/>
        </w:rPr>
        <w:t>.</w:t>
      </w:r>
      <w:r w:rsidR="003C5F6D" w:rsidRPr="00685DE9">
        <w:rPr>
          <w:rFonts w:ascii="Arial" w:hAnsi="Arial" w:cs="Arial"/>
          <w:sz w:val="24"/>
          <w:szCs w:val="24"/>
        </w:rPr>
        <w:t xml:space="preserve"> </w:t>
      </w:r>
      <w:r w:rsidRPr="00685DE9">
        <w:rPr>
          <w:rStyle w:val="docsum-authors2"/>
          <w:rFonts w:ascii="Arial" w:hAnsi="Arial" w:cs="Arial"/>
          <w:sz w:val="24"/>
          <w:szCs w:val="24"/>
          <w:lang w:val="en"/>
        </w:rPr>
        <w:t>L</w:t>
      </w:r>
      <w:r w:rsidRPr="00685DE9">
        <w:rPr>
          <w:rFonts w:ascii="Arial" w:hAnsi="Arial" w:cs="Arial"/>
          <w:sz w:val="24"/>
          <w:szCs w:val="24"/>
          <w:lang w:val="en"/>
        </w:rPr>
        <w:t xml:space="preserve">ipid metabolic changes play a critical role in NASH </w:t>
      </w:r>
      <w:r w:rsidR="00FC6804" w:rsidRPr="00685DE9">
        <w:rPr>
          <w:rFonts w:ascii="Arial" w:hAnsi="Arial" w:cs="Arial"/>
          <w:sz w:val="24"/>
          <w:szCs w:val="24"/>
          <w:lang w:val="en"/>
        </w:rPr>
        <w:t>development</w:t>
      </w:r>
      <w:r w:rsidRPr="00685DE9">
        <w:rPr>
          <w:rFonts w:ascii="Arial" w:hAnsi="Arial" w:cs="Arial"/>
          <w:sz w:val="24"/>
          <w:szCs w:val="24"/>
          <w:lang w:val="en"/>
        </w:rPr>
        <w:t xml:space="preserve"> (7). </w:t>
      </w:r>
      <w:r w:rsidRPr="00685DE9">
        <w:rPr>
          <w:rFonts w:ascii="Arial" w:hAnsi="Arial" w:cs="Arial"/>
          <w:sz w:val="24"/>
          <w:szCs w:val="24"/>
        </w:rPr>
        <w:t xml:space="preserve">The common 4977 bp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 appeared progressively with normal age and has been reported in patients with hepatic steatosis (7,</w:t>
      </w:r>
      <w:r w:rsidR="00E37736" w:rsidRPr="00685DE9">
        <w:rPr>
          <w:rFonts w:ascii="Arial" w:hAnsi="Arial" w:cs="Arial"/>
          <w:sz w:val="24"/>
          <w:szCs w:val="24"/>
        </w:rPr>
        <w:t xml:space="preserve"> </w:t>
      </w:r>
      <w:r w:rsidR="00082BB8" w:rsidRPr="00685DE9">
        <w:rPr>
          <w:rFonts w:ascii="Arial" w:hAnsi="Arial" w:cs="Arial"/>
          <w:sz w:val="24"/>
          <w:szCs w:val="24"/>
        </w:rPr>
        <w:t>11,</w:t>
      </w:r>
      <w:r w:rsidR="000A4C0E" w:rsidRPr="00685DE9">
        <w:rPr>
          <w:rFonts w:ascii="Arial" w:hAnsi="Arial" w:cs="Arial"/>
          <w:sz w:val="24"/>
          <w:szCs w:val="24"/>
        </w:rPr>
        <w:t xml:space="preserve"> Suppl Ref </w:t>
      </w:r>
      <w:r w:rsidR="00534E3C" w:rsidRPr="00685DE9">
        <w:rPr>
          <w:rFonts w:ascii="Arial" w:hAnsi="Arial" w:cs="Arial"/>
          <w:sz w:val="24"/>
          <w:szCs w:val="24"/>
        </w:rPr>
        <w:t>8</w:t>
      </w:r>
      <w:r w:rsidR="00863F5F" w:rsidRPr="00685DE9">
        <w:rPr>
          <w:rFonts w:ascii="Arial" w:hAnsi="Arial" w:cs="Arial"/>
          <w:sz w:val="24"/>
          <w:szCs w:val="24"/>
        </w:rPr>
        <w:t>-</w:t>
      </w:r>
      <w:r w:rsidR="00E2404F" w:rsidRPr="00685DE9">
        <w:rPr>
          <w:rFonts w:ascii="Arial" w:hAnsi="Arial" w:cs="Arial"/>
          <w:sz w:val="24"/>
          <w:szCs w:val="24"/>
        </w:rPr>
        <w:t>10</w:t>
      </w:r>
      <w:r w:rsidRPr="00685DE9">
        <w:rPr>
          <w:rFonts w:ascii="Arial" w:hAnsi="Arial" w:cs="Arial"/>
          <w:sz w:val="24"/>
          <w:szCs w:val="24"/>
        </w:rPr>
        <w:t xml:space="preserve">). Despite their old age, patients with NASH and cirrhosis had only one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 as compared to patients with CHB and F3-F4 (Table 1, Suppl. Table 4). This age-related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 may favor steatosis in patients with NASH. </w:t>
      </w:r>
      <w:r w:rsidRPr="00685DE9">
        <w:rPr>
          <w:rStyle w:val="docsum-authors2"/>
          <w:rFonts w:ascii="Arial" w:hAnsi="Arial" w:cs="Arial"/>
          <w:sz w:val="24"/>
          <w:szCs w:val="24"/>
          <w:lang w:val="en"/>
        </w:rPr>
        <w:t xml:space="preserve">Conversely, lipid hydroperoxides may cause </w:t>
      </w:r>
      <w:proofErr w:type="spellStart"/>
      <w:r w:rsidRPr="00685DE9">
        <w:rPr>
          <w:rStyle w:val="docsum-authors2"/>
          <w:rFonts w:ascii="Arial" w:hAnsi="Arial" w:cs="Arial"/>
          <w:sz w:val="24"/>
          <w:szCs w:val="24"/>
          <w:lang w:val="en"/>
        </w:rPr>
        <w:t>mtDNA</w:t>
      </w:r>
      <w:proofErr w:type="spellEnd"/>
      <w:r w:rsidRPr="00685DE9">
        <w:rPr>
          <w:rStyle w:val="docsum-authors2"/>
          <w:rFonts w:ascii="Arial" w:hAnsi="Arial" w:cs="Arial"/>
          <w:sz w:val="24"/>
          <w:szCs w:val="24"/>
          <w:lang w:val="en"/>
        </w:rPr>
        <w:t xml:space="preserve"> damage in patients with NASH </w:t>
      </w:r>
      <w:r w:rsidRPr="00685DE9">
        <w:rPr>
          <w:rFonts w:ascii="Arial" w:hAnsi="Arial" w:cs="Arial"/>
          <w:sz w:val="24"/>
          <w:szCs w:val="24"/>
        </w:rPr>
        <w:t xml:space="preserve">which in turn might aggravate hepatic steatosis and the development and progression of fibrosis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{"citationID":"mBA6PXHz","properties":{"formattedCitation":"(10,14)","plainCitation":"(10,14)","noteIndex":0},"citationItems":[{"id":352,"uris":["http://zotero.org/users/3506678/items/32P65DDC"],"itemData":{"id":352,"type":"article-journal","abstract":"Mitochondria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id":1561,"uris":["http://zotero.org/users/3506678/items/KCIDP965"],"itemData":{"id":1561,"type":"article-journal","abstract":"Palmitic acid (PA), the main component of dietary saturated fat, has been known to increase in patients with obesity, and PA-induced lipotoxicity may contribute to obesity-related male infertility. Melatonin has beneficial effects on reproductive processes; however, the effect and the underlying molecular mechanism of melatonin's involvement in PA-induced cytotoxicity in the testes are poorly understood. Our findings showed that lipotoxicity was observed in mouse testes after long-term PA treatment and that melatonin therapy restored spermatogenesis and fertility in these males. Moreover, melatonin therapy suppressed PA-induced apoptosis by modulating apoptosis-associated proteins such as Bcl2, Bax, C-Caspase3, C-Caspase12, and CHOP in type B spermatogonial stem cells. Changes in the expression of endoplasmic reticulum (ER) stress markers (p-IRE1, p-PERK, ATF4) and intracellular Ca2+ levels showed that melatonin relieved PA-induced ER stress. Mechanistically, melatonin stimulated the expression and nuclear translocation of SIRT1 through its receptors and prevented PA-induced ROS production and mitochondrial dysfunction via SIRT1 signaling pathway. Furthermore, melatonin promoted SIRT1-mediated p53 deacetylation, thereby relieving G2/M arrest in response to PA-stimulated DNA damage. Collectively, these findings indicate that melatonin protects the testes from PA-induced lipotoxicity through the activation of SIRT1, which alleviates oxidative stress, ER stress, mitochondrial dysfunction, and DNA damage.","container-title":"Journal of Pineal Research","DOI":"10.1111/jpi.12690","ISSN":"1600-079X","issue":"4","journalAbbreviation":"J Pineal Res","language":"eng","note":"PMID: 32761924","page":"e12690","source":"PubMed","title":"Melatonin protects mouse testes from palmitic acid-induced lipotoxicity by attenuating oxidative stress and DNA damage in a SIRT1-dependent manner","volume":"69","author":[{"family":"Xu","given":"Dejun"},{"family":"Liu","given":"Lingbin"},{"family":"Zhao","given":"Yongju"},{"family":"Yang","given":"Li"},{"family":"Cheng","given":"Jianyong"},{"family":"Hua","given":"Rongmao"},{"family":"Zhang","given":"Zelin"},{"family":"Li","given":"Qingwang"}],"issued":{"date-parts":[["2020",11]]}}}],"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757318" w:rsidRPr="00685DE9">
        <w:rPr>
          <w:rFonts w:ascii="Arial" w:hAnsi="Arial" w:cs="Arial"/>
          <w:noProof/>
          <w:sz w:val="24"/>
          <w:szCs w:val="24"/>
        </w:rPr>
        <w:t>7,50</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All the 7 patients with NASH and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 developed significant hepatic steatosis</w:t>
      </w:r>
      <w:r w:rsidRPr="00685DE9">
        <w:rPr>
          <w:rFonts w:ascii="Arial" w:eastAsia="Times New Roman" w:hAnsi="Arial" w:cs="Arial"/>
          <w:sz w:val="24"/>
          <w:szCs w:val="24"/>
        </w:rPr>
        <w:t xml:space="preserve"> (≥66% of fat containing hepatocytes in 5 and &gt;33%-&lt;66% in 6).</w:t>
      </w:r>
      <w:r w:rsidRPr="00685DE9">
        <w:rPr>
          <w:rFonts w:ascii="Arial" w:hAnsi="Arial" w:cs="Arial"/>
          <w:sz w:val="24"/>
          <w:szCs w:val="24"/>
        </w:rPr>
        <w:t xml:space="preserve"> Conceivably, subjects with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(and possibly many other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mutations) may poorly </w:t>
      </w:r>
      <w:proofErr w:type="spellStart"/>
      <w:r w:rsidRPr="00685DE9">
        <w:rPr>
          <w:rFonts w:ascii="Arial" w:hAnsi="Arial" w:cs="Arial"/>
          <w:sz w:val="24"/>
          <w:szCs w:val="24"/>
        </w:rPr>
        <w:t>reoxidize</w:t>
      </w:r>
      <w:proofErr w:type="spellEnd"/>
      <w:r w:rsidRPr="00685DE9">
        <w:rPr>
          <w:rFonts w:ascii="Arial" w:hAnsi="Arial" w:cs="Arial"/>
          <w:sz w:val="24"/>
          <w:szCs w:val="24"/>
        </w:rPr>
        <w:t xml:space="preserve"> NADH (reduced nicotinamide adenine dinucleotide) in the mitochondria leading to hepatic steatosis as a consequence of impaired oxidation of fatty acids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{"citationID":"bhIDZ5dL","properties":{"formattedCitation":"(10)","plainCitation":"(10)","noteIndex":0},"citationItems":[{"id":352,"uris":["http://zotero.org/users/3506678/items/32P65DDC"],"itemData":{"id":352,"type":"article-journal","abstract":"Mitochondria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In the present study,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were associated with decreases in the expression of </w:t>
      </w:r>
      <w:proofErr w:type="spellStart"/>
      <w:r w:rsidRPr="00685DE9">
        <w:rPr>
          <w:rFonts w:ascii="Arial" w:hAnsi="Arial" w:cs="Arial"/>
          <w:sz w:val="24"/>
          <w:szCs w:val="24"/>
        </w:rPr>
        <w:t>mtDNA</w:t>
      </w:r>
      <w:proofErr w:type="spellEnd"/>
      <w:r w:rsidRPr="00685DE9">
        <w:rPr>
          <w:rFonts w:ascii="Arial" w:hAnsi="Arial" w:cs="Arial"/>
          <w:sz w:val="24"/>
          <w:szCs w:val="24"/>
        </w:rPr>
        <w:t>-encoded genes which may block electron flow within respiratory chain complexes, thus causing an excess of reducing equivalents NADH in the liver. Such alterations in the mitochondrial redox state inhibit the oxidized nicotinamide adenine dinucleotide (NAD</w:t>
      </w:r>
      <w:r w:rsidRPr="00685DE9">
        <w:rPr>
          <w:rFonts w:ascii="Arial" w:hAnsi="Arial" w:cs="Arial"/>
          <w:sz w:val="24"/>
          <w:szCs w:val="24"/>
          <w:vertAlign w:val="superscript"/>
        </w:rPr>
        <w:t>+</w:t>
      </w:r>
      <w:r w:rsidRPr="00685DE9">
        <w:rPr>
          <w:rFonts w:ascii="Arial" w:hAnsi="Arial" w:cs="Arial"/>
          <w:sz w:val="24"/>
          <w:szCs w:val="24"/>
        </w:rPr>
        <w:t xml:space="preserve">)-dependent fatty acids dehydrogenases involved in the β-oxidation of fatty acids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{"citationID":"iCy7y1oz","properties":{"formattedCitation":"(10)","plainCitation":"(10)","noteIndex":0},"citationItems":[{"id":352,"uris":["http://zotero.org/users/3506678/items/32P65DDC"],"itemData":{"id":352,"type":"article-journal","abstract":"Mitochondria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In NASH, the increased hepatic free fatty acids then uncouple respiration from ATP formation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{"citationID":"TfMMPtDx","properties":{"formattedCitation":"(10)","plainCitation":"(10)","noteIndex":0},"citationItems":[{"id":352,"uris":["http://zotero.org/users/3506678/items/32P65DDC"],"itemData":{"id":352,"type":"article-journal","abstract":"Mitochondria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Mitochondria-derived ROS oxidize the unsaturated lipids to cause lipid peroxidation. Extensive lipid peroxidation was observed in animal models of steatohepatitis and lipid peroxidation products alter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and react with mitochondrial proteins, including respiratory chain complexes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{"citationID":"OTCmJAVD","properties":{"formattedCitation":"(10)","plainCitation":"(10)","noteIndex":0},"citationItems":[{"id":352,"uris":["http://zotero.org/users/3506678/items/32P65DDC"],"itemData":{"id":352,"type":"article-journal","abstract":"Mitochondria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.These effects tend to partially block the transfer of electrons in the respiratory chain.  Even when adaptive changes such as mitochondrial biogenesis occur, any block in the flow of electrons along the respiratory chain may cause the formation of high amounts of ROS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{"citationID":"AEQmXzsP","properties":{"formattedCitation":"(10)","plainCitation":"(10)","noteIndex":0},"citationItems":[{"id":352,"uris":["http://zotero.org/users/3506678/items/32P65DDC"],"itemData":{"id":352,"type":"article-journal","abstract":"Mitochondria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 xml:space="preserve">. </w:t>
      </w:r>
      <w:r w:rsidRPr="00685DE9">
        <w:rPr>
          <w:rFonts w:ascii="Arial" w:eastAsiaTheme="minorHAnsi" w:hAnsi="Arial" w:cs="Arial"/>
          <w:sz w:val="24"/>
          <w:szCs w:val="24"/>
        </w:rPr>
        <w:t xml:space="preserve">Moreover lipid peroxidation and ROS consume antioxidant enzymes and vitamins thus compromising ROS scavenging, causing further lipid peroxidation, increasing mitochondrial damage, and higher ROS formation in NASH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{"citationID":"MGiq2zou","properties":{"formattedCitation":"(10)","plainCitation":"(10)","noteIndex":0},"citationItems":[{"id":352,"uris":["http://zotero.org/users/3506678/items/32P65DDC"],"itemData":{"id":352,"type":"article-journal","abstract":"Mitochondria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w:t>
      </w:r>
      <w:r w:rsidRPr="00685DE9">
        <w:rPr>
          <w:rFonts w:ascii="Arial" w:eastAsiaTheme="minorHAnsi" w:hAnsi="Arial" w:cs="Arial"/>
          <w:sz w:val="24"/>
          <w:szCs w:val="24"/>
        </w:rPr>
        <w:t xml:space="preserve"> Reactive lipid </w:t>
      </w:r>
      <w:r w:rsidRPr="00685DE9">
        <w:rPr>
          <w:rFonts w:ascii="Arial" w:eastAsiaTheme="minorHAnsi" w:hAnsi="Arial" w:cs="Arial"/>
          <w:sz w:val="24"/>
          <w:szCs w:val="24"/>
        </w:rPr>
        <w:lastRenderedPageBreak/>
        <w:t xml:space="preserve">peroxidation products </w:t>
      </w:r>
      <w:r w:rsidR="00FC6804" w:rsidRPr="00685DE9">
        <w:rPr>
          <w:rFonts w:ascii="Arial" w:eastAsiaTheme="minorHAnsi" w:hAnsi="Arial" w:cs="Arial"/>
          <w:sz w:val="24"/>
          <w:szCs w:val="24"/>
        </w:rPr>
        <w:t>malondialdehyde</w:t>
      </w:r>
      <w:r w:rsidRPr="00685DE9">
        <w:rPr>
          <w:rFonts w:ascii="Arial" w:eastAsiaTheme="minorHAnsi" w:hAnsi="Arial" w:cs="Arial"/>
          <w:sz w:val="24"/>
          <w:szCs w:val="24"/>
        </w:rPr>
        <w:t xml:space="preserve"> (MDA) and 4-hydroxynonenal (4-HNE) increase hepatic fibrogenesis by two mechanisms. MDA and 4-HNE enhance the hepatic production of transforming growth factor β1 (TGF-β1), which activates hepatic stellate cells to evolve into collagen secreting myofibroblasts. MDA and 4-HNE also directly enhance collagen production by hepatic stellate cells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{"citationID":"hFRD162M","properties":{"formattedCitation":"(10)","plainCitation":"(10)","noteIndex":0},"citationItems":[{"id":352,"uris":["http://zotero.org/users/3506678/items/32P65DDC"],"itemData":{"id":352,"type":"article-journal","abstract":"Mitochondria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noProof/>
          <w:sz w:val="24"/>
          <w:szCs w:val="24"/>
        </w:rPr>
        <w:t>(</w:t>
      </w:r>
      <w:r w:rsidR="00D269E6" w:rsidRPr="00685DE9">
        <w:rPr>
          <w:rFonts w:ascii="Arial" w:hAnsi="Arial" w:cs="Arial"/>
          <w:noProof/>
          <w:sz w:val="24"/>
          <w:szCs w:val="24"/>
        </w:rPr>
        <w:t>7</w:t>
      </w:r>
      <w:r w:rsidR="00304542" w:rsidRPr="00685DE9">
        <w:rPr>
          <w:rFonts w:ascii="Arial" w:hAnsi="Arial" w:cs="Arial"/>
          <w:noProof/>
          <w:sz w:val="24"/>
          <w:szCs w:val="24"/>
        </w:rPr>
        <w:t>)</w:t>
      </w:r>
      <w:r w:rsidRPr="00685DE9">
        <w:rPr>
          <w:rFonts w:ascii="Arial" w:hAnsi="Arial" w:cs="Arial"/>
          <w:sz w:val="24"/>
          <w:szCs w:val="24"/>
        </w:rPr>
        <w:fldChar w:fldCharType="end"/>
      </w:r>
      <w:r w:rsidRPr="00685DE9">
        <w:rPr>
          <w:rFonts w:ascii="Arial" w:hAnsi="Arial" w:cs="Arial"/>
          <w:sz w:val="24"/>
          <w:szCs w:val="24"/>
        </w:rPr>
        <w:t>.</w:t>
      </w:r>
    </w:p>
    <w:p w14:paraId="351284D5" w14:textId="5655D4C5" w:rsidR="009E62C0" w:rsidRPr="00685DE9" w:rsidRDefault="009E62C0" w:rsidP="009E62C0">
      <w:pPr>
        <w:spacing w:line="360" w:lineRule="auto"/>
        <w:jc w:val="both"/>
        <w:rPr>
          <w:rFonts w:ascii="Arial" w:hAnsi="Arial" w:cs="Arial"/>
          <w:sz w:val="24"/>
          <w:szCs w:val="24"/>
        </w:rPr>
      </w:pPr>
      <w:r w:rsidRPr="00685DE9">
        <w:rPr>
          <w:rFonts w:ascii="Arial" w:hAnsi="Arial" w:cs="Arial"/>
          <w:sz w:val="24"/>
          <w:szCs w:val="24"/>
        </w:rPr>
        <w:t xml:space="preserve">However, this might not be the case in HBV-infected patients because hepatic steatosis is a relatively uncommon in CHB patients unlike patients with NASH or CHC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HtrGjxQj","properties":{"formattedCitation":"(46\\uc0\\u8211{}48)","plainCitation":"(46–48)","dontUpdate":true,"noteIndex":0},"citationItems":[{"id":1563,"uris":["http://zotero.org/users/3506678/items/7LCC9DQD"],"itemData":{"id":1563,"type":"article-journal","abstract":"The relation between hepatitis B virus (HBV) infection and fatty liver has been addressed by several observational studies, but their results remain controversial. To date, no study has precisely investigated the association of current and past HBV infection with the risk of nonalcoholic fatty liver disease (NAFLD) in the Chinese population. Therefore, we conducted a hospital-based case-control study in southwestern China to clarify this issue. A total of 631 newly ultrasound-diagnosed NAFLD cases and 2357 controls were selected from 123 243 consecutive patients admitted to a tertiary-care hospital between January 2015 and December 2016. Multivariate logistic regression was employed to calculate adjusted odds ratios (ORs) and 95% confidence intervals (CIs). A propensity score was developed for adjustment and matching. Subgroup analysis was conducted to identify potential effect modifiers. Current and past HBV infection had an overall prevalence of 9.7% and 55.2%, respectively. In the fully adjusted model, current HBV infection was associated with a decreased risk of NAFLD (OR 0.64; 95% CI 0.42-0.95). A similar inverse association was observed in both propensity-score-adjusted (OR 0.58; 95% CI 0.40-0.86) and propensity-score-matched analyses (OR 0.61; 95% CI 0.40-0.92).The inverse association was stronger in patients with hypertension than in those without (Pinteraction  = .018).No significant association between past HBV infection and NAFLD risk was found. In conclusion, current but not past HBV infection is associated with a decreased risk of NAFLD in the Chinese population. The corresponding biological mechanisms remain to be elucidated.","container-title":"Journal of Viral Hepatitis","DOI":"10.1111/jvh.12878","ISSN":"1365-2893","issue":"7","journalAbbreviation":"J Viral Hepat","language":"eng","note":"PMID: 29406564","page":"842-852","source":"PubMed","title":"Current but not past hepatitis B virus infection is associated with a decreased risk of nonalcoholic fatty liver disease in the Chinese population: A case-control study with propensity score analysis","title-short":"Current but not past hepatitis B virus infection is associated with a decreased risk of nonalcoholic fatty liver disease in the Chinese population","volume":"25","author":[{"family":"Zhong","given":"G. C."},{"family":"Wu","given":"Y. L."},{"family":"Hao","given":"F. B."},{"family":"Rao","given":"X. W."},{"family":"Yuan","given":"X. W."},{"family":"Zhao","given":"Y."},{"family":"Gong","given":"J. P."}],"issued":{"date-parts":[["2018",7]]}}},{"id":1565,"uris":["http://zotero.org/users/3506678/items/8CH4K6NJ"],"itemData":{"id":1565,"type":"article-journal","abstract":"BACKGROUND &amp; AIMS: The recently published manuscript by Zhu and colleagues \"Hepatitis B virus infection and risk of non-alcoholic fatty liver disease: A population-based cohort study\" found no correlation between presence of chronic HBV and presence of common risk factors for non-alcoholic fatty liver disease on primary analysis. A limitation to this study, like most population based research, is the absence of liver histology, which is considered gold standard for assessment of non-alcoholic fatty liver disease.\nMETHODS: Our group studied the association between hepatitis B viral activity and non-alcoholic fatty liver disease activity as measured by grade of steatohepatitis/fibrosis on liver biopsy by analysing consecutive liver histology samples from patients with chronic hepatitis B at a single quaternary liver transplant centre.\nRESULTS: Linear regression modelling for active viral hepatitis on histological examination against degree of steatohepatitis showed no correlation (r2  = .018, all P&gt; .1). Linear regression of degree of steatohepatitis vs hepatitis B viral load also showed no correlation.\nCONCLUSIONS: Our work is concordant with the manuscript from Zhu et al; we found no significant correlation between hepatitis B viral activity and degree of steatohepatitis.","container-title":"Liver International: Official Journal of the International Association for the Study of the Liver","DOI":"10.1111/liv.14344","ISSN":"1478-3231","issue":"6","journalAbbreviation":"Liver Int","language":"eng","note":"PMID: 31883410","page":"1500-1502","source":"PubMed","title":"Hepatitis B virus activity is not associated with degree of liver steatosis in patients with hepatitis B-related chronic liver disease","volume":"40","author":[{"family":"Worland","given":"Thomas"},{"family":"Apostolov","given":"Ross"},{"family":"Asadi","given":"Khashayar"},{"family":"Leung","given":"Christopher"}],"issued":{"date-parts":[["2020",6]]}}},{"id":1567,"uris":["http://zotero.org/users/3506678/items/N65KX9H7"],"itemData":{"id":1567,"type":"article-journal","abstract":"Chronic hepatitis B virus (HBV) infection has been reported to be associated with the prevalence of non</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alcoholic fatty liver disease (NAFLD). However, the present study demonstrated that the incidence of fatty liver disease in HBV</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infected subjects (16/152, 10.5%) was not significantly different from in non</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HBV</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infected subjects (292/1,714, 17%), following adjustment for age (odds ratio=0.656; 95% confidence interval=0.379</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1.134; P=0.131). Hepatitis B protein X (HBx) is considered a key regulator in HBV infection and several studies have confirmed that HBx serves a pivotal role in the process of fatty liver disease. In the present study, it was demonstrated that HBx</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expressing cells exhibited increased mitochondrial membrane potential, ATP generation, and endogenous mitochondrial respiration. In addition, higher levels of mitochondrial reactive oxygen species (ROS) were detected in HBx</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expressing cells compared with in control cells. Increased ROS production may contribute to increased lipid droplet formation in HBx</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expressing cells, whereas the removal of ROS with N</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acetylcysteine may decrease the accumulation of lipid droplets in a time</w:instrText>
      </w:r>
      <w:r w:rsidR="00304542" w:rsidRPr="00685DE9">
        <w:rPr>
          <w:rFonts w:ascii="Cambria Math" w:hAnsi="Cambria Math" w:cs="Cambria Math"/>
          <w:sz w:val="24"/>
          <w:szCs w:val="24"/>
        </w:rPr>
        <w:instrText>‑</w:instrText>
      </w:r>
      <w:r w:rsidR="00304542" w:rsidRPr="00685DE9">
        <w:rPr>
          <w:rFonts w:ascii="Arial" w:hAnsi="Arial" w:cs="Arial"/>
          <w:sz w:val="24"/>
          <w:szCs w:val="24"/>
        </w:rPr>
        <w:instrText xml:space="preserve">dependent manner. In conclusion, the present findings indicated that HBV, and perhaps more specifically HBx, was not a protective factor against NAFLD. HBx may function as a risk factor for fatty liver disease, based on the findings of the present functional study; however, further studies are required to clarify the effects of HBx on hepatic steatosis.","container-title":"Molecular Medicine Reports","DOI":"10.3892/mmr.2018.9619","ISSN":"1791-3004","issue":"1","journalAbbreviation":"Mol Med Rep","language":"eng","note":"PMID: 30387826\nPMCID: PMC6297757","page":"320-326","source":"PubMed","title":"Hepatitis B virus infection is not associated with fatty liver disease: Evidence from a cohort study and functional analysis","title-short":"Hepatitis B virus infection is not associated with fatty liver disease","volume":"19","author":[{"family":"Wang","given":"Bingqian"},{"family":"Li","given":"Wenna"},{"family":"Fang","given":"Hezhi"},{"family":"Zhou","given":"Huaibin"}],"issued":{"date-parts":[["2019",1]]}}}],"schema":"https://github.com/citation-style-language/schema/raw/master/csl-citation.json"} </w:instrText>
      </w:r>
      <w:r w:rsidRPr="00685DE9">
        <w:rPr>
          <w:rFonts w:ascii="Arial" w:hAnsi="Arial" w:cs="Arial"/>
          <w:sz w:val="24"/>
          <w:szCs w:val="24"/>
        </w:rPr>
        <w:fldChar w:fldCharType="separate"/>
      </w:r>
      <w:r w:rsidRPr="00685DE9">
        <w:rPr>
          <w:rFonts w:ascii="Arial" w:hAnsi="Arial" w:cs="Arial"/>
          <w:sz w:val="24"/>
        </w:rPr>
        <w:t>(</w:t>
      </w:r>
      <w:r w:rsidR="00332F52" w:rsidRPr="00685DE9">
        <w:rPr>
          <w:rFonts w:ascii="Arial" w:hAnsi="Arial" w:cs="Arial"/>
          <w:sz w:val="24"/>
        </w:rPr>
        <w:t>35,</w:t>
      </w:r>
      <w:r w:rsidR="001B77A4" w:rsidRPr="00685DE9">
        <w:rPr>
          <w:rFonts w:ascii="Arial" w:hAnsi="Arial" w:cs="Arial"/>
          <w:sz w:val="24"/>
        </w:rPr>
        <w:t xml:space="preserve"> </w:t>
      </w:r>
      <w:r w:rsidR="001B77A4" w:rsidRPr="00685DE9">
        <w:rPr>
          <w:rFonts w:ascii="Arial" w:hAnsi="Arial" w:cs="Arial"/>
          <w:sz w:val="24"/>
          <w:szCs w:val="24"/>
        </w:rPr>
        <w:t>Suppl. Ref 5, 11</w:t>
      </w:r>
      <w:r w:rsidR="00332F52" w:rsidRPr="00685DE9">
        <w:rPr>
          <w:rFonts w:ascii="Arial" w:hAnsi="Arial" w:cs="Arial"/>
          <w:sz w:val="24"/>
        </w:rPr>
        <w:t xml:space="preserve"> </w:t>
      </w:r>
      <w:r w:rsidRPr="00685DE9">
        <w:rPr>
          <w:rFonts w:ascii="Arial" w:hAnsi="Arial" w:cs="Arial"/>
          <w:sz w:val="24"/>
        </w:rPr>
        <w:t xml:space="preserve"> and the present study)</w:t>
      </w:r>
      <w:r w:rsidRPr="00685DE9">
        <w:rPr>
          <w:rFonts w:ascii="Arial" w:hAnsi="Arial" w:cs="Arial"/>
          <w:sz w:val="24"/>
          <w:szCs w:val="24"/>
        </w:rPr>
        <w:fldChar w:fldCharType="end"/>
      </w:r>
      <w:r w:rsidRPr="00685DE9">
        <w:rPr>
          <w:rFonts w:ascii="Arial" w:hAnsi="Arial" w:cs="Arial"/>
          <w:sz w:val="24"/>
          <w:szCs w:val="24"/>
        </w:rPr>
        <w:t xml:space="preserve">. Only 12 (8%) over the 146 patients with CHB had significant steatosis (&gt;33% of fat-engorged hepatocytes) compared to 24% in CHC and 92% in NASH in the present study (Table 1).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depletion, strand breaks, and the high prevalence of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and their diversity in patients with CHB as compared to controls or to patients with NASH all suggest that HBV infection may instead cause massive oxidative damage to liver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which progressively accumulates in patients with advanced fibrosis. These observations also suggest that mitochondrial dysfunction and altered mitochondrial dynamics would speed-up the progression of CHB-related fibrosis. Indeed,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damage is a hallmark of oxidative stress </w:t>
      </w:r>
      <w:r w:rsidRPr="00685DE9">
        <w:rPr>
          <w:rFonts w:ascii="Arial" w:hAnsi="Arial" w:cs="Arial"/>
          <w:sz w:val="24"/>
          <w:szCs w:val="24"/>
        </w:rPr>
        <w:fldChar w:fldCharType="begin"/>
      </w:r>
      <w:r w:rsidR="00304542" w:rsidRPr="00685DE9">
        <w:rPr>
          <w:rFonts w:ascii="Arial" w:hAnsi="Arial" w:cs="Arial"/>
          <w:sz w:val="24"/>
          <w:szCs w:val="24"/>
        </w:rPr>
        <w:instrText xml:space="preserve"> ADDIN ZOTERO_ITEM CSL_CITATION {"citationID":"UtuTc1I9","properties":{"formattedCitation":"(10)","plainCitation":"(10)","noteIndex":0},"citationItems":[{"id":352,"uris":["http://zotero.org/users/3506678/items/32P65DDC"],"itemData":{"id":352,"type":"article-journal","abstract":"Mitochondria regulate hepatic lipid metabolism and oxidative stress. Ultrastructural mitochondrial lesions, altered mitochondrial dynamics, decreased activity of respiratory chain complexes, and impaired ability to synthesize adenosine triphosphate are observed in liver tissues from patients with alcohol-associated and non-associated liver diseases. Increased lipogenesis with decreased fatty acid β-oxidation leads to the accumulation of triglycerides in hepatocytes, which, combined with increased levels of reactive oxygen species, contributes to insulin resistance in patients with steatohepatitis. Moreover, mitochondrial reactive oxygen species mediate metabolic pathway signaling; alterations in these pathways affect development and progression of chronic liver diseases. Mitochondrial stress and lesions promote cell death, liver fibrogenesis, inflammation, and the innate immune responses to viral infections. We review the involvement of mitochondrial processes in development of chronic liver diseases, such as nonalcoholic fatty, alcohol-associated, and drug-associated liver diseases, as well as hepatitis B and C, and discuss how they might be targeted therapeutically.","container-title":"Gastroenterology","DOI":"10.1053/j.gastro.2018.06.083","ISSN":"1528-0012","issue":"3","journalAbbreviation":"Gastroenterology","language":"eng","note":"PMID: 30012333","page":"629-647","source":"PubMed","title":"Mitochondrial Dysfunction and Signaling in Chronic Liver Diseases","volume":"155","author":[{"family":"Mansouri","given":"Abdellah"},{"family":"Gattolliat","given":"Charles-Henry"},{"family":"Asselah","given":"Tarik"}],"issued":{"date-parts":[["2018",9]]}}}],"schema":"https://github.com/citation-style-language/schema/raw/master/csl-citation.json"} </w:instrText>
      </w:r>
      <w:r w:rsidRPr="00685DE9">
        <w:rPr>
          <w:rFonts w:ascii="Arial" w:hAnsi="Arial" w:cs="Arial"/>
          <w:sz w:val="24"/>
          <w:szCs w:val="24"/>
        </w:rPr>
        <w:fldChar w:fldCharType="separate"/>
      </w:r>
      <w:r w:rsidR="00304542" w:rsidRPr="00685DE9">
        <w:rPr>
          <w:rFonts w:ascii="Arial" w:hAnsi="Arial" w:cs="Arial"/>
          <w:sz w:val="24"/>
          <w:szCs w:val="24"/>
        </w:rPr>
        <w:t>(</w:t>
      </w:r>
      <w:r w:rsidR="00A56261" w:rsidRPr="00685DE9">
        <w:rPr>
          <w:rFonts w:ascii="Arial" w:hAnsi="Arial" w:cs="Arial"/>
          <w:sz w:val="24"/>
          <w:szCs w:val="24"/>
        </w:rPr>
        <w:t>7</w:t>
      </w:r>
      <w:r w:rsidR="00304542" w:rsidRPr="00685DE9">
        <w:rPr>
          <w:rFonts w:ascii="Arial" w:hAnsi="Arial" w:cs="Arial"/>
          <w:sz w:val="24"/>
          <w:szCs w:val="24"/>
        </w:rPr>
        <w:t>)</w:t>
      </w:r>
      <w:r w:rsidRPr="00685DE9">
        <w:rPr>
          <w:rFonts w:ascii="Arial" w:hAnsi="Arial" w:cs="Arial"/>
          <w:sz w:val="24"/>
          <w:szCs w:val="24"/>
        </w:rPr>
        <w:fldChar w:fldCharType="end"/>
      </w:r>
      <w:r w:rsidRPr="00685DE9">
        <w:rPr>
          <w:rFonts w:ascii="Arial" w:hAnsi="Arial" w:cs="Arial"/>
          <w:sz w:val="24"/>
          <w:szCs w:val="24"/>
        </w:rPr>
        <w:t xml:space="preserve">. Although ROS were not measured in our patients, the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damage detected in livers from patients with CHB or with NASH and advanced fibrosis suggested that significant oxidative stress rises in these livers. In line with this hypothesis, we demonstrated that transient replication of HBV or expression of </w:t>
      </w:r>
      <w:proofErr w:type="spellStart"/>
      <w:r w:rsidRPr="00685DE9">
        <w:rPr>
          <w:rFonts w:ascii="Arial" w:hAnsi="Arial" w:cs="Arial"/>
          <w:sz w:val="24"/>
          <w:szCs w:val="24"/>
        </w:rPr>
        <w:t>HBx</w:t>
      </w:r>
      <w:proofErr w:type="spellEnd"/>
      <w:r w:rsidRPr="00685DE9">
        <w:rPr>
          <w:rFonts w:ascii="Arial" w:hAnsi="Arial" w:cs="Arial"/>
          <w:sz w:val="24"/>
          <w:szCs w:val="24"/>
        </w:rPr>
        <w:t xml:space="preserve"> protein increased the mitochondrial formation of superoxide anion and </w:t>
      </w:r>
      <w:proofErr w:type="spellStart"/>
      <w:r w:rsidRPr="00685DE9">
        <w:rPr>
          <w:rFonts w:ascii="Arial" w:hAnsi="Arial" w:cs="Arial"/>
          <w:sz w:val="24"/>
          <w:szCs w:val="24"/>
        </w:rPr>
        <w:t>peroxynitrite</w:t>
      </w:r>
      <w:proofErr w:type="spellEnd"/>
      <w:r w:rsidRPr="00685DE9">
        <w:rPr>
          <w:rFonts w:ascii="Arial" w:hAnsi="Arial" w:cs="Arial"/>
          <w:sz w:val="24"/>
          <w:szCs w:val="24"/>
        </w:rPr>
        <w:t xml:space="preserve"> radicals (Suppl. Table 4).</w:t>
      </w:r>
    </w:p>
    <w:p w14:paraId="78D34240" w14:textId="4CA10230" w:rsidR="005F3C17" w:rsidRPr="00685DE9" w:rsidRDefault="009E62C0" w:rsidP="00FD4EDC">
      <w:pPr>
        <w:autoSpaceDN/>
        <w:spacing w:after="160" w:line="259" w:lineRule="auto"/>
        <w:rPr>
          <w:rFonts w:ascii="Arial" w:hAnsi="Arial" w:cs="Arial"/>
          <w:sz w:val="24"/>
          <w:szCs w:val="24"/>
        </w:rPr>
      </w:pPr>
      <w:r w:rsidRPr="00685DE9">
        <w:rPr>
          <w:rFonts w:ascii="Arial" w:hAnsi="Arial" w:cs="Arial"/>
          <w:sz w:val="24"/>
          <w:szCs w:val="24"/>
        </w:rPr>
        <w:br w:type="page"/>
      </w:r>
    </w:p>
    <w:p w14:paraId="0E351223" w14:textId="10FE64CB" w:rsidR="00FD4EDC" w:rsidRPr="00685DE9" w:rsidRDefault="00601A59" w:rsidP="00834BC2">
      <w:pPr>
        <w:spacing w:after="0" w:line="360" w:lineRule="auto"/>
        <w:jc w:val="both"/>
        <w:rPr>
          <w:rFonts w:ascii="Arial" w:hAnsi="Arial" w:cs="Arial"/>
          <w:b/>
          <w:sz w:val="24"/>
          <w:szCs w:val="24"/>
        </w:rPr>
      </w:pPr>
      <w:r w:rsidRPr="00685DE9">
        <w:rPr>
          <w:rFonts w:ascii="Arial" w:hAnsi="Arial" w:cs="Arial"/>
          <w:b/>
          <w:sz w:val="24"/>
          <w:szCs w:val="24"/>
        </w:rPr>
        <w:lastRenderedPageBreak/>
        <w:t>SUPPLEMENTAL REFERENCES</w:t>
      </w:r>
    </w:p>
    <w:p w14:paraId="33CEE4BA" w14:textId="16889C8A" w:rsidR="006E4C4D" w:rsidRPr="00685DE9" w:rsidRDefault="0022358F" w:rsidP="00E05F7A">
      <w:pPr>
        <w:widowControl w:val="0"/>
        <w:autoSpaceDE w:val="0"/>
        <w:adjustRightInd w:val="0"/>
        <w:spacing w:after="0"/>
        <w:jc w:val="both"/>
        <w:rPr>
          <w:rFonts w:ascii="Arial" w:hAnsi="Arial" w:cs="Arial"/>
          <w:sz w:val="24"/>
          <w:szCs w:val="24"/>
        </w:rPr>
      </w:pPr>
      <w:r w:rsidRPr="00685DE9">
        <w:rPr>
          <w:rFonts w:ascii="Arial" w:hAnsi="Arial" w:cs="Arial"/>
          <w:sz w:val="24"/>
          <w:szCs w:val="24"/>
        </w:rPr>
        <w:t xml:space="preserve">Suppl. Ref </w:t>
      </w:r>
      <w:r w:rsidR="00601A59" w:rsidRPr="00685DE9">
        <w:rPr>
          <w:rFonts w:ascii="Arial" w:hAnsi="Arial" w:cs="Arial"/>
          <w:sz w:val="24"/>
          <w:szCs w:val="24"/>
        </w:rPr>
        <w:fldChar w:fldCharType="begin"/>
      </w:r>
      <w:r w:rsidR="00304542" w:rsidRPr="00685DE9">
        <w:rPr>
          <w:rFonts w:ascii="Arial" w:hAnsi="Arial" w:cs="Arial"/>
          <w:sz w:val="24"/>
          <w:szCs w:val="24"/>
        </w:rPr>
        <w:instrText xml:space="preserve"> ADDIN ZOTERO_BIBL {"uncited":[],"omitted":[],"custom":[]} CSL_BIBLIOGRAPHY </w:instrText>
      </w:r>
      <w:r w:rsidR="00601A59" w:rsidRPr="00685DE9">
        <w:rPr>
          <w:rFonts w:ascii="Arial" w:hAnsi="Arial" w:cs="Arial"/>
          <w:sz w:val="24"/>
          <w:szCs w:val="24"/>
        </w:rPr>
        <w:fldChar w:fldCharType="separate"/>
      </w:r>
      <w:r w:rsidR="006E4C4D" w:rsidRPr="00685DE9">
        <w:rPr>
          <w:rFonts w:ascii="Arial" w:hAnsi="Arial" w:cs="Arial"/>
          <w:sz w:val="24"/>
          <w:szCs w:val="24"/>
        </w:rPr>
        <w:t xml:space="preserve">1. Latorre P, Rubbia-Brandt L, Giostra E, Abid K, Negro F. The 4,977-base pair common deletion of mitochondrial DNA is not associated with steatosis in chronic hepatitis C patients. Hepatol. Baltim. Md. 2002;35:239–240. </w:t>
      </w:r>
    </w:p>
    <w:p w14:paraId="33B4E521" w14:textId="11EA067E" w:rsidR="009B2EFE" w:rsidRPr="00685DE9" w:rsidRDefault="00CD3BF5" w:rsidP="00E05F7A">
      <w:pPr>
        <w:widowControl w:val="0"/>
        <w:autoSpaceDE w:val="0"/>
        <w:adjustRightInd w:val="0"/>
        <w:spacing w:after="0"/>
        <w:jc w:val="both"/>
        <w:rPr>
          <w:rFonts w:ascii="Arial" w:hAnsi="Arial" w:cs="Arial"/>
          <w:sz w:val="24"/>
          <w:szCs w:val="24"/>
        </w:rPr>
      </w:pPr>
      <w:r w:rsidRPr="00685DE9">
        <w:rPr>
          <w:rFonts w:ascii="Arial" w:hAnsi="Arial" w:cs="Arial"/>
          <w:sz w:val="24"/>
          <w:szCs w:val="24"/>
        </w:rPr>
        <w:t>Suppl. Ref 2</w:t>
      </w:r>
      <w:r w:rsidR="006E4C4D" w:rsidRPr="00685DE9">
        <w:rPr>
          <w:rFonts w:ascii="Arial" w:hAnsi="Arial" w:cs="Arial"/>
          <w:sz w:val="24"/>
          <w:szCs w:val="24"/>
        </w:rPr>
        <w:t xml:space="preserve">. Yadav D, Hertan HI, Schweitzer P, Norkus EP, Pitchumoni CS. Serum and liver micronutrient antioxidants and serum oxidative stress in patients with chronic hepatitis C. Am. J. Gastroenterol. 2002;97:2634–2639. </w:t>
      </w:r>
    </w:p>
    <w:p w14:paraId="08A7AEE9" w14:textId="5A07D7A1" w:rsidR="006E4C4D" w:rsidRPr="00685DE9" w:rsidRDefault="001F623F" w:rsidP="00E05F7A">
      <w:pPr>
        <w:widowControl w:val="0"/>
        <w:autoSpaceDE w:val="0"/>
        <w:adjustRightInd w:val="0"/>
        <w:spacing w:after="0"/>
        <w:jc w:val="both"/>
        <w:rPr>
          <w:rFonts w:ascii="Arial" w:hAnsi="Arial" w:cs="Arial"/>
          <w:sz w:val="24"/>
          <w:szCs w:val="24"/>
        </w:rPr>
      </w:pPr>
      <w:r w:rsidRPr="00685DE9">
        <w:rPr>
          <w:rFonts w:ascii="Arial" w:hAnsi="Arial" w:cs="Arial"/>
          <w:sz w:val="24"/>
          <w:szCs w:val="24"/>
        </w:rPr>
        <w:t xml:space="preserve">Suppl. Ref 3. </w:t>
      </w:r>
      <w:r w:rsidRPr="00685DE9">
        <w:rPr>
          <w:rFonts w:ascii="Arial" w:hAnsi="Arial" w:cs="Arial"/>
          <w:sz w:val="24"/>
          <w:szCs w:val="24"/>
          <w:lang w:val="fr-FR"/>
        </w:rPr>
        <w:t xml:space="preserve">Bustin SA, Benes V, Garson JA, Hellemans J, Huggett J, Kubista M, et al. </w:t>
      </w:r>
      <w:r w:rsidRPr="00685DE9">
        <w:rPr>
          <w:rFonts w:ascii="Arial" w:hAnsi="Arial" w:cs="Arial"/>
          <w:sz w:val="24"/>
          <w:szCs w:val="24"/>
        </w:rPr>
        <w:t xml:space="preserve">The MIQE Guidelines: Minimum Information for Publication of Quantitative Real-Time PCR Experiments. Clin. Chem. 2009;55:611–622. </w:t>
      </w:r>
    </w:p>
    <w:p w14:paraId="7798E7CA" w14:textId="79E81CBE" w:rsidR="006E4C4D" w:rsidRPr="00685DE9" w:rsidRDefault="00466302" w:rsidP="00E05F7A">
      <w:pPr>
        <w:widowControl w:val="0"/>
        <w:autoSpaceDE w:val="0"/>
        <w:adjustRightInd w:val="0"/>
        <w:spacing w:after="0"/>
        <w:jc w:val="both"/>
        <w:rPr>
          <w:rFonts w:ascii="Arial" w:hAnsi="Arial" w:cs="Arial"/>
          <w:sz w:val="24"/>
          <w:szCs w:val="24"/>
        </w:rPr>
      </w:pPr>
      <w:r w:rsidRPr="00685DE9">
        <w:rPr>
          <w:rFonts w:ascii="Arial" w:hAnsi="Arial" w:cs="Arial"/>
          <w:bCs/>
          <w:sz w:val="24"/>
          <w:szCs w:val="24"/>
        </w:rPr>
        <w:t>Suppl. Ref 4</w:t>
      </w:r>
      <w:r w:rsidR="006E4C4D" w:rsidRPr="00685DE9">
        <w:rPr>
          <w:rFonts w:ascii="Arial" w:hAnsi="Arial" w:cs="Arial"/>
          <w:sz w:val="24"/>
          <w:szCs w:val="24"/>
        </w:rPr>
        <w:t xml:space="preserve">. Scaglioni PP, Melegari M, Wands JR. Posttranscriptional regulation of hepatitis B virus replication by the precore protein. J. Virol. 1997;71:345–353. </w:t>
      </w:r>
    </w:p>
    <w:p w14:paraId="6392452C" w14:textId="58A39C62" w:rsidR="001268F1" w:rsidRPr="00685DE9" w:rsidRDefault="003C5F6D" w:rsidP="00E05F7A">
      <w:pPr>
        <w:widowControl w:val="0"/>
        <w:autoSpaceDE w:val="0"/>
        <w:adjustRightInd w:val="0"/>
        <w:spacing w:after="0"/>
        <w:jc w:val="both"/>
        <w:rPr>
          <w:rFonts w:ascii="Arial" w:hAnsi="Arial" w:cs="Arial"/>
          <w:sz w:val="24"/>
          <w:szCs w:val="24"/>
          <w:lang w:val="fr-FR"/>
        </w:rPr>
      </w:pPr>
      <w:r w:rsidRPr="00685DE9">
        <w:rPr>
          <w:rFonts w:ascii="Arial" w:hAnsi="Arial" w:cs="Arial"/>
          <w:sz w:val="24"/>
          <w:szCs w:val="24"/>
        </w:rPr>
        <w:t>Suppl. Ref 5</w:t>
      </w:r>
      <w:r w:rsidR="006E4C4D" w:rsidRPr="00685DE9">
        <w:rPr>
          <w:rFonts w:ascii="Arial" w:hAnsi="Arial" w:cs="Arial"/>
          <w:sz w:val="24"/>
          <w:szCs w:val="24"/>
        </w:rPr>
        <w:t xml:space="preserve">. Koliaki C, Szendroedi J, Kaul K, Jelenik T, Nowotny P, Jankowiak F, et al. Adaptation of hepatic mitochondrial function in humans with non-alcoholic fatty liver is lost in steatohepatitis. </w:t>
      </w:r>
      <w:r w:rsidR="006E4C4D" w:rsidRPr="00685DE9">
        <w:rPr>
          <w:rFonts w:ascii="Arial" w:hAnsi="Arial" w:cs="Arial"/>
          <w:sz w:val="24"/>
          <w:szCs w:val="24"/>
          <w:lang w:val="fr-FR"/>
        </w:rPr>
        <w:t xml:space="preserve">Cell Metab. 2015;21:739–746. </w:t>
      </w:r>
    </w:p>
    <w:p w14:paraId="11FE0B5B" w14:textId="17B34315" w:rsidR="001268F1" w:rsidRPr="00685DE9" w:rsidRDefault="00601A59" w:rsidP="00E05F7A">
      <w:pPr>
        <w:autoSpaceDN/>
        <w:spacing w:after="0"/>
        <w:jc w:val="both"/>
        <w:rPr>
          <w:rFonts w:ascii="Arial" w:hAnsi="Arial" w:cs="Arial"/>
          <w:sz w:val="24"/>
          <w:szCs w:val="24"/>
        </w:rPr>
      </w:pPr>
      <w:r w:rsidRPr="00685DE9">
        <w:rPr>
          <w:rFonts w:ascii="Arial" w:hAnsi="Arial" w:cs="Arial"/>
          <w:sz w:val="24"/>
          <w:szCs w:val="24"/>
        </w:rPr>
        <w:fldChar w:fldCharType="end"/>
      </w:r>
      <w:r w:rsidR="001268F1" w:rsidRPr="00685DE9">
        <w:rPr>
          <w:rFonts w:ascii="Arial" w:hAnsi="Arial" w:cs="Arial"/>
          <w:sz w:val="24"/>
          <w:szCs w:val="24"/>
          <w:lang w:val="fr-FR"/>
        </w:rPr>
        <w:t xml:space="preserve">Suppl. </w:t>
      </w:r>
      <w:proofErr w:type="spellStart"/>
      <w:r w:rsidR="001268F1" w:rsidRPr="00685DE9">
        <w:rPr>
          <w:rFonts w:ascii="Arial" w:hAnsi="Arial" w:cs="Arial"/>
          <w:sz w:val="24"/>
          <w:szCs w:val="24"/>
          <w:lang w:val="fr-FR"/>
        </w:rPr>
        <w:t>Ref</w:t>
      </w:r>
      <w:proofErr w:type="spellEnd"/>
      <w:r w:rsidR="001268F1" w:rsidRPr="00685DE9">
        <w:rPr>
          <w:rFonts w:ascii="Arial" w:hAnsi="Arial" w:cs="Arial"/>
          <w:sz w:val="24"/>
          <w:szCs w:val="24"/>
          <w:lang w:val="fr-FR"/>
        </w:rPr>
        <w:t xml:space="preserve"> </w:t>
      </w:r>
      <w:r w:rsidR="00976D7F" w:rsidRPr="00685DE9">
        <w:rPr>
          <w:rFonts w:ascii="Arial" w:hAnsi="Arial" w:cs="Arial"/>
          <w:sz w:val="24"/>
          <w:szCs w:val="24"/>
          <w:lang w:val="fr-FR"/>
        </w:rPr>
        <w:t>6</w:t>
      </w:r>
      <w:r w:rsidR="001268F1" w:rsidRPr="00685DE9">
        <w:rPr>
          <w:rFonts w:ascii="Arial" w:hAnsi="Arial" w:cs="Arial"/>
          <w:sz w:val="24"/>
          <w:szCs w:val="24"/>
          <w:lang w:val="fr-FR"/>
        </w:rPr>
        <w:t>.</w:t>
      </w:r>
      <w:r w:rsidR="00976D7F" w:rsidRPr="00685DE9">
        <w:rPr>
          <w:rFonts w:ascii="Arial" w:hAnsi="Arial" w:cs="Arial"/>
          <w:sz w:val="24"/>
          <w:szCs w:val="24"/>
          <w:lang w:val="fr-FR"/>
        </w:rPr>
        <w:t xml:space="preserve"> </w:t>
      </w:r>
      <w:r w:rsidR="001268F1" w:rsidRPr="00685DE9">
        <w:rPr>
          <w:rFonts w:ascii="Arial" w:hAnsi="Arial" w:cs="Arial"/>
          <w:sz w:val="24"/>
          <w:szCs w:val="24"/>
          <w:lang w:val="fr-FR"/>
        </w:rPr>
        <w:t xml:space="preserve"> Liu K, Qiu D, Liang X, Huang Y, Wang </w:t>
      </w:r>
      <w:proofErr w:type="spellStart"/>
      <w:r w:rsidR="001268F1" w:rsidRPr="00685DE9">
        <w:rPr>
          <w:rFonts w:ascii="Arial" w:hAnsi="Arial" w:cs="Arial"/>
          <w:sz w:val="24"/>
          <w:szCs w:val="24"/>
          <w:lang w:val="fr-FR"/>
        </w:rPr>
        <w:t>Y</w:t>
      </w:r>
      <w:proofErr w:type="spellEnd"/>
      <w:r w:rsidR="001268F1" w:rsidRPr="00685DE9">
        <w:rPr>
          <w:rFonts w:ascii="Arial" w:hAnsi="Arial" w:cs="Arial"/>
          <w:sz w:val="24"/>
          <w:szCs w:val="24"/>
          <w:lang w:val="fr-FR"/>
        </w:rPr>
        <w:t xml:space="preserve">, Jia X, et al. </w:t>
      </w:r>
      <w:proofErr w:type="spellStart"/>
      <w:r w:rsidR="001268F1" w:rsidRPr="00685DE9">
        <w:rPr>
          <w:rFonts w:ascii="Arial" w:hAnsi="Arial" w:cs="Arial"/>
          <w:sz w:val="24"/>
          <w:szCs w:val="24"/>
        </w:rPr>
        <w:t>Lipotoxicity</w:t>
      </w:r>
      <w:proofErr w:type="spellEnd"/>
      <w:r w:rsidR="001268F1" w:rsidRPr="00685DE9">
        <w:rPr>
          <w:rFonts w:ascii="Arial" w:hAnsi="Arial" w:cs="Arial"/>
          <w:sz w:val="24"/>
          <w:szCs w:val="24"/>
        </w:rPr>
        <w:t>-induced</w:t>
      </w:r>
      <w:r w:rsidR="00976D7F" w:rsidRPr="00685DE9">
        <w:rPr>
          <w:rFonts w:ascii="Arial" w:hAnsi="Arial" w:cs="Arial"/>
          <w:sz w:val="24"/>
          <w:szCs w:val="24"/>
        </w:rPr>
        <w:t xml:space="preserve"> </w:t>
      </w:r>
      <w:r w:rsidR="001268F1" w:rsidRPr="00685DE9">
        <w:rPr>
          <w:rFonts w:ascii="Arial" w:hAnsi="Arial" w:cs="Arial"/>
          <w:sz w:val="24"/>
          <w:szCs w:val="24"/>
        </w:rPr>
        <w:t xml:space="preserve">STING1 activation stimulates MTORC1 and restricts hepatic </w:t>
      </w:r>
      <w:proofErr w:type="spellStart"/>
      <w:r w:rsidR="001268F1" w:rsidRPr="00685DE9">
        <w:rPr>
          <w:rFonts w:ascii="Arial" w:hAnsi="Arial" w:cs="Arial"/>
          <w:sz w:val="24"/>
          <w:szCs w:val="24"/>
        </w:rPr>
        <w:t>lipophagy</w:t>
      </w:r>
      <w:proofErr w:type="spellEnd"/>
      <w:r w:rsidR="001268F1" w:rsidRPr="00685DE9">
        <w:rPr>
          <w:rFonts w:ascii="Arial" w:hAnsi="Arial" w:cs="Arial"/>
          <w:sz w:val="24"/>
          <w:szCs w:val="24"/>
        </w:rPr>
        <w:t>. Autophagy.</w:t>
      </w:r>
    </w:p>
    <w:p w14:paraId="16AECD16" w14:textId="491C841C" w:rsidR="00601A59" w:rsidRPr="00685DE9" w:rsidRDefault="001268F1" w:rsidP="00E05F7A">
      <w:pPr>
        <w:autoSpaceDN/>
        <w:spacing w:after="0"/>
        <w:jc w:val="both"/>
        <w:rPr>
          <w:rFonts w:ascii="Arial" w:eastAsia="Times New Roman" w:hAnsi="Arial" w:cs="Arial"/>
          <w:sz w:val="24"/>
          <w:szCs w:val="24"/>
        </w:rPr>
      </w:pPr>
      <w:r w:rsidRPr="00685DE9">
        <w:rPr>
          <w:rFonts w:ascii="Arial" w:hAnsi="Arial" w:cs="Arial"/>
          <w:sz w:val="24"/>
          <w:szCs w:val="24"/>
        </w:rPr>
        <w:t>2021;1–17.</w:t>
      </w:r>
    </w:p>
    <w:p w14:paraId="5C008C92" w14:textId="237767E6" w:rsidR="000A4C0E" w:rsidRPr="00685DE9" w:rsidRDefault="00FC0FC1" w:rsidP="00E05F7A">
      <w:pPr>
        <w:spacing w:after="0"/>
        <w:jc w:val="both"/>
        <w:rPr>
          <w:rFonts w:ascii="Arial" w:hAnsi="Arial" w:cs="Arial"/>
          <w:sz w:val="24"/>
          <w:szCs w:val="24"/>
        </w:rPr>
      </w:pPr>
      <w:r w:rsidRPr="00685DE9">
        <w:rPr>
          <w:rFonts w:ascii="Arial" w:hAnsi="Arial" w:cs="Arial"/>
          <w:sz w:val="24"/>
          <w:szCs w:val="24"/>
        </w:rPr>
        <w:t xml:space="preserve">Suppl. </w:t>
      </w:r>
      <w:proofErr w:type="spellStart"/>
      <w:r w:rsidRPr="00685DE9">
        <w:rPr>
          <w:rFonts w:ascii="Arial" w:hAnsi="Arial" w:cs="Arial"/>
          <w:sz w:val="24"/>
          <w:szCs w:val="24"/>
          <w:lang w:val="fr-FR"/>
        </w:rPr>
        <w:t>Ref</w:t>
      </w:r>
      <w:proofErr w:type="spellEnd"/>
      <w:r w:rsidRPr="00685DE9">
        <w:rPr>
          <w:rFonts w:ascii="Arial" w:hAnsi="Arial" w:cs="Arial"/>
          <w:sz w:val="24"/>
          <w:szCs w:val="24"/>
          <w:lang w:val="fr-FR"/>
        </w:rPr>
        <w:t xml:space="preserve"> 7.  Ma Y, Lee G, </w:t>
      </w:r>
      <w:proofErr w:type="spellStart"/>
      <w:r w:rsidRPr="00685DE9">
        <w:rPr>
          <w:rFonts w:ascii="Arial" w:hAnsi="Arial" w:cs="Arial"/>
          <w:sz w:val="24"/>
          <w:szCs w:val="24"/>
          <w:lang w:val="fr-FR"/>
        </w:rPr>
        <w:t>Heo</w:t>
      </w:r>
      <w:proofErr w:type="spellEnd"/>
      <w:r w:rsidRPr="00685DE9">
        <w:rPr>
          <w:rFonts w:ascii="Arial" w:hAnsi="Arial" w:cs="Arial"/>
          <w:sz w:val="24"/>
          <w:szCs w:val="24"/>
          <w:lang w:val="fr-FR"/>
        </w:rPr>
        <w:t xml:space="preserve"> S-Y, </w:t>
      </w:r>
      <w:proofErr w:type="spellStart"/>
      <w:r w:rsidRPr="00685DE9">
        <w:rPr>
          <w:rFonts w:ascii="Arial" w:hAnsi="Arial" w:cs="Arial"/>
          <w:sz w:val="24"/>
          <w:szCs w:val="24"/>
          <w:lang w:val="fr-FR"/>
        </w:rPr>
        <w:t>Roh</w:t>
      </w:r>
      <w:proofErr w:type="spellEnd"/>
      <w:r w:rsidRPr="00685DE9">
        <w:rPr>
          <w:rFonts w:ascii="Arial" w:hAnsi="Arial" w:cs="Arial"/>
          <w:sz w:val="24"/>
          <w:szCs w:val="24"/>
          <w:lang w:val="fr-FR"/>
        </w:rPr>
        <w:t xml:space="preserve"> Y-S. </w:t>
      </w:r>
      <w:r w:rsidRPr="00685DE9">
        <w:rPr>
          <w:rFonts w:ascii="Arial" w:hAnsi="Arial" w:cs="Arial"/>
          <w:sz w:val="24"/>
          <w:szCs w:val="24"/>
        </w:rPr>
        <w:t xml:space="preserve">Oxidative Stress Is a Key Modulator in the Development of Nonalcoholic Fatty Liver Disease. </w:t>
      </w:r>
      <w:proofErr w:type="spellStart"/>
      <w:r w:rsidRPr="00685DE9">
        <w:rPr>
          <w:rFonts w:ascii="Arial" w:hAnsi="Arial" w:cs="Arial"/>
          <w:sz w:val="24"/>
          <w:szCs w:val="24"/>
        </w:rPr>
        <w:t>Antioxid</w:t>
      </w:r>
      <w:proofErr w:type="spellEnd"/>
      <w:r w:rsidRPr="00685DE9">
        <w:rPr>
          <w:rFonts w:ascii="Arial" w:hAnsi="Arial" w:cs="Arial"/>
          <w:sz w:val="24"/>
          <w:szCs w:val="24"/>
        </w:rPr>
        <w:t xml:space="preserve">. Basel Switz. </w:t>
      </w:r>
      <w:proofErr w:type="gramStart"/>
      <w:r w:rsidRPr="00685DE9">
        <w:rPr>
          <w:rFonts w:ascii="Arial" w:hAnsi="Arial" w:cs="Arial"/>
          <w:sz w:val="24"/>
          <w:szCs w:val="24"/>
        </w:rPr>
        <w:t>2021;11:91</w:t>
      </w:r>
      <w:proofErr w:type="gramEnd"/>
      <w:r w:rsidRPr="00685DE9">
        <w:rPr>
          <w:rFonts w:ascii="Arial" w:hAnsi="Arial" w:cs="Arial"/>
          <w:sz w:val="24"/>
          <w:szCs w:val="24"/>
        </w:rPr>
        <w:t>.</w:t>
      </w:r>
    </w:p>
    <w:p w14:paraId="7683D3F2" w14:textId="352DEF95" w:rsidR="00E2404F" w:rsidRPr="00685DE9" w:rsidRDefault="000A4C0E" w:rsidP="00E05F7A">
      <w:pPr>
        <w:spacing w:after="0"/>
        <w:jc w:val="both"/>
        <w:rPr>
          <w:rFonts w:ascii="Arial" w:hAnsi="Arial" w:cs="Arial"/>
          <w:sz w:val="24"/>
          <w:szCs w:val="24"/>
        </w:rPr>
      </w:pPr>
      <w:r w:rsidRPr="00685DE9">
        <w:rPr>
          <w:rFonts w:ascii="Arial" w:hAnsi="Arial" w:cs="Arial"/>
          <w:sz w:val="24"/>
          <w:szCs w:val="24"/>
        </w:rPr>
        <w:t>Suppl.</w:t>
      </w:r>
      <w:r w:rsidR="00534E3C" w:rsidRPr="00685DE9">
        <w:rPr>
          <w:rFonts w:ascii="Arial" w:hAnsi="Arial" w:cs="Arial"/>
          <w:sz w:val="24"/>
          <w:szCs w:val="24"/>
        </w:rPr>
        <w:t xml:space="preserve"> Ref 8.</w:t>
      </w:r>
      <w:r w:rsidRPr="00685DE9">
        <w:rPr>
          <w:rFonts w:ascii="Arial" w:hAnsi="Arial" w:cs="Arial"/>
          <w:sz w:val="24"/>
          <w:szCs w:val="24"/>
        </w:rPr>
        <w:t xml:space="preserve"> Fontana GA, </w:t>
      </w:r>
      <w:proofErr w:type="spellStart"/>
      <w:r w:rsidRPr="00685DE9">
        <w:rPr>
          <w:rFonts w:ascii="Arial" w:hAnsi="Arial" w:cs="Arial"/>
          <w:sz w:val="24"/>
          <w:szCs w:val="24"/>
        </w:rPr>
        <w:t>Gahlon</w:t>
      </w:r>
      <w:proofErr w:type="spellEnd"/>
      <w:r w:rsidRPr="00685DE9">
        <w:rPr>
          <w:rFonts w:ascii="Arial" w:hAnsi="Arial" w:cs="Arial"/>
          <w:sz w:val="24"/>
          <w:szCs w:val="24"/>
        </w:rPr>
        <w:t xml:space="preserve"> HL. Mechanisms of replication and repair in mitochondrial</w:t>
      </w:r>
      <w:r w:rsidR="00534E3C" w:rsidRPr="00685DE9">
        <w:rPr>
          <w:rFonts w:ascii="Arial" w:hAnsi="Arial" w:cs="Arial"/>
          <w:sz w:val="24"/>
          <w:szCs w:val="24"/>
        </w:rPr>
        <w:t xml:space="preserve"> </w:t>
      </w:r>
      <w:r w:rsidRPr="00685DE9">
        <w:rPr>
          <w:rFonts w:ascii="Arial" w:hAnsi="Arial" w:cs="Arial"/>
          <w:sz w:val="24"/>
          <w:szCs w:val="24"/>
        </w:rPr>
        <w:t xml:space="preserve">DNA deletion formation. Nucleic Acids Res. </w:t>
      </w:r>
      <w:proofErr w:type="gramStart"/>
      <w:r w:rsidRPr="00685DE9">
        <w:rPr>
          <w:rFonts w:ascii="Arial" w:hAnsi="Arial" w:cs="Arial"/>
          <w:sz w:val="24"/>
          <w:szCs w:val="24"/>
        </w:rPr>
        <w:t>2020;48:11244</w:t>
      </w:r>
      <w:proofErr w:type="gramEnd"/>
      <w:r w:rsidRPr="00685DE9">
        <w:rPr>
          <w:rFonts w:ascii="Arial" w:hAnsi="Arial" w:cs="Arial"/>
          <w:sz w:val="24"/>
          <w:szCs w:val="24"/>
        </w:rPr>
        <w:t>–11258.</w:t>
      </w:r>
    </w:p>
    <w:p w14:paraId="439D98C2" w14:textId="73CD37B1" w:rsidR="00E2404F" w:rsidRPr="00685DE9" w:rsidRDefault="00E2404F" w:rsidP="00E05F7A">
      <w:pPr>
        <w:spacing w:after="0"/>
        <w:jc w:val="both"/>
        <w:rPr>
          <w:rFonts w:ascii="Arial" w:hAnsi="Arial" w:cs="Arial"/>
          <w:sz w:val="24"/>
          <w:szCs w:val="24"/>
        </w:rPr>
      </w:pPr>
      <w:r w:rsidRPr="00685DE9">
        <w:rPr>
          <w:rFonts w:ascii="Arial" w:hAnsi="Arial" w:cs="Arial"/>
          <w:sz w:val="24"/>
          <w:szCs w:val="24"/>
        </w:rPr>
        <w:t xml:space="preserve">Suppl. Ref 9. Sanchez-Contreras M, </w:t>
      </w:r>
      <w:proofErr w:type="spellStart"/>
      <w:r w:rsidRPr="00685DE9">
        <w:rPr>
          <w:rFonts w:ascii="Arial" w:hAnsi="Arial" w:cs="Arial"/>
          <w:sz w:val="24"/>
          <w:szCs w:val="24"/>
        </w:rPr>
        <w:t>Sweetwyne</w:t>
      </w:r>
      <w:proofErr w:type="spellEnd"/>
      <w:r w:rsidRPr="00685DE9">
        <w:rPr>
          <w:rFonts w:ascii="Arial" w:hAnsi="Arial" w:cs="Arial"/>
          <w:sz w:val="24"/>
          <w:szCs w:val="24"/>
        </w:rPr>
        <w:t xml:space="preserve"> MT, </w:t>
      </w:r>
      <w:proofErr w:type="spellStart"/>
      <w:r w:rsidRPr="00685DE9">
        <w:rPr>
          <w:rFonts w:ascii="Arial" w:hAnsi="Arial" w:cs="Arial"/>
          <w:sz w:val="24"/>
          <w:szCs w:val="24"/>
        </w:rPr>
        <w:t>Kohrn</w:t>
      </w:r>
      <w:proofErr w:type="spellEnd"/>
      <w:r w:rsidRPr="00685DE9">
        <w:rPr>
          <w:rFonts w:ascii="Arial" w:hAnsi="Arial" w:cs="Arial"/>
          <w:sz w:val="24"/>
          <w:szCs w:val="24"/>
        </w:rPr>
        <w:t xml:space="preserve"> BF, </w:t>
      </w:r>
      <w:proofErr w:type="spellStart"/>
      <w:r w:rsidRPr="00685DE9">
        <w:rPr>
          <w:rFonts w:ascii="Arial" w:hAnsi="Arial" w:cs="Arial"/>
          <w:sz w:val="24"/>
          <w:szCs w:val="24"/>
        </w:rPr>
        <w:t>Tsantilas</w:t>
      </w:r>
      <w:proofErr w:type="spellEnd"/>
      <w:r w:rsidRPr="00685DE9">
        <w:rPr>
          <w:rFonts w:ascii="Arial" w:hAnsi="Arial" w:cs="Arial"/>
          <w:sz w:val="24"/>
          <w:szCs w:val="24"/>
        </w:rPr>
        <w:t xml:space="preserve"> KA, </w:t>
      </w:r>
      <w:proofErr w:type="spellStart"/>
      <w:r w:rsidRPr="00685DE9">
        <w:rPr>
          <w:rFonts w:ascii="Arial" w:hAnsi="Arial" w:cs="Arial"/>
          <w:sz w:val="24"/>
          <w:szCs w:val="24"/>
        </w:rPr>
        <w:t>Hipp</w:t>
      </w:r>
      <w:proofErr w:type="spellEnd"/>
      <w:r w:rsidRPr="00685DE9">
        <w:rPr>
          <w:rFonts w:ascii="Arial" w:hAnsi="Arial" w:cs="Arial"/>
          <w:sz w:val="24"/>
          <w:szCs w:val="24"/>
        </w:rPr>
        <w:t xml:space="preserve"> MJ, Schmidt EK, et al. A replication-linked mutational gradient drives somatic mutation</w:t>
      </w:r>
    </w:p>
    <w:p w14:paraId="0FFA2837" w14:textId="77777777" w:rsidR="00E2404F" w:rsidRPr="00685DE9" w:rsidRDefault="00E2404F" w:rsidP="00E05F7A">
      <w:pPr>
        <w:spacing w:after="0"/>
        <w:jc w:val="both"/>
        <w:rPr>
          <w:rFonts w:ascii="Arial" w:hAnsi="Arial" w:cs="Arial"/>
          <w:sz w:val="24"/>
          <w:szCs w:val="24"/>
        </w:rPr>
      </w:pPr>
      <w:r w:rsidRPr="00685DE9">
        <w:rPr>
          <w:rFonts w:ascii="Arial" w:hAnsi="Arial" w:cs="Arial"/>
          <w:sz w:val="24"/>
          <w:szCs w:val="24"/>
        </w:rPr>
        <w:t>accumulation and influences germline polymorphisms and genome composition in</w:t>
      </w:r>
    </w:p>
    <w:p w14:paraId="4AD65DBC" w14:textId="0425CA92" w:rsidR="00E2404F" w:rsidRPr="00685DE9" w:rsidRDefault="00E2404F" w:rsidP="00E05F7A">
      <w:pPr>
        <w:spacing w:after="0"/>
        <w:jc w:val="both"/>
        <w:rPr>
          <w:rFonts w:ascii="Arial" w:hAnsi="Arial" w:cs="Arial"/>
          <w:sz w:val="24"/>
          <w:szCs w:val="24"/>
        </w:rPr>
      </w:pPr>
      <w:r w:rsidRPr="00685DE9">
        <w:rPr>
          <w:rFonts w:ascii="Arial" w:hAnsi="Arial" w:cs="Arial"/>
          <w:sz w:val="24"/>
          <w:szCs w:val="24"/>
        </w:rPr>
        <w:t xml:space="preserve">mitochondrial DNA. Nucleic Acids Res. </w:t>
      </w:r>
      <w:proofErr w:type="gramStart"/>
      <w:r w:rsidRPr="00685DE9">
        <w:rPr>
          <w:rFonts w:ascii="Arial" w:hAnsi="Arial" w:cs="Arial"/>
          <w:sz w:val="24"/>
          <w:szCs w:val="24"/>
        </w:rPr>
        <w:t>2021;49:11103</w:t>
      </w:r>
      <w:proofErr w:type="gramEnd"/>
      <w:r w:rsidRPr="00685DE9">
        <w:rPr>
          <w:rFonts w:ascii="Arial" w:hAnsi="Arial" w:cs="Arial"/>
          <w:sz w:val="24"/>
          <w:szCs w:val="24"/>
        </w:rPr>
        <w:t>–11118.</w:t>
      </w:r>
    </w:p>
    <w:p w14:paraId="5C9A808C" w14:textId="4610B864" w:rsidR="00965F28" w:rsidRPr="00685DE9" w:rsidRDefault="00E2404F" w:rsidP="00E05F7A">
      <w:pPr>
        <w:spacing w:after="0"/>
        <w:jc w:val="both"/>
        <w:rPr>
          <w:rFonts w:ascii="Arial" w:hAnsi="Arial" w:cs="Arial"/>
          <w:sz w:val="24"/>
          <w:szCs w:val="24"/>
          <w:lang w:val="fr-FR"/>
        </w:rPr>
      </w:pPr>
      <w:r w:rsidRPr="00685DE9">
        <w:rPr>
          <w:rFonts w:ascii="Arial" w:hAnsi="Arial" w:cs="Arial"/>
          <w:sz w:val="24"/>
          <w:szCs w:val="24"/>
        </w:rPr>
        <w:t xml:space="preserve">Suppl. Ref 10. Wallace DC. Mitochondrial genetics: a paradigm for aging and degenerative diseases? </w:t>
      </w:r>
      <w:r w:rsidRPr="00685DE9">
        <w:rPr>
          <w:rFonts w:ascii="Arial" w:hAnsi="Arial" w:cs="Arial"/>
          <w:sz w:val="24"/>
          <w:szCs w:val="24"/>
          <w:lang w:val="fr-FR"/>
        </w:rPr>
        <w:t xml:space="preserve">Science. </w:t>
      </w:r>
      <w:proofErr w:type="gramStart"/>
      <w:r w:rsidRPr="00685DE9">
        <w:rPr>
          <w:rFonts w:ascii="Arial" w:hAnsi="Arial" w:cs="Arial"/>
          <w:sz w:val="24"/>
          <w:szCs w:val="24"/>
          <w:lang w:val="fr-FR"/>
        </w:rPr>
        <w:t>1992;</w:t>
      </w:r>
      <w:proofErr w:type="gramEnd"/>
      <w:r w:rsidRPr="00685DE9">
        <w:rPr>
          <w:rFonts w:ascii="Arial" w:hAnsi="Arial" w:cs="Arial"/>
          <w:sz w:val="24"/>
          <w:szCs w:val="24"/>
          <w:lang w:val="fr-FR"/>
        </w:rPr>
        <w:t>256:628–632.</w:t>
      </w:r>
    </w:p>
    <w:p w14:paraId="2F47E10E" w14:textId="59C6B438" w:rsidR="00965F28" w:rsidRPr="00685DE9" w:rsidRDefault="00965F28" w:rsidP="00E05F7A">
      <w:pPr>
        <w:spacing w:after="0"/>
        <w:jc w:val="both"/>
        <w:rPr>
          <w:rFonts w:ascii="Arial" w:hAnsi="Arial" w:cs="Arial"/>
          <w:sz w:val="24"/>
          <w:szCs w:val="24"/>
        </w:rPr>
      </w:pPr>
      <w:r w:rsidRPr="00685DE9">
        <w:rPr>
          <w:rFonts w:ascii="Arial" w:hAnsi="Arial" w:cs="Arial"/>
          <w:sz w:val="24"/>
          <w:szCs w:val="24"/>
          <w:lang w:val="fr-FR"/>
        </w:rPr>
        <w:t xml:space="preserve">Suppl. </w:t>
      </w:r>
      <w:proofErr w:type="spellStart"/>
      <w:r w:rsidRPr="00685DE9">
        <w:rPr>
          <w:rFonts w:ascii="Arial" w:hAnsi="Arial" w:cs="Arial"/>
          <w:sz w:val="24"/>
          <w:szCs w:val="24"/>
          <w:lang w:val="fr-FR"/>
        </w:rPr>
        <w:t>Ref</w:t>
      </w:r>
      <w:proofErr w:type="spellEnd"/>
      <w:r w:rsidRPr="00685DE9">
        <w:rPr>
          <w:rFonts w:ascii="Arial" w:hAnsi="Arial" w:cs="Arial"/>
          <w:sz w:val="24"/>
          <w:szCs w:val="24"/>
          <w:lang w:val="fr-FR"/>
        </w:rPr>
        <w:t xml:space="preserve"> 11. </w:t>
      </w:r>
      <w:r w:rsidRPr="00685DE9">
        <w:rPr>
          <w:rFonts w:ascii="Arial" w:hAnsi="Arial" w:cs="Arial"/>
          <w:sz w:val="24"/>
          <w:szCs w:val="24"/>
          <w:lang w:val="fr-FR"/>
        </w:rPr>
        <w:tab/>
        <w:t xml:space="preserve">Liu K, Qiu D, Liang X, Huang Y, Wang </w:t>
      </w:r>
      <w:proofErr w:type="spellStart"/>
      <w:r w:rsidRPr="00685DE9">
        <w:rPr>
          <w:rFonts w:ascii="Arial" w:hAnsi="Arial" w:cs="Arial"/>
          <w:sz w:val="24"/>
          <w:szCs w:val="24"/>
          <w:lang w:val="fr-FR"/>
        </w:rPr>
        <w:t>Y</w:t>
      </w:r>
      <w:proofErr w:type="spellEnd"/>
      <w:r w:rsidRPr="00685DE9">
        <w:rPr>
          <w:rFonts w:ascii="Arial" w:hAnsi="Arial" w:cs="Arial"/>
          <w:sz w:val="24"/>
          <w:szCs w:val="24"/>
          <w:lang w:val="fr-FR"/>
        </w:rPr>
        <w:t xml:space="preserve">, Jia X, et al. </w:t>
      </w:r>
      <w:proofErr w:type="spellStart"/>
      <w:r w:rsidRPr="00685DE9">
        <w:rPr>
          <w:rFonts w:ascii="Arial" w:hAnsi="Arial" w:cs="Arial"/>
          <w:sz w:val="24"/>
          <w:szCs w:val="24"/>
        </w:rPr>
        <w:t>Lipotoxicity</w:t>
      </w:r>
      <w:proofErr w:type="spellEnd"/>
      <w:r w:rsidRPr="00685DE9">
        <w:rPr>
          <w:rFonts w:ascii="Arial" w:hAnsi="Arial" w:cs="Arial"/>
          <w:sz w:val="24"/>
          <w:szCs w:val="24"/>
        </w:rPr>
        <w:t>-induced</w:t>
      </w:r>
    </w:p>
    <w:p w14:paraId="73919C71" w14:textId="77777777" w:rsidR="00965F28" w:rsidRPr="00685DE9" w:rsidRDefault="00965F28" w:rsidP="00E05F7A">
      <w:pPr>
        <w:spacing w:after="0"/>
        <w:jc w:val="both"/>
        <w:rPr>
          <w:rFonts w:ascii="Arial" w:hAnsi="Arial" w:cs="Arial"/>
          <w:sz w:val="24"/>
          <w:szCs w:val="24"/>
        </w:rPr>
      </w:pPr>
      <w:r w:rsidRPr="00685DE9">
        <w:rPr>
          <w:rFonts w:ascii="Arial" w:hAnsi="Arial" w:cs="Arial"/>
          <w:sz w:val="24"/>
          <w:szCs w:val="24"/>
        </w:rPr>
        <w:t xml:space="preserve">STING1 activation stimulates MTORC1 and restricts hepatic </w:t>
      </w:r>
      <w:proofErr w:type="spellStart"/>
      <w:r w:rsidRPr="00685DE9">
        <w:rPr>
          <w:rFonts w:ascii="Arial" w:hAnsi="Arial" w:cs="Arial"/>
          <w:sz w:val="24"/>
          <w:szCs w:val="24"/>
        </w:rPr>
        <w:t>lipophagy</w:t>
      </w:r>
      <w:proofErr w:type="spellEnd"/>
      <w:r w:rsidRPr="00685DE9">
        <w:rPr>
          <w:rFonts w:ascii="Arial" w:hAnsi="Arial" w:cs="Arial"/>
          <w:sz w:val="24"/>
          <w:szCs w:val="24"/>
        </w:rPr>
        <w:t>. Autophagy.</w:t>
      </w:r>
    </w:p>
    <w:p w14:paraId="468C3117" w14:textId="342B8A65" w:rsidR="00965F28" w:rsidRPr="00685DE9" w:rsidRDefault="00965F28" w:rsidP="00E05F7A">
      <w:pPr>
        <w:spacing w:after="0"/>
        <w:jc w:val="both"/>
        <w:rPr>
          <w:rFonts w:ascii="Arial" w:hAnsi="Arial" w:cs="Arial"/>
          <w:sz w:val="24"/>
          <w:szCs w:val="24"/>
        </w:rPr>
      </w:pPr>
      <w:r w:rsidRPr="00685DE9">
        <w:rPr>
          <w:rFonts w:ascii="Arial" w:hAnsi="Arial" w:cs="Arial"/>
          <w:sz w:val="24"/>
          <w:szCs w:val="24"/>
        </w:rPr>
        <w:t>2021;1–17.</w:t>
      </w:r>
    </w:p>
    <w:p w14:paraId="794DAC23" w14:textId="2813D8B1" w:rsidR="005679A2" w:rsidRPr="00685DE9" w:rsidRDefault="00EA349C" w:rsidP="00EA349C">
      <w:pPr>
        <w:autoSpaceDN/>
        <w:spacing w:after="160" w:line="259" w:lineRule="auto"/>
        <w:rPr>
          <w:rFonts w:ascii="Arial" w:hAnsi="Arial" w:cs="Arial"/>
          <w:b/>
          <w:sz w:val="24"/>
          <w:szCs w:val="24"/>
        </w:rPr>
      </w:pPr>
      <w:r w:rsidRPr="00685DE9">
        <w:rPr>
          <w:rFonts w:ascii="Arial" w:hAnsi="Arial" w:cs="Arial"/>
          <w:b/>
          <w:sz w:val="24"/>
          <w:szCs w:val="24"/>
        </w:rPr>
        <w:br w:type="page"/>
      </w:r>
      <w:r w:rsidR="005679A2" w:rsidRPr="00685DE9">
        <w:rPr>
          <w:rFonts w:ascii="Arial" w:hAnsi="Arial" w:cs="Arial"/>
          <w:b/>
        </w:rPr>
        <w:lastRenderedPageBreak/>
        <w:t>SUPPLEMENTAL TABLES</w:t>
      </w:r>
    </w:p>
    <w:p w14:paraId="6B168242" w14:textId="6DEF70A8" w:rsidR="002E621A" w:rsidRPr="00685DE9" w:rsidRDefault="00DE47F7" w:rsidP="002E621A">
      <w:pPr>
        <w:spacing w:before="100" w:beforeAutospacing="1" w:after="100" w:afterAutospacing="1" w:line="360" w:lineRule="auto"/>
        <w:jc w:val="both"/>
        <w:rPr>
          <w:rFonts w:ascii="Arial" w:hAnsi="Arial" w:cs="Arial"/>
        </w:rPr>
      </w:pPr>
      <w:r w:rsidRPr="00685DE9">
        <w:rPr>
          <w:rStyle w:val="element-citation"/>
          <w:rFonts w:ascii="Arial" w:hAnsi="Arial" w:cs="Arial"/>
          <w:b/>
        </w:rPr>
        <w:t xml:space="preserve">Supplemental </w:t>
      </w:r>
      <w:r w:rsidR="002E621A" w:rsidRPr="00685DE9">
        <w:rPr>
          <w:rFonts w:ascii="Arial" w:hAnsi="Arial" w:cs="Arial"/>
          <w:b/>
        </w:rPr>
        <w:t xml:space="preserve">Table </w:t>
      </w:r>
      <w:r w:rsidR="00EC2E8E" w:rsidRPr="00685DE9">
        <w:rPr>
          <w:rFonts w:ascii="Arial" w:hAnsi="Arial" w:cs="Arial"/>
          <w:b/>
        </w:rPr>
        <w:t>1</w:t>
      </w:r>
      <w:r w:rsidR="002E621A" w:rsidRPr="00685DE9">
        <w:rPr>
          <w:rFonts w:ascii="Arial" w:hAnsi="Arial" w:cs="Arial"/>
          <w:b/>
        </w:rPr>
        <w:t xml:space="preserve">. </w:t>
      </w:r>
      <w:r w:rsidR="002E621A" w:rsidRPr="00685DE9">
        <w:rPr>
          <w:rFonts w:ascii="Arial" w:hAnsi="Arial" w:cs="Arial"/>
        </w:rPr>
        <w:t>Oligonucleotide Primers.</w:t>
      </w:r>
    </w:p>
    <w:tbl>
      <w:tblPr>
        <w:tblW w:w="11212" w:type="dxa"/>
        <w:tblInd w:w="-708" w:type="dxa"/>
        <w:tblCellMar>
          <w:left w:w="70" w:type="dxa"/>
          <w:right w:w="70" w:type="dxa"/>
        </w:tblCellMar>
        <w:tblLook w:val="04A0" w:firstRow="1" w:lastRow="0" w:firstColumn="1" w:lastColumn="0" w:noHBand="0" w:noVBand="1"/>
      </w:tblPr>
      <w:tblGrid>
        <w:gridCol w:w="2300"/>
        <w:gridCol w:w="2535"/>
        <w:gridCol w:w="1048"/>
        <w:gridCol w:w="5329"/>
      </w:tblGrid>
      <w:tr w:rsidR="00685DE9" w:rsidRPr="00685DE9" w14:paraId="1D8FBB00" w14:textId="77777777" w:rsidTr="002E621A">
        <w:trPr>
          <w:trHeight w:val="286"/>
        </w:trPr>
        <w:tc>
          <w:tcPr>
            <w:tcW w:w="2300" w:type="dxa"/>
            <w:tcBorders>
              <w:top w:val="single" w:sz="8" w:space="0" w:color="auto"/>
              <w:left w:val="nil"/>
              <w:bottom w:val="single" w:sz="8" w:space="0" w:color="auto"/>
              <w:right w:val="nil"/>
            </w:tcBorders>
            <w:shd w:val="clear" w:color="auto" w:fill="auto"/>
            <w:vAlign w:val="bottom"/>
            <w:hideMark/>
          </w:tcPr>
          <w:p w14:paraId="599004B4"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Symbol</w:t>
            </w:r>
          </w:p>
        </w:tc>
        <w:tc>
          <w:tcPr>
            <w:tcW w:w="2535" w:type="dxa"/>
            <w:tcBorders>
              <w:top w:val="single" w:sz="8" w:space="0" w:color="auto"/>
              <w:left w:val="nil"/>
              <w:bottom w:val="single" w:sz="8" w:space="0" w:color="auto"/>
              <w:right w:val="nil"/>
            </w:tcBorders>
            <w:shd w:val="clear" w:color="auto" w:fill="auto"/>
            <w:vAlign w:val="bottom"/>
            <w:hideMark/>
          </w:tcPr>
          <w:p w14:paraId="0511486F"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Name</w:t>
            </w:r>
          </w:p>
        </w:tc>
        <w:tc>
          <w:tcPr>
            <w:tcW w:w="1048" w:type="dxa"/>
            <w:tcBorders>
              <w:top w:val="single" w:sz="8" w:space="0" w:color="auto"/>
              <w:left w:val="nil"/>
              <w:bottom w:val="single" w:sz="8" w:space="0" w:color="auto"/>
              <w:right w:val="nil"/>
            </w:tcBorders>
            <w:shd w:val="clear" w:color="auto" w:fill="auto"/>
            <w:vAlign w:val="bottom"/>
            <w:hideMark/>
          </w:tcPr>
          <w:p w14:paraId="0314720A"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Primer</w:t>
            </w:r>
          </w:p>
        </w:tc>
        <w:tc>
          <w:tcPr>
            <w:tcW w:w="5329" w:type="dxa"/>
            <w:tcBorders>
              <w:top w:val="single" w:sz="8" w:space="0" w:color="auto"/>
              <w:left w:val="nil"/>
              <w:bottom w:val="single" w:sz="8" w:space="0" w:color="auto"/>
              <w:right w:val="nil"/>
            </w:tcBorders>
            <w:shd w:val="clear" w:color="auto" w:fill="auto"/>
            <w:vAlign w:val="bottom"/>
            <w:hideMark/>
          </w:tcPr>
          <w:p w14:paraId="4267A773"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Sequence</w:t>
            </w:r>
          </w:p>
        </w:tc>
      </w:tr>
      <w:tr w:rsidR="00685DE9" w:rsidRPr="00685DE9" w14:paraId="2D9AE16D" w14:textId="77777777" w:rsidTr="00270279">
        <w:trPr>
          <w:trHeight w:val="256"/>
        </w:trPr>
        <w:tc>
          <w:tcPr>
            <w:tcW w:w="11212" w:type="dxa"/>
            <w:gridSpan w:val="4"/>
            <w:tcBorders>
              <w:top w:val="single" w:sz="8" w:space="0" w:color="auto"/>
              <w:left w:val="nil"/>
              <w:bottom w:val="single" w:sz="8" w:space="0" w:color="auto"/>
              <w:right w:val="nil"/>
            </w:tcBorders>
            <w:shd w:val="clear" w:color="auto" w:fill="auto"/>
            <w:vAlign w:val="center"/>
            <w:hideMark/>
          </w:tcPr>
          <w:p w14:paraId="2E05BFC6"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Primers used for qPCR</w:t>
            </w:r>
          </w:p>
        </w:tc>
      </w:tr>
      <w:tr w:rsidR="00685DE9" w:rsidRPr="00685DE9" w14:paraId="5C76828D" w14:textId="77777777" w:rsidTr="002E621A">
        <w:trPr>
          <w:trHeight w:val="256"/>
        </w:trPr>
        <w:tc>
          <w:tcPr>
            <w:tcW w:w="2300" w:type="dxa"/>
            <w:vMerge w:val="restart"/>
            <w:tcBorders>
              <w:top w:val="nil"/>
              <w:left w:val="nil"/>
              <w:bottom w:val="nil"/>
              <w:right w:val="nil"/>
            </w:tcBorders>
            <w:shd w:val="clear" w:color="auto" w:fill="auto"/>
            <w:vAlign w:val="center"/>
            <w:hideMark/>
          </w:tcPr>
          <w:p w14:paraId="29C6EBEA"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GADPH</w:t>
            </w:r>
          </w:p>
        </w:tc>
        <w:tc>
          <w:tcPr>
            <w:tcW w:w="2535" w:type="dxa"/>
            <w:vMerge w:val="restart"/>
            <w:tcBorders>
              <w:top w:val="nil"/>
              <w:left w:val="nil"/>
              <w:bottom w:val="nil"/>
              <w:right w:val="nil"/>
            </w:tcBorders>
            <w:shd w:val="clear" w:color="auto" w:fill="auto"/>
            <w:vAlign w:val="center"/>
            <w:hideMark/>
          </w:tcPr>
          <w:p w14:paraId="4F55374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D-glyceraldehyde-3-phosphate dehydrogenase</w:t>
            </w:r>
          </w:p>
        </w:tc>
        <w:tc>
          <w:tcPr>
            <w:tcW w:w="1048" w:type="dxa"/>
            <w:tcBorders>
              <w:top w:val="nil"/>
              <w:left w:val="nil"/>
              <w:bottom w:val="nil"/>
              <w:right w:val="nil"/>
            </w:tcBorders>
            <w:shd w:val="clear" w:color="auto" w:fill="auto"/>
            <w:vAlign w:val="center"/>
            <w:hideMark/>
          </w:tcPr>
          <w:p w14:paraId="1335FB9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1901285F"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5'-GAA GGT GAA GGT CGG AGT CA-3'</w:t>
            </w:r>
          </w:p>
        </w:tc>
      </w:tr>
      <w:tr w:rsidR="00685DE9" w:rsidRPr="00685DE9" w14:paraId="226FB00A" w14:textId="77777777" w:rsidTr="002E621A">
        <w:trPr>
          <w:trHeight w:val="256"/>
        </w:trPr>
        <w:tc>
          <w:tcPr>
            <w:tcW w:w="2300" w:type="dxa"/>
            <w:vMerge/>
            <w:tcBorders>
              <w:top w:val="nil"/>
              <w:left w:val="nil"/>
              <w:bottom w:val="nil"/>
              <w:right w:val="nil"/>
            </w:tcBorders>
            <w:vAlign w:val="center"/>
            <w:hideMark/>
          </w:tcPr>
          <w:p w14:paraId="497B4459"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18F9DE1B"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44CA6822"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2409AE47"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5'-ATT GAA GGG GTC ATT GAT GG-3'</w:t>
            </w:r>
          </w:p>
        </w:tc>
      </w:tr>
      <w:tr w:rsidR="00685DE9" w:rsidRPr="00685DE9" w14:paraId="6D9FAE78" w14:textId="77777777" w:rsidTr="002E621A">
        <w:trPr>
          <w:trHeight w:val="256"/>
        </w:trPr>
        <w:tc>
          <w:tcPr>
            <w:tcW w:w="2300" w:type="dxa"/>
            <w:vMerge w:val="restart"/>
            <w:tcBorders>
              <w:top w:val="nil"/>
              <w:left w:val="nil"/>
              <w:bottom w:val="nil"/>
              <w:right w:val="nil"/>
            </w:tcBorders>
            <w:shd w:val="clear" w:color="auto" w:fill="auto"/>
            <w:vAlign w:val="center"/>
            <w:hideMark/>
          </w:tcPr>
          <w:p w14:paraId="31C125BB"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MT-CO1</w:t>
            </w:r>
          </w:p>
        </w:tc>
        <w:tc>
          <w:tcPr>
            <w:tcW w:w="2535" w:type="dxa"/>
            <w:vMerge w:val="restart"/>
            <w:tcBorders>
              <w:top w:val="nil"/>
              <w:left w:val="nil"/>
              <w:bottom w:val="nil"/>
              <w:right w:val="nil"/>
            </w:tcBorders>
            <w:shd w:val="clear" w:color="auto" w:fill="auto"/>
            <w:vAlign w:val="center"/>
            <w:hideMark/>
          </w:tcPr>
          <w:p w14:paraId="59D1565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Cytochrome c oxidase 1</w:t>
            </w:r>
          </w:p>
        </w:tc>
        <w:tc>
          <w:tcPr>
            <w:tcW w:w="1048" w:type="dxa"/>
            <w:tcBorders>
              <w:top w:val="nil"/>
              <w:left w:val="nil"/>
              <w:bottom w:val="nil"/>
              <w:right w:val="nil"/>
            </w:tcBorders>
            <w:shd w:val="clear" w:color="auto" w:fill="auto"/>
            <w:vAlign w:val="center"/>
            <w:hideMark/>
          </w:tcPr>
          <w:p w14:paraId="4EE94408"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65E3C23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5'-CCT GAC TGG CAT TGT ATT AGC-3'</w:t>
            </w:r>
          </w:p>
        </w:tc>
      </w:tr>
      <w:tr w:rsidR="00685DE9" w:rsidRPr="00685DE9" w14:paraId="23D25E31" w14:textId="77777777" w:rsidTr="002E621A">
        <w:trPr>
          <w:trHeight w:val="225"/>
        </w:trPr>
        <w:tc>
          <w:tcPr>
            <w:tcW w:w="2300" w:type="dxa"/>
            <w:vMerge/>
            <w:tcBorders>
              <w:top w:val="nil"/>
              <w:left w:val="nil"/>
              <w:bottom w:val="nil"/>
              <w:right w:val="nil"/>
            </w:tcBorders>
            <w:vAlign w:val="center"/>
            <w:hideMark/>
          </w:tcPr>
          <w:p w14:paraId="21F52BA7"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55987B76"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55C536E2"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09D74DDA"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5'-TTT TGG CGT AGG TTT GGT CT-3'</w:t>
            </w:r>
          </w:p>
        </w:tc>
      </w:tr>
      <w:tr w:rsidR="00685DE9" w:rsidRPr="00685DE9" w14:paraId="5D250BF8" w14:textId="77777777" w:rsidTr="002E621A">
        <w:trPr>
          <w:trHeight w:val="271"/>
        </w:trPr>
        <w:tc>
          <w:tcPr>
            <w:tcW w:w="2300" w:type="dxa"/>
            <w:vMerge w:val="restart"/>
            <w:tcBorders>
              <w:top w:val="nil"/>
              <w:left w:val="nil"/>
              <w:bottom w:val="nil"/>
              <w:right w:val="nil"/>
            </w:tcBorders>
            <w:shd w:val="clear" w:color="auto" w:fill="auto"/>
            <w:vAlign w:val="center"/>
            <w:hideMark/>
          </w:tcPr>
          <w:p w14:paraId="587447E7"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MT-CO2</w:t>
            </w:r>
          </w:p>
        </w:tc>
        <w:tc>
          <w:tcPr>
            <w:tcW w:w="2535" w:type="dxa"/>
            <w:vMerge w:val="restart"/>
            <w:tcBorders>
              <w:top w:val="nil"/>
              <w:left w:val="nil"/>
              <w:bottom w:val="nil"/>
              <w:right w:val="nil"/>
            </w:tcBorders>
            <w:shd w:val="clear" w:color="auto" w:fill="auto"/>
            <w:vAlign w:val="center"/>
            <w:hideMark/>
          </w:tcPr>
          <w:p w14:paraId="7FF75B68"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Cytochrome c oxidase 2</w:t>
            </w:r>
          </w:p>
        </w:tc>
        <w:tc>
          <w:tcPr>
            <w:tcW w:w="1048" w:type="dxa"/>
            <w:tcBorders>
              <w:top w:val="nil"/>
              <w:left w:val="nil"/>
              <w:bottom w:val="nil"/>
              <w:right w:val="nil"/>
            </w:tcBorders>
            <w:shd w:val="clear" w:color="auto" w:fill="auto"/>
            <w:vAlign w:val="center"/>
            <w:hideMark/>
          </w:tcPr>
          <w:p w14:paraId="4F7A939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2C7D474C"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5'-AGA TGC AAT TCC CGG ACG T-3'</w:t>
            </w:r>
          </w:p>
        </w:tc>
      </w:tr>
      <w:tr w:rsidR="00685DE9" w:rsidRPr="00685DE9" w14:paraId="06C98413" w14:textId="77777777" w:rsidTr="002E621A">
        <w:trPr>
          <w:trHeight w:val="271"/>
        </w:trPr>
        <w:tc>
          <w:tcPr>
            <w:tcW w:w="2300" w:type="dxa"/>
            <w:vMerge/>
            <w:tcBorders>
              <w:top w:val="nil"/>
              <w:left w:val="nil"/>
              <w:bottom w:val="nil"/>
              <w:right w:val="nil"/>
            </w:tcBorders>
            <w:vAlign w:val="center"/>
            <w:hideMark/>
          </w:tcPr>
          <w:p w14:paraId="71490F5E"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1ADF8708"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0C4BF76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595E03E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5'-CAT GTC CAG CAT CCT CTT GGT-3'</w:t>
            </w:r>
          </w:p>
        </w:tc>
      </w:tr>
      <w:tr w:rsidR="00685DE9" w:rsidRPr="00685DE9" w14:paraId="11D4AC30" w14:textId="77777777" w:rsidTr="002E621A">
        <w:trPr>
          <w:trHeight w:val="256"/>
        </w:trPr>
        <w:tc>
          <w:tcPr>
            <w:tcW w:w="2300" w:type="dxa"/>
            <w:vMerge w:val="restart"/>
            <w:tcBorders>
              <w:top w:val="nil"/>
              <w:left w:val="nil"/>
              <w:bottom w:val="nil"/>
              <w:right w:val="nil"/>
            </w:tcBorders>
            <w:shd w:val="clear" w:color="auto" w:fill="auto"/>
            <w:vAlign w:val="center"/>
            <w:hideMark/>
          </w:tcPr>
          <w:p w14:paraId="7BDC92BB"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COX4i1</w:t>
            </w:r>
          </w:p>
        </w:tc>
        <w:tc>
          <w:tcPr>
            <w:tcW w:w="2535" w:type="dxa"/>
            <w:vMerge w:val="restart"/>
            <w:tcBorders>
              <w:top w:val="nil"/>
              <w:left w:val="nil"/>
              <w:bottom w:val="nil"/>
              <w:right w:val="nil"/>
            </w:tcBorders>
            <w:shd w:val="clear" w:color="auto" w:fill="auto"/>
            <w:vAlign w:val="center"/>
            <w:hideMark/>
          </w:tcPr>
          <w:p w14:paraId="57F61B3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Cytochrome c oxidase 4</w:t>
            </w:r>
          </w:p>
        </w:tc>
        <w:tc>
          <w:tcPr>
            <w:tcW w:w="1048" w:type="dxa"/>
            <w:tcBorders>
              <w:top w:val="nil"/>
              <w:left w:val="nil"/>
              <w:bottom w:val="nil"/>
              <w:right w:val="nil"/>
            </w:tcBorders>
            <w:shd w:val="clear" w:color="auto" w:fill="auto"/>
            <w:vAlign w:val="center"/>
            <w:hideMark/>
          </w:tcPr>
          <w:p w14:paraId="177F4D53"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09C6270C"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5'-ACC GCG CTC GTT ATC ATG TG-3'</w:t>
            </w:r>
          </w:p>
        </w:tc>
      </w:tr>
      <w:tr w:rsidR="00685DE9" w:rsidRPr="00685DE9" w14:paraId="1757F971" w14:textId="77777777" w:rsidTr="002E621A">
        <w:trPr>
          <w:trHeight w:val="241"/>
        </w:trPr>
        <w:tc>
          <w:tcPr>
            <w:tcW w:w="2300" w:type="dxa"/>
            <w:vMerge/>
            <w:tcBorders>
              <w:top w:val="nil"/>
              <w:left w:val="nil"/>
              <w:bottom w:val="nil"/>
              <w:right w:val="nil"/>
            </w:tcBorders>
            <w:vAlign w:val="center"/>
            <w:hideMark/>
          </w:tcPr>
          <w:p w14:paraId="26DE6317"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3C8C1EEE"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668B656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0CBF060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5'CAT GTC CAG CAT CCT CTT GGT-3'</w:t>
            </w:r>
          </w:p>
        </w:tc>
      </w:tr>
      <w:tr w:rsidR="00685DE9" w:rsidRPr="00685DE9" w14:paraId="35B2C0B9" w14:textId="77777777" w:rsidTr="002E621A">
        <w:trPr>
          <w:trHeight w:val="316"/>
        </w:trPr>
        <w:tc>
          <w:tcPr>
            <w:tcW w:w="2300" w:type="dxa"/>
            <w:vMerge w:val="restart"/>
            <w:tcBorders>
              <w:top w:val="nil"/>
              <w:left w:val="nil"/>
              <w:bottom w:val="nil"/>
              <w:right w:val="nil"/>
            </w:tcBorders>
            <w:shd w:val="clear" w:color="auto" w:fill="auto"/>
            <w:vAlign w:val="center"/>
            <w:hideMark/>
          </w:tcPr>
          <w:p w14:paraId="250919ED"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LONP1</w:t>
            </w:r>
          </w:p>
        </w:tc>
        <w:tc>
          <w:tcPr>
            <w:tcW w:w="2535" w:type="dxa"/>
            <w:vMerge w:val="restart"/>
            <w:tcBorders>
              <w:top w:val="nil"/>
              <w:left w:val="nil"/>
              <w:bottom w:val="nil"/>
              <w:right w:val="nil"/>
            </w:tcBorders>
            <w:shd w:val="clear" w:color="auto" w:fill="auto"/>
            <w:vAlign w:val="center"/>
            <w:hideMark/>
          </w:tcPr>
          <w:p w14:paraId="69346393"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Lon Peptidase 1 Caseinolytic</w:t>
            </w:r>
          </w:p>
        </w:tc>
        <w:tc>
          <w:tcPr>
            <w:tcW w:w="1048" w:type="dxa"/>
            <w:tcBorders>
              <w:top w:val="nil"/>
              <w:left w:val="nil"/>
              <w:bottom w:val="nil"/>
              <w:right w:val="nil"/>
            </w:tcBorders>
            <w:shd w:val="clear" w:color="auto" w:fill="auto"/>
            <w:vAlign w:val="center"/>
            <w:hideMark/>
          </w:tcPr>
          <w:p w14:paraId="19DCED60"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4B8B2FBA"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5'-GAA GTT GGT TGA GCT </w:t>
            </w:r>
            <w:proofErr w:type="spellStart"/>
            <w:r w:rsidRPr="00685DE9">
              <w:rPr>
                <w:rFonts w:ascii="Arial" w:hAnsi="Arial" w:cs="Arial"/>
                <w:sz w:val="20"/>
                <w:szCs w:val="20"/>
              </w:rPr>
              <w:t>GCT</w:t>
            </w:r>
            <w:proofErr w:type="spellEnd"/>
            <w:r w:rsidRPr="00685DE9">
              <w:rPr>
                <w:rFonts w:ascii="Arial" w:hAnsi="Arial" w:cs="Arial"/>
                <w:sz w:val="20"/>
                <w:szCs w:val="20"/>
              </w:rPr>
              <w:t xml:space="preserve"> GAG-3'</w:t>
            </w:r>
          </w:p>
        </w:tc>
      </w:tr>
      <w:tr w:rsidR="00685DE9" w:rsidRPr="00685DE9" w14:paraId="5C0D88E1" w14:textId="77777777" w:rsidTr="002E621A">
        <w:trPr>
          <w:trHeight w:val="210"/>
        </w:trPr>
        <w:tc>
          <w:tcPr>
            <w:tcW w:w="2300" w:type="dxa"/>
            <w:vMerge/>
            <w:tcBorders>
              <w:top w:val="nil"/>
              <w:left w:val="nil"/>
              <w:bottom w:val="nil"/>
              <w:right w:val="nil"/>
            </w:tcBorders>
            <w:vAlign w:val="center"/>
            <w:hideMark/>
          </w:tcPr>
          <w:p w14:paraId="25983DFE"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5C8F095F"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7667620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772831DB"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5'-ATC TCA TGG ATC TGG GCA AA-3'</w:t>
            </w:r>
          </w:p>
        </w:tc>
      </w:tr>
      <w:tr w:rsidR="00685DE9" w:rsidRPr="00685DE9" w14:paraId="7415AA38" w14:textId="77777777" w:rsidTr="002E621A">
        <w:trPr>
          <w:trHeight w:val="225"/>
        </w:trPr>
        <w:tc>
          <w:tcPr>
            <w:tcW w:w="2300" w:type="dxa"/>
            <w:vMerge w:val="restart"/>
            <w:tcBorders>
              <w:top w:val="nil"/>
              <w:left w:val="nil"/>
              <w:bottom w:val="nil"/>
              <w:right w:val="nil"/>
            </w:tcBorders>
            <w:shd w:val="clear" w:color="auto" w:fill="auto"/>
            <w:vAlign w:val="center"/>
            <w:hideMark/>
          </w:tcPr>
          <w:p w14:paraId="0E49165A"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HSPD1</w:t>
            </w:r>
          </w:p>
        </w:tc>
        <w:tc>
          <w:tcPr>
            <w:tcW w:w="2535" w:type="dxa"/>
            <w:vMerge w:val="restart"/>
            <w:tcBorders>
              <w:top w:val="nil"/>
              <w:left w:val="nil"/>
              <w:bottom w:val="nil"/>
              <w:right w:val="nil"/>
            </w:tcBorders>
            <w:shd w:val="clear" w:color="auto" w:fill="auto"/>
            <w:vAlign w:val="center"/>
            <w:hideMark/>
          </w:tcPr>
          <w:p w14:paraId="24EB42C7"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heat shock protein 60</w:t>
            </w:r>
          </w:p>
        </w:tc>
        <w:tc>
          <w:tcPr>
            <w:tcW w:w="1048" w:type="dxa"/>
            <w:tcBorders>
              <w:top w:val="nil"/>
              <w:left w:val="nil"/>
              <w:bottom w:val="nil"/>
              <w:right w:val="nil"/>
            </w:tcBorders>
            <w:shd w:val="clear" w:color="auto" w:fill="auto"/>
            <w:vAlign w:val="center"/>
            <w:hideMark/>
          </w:tcPr>
          <w:p w14:paraId="706D9C17"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380A095B"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5'-CCC ACA GTC TTT CGC CAG AT-3'</w:t>
            </w:r>
          </w:p>
        </w:tc>
      </w:tr>
      <w:tr w:rsidR="00685DE9" w:rsidRPr="00685DE9" w14:paraId="16DDD2CC" w14:textId="77777777" w:rsidTr="002E621A">
        <w:trPr>
          <w:trHeight w:val="241"/>
        </w:trPr>
        <w:tc>
          <w:tcPr>
            <w:tcW w:w="2300" w:type="dxa"/>
            <w:vMerge/>
            <w:tcBorders>
              <w:top w:val="nil"/>
              <w:left w:val="nil"/>
              <w:bottom w:val="nil"/>
              <w:right w:val="nil"/>
            </w:tcBorders>
            <w:vAlign w:val="center"/>
            <w:hideMark/>
          </w:tcPr>
          <w:p w14:paraId="7E300F17"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14BFE32A"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207A74D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14E1008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5'-GGA CTT CCC CAA CTC TGC TC-3'</w:t>
            </w:r>
          </w:p>
        </w:tc>
      </w:tr>
      <w:tr w:rsidR="00685DE9" w:rsidRPr="00685DE9" w14:paraId="4394BEC0" w14:textId="77777777" w:rsidTr="002E621A">
        <w:trPr>
          <w:trHeight w:val="241"/>
        </w:trPr>
        <w:tc>
          <w:tcPr>
            <w:tcW w:w="2300" w:type="dxa"/>
            <w:vMerge w:val="restart"/>
            <w:tcBorders>
              <w:top w:val="nil"/>
              <w:left w:val="nil"/>
              <w:bottom w:val="nil"/>
              <w:right w:val="nil"/>
            </w:tcBorders>
            <w:shd w:val="clear" w:color="auto" w:fill="auto"/>
            <w:vAlign w:val="center"/>
            <w:hideMark/>
          </w:tcPr>
          <w:p w14:paraId="56ECA5D6"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HSPA9</w:t>
            </w:r>
          </w:p>
        </w:tc>
        <w:tc>
          <w:tcPr>
            <w:tcW w:w="2535" w:type="dxa"/>
            <w:vMerge w:val="restart"/>
            <w:tcBorders>
              <w:top w:val="nil"/>
              <w:left w:val="nil"/>
              <w:bottom w:val="nil"/>
              <w:right w:val="nil"/>
            </w:tcBorders>
            <w:shd w:val="clear" w:color="auto" w:fill="auto"/>
            <w:vAlign w:val="center"/>
            <w:hideMark/>
          </w:tcPr>
          <w:p w14:paraId="4FA2F8C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heat shock protein 70</w:t>
            </w:r>
          </w:p>
        </w:tc>
        <w:tc>
          <w:tcPr>
            <w:tcW w:w="1048" w:type="dxa"/>
            <w:tcBorders>
              <w:top w:val="nil"/>
              <w:left w:val="nil"/>
              <w:bottom w:val="nil"/>
              <w:right w:val="nil"/>
            </w:tcBorders>
            <w:shd w:val="clear" w:color="auto" w:fill="auto"/>
            <w:vAlign w:val="center"/>
            <w:hideMark/>
          </w:tcPr>
          <w:p w14:paraId="3A2DE12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0D2445C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5'-CTG AAG </w:t>
            </w:r>
            <w:proofErr w:type="spellStart"/>
            <w:r w:rsidRPr="00685DE9">
              <w:rPr>
                <w:rFonts w:ascii="Arial" w:hAnsi="Arial" w:cs="Arial"/>
                <w:sz w:val="20"/>
                <w:szCs w:val="20"/>
              </w:rPr>
              <w:t>AAG</w:t>
            </w:r>
            <w:proofErr w:type="spellEnd"/>
            <w:r w:rsidRPr="00685DE9">
              <w:rPr>
                <w:rFonts w:ascii="Arial" w:hAnsi="Arial" w:cs="Arial"/>
                <w:sz w:val="20"/>
                <w:szCs w:val="20"/>
              </w:rPr>
              <w:t xml:space="preserve"> ACC GGC GAA AGA-3'</w:t>
            </w:r>
          </w:p>
        </w:tc>
      </w:tr>
      <w:tr w:rsidR="00685DE9" w:rsidRPr="00685DE9" w14:paraId="70D3BA1D" w14:textId="77777777" w:rsidTr="002E621A">
        <w:trPr>
          <w:trHeight w:val="195"/>
        </w:trPr>
        <w:tc>
          <w:tcPr>
            <w:tcW w:w="2300" w:type="dxa"/>
            <w:vMerge/>
            <w:tcBorders>
              <w:top w:val="nil"/>
              <w:left w:val="nil"/>
              <w:bottom w:val="nil"/>
              <w:right w:val="nil"/>
            </w:tcBorders>
            <w:vAlign w:val="center"/>
            <w:hideMark/>
          </w:tcPr>
          <w:p w14:paraId="3C66AA16"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4997DBC4"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61D6DCDF"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0AE43BB8"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5'-AGC TTG </w:t>
            </w:r>
            <w:proofErr w:type="spellStart"/>
            <w:r w:rsidRPr="00685DE9">
              <w:rPr>
                <w:rFonts w:ascii="Arial" w:hAnsi="Arial" w:cs="Arial"/>
                <w:sz w:val="20"/>
                <w:szCs w:val="20"/>
              </w:rPr>
              <w:t>TTG</w:t>
            </w:r>
            <w:proofErr w:type="spellEnd"/>
            <w:r w:rsidRPr="00685DE9">
              <w:rPr>
                <w:rFonts w:ascii="Arial" w:hAnsi="Arial" w:cs="Arial"/>
                <w:sz w:val="20"/>
                <w:szCs w:val="20"/>
              </w:rPr>
              <w:t xml:space="preserve"> CAC TCA </w:t>
            </w:r>
            <w:proofErr w:type="spellStart"/>
            <w:r w:rsidRPr="00685DE9">
              <w:rPr>
                <w:rFonts w:ascii="Arial" w:hAnsi="Arial" w:cs="Arial"/>
                <w:sz w:val="20"/>
                <w:szCs w:val="20"/>
              </w:rPr>
              <w:t>TCA</w:t>
            </w:r>
            <w:proofErr w:type="spellEnd"/>
            <w:r w:rsidRPr="00685DE9">
              <w:rPr>
                <w:rFonts w:ascii="Arial" w:hAnsi="Arial" w:cs="Arial"/>
                <w:sz w:val="20"/>
                <w:szCs w:val="20"/>
              </w:rPr>
              <w:t xml:space="preserve"> GCA-3'</w:t>
            </w:r>
          </w:p>
        </w:tc>
      </w:tr>
      <w:tr w:rsidR="00685DE9" w:rsidRPr="00685DE9" w14:paraId="7A686455" w14:textId="77777777" w:rsidTr="002E621A">
        <w:trPr>
          <w:trHeight w:val="210"/>
        </w:trPr>
        <w:tc>
          <w:tcPr>
            <w:tcW w:w="2300" w:type="dxa"/>
            <w:vMerge w:val="restart"/>
            <w:tcBorders>
              <w:top w:val="nil"/>
              <w:left w:val="nil"/>
              <w:bottom w:val="nil"/>
              <w:right w:val="nil"/>
            </w:tcBorders>
            <w:shd w:val="clear" w:color="auto" w:fill="auto"/>
            <w:vAlign w:val="center"/>
            <w:hideMark/>
          </w:tcPr>
          <w:p w14:paraId="0597D430"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TFAM</w:t>
            </w:r>
          </w:p>
        </w:tc>
        <w:tc>
          <w:tcPr>
            <w:tcW w:w="2535" w:type="dxa"/>
            <w:vMerge w:val="restart"/>
            <w:tcBorders>
              <w:top w:val="nil"/>
              <w:left w:val="nil"/>
              <w:bottom w:val="nil"/>
              <w:right w:val="nil"/>
            </w:tcBorders>
            <w:shd w:val="clear" w:color="auto" w:fill="auto"/>
            <w:vAlign w:val="center"/>
            <w:hideMark/>
          </w:tcPr>
          <w:p w14:paraId="2CB3ED6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Mitochondrial transcription factor A</w:t>
            </w:r>
          </w:p>
        </w:tc>
        <w:tc>
          <w:tcPr>
            <w:tcW w:w="1048" w:type="dxa"/>
            <w:tcBorders>
              <w:top w:val="nil"/>
              <w:left w:val="nil"/>
              <w:bottom w:val="nil"/>
              <w:right w:val="nil"/>
            </w:tcBorders>
            <w:shd w:val="clear" w:color="auto" w:fill="auto"/>
            <w:vAlign w:val="center"/>
            <w:hideMark/>
          </w:tcPr>
          <w:p w14:paraId="0DA7A2EC"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7322000A"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5'-TTT GCA TCT GGG TTC TGA GCT TTA A-3'</w:t>
            </w:r>
          </w:p>
        </w:tc>
      </w:tr>
      <w:tr w:rsidR="00685DE9" w:rsidRPr="00685DE9" w14:paraId="6021DBA9" w14:textId="77777777" w:rsidTr="002E621A">
        <w:trPr>
          <w:trHeight w:val="241"/>
        </w:trPr>
        <w:tc>
          <w:tcPr>
            <w:tcW w:w="2300" w:type="dxa"/>
            <w:vMerge/>
            <w:tcBorders>
              <w:top w:val="nil"/>
              <w:left w:val="nil"/>
              <w:bottom w:val="nil"/>
              <w:right w:val="nil"/>
            </w:tcBorders>
            <w:vAlign w:val="center"/>
            <w:hideMark/>
          </w:tcPr>
          <w:p w14:paraId="11DE15E1"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0FFA1C1A"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0914D03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7E856FE0"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5'-CGA GGT </w:t>
            </w:r>
            <w:proofErr w:type="spellStart"/>
            <w:r w:rsidRPr="00685DE9">
              <w:rPr>
                <w:rFonts w:ascii="Arial" w:hAnsi="Arial" w:cs="Arial"/>
                <w:sz w:val="20"/>
                <w:szCs w:val="20"/>
              </w:rPr>
              <w:t>GGT</w:t>
            </w:r>
            <w:proofErr w:type="spellEnd"/>
            <w:r w:rsidRPr="00685DE9">
              <w:rPr>
                <w:rFonts w:ascii="Arial" w:hAnsi="Arial" w:cs="Arial"/>
                <w:sz w:val="20"/>
                <w:szCs w:val="20"/>
              </w:rPr>
              <w:t xml:space="preserve"> TTT CAT CTG TCT TG-3'</w:t>
            </w:r>
          </w:p>
        </w:tc>
      </w:tr>
      <w:tr w:rsidR="00685DE9" w:rsidRPr="00685DE9" w14:paraId="09A83F3C" w14:textId="77777777" w:rsidTr="002E621A">
        <w:trPr>
          <w:trHeight w:val="241"/>
        </w:trPr>
        <w:tc>
          <w:tcPr>
            <w:tcW w:w="2300" w:type="dxa"/>
            <w:vMerge w:val="restart"/>
            <w:tcBorders>
              <w:top w:val="nil"/>
              <w:left w:val="nil"/>
              <w:bottom w:val="nil"/>
              <w:right w:val="nil"/>
            </w:tcBorders>
            <w:shd w:val="clear" w:color="auto" w:fill="auto"/>
            <w:vAlign w:val="center"/>
            <w:hideMark/>
          </w:tcPr>
          <w:p w14:paraId="0DF4C2D5"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PPARGC1α</w:t>
            </w:r>
          </w:p>
        </w:tc>
        <w:tc>
          <w:tcPr>
            <w:tcW w:w="2535" w:type="dxa"/>
            <w:vMerge w:val="restart"/>
            <w:tcBorders>
              <w:top w:val="nil"/>
              <w:left w:val="nil"/>
              <w:bottom w:val="nil"/>
              <w:right w:val="nil"/>
            </w:tcBorders>
            <w:shd w:val="clear" w:color="auto" w:fill="auto"/>
            <w:vAlign w:val="center"/>
            <w:hideMark/>
          </w:tcPr>
          <w:p w14:paraId="01E31018"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Peroxisome proliferator-activated receptor gamma coactivator-1α</w:t>
            </w:r>
          </w:p>
        </w:tc>
        <w:tc>
          <w:tcPr>
            <w:tcW w:w="1048" w:type="dxa"/>
            <w:tcBorders>
              <w:top w:val="nil"/>
              <w:left w:val="nil"/>
              <w:bottom w:val="nil"/>
              <w:right w:val="nil"/>
            </w:tcBorders>
            <w:shd w:val="clear" w:color="auto" w:fill="auto"/>
            <w:vAlign w:val="center"/>
            <w:hideMark/>
          </w:tcPr>
          <w:p w14:paraId="7EED0A5C"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66B35A9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5'-TCC TTT CTC TCG CCC AAC ACG ATC T-3'</w:t>
            </w:r>
          </w:p>
        </w:tc>
      </w:tr>
      <w:tr w:rsidR="00685DE9" w:rsidRPr="00685DE9" w14:paraId="5C8CA6FE" w14:textId="77777777" w:rsidTr="002E621A">
        <w:trPr>
          <w:trHeight w:val="210"/>
        </w:trPr>
        <w:tc>
          <w:tcPr>
            <w:tcW w:w="2300" w:type="dxa"/>
            <w:vMerge/>
            <w:tcBorders>
              <w:top w:val="nil"/>
              <w:left w:val="nil"/>
              <w:bottom w:val="nil"/>
              <w:right w:val="nil"/>
            </w:tcBorders>
            <w:vAlign w:val="center"/>
            <w:hideMark/>
          </w:tcPr>
          <w:p w14:paraId="168EA07D"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78AF9E05"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044E120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4215E205"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5'-GCA TCC GAC AGG ACA AAC AGT GGA-3'</w:t>
            </w:r>
          </w:p>
        </w:tc>
      </w:tr>
      <w:tr w:rsidR="00685DE9" w:rsidRPr="00685DE9" w14:paraId="583B7C59" w14:textId="77777777" w:rsidTr="002E621A">
        <w:trPr>
          <w:trHeight w:val="225"/>
        </w:trPr>
        <w:tc>
          <w:tcPr>
            <w:tcW w:w="2300" w:type="dxa"/>
            <w:vMerge w:val="restart"/>
            <w:tcBorders>
              <w:top w:val="nil"/>
              <w:left w:val="nil"/>
              <w:bottom w:val="nil"/>
              <w:right w:val="nil"/>
            </w:tcBorders>
            <w:shd w:val="clear" w:color="auto" w:fill="auto"/>
            <w:vAlign w:val="center"/>
            <w:hideMark/>
          </w:tcPr>
          <w:p w14:paraId="1AEF3B90"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PINK1</w:t>
            </w:r>
          </w:p>
        </w:tc>
        <w:tc>
          <w:tcPr>
            <w:tcW w:w="2535" w:type="dxa"/>
            <w:vMerge w:val="restart"/>
            <w:tcBorders>
              <w:top w:val="nil"/>
              <w:left w:val="nil"/>
              <w:bottom w:val="nil"/>
              <w:right w:val="nil"/>
            </w:tcBorders>
            <w:shd w:val="clear" w:color="auto" w:fill="auto"/>
            <w:vAlign w:val="center"/>
            <w:hideMark/>
          </w:tcPr>
          <w:p w14:paraId="66CCBC42"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Serine/threonine-protein kinase PINK1</w:t>
            </w:r>
          </w:p>
        </w:tc>
        <w:tc>
          <w:tcPr>
            <w:tcW w:w="1048" w:type="dxa"/>
            <w:tcBorders>
              <w:top w:val="nil"/>
              <w:left w:val="nil"/>
              <w:bottom w:val="nil"/>
              <w:right w:val="nil"/>
            </w:tcBorders>
            <w:shd w:val="clear" w:color="auto" w:fill="auto"/>
            <w:vAlign w:val="center"/>
            <w:hideMark/>
          </w:tcPr>
          <w:p w14:paraId="575F0B9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744D657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5'-GGG GAG TAT GGA GCA GTC AC-3'</w:t>
            </w:r>
          </w:p>
        </w:tc>
      </w:tr>
      <w:tr w:rsidR="00685DE9" w:rsidRPr="00685DE9" w14:paraId="4A5C8813" w14:textId="77777777" w:rsidTr="002E621A">
        <w:trPr>
          <w:trHeight w:val="210"/>
        </w:trPr>
        <w:tc>
          <w:tcPr>
            <w:tcW w:w="2300" w:type="dxa"/>
            <w:vMerge/>
            <w:tcBorders>
              <w:top w:val="nil"/>
              <w:left w:val="nil"/>
              <w:bottom w:val="nil"/>
              <w:right w:val="nil"/>
            </w:tcBorders>
            <w:vAlign w:val="center"/>
            <w:hideMark/>
          </w:tcPr>
          <w:p w14:paraId="7D1E399F"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0B957A0F"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0078372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1EE8219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5'-CAT CAG GGT AGT CGA CCA GG-3' </w:t>
            </w:r>
          </w:p>
        </w:tc>
      </w:tr>
      <w:tr w:rsidR="00685DE9" w:rsidRPr="00685DE9" w14:paraId="311C88E8" w14:textId="77777777" w:rsidTr="002E621A">
        <w:trPr>
          <w:trHeight w:val="225"/>
        </w:trPr>
        <w:tc>
          <w:tcPr>
            <w:tcW w:w="2300" w:type="dxa"/>
            <w:vMerge w:val="restart"/>
            <w:tcBorders>
              <w:top w:val="nil"/>
              <w:left w:val="nil"/>
              <w:bottom w:val="nil"/>
              <w:right w:val="nil"/>
            </w:tcBorders>
            <w:shd w:val="clear" w:color="auto" w:fill="auto"/>
            <w:vAlign w:val="center"/>
            <w:hideMark/>
          </w:tcPr>
          <w:p w14:paraId="5ADD226C"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PRKN</w:t>
            </w:r>
          </w:p>
        </w:tc>
        <w:tc>
          <w:tcPr>
            <w:tcW w:w="2535" w:type="dxa"/>
            <w:vMerge w:val="restart"/>
            <w:tcBorders>
              <w:top w:val="nil"/>
              <w:left w:val="nil"/>
              <w:bottom w:val="nil"/>
              <w:right w:val="nil"/>
            </w:tcBorders>
            <w:shd w:val="clear" w:color="auto" w:fill="auto"/>
            <w:vAlign w:val="center"/>
            <w:hideMark/>
          </w:tcPr>
          <w:p w14:paraId="707E5F66" w14:textId="77777777" w:rsidR="002E621A" w:rsidRPr="00685DE9" w:rsidRDefault="002E621A" w:rsidP="00270279">
            <w:pPr>
              <w:spacing w:after="0" w:line="240" w:lineRule="auto"/>
              <w:rPr>
                <w:rFonts w:ascii="Arial" w:hAnsi="Arial" w:cs="Arial"/>
                <w:sz w:val="20"/>
                <w:szCs w:val="20"/>
                <w:lang w:val="fr-FR"/>
              </w:rPr>
            </w:pPr>
            <w:r w:rsidRPr="00685DE9">
              <w:rPr>
                <w:rFonts w:ascii="Arial" w:hAnsi="Arial" w:cs="Arial"/>
                <w:sz w:val="20"/>
                <w:szCs w:val="20"/>
                <w:lang w:val="fr-FR"/>
              </w:rPr>
              <w:t xml:space="preserve">E3 </w:t>
            </w:r>
            <w:proofErr w:type="spellStart"/>
            <w:r w:rsidRPr="00685DE9">
              <w:rPr>
                <w:rFonts w:ascii="Arial" w:hAnsi="Arial" w:cs="Arial"/>
                <w:sz w:val="20"/>
                <w:szCs w:val="20"/>
                <w:lang w:val="fr-FR"/>
              </w:rPr>
              <w:t>ubiquitin-protein</w:t>
            </w:r>
            <w:proofErr w:type="spellEnd"/>
            <w:r w:rsidRPr="00685DE9">
              <w:rPr>
                <w:rFonts w:ascii="Arial" w:hAnsi="Arial" w:cs="Arial"/>
                <w:sz w:val="20"/>
                <w:szCs w:val="20"/>
                <w:lang w:val="fr-FR"/>
              </w:rPr>
              <w:t xml:space="preserve"> ligase </w:t>
            </w:r>
            <w:proofErr w:type="spellStart"/>
            <w:r w:rsidRPr="00685DE9">
              <w:rPr>
                <w:rFonts w:ascii="Arial" w:hAnsi="Arial" w:cs="Arial"/>
                <w:sz w:val="20"/>
                <w:szCs w:val="20"/>
                <w:lang w:val="fr-FR"/>
              </w:rPr>
              <w:t>parkin</w:t>
            </w:r>
            <w:proofErr w:type="spellEnd"/>
          </w:p>
        </w:tc>
        <w:tc>
          <w:tcPr>
            <w:tcW w:w="1048" w:type="dxa"/>
            <w:tcBorders>
              <w:top w:val="nil"/>
              <w:left w:val="nil"/>
              <w:bottom w:val="nil"/>
              <w:right w:val="nil"/>
            </w:tcBorders>
            <w:shd w:val="clear" w:color="auto" w:fill="auto"/>
            <w:vAlign w:val="center"/>
            <w:hideMark/>
          </w:tcPr>
          <w:p w14:paraId="3B1EC7E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Forward </w:t>
            </w:r>
          </w:p>
        </w:tc>
        <w:tc>
          <w:tcPr>
            <w:tcW w:w="5329" w:type="dxa"/>
            <w:tcBorders>
              <w:top w:val="nil"/>
              <w:left w:val="nil"/>
              <w:bottom w:val="nil"/>
              <w:right w:val="nil"/>
            </w:tcBorders>
            <w:shd w:val="clear" w:color="auto" w:fill="auto"/>
            <w:vAlign w:val="center"/>
            <w:hideMark/>
          </w:tcPr>
          <w:p w14:paraId="26E8193A"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5'-TAC GTG CAC AGA CGT CAG GAG-3'</w:t>
            </w:r>
          </w:p>
        </w:tc>
      </w:tr>
      <w:tr w:rsidR="00685DE9" w:rsidRPr="00685DE9" w14:paraId="6106DF6F" w14:textId="77777777" w:rsidTr="002E621A">
        <w:trPr>
          <w:trHeight w:val="225"/>
        </w:trPr>
        <w:tc>
          <w:tcPr>
            <w:tcW w:w="2300" w:type="dxa"/>
            <w:vMerge/>
            <w:tcBorders>
              <w:top w:val="nil"/>
              <w:left w:val="nil"/>
              <w:bottom w:val="nil"/>
              <w:right w:val="nil"/>
            </w:tcBorders>
            <w:vAlign w:val="center"/>
            <w:hideMark/>
          </w:tcPr>
          <w:p w14:paraId="2EBD0705"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24C32362"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6D3134E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13C754A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5'-GAC AGC CAG CCA CAC AAG GC-3'</w:t>
            </w:r>
          </w:p>
        </w:tc>
      </w:tr>
      <w:tr w:rsidR="00685DE9" w:rsidRPr="00685DE9" w14:paraId="2BEF4F85" w14:textId="77777777" w:rsidTr="002E621A">
        <w:trPr>
          <w:trHeight w:val="195"/>
        </w:trPr>
        <w:tc>
          <w:tcPr>
            <w:tcW w:w="2300" w:type="dxa"/>
            <w:vMerge w:val="restart"/>
            <w:tcBorders>
              <w:top w:val="nil"/>
              <w:left w:val="nil"/>
              <w:bottom w:val="nil"/>
              <w:right w:val="nil"/>
            </w:tcBorders>
            <w:shd w:val="clear" w:color="auto" w:fill="auto"/>
            <w:vAlign w:val="center"/>
            <w:hideMark/>
          </w:tcPr>
          <w:p w14:paraId="5FB68694" w14:textId="77777777" w:rsidR="002E621A" w:rsidRPr="00685DE9" w:rsidRDefault="002E621A" w:rsidP="00270279">
            <w:pPr>
              <w:spacing w:after="0" w:line="240" w:lineRule="auto"/>
              <w:ind w:firstLine="850"/>
              <w:rPr>
                <w:rFonts w:ascii="Arial" w:hAnsi="Arial" w:cs="Arial"/>
                <w:sz w:val="20"/>
                <w:szCs w:val="20"/>
              </w:rPr>
            </w:pPr>
            <w:r w:rsidRPr="00685DE9">
              <w:rPr>
                <w:rFonts w:ascii="Arial" w:hAnsi="Arial" w:cs="Arial"/>
                <w:sz w:val="20"/>
                <w:szCs w:val="20"/>
              </w:rPr>
              <w:t>TNFα</w:t>
            </w:r>
          </w:p>
        </w:tc>
        <w:tc>
          <w:tcPr>
            <w:tcW w:w="2535" w:type="dxa"/>
            <w:vMerge w:val="restart"/>
            <w:tcBorders>
              <w:top w:val="nil"/>
              <w:left w:val="nil"/>
              <w:bottom w:val="nil"/>
              <w:right w:val="nil"/>
            </w:tcBorders>
            <w:shd w:val="clear" w:color="auto" w:fill="auto"/>
            <w:vAlign w:val="center"/>
            <w:hideMark/>
          </w:tcPr>
          <w:p w14:paraId="7855D320"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Tumor necrosis factor alpha</w:t>
            </w:r>
          </w:p>
        </w:tc>
        <w:tc>
          <w:tcPr>
            <w:tcW w:w="1048" w:type="dxa"/>
            <w:tcBorders>
              <w:top w:val="nil"/>
              <w:left w:val="nil"/>
              <w:bottom w:val="nil"/>
              <w:right w:val="nil"/>
            </w:tcBorders>
            <w:shd w:val="clear" w:color="auto" w:fill="auto"/>
            <w:vAlign w:val="center"/>
            <w:hideMark/>
          </w:tcPr>
          <w:p w14:paraId="0F915A08"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Forward</w:t>
            </w:r>
          </w:p>
        </w:tc>
        <w:tc>
          <w:tcPr>
            <w:tcW w:w="5329" w:type="dxa"/>
            <w:tcBorders>
              <w:top w:val="nil"/>
              <w:left w:val="nil"/>
              <w:bottom w:val="nil"/>
              <w:right w:val="nil"/>
            </w:tcBorders>
            <w:shd w:val="clear" w:color="auto" w:fill="auto"/>
            <w:vAlign w:val="center"/>
            <w:hideMark/>
          </w:tcPr>
          <w:p w14:paraId="56378B7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5'-CTCTTCTGCCTGCTGCACTTTG-3'</w:t>
            </w:r>
          </w:p>
        </w:tc>
      </w:tr>
      <w:tr w:rsidR="00685DE9" w:rsidRPr="00685DE9" w14:paraId="540C4F1E" w14:textId="77777777" w:rsidTr="002E621A">
        <w:trPr>
          <w:trHeight w:val="241"/>
        </w:trPr>
        <w:tc>
          <w:tcPr>
            <w:tcW w:w="2300" w:type="dxa"/>
            <w:vMerge/>
            <w:tcBorders>
              <w:top w:val="nil"/>
              <w:left w:val="nil"/>
              <w:bottom w:val="nil"/>
              <w:right w:val="nil"/>
            </w:tcBorders>
            <w:vAlign w:val="center"/>
            <w:hideMark/>
          </w:tcPr>
          <w:p w14:paraId="16CA66A1"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6DCFE2A3"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5B36713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Reverse </w:t>
            </w:r>
          </w:p>
        </w:tc>
        <w:tc>
          <w:tcPr>
            <w:tcW w:w="5329" w:type="dxa"/>
            <w:tcBorders>
              <w:top w:val="nil"/>
              <w:left w:val="nil"/>
              <w:bottom w:val="nil"/>
              <w:right w:val="nil"/>
            </w:tcBorders>
            <w:shd w:val="clear" w:color="auto" w:fill="auto"/>
            <w:vAlign w:val="center"/>
            <w:hideMark/>
          </w:tcPr>
          <w:p w14:paraId="52A30BE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5-ATGGGCTACAGGCTTGTCACTC-3'</w:t>
            </w:r>
          </w:p>
        </w:tc>
      </w:tr>
      <w:tr w:rsidR="00685DE9" w:rsidRPr="00685DE9" w14:paraId="66A84A30" w14:textId="77777777" w:rsidTr="002E621A">
        <w:trPr>
          <w:trHeight w:val="301"/>
        </w:trPr>
        <w:tc>
          <w:tcPr>
            <w:tcW w:w="2300" w:type="dxa"/>
            <w:vMerge w:val="restart"/>
            <w:tcBorders>
              <w:top w:val="nil"/>
              <w:left w:val="nil"/>
              <w:bottom w:val="nil"/>
              <w:right w:val="nil"/>
            </w:tcBorders>
            <w:shd w:val="clear" w:color="auto" w:fill="auto"/>
            <w:vAlign w:val="center"/>
            <w:hideMark/>
          </w:tcPr>
          <w:p w14:paraId="7744268F" w14:textId="77777777" w:rsidR="002E621A" w:rsidRPr="00685DE9" w:rsidRDefault="002E621A" w:rsidP="00270279">
            <w:pPr>
              <w:spacing w:after="0" w:line="240" w:lineRule="auto"/>
              <w:jc w:val="center"/>
              <w:rPr>
                <w:rFonts w:ascii="Arial" w:hAnsi="Arial" w:cs="Arial"/>
                <w:sz w:val="20"/>
                <w:szCs w:val="20"/>
              </w:rPr>
            </w:pPr>
          </w:p>
          <w:p w14:paraId="0C883509"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IL1β</w:t>
            </w:r>
          </w:p>
        </w:tc>
        <w:tc>
          <w:tcPr>
            <w:tcW w:w="2535" w:type="dxa"/>
            <w:vMerge w:val="restart"/>
            <w:tcBorders>
              <w:top w:val="nil"/>
              <w:left w:val="nil"/>
              <w:bottom w:val="nil"/>
              <w:right w:val="nil"/>
            </w:tcBorders>
            <w:shd w:val="clear" w:color="auto" w:fill="auto"/>
            <w:vAlign w:val="center"/>
            <w:hideMark/>
          </w:tcPr>
          <w:p w14:paraId="60676220" w14:textId="77777777" w:rsidR="002E621A" w:rsidRPr="00685DE9" w:rsidRDefault="002E621A" w:rsidP="00270279">
            <w:pPr>
              <w:spacing w:after="0" w:line="240" w:lineRule="auto"/>
              <w:rPr>
                <w:rFonts w:ascii="Arial" w:hAnsi="Arial" w:cs="Arial"/>
                <w:sz w:val="20"/>
                <w:szCs w:val="20"/>
              </w:rPr>
            </w:pPr>
          </w:p>
          <w:p w14:paraId="792C46E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Interleukin-1 beta</w:t>
            </w:r>
          </w:p>
        </w:tc>
        <w:tc>
          <w:tcPr>
            <w:tcW w:w="1048" w:type="dxa"/>
            <w:tcBorders>
              <w:top w:val="nil"/>
              <w:left w:val="nil"/>
              <w:bottom w:val="nil"/>
              <w:right w:val="nil"/>
            </w:tcBorders>
            <w:shd w:val="clear" w:color="auto" w:fill="auto"/>
            <w:vAlign w:val="center"/>
            <w:hideMark/>
          </w:tcPr>
          <w:p w14:paraId="32A81D1A" w14:textId="77777777" w:rsidR="002E621A" w:rsidRPr="00685DE9" w:rsidRDefault="002E621A" w:rsidP="00270279">
            <w:pPr>
              <w:spacing w:after="0" w:line="240" w:lineRule="auto"/>
              <w:rPr>
                <w:rFonts w:ascii="Arial" w:hAnsi="Arial" w:cs="Arial"/>
                <w:sz w:val="20"/>
                <w:szCs w:val="20"/>
              </w:rPr>
            </w:pPr>
          </w:p>
          <w:p w14:paraId="76712F8E"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Forward</w:t>
            </w:r>
          </w:p>
        </w:tc>
        <w:tc>
          <w:tcPr>
            <w:tcW w:w="5329" w:type="dxa"/>
            <w:tcBorders>
              <w:top w:val="nil"/>
              <w:left w:val="nil"/>
              <w:bottom w:val="nil"/>
              <w:right w:val="nil"/>
            </w:tcBorders>
            <w:shd w:val="clear" w:color="auto" w:fill="auto"/>
            <w:vAlign w:val="center"/>
            <w:hideMark/>
          </w:tcPr>
          <w:p w14:paraId="6F3A54DE" w14:textId="77777777" w:rsidR="002E621A" w:rsidRPr="00685DE9" w:rsidRDefault="002E621A" w:rsidP="00270279">
            <w:pPr>
              <w:spacing w:after="0" w:line="240" w:lineRule="auto"/>
              <w:rPr>
                <w:rFonts w:ascii="Arial" w:hAnsi="Arial" w:cs="Arial"/>
                <w:sz w:val="20"/>
                <w:szCs w:val="20"/>
              </w:rPr>
            </w:pPr>
          </w:p>
          <w:p w14:paraId="2BD6B34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5’-CCG GGG GTA TAC </w:t>
            </w:r>
            <w:proofErr w:type="spellStart"/>
            <w:r w:rsidRPr="00685DE9">
              <w:rPr>
                <w:rFonts w:ascii="Arial" w:hAnsi="Arial" w:cs="Arial"/>
                <w:sz w:val="20"/>
                <w:szCs w:val="20"/>
              </w:rPr>
              <w:t>TAC</w:t>
            </w:r>
            <w:proofErr w:type="spellEnd"/>
            <w:r w:rsidRPr="00685DE9">
              <w:rPr>
                <w:rFonts w:ascii="Arial" w:hAnsi="Arial" w:cs="Arial"/>
                <w:sz w:val="20"/>
                <w:szCs w:val="20"/>
              </w:rPr>
              <w:t xml:space="preserve"> GG-3’  </w:t>
            </w:r>
          </w:p>
        </w:tc>
      </w:tr>
      <w:tr w:rsidR="00685DE9" w:rsidRPr="00685DE9" w14:paraId="594DDBF5" w14:textId="77777777" w:rsidTr="002E621A">
        <w:trPr>
          <w:trHeight w:val="407"/>
        </w:trPr>
        <w:tc>
          <w:tcPr>
            <w:tcW w:w="2300" w:type="dxa"/>
            <w:vMerge/>
            <w:tcBorders>
              <w:top w:val="nil"/>
              <w:left w:val="nil"/>
              <w:bottom w:val="nil"/>
              <w:right w:val="nil"/>
            </w:tcBorders>
            <w:vAlign w:val="center"/>
            <w:hideMark/>
          </w:tcPr>
          <w:p w14:paraId="6132F165"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nil"/>
              <w:right w:val="nil"/>
            </w:tcBorders>
            <w:vAlign w:val="center"/>
            <w:hideMark/>
          </w:tcPr>
          <w:p w14:paraId="7A63A759"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nil"/>
              <w:right w:val="nil"/>
            </w:tcBorders>
            <w:shd w:val="clear" w:color="auto" w:fill="auto"/>
            <w:vAlign w:val="center"/>
            <w:hideMark/>
          </w:tcPr>
          <w:p w14:paraId="5C18049B"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Reverse</w:t>
            </w:r>
          </w:p>
        </w:tc>
        <w:tc>
          <w:tcPr>
            <w:tcW w:w="5329" w:type="dxa"/>
            <w:tcBorders>
              <w:top w:val="nil"/>
              <w:left w:val="nil"/>
              <w:bottom w:val="nil"/>
              <w:right w:val="nil"/>
            </w:tcBorders>
            <w:shd w:val="clear" w:color="auto" w:fill="auto"/>
            <w:vAlign w:val="center"/>
            <w:hideMark/>
          </w:tcPr>
          <w:p w14:paraId="20759124"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5’-GGT TCA TTC GGG AGG ATC CTA TTG GTG CGG-3’</w:t>
            </w:r>
          </w:p>
        </w:tc>
      </w:tr>
      <w:tr w:rsidR="00685DE9" w:rsidRPr="00685DE9" w14:paraId="0B64467F" w14:textId="77777777" w:rsidTr="002E621A">
        <w:trPr>
          <w:trHeight w:val="210"/>
        </w:trPr>
        <w:tc>
          <w:tcPr>
            <w:tcW w:w="2300" w:type="dxa"/>
            <w:vMerge w:val="restart"/>
            <w:tcBorders>
              <w:top w:val="nil"/>
              <w:left w:val="nil"/>
              <w:bottom w:val="single" w:sz="8" w:space="0" w:color="000000"/>
              <w:right w:val="nil"/>
            </w:tcBorders>
            <w:shd w:val="clear" w:color="auto" w:fill="auto"/>
            <w:vAlign w:val="center"/>
            <w:hideMark/>
          </w:tcPr>
          <w:p w14:paraId="1AFC2398" w14:textId="77777777" w:rsidR="002E621A" w:rsidRPr="00685DE9" w:rsidRDefault="002E621A" w:rsidP="00270279">
            <w:pPr>
              <w:spacing w:after="0" w:line="240" w:lineRule="auto"/>
              <w:jc w:val="center"/>
              <w:rPr>
                <w:rFonts w:ascii="Arial" w:hAnsi="Arial" w:cs="Arial"/>
                <w:sz w:val="20"/>
                <w:szCs w:val="20"/>
              </w:rPr>
            </w:pPr>
            <w:r w:rsidRPr="00685DE9">
              <w:rPr>
                <w:rFonts w:ascii="Arial" w:hAnsi="Arial" w:cs="Arial"/>
                <w:sz w:val="20"/>
                <w:szCs w:val="20"/>
              </w:rPr>
              <w:t>IL6</w:t>
            </w:r>
          </w:p>
        </w:tc>
        <w:tc>
          <w:tcPr>
            <w:tcW w:w="2535" w:type="dxa"/>
            <w:vMerge w:val="restart"/>
            <w:tcBorders>
              <w:top w:val="nil"/>
              <w:left w:val="nil"/>
              <w:bottom w:val="single" w:sz="8" w:space="0" w:color="000000"/>
              <w:right w:val="nil"/>
            </w:tcBorders>
            <w:shd w:val="clear" w:color="auto" w:fill="auto"/>
            <w:vAlign w:val="center"/>
            <w:hideMark/>
          </w:tcPr>
          <w:p w14:paraId="55EE2CAC"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Interleukin-6</w:t>
            </w:r>
          </w:p>
        </w:tc>
        <w:tc>
          <w:tcPr>
            <w:tcW w:w="1048" w:type="dxa"/>
            <w:tcBorders>
              <w:top w:val="nil"/>
              <w:left w:val="nil"/>
              <w:bottom w:val="nil"/>
              <w:right w:val="nil"/>
            </w:tcBorders>
            <w:shd w:val="clear" w:color="auto" w:fill="auto"/>
            <w:vAlign w:val="center"/>
            <w:hideMark/>
          </w:tcPr>
          <w:p w14:paraId="2D34B401"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Forward</w:t>
            </w:r>
          </w:p>
        </w:tc>
        <w:tc>
          <w:tcPr>
            <w:tcW w:w="5329" w:type="dxa"/>
            <w:tcBorders>
              <w:top w:val="nil"/>
              <w:left w:val="nil"/>
              <w:bottom w:val="nil"/>
              <w:right w:val="nil"/>
            </w:tcBorders>
            <w:shd w:val="clear" w:color="auto" w:fill="auto"/>
            <w:vAlign w:val="center"/>
            <w:hideMark/>
          </w:tcPr>
          <w:p w14:paraId="59EA44F5"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5'-AGA CAGCCACTCACCTCTTCAG-3'</w:t>
            </w:r>
          </w:p>
        </w:tc>
      </w:tr>
      <w:tr w:rsidR="00685DE9" w:rsidRPr="00685DE9" w14:paraId="675810EA" w14:textId="77777777" w:rsidTr="002E621A">
        <w:trPr>
          <w:trHeight w:val="256"/>
        </w:trPr>
        <w:tc>
          <w:tcPr>
            <w:tcW w:w="2300" w:type="dxa"/>
            <w:vMerge/>
            <w:tcBorders>
              <w:top w:val="nil"/>
              <w:left w:val="nil"/>
              <w:bottom w:val="single" w:sz="8" w:space="0" w:color="000000"/>
              <w:right w:val="nil"/>
            </w:tcBorders>
            <w:vAlign w:val="center"/>
            <w:hideMark/>
          </w:tcPr>
          <w:p w14:paraId="20F1214C" w14:textId="77777777" w:rsidR="002E621A" w:rsidRPr="00685DE9" w:rsidRDefault="002E621A" w:rsidP="00270279">
            <w:pPr>
              <w:spacing w:after="0" w:line="240" w:lineRule="auto"/>
              <w:rPr>
                <w:rFonts w:ascii="Arial" w:hAnsi="Arial" w:cs="Arial"/>
                <w:sz w:val="20"/>
                <w:szCs w:val="20"/>
              </w:rPr>
            </w:pPr>
          </w:p>
        </w:tc>
        <w:tc>
          <w:tcPr>
            <w:tcW w:w="2535" w:type="dxa"/>
            <w:vMerge/>
            <w:tcBorders>
              <w:top w:val="nil"/>
              <w:left w:val="nil"/>
              <w:bottom w:val="single" w:sz="8" w:space="0" w:color="000000"/>
              <w:right w:val="nil"/>
            </w:tcBorders>
            <w:vAlign w:val="center"/>
            <w:hideMark/>
          </w:tcPr>
          <w:p w14:paraId="5D972C10" w14:textId="77777777" w:rsidR="002E621A" w:rsidRPr="00685DE9" w:rsidRDefault="002E621A" w:rsidP="00270279">
            <w:pPr>
              <w:spacing w:after="0" w:line="240" w:lineRule="auto"/>
              <w:rPr>
                <w:rFonts w:ascii="Arial" w:hAnsi="Arial" w:cs="Arial"/>
                <w:sz w:val="20"/>
                <w:szCs w:val="20"/>
              </w:rPr>
            </w:pPr>
          </w:p>
        </w:tc>
        <w:tc>
          <w:tcPr>
            <w:tcW w:w="1048" w:type="dxa"/>
            <w:tcBorders>
              <w:top w:val="nil"/>
              <w:left w:val="nil"/>
              <w:bottom w:val="single" w:sz="8" w:space="0" w:color="auto"/>
              <w:right w:val="nil"/>
            </w:tcBorders>
            <w:shd w:val="clear" w:color="auto" w:fill="auto"/>
            <w:vAlign w:val="center"/>
            <w:hideMark/>
          </w:tcPr>
          <w:p w14:paraId="0B82384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Reverse</w:t>
            </w:r>
          </w:p>
        </w:tc>
        <w:tc>
          <w:tcPr>
            <w:tcW w:w="5329" w:type="dxa"/>
            <w:tcBorders>
              <w:top w:val="nil"/>
              <w:left w:val="nil"/>
              <w:bottom w:val="single" w:sz="8" w:space="0" w:color="auto"/>
              <w:right w:val="nil"/>
            </w:tcBorders>
            <w:shd w:val="clear" w:color="auto" w:fill="auto"/>
            <w:vAlign w:val="bottom"/>
            <w:hideMark/>
          </w:tcPr>
          <w:p w14:paraId="1DB5ED29"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5’-TTC TGC CAG TGC CTC TTT GCT G-3’</w:t>
            </w:r>
          </w:p>
        </w:tc>
      </w:tr>
      <w:tr w:rsidR="00685DE9" w:rsidRPr="00685DE9" w14:paraId="31C1576F" w14:textId="77777777" w:rsidTr="00270279">
        <w:trPr>
          <w:trHeight w:val="150"/>
        </w:trPr>
        <w:tc>
          <w:tcPr>
            <w:tcW w:w="11212" w:type="dxa"/>
            <w:gridSpan w:val="4"/>
            <w:tcBorders>
              <w:top w:val="single" w:sz="8" w:space="0" w:color="auto"/>
              <w:left w:val="nil"/>
              <w:bottom w:val="nil"/>
              <w:right w:val="nil"/>
            </w:tcBorders>
            <w:shd w:val="clear" w:color="auto" w:fill="auto"/>
            <w:vAlign w:val="center"/>
            <w:hideMark/>
          </w:tcPr>
          <w:p w14:paraId="388DC4BD"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 </w:t>
            </w:r>
          </w:p>
        </w:tc>
      </w:tr>
      <w:tr w:rsidR="00685DE9" w:rsidRPr="00685DE9" w14:paraId="0B1FC49B" w14:textId="77777777" w:rsidTr="00270279">
        <w:trPr>
          <w:trHeight w:val="256"/>
        </w:trPr>
        <w:tc>
          <w:tcPr>
            <w:tcW w:w="11212" w:type="dxa"/>
            <w:gridSpan w:val="4"/>
            <w:tcBorders>
              <w:top w:val="nil"/>
              <w:left w:val="nil"/>
              <w:bottom w:val="single" w:sz="8" w:space="0" w:color="auto"/>
              <w:right w:val="nil"/>
            </w:tcBorders>
            <w:shd w:val="clear" w:color="auto" w:fill="auto"/>
            <w:vAlign w:val="center"/>
            <w:hideMark/>
          </w:tcPr>
          <w:p w14:paraId="61440FD2" w14:textId="77777777" w:rsidR="002E621A" w:rsidRPr="00685DE9" w:rsidRDefault="002E621A" w:rsidP="00270279">
            <w:pPr>
              <w:spacing w:after="0" w:line="240" w:lineRule="auto"/>
              <w:rPr>
                <w:rFonts w:ascii="Arial" w:hAnsi="Arial" w:cs="Arial"/>
                <w:b/>
                <w:bCs/>
                <w:sz w:val="20"/>
                <w:szCs w:val="20"/>
              </w:rPr>
            </w:pPr>
            <w:r w:rsidRPr="00685DE9">
              <w:rPr>
                <w:rFonts w:ascii="Arial" w:hAnsi="Arial" w:cs="Arial"/>
                <w:b/>
                <w:bCs/>
                <w:sz w:val="20"/>
                <w:szCs w:val="20"/>
              </w:rPr>
              <w:t xml:space="preserve">Primers used for the detection of </w:t>
            </w:r>
            <w:proofErr w:type="spellStart"/>
            <w:r w:rsidRPr="00685DE9">
              <w:rPr>
                <w:rFonts w:ascii="Arial" w:hAnsi="Arial" w:cs="Arial"/>
                <w:b/>
                <w:bCs/>
                <w:sz w:val="20"/>
                <w:szCs w:val="20"/>
              </w:rPr>
              <w:t>mtDNA</w:t>
            </w:r>
            <w:proofErr w:type="spellEnd"/>
            <w:r w:rsidRPr="00685DE9">
              <w:rPr>
                <w:rFonts w:ascii="Arial" w:hAnsi="Arial" w:cs="Arial"/>
                <w:b/>
                <w:bCs/>
                <w:sz w:val="20"/>
                <w:szCs w:val="20"/>
              </w:rPr>
              <w:t xml:space="preserve"> deletions </w:t>
            </w:r>
          </w:p>
        </w:tc>
      </w:tr>
      <w:tr w:rsidR="00685DE9" w:rsidRPr="00685DE9" w14:paraId="1BCEA20F" w14:textId="77777777" w:rsidTr="002E621A">
        <w:trPr>
          <w:trHeight w:val="241"/>
        </w:trPr>
        <w:tc>
          <w:tcPr>
            <w:tcW w:w="2300" w:type="dxa"/>
            <w:tcBorders>
              <w:top w:val="nil"/>
              <w:left w:val="nil"/>
              <w:bottom w:val="nil"/>
              <w:right w:val="nil"/>
            </w:tcBorders>
            <w:shd w:val="clear" w:color="auto" w:fill="auto"/>
            <w:vAlign w:val="center"/>
            <w:hideMark/>
          </w:tcPr>
          <w:p w14:paraId="5CC63590"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Primers A</w:t>
            </w:r>
          </w:p>
        </w:tc>
        <w:tc>
          <w:tcPr>
            <w:tcW w:w="2535" w:type="dxa"/>
            <w:tcBorders>
              <w:top w:val="nil"/>
              <w:left w:val="nil"/>
              <w:bottom w:val="nil"/>
              <w:right w:val="nil"/>
            </w:tcBorders>
            <w:shd w:val="clear" w:color="auto" w:fill="auto"/>
            <w:vAlign w:val="center"/>
            <w:hideMark/>
          </w:tcPr>
          <w:p w14:paraId="3B01CB8D"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w:t>
            </w:r>
            <w:proofErr w:type="spellStart"/>
            <w:proofErr w:type="gramStart"/>
            <w:r w:rsidRPr="00685DE9">
              <w:rPr>
                <w:rFonts w:ascii="Arial" w:hAnsi="Arial" w:cs="Arial"/>
                <w:sz w:val="20"/>
                <w:szCs w:val="20"/>
              </w:rPr>
              <w:t>nt</w:t>
            </w:r>
            <w:proofErr w:type="spellEnd"/>
            <w:proofErr w:type="gramEnd"/>
            <w:r w:rsidRPr="00685DE9">
              <w:rPr>
                <w:rFonts w:ascii="Arial" w:hAnsi="Arial" w:cs="Arial"/>
                <w:sz w:val="20"/>
                <w:szCs w:val="20"/>
              </w:rPr>
              <w:t xml:space="preserve"> 8150 - </w:t>
            </w:r>
            <w:proofErr w:type="spellStart"/>
            <w:r w:rsidRPr="00685DE9">
              <w:rPr>
                <w:rFonts w:ascii="Arial" w:hAnsi="Arial" w:cs="Arial"/>
                <w:sz w:val="20"/>
                <w:szCs w:val="20"/>
              </w:rPr>
              <w:t>nt</w:t>
            </w:r>
            <w:proofErr w:type="spellEnd"/>
            <w:r w:rsidRPr="00685DE9">
              <w:rPr>
                <w:rFonts w:ascii="Arial" w:hAnsi="Arial" w:cs="Arial"/>
                <w:sz w:val="20"/>
                <w:szCs w:val="20"/>
              </w:rPr>
              <w:t xml:space="preserve"> 8166)</w:t>
            </w:r>
          </w:p>
        </w:tc>
        <w:tc>
          <w:tcPr>
            <w:tcW w:w="6377" w:type="dxa"/>
            <w:gridSpan w:val="2"/>
            <w:tcBorders>
              <w:top w:val="single" w:sz="8" w:space="0" w:color="auto"/>
              <w:left w:val="nil"/>
              <w:bottom w:val="nil"/>
              <w:right w:val="nil"/>
            </w:tcBorders>
            <w:shd w:val="clear" w:color="auto" w:fill="auto"/>
            <w:vAlign w:val="center"/>
            <w:hideMark/>
          </w:tcPr>
          <w:p w14:paraId="4EEAABD3"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5’-CCG GGG GTA TAC </w:t>
            </w:r>
            <w:proofErr w:type="spellStart"/>
            <w:r w:rsidRPr="00685DE9">
              <w:rPr>
                <w:rFonts w:ascii="Arial" w:hAnsi="Arial" w:cs="Arial"/>
                <w:sz w:val="20"/>
                <w:szCs w:val="20"/>
              </w:rPr>
              <w:t>TAC</w:t>
            </w:r>
            <w:proofErr w:type="spellEnd"/>
            <w:r w:rsidRPr="00685DE9">
              <w:rPr>
                <w:rFonts w:ascii="Arial" w:hAnsi="Arial" w:cs="Arial"/>
                <w:sz w:val="20"/>
                <w:szCs w:val="20"/>
              </w:rPr>
              <w:t xml:space="preserve"> GG-3’  </w:t>
            </w:r>
          </w:p>
        </w:tc>
      </w:tr>
      <w:tr w:rsidR="00685DE9" w:rsidRPr="00685DE9" w14:paraId="18484D99" w14:textId="77777777" w:rsidTr="002E621A">
        <w:trPr>
          <w:trHeight w:val="271"/>
        </w:trPr>
        <w:tc>
          <w:tcPr>
            <w:tcW w:w="2300" w:type="dxa"/>
            <w:tcBorders>
              <w:top w:val="nil"/>
              <w:left w:val="nil"/>
              <w:bottom w:val="single" w:sz="4" w:space="0" w:color="auto"/>
              <w:right w:val="nil"/>
            </w:tcBorders>
            <w:shd w:val="clear" w:color="auto" w:fill="auto"/>
            <w:vAlign w:val="center"/>
            <w:hideMark/>
          </w:tcPr>
          <w:p w14:paraId="612BDC35"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Primers B</w:t>
            </w:r>
          </w:p>
        </w:tc>
        <w:tc>
          <w:tcPr>
            <w:tcW w:w="2535" w:type="dxa"/>
            <w:tcBorders>
              <w:top w:val="nil"/>
              <w:left w:val="nil"/>
              <w:bottom w:val="single" w:sz="4" w:space="0" w:color="auto"/>
              <w:right w:val="nil"/>
            </w:tcBorders>
            <w:shd w:val="clear" w:color="auto" w:fill="auto"/>
            <w:vAlign w:val="center"/>
            <w:hideMark/>
          </w:tcPr>
          <w:p w14:paraId="6AABD762"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w:t>
            </w:r>
            <w:proofErr w:type="spellStart"/>
            <w:proofErr w:type="gramStart"/>
            <w:r w:rsidRPr="00685DE9">
              <w:rPr>
                <w:rFonts w:ascii="Arial" w:hAnsi="Arial" w:cs="Arial"/>
                <w:sz w:val="20"/>
                <w:szCs w:val="20"/>
              </w:rPr>
              <w:t>nt</w:t>
            </w:r>
            <w:proofErr w:type="spellEnd"/>
            <w:proofErr w:type="gramEnd"/>
            <w:r w:rsidRPr="00685DE9">
              <w:rPr>
                <w:rFonts w:ascii="Arial" w:hAnsi="Arial" w:cs="Arial"/>
                <w:sz w:val="20"/>
                <w:szCs w:val="20"/>
              </w:rPr>
              <w:t xml:space="preserve"> 14276 </w:t>
            </w:r>
            <w:proofErr w:type="spellStart"/>
            <w:r w:rsidRPr="00685DE9">
              <w:rPr>
                <w:rFonts w:ascii="Arial" w:hAnsi="Arial" w:cs="Arial"/>
                <w:sz w:val="20"/>
                <w:szCs w:val="20"/>
              </w:rPr>
              <w:t>nt</w:t>
            </w:r>
            <w:proofErr w:type="spellEnd"/>
            <w:r w:rsidRPr="00685DE9">
              <w:rPr>
                <w:rFonts w:ascii="Arial" w:hAnsi="Arial" w:cs="Arial"/>
                <w:sz w:val="20"/>
                <w:szCs w:val="20"/>
              </w:rPr>
              <w:t xml:space="preserve"> 14247)</w:t>
            </w:r>
          </w:p>
        </w:tc>
        <w:tc>
          <w:tcPr>
            <w:tcW w:w="6377" w:type="dxa"/>
            <w:gridSpan w:val="2"/>
            <w:tcBorders>
              <w:top w:val="nil"/>
              <w:left w:val="nil"/>
              <w:bottom w:val="single" w:sz="4" w:space="0" w:color="auto"/>
              <w:right w:val="nil"/>
            </w:tcBorders>
            <w:shd w:val="clear" w:color="auto" w:fill="auto"/>
            <w:vAlign w:val="center"/>
            <w:hideMark/>
          </w:tcPr>
          <w:p w14:paraId="5D72CDA6" w14:textId="77777777"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5’-GGT TCA TTC GGG AGG ATC CTA TTG GTG CGG-3’</w:t>
            </w:r>
          </w:p>
        </w:tc>
      </w:tr>
      <w:tr w:rsidR="00685DE9" w:rsidRPr="00685DE9" w14:paraId="2BF4379F" w14:textId="77777777" w:rsidTr="00FB2843">
        <w:trPr>
          <w:trHeight w:val="256"/>
        </w:trPr>
        <w:tc>
          <w:tcPr>
            <w:tcW w:w="11212" w:type="dxa"/>
            <w:gridSpan w:val="4"/>
            <w:tcBorders>
              <w:top w:val="nil"/>
              <w:left w:val="nil"/>
              <w:bottom w:val="single" w:sz="8" w:space="0" w:color="auto"/>
              <w:right w:val="nil"/>
            </w:tcBorders>
            <w:shd w:val="clear" w:color="auto" w:fill="auto"/>
            <w:vAlign w:val="center"/>
            <w:hideMark/>
          </w:tcPr>
          <w:p w14:paraId="70F0BD06" w14:textId="77777777" w:rsidR="00D11DD0" w:rsidRPr="00685DE9" w:rsidRDefault="00D11DD0" w:rsidP="00FB2843">
            <w:pPr>
              <w:spacing w:after="0" w:line="240" w:lineRule="auto"/>
              <w:rPr>
                <w:rFonts w:ascii="Arial" w:hAnsi="Arial" w:cs="Arial"/>
                <w:b/>
                <w:bCs/>
                <w:sz w:val="20"/>
                <w:szCs w:val="20"/>
              </w:rPr>
            </w:pPr>
          </w:p>
          <w:p w14:paraId="3537779B" w14:textId="69A8C20E" w:rsidR="00D11DD0" w:rsidRPr="00685DE9" w:rsidRDefault="00D11DD0" w:rsidP="00D11DD0">
            <w:pPr>
              <w:spacing w:after="0" w:line="240" w:lineRule="auto"/>
              <w:rPr>
                <w:rFonts w:ascii="Arial" w:hAnsi="Arial" w:cs="Arial"/>
                <w:b/>
                <w:bCs/>
                <w:sz w:val="20"/>
                <w:szCs w:val="20"/>
              </w:rPr>
            </w:pPr>
            <w:r w:rsidRPr="00685DE9">
              <w:rPr>
                <w:rFonts w:ascii="Arial" w:hAnsi="Arial" w:cs="Arial"/>
                <w:b/>
                <w:bCs/>
                <w:sz w:val="20"/>
                <w:szCs w:val="20"/>
              </w:rPr>
              <w:t xml:space="preserve">Primers used for the sequencing of </w:t>
            </w:r>
            <w:proofErr w:type="spellStart"/>
            <w:r w:rsidRPr="00685DE9">
              <w:rPr>
                <w:rFonts w:ascii="Arial" w:hAnsi="Arial" w:cs="Arial"/>
                <w:b/>
                <w:bCs/>
                <w:sz w:val="20"/>
                <w:szCs w:val="20"/>
              </w:rPr>
              <w:t>mtDNA</w:t>
            </w:r>
            <w:proofErr w:type="spellEnd"/>
            <w:r w:rsidRPr="00685DE9">
              <w:rPr>
                <w:rFonts w:ascii="Arial" w:hAnsi="Arial" w:cs="Arial"/>
                <w:b/>
                <w:bCs/>
                <w:sz w:val="20"/>
                <w:szCs w:val="20"/>
              </w:rPr>
              <w:t xml:space="preserve"> deletions </w:t>
            </w:r>
          </w:p>
        </w:tc>
      </w:tr>
      <w:tr w:rsidR="00685DE9" w:rsidRPr="00685DE9" w14:paraId="35190CDC" w14:textId="77777777" w:rsidTr="00FB2843">
        <w:trPr>
          <w:trHeight w:val="241"/>
        </w:trPr>
        <w:tc>
          <w:tcPr>
            <w:tcW w:w="2300" w:type="dxa"/>
            <w:tcBorders>
              <w:top w:val="nil"/>
              <w:left w:val="nil"/>
              <w:bottom w:val="nil"/>
              <w:right w:val="nil"/>
            </w:tcBorders>
            <w:shd w:val="clear" w:color="auto" w:fill="auto"/>
            <w:vAlign w:val="center"/>
            <w:hideMark/>
          </w:tcPr>
          <w:p w14:paraId="53069F16" w14:textId="0FFCEECC" w:rsidR="00D11DD0" w:rsidRPr="00685DE9" w:rsidRDefault="00D11DD0" w:rsidP="00FB2843">
            <w:pPr>
              <w:spacing w:after="0" w:line="240" w:lineRule="auto"/>
              <w:rPr>
                <w:rFonts w:ascii="Arial" w:hAnsi="Arial" w:cs="Arial"/>
                <w:sz w:val="20"/>
                <w:szCs w:val="20"/>
              </w:rPr>
            </w:pPr>
            <w:r w:rsidRPr="00685DE9">
              <w:rPr>
                <w:rFonts w:ascii="Arial" w:hAnsi="Arial" w:cs="Arial"/>
                <w:sz w:val="20"/>
                <w:szCs w:val="20"/>
              </w:rPr>
              <w:t>Primers C</w:t>
            </w:r>
          </w:p>
        </w:tc>
        <w:tc>
          <w:tcPr>
            <w:tcW w:w="2535" w:type="dxa"/>
            <w:tcBorders>
              <w:top w:val="nil"/>
              <w:left w:val="nil"/>
              <w:bottom w:val="nil"/>
              <w:right w:val="nil"/>
            </w:tcBorders>
            <w:shd w:val="clear" w:color="auto" w:fill="auto"/>
            <w:vAlign w:val="center"/>
            <w:hideMark/>
          </w:tcPr>
          <w:p w14:paraId="4011DE0B" w14:textId="5DB54573" w:rsidR="00D11DD0" w:rsidRPr="00685DE9" w:rsidRDefault="00D11DD0" w:rsidP="00FB2843">
            <w:pPr>
              <w:spacing w:after="0" w:line="240" w:lineRule="auto"/>
              <w:rPr>
                <w:rFonts w:ascii="Arial" w:hAnsi="Arial" w:cs="Arial"/>
                <w:sz w:val="20"/>
                <w:szCs w:val="20"/>
              </w:rPr>
            </w:pPr>
            <w:r w:rsidRPr="00685DE9">
              <w:rPr>
                <w:rFonts w:ascii="Arial" w:hAnsi="Arial" w:cs="Arial"/>
                <w:sz w:val="20"/>
                <w:szCs w:val="20"/>
              </w:rPr>
              <w:t>(</w:t>
            </w:r>
            <w:proofErr w:type="spellStart"/>
            <w:proofErr w:type="gramStart"/>
            <w:r w:rsidRPr="00685DE9">
              <w:rPr>
                <w:rFonts w:ascii="Arial" w:hAnsi="Arial" w:cs="Arial"/>
                <w:sz w:val="20"/>
                <w:szCs w:val="20"/>
              </w:rPr>
              <w:t>nt</w:t>
            </w:r>
            <w:proofErr w:type="spellEnd"/>
            <w:proofErr w:type="gramEnd"/>
            <w:r w:rsidRPr="00685DE9">
              <w:rPr>
                <w:rFonts w:ascii="Arial" w:hAnsi="Arial" w:cs="Arial"/>
                <w:sz w:val="20"/>
                <w:szCs w:val="20"/>
              </w:rPr>
              <w:t xml:space="preserve"> 13330-nt 13350)</w:t>
            </w:r>
          </w:p>
        </w:tc>
        <w:tc>
          <w:tcPr>
            <w:tcW w:w="6377" w:type="dxa"/>
            <w:gridSpan w:val="2"/>
            <w:tcBorders>
              <w:top w:val="single" w:sz="8" w:space="0" w:color="auto"/>
              <w:left w:val="nil"/>
              <w:bottom w:val="nil"/>
              <w:right w:val="nil"/>
            </w:tcBorders>
            <w:shd w:val="clear" w:color="auto" w:fill="auto"/>
            <w:vAlign w:val="center"/>
            <w:hideMark/>
          </w:tcPr>
          <w:p w14:paraId="088017AD" w14:textId="28166BEF" w:rsidR="00D11DD0" w:rsidRPr="00685DE9" w:rsidRDefault="00D11DD0" w:rsidP="00FB2843">
            <w:pPr>
              <w:spacing w:after="0" w:line="240" w:lineRule="auto"/>
              <w:rPr>
                <w:rFonts w:ascii="Arial" w:hAnsi="Arial" w:cs="Arial"/>
                <w:sz w:val="20"/>
                <w:szCs w:val="20"/>
              </w:rPr>
            </w:pPr>
            <w:r w:rsidRPr="00685DE9">
              <w:rPr>
                <w:rFonts w:ascii="Arial" w:hAnsi="Arial" w:cs="Arial"/>
                <w:sz w:val="20"/>
                <w:szCs w:val="20"/>
              </w:rPr>
              <w:t xml:space="preserve">5’-CAC GCC TTC </w:t>
            </w:r>
            <w:proofErr w:type="spellStart"/>
            <w:r w:rsidRPr="00685DE9">
              <w:rPr>
                <w:rFonts w:ascii="Arial" w:hAnsi="Arial" w:cs="Arial"/>
                <w:sz w:val="20"/>
                <w:szCs w:val="20"/>
              </w:rPr>
              <w:t>TTC</w:t>
            </w:r>
            <w:proofErr w:type="spellEnd"/>
            <w:r w:rsidRPr="00685DE9">
              <w:rPr>
                <w:rFonts w:ascii="Arial" w:hAnsi="Arial" w:cs="Arial"/>
                <w:sz w:val="20"/>
                <w:szCs w:val="20"/>
              </w:rPr>
              <w:t xml:space="preserve"> AAA GCC ATA-3’</w:t>
            </w:r>
          </w:p>
        </w:tc>
      </w:tr>
      <w:tr w:rsidR="00685DE9" w:rsidRPr="00685DE9" w14:paraId="71BCBECD" w14:textId="77777777" w:rsidTr="00FB2843">
        <w:trPr>
          <w:trHeight w:val="271"/>
        </w:trPr>
        <w:tc>
          <w:tcPr>
            <w:tcW w:w="2300" w:type="dxa"/>
            <w:tcBorders>
              <w:top w:val="nil"/>
              <w:left w:val="nil"/>
              <w:bottom w:val="single" w:sz="4" w:space="0" w:color="auto"/>
              <w:right w:val="nil"/>
            </w:tcBorders>
            <w:shd w:val="clear" w:color="auto" w:fill="auto"/>
            <w:vAlign w:val="center"/>
            <w:hideMark/>
          </w:tcPr>
          <w:p w14:paraId="1D0F1290" w14:textId="442F1B17" w:rsidR="00D11DD0" w:rsidRPr="00685DE9" w:rsidRDefault="00D11DD0" w:rsidP="00D11DD0">
            <w:pPr>
              <w:spacing w:after="0" w:line="240" w:lineRule="auto"/>
              <w:rPr>
                <w:rFonts w:ascii="Arial" w:hAnsi="Arial" w:cs="Arial"/>
                <w:sz w:val="20"/>
                <w:szCs w:val="20"/>
              </w:rPr>
            </w:pPr>
            <w:r w:rsidRPr="00685DE9">
              <w:rPr>
                <w:rFonts w:ascii="Arial" w:hAnsi="Arial" w:cs="Arial"/>
                <w:sz w:val="20"/>
                <w:szCs w:val="20"/>
              </w:rPr>
              <w:t>Primers D</w:t>
            </w:r>
          </w:p>
        </w:tc>
        <w:tc>
          <w:tcPr>
            <w:tcW w:w="2535" w:type="dxa"/>
            <w:tcBorders>
              <w:top w:val="nil"/>
              <w:left w:val="nil"/>
              <w:bottom w:val="single" w:sz="4" w:space="0" w:color="auto"/>
              <w:right w:val="nil"/>
            </w:tcBorders>
            <w:shd w:val="clear" w:color="auto" w:fill="auto"/>
            <w:vAlign w:val="center"/>
            <w:hideMark/>
          </w:tcPr>
          <w:p w14:paraId="6647F274" w14:textId="64DF24BB" w:rsidR="00D11DD0" w:rsidRPr="00685DE9" w:rsidRDefault="00D11DD0" w:rsidP="00FB2843">
            <w:pPr>
              <w:spacing w:after="0" w:line="240" w:lineRule="auto"/>
              <w:rPr>
                <w:rFonts w:ascii="Arial" w:hAnsi="Arial" w:cs="Arial"/>
                <w:sz w:val="20"/>
                <w:szCs w:val="20"/>
              </w:rPr>
            </w:pPr>
            <w:r w:rsidRPr="00685DE9">
              <w:rPr>
                <w:rFonts w:ascii="Arial" w:hAnsi="Arial" w:cs="Arial"/>
                <w:sz w:val="20"/>
                <w:szCs w:val="20"/>
              </w:rPr>
              <w:t>(</w:t>
            </w:r>
            <w:proofErr w:type="spellStart"/>
            <w:proofErr w:type="gramStart"/>
            <w:r w:rsidRPr="00685DE9">
              <w:rPr>
                <w:rFonts w:ascii="Arial" w:hAnsi="Arial" w:cs="Arial"/>
                <w:sz w:val="20"/>
                <w:szCs w:val="20"/>
              </w:rPr>
              <w:t>nt</w:t>
            </w:r>
            <w:proofErr w:type="spellEnd"/>
            <w:proofErr w:type="gramEnd"/>
            <w:r w:rsidRPr="00685DE9">
              <w:rPr>
                <w:rFonts w:ascii="Arial" w:hAnsi="Arial" w:cs="Arial"/>
                <w:sz w:val="20"/>
                <w:szCs w:val="20"/>
              </w:rPr>
              <w:t xml:space="preserve"> 8335-nt 8355)</w:t>
            </w:r>
          </w:p>
        </w:tc>
        <w:tc>
          <w:tcPr>
            <w:tcW w:w="6377" w:type="dxa"/>
            <w:gridSpan w:val="2"/>
            <w:tcBorders>
              <w:top w:val="nil"/>
              <w:left w:val="nil"/>
              <w:bottom w:val="single" w:sz="4" w:space="0" w:color="auto"/>
              <w:right w:val="nil"/>
            </w:tcBorders>
            <w:shd w:val="clear" w:color="auto" w:fill="auto"/>
            <w:vAlign w:val="center"/>
            <w:hideMark/>
          </w:tcPr>
          <w:p w14:paraId="712D4BAA" w14:textId="187EC46D" w:rsidR="00D11DD0" w:rsidRPr="00685DE9" w:rsidRDefault="00D11DD0" w:rsidP="00FB2843">
            <w:pPr>
              <w:spacing w:after="0" w:line="240" w:lineRule="auto"/>
              <w:rPr>
                <w:rFonts w:ascii="Arial" w:hAnsi="Arial" w:cs="Arial"/>
                <w:sz w:val="20"/>
                <w:szCs w:val="20"/>
              </w:rPr>
            </w:pPr>
            <w:r w:rsidRPr="00685DE9">
              <w:rPr>
                <w:rFonts w:ascii="Arial" w:hAnsi="Arial" w:cs="Arial"/>
                <w:sz w:val="20"/>
                <w:szCs w:val="20"/>
              </w:rPr>
              <w:t>5’-ATT AAG AGA ACC AAC ACC TCT-3’</w:t>
            </w:r>
          </w:p>
        </w:tc>
      </w:tr>
      <w:tr w:rsidR="00685DE9" w:rsidRPr="00685DE9" w14:paraId="228B9C75" w14:textId="77777777" w:rsidTr="002E621A">
        <w:trPr>
          <w:trHeight w:val="271"/>
        </w:trPr>
        <w:tc>
          <w:tcPr>
            <w:tcW w:w="11212" w:type="dxa"/>
            <w:gridSpan w:val="4"/>
            <w:tcBorders>
              <w:top w:val="single" w:sz="4" w:space="0" w:color="auto"/>
              <w:left w:val="nil"/>
              <w:bottom w:val="single" w:sz="8" w:space="0" w:color="auto"/>
              <w:right w:val="nil"/>
            </w:tcBorders>
            <w:shd w:val="clear" w:color="auto" w:fill="auto"/>
            <w:vAlign w:val="center"/>
          </w:tcPr>
          <w:p w14:paraId="3AD8FD70" w14:textId="77777777" w:rsidR="002E621A" w:rsidRPr="00685DE9" w:rsidRDefault="002E621A" w:rsidP="002E621A">
            <w:pPr>
              <w:spacing w:after="0" w:line="240" w:lineRule="auto"/>
              <w:jc w:val="both"/>
              <w:rPr>
                <w:rFonts w:ascii="Arial" w:hAnsi="Arial" w:cs="Arial"/>
                <w:b/>
                <w:sz w:val="20"/>
                <w:szCs w:val="20"/>
              </w:rPr>
            </w:pPr>
          </w:p>
          <w:p w14:paraId="16B46B78" w14:textId="283CAD81" w:rsidR="002E621A" w:rsidRPr="00685DE9" w:rsidRDefault="002E621A" w:rsidP="002E621A">
            <w:pPr>
              <w:spacing w:after="0" w:line="240" w:lineRule="auto"/>
              <w:jc w:val="both"/>
              <w:rPr>
                <w:rFonts w:ascii="Arial" w:hAnsi="Arial" w:cs="Arial"/>
                <w:b/>
                <w:sz w:val="20"/>
                <w:szCs w:val="20"/>
              </w:rPr>
            </w:pPr>
            <w:r w:rsidRPr="00685DE9">
              <w:rPr>
                <w:rFonts w:ascii="Arial" w:hAnsi="Arial" w:cs="Arial"/>
                <w:b/>
                <w:sz w:val="20"/>
                <w:szCs w:val="20"/>
              </w:rPr>
              <w:t xml:space="preserve">Primers used for the detection of HBV </w:t>
            </w:r>
            <w:proofErr w:type="spellStart"/>
            <w:r w:rsidRPr="00685DE9">
              <w:rPr>
                <w:rFonts w:ascii="Arial" w:hAnsi="Arial" w:cs="Arial"/>
                <w:b/>
                <w:sz w:val="20"/>
                <w:szCs w:val="20"/>
              </w:rPr>
              <w:t>pregenomic</w:t>
            </w:r>
            <w:proofErr w:type="spellEnd"/>
            <w:r w:rsidRPr="00685DE9">
              <w:rPr>
                <w:rFonts w:ascii="Arial" w:hAnsi="Arial" w:cs="Arial"/>
                <w:b/>
                <w:sz w:val="20"/>
                <w:szCs w:val="20"/>
              </w:rPr>
              <w:t xml:space="preserve"> RNA after Payw1.2 transfection</w:t>
            </w:r>
          </w:p>
        </w:tc>
      </w:tr>
      <w:tr w:rsidR="00685DE9" w:rsidRPr="00685DE9" w14:paraId="6E4E103D" w14:textId="77777777" w:rsidTr="002E621A">
        <w:trPr>
          <w:trHeight w:val="241"/>
        </w:trPr>
        <w:tc>
          <w:tcPr>
            <w:tcW w:w="2300" w:type="dxa"/>
            <w:vMerge w:val="restart"/>
            <w:tcBorders>
              <w:top w:val="nil"/>
              <w:left w:val="nil"/>
              <w:right w:val="nil"/>
            </w:tcBorders>
            <w:shd w:val="clear" w:color="auto" w:fill="auto"/>
            <w:vAlign w:val="center"/>
            <w:hideMark/>
          </w:tcPr>
          <w:p w14:paraId="60FE0161" w14:textId="57C0DC15" w:rsidR="002E621A" w:rsidRPr="00685DE9" w:rsidRDefault="002E621A" w:rsidP="002E621A">
            <w:pPr>
              <w:spacing w:after="0" w:line="240" w:lineRule="auto"/>
              <w:jc w:val="center"/>
              <w:rPr>
                <w:rFonts w:ascii="Arial" w:hAnsi="Arial" w:cs="Arial"/>
                <w:sz w:val="20"/>
                <w:szCs w:val="20"/>
              </w:rPr>
            </w:pPr>
            <w:r w:rsidRPr="00685DE9">
              <w:rPr>
                <w:rFonts w:ascii="Arial" w:hAnsi="Arial" w:cs="Arial"/>
                <w:sz w:val="20"/>
                <w:szCs w:val="20"/>
              </w:rPr>
              <w:t xml:space="preserve">HBV </w:t>
            </w:r>
            <w:proofErr w:type="spellStart"/>
            <w:r w:rsidRPr="00685DE9">
              <w:rPr>
                <w:rFonts w:ascii="Arial" w:hAnsi="Arial" w:cs="Arial"/>
                <w:sz w:val="20"/>
                <w:szCs w:val="20"/>
              </w:rPr>
              <w:t>pgRNA</w:t>
            </w:r>
            <w:proofErr w:type="spellEnd"/>
          </w:p>
        </w:tc>
        <w:tc>
          <w:tcPr>
            <w:tcW w:w="2535" w:type="dxa"/>
            <w:tcBorders>
              <w:top w:val="nil"/>
              <w:left w:val="nil"/>
              <w:bottom w:val="nil"/>
              <w:right w:val="nil"/>
            </w:tcBorders>
            <w:shd w:val="clear" w:color="auto" w:fill="auto"/>
            <w:vAlign w:val="center"/>
            <w:hideMark/>
          </w:tcPr>
          <w:p w14:paraId="0B87CE04" w14:textId="0C08E11D" w:rsidR="002E621A" w:rsidRPr="00685DE9" w:rsidRDefault="002E621A" w:rsidP="002E621A">
            <w:pPr>
              <w:spacing w:after="0" w:line="240" w:lineRule="auto"/>
              <w:jc w:val="center"/>
              <w:rPr>
                <w:rFonts w:ascii="Arial" w:hAnsi="Arial" w:cs="Arial"/>
                <w:sz w:val="20"/>
                <w:szCs w:val="20"/>
              </w:rPr>
            </w:pPr>
            <w:r w:rsidRPr="00685DE9">
              <w:rPr>
                <w:rFonts w:ascii="Arial" w:hAnsi="Arial" w:cs="Arial"/>
                <w:sz w:val="20"/>
                <w:szCs w:val="20"/>
              </w:rPr>
              <w:t>Forward</w:t>
            </w:r>
          </w:p>
        </w:tc>
        <w:tc>
          <w:tcPr>
            <w:tcW w:w="6377" w:type="dxa"/>
            <w:gridSpan w:val="2"/>
            <w:tcBorders>
              <w:top w:val="single" w:sz="8" w:space="0" w:color="auto"/>
              <w:left w:val="nil"/>
              <w:bottom w:val="nil"/>
              <w:right w:val="nil"/>
            </w:tcBorders>
            <w:shd w:val="clear" w:color="auto" w:fill="auto"/>
            <w:vAlign w:val="center"/>
            <w:hideMark/>
          </w:tcPr>
          <w:p w14:paraId="73F738E1" w14:textId="18D8B099"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5’-TGT CAA CAC TAA TAT GGG CCT AA-3’</w:t>
            </w:r>
          </w:p>
        </w:tc>
      </w:tr>
      <w:tr w:rsidR="00685DE9" w:rsidRPr="00685DE9" w14:paraId="312F6106" w14:textId="77777777" w:rsidTr="002E621A">
        <w:trPr>
          <w:trHeight w:val="271"/>
        </w:trPr>
        <w:tc>
          <w:tcPr>
            <w:tcW w:w="2300" w:type="dxa"/>
            <w:vMerge/>
            <w:tcBorders>
              <w:left w:val="nil"/>
              <w:bottom w:val="single" w:sz="4" w:space="0" w:color="auto"/>
              <w:right w:val="nil"/>
            </w:tcBorders>
            <w:shd w:val="clear" w:color="auto" w:fill="auto"/>
            <w:vAlign w:val="center"/>
            <w:hideMark/>
          </w:tcPr>
          <w:p w14:paraId="43D1E1C8" w14:textId="04B4B4D2" w:rsidR="002E621A" w:rsidRPr="00685DE9" w:rsidRDefault="002E621A" w:rsidP="00270279">
            <w:pPr>
              <w:spacing w:after="0" w:line="240" w:lineRule="auto"/>
              <w:rPr>
                <w:rFonts w:ascii="Arial" w:hAnsi="Arial" w:cs="Arial"/>
                <w:sz w:val="20"/>
                <w:szCs w:val="20"/>
              </w:rPr>
            </w:pPr>
          </w:p>
        </w:tc>
        <w:tc>
          <w:tcPr>
            <w:tcW w:w="2535" w:type="dxa"/>
            <w:tcBorders>
              <w:top w:val="nil"/>
              <w:left w:val="nil"/>
              <w:bottom w:val="single" w:sz="4" w:space="0" w:color="auto"/>
              <w:right w:val="nil"/>
            </w:tcBorders>
            <w:shd w:val="clear" w:color="auto" w:fill="auto"/>
            <w:vAlign w:val="center"/>
            <w:hideMark/>
          </w:tcPr>
          <w:p w14:paraId="65CF859A" w14:textId="205672BB" w:rsidR="002E621A" w:rsidRPr="00685DE9" w:rsidRDefault="002E621A" w:rsidP="002E621A">
            <w:pPr>
              <w:spacing w:after="0" w:line="240" w:lineRule="auto"/>
              <w:jc w:val="center"/>
              <w:rPr>
                <w:rFonts w:ascii="Arial" w:hAnsi="Arial" w:cs="Arial"/>
                <w:sz w:val="20"/>
                <w:szCs w:val="20"/>
              </w:rPr>
            </w:pPr>
            <w:r w:rsidRPr="00685DE9">
              <w:rPr>
                <w:rFonts w:ascii="Arial" w:hAnsi="Arial" w:cs="Arial"/>
                <w:sz w:val="20"/>
                <w:szCs w:val="20"/>
              </w:rPr>
              <w:t>Reverse</w:t>
            </w:r>
          </w:p>
        </w:tc>
        <w:tc>
          <w:tcPr>
            <w:tcW w:w="6377" w:type="dxa"/>
            <w:gridSpan w:val="2"/>
            <w:tcBorders>
              <w:top w:val="nil"/>
              <w:left w:val="nil"/>
              <w:bottom w:val="single" w:sz="4" w:space="0" w:color="auto"/>
              <w:right w:val="nil"/>
            </w:tcBorders>
            <w:shd w:val="clear" w:color="auto" w:fill="auto"/>
            <w:vAlign w:val="center"/>
            <w:hideMark/>
          </w:tcPr>
          <w:p w14:paraId="65455DE1" w14:textId="3652F98F" w:rsidR="002E621A" w:rsidRPr="00685DE9" w:rsidRDefault="002E621A" w:rsidP="00270279">
            <w:pPr>
              <w:spacing w:after="0" w:line="240" w:lineRule="auto"/>
              <w:rPr>
                <w:rFonts w:ascii="Arial" w:hAnsi="Arial" w:cs="Arial"/>
                <w:sz w:val="20"/>
                <w:szCs w:val="20"/>
              </w:rPr>
            </w:pPr>
            <w:r w:rsidRPr="00685DE9">
              <w:rPr>
                <w:rFonts w:ascii="Arial" w:hAnsi="Arial" w:cs="Arial"/>
                <w:sz w:val="20"/>
                <w:szCs w:val="20"/>
              </w:rPr>
              <w:t xml:space="preserve">5’-AGG GGC ATT TGG </w:t>
            </w:r>
            <w:proofErr w:type="spellStart"/>
            <w:r w:rsidRPr="00685DE9">
              <w:rPr>
                <w:rFonts w:ascii="Arial" w:hAnsi="Arial" w:cs="Arial"/>
                <w:sz w:val="20"/>
                <w:szCs w:val="20"/>
              </w:rPr>
              <w:t>TGG</w:t>
            </w:r>
            <w:proofErr w:type="spellEnd"/>
            <w:r w:rsidRPr="00685DE9">
              <w:rPr>
                <w:rFonts w:ascii="Arial" w:hAnsi="Arial" w:cs="Arial"/>
                <w:sz w:val="20"/>
                <w:szCs w:val="20"/>
              </w:rPr>
              <w:t xml:space="preserve"> TCT AT-3’</w:t>
            </w:r>
          </w:p>
        </w:tc>
      </w:tr>
    </w:tbl>
    <w:p w14:paraId="79900566" w14:textId="5FAC194D" w:rsidR="005679A2" w:rsidRPr="00685DE9" w:rsidRDefault="005679A2" w:rsidP="003F4456">
      <w:pPr>
        <w:autoSpaceDE w:val="0"/>
        <w:adjustRightInd w:val="0"/>
        <w:spacing w:line="360" w:lineRule="auto"/>
        <w:jc w:val="both"/>
        <w:rPr>
          <w:rFonts w:ascii="Arial" w:hAnsi="Arial" w:cs="Arial"/>
          <w:b/>
        </w:rPr>
      </w:pPr>
    </w:p>
    <w:p w14:paraId="67C141F2" w14:textId="52423BA6" w:rsidR="00D11DD0" w:rsidRPr="00685DE9" w:rsidRDefault="005679A2" w:rsidP="00D11DD0">
      <w:pPr>
        <w:autoSpaceDE w:val="0"/>
        <w:adjustRightInd w:val="0"/>
        <w:spacing w:after="0" w:line="240" w:lineRule="auto"/>
        <w:rPr>
          <w:rFonts w:ascii="Arial" w:hAnsi="Arial" w:cs="Arial"/>
          <w:sz w:val="24"/>
          <w:szCs w:val="24"/>
        </w:rPr>
      </w:pPr>
      <w:r w:rsidRPr="00685DE9">
        <w:rPr>
          <w:rFonts w:ascii="Arial" w:hAnsi="Arial" w:cs="Arial"/>
          <w:b/>
        </w:rPr>
        <w:br w:type="page"/>
      </w:r>
    </w:p>
    <w:p w14:paraId="415C3EBE" w14:textId="4D245A3F" w:rsidR="006A1AC4" w:rsidRPr="00685DE9" w:rsidRDefault="00DE47F7" w:rsidP="006A1AC4">
      <w:pPr>
        <w:rPr>
          <w:rFonts w:ascii="Arial" w:hAnsi="Arial" w:cs="Arial"/>
          <w:b/>
        </w:rPr>
      </w:pPr>
      <w:r w:rsidRPr="00685DE9">
        <w:rPr>
          <w:rFonts w:ascii="Arial" w:hAnsi="Arial" w:cs="Arial"/>
          <w:b/>
        </w:rPr>
        <w:lastRenderedPageBreak/>
        <w:t xml:space="preserve">Supplemental </w:t>
      </w:r>
      <w:r w:rsidR="006A1AC4" w:rsidRPr="00685DE9">
        <w:rPr>
          <w:rFonts w:ascii="Arial" w:hAnsi="Arial" w:cs="Arial"/>
          <w:b/>
        </w:rPr>
        <w:t xml:space="preserve">Table </w:t>
      </w:r>
      <w:r w:rsidR="00EC2E8E" w:rsidRPr="00685DE9">
        <w:rPr>
          <w:rFonts w:ascii="Arial" w:hAnsi="Arial" w:cs="Arial"/>
          <w:b/>
        </w:rPr>
        <w:t>2</w:t>
      </w:r>
      <w:r w:rsidR="006A1AC4" w:rsidRPr="00685DE9">
        <w:rPr>
          <w:rFonts w:ascii="Arial" w:hAnsi="Arial" w:cs="Arial"/>
          <w:b/>
        </w:rPr>
        <w:t xml:space="preserve">. </w:t>
      </w:r>
      <w:r w:rsidR="006A1AC4" w:rsidRPr="00685DE9">
        <w:rPr>
          <w:rFonts w:ascii="Arial" w:hAnsi="Arial" w:cs="Arial"/>
        </w:rPr>
        <w:t>Reagents and Antibodies.</w:t>
      </w:r>
    </w:p>
    <w:tbl>
      <w:tblPr>
        <w:tblpPr w:leftFromText="141" w:rightFromText="141" w:vertAnchor="text" w:horzAnchor="margin" w:tblpXSpec="center" w:tblpY="308"/>
        <w:tblW w:w="9765" w:type="dxa"/>
        <w:tblCellMar>
          <w:left w:w="0" w:type="dxa"/>
          <w:right w:w="0" w:type="dxa"/>
        </w:tblCellMar>
        <w:tblLook w:val="04A0" w:firstRow="1" w:lastRow="0" w:firstColumn="1" w:lastColumn="0" w:noHBand="0" w:noVBand="1"/>
      </w:tblPr>
      <w:tblGrid>
        <w:gridCol w:w="3713"/>
        <w:gridCol w:w="1110"/>
        <w:gridCol w:w="2084"/>
        <w:gridCol w:w="1474"/>
        <w:gridCol w:w="1384"/>
      </w:tblGrid>
      <w:tr w:rsidR="00685DE9" w:rsidRPr="00685DE9" w14:paraId="3C678C1E" w14:textId="77777777" w:rsidTr="006A1AC4">
        <w:trPr>
          <w:trHeight w:val="104"/>
        </w:trPr>
        <w:tc>
          <w:tcPr>
            <w:tcW w:w="371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ADFC53C" w14:textId="77777777" w:rsidR="006A1AC4" w:rsidRPr="00685DE9" w:rsidRDefault="006A1AC4" w:rsidP="00270279">
            <w:pPr>
              <w:spacing w:after="0"/>
              <w:rPr>
                <w:rFonts w:ascii="Arial" w:hAnsi="Arial" w:cs="Arial"/>
                <w:b/>
                <w:bCs/>
              </w:rPr>
            </w:pPr>
            <w:r w:rsidRPr="00685DE9">
              <w:rPr>
                <w:rFonts w:ascii="Arial" w:hAnsi="Arial" w:cs="Arial"/>
                <w:b/>
                <w:bCs/>
              </w:rPr>
              <w:t>Antibodies</w:t>
            </w:r>
          </w:p>
        </w:tc>
        <w:tc>
          <w:tcPr>
            <w:tcW w:w="110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59E49D7" w14:textId="77777777" w:rsidR="006A1AC4" w:rsidRPr="00685DE9" w:rsidRDefault="006A1AC4" w:rsidP="00270279">
            <w:pPr>
              <w:spacing w:after="0"/>
              <w:jc w:val="center"/>
              <w:rPr>
                <w:rFonts w:ascii="Arial" w:hAnsi="Arial" w:cs="Arial"/>
                <w:b/>
                <w:bCs/>
              </w:rPr>
            </w:pPr>
          </w:p>
        </w:tc>
        <w:tc>
          <w:tcPr>
            <w:tcW w:w="208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4839C0A" w14:textId="77777777" w:rsidR="006A1AC4" w:rsidRPr="00685DE9" w:rsidRDefault="006A1AC4" w:rsidP="00270279">
            <w:pPr>
              <w:spacing w:after="0"/>
              <w:jc w:val="center"/>
              <w:rPr>
                <w:rFonts w:ascii="Arial" w:hAnsi="Arial" w:cs="Arial"/>
                <w:b/>
                <w:bCs/>
              </w:rPr>
            </w:pPr>
            <w:r w:rsidRPr="00685DE9">
              <w:rPr>
                <w:rFonts w:ascii="Arial" w:hAnsi="Arial" w:cs="Arial"/>
                <w:b/>
                <w:bCs/>
              </w:rPr>
              <w:t>Supplier</w:t>
            </w:r>
          </w:p>
        </w:tc>
        <w:tc>
          <w:tcPr>
            <w:tcW w:w="147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8060ACB" w14:textId="77777777" w:rsidR="006A1AC4" w:rsidRPr="00685DE9" w:rsidRDefault="006A1AC4" w:rsidP="00270279">
            <w:pPr>
              <w:spacing w:after="0"/>
              <w:jc w:val="center"/>
              <w:rPr>
                <w:rFonts w:ascii="Arial" w:hAnsi="Arial" w:cs="Arial"/>
                <w:b/>
                <w:bCs/>
              </w:rPr>
            </w:pPr>
            <w:r w:rsidRPr="00685DE9">
              <w:rPr>
                <w:rFonts w:ascii="Arial" w:hAnsi="Arial" w:cs="Arial"/>
                <w:b/>
                <w:bCs/>
              </w:rPr>
              <w:t>Catalog no.</w:t>
            </w:r>
          </w:p>
        </w:tc>
        <w:tc>
          <w:tcPr>
            <w:tcW w:w="138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AD8DB73" w14:textId="77777777" w:rsidR="006A1AC4" w:rsidRPr="00685DE9" w:rsidRDefault="006A1AC4" w:rsidP="00270279">
            <w:pPr>
              <w:spacing w:after="0"/>
              <w:jc w:val="center"/>
              <w:rPr>
                <w:rFonts w:ascii="Arial" w:hAnsi="Arial" w:cs="Arial"/>
                <w:b/>
                <w:bCs/>
              </w:rPr>
            </w:pPr>
            <w:r w:rsidRPr="00685DE9">
              <w:rPr>
                <w:rFonts w:ascii="Arial" w:hAnsi="Arial" w:cs="Arial"/>
                <w:b/>
                <w:bCs/>
              </w:rPr>
              <w:t>Clone no.</w:t>
            </w:r>
          </w:p>
        </w:tc>
      </w:tr>
      <w:tr w:rsidR="00685DE9" w:rsidRPr="00685DE9" w14:paraId="04DFA994" w14:textId="77777777" w:rsidTr="006A1AC4">
        <w:trPr>
          <w:trHeight w:val="104"/>
        </w:trPr>
        <w:tc>
          <w:tcPr>
            <w:tcW w:w="371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6B771D5C" w14:textId="77777777" w:rsidR="006A1AC4" w:rsidRPr="00685DE9" w:rsidRDefault="006A1AC4" w:rsidP="00270279">
            <w:pPr>
              <w:spacing w:after="0"/>
              <w:rPr>
                <w:rFonts w:ascii="Arial" w:hAnsi="Arial" w:cs="Arial"/>
              </w:rPr>
            </w:pPr>
            <w:r w:rsidRPr="00685DE9">
              <w:rPr>
                <w:rFonts w:ascii="Arial" w:hAnsi="Arial" w:cs="Arial"/>
              </w:rPr>
              <w:t>Anti-MTCO1 antibody</w:t>
            </w:r>
          </w:p>
        </w:tc>
        <w:tc>
          <w:tcPr>
            <w:tcW w:w="1109"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3AE30AE" w14:textId="77777777" w:rsidR="006A1AC4" w:rsidRPr="00685DE9" w:rsidRDefault="006A1AC4" w:rsidP="00270279">
            <w:pPr>
              <w:spacing w:after="0"/>
              <w:jc w:val="center"/>
              <w:rPr>
                <w:rFonts w:ascii="Arial" w:hAnsi="Arial" w:cs="Arial"/>
              </w:rPr>
            </w:pPr>
          </w:p>
        </w:tc>
        <w:tc>
          <w:tcPr>
            <w:tcW w:w="208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C8E7088" w14:textId="77777777" w:rsidR="006A1AC4" w:rsidRPr="00685DE9" w:rsidRDefault="006A1AC4" w:rsidP="00270279">
            <w:pPr>
              <w:spacing w:after="0"/>
              <w:jc w:val="center"/>
              <w:rPr>
                <w:rFonts w:ascii="Arial" w:hAnsi="Arial" w:cs="Arial"/>
              </w:rPr>
            </w:pPr>
            <w:r w:rsidRPr="00685DE9">
              <w:rPr>
                <w:rFonts w:ascii="Arial" w:hAnsi="Arial" w:cs="Arial"/>
                <w:bCs/>
              </w:rPr>
              <w:t>Abcam</w:t>
            </w:r>
          </w:p>
        </w:tc>
        <w:tc>
          <w:tcPr>
            <w:tcW w:w="1474"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5F7FEBC5" w14:textId="77777777" w:rsidR="006A1AC4" w:rsidRPr="00685DE9" w:rsidRDefault="006A1AC4" w:rsidP="00270279">
            <w:pPr>
              <w:spacing w:after="0"/>
              <w:jc w:val="center"/>
              <w:rPr>
                <w:rFonts w:ascii="Arial" w:hAnsi="Arial" w:cs="Arial"/>
              </w:rPr>
            </w:pPr>
            <w:r w:rsidRPr="00685DE9">
              <w:rPr>
                <w:rFonts w:ascii="Arial" w:hAnsi="Arial" w:cs="Arial"/>
              </w:rPr>
              <w:t>ab14705</w:t>
            </w:r>
          </w:p>
        </w:tc>
        <w:tc>
          <w:tcPr>
            <w:tcW w:w="138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984C0A7" w14:textId="77777777" w:rsidR="006A1AC4" w:rsidRPr="00685DE9" w:rsidRDefault="006A1AC4" w:rsidP="00270279">
            <w:pPr>
              <w:spacing w:after="0"/>
              <w:jc w:val="center"/>
              <w:rPr>
                <w:rFonts w:ascii="Arial" w:hAnsi="Arial" w:cs="Arial"/>
              </w:rPr>
            </w:pPr>
            <w:r w:rsidRPr="00685DE9">
              <w:rPr>
                <w:rFonts w:ascii="Arial" w:hAnsi="Arial" w:cs="Arial"/>
              </w:rPr>
              <w:t>1D6E1A8</w:t>
            </w:r>
          </w:p>
        </w:tc>
      </w:tr>
      <w:tr w:rsidR="00685DE9" w:rsidRPr="00685DE9" w14:paraId="006C27A2" w14:textId="77777777" w:rsidTr="006A1AC4">
        <w:trPr>
          <w:trHeight w:val="104"/>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13793D41" w14:textId="77777777" w:rsidR="006A1AC4" w:rsidRPr="00685DE9" w:rsidRDefault="006A1AC4" w:rsidP="00270279">
            <w:pPr>
              <w:spacing w:after="0"/>
              <w:rPr>
                <w:rFonts w:ascii="Arial" w:hAnsi="Arial" w:cs="Arial"/>
              </w:rPr>
            </w:pPr>
            <w:r w:rsidRPr="00685DE9">
              <w:rPr>
                <w:rFonts w:ascii="Arial" w:hAnsi="Arial" w:cs="Arial"/>
              </w:rPr>
              <w:t>Anti-MTCO2 antibody</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2D2F99B7"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1628D6AD" w14:textId="77777777" w:rsidR="006A1AC4" w:rsidRPr="00685DE9" w:rsidRDefault="006A1AC4" w:rsidP="00270279">
            <w:pPr>
              <w:spacing w:after="0"/>
              <w:jc w:val="center"/>
              <w:rPr>
                <w:rFonts w:ascii="Arial" w:hAnsi="Arial" w:cs="Arial"/>
              </w:rPr>
            </w:pPr>
            <w:r w:rsidRPr="00685DE9">
              <w:rPr>
                <w:rFonts w:ascii="Arial" w:hAnsi="Arial" w:cs="Arial"/>
                <w:bCs/>
              </w:rPr>
              <w:t>Abcam</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37C0727B" w14:textId="77777777" w:rsidR="006A1AC4" w:rsidRPr="00685DE9" w:rsidRDefault="006A1AC4" w:rsidP="00270279">
            <w:pPr>
              <w:spacing w:after="0"/>
              <w:jc w:val="center"/>
              <w:rPr>
                <w:rFonts w:ascii="Arial" w:hAnsi="Arial" w:cs="Arial"/>
              </w:rPr>
            </w:pPr>
            <w:r w:rsidRPr="00685DE9">
              <w:rPr>
                <w:rFonts w:ascii="Arial" w:hAnsi="Arial" w:cs="Arial"/>
              </w:rPr>
              <w:t>ab110258</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6CF4A508" w14:textId="77777777" w:rsidR="006A1AC4" w:rsidRPr="00685DE9" w:rsidRDefault="006A1AC4" w:rsidP="00270279">
            <w:pPr>
              <w:spacing w:after="0"/>
              <w:jc w:val="center"/>
              <w:rPr>
                <w:rFonts w:ascii="Arial" w:hAnsi="Arial" w:cs="Arial"/>
              </w:rPr>
            </w:pPr>
            <w:r w:rsidRPr="00685DE9">
              <w:rPr>
                <w:rFonts w:ascii="Arial" w:hAnsi="Arial" w:cs="Arial"/>
              </w:rPr>
              <w:t>`12C4F12</w:t>
            </w:r>
          </w:p>
        </w:tc>
      </w:tr>
      <w:tr w:rsidR="00685DE9" w:rsidRPr="00685DE9" w14:paraId="487D0B13"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503931EA" w14:textId="77777777" w:rsidR="006A1AC4" w:rsidRPr="00685DE9" w:rsidRDefault="006A1AC4" w:rsidP="00270279">
            <w:pPr>
              <w:spacing w:after="0"/>
              <w:rPr>
                <w:rFonts w:ascii="Arial" w:hAnsi="Arial" w:cs="Arial"/>
              </w:rPr>
            </w:pPr>
            <w:r w:rsidRPr="00685DE9">
              <w:rPr>
                <w:rFonts w:ascii="Arial" w:hAnsi="Arial" w:cs="Arial"/>
              </w:rPr>
              <w:t>Anti-COX4, mitochondrial antibody</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3D3CC376"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5F2368EC" w14:textId="77777777" w:rsidR="006A1AC4" w:rsidRPr="00685DE9" w:rsidRDefault="006A1AC4" w:rsidP="00270279">
            <w:pPr>
              <w:spacing w:after="0"/>
              <w:jc w:val="center"/>
              <w:rPr>
                <w:rFonts w:ascii="Arial" w:hAnsi="Arial" w:cs="Arial"/>
              </w:rPr>
            </w:pPr>
            <w:r w:rsidRPr="00685DE9">
              <w:rPr>
                <w:rFonts w:ascii="Arial" w:hAnsi="Arial" w:cs="Arial"/>
                <w:bCs/>
              </w:rPr>
              <w:t>Abcam</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6C7D0484" w14:textId="77777777" w:rsidR="006A1AC4" w:rsidRPr="00685DE9" w:rsidRDefault="006A1AC4" w:rsidP="00270279">
            <w:pPr>
              <w:spacing w:after="0"/>
              <w:jc w:val="center"/>
              <w:rPr>
                <w:rFonts w:ascii="Arial" w:hAnsi="Arial" w:cs="Arial"/>
              </w:rPr>
            </w:pPr>
            <w:r w:rsidRPr="00685DE9">
              <w:rPr>
                <w:rFonts w:ascii="Arial" w:hAnsi="Arial" w:cs="Arial"/>
              </w:rPr>
              <w:t>ab1102272</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1323338B" w14:textId="77777777" w:rsidR="006A1AC4" w:rsidRPr="00685DE9" w:rsidRDefault="006A1AC4" w:rsidP="00270279">
            <w:pPr>
              <w:spacing w:after="0"/>
              <w:jc w:val="center"/>
              <w:rPr>
                <w:rFonts w:ascii="Arial" w:hAnsi="Arial" w:cs="Arial"/>
              </w:rPr>
            </w:pPr>
            <w:r w:rsidRPr="00685DE9">
              <w:rPr>
                <w:rFonts w:ascii="Arial" w:hAnsi="Arial" w:cs="Arial"/>
              </w:rPr>
              <w:t>1A12A12</w:t>
            </w:r>
          </w:p>
        </w:tc>
      </w:tr>
      <w:tr w:rsidR="00685DE9" w:rsidRPr="00685DE9" w14:paraId="442931B0" w14:textId="77777777" w:rsidTr="006A1AC4">
        <w:trPr>
          <w:trHeight w:val="296"/>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001EBEDC" w14:textId="77777777" w:rsidR="006A1AC4" w:rsidRPr="00685DE9" w:rsidRDefault="006A1AC4" w:rsidP="00270279">
            <w:pPr>
              <w:spacing w:after="0"/>
              <w:rPr>
                <w:rFonts w:ascii="Arial" w:hAnsi="Arial" w:cs="Arial"/>
              </w:rPr>
            </w:pPr>
            <w:r w:rsidRPr="00685DE9">
              <w:rPr>
                <w:rFonts w:ascii="Arial" w:hAnsi="Arial" w:cs="Arial"/>
              </w:rPr>
              <w:t>PGC-1α</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368CA110"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4C0BC3EC" w14:textId="77777777" w:rsidR="006A1AC4" w:rsidRPr="00685DE9" w:rsidRDefault="006A1AC4" w:rsidP="00270279">
            <w:pPr>
              <w:spacing w:after="0"/>
              <w:jc w:val="center"/>
              <w:rPr>
                <w:rFonts w:ascii="Arial" w:hAnsi="Arial" w:cs="Arial"/>
              </w:rPr>
            </w:pPr>
            <w:r w:rsidRPr="00685DE9">
              <w:rPr>
                <w:rFonts w:ascii="Arial" w:hAnsi="Arial" w:cs="Arial"/>
                <w:bCs/>
              </w:rPr>
              <w:t>Santa Cruz Biotechnology</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A68062E" w14:textId="77777777" w:rsidR="006A1AC4" w:rsidRPr="00685DE9" w:rsidRDefault="006A1AC4" w:rsidP="00270279">
            <w:pPr>
              <w:spacing w:after="0"/>
              <w:jc w:val="center"/>
              <w:rPr>
                <w:rFonts w:ascii="Arial" w:hAnsi="Arial" w:cs="Arial"/>
              </w:rPr>
            </w:pPr>
            <w:r w:rsidRPr="00685DE9">
              <w:rPr>
                <w:rFonts w:ascii="Arial" w:hAnsi="Arial" w:cs="Arial"/>
              </w:rPr>
              <w:t>sc-517380</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03C1FD90" w14:textId="77777777" w:rsidR="006A1AC4" w:rsidRPr="00685DE9" w:rsidRDefault="006A1AC4" w:rsidP="00270279">
            <w:pPr>
              <w:spacing w:after="0"/>
              <w:jc w:val="center"/>
              <w:rPr>
                <w:rFonts w:ascii="Arial" w:hAnsi="Arial" w:cs="Arial"/>
              </w:rPr>
            </w:pPr>
            <w:r w:rsidRPr="00685DE9">
              <w:rPr>
                <w:rFonts w:ascii="Arial" w:hAnsi="Arial" w:cs="Arial"/>
              </w:rPr>
              <w:t>4A8</w:t>
            </w:r>
          </w:p>
        </w:tc>
      </w:tr>
      <w:tr w:rsidR="00685DE9" w:rsidRPr="00685DE9" w14:paraId="64B43E07"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7B640580" w14:textId="77777777" w:rsidR="006A1AC4" w:rsidRPr="00685DE9" w:rsidRDefault="006A1AC4" w:rsidP="00270279">
            <w:pPr>
              <w:spacing w:after="0"/>
              <w:rPr>
                <w:rFonts w:ascii="Arial" w:hAnsi="Arial" w:cs="Arial"/>
              </w:rPr>
            </w:pPr>
            <w:r w:rsidRPr="00685DE9">
              <w:rPr>
                <w:rFonts w:ascii="Arial" w:hAnsi="Arial" w:cs="Arial"/>
              </w:rPr>
              <w:t xml:space="preserve">Anti-TFAM rabbit </w:t>
            </w:r>
            <w:proofErr w:type="spellStart"/>
            <w:r w:rsidRPr="00685DE9">
              <w:rPr>
                <w:rFonts w:ascii="Arial" w:hAnsi="Arial" w:cs="Arial"/>
              </w:rPr>
              <w:t>pAb</w:t>
            </w:r>
            <w:proofErr w:type="spellEnd"/>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4733F42A"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2F2AC20E" w14:textId="77777777" w:rsidR="006A1AC4" w:rsidRPr="00685DE9" w:rsidRDefault="006A1AC4" w:rsidP="00270279">
            <w:pPr>
              <w:spacing w:after="0"/>
              <w:jc w:val="center"/>
              <w:rPr>
                <w:rFonts w:ascii="Arial" w:hAnsi="Arial" w:cs="Arial"/>
              </w:rPr>
            </w:pPr>
            <w:proofErr w:type="spellStart"/>
            <w:r w:rsidRPr="00685DE9">
              <w:rPr>
                <w:rFonts w:ascii="Arial" w:hAnsi="Arial" w:cs="Arial"/>
                <w:bCs/>
              </w:rPr>
              <w:t>Calbiochem</w:t>
            </w:r>
            <w:proofErr w:type="spellEnd"/>
            <w:r w:rsidRPr="00685DE9">
              <w:rPr>
                <w:rFonts w:ascii="Arial" w:hAnsi="Arial" w:cs="Arial"/>
                <w:bCs/>
              </w:rPr>
              <w:t>®</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166361EA" w14:textId="77777777" w:rsidR="006A1AC4" w:rsidRPr="00685DE9" w:rsidRDefault="006A1AC4" w:rsidP="00270279">
            <w:pPr>
              <w:spacing w:after="0"/>
              <w:jc w:val="center"/>
              <w:rPr>
                <w:rFonts w:ascii="Arial" w:hAnsi="Arial" w:cs="Arial"/>
              </w:rPr>
            </w:pPr>
            <w:r w:rsidRPr="00685DE9">
              <w:rPr>
                <w:rFonts w:ascii="Arial" w:hAnsi="Arial" w:cs="Arial"/>
              </w:rPr>
              <w:t>DR1071</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7DB004C7" w14:textId="77777777" w:rsidR="006A1AC4" w:rsidRPr="00685DE9" w:rsidRDefault="006A1AC4" w:rsidP="00270279">
            <w:pPr>
              <w:spacing w:after="0"/>
              <w:jc w:val="center"/>
              <w:rPr>
                <w:rFonts w:ascii="Arial" w:hAnsi="Arial" w:cs="Arial"/>
              </w:rPr>
            </w:pPr>
          </w:p>
        </w:tc>
      </w:tr>
      <w:tr w:rsidR="00685DE9" w:rsidRPr="00685DE9" w14:paraId="11EC6F7E"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71BC7692" w14:textId="77777777" w:rsidR="006A1AC4" w:rsidRPr="00685DE9" w:rsidRDefault="006A1AC4" w:rsidP="00270279">
            <w:pPr>
              <w:spacing w:after="0"/>
              <w:rPr>
                <w:rFonts w:ascii="Arial" w:hAnsi="Arial" w:cs="Arial"/>
              </w:rPr>
            </w:pPr>
            <w:r w:rsidRPr="00685DE9">
              <w:rPr>
                <w:rFonts w:ascii="Arial" w:hAnsi="Arial" w:cs="Arial"/>
              </w:rPr>
              <w:t>Parkin Antibody</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661DABAF"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1B50411A" w14:textId="77777777" w:rsidR="006A1AC4" w:rsidRPr="00685DE9" w:rsidRDefault="006A1AC4" w:rsidP="00270279">
            <w:pPr>
              <w:spacing w:after="0"/>
              <w:jc w:val="center"/>
              <w:rPr>
                <w:rFonts w:ascii="Arial" w:hAnsi="Arial" w:cs="Arial"/>
              </w:rPr>
            </w:pPr>
            <w:r w:rsidRPr="00685DE9">
              <w:rPr>
                <w:rFonts w:ascii="Arial" w:hAnsi="Arial" w:cs="Arial"/>
                <w:bCs/>
              </w:rPr>
              <w:t xml:space="preserve">Cell </w:t>
            </w:r>
            <w:proofErr w:type="spellStart"/>
            <w:r w:rsidRPr="00685DE9">
              <w:rPr>
                <w:rFonts w:ascii="Arial" w:hAnsi="Arial" w:cs="Arial"/>
                <w:bCs/>
              </w:rPr>
              <w:t>Signalling</w:t>
            </w:r>
            <w:proofErr w:type="spellEnd"/>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0DE44D4" w14:textId="77777777" w:rsidR="006A1AC4" w:rsidRPr="00685DE9" w:rsidRDefault="006A1AC4" w:rsidP="00270279">
            <w:pPr>
              <w:spacing w:after="0"/>
              <w:jc w:val="center"/>
              <w:rPr>
                <w:rFonts w:ascii="Arial" w:hAnsi="Arial" w:cs="Arial"/>
              </w:rPr>
            </w:pPr>
            <w:r w:rsidRPr="00685DE9">
              <w:rPr>
                <w:rFonts w:ascii="Arial" w:hAnsi="Arial" w:cs="Arial"/>
              </w:rPr>
              <w:t>2132S</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1A0376AC" w14:textId="77777777" w:rsidR="006A1AC4" w:rsidRPr="00685DE9" w:rsidRDefault="006A1AC4" w:rsidP="00270279">
            <w:pPr>
              <w:spacing w:after="0"/>
              <w:jc w:val="center"/>
              <w:rPr>
                <w:rFonts w:ascii="Arial" w:hAnsi="Arial" w:cs="Arial"/>
              </w:rPr>
            </w:pPr>
          </w:p>
        </w:tc>
      </w:tr>
      <w:tr w:rsidR="00685DE9" w:rsidRPr="00685DE9" w14:paraId="25A12FC5"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367DE16E" w14:textId="77777777" w:rsidR="006A1AC4" w:rsidRPr="00685DE9" w:rsidRDefault="006A1AC4" w:rsidP="00270279">
            <w:pPr>
              <w:spacing w:after="0"/>
              <w:rPr>
                <w:rFonts w:ascii="Arial" w:hAnsi="Arial" w:cs="Arial"/>
              </w:rPr>
            </w:pPr>
            <w:r w:rsidRPr="00685DE9">
              <w:rPr>
                <w:rFonts w:ascii="Arial" w:hAnsi="Arial" w:cs="Arial"/>
              </w:rPr>
              <w:t>PINK1</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163E1CB2"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67DF8312"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04B44267" w14:textId="77777777" w:rsidR="006A1AC4" w:rsidRPr="00685DE9" w:rsidRDefault="006A1AC4" w:rsidP="00270279">
            <w:pPr>
              <w:spacing w:after="0"/>
              <w:jc w:val="center"/>
              <w:rPr>
                <w:rFonts w:ascii="Arial" w:hAnsi="Arial" w:cs="Arial"/>
              </w:rPr>
            </w:pPr>
            <w:r w:rsidRPr="00685DE9">
              <w:rPr>
                <w:rFonts w:ascii="Arial" w:hAnsi="Arial" w:cs="Arial"/>
              </w:rPr>
              <w:t>6946</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12641C5F" w14:textId="77777777" w:rsidR="006A1AC4" w:rsidRPr="00685DE9" w:rsidRDefault="006A1AC4" w:rsidP="00270279">
            <w:pPr>
              <w:spacing w:after="0"/>
              <w:jc w:val="center"/>
              <w:rPr>
                <w:rFonts w:ascii="Arial" w:hAnsi="Arial" w:cs="Arial"/>
              </w:rPr>
            </w:pPr>
            <w:r w:rsidRPr="00685DE9">
              <w:rPr>
                <w:rFonts w:ascii="Arial" w:hAnsi="Arial" w:cs="Arial"/>
              </w:rPr>
              <w:t>D8G3</w:t>
            </w:r>
          </w:p>
        </w:tc>
      </w:tr>
      <w:tr w:rsidR="00685DE9" w:rsidRPr="00685DE9" w14:paraId="53237CBA"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33B26871" w14:textId="77777777" w:rsidR="006A1AC4" w:rsidRPr="00685DE9" w:rsidRDefault="006A1AC4" w:rsidP="00270279">
            <w:pPr>
              <w:spacing w:after="0"/>
              <w:rPr>
                <w:rFonts w:ascii="Arial" w:hAnsi="Arial" w:cs="Arial"/>
              </w:rPr>
            </w:pPr>
            <w:r w:rsidRPr="00685DE9">
              <w:rPr>
                <w:rFonts w:ascii="Arial" w:hAnsi="Arial" w:cs="Arial"/>
              </w:rPr>
              <w:t>LonP1</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5E5D82A7"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446A2512"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371D0CAA" w14:textId="77777777" w:rsidR="006A1AC4" w:rsidRPr="00685DE9" w:rsidRDefault="006A1AC4" w:rsidP="00270279">
            <w:pPr>
              <w:spacing w:after="0"/>
              <w:jc w:val="center"/>
              <w:rPr>
                <w:rFonts w:ascii="Arial" w:hAnsi="Arial" w:cs="Arial"/>
              </w:rPr>
            </w:pPr>
            <w:r w:rsidRPr="00685DE9">
              <w:rPr>
                <w:rFonts w:ascii="Arial" w:hAnsi="Arial" w:cs="Arial"/>
              </w:rPr>
              <w:t>56266</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707BA986" w14:textId="77777777" w:rsidR="006A1AC4" w:rsidRPr="00685DE9" w:rsidRDefault="006A1AC4" w:rsidP="00270279">
            <w:pPr>
              <w:spacing w:after="0"/>
              <w:jc w:val="center"/>
              <w:rPr>
                <w:rFonts w:ascii="Arial" w:hAnsi="Arial" w:cs="Arial"/>
              </w:rPr>
            </w:pPr>
            <w:r w:rsidRPr="00685DE9">
              <w:rPr>
                <w:rFonts w:ascii="Arial" w:hAnsi="Arial" w:cs="Arial"/>
              </w:rPr>
              <w:t>D7L8M</w:t>
            </w:r>
          </w:p>
        </w:tc>
      </w:tr>
      <w:tr w:rsidR="00685DE9" w:rsidRPr="00685DE9" w14:paraId="15365818" w14:textId="77777777" w:rsidTr="006A1AC4">
        <w:trPr>
          <w:trHeight w:val="164"/>
        </w:trPr>
        <w:tc>
          <w:tcPr>
            <w:tcW w:w="371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1374DFF0" w14:textId="77777777" w:rsidR="006A1AC4" w:rsidRPr="00685DE9" w:rsidRDefault="006A1AC4" w:rsidP="00270279">
            <w:pPr>
              <w:spacing w:after="0"/>
              <w:rPr>
                <w:rFonts w:ascii="Arial" w:hAnsi="Arial" w:cs="Arial"/>
              </w:rPr>
            </w:pPr>
            <w:r w:rsidRPr="00685DE9">
              <w:rPr>
                <w:rFonts w:ascii="Arial" w:hAnsi="Arial" w:cs="Arial"/>
              </w:rPr>
              <w:t xml:space="preserve">OPA1 (D6U6N) Rabbit </w:t>
            </w:r>
            <w:proofErr w:type="spellStart"/>
            <w:r w:rsidRPr="00685DE9">
              <w:rPr>
                <w:rFonts w:ascii="Arial" w:hAnsi="Arial" w:cs="Arial"/>
              </w:rPr>
              <w:t>mAb</w:t>
            </w:r>
            <w:proofErr w:type="spellEnd"/>
            <w:r w:rsidRPr="00685DE9">
              <w:rPr>
                <w:rFonts w:ascii="Arial" w:hAnsi="Arial" w:cs="Arial"/>
              </w:rPr>
              <w:t xml:space="preserve"> 80471</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05BFB10A"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25F77E9D" w14:textId="77777777" w:rsidR="006A1AC4" w:rsidRPr="00685DE9" w:rsidRDefault="006A1AC4" w:rsidP="00270279">
            <w:pPr>
              <w:spacing w:after="0"/>
              <w:jc w:val="center"/>
              <w:rPr>
                <w:rFonts w:ascii="Arial" w:hAnsi="Arial" w:cs="Arial"/>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22C1066F" w14:textId="77777777" w:rsidR="006A1AC4" w:rsidRPr="00685DE9" w:rsidRDefault="006A1AC4" w:rsidP="00270279">
            <w:pPr>
              <w:spacing w:after="0"/>
              <w:jc w:val="center"/>
              <w:rPr>
                <w:rFonts w:ascii="Arial" w:hAnsi="Arial" w:cs="Arial"/>
              </w:rPr>
            </w:pP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6220890B" w14:textId="77777777" w:rsidR="006A1AC4" w:rsidRPr="00685DE9" w:rsidRDefault="006A1AC4" w:rsidP="00270279">
            <w:pPr>
              <w:spacing w:after="0"/>
              <w:jc w:val="center"/>
              <w:rPr>
                <w:rFonts w:ascii="Arial" w:hAnsi="Arial" w:cs="Arial"/>
              </w:rPr>
            </w:pPr>
          </w:p>
        </w:tc>
      </w:tr>
      <w:tr w:rsidR="00685DE9" w:rsidRPr="00685DE9" w14:paraId="311088D7" w14:textId="77777777" w:rsidTr="006A1AC4">
        <w:trPr>
          <w:trHeight w:val="198"/>
        </w:trPr>
        <w:tc>
          <w:tcPr>
            <w:tcW w:w="3713" w:type="dxa"/>
            <w:vMerge/>
            <w:tcBorders>
              <w:top w:val="nil"/>
              <w:left w:val="nil"/>
              <w:bottom w:val="nil"/>
              <w:right w:val="nil"/>
            </w:tcBorders>
            <w:vAlign w:val="center"/>
            <w:hideMark/>
          </w:tcPr>
          <w:p w14:paraId="60DE562D" w14:textId="77777777" w:rsidR="006A1AC4" w:rsidRPr="00685DE9" w:rsidRDefault="006A1AC4" w:rsidP="00270279">
            <w:pPr>
              <w:spacing w:after="0"/>
              <w:rPr>
                <w:rFonts w:ascii="Arial" w:hAnsi="Arial" w:cs="Arial"/>
              </w:rPr>
            </w:pP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4C9CE4CC"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3A0247E4"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048CD13F" w14:textId="77777777" w:rsidR="006A1AC4" w:rsidRPr="00685DE9" w:rsidRDefault="006A1AC4" w:rsidP="00270279">
            <w:pPr>
              <w:spacing w:after="0"/>
              <w:jc w:val="center"/>
              <w:rPr>
                <w:rFonts w:ascii="Arial" w:hAnsi="Arial" w:cs="Arial"/>
              </w:rPr>
            </w:pPr>
            <w:r w:rsidRPr="00685DE9">
              <w:rPr>
                <w:rFonts w:ascii="Arial" w:hAnsi="Arial" w:cs="Arial"/>
              </w:rPr>
              <w:t>80471</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29440214" w14:textId="77777777" w:rsidR="006A1AC4" w:rsidRPr="00685DE9" w:rsidRDefault="006A1AC4" w:rsidP="00270279">
            <w:pPr>
              <w:spacing w:after="0"/>
              <w:jc w:val="center"/>
              <w:rPr>
                <w:rFonts w:ascii="Arial" w:hAnsi="Arial" w:cs="Arial"/>
              </w:rPr>
            </w:pPr>
            <w:r w:rsidRPr="00685DE9">
              <w:rPr>
                <w:rFonts w:ascii="Arial" w:hAnsi="Arial" w:cs="Arial"/>
              </w:rPr>
              <w:t>D6U6N</w:t>
            </w:r>
          </w:p>
        </w:tc>
      </w:tr>
      <w:tr w:rsidR="00685DE9" w:rsidRPr="00685DE9" w14:paraId="00E94078" w14:textId="77777777" w:rsidTr="006A1AC4">
        <w:trPr>
          <w:trHeight w:val="164"/>
        </w:trPr>
        <w:tc>
          <w:tcPr>
            <w:tcW w:w="371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625E7632" w14:textId="77777777" w:rsidR="006A1AC4" w:rsidRPr="00685DE9" w:rsidRDefault="006A1AC4" w:rsidP="00270279">
            <w:pPr>
              <w:spacing w:after="0"/>
              <w:rPr>
                <w:rFonts w:ascii="Arial" w:hAnsi="Arial" w:cs="Arial"/>
              </w:rPr>
            </w:pPr>
            <w:r w:rsidRPr="00685DE9">
              <w:rPr>
                <w:rFonts w:ascii="Arial" w:hAnsi="Arial" w:cs="Arial"/>
              </w:rPr>
              <w:t xml:space="preserve">Tom20 (D8T4N) Rabbit </w:t>
            </w:r>
            <w:proofErr w:type="spellStart"/>
            <w:r w:rsidRPr="00685DE9">
              <w:rPr>
                <w:rFonts w:ascii="Arial" w:hAnsi="Arial" w:cs="Arial"/>
              </w:rPr>
              <w:t>mAb</w:t>
            </w:r>
            <w:proofErr w:type="spellEnd"/>
            <w:r w:rsidRPr="00685DE9">
              <w:rPr>
                <w:rFonts w:ascii="Arial" w:hAnsi="Arial" w:cs="Arial"/>
              </w:rPr>
              <w:t xml:space="preserve"> 42406</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5CE9510D"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7DD74758" w14:textId="77777777" w:rsidR="006A1AC4" w:rsidRPr="00685DE9" w:rsidRDefault="006A1AC4" w:rsidP="00270279">
            <w:pPr>
              <w:spacing w:after="0"/>
              <w:jc w:val="center"/>
              <w:rPr>
                <w:rFonts w:ascii="Arial" w:hAnsi="Arial" w:cs="Arial"/>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46D90330" w14:textId="77777777" w:rsidR="006A1AC4" w:rsidRPr="00685DE9" w:rsidRDefault="006A1AC4" w:rsidP="00270279">
            <w:pPr>
              <w:spacing w:after="0"/>
              <w:jc w:val="center"/>
              <w:rPr>
                <w:rFonts w:ascii="Arial" w:hAnsi="Arial" w:cs="Arial"/>
              </w:rPr>
            </w:pP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0E5C2AF9" w14:textId="77777777" w:rsidR="006A1AC4" w:rsidRPr="00685DE9" w:rsidRDefault="006A1AC4" w:rsidP="00270279">
            <w:pPr>
              <w:spacing w:after="0"/>
              <w:jc w:val="center"/>
              <w:rPr>
                <w:rFonts w:ascii="Arial" w:hAnsi="Arial" w:cs="Arial"/>
              </w:rPr>
            </w:pPr>
          </w:p>
        </w:tc>
      </w:tr>
      <w:tr w:rsidR="00685DE9" w:rsidRPr="00685DE9" w14:paraId="35EF63F0" w14:textId="77777777" w:rsidTr="006A1AC4">
        <w:trPr>
          <w:trHeight w:val="198"/>
        </w:trPr>
        <w:tc>
          <w:tcPr>
            <w:tcW w:w="3713" w:type="dxa"/>
            <w:vMerge/>
            <w:tcBorders>
              <w:top w:val="nil"/>
              <w:left w:val="nil"/>
              <w:bottom w:val="nil"/>
              <w:right w:val="nil"/>
            </w:tcBorders>
            <w:vAlign w:val="center"/>
            <w:hideMark/>
          </w:tcPr>
          <w:p w14:paraId="0F5ADCF1" w14:textId="77777777" w:rsidR="006A1AC4" w:rsidRPr="00685DE9" w:rsidRDefault="006A1AC4" w:rsidP="00270279">
            <w:pPr>
              <w:spacing w:after="0"/>
              <w:rPr>
                <w:rFonts w:ascii="Arial" w:hAnsi="Arial" w:cs="Arial"/>
              </w:rPr>
            </w:pP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2BDAB683"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00987DF9"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5256207" w14:textId="77777777" w:rsidR="006A1AC4" w:rsidRPr="00685DE9" w:rsidRDefault="006A1AC4" w:rsidP="00270279">
            <w:pPr>
              <w:spacing w:after="0"/>
              <w:jc w:val="center"/>
              <w:rPr>
                <w:rFonts w:ascii="Arial" w:hAnsi="Arial" w:cs="Arial"/>
              </w:rPr>
            </w:pPr>
            <w:r w:rsidRPr="00685DE9">
              <w:rPr>
                <w:rFonts w:ascii="Arial" w:hAnsi="Arial" w:cs="Arial"/>
              </w:rPr>
              <w:t>42406S</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362EA151" w14:textId="77777777" w:rsidR="006A1AC4" w:rsidRPr="00685DE9" w:rsidRDefault="006A1AC4" w:rsidP="00270279">
            <w:pPr>
              <w:spacing w:after="0"/>
              <w:jc w:val="center"/>
              <w:rPr>
                <w:rFonts w:ascii="Arial" w:hAnsi="Arial" w:cs="Arial"/>
              </w:rPr>
            </w:pPr>
            <w:r w:rsidRPr="00685DE9">
              <w:rPr>
                <w:rFonts w:ascii="Arial" w:hAnsi="Arial" w:cs="Arial"/>
              </w:rPr>
              <w:t>D8T4N</w:t>
            </w:r>
          </w:p>
        </w:tc>
      </w:tr>
      <w:tr w:rsidR="00685DE9" w:rsidRPr="00685DE9" w14:paraId="72B98ADB" w14:textId="77777777" w:rsidTr="006A1AC4">
        <w:trPr>
          <w:trHeight w:val="164"/>
        </w:trPr>
        <w:tc>
          <w:tcPr>
            <w:tcW w:w="371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3BD9BAEA" w14:textId="77777777" w:rsidR="006A1AC4" w:rsidRPr="00685DE9" w:rsidRDefault="006A1AC4" w:rsidP="00270279">
            <w:pPr>
              <w:spacing w:after="0"/>
              <w:rPr>
                <w:rFonts w:ascii="Arial" w:hAnsi="Arial" w:cs="Arial"/>
              </w:rPr>
            </w:pPr>
            <w:r w:rsidRPr="00685DE9">
              <w:rPr>
                <w:rFonts w:ascii="Arial" w:hAnsi="Arial" w:cs="Arial"/>
              </w:rPr>
              <w:t xml:space="preserve">HSP60 (D6F1) XP® Rabbit </w:t>
            </w:r>
            <w:proofErr w:type="spellStart"/>
            <w:r w:rsidRPr="00685DE9">
              <w:rPr>
                <w:rFonts w:ascii="Arial" w:hAnsi="Arial" w:cs="Arial"/>
              </w:rPr>
              <w:t>mAb</w:t>
            </w:r>
            <w:proofErr w:type="spellEnd"/>
            <w:r w:rsidRPr="00685DE9">
              <w:rPr>
                <w:rFonts w:ascii="Arial" w:hAnsi="Arial" w:cs="Arial"/>
              </w:rPr>
              <w:t xml:space="preserve"> 12165</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2AE47CD9"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1A966282" w14:textId="77777777" w:rsidR="006A1AC4" w:rsidRPr="00685DE9" w:rsidRDefault="006A1AC4" w:rsidP="00270279">
            <w:pPr>
              <w:spacing w:after="0"/>
              <w:jc w:val="center"/>
              <w:rPr>
                <w:rFonts w:ascii="Arial" w:hAnsi="Arial" w:cs="Arial"/>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164DC841" w14:textId="77777777" w:rsidR="006A1AC4" w:rsidRPr="00685DE9" w:rsidRDefault="006A1AC4" w:rsidP="00270279">
            <w:pPr>
              <w:spacing w:after="0"/>
              <w:jc w:val="center"/>
              <w:rPr>
                <w:rFonts w:ascii="Arial" w:hAnsi="Arial" w:cs="Arial"/>
              </w:rPr>
            </w:pP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410833D7" w14:textId="77777777" w:rsidR="006A1AC4" w:rsidRPr="00685DE9" w:rsidRDefault="006A1AC4" w:rsidP="00270279">
            <w:pPr>
              <w:spacing w:after="0"/>
              <w:jc w:val="center"/>
              <w:rPr>
                <w:rFonts w:ascii="Arial" w:hAnsi="Arial" w:cs="Arial"/>
              </w:rPr>
            </w:pPr>
          </w:p>
        </w:tc>
      </w:tr>
      <w:tr w:rsidR="00685DE9" w:rsidRPr="00685DE9" w14:paraId="23F62995" w14:textId="77777777" w:rsidTr="006A1AC4">
        <w:trPr>
          <w:trHeight w:val="198"/>
        </w:trPr>
        <w:tc>
          <w:tcPr>
            <w:tcW w:w="3713" w:type="dxa"/>
            <w:vMerge/>
            <w:tcBorders>
              <w:top w:val="nil"/>
              <w:left w:val="nil"/>
              <w:bottom w:val="nil"/>
              <w:right w:val="nil"/>
            </w:tcBorders>
            <w:vAlign w:val="center"/>
            <w:hideMark/>
          </w:tcPr>
          <w:p w14:paraId="5310E5E6" w14:textId="77777777" w:rsidR="006A1AC4" w:rsidRPr="00685DE9" w:rsidRDefault="006A1AC4" w:rsidP="00270279">
            <w:pPr>
              <w:spacing w:after="0"/>
              <w:rPr>
                <w:rFonts w:ascii="Arial" w:hAnsi="Arial" w:cs="Arial"/>
              </w:rPr>
            </w:pP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4A508996"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0EBB21F4"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3C1234AE" w14:textId="77777777" w:rsidR="006A1AC4" w:rsidRPr="00685DE9" w:rsidRDefault="006A1AC4" w:rsidP="00270279">
            <w:pPr>
              <w:spacing w:after="0"/>
              <w:jc w:val="center"/>
              <w:rPr>
                <w:rFonts w:ascii="Arial" w:hAnsi="Arial" w:cs="Arial"/>
              </w:rPr>
            </w:pPr>
            <w:r w:rsidRPr="00685DE9">
              <w:rPr>
                <w:rFonts w:ascii="Arial" w:hAnsi="Arial" w:cs="Arial"/>
              </w:rPr>
              <w:t>12165</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217BC30A" w14:textId="77777777" w:rsidR="006A1AC4" w:rsidRPr="00685DE9" w:rsidRDefault="006A1AC4" w:rsidP="00270279">
            <w:pPr>
              <w:spacing w:after="0"/>
              <w:jc w:val="center"/>
              <w:rPr>
                <w:rFonts w:ascii="Arial" w:hAnsi="Arial" w:cs="Arial"/>
              </w:rPr>
            </w:pPr>
            <w:r w:rsidRPr="00685DE9">
              <w:rPr>
                <w:rFonts w:ascii="Arial" w:hAnsi="Arial" w:cs="Arial"/>
              </w:rPr>
              <w:t>D6F1</w:t>
            </w:r>
          </w:p>
        </w:tc>
      </w:tr>
      <w:tr w:rsidR="00685DE9" w:rsidRPr="00685DE9" w14:paraId="15A805DB"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35A5EF87" w14:textId="77777777" w:rsidR="006A1AC4" w:rsidRPr="00685DE9" w:rsidRDefault="006A1AC4" w:rsidP="00270279">
            <w:pPr>
              <w:spacing w:after="0"/>
              <w:rPr>
                <w:rFonts w:ascii="Arial" w:hAnsi="Arial" w:cs="Arial"/>
              </w:rPr>
            </w:pPr>
            <w:r w:rsidRPr="00685DE9">
              <w:rPr>
                <w:rFonts w:ascii="Arial" w:hAnsi="Arial" w:cs="Arial"/>
              </w:rPr>
              <w:t xml:space="preserve">mtHSP70 monoclonal </w:t>
            </w:r>
            <w:proofErr w:type="spellStart"/>
            <w:r w:rsidRPr="00685DE9">
              <w:rPr>
                <w:rFonts w:ascii="Arial" w:hAnsi="Arial" w:cs="Arial"/>
              </w:rPr>
              <w:t>antobody</w:t>
            </w:r>
            <w:proofErr w:type="spellEnd"/>
            <w:r w:rsidRPr="00685DE9">
              <w:rPr>
                <w:rFonts w:ascii="Arial" w:hAnsi="Arial" w:cs="Arial"/>
              </w:rPr>
              <w:t xml:space="preserve"> (JG1)</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39E2E2F0"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5028E34F" w14:textId="77777777" w:rsidR="006A1AC4" w:rsidRPr="00685DE9" w:rsidRDefault="006A1AC4" w:rsidP="00270279">
            <w:pPr>
              <w:spacing w:after="0"/>
              <w:jc w:val="center"/>
              <w:rPr>
                <w:rFonts w:ascii="Arial" w:hAnsi="Arial" w:cs="Arial"/>
              </w:rPr>
            </w:pPr>
            <w:r w:rsidRPr="00685DE9">
              <w:rPr>
                <w:rFonts w:ascii="Arial" w:hAnsi="Arial" w:cs="Arial"/>
                <w:bCs/>
              </w:rPr>
              <w:t>Enzo Life Sciences</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4BA52A89" w14:textId="77777777" w:rsidR="006A1AC4" w:rsidRPr="00685DE9" w:rsidRDefault="006A1AC4" w:rsidP="00270279">
            <w:pPr>
              <w:spacing w:after="0"/>
              <w:jc w:val="center"/>
              <w:rPr>
                <w:rFonts w:ascii="Arial" w:hAnsi="Arial" w:cs="Arial"/>
              </w:rPr>
            </w:pPr>
            <w:r w:rsidRPr="00685DE9">
              <w:rPr>
                <w:rFonts w:ascii="Arial" w:hAnsi="Arial" w:cs="Arial"/>
              </w:rPr>
              <w:t>ALX-804-077-R100</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1A5DA5A2" w14:textId="77777777" w:rsidR="006A1AC4" w:rsidRPr="00685DE9" w:rsidRDefault="006A1AC4" w:rsidP="00270279">
            <w:pPr>
              <w:spacing w:after="0"/>
              <w:jc w:val="center"/>
              <w:rPr>
                <w:rFonts w:ascii="Arial" w:hAnsi="Arial" w:cs="Arial"/>
              </w:rPr>
            </w:pPr>
            <w:r w:rsidRPr="00685DE9">
              <w:rPr>
                <w:rFonts w:ascii="Arial" w:hAnsi="Arial" w:cs="Arial"/>
              </w:rPr>
              <w:t>JG1</w:t>
            </w:r>
          </w:p>
        </w:tc>
      </w:tr>
      <w:tr w:rsidR="00685DE9" w:rsidRPr="00685DE9" w14:paraId="1DC2FA21" w14:textId="77777777" w:rsidTr="006A1AC4">
        <w:trPr>
          <w:trHeight w:val="164"/>
        </w:trPr>
        <w:tc>
          <w:tcPr>
            <w:tcW w:w="371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69F55967" w14:textId="77777777" w:rsidR="006A1AC4" w:rsidRPr="00685DE9" w:rsidRDefault="006A1AC4" w:rsidP="00270279">
            <w:pPr>
              <w:spacing w:after="0"/>
              <w:rPr>
                <w:rFonts w:ascii="Arial" w:hAnsi="Arial" w:cs="Arial"/>
              </w:rPr>
            </w:pPr>
            <w:r w:rsidRPr="00685DE9">
              <w:rPr>
                <w:rFonts w:ascii="Arial" w:hAnsi="Arial" w:cs="Arial"/>
              </w:rPr>
              <w:t>MT-ATP8 Polyclonal Antibody</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0473C320"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68115C05" w14:textId="77777777" w:rsidR="006A1AC4" w:rsidRPr="00685DE9" w:rsidRDefault="006A1AC4" w:rsidP="00270279">
            <w:pPr>
              <w:spacing w:after="0"/>
              <w:jc w:val="center"/>
              <w:rPr>
                <w:rFonts w:ascii="Arial" w:hAnsi="Arial" w:cs="Arial"/>
              </w:rPr>
            </w:pP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D040AE6" w14:textId="77777777" w:rsidR="006A1AC4" w:rsidRPr="00685DE9" w:rsidRDefault="006A1AC4" w:rsidP="00270279">
            <w:pPr>
              <w:spacing w:after="0"/>
              <w:jc w:val="center"/>
              <w:rPr>
                <w:rFonts w:ascii="Arial" w:hAnsi="Arial" w:cs="Arial"/>
              </w:rPr>
            </w:pPr>
          </w:p>
        </w:tc>
        <w:tc>
          <w:tcPr>
            <w:tcW w:w="1383"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1F2306A7" w14:textId="77777777" w:rsidR="006A1AC4" w:rsidRPr="00685DE9" w:rsidRDefault="006A1AC4" w:rsidP="00270279">
            <w:pPr>
              <w:spacing w:after="0"/>
              <w:jc w:val="center"/>
              <w:rPr>
                <w:rFonts w:ascii="Arial" w:hAnsi="Arial" w:cs="Arial"/>
              </w:rPr>
            </w:pPr>
          </w:p>
        </w:tc>
      </w:tr>
      <w:tr w:rsidR="00685DE9" w:rsidRPr="00685DE9" w14:paraId="6B26E8ED" w14:textId="77777777" w:rsidTr="006A1AC4">
        <w:trPr>
          <w:trHeight w:val="104"/>
        </w:trPr>
        <w:tc>
          <w:tcPr>
            <w:tcW w:w="3713" w:type="dxa"/>
            <w:vMerge/>
            <w:tcBorders>
              <w:top w:val="nil"/>
              <w:left w:val="nil"/>
              <w:bottom w:val="nil"/>
              <w:right w:val="nil"/>
            </w:tcBorders>
            <w:vAlign w:val="center"/>
            <w:hideMark/>
          </w:tcPr>
          <w:p w14:paraId="5C028613" w14:textId="77777777" w:rsidR="006A1AC4" w:rsidRPr="00685DE9" w:rsidRDefault="006A1AC4" w:rsidP="00270279">
            <w:pPr>
              <w:spacing w:after="0"/>
              <w:rPr>
                <w:rFonts w:ascii="Arial" w:hAnsi="Arial" w:cs="Arial"/>
              </w:rPr>
            </w:pP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67DE68AF"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5A62DCFC" w14:textId="77777777" w:rsidR="006A1AC4" w:rsidRPr="00685DE9" w:rsidRDefault="006A1AC4" w:rsidP="00270279">
            <w:pPr>
              <w:spacing w:after="0"/>
              <w:jc w:val="center"/>
              <w:rPr>
                <w:rFonts w:ascii="Arial" w:hAnsi="Arial" w:cs="Arial"/>
              </w:rPr>
            </w:pPr>
            <w:r w:rsidRPr="00685DE9">
              <w:rPr>
                <w:rFonts w:ascii="Arial" w:hAnsi="Arial" w:cs="Arial"/>
                <w:bCs/>
              </w:rPr>
              <w:t>Invitrogen</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1DC4A077" w14:textId="77777777" w:rsidR="006A1AC4" w:rsidRPr="00685DE9" w:rsidRDefault="006A1AC4" w:rsidP="00270279">
            <w:pPr>
              <w:spacing w:after="0"/>
              <w:jc w:val="center"/>
              <w:rPr>
                <w:rFonts w:ascii="Arial" w:hAnsi="Arial" w:cs="Arial"/>
              </w:rPr>
            </w:pPr>
            <w:r w:rsidRPr="00685DE9">
              <w:rPr>
                <w:rFonts w:ascii="Arial" w:hAnsi="Arial" w:cs="Arial"/>
              </w:rPr>
              <w:t>PA5-68103</w:t>
            </w:r>
          </w:p>
        </w:tc>
        <w:tc>
          <w:tcPr>
            <w:tcW w:w="0" w:type="auto"/>
            <w:vMerge/>
            <w:tcBorders>
              <w:top w:val="nil"/>
              <w:left w:val="nil"/>
              <w:bottom w:val="nil"/>
              <w:right w:val="nil"/>
            </w:tcBorders>
            <w:vAlign w:val="center"/>
            <w:hideMark/>
          </w:tcPr>
          <w:p w14:paraId="1B4CC4CF" w14:textId="77777777" w:rsidR="006A1AC4" w:rsidRPr="00685DE9" w:rsidRDefault="006A1AC4" w:rsidP="00270279">
            <w:pPr>
              <w:spacing w:after="0"/>
              <w:rPr>
                <w:rFonts w:ascii="Arial" w:hAnsi="Arial" w:cs="Arial"/>
              </w:rPr>
            </w:pPr>
          </w:p>
        </w:tc>
      </w:tr>
      <w:tr w:rsidR="00685DE9" w:rsidRPr="00685DE9" w14:paraId="099B3472" w14:textId="77777777" w:rsidTr="006A1AC4">
        <w:trPr>
          <w:trHeight w:val="296"/>
        </w:trPr>
        <w:tc>
          <w:tcPr>
            <w:tcW w:w="3713" w:type="dxa"/>
            <w:tcBorders>
              <w:top w:val="nil"/>
              <w:left w:val="nil"/>
              <w:bottom w:val="nil"/>
              <w:right w:val="nil"/>
            </w:tcBorders>
            <w:shd w:val="clear" w:color="auto" w:fill="auto"/>
            <w:tcMar>
              <w:top w:w="15" w:type="dxa"/>
              <w:left w:w="15" w:type="dxa"/>
              <w:bottom w:w="0" w:type="dxa"/>
              <w:right w:w="15" w:type="dxa"/>
            </w:tcMar>
            <w:vAlign w:val="center"/>
          </w:tcPr>
          <w:p w14:paraId="4EC2C0FC" w14:textId="77777777" w:rsidR="006A1AC4" w:rsidRPr="00685DE9" w:rsidRDefault="006A1AC4" w:rsidP="00270279">
            <w:pPr>
              <w:spacing w:after="0"/>
              <w:rPr>
                <w:rFonts w:ascii="Arial" w:hAnsi="Arial" w:cs="Arial"/>
              </w:rPr>
            </w:pPr>
            <w:proofErr w:type="spellStart"/>
            <w:r w:rsidRPr="00685DE9">
              <w:rPr>
                <w:rFonts w:ascii="Arial" w:hAnsi="Arial" w:cs="Arial"/>
              </w:rPr>
              <w:t>iNOS</w:t>
            </w:r>
            <w:proofErr w:type="spellEnd"/>
            <w:r w:rsidRPr="00685DE9">
              <w:rPr>
                <w:rFonts w:ascii="Arial" w:hAnsi="Arial" w:cs="Arial"/>
              </w:rPr>
              <w:t xml:space="preserve"> monoclonal antibody</w:t>
            </w:r>
          </w:p>
        </w:tc>
        <w:tc>
          <w:tcPr>
            <w:tcW w:w="1109" w:type="dxa"/>
            <w:tcBorders>
              <w:top w:val="nil"/>
              <w:left w:val="nil"/>
              <w:bottom w:val="nil"/>
              <w:right w:val="nil"/>
            </w:tcBorders>
            <w:shd w:val="clear" w:color="auto" w:fill="auto"/>
            <w:tcMar>
              <w:top w:w="15" w:type="dxa"/>
              <w:left w:w="15" w:type="dxa"/>
              <w:bottom w:w="0" w:type="dxa"/>
              <w:right w:w="15" w:type="dxa"/>
            </w:tcMar>
            <w:vAlign w:val="center"/>
          </w:tcPr>
          <w:p w14:paraId="20726B2D" w14:textId="77777777" w:rsidR="006A1AC4" w:rsidRPr="00685DE9" w:rsidRDefault="006A1AC4" w:rsidP="00270279">
            <w:pPr>
              <w:spacing w:after="0"/>
              <w:jc w:val="center"/>
              <w:rPr>
                <w:rFonts w:ascii="Arial" w:hAnsi="Arial" w:cs="Arial"/>
                <w:bCs/>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tcPr>
          <w:p w14:paraId="608658D7" w14:textId="77777777" w:rsidR="006A1AC4" w:rsidRPr="00685DE9" w:rsidRDefault="006A1AC4" w:rsidP="00270279">
            <w:pPr>
              <w:spacing w:after="0"/>
              <w:jc w:val="center"/>
              <w:rPr>
                <w:rFonts w:ascii="Arial" w:hAnsi="Arial" w:cs="Arial"/>
                <w:lang w:val="en"/>
              </w:rPr>
            </w:pPr>
          </w:p>
          <w:p w14:paraId="1D0B127D" w14:textId="77777777" w:rsidR="006A1AC4" w:rsidRPr="00685DE9" w:rsidRDefault="006A1AC4" w:rsidP="00270279">
            <w:pPr>
              <w:spacing w:after="0"/>
              <w:jc w:val="center"/>
              <w:rPr>
                <w:rFonts w:ascii="Arial" w:hAnsi="Arial" w:cs="Arial"/>
                <w:bCs/>
              </w:rPr>
            </w:pPr>
            <w:r w:rsidRPr="00685DE9">
              <w:rPr>
                <w:rFonts w:ascii="Arial" w:hAnsi="Arial" w:cs="Arial"/>
                <w:lang w:val="en"/>
              </w:rPr>
              <w:t>BD Transduction Laboratories/BD Bioscience</w:t>
            </w:r>
          </w:p>
        </w:tc>
        <w:tc>
          <w:tcPr>
            <w:tcW w:w="1474" w:type="dxa"/>
            <w:tcBorders>
              <w:top w:val="nil"/>
              <w:left w:val="nil"/>
              <w:bottom w:val="nil"/>
              <w:right w:val="nil"/>
            </w:tcBorders>
            <w:shd w:val="clear" w:color="auto" w:fill="auto"/>
            <w:tcMar>
              <w:top w:w="15" w:type="dxa"/>
              <w:left w:w="15" w:type="dxa"/>
              <w:bottom w:w="0" w:type="dxa"/>
              <w:right w:w="15" w:type="dxa"/>
            </w:tcMar>
            <w:vAlign w:val="center"/>
          </w:tcPr>
          <w:p w14:paraId="4CD10BD8" w14:textId="77777777" w:rsidR="006A1AC4" w:rsidRPr="00685DE9" w:rsidRDefault="006A1AC4" w:rsidP="00270279">
            <w:pPr>
              <w:spacing w:after="0"/>
              <w:jc w:val="center"/>
              <w:rPr>
                <w:rFonts w:ascii="Arial" w:hAnsi="Arial" w:cs="Arial"/>
              </w:rPr>
            </w:pPr>
            <w:r w:rsidRPr="00685DE9">
              <w:rPr>
                <w:rFonts w:ascii="Arial" w:hAnsi="Arial" w:cs="Arial"/>
                <w:lang w:val="en"/>
              </w:rPr>
              <w:t>610329</w:t>
            </w:r>
          </w:p>
        </w:tc>
        <w:tc>
          <w:tcPr>
            <w:tcW w:w="1383" w:type="dxa"/>
            <w:tcBorders>
              <w:top w:val="nil"/>
              <w:left w:val="nil"/>
              <w:bottom w:val="nil"/>
              <w:right w:val="nil"/>
            </w:tcBorders>
            <w:shd w:val="clear" w:color="auto" w:fill="auto"/>
            <w:tcMar>
              <w:top w:w="15" w:type="dxa"/>
              <w:left w:w="15" w:type="dxa"/>
              <w:bottom w:w="0" w:type="dxa"/>
              <w:right w:w="15" w:type="dxa"/>
            </w:tcMar>
            <w:vAlign w:val="center"/>
          </w:tcPr>
          <w:p w14:paraId="0AC02D6C" w14:textId="77777777" w:rsidR="006A1AC4" w:rsidRPr="00685DE9" w:rsidRDefault="006A1AC4" w:rsidP="00270279">
            <w:pPr>
              <w:spacing w:after="0"/>
              <w:jc w:val="center"/>
              <w:rPr>
                <w:rFonts w:ascii="Arial" w:hAnsi="Arial" w:cs="Arial"/>
              </w:rPr>
            </w:pPr>
          </w:p>
        </w:tc>
      </w:tr>
      <w:tr w:rsidR="00685DE9" w:rsidRPr="00685DE9" w14:paraId="2730EE0A" w14:textId="77777777" w:rsidTr="006A1AC4">
        <w:trPr>
          <w:trHeight w:val="296"/>
        </w:trPr>
        <w:tc>
          <w:tcPr>
            <w:tcW w:w="3713" w:type="dxa"/>
            <w:tcBorders>
              <w:top w:val="nil"/>
              <w:left w:val="nil"/>
              <w:bottom w:val="nil"/>
              <w:right w:val="nil"/>
            </w:tcBorders>
            <w:shd w:val="clear" w:color="auto" w:fill="auto"/>
            <w:tcMar>
              <w:top w:w="15" w:type="dxa"/>
              <w:left w:w="15" w:type="dxa"/>
              <w:bottom w:w="0" w:type="dxa"/>
              <w:right w:w="15" w:type="dxa"/>
            </w:tcMar>
            <w:vAlign w:val="center"/>
          </w:tcPr>
          <w:p w14:paraId="28C0B698" w14:textId="77777777" w:rsidR="006A1AC4" w:rsidRPr="00685DE9" w:rsidRDefault="006A1AC4" w:rsidP="00B20824">
            <w:pPr>
              <w:spacing w:after="0"/>
              <w:rPr>
                <w:rFonts w:ascii="Arial" w:hAnsi="Arial" w:cs="Arial"/>
                <w:lang w:val="en"/>
              </w:rPr>
            </w:pPr>
            <w:r w:rsidRPr="00685DE9">
              <w:rPr>
                <w:rFonts w:ascii="Arial" w:hAnsi="Arial" w:cs="Arial"/>
                <w:lang w:val="en"/>
              </w:rPr>
              <w:t xml:space="preserve">Rabbit Anti-Human </w:t>
            </w:r>
            <w:proofErr w:type="spellStart"/>
            <w:r w:rsidR="005679A2" w:rsidRPr="00685DE9">
              <w:rPr>
                <w:rFonts w:ascii="Arial" w:hAnsi="Arial" w:cs="Arial"/>
                <w:lang w:val="en"/>
              </w:rPr>
              <w:t>MnSOD</w:t>
            </w:r>
            <w:proofErr w:type="spellEnd"/>
            <w:r w:rsidR="005679A2" w:rsidRPr="00685DE9">
              <w:rPr>
                <w:rFonts w:ascii="Arial" w:hAnsi="Arial" w:cs="Arial"/>
                <w:lang w:val="en"/>
              </w:rPr>
              <w:t xml:space="preserve"> </w:t>
            </w:r>
            <w:r w:rsidRPr="00685DE9">
              <w:rPr>
                <w:rFonts w:ascii="Arial" w:hAnsi="Arial" w:cs="Arial"/>
                <w:lang w:val="en"/>
              </w:rPr>
              <w:t>/ SOD2</w:t>
            </w:r>
          </w:p>
          <w:p w14:paraId="2237B356" w14:textId="2F2EDC99" w:rsidR="00EC2E8E" w:rsidRPr="00685DE9" w:rsidRDefault="00EC2E8E" w:rsidP="00EC2E8E">
            <w:pPr>
              <w:spacing w:after="0"/>
              <w:rPr>
                <w:rFonts w:ascii="Arial" w:hAnsi="Arial" w:cs="Arial"/>
              </w:rPr>
            </w:pPr>
            <w:r w:rsidRPr="00685DE9">
              <w:rPr>
                <w:rFonts w:ascii="Arial" w:hAnsi="Arial" w:cs="Arial"/>
                <w:bCs/>
                <w:sz w:val="24"/>
                <w:szCs w:val="24"/>
              </w:rPr>
              <w:t>Anti-</w:t>
            </w:r>
            <w:proofErr w:type="spellStart"/>
            <w:r w:rsidRPr="00685DE9">
              <w:rPr>
                <w:rFonts w:ascii="Arial" w:hAnsi="Arial" w:cs="Arial"/>
                <w:bCs/>
                <w:sz w:val="24"/>
                <w:szCs w:val="24"/>
              </w:rPr>
              <w:t>HBx</w:t>
            </w:r>
            <w:proofErr w:type="spellEnd"/>
            <w:r w:rsidRPr="00685DE9">
              <w:rPr>
                <w:rFonts w:ascii="Arial" w:hAnsi="Arial" w:cs="Arial"/>
                <w:bCs/>
                <w:sz w:val="24"/>
                <w:szCs w:val="24"/>
              </w:rPr>
              <w:t xml:space="preserve"> antibody </w:t>
            </w:r>
          </w:p>
        </w:tc>
        <w:tc>
          <w:tcPr>
            <w:tcW w:w="1109" w:type="dxa"/>
            <w:tcBorders>
              <w:top w:val="nil"/>
              <w:left w:val="nil"/>
              <w:bottom w:val="nil"/>
              <w:right w:val="nil"/>
            </w:tcBorders>
            <w:shd w:val="clear" w:color="auto" w:fill="auto"/>
            <w:tcMar>
              <w:top w:w="15" w:type="dxa"/>
              <w:left w:w="15" w:type="dxa"/>
              <w:bottom w:w="0" w:type="dxa"/>
              <w:right w:w="15" w:type="dxa"/>
            </w:tcMar>
            <w:vAlign w:val="center"/>
          </w:tcPr>
          <w:p w14:paraId="4DE7AD61" w14:textId="77777777" w:rsidR="006A1AC4" w:rsidRPr="00685DE9" w:rsidRDefault="006A1AC4" w:rsidP="00270279">
            <w:pPr>
              <w:spacing w:after="0"/>
              <w:jc w:val="center"/>
              <w:rPr>
                <w:rFonts w:ascii="Arial" w:hAnsi="Arial" w:cs="Arial"/>
                <w:bCs/>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tcPr>
          <w:p w14:paraId="04299E05" w14:textId="77777777" w:rsidR="006A1AC4" w:rsidRPr="00685DE9" w:rsidRDefault="006A1AC4" w:rsidP="00270279">
            <w:pPr>
              <w:spacing w:after="0"/>
              <w:jc w:val="center"/>
              <w:rPr>
                <w:rFonts w:ascii="Arial" w:hAnsi="Arial" w:cs="Arial"/>
                <w:bCs/>
              </w:rPr>
            </w:pPr>
            <w:r w:rsidRPr="00685DE9">
              <w:rPr>
                <w:rFonts w:ascii="Arial" w:hAnsi="Arial" w:cs="Arial"/>
                <w:bCs/>
              </w:rPr>
              <w:t>Tebu-Bio</w:t>
            </w:r>
          </w:p>
          <w:p w14:paraId="4BF3327C" w14:textId="12334959" w:rsidR="00EC2E8E" w:rsidRPr="00685DE9" w:rsidRDefault="00EC2E8E" w:rsidP="00270279">
            <w:pPr>
              <w:spacing w:after="0"/>
              <w:jc w:val="center"/>
              <w:rPr>
                <w:rFonts w:ascii="Arial" w:hAnsi="Arial" w:cs="Arial"/>
                <w:bCs/>
              </w:rPr>
            </w:pPr>
            <w:r w:rsidRPr="00685DE9">
              <w:rPr>
                <w:rFonts w:ascii="Arial" w:hAnsi="Arial" w:cs="Arial"/>
                <w:bCs/>
              </w:rPr>
              <w:t>Abcam</w:t>
            </w:r>
          </w:p>
        </w:tc>
        <w:tc>
          <w:tcPr>
            <w:tcW w:w="1474" w:type="dxa"/>
            <w:tcBorders>
              <w:top w:val="nil"/>
              <w:left w:val="nil"/>
              <w:bottom w:val="nil"/>
              <w:right w:val="nil"/>
            </w:tcBorders>
            <w:shd w:val="clear" w:color="auto" w:fill="auto"/>
            <w:tcMar>
              <w:top w:w="15" w:type="dxa"/>
              <w:left w:w="15" w:type="dxa"/>
              <w:bottom w:w="0" w:type="dxa"/>
              <w:right w:w="15" w:type="dxa"/>
            </w:tcMar>
            <w:vAlign w:val="center"/>
          </w:tcPr>
          <w:p w14:paraId="4B9FCD27" w14:textId="77777777" w:rsidR="006A1AC4" w:rsidRPr="00685DE9" w:rsidRDefault="006A1AC4" w:rsidP="00270279">
            <w:pPr>
              <w:spacing w:after="0"/>
              <w:jc w:val="center"/>
              <w:rPr>
                <w:rFonts w:ascii="Arial" w:hAnsi="Arial" w:cs="Arial"/>
              </w:rPr>
            </w:pPr>
            <w:r w:rsidRPr="00685DE9">
              <w:rPr>
                <w:rFonts w:ascii="Arial" w:hAnsi="Arial" w:cs="Arial"/>
              </w:rPr>
              <w:t>119-16935</w:t>
            </w:r>
          </w:p>
          <w:p w14:paraId="4BE4AD7E" w14:textId="53599826" w:rsidR="00EC2E8E" w:rsidRPr="00685DE9" w:rsidRDefault="00EC2E8E" w:rsidP="00270279">
            <w:pPr>
              <w:spacing w:after="0"/>
              <w:jc w:val="center"/>
              <w:rPr>
                <w:rFonts w:ascii="Arial" w:hAnsi="Arial" w:cs="Arial"/>
              </w:rPr>
            </w:pPr>
            <w:r w:rsidRPr="00685DE9">
              <w:rPr>
                <w:rFonts w:ascii="Arial" w:hAnsi="Arial" w:cs="Arial"/>
                <w:bCs/>
                <w:sz w:val="24"/>
                <w:szCs w:val="24"/>
              </w:rPr>
              <w:t>ab39716</w:t>
            </w:r>
          </w:p>
        </w:tc>
        <w:tc>
          <w:tcPr>
            <w:tcW w:w="1383" w:type="dxa"/>
            <w:tcBorders>
              <w:top w:val="nil"/>
              <w:left w:val="nil"/>
              <w:bottom w:val="nil"/>
              <w:right w:val="nil"/>
            </w:tcBorders>
            <w:shd w:val="clear" w:color="auto" w:fill="auto"/>
            <w:tcMar>
              <w:top w:w="15" w:type="dxa"/>
              <w:left w:w="15" w:type="dxa"/>
              <w:bottom w:w="0" w:type="dxa"/>
              <w:right w:w="15" w:type="dxa"/>
            </w:tcMar>
            <w:vAlign w:val="center"/>
          </w:tcPr>
          <w:p w14:paraId="1EE08A93" w14:textId="77777777" w:rsidR="006A1AC4" w:rsidRPr="00685DE9" w:rsidRDefault="006A1AC4" w:rsidP="00270279">
            <w:pPr>
              <w:spacing w:after="0"/>
              <w:jc w:val="center"/>
              <w:rPr>
                <w:rFonts w:ascii="Arial" w:hAnsi="Arial" w:cs="Arial"/>
              </w:rPr>
            </w:pPr>
          </w:p>
        </w:tc>
      </w:tr>
      <w:tr w:rsidR="00685DE9" w:rsidRPr="00685DE9" w14:paraId="59844D96" w14:textId="77777777" w:rsidTr="006A1AC4">
        <w:trPr>
          <w:trHeight w:val="296"/>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1B28B7CC" w14:textId="77777777" w:rsidR="006A1AC4" w:rsidRPr="00685DE9" w:rsidRDefault="006A1AC4" w:rsidP="00270279">
            <w:pPr>
              <w:spacing w:after="0"/>
              <w:rPr>
                <w:rFonts w:ascii="Arial" w:hAnsi="Arial" w:cs="Arial"/>
              </w:rPr>
            </w:pPr>
            <w:r w:rsidRPr="00685DE9">
              <w:rPr>
                <w:rFonts w:ascii="Arial" w:hAnsi="Arial" w:cs="Arial"/>
              </w:rPr>
              <w:t>Monoclonal Anti-β-Actin antibody produced in mouse</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041FCF80"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5368126D" w14:textId="77777777" w:rsidR="006A1AC4" w:rsidRPr="00685DE9" w:rsidRDefault="006A1AC4" w:rsidP="00270279">
            <w:pPr>
              <w:spacing w:after="0"/>
              <w:jc w:val="center"/>
              <w:rPr>
                <w:rFonts w:ascii="Arial" w:hAnsi="Arial" w:cs="Arial"/>
              </w:rPr>
            </w:pPr>
            <w:r w:rsidRPr="00685DE9">
              <w:rPr>
                <w:rFonts w:ascii="Arial" w:hAnsi="Arial" w:cs="Arial"/>
                <w:bCs/>
              </w:rPr>
              <w:t>Sigma-Aldrich</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5A97D0E3" w14:textId="77777777" w:rsidR="006A1AC4" w:rsidRPr="00685DE9" w:rsidRDefault="006A1AC4" w:rsidP="00270279">
            <w:pPr>
              <w:spacing w:after="0"/>
              <w:jc w:val="center"/>
              <w:rPr>
                <w:rFonts w:ascii="Arial" w:hAnsi="Arial" w:cs="Arial"/>
              </w:rPr>
            </w:pPr>
            <w:r w:rsidRPr="00685DE9">
              <w:rPr>
                <w:rFonts w:ascii="Arial" w:hAnsi="Arial" w:cs="Arial"/>
              </w:rPr>
              <w:t>A5441</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0D3586E2" w14:textId="77777777" w:rsidR="006A1AC4" w:rsidRPr="00685DE9" w:rsidRDefault="006A1AC4" w:rsidP="00270279">
            <w:pPr>
              <w:spacing w:after="0"/>
              <w:jc w:val="center"/>
              <w:rPr>
                <w:rFonts w:ascii="Arial" w:hAnsi="Arial" w:cs="Arial"/>
              </w:rPr>
            </w:pPr>
            <w:r w:rsidRPr="00685DE9">
              <w:rPr>
                <w:rFonts w:ascii="Arial" w:hAnsi="Arial" w:cs="Arial"/>
              </w:rPr>
              <w:t>AC-15</w:t>
            </w:r>
          </w:p>
        </w:tc>
      </w:tr>
      <w:tr w:rsidR="00685DE9" w:rsidRPr="00685DE9" w14:paraId="3D71DA95"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43A16A41" w14:textId="77777777" w:rsidR="006A1AC4" w:rsidRPr="00685DE9" w:rsidRDefault="006A1AC4" w:rsidP="00270279">
            <w:pPr>
              <w:spacing w:after="0"/>
              <w:rPr>
                <w:rFonts w:ascii="Arial" w:hAnsi="Arial" w:cs="Arial"/>
              </w:rPr>
            </w:pPr>
            <w:r w:rsidRPr="00685DE9">
              <w:rPr>
                <w:rFonts w:ascii="Arial" w:hAnsi="Arial" w:cs="Arial"/>
              </w:rPr>
              <w:t>Anti-mouse IgG, HRP-linked Antibody 7076</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227615A2"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2728AF69"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5EDE1487" w14:textId="77777777" w:rsidR="006A1AC4" w:rsidRPr="00685DE9" w:rsidRDefault="006A1AC4" w:rsidP="00270279">
            <w:pPr>
              <w:spacing w:after="0"/>
              <w:jc w:val="center"/>
              <w:rPr>
                <w:rFonts w:ascii="Arial" w:hAnsi="Arial" w:cs="Arial"/>
              </w:rPr>
            </w:pPr>
            <w:r w:rsidRPr="00685DE9">
              <w:rPr>
                <w:rFonts w:ascii="Arial" w:hAnsi="Arial" w:cs="Arial"/>
              </w:rPr>
              <w:t>7076S</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08C66087" w14:textId="77777777" w:rsidR="006A1AC4" w:rsidRPr="00685DE9" w:rsidRDefault="006A1AC4" w:rsidP="00270279">
            <w:pPr>
              <w:spacing w:after="0"/>
              <w:jc w:val="center"/>
              <w:rPr>
                <w:rFonts w:ascii="Arial" w:hAnsi="Arial" w:cs="Arial"/>
              </w:rPr>
            </w:pPr>
          </w:p>
        </w:tc>
      </w:tr>
      <w:tr w:rsidR="00685DE9" w:rsidRPr="00685DE9" w14:paraId="52E21C1A" w14:textId="77777777" w:rsidTr="006A1AC4">
        <w:trPr>
          <w:trHeight w:val="403"/>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53DB612A" w14:textId="77777777" w:rsidR="006A1AC4" w:rsidRPr="00685DE9" w:rsidRDefault="006A1AC4" w:rsidP="00270279">
            <w:pPr>
              <w:spacing w:after="0"/>
              <w:rPr>
                <w:rFonts w:ascii="Arial" w:hAnsi="Arial" w:cs="Arial"/>
              </w:rPr>
            </w:pPr>
            <w:r w:rsidRPr="00685DE9">
              <w:rPr>
                <w:rFonts w:ascii="Arial" w:hAnsi="Arial" w:cs="Arial"/>
              </w:rPr>
              <w:t>Anti-rabbit IgG, HRP-linked Antibody 7074</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222B7CB3" w14:textId="77777777" w:rsidR="006A1AC4" w:rsidRPr="00685DE9" w:rsidRDefault="006A1AC4" w:rsidP="00270279">
            <w:pPr>
              <w:spacing w:after="0"/>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795B9CD7" w14:textId="77777777" w:rsidR="006A1AC4" w:rsidRPr="00685DE9" w:rsidRDefault="006A1AC4" w:rsidP="00270279">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4A9CDEB0" w14:textId="77777777" w:rsidR="006A1AC4" w:rsidRPr="00685DE9" w:rsidRDefault="006A1AC4" w:rsidP="00270279">
            <w:pPr>
              <w:spacing w:after="0"/>
              <w:jc w:val="center"/>
              <w:rPr>
                <w:rFonts w:ascii="Arial" w:hAnsi="Arial" w:cs="Arial"/>
              </w:rPr>
            </w:pPr>
            <w:r w:rsidRPr="00685DE9">
              <w:rPr>
                <w:rFonts w:ascii="Arial" w:hAnsi="Arial" w:cs="Arial"/>
              </w:rPr>
              <w:t>7074</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7F17E611" w14:textId="77777777" w:rsidR="006A1AC4" w:rsidRPr="00685DE9" w:rsidRDefault="006A1AC4" w:rsidP="00270279">
            <w:pPr>
              <w:spacing w:after="0"/>
              <w:jc w:val="center"/>
              <w:rPr>
                <w:rFonts w:ascii="Arial" w:hAnsi="Arial" w:cs="Arial"/>
              </w:rPr>
            </w:pPr>
          </w:p>
        </w:tc>
      </w:tr>
      <w:tr w:rsidR="00685DE9" w:rsidRPr="00685DE9" w14:paraId="19653529" w14:textId="77777777" w:rsidTr="006A1AC4">
        <w:trPr>
          <w:trHeight w:val="198"/>
        </w:trPr>
        <w:tc>
          <w:tcPr>
            <w:tcW w:w="3713" w:type="dxa"/>
            <w:tcBorders>
              <w:top w:val="nil"/>
              <w:left w:val="nil"/>
              <w:bottom w:val="nil"/>
              <w:right w:val="nil"/>
            </w:tcBorders>
            <w:shd w:val="clear" w:color="auto" w:fill="auto"/>
            <w:tcMar>
              <w:top w:w="15" w:type="dxa"/>
              <w:left w:w="15" w:type="dxa"/>
              <w:bottom w:w="0" w:type="dxa"/>
              <w:right w:w="15" w:type="dxa"/>
            </w:tcMar>
            <w:vAlign w:val="center"/>
            <w:hideMark/>
          </w:tcPr>
          <w:p w14:paraId="475CEA16" w14:textId="63EED142" w:rsidR="00C54975" w:rsidRPr="00685DE9" w:rsidRDefault="006A1AC4" w:rsidP="00270279">
            <w:pPr>
              <w:spacing w:after="0"/>
              <w:rPr>
                <w:rFonts w:ascii="Arial" w:hAnsi="Arial" w:cs="Arial"/>
              </w:rPr>
            </w:pPr>
            <w:r w:rsidRPr="00685DE9">
              <w:rPr>
                <w:rFonts w:ascii="Arial" w:hAnsi="Arial" w:cs="Arial"/>
              </w:rPr>
              <w:t>Anti-mouse IgG, AP-linked Antibody 7074</w:t>
            </w:r>
          </w:p>
        </w:tc>
        <w:tc>
          <w:tcPr>
            <w:tcW w:w="1109" w:type="dxa"/>
            <w:tcBorders>
              <w:top w:val="nil"/>
              <w:left w:val="nil"/>
              <w:bottom w:val="nil"/>
              <w:right w:val="nil"/>
            </w:tcBorders>
            <w:shd w:val="clear" w:color="auto" w:fill="auto"/>
            <w:tcMar>
              <w:top w:w="15" w:type="dxa"/>
              <w:left w:w="15" w:type="dxa"/>
              <w:bottom w:w="0" w:type="dxa"/>
              <w:right w:w="15" w:type="dxa"/>
            </w:tcMar>
            <w:vAlign w:val="center"/>
            <w:hideMark/>
          </w:tcPr>
          <w:p w14:paraId="528D2343" w14:textId="77777777" w:rsidR="006A1AC4" w:rsidRPr="00685DE9" w:rsidRDefault="006A1AC4" w:rsidP="00270279">
            <w:pPr>
              <w:spacing w:after="0"/>
              <w:jc w:val="center"/>
              <w:rPr>
                <w:rFonts w:ascii="Arial" w:hAnsi="Arial" w:cs="Arial"/>
              </w:rPr>
            </w:pP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0B8E8FF1" w14:textId="77777777" w:rsidR="006A1AC4" w:rsidRPr="00685DE9" w:rsidRDefault="006A1AC4" w:rsidP="00C54975">
            <w:pPr>
              <w:spacing w:after="0"/>
              <w:jc w:val="center"/>
              <w:rPr>
                <w:rFonts w:ascii="Arial" w:hAnsi="Arial" w:cs="Arial"/>
              </w:rPr>
            </w:pPr>
            <w:r w:rsidRPr="00685DE9">
              <w:rPr>
                <w:rFonts w:ascii="Arial" w:hAnsi="Arial" w:cs="Arial"/>
                <w:bCs/>
              </w:rPr>
              <w:t>Cell Signaling</w:t>
            </w:r>
          </w:p>
        </w:tc>
        <w:tc>
          <w:tcPr>
            <w:tcW w:w="1474" w:type="dxa"/>
            <w:tcBorders>
              <w:top w:val="nil"/>
              <w:left w:val="nil"/>
              <w:bottom w:val="nil"/>
              <w:right w:val="nil"/>
            </w:tcBorders>
            <w:shd w:val="clear" w:color="auto" w:fill="auto"/>
            <w:tcMar>
              <w:top w:w="15" w:type="dxa"/>
              <w:left w:w="15" w:type="dxa"/>
              <w:bottom w:w="0" w:type="dxa"/>
              <w:right w:w="15" w:type="dxa"/>
            </w:tcMar>
            <w:vAlign w:val="center"/>
            <w:hideMark/>
          </w:tcPr>
          <w:p w14:paraId="7734D8C7" w14:textId="77777777" w:rsidR="006A1AC4" w:rsidRPr="00685DE9" w:rsidRDefault="006A1AC4" w:rsidP="00270279">
            <w:pPr>
              <w:spacing w:after="0"/>
              <w:jc w:val="center"/>
              <w:rPr>
                <w:rFonts w:ascii="Arial" w:hAnsi="Arial" w:cs="Arial"/>
              </w:rPr>
            </w:pPr>
            <w:r w:rsidRPr="00685DE9">
              <w:rPr>
                <w:rFonts w:ascii="Arial" w:hAnsi="Arial" w:cs="Arial"/>
              </w:rPr>
              <w:t>7056</w:t>
            </w:r>
          </w:p>
        </w:tc>
        <w:tc>
          <w:tcPr>
            <w:tcW w:w="1383" w:type="dxa"/>
            <w:tcBorders>
              <w:top w:val="nil"/>
              <w:left w:val="nil"/>
              <w:bottom w:val="nil"/>
              <w:right w:val="nil"/>
            </w:tcBorders>
            <w:shd w:val="clear" w:color="auto" w:fill="auto"/>
            <w:tcMar>
              <w:top w:w="15" w:type="dxa"/>
              <w:left w:w="15" w:type="dxa"/>
              <w:bottom w:w="0" w:type="dxa"/>
              <w:right w:w="15" w:type="dxa"/>
            </w:tcMar>
            <w:vAlign w:val="center"/>
            <w:hideMark/>
          </w:tcPr>
          <w:p w14:paraId="416D4E64" w14:textId="77777777" w:rsidR="006A1AC4" w:rsidRPr="00685DE9" w:rsidRDefault="006A1AC4" w:rsidP="00270279">
            <w:pPr>
              <w:spacing w:after="0"/>
              <w:jc w:val="center"/>
              <w:rPr>
                <w:rFonts w:ascii="Arial" w:hAnsi="Arial" w:cs="Arial"/>
              </w:rPr>
            </w:pPr>
          </w:p>
        </w:tc>
      </w:tr>
      <w:tr w:rsidR="00685DE9" w:rsidRPr="00685DE9" w14:paraId="42A85AFB" w14:textId="77777777" w:rsidTr="006A1AC4">
        <w:trPr>
          <w:trHeight w:val="51"/>
        </w:trPr>
        <w:tc>
          <w:tcPr>
            <w:tcW w:w="371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AB52FC6" w14:textId="77777777" w:rsidR="006A1AC4" w:rsidRPr="00685DE9" w:rsidRDefault="006A1AC4" w:rsidP="00270279">
            <w:pPr>
              <w:spacing w:after="0"/>
              <w:jc w:val="center"/>
              <w:rPr>
                <w:rFonts w:ascii="Arial" w:hAnsi="Arial" w:cs="Arial"/>
              </w:rPr>
            </w:pPr>
          </w:p>
        </w:tc>
        <w:tc>
          <w:tcPr>
            <w:tcW w:w="11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3F69C83" w14:textId="77777777" w:rsidR="006A1AC4" w:rsidRPr="00685DE9" w:rsidRDefault="006A1AC4" w:rsidP="00270279">
            <w:pPr>
              <w:spacing w:after="0"/>
              <w:jc w:val="center"/>
              <w:rPr>
                <w:rFonts w:ascii="Arial" w:hAnsi="Arial" w:cs="Arial"/>
              </w:rPr>
            </w:pPr>
          </w:p>
        </w:tc>
        <w:tc>
          <w:tcPr>
            <w:tcW w:w="208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6DF48C5" w14:textId="77777777" w:rsidR="006A1AC4" w:rsidRPr="00685DE9" w:rsidRDefault="006A1AC4" w:rsidP="00270279">
            <w:pPr>
              <w:spacing w:after="0"/>
              <w:jc w:val="center"/>
              <w:rPr>
                <w:rFonts w:ascii="Arial" w:hAnsi="Arial" w:cs="Arial"/>
              </w:rPr>
            </w:pPr>
          </w:p>
        </w:tc>
        <w:tc>
          <w:tcPr>
            <w:tcW w:w="147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EF79F15" w14:textId="77777777" w:rsidR="006A1AC4" w:rsidRPr="00685DE9" w:rsidRDefault="006A1AC4" w:rsidP="00270279">
            <w:pPr>
              <w:spacing w:after="0"/>
              <w:jc w:val="center"/>
              <w:rPr>
                <w:rFonts w:ascii="Arial" w:hAnsi="Arial" w:cs="Arial"/>
              </w:rPr>
            </w:pPr>
          </w:p>
        </w:tc>
        <w:tc>
          <w:tcPr>
            <w:tcW w:w="138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C9EC997" w14:textId="77777777" w:rsidR="006A1AC4" w:rsidRPr="00685DE9" w:rsidRDefault="006A1AC4" w:rsidP="00270279">
            <w:pPr>
              <w:spacing w:after="0"/>
              <w:jc w:val="center"/>
              <w:rPr>
                <w:rFonts w:ascii="Arial" w:hAnsi="Arial" w:cs="Arial"/>
              </w:rPr>
            </w:pPr>
          </w:p>
        </w:tc>
      </w:tr>
      <w:tr w:rsidR="00685DE9" w:rsidRPr="00685DE9" w14:paraId="2502F856" w14:textId="77777777" w:rsidTr="006A1AC4">
        <w:trPr>
          <w:trHeight w:val="111"/>
        </w:trPr>
        <w:tc>
          <w:tcPr>
            <w:tcW w:w="0" w:type="auto"/>
            <w:gridSpan w:val="5"/>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14:paraId="05583C03" w14:textId="77777777" w:rsidR="006A1AC4" w:rsidRPr="00685DE9" w:rsidRDefault="006A1AC4" w:rsidP="00270279">
            <w:pPr>
              <w:spacing w:after="0"/>
              <w:rPr>
                <w:rFonts w:ascii="Arial" w:hAnsi="Arial" w:cs="Arial"/>
                <w:b/>
                <w:bCs/>
              </w:rPr>
            </w:pPr>
            <w:r w:rsidRPr="00685DE9">
              <w:rPr>
                <w:rFonts w:ascii="Arial" w:hAnsi="Arial" w:cs="Arial"/>
                <w:b/>
                <w:bCs/>
              </w:rPr>
              <w:t>Reagents</w:t>
            </w:r>
          </w:p>
        </w:tc>
      </w:tr>
      <w:tr w:rsidR="00685DE9" w:rsidRPr="00685DE9" w14:paraId="385B353B" w14:textId="77777777" w:rsidTr="006A1AC4">
        <w:trPr>
          <w:trHeight w:val="104"/>
        </w:trPr>
        <w:tc>
          <w:tcPr>
            <w:tcW w:w="4823" w:type="dxa"/>
            <w:gridSpan w:val="2"/>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7DFDCC63" w14:textId="77777777" w:rsidR="006A1AC4" w:rsidRPr="00685DE9" w:rsidRDefault="006A1AC4" w:rsidP="00270279">
            <w:pPr>
              <w:spacing w:after="0"/>
              <w:rPr>
                <w:rFonts w:ascii="Arial" w:hAnsi="Arial" w:cs="Arial"/>
                <w:b/>
                <w:bCs/>
              </w:rPr>
            </w:pPr>
            <w:r w:rsidRPr="00685DE9">
              <w:rPr>
                <w:rFonts w:ascii="Arial" w:hAnsi="Arial" w:cs="Arial"/>
                <w:b/>
                <w:bCs/>
              </w:rPr>
              <w:t>Name</w:t>
            </w: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0C96E74E" w14:textId="77777777" w:rsidR="006A1AC4" w:rsidRPr="00685DE9" w:rsidRDefault="006A1AC4" w:rsidP="00270279">
            <w:pPr>
              <w:spacing w:after="0"/>
              <w:jc w:val="center"/>
              <w:rPr>
                <w:rFonts w:ascii="Arial" w:hAnsi="Arial" w:cs="Arial"/>
                <w:b/>
                <w:bCs/>
              </w:rPr>
            </w:pPr>
            <w:r w:rsidRPr="00685DE9">
              <w:rPr>
                <w:rFonts w:ascii="Arial" w:hAnsi="Arial" w:cs="Arial"/>
                <w:b/>
                <w:bCs/>
              </w:rPr>
              <w:t>Catalog no.</w:t>
            </w:r>
          </w:p>
        </w:tc>
        <w:tc>
          <w:tcPr>
            <w:tcW w:w="2858" w:type="dxa"/>
            <w:gridSpan w:val="2"/>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14346033" w14:textId="77777777" w:rsidR="006A1AC4" w:rsidRPr="00685DE9" w:rsidRDefault="006A1AC4" w:rsidP="00270279">
            <w:pPr>
              <w:spacing w:after="0"/>
              <w:jc w:val="center"/>
              <w:rPr>
                <w:rFonts w:ascii="Arial" w:hAnsi="Arial" w:cs="Arial"/>
                <w:b/>
                <w:bCs/>
              </w:rPr>
            </w:pPr>
            <w:r w:rsidRPr="00685DE9">
              <w:rPr>
                <w:rFonts w:ascii="Arial" w:hAnsi="Arial" w:cs="Arial"/>
                <w:b/>
                <w:bCs/>
              </w:rPr>
              <w:t>Supplier</w:t>
            </w:r>
          </w:p>
        </w:tc>
      </w:tr>
      <w:tr w:rsidR="00685DE9" w:rsidRPr="00685DE9" w14:paraId="79B64DDC"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8D81BE3" w14:textId="6B91BA94" w:rsidR="00C54975" w:rsidRPr="00685DE9" w:rsidRDefault="00C54975" w:rsidP="00270279">
            <w:pPr>
              <w:spacing w:after="0"/>
              <w:rPr>
                <w:rFonts w:ascii="Arial" w:hAnsi="Arial" w:cs="Arial"/>
                <w:sz w:val="24"/>
                <w:szCs w:val="24"/>
              </w:rPr>
            </w:pPr>
            <w:r w:rsidRPr="00685DE9">
              <w:rPr>
                <w:rFonts w:ascii="Arial" w:hAnsi="Arial" w:cs="Arial"/>
                <w:sz w:val="24"/>
                <w:szCs w:val="24"/>
              </w:rPr>
              <w:t>pcDNA3.1Flag-HBx</w:t>
            </w:r>
          </w:p>
          <w:p w14:paraId="5A063F9C" w14:textId="1976824D" w:rsidR="00C54975" w:rsidRPr="00685DE9" w:rsidRDefault="00C54975" w:rsidP="00270279">
            <w:pPr>
              <w:spacing w:after="0"/>
              <w:rPr>
                <w:rFonts w:ascii="Arial" w:hAnsi="Arial" w:cs="Arial"/>
              </w:rPr>
            </w:pPr>
            <w:r w:rsidRPr="00685DE9">
              <w:rPr>
                <w:rFonts w:ascii="Arial" w:hAnsi="Arial" w:cs="Arial"/>
                <w:sz w:val="24"/>
                <w:szCs w:val="24"/>
              </w:rPr>
              <w:t>pcDNA3.1Flag-</w:t>
            </w:r>
            <w:proofErr w:type="gramStart"/>
            <w:r w:rsidRPr="00685DE9">
              <w:rPr>
                <w:rFonts w:ascii="Arial" w:hAnsi="Arial" w:cs="Arial"/>
                <w:sz w:val="24"/>
                <w:szCs w:val="24"/>
              </w:rPr>
              <w:t>HBx(</w:t>
            </w:r>
            <w:proofErr w:type="gramEnd"/>
            <w:r w:rsidRPr="00685DE9">
              <w:rPr>
                <w:rFonts w:ascii="Arial" w:hAnsi="Arial" w:cs="Arial"/>
                <w:sz w:val="24"/>
                <w:szCs w:val="24"/>
              </w:rPr>
              <w:t>G124L, I127A)</w:t>
            </w:r>
          </w:p>
          <w:p w14:paraId="0FB29B0D" w14:textId="77777777" w:rsidR="006A1AC4" w:rsidRPr="00685DE9" w:rsidRDefault="006A1AC4" w:rsidP="00270279">
            <w:pPr>
              <w:spacing w:after="0"/>
              <w:rPr>
                <w:rFonts w:ascii="Arial" w:hAnsi="Arial" w:cs="Arial"/>
              </w:rPr>
            </w:pPr>
            <w:r w:rsidRPr="00685DE9">
              <w:rPr>
                <w:rFonts w:ascii="Arial" w:hAnsi="Arial" w:cs="Arial"/>
              </w:rPr>
              <w:t>SYBR™ Safe DNA Gel Stain</w:t>
            </w:r>
          </w:p>
          <w:p w14:paraId="1E15F4D3" w14:textId="278930E6" w:rsidR="00DB4829" w:rsidRPr="00685DE9" w:rsidRDefault="004D0B27" w:rsidP="00270279">
            <w:pPr>
              <w:spacing w:after="0"/>
              <w:rPr>
                <w:rFonts w:ascii="Arial" w:hAnsi="Arial" w:cs="Arial"/>
              </w:rPr>
            </w:pPr>
            <w:r w:rsidRPr="00685DE9">
              <w:rPr>
                <w:rFonts w:ascii="Arial" w:hAnsi="Arial" w:cs="Arial"/>
              </w:rPr>
              <w:t>Expand Long Template PCR system</w:t>
            </w: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75B2C79A" w14:textId="4A38458B" w:rsidR="00C54975" w:rsidRPr="00685DE9" w:rsidRDefault="00C54975" w:rsidP="00C54975">
            <w:pPr>
              <w:spacing w:after="0"/>
              <w:jc w:val="center"/>
              <w:rPr>
                <w:rFonts w:ascii="Arial" w:hAnsi="Arial" w:cs="Arial"/>
                <w:sz w:val="24"/>
                <w:szCs w:val="24"/>
              </w:rPr>
            </w:pPr>
            <w:r w:rsidRPr="00685DE9">
              <w:rPr>
                <w:rFonts w:ascii="Arial" w:hAnsi="Arial" w:cs="Arial"/>
                <w:sz w:val="24"/>
                <w:szCs w:val="24"/>
              </w:rPr>
              <w:t>42596</w:t>
            </w:r>
          </w:p>
          <w:p w14:paraId="0F9E1C64" w14:textId="5CD4A29F" w:rsidR="00C54975" w:rsidRPr="00685DE9" w:rsidRDefault="00C54975" w:rsidP="00C54975">
            <w:pPr>
              <w:spacing w:after="0"/>
              <w:jc w:val="center"/>
              <w:rPr>
                <w:rFonts w:ascii="Arial" w:hAnsi="Arial" w:cs="Arial"/>
              </w:rPr>
            </w:pPr>
            <w:r w:rsidRPr="00685DE9">
              <w:rPr>
                <w:rFonts w:ascii="Arial" w:eastAsia="Times New Roman" w:hAnsi="Arial" w:cs="Arial"/>
                <w:sz w:val="24"/>
                <w:szCs w:val="24"/>
                <w:lang w:eastAsia="fr-FR"/>
              </w:rPr>
              <w:t>42598</w:t>
            </w:r>
          </w:p>
          <w:p w14:paraId="4D8ADB40" w14:textId="77777777" w:rsidR="006A1AC4" w:rsidRPr="00685DE9" w:rsidRDefault="006A1AC4" w:rsidP="00270279">
            <w:pPr>
              <w:spacing w:after="0"/>
              <w:jc w:val="center"/>
              <w:rPr>
                <w:rFonts w:ascii="Arial" w:hAnsi="Arial" w:cs="Arial"/>
              </w:rPr>
            </w:pPr>
            <w:r w:rsidRPr="00685DE9">
              <w:rPr>
                <w:rFonts w:ascii="Arial" w:hAnsi="Arial" w:cs="Arial"/>
              </w:rPr>
              <w:t>S33102</w:t>
            </w:r>
          </w:p>
          <w:p w14:paraId="4B5DF4B4" w14:textId="169CD748" w:rsidR="00DB4829" w:rsidRPr="00685DE9" w:rsidRDefault="004D0B27" w:rsidP="00270279">
            <w:pPr>
              <w:spacing w:after="0"/>
              <w:jc w:val="center"/>
              <w:rPr>
                <w:rFonts w:ascii="Arial" w:hAnsi="Arial" w:cs="Arial"/>
              </w:rPr>
            </w:pPr>
            <w:r w:rsidRPr="00685DE9">
              <w:rPr>
                <w:rFonts w:ascii="Arial" w:hAnsi="Arial" w:cs="Arial"/>
              </w:rPr>
              <w:t>116818</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6A04D9D" w14:textId="47A68341" w:rsidR="00C54975" w:rsidRPr="00685DE9" w:rsidRDefault="00C54975" w:rsidP="00C54975">
            <w:pPr>
              <w:spacing w:after="0"/>
              <w:jc w:val="center"/>
              <w:rPr>
                <w:rFonts w:ascii="Arial" w:hAnsi="Arial" w:cs="Arial"/>
              </w:rPr>
            </w:pPr>
            <w:proofErr w:type="spellStart"/>
            <w:r w:rsidRPr="00685DE9">
              <w:rPr>
                <w:rFonts w:ascii="Arial" w:hAnsi="Arial" w:cs="Arial"/>
              </w:rPr>
              <w:t>Addgene</w:t>
            </w:r>
            <w:proofErr w:type="spellEnd"/>
          </w:p>
          <w:p w14:paraId="2ED3D4F9" w14:textId="646F9DA1" w:rsidR="00C54975" w:rsidRPr="00685DE9" w:rsidRDefault="00C54975" w:rsidP="00C54975">
            <w:pPr>
              <w:spacing w:after="0"/>
              <w:jc w:val="center"/>
              <w:rPr>
                <w:rFonts w:ascii="Arial" w:hAnsi="Arial" w:cs="Arial"/>
              </w:rPr>
            </w:pPr>
            <w:proofErr w:type="spellStart"/>
            <w:r w:rsidRPr="00685DE9">
              <w:rPr>
                <w:rFonts w:ascii="Arial" w:hAnsi="Arial" w:cs="Arial"/>
              </w:rPr>
              <w:t>Addgene</w:t>
            </w:r>
            <w:proofErr w:type="spellEnd"/>
          </w:p>
          <w:p w14:paraId="0A39D5C1" w14:textId="77777777" w:rsidR="006A1AC4" w:rsidRPr="00685DE9" w:rsidRDefault="006A1AC4" w:rsidP="00270279">
            <w:pPr>
              <w:spacing w:after="0"/>
              <w:jc w:val="center"/>
              <w:rPr>
                <w:rFonts w:ascii="Arial" w:hAnsi="Arial" w:cs="Arial"/>
              </w:rPr>
            </w:pPr>
            <w:proofErr w:type="spellStart"/>
            <w:r w:rsidRPr="00685DE9">
              <w:rPr>
                <w:rFonts w:ascii="Arial" w:hAnsi="Arial" w:cs="Arial"/>
              </w:rPr>
              <w:t>Thermoscientific</w:t>
            </w:r>
            <w:proofErr w:type="spellEnd"/>
          </w:p>
          <w:p w14:paraId="6E81841D" w14:textId="576FC106" w:rsidR="00DB4829" w:rsidRPr="00685DE9" w:rsidRDefault="004D0B27" w:rsidP="00270279">
            <w:pPr>
              <w:spacing w:after="0"/>
              <w:jc w:val="center"/>
              <w:rPr>
                <w:rFonts w:ascii="Arial" w:hAnsi="Arial" w:cs="Arial"/>
              </w:rPr>
            </w:pPr>
            <w:r w:rsidRPr="00685DE9">
              <w:rPr>
                <w:rFonts w:ascii="Arial" w:hAnsi="Arial" w:cs="Arial"/>
              </w:rPr>
              <w:t>Roche</w:t>
            </w:r>
          </w:p>
        </w:tc>
      </w:tr>
      <w:tr w:rsidR="00685DE9" w:rsidRPr="00685DE9" w14:paraId="5D74A8D4"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1D5DE8A" w14:textId="40CDA8FC" w:rsidR="006A1AC4" w:rsidRPr="00685DE9" w:rsidRDefault="006A1AC4" w:rsidP="00270279">
            <w:pPr>
              <w:spacing w:after="0"/>
              <w:rPr>
                <w:rFonts w:ascii="Arial" w:hAnsi="Arial" w:cs="Arial"/>
              </w:rPr>
            </w:pPr>
            <w:proofErr w:type="spellStart"/>
            <w:r w:rsidRPr="00685DE9">
              <w:rPr>
                <w:rFonts w:ascii="Arial" w:hAnsi="Arial" w:cs="Arial"/>
              </w:rPr>
              <w:t>UltraPure</w:t>
            </w:r>
            <w:proofErr w:type="spellEnd"/>
            <w:r w:rsidRPr="00685DE9">
              <w:rPr>
                <w:rFonts w:ascii="Arial" w:hAnsi="Arial" w:cs="Arial"/>
              </w:rPr>
              <w:t>™ Agarose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C74A71" w14:textId="77777777" w:rsidR="006A1AC4" w:rsidRPr="00685DE9" w:rsidRDefault="006A1AC4" w:rsidP="00270279">
            <w:pPr>
              <w:spacing w:after="0"/>
              <w:jc w:val="center"/>
              <w:rPr>
                <w:rFonts w:ascii="Arial" w:hAnsi="Arial" w:cs="Arial"/>
              </w:rPr>
            </w:pPr>
            <w:r w:rsidRPr="00685DE9">
              <w:rPr>
                <w:rFonts w:ascii="Arial" w:hAnsi="Arial" w:cs="Arial"/>
              </w:rPr>
              <w:t>16500500</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7FC9FC" w14:textId="77777777" w:rsidR="006A1AC4" w:rsidRPr="00685DE9" w:rsidRDefault="006A1AC4" w:rsidP="00270279">
            <w:pPr>
              <w:spacing w:after="0"/>
              <w:jc w:val="center"/>
              <w:rPr>
                <w:rFonts w:ascii="Arial" w:hAnsi="Arial" w:cs="Arial"/>
              </w:rPr>
            </w:pPr>
            <w:proofErr w:type="spellStart"/>
            <w:r w:rsidRPr="00685DE9">
              <w:rPr>
                <w:rFonts w:ascii="Arial" w:hAnsi="Arial" w:cs="Arial"/>
              </w:rPr>
              <w:t>Thermoscientific</w:t>
            </w:r>
            <w:proofErr w:type="spellEnd"/>
          </w:p>
        </w:tc>
      </w:tr>
      <w:tr w:rsidR="00685DE9" w:rsidRPr="00685DE9" w14:paraId="59CB1067"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F7DB683" w14:textId="77777777" w:rsidR="006A1AC4" w:rsidRPr="00685DE9" w:rsidRDefault="006A1AC4" w:rsidP="00270279">
            <w:pPr>
              <w:spacing w:after="0"/>
              <w:rPr>
                <w:rFonts w:ascii="Arial" w:hAnsi="Arial" w:cs="Arial"/>
              </w:rPr>
            </w:pPr>
            <w:r w:rsidRPr="00685DE9">
              <w:rPr>
                <w:rFonts w:ascii="Arial" w:hAnsi="Arial" w:cs="Arial"/>
              </w:rPr>
              <w:t>Hybond-N1 nylon membrane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CFB633" w14:textId="77777777" w:rsidR="006A1AC4" w:rsidRPr="00685DE9" w:rsidRDefault="006A1AC4" w:rsidP="00270279">
            <w:pPr>
              <w:spacing w:after="0"/>
              <w:jc w:val="center"/>
              <w:rPr>
                <w:rFonts w:ascii="Arial" w:hAnsi="Arial" w:cs="Arial"/>
              </w:rPr>
            </w:pPr>
            <w:r w:rsidRPr="00685DE9">
              <w:rPr>
                <w:rFonts w:ascii="Arial" w:hAnsi="Arial" w:cs="Arial"/>
              </w:rPr>
              <w:t>11209299001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F8DB0F8" w14:textId="77777777" w:rsidR="006A1AC4" w:rsidRPr="00685DE9" w:rsidRDefault="006A1AC4" w:rsidP="00270279">
            <w:pPr>
              <w:spacing w:after="0"/>
              <w:jc w:val="center"/>
              <w:rPr>
                <w:rFonts w:ascii="Arial" w:hAnsi="Arial" w:cs="Arial"/>
              </w:rPr>
            </w:pPr>
            <w:r w:rsidRPr="00685DE9">
              <w:rPr>
                <w:rFonts w:ascii="Arial" w:hAnsi="Arial" w:cs="Arial"/>
              </w:rPr>
              <w:t>Roche</w:t>
            </w:r>
          </w:p>
        </w:tc>
      </w:tr>
      <w:tr w:rsidR="00685DE9" w:rsidRPr="00685DE9" w14:paraId="4B4A4E09"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E41385A" w14:textId="77777777" w:rsidR="006A1AC4" w:rsidRPr="00685DE9" w:rsidRDefault="006A1AC4" w:rsidP="00270279">
            <w:pPr>
              <w:spacing w:after="0"/>
              <w:rPr>
                <w:rFonts w:ascii="Arial" w:hAnsi="Arial" w:cs="Arial"/>
              </w:rPr>
            </w:pPr>
            <w:proofErr w:type="spellStart"/>
            <w:r w:rsidRPr="00685DE9">
              <w:rPr>
                <w:rFonts w:ascii="Arial" w:hAnsi="Arial" w:cs="Arial"/>
              </w:rPr>
              <w:t>TRIzol</w:t>
            </w:r>
            <w:proofErr w:type="spellEnd"/>
            <w:r w:rsidRPr="00685DE9">
              <w:rPr>
                <w:rFonts w:ascii="Arial" w:hAnsi="Arial" w:cs="Arial"/>
              </w:rPr>
              <w:t>™ Reagent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1BB4FB" w14:textId="77777777" w:rsidR="006A1AC4" w:rsidRPr="00685DE9" w:rsidRDefault="006A1AC4" w:rsidP="00270279">
            <w:pPr>
              <w:spacing w:after="0"/>
              <w:jc w:val="center"/>
              <w:rPr>
                <w:rFonts w:ascii="Arial" w:hAnsi="Arial" w:cs="Arial"/>
              </w:rPr>
            </w:pPr>
            <w:r w:rsidRPr="00685DE9">
              <w:rPr>
                <w:rFonts w:ascii="Arial" w:hAnsi="Arial" w:cs="Arial"/>
              </w:rPr>
              <w:t>15596018</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FAC452"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0D7ED0C8"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CA09DB6" w14:textId="77777777" w:rsidR="006A1AC4" w:rsidRPr="00685DE9" w:rsidRDefault="006A1AC4" w:rsidP="00270279">
            <w:pPr>
              <w:spacing w:after="0"/>
              <w:rPr>
                <w:rFonts w:ascii="Arial" w:hAnsi="Arial" w:cs="Arial"/>
              </w:rPr>
            </w:pPr>
            <w:r w:rsidRPr="00685DE9">
              <w:rPr>
                <w:rFonts w:ascii="Arial" w:hAnsi="Arial" w:cs="Arial"/>
              </w:rPr>
              <w:t>2-Propanol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CF4548" w14:textId="77777777" w:rsidR="006A1AC4" w:rsidRPr="00685DE9" w:rsidRDefault="006A1AC4" w:rsidP="00270279">
            <w:pPr>
              <w:spacing w:after="0"/>
              <w:jc w:val="center"/>
              <w:rPr>
                <w:rFonts w:ascii="Arial" w:hAnsi="Arial" w:cs="Arial"/>
              </w:rPr>
            </w:pPr>
            <w:r w:rsidRPr="00685DE9">
              <w:rPr>
                <w:rFonts w:ascii="Arial" w:hAnsi="Arial" w:cs="Arial"/>
              </w:rPr>
              <w:t>I9516</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2A19FDF" w14:textId="77777777" w:rsidR="006A1AC4" w:rsidRPr="00685DE9" w:rsidRDefault="006A1AC4" w:rsidP="00270279">
            <w:pPr>
              <w:spacing w:after="0"/>
              <w:jc w:val="center"/>
              <w:rPr>
                <w:rFonts w:ascii="Arial" w:hAnsi="Arial" w:cs="Arial"/>
              </w:rPr>
            </w:pPr>
            <w:r w:rsidRPr="00685DE9">
              <w:rPr>
                <w:rFonts w:ascii="Arial" w:hAnsi="Arial" w:cs="Arial"/>
              </w:rPr>
              <w:t>Sigma Aldrich</w:t>
            </w:r>
          </w:p>
        </w:tc>
      </w:tr>
      <w:tr w:rsidR="00685DE9" w:rsidRPr="00685DE9" w14:paraId="501911E5"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51C46EC" w14:textId="77777777" w:rsidR="006A1AC4" w:rsidRPr="00685DE9" w:rsidRDefault="006A1AC4" w:rsidP="00270279">
            <w:pPr>
              <w:spacing w:after="0"/>
              <w:rPr>
                <w:rFonts w:ascii="Arial" w:hAnsi="Arial" w:cs="Arial"/>
              </w:rPr>
            </w:pPr>
            <w:r w:rsidRPr="00685DE9">
              <w:rPr>
                <w:rFonts w:ascii="Arial" w:hAnsi="Arial" w:cs="Arial"/>
              </w:rPr>
              <w:lastRenderedPageBreak/>
              <w:t>Chloroform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D9BA67" w14:textId="77777777" w:rsidR="006A1AC4" w:rsidRPr="00685DE9" w:rsidRDefault="006A1AC4" w:rsidP="00270279">
            <w:pPr>
              <w:spacing w:after="0"/>
              <w:jc w:val="center"/>
              <w:rPr>
                <w:rFonts w:ascii="Arial" w:hAnsi="Arial" w:cs="Arial"/>
              </w:rPr>
            </w:pPr>
            <w:r w:rsidRPr="00685DE9">
              <w:rPr>
                <w:rFonts w:ascii="Arial" w:hAnsi="Arial" w:cs="Arial"/>
              </w:rPr>
              <w:t>C2432</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3D0E620" w14:textId="77777777" w:rsidR="006A1AC4" w:rsidRPr="00685DE9" w:rsidRDefault="006A1AC4" w:rsidP="00270279">
            <w:pPr>
              <w:spacing w:after="0"/>
              <w:jc w:val="center"/>
              <w:rPr>
                <w:rFonts w:ascii="Arial" w:hAnsi="Arial" w:cs="Arial"/>
              </w:rPr>
            </w:pPr>
            <w:r w:rsidRPr="00685DE9">
              <w:rPr>
                <w:rFonts w:ascii="Arial" w:hAnsi="Arial" w:cs="Arial"/>
              </w:rPr>
              <w:t>Sigma Aldrich</w:t>
            </w:r>
          </w:p>
        </w:tc>
      </w:tr>
      <w:tr w:rsidR="00685DE9" w:rsidRPr="00685DE9" w14:paraId="61862E69"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CD067D6" w14:textId="77777777" w:rsidR="006A1AC4" w:rsidRPr="00685DE9" w:rsidRDefault="006A1AC4" w:rsidP="00270279">
            <w:pPr>
              <w:spacing w:after="0"/>
              <w:rPr>
                <w:rFonts w:ascii="Arial" w:hAnsi="Arial" w:cs="Arial"/>
              </w:rPr>
            </w:pPr>
            <w:r w:rsidRPr="00685DE9">
              <w:rPr>
                <w:rFonts w:ascii="Arial" w:hAnsi="Arial" w:cs="Arial"/>
              </w:rPr>
              <w:t>Ethanol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2C814B" w14:textId="77777777" w:rsidR="006A1AC4" w:rsidRPr="00685DE9" w:rsidRDefault="006A1AC4" w:rsidP="00270279">
            <w:pPr>
              <w:spacing w:after="0"/>
              <w:jc w:val="center"/>
              <w:rPr>
                <w:rFonts w:ascii="Arial" w:hAnsi="Arial" w:cs="Arial"/>
              </w:rPr>
            </w:pPr>
            <w:r w:rsidRPr="00685DE9">
              <w:rPr>
                <w:rFonts w:ascii="Arial" w:hAnsi="Arial" w:cs="Arial"/>
              </w:rPr>
              <w:t xml:space="preserve">1.08543 </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068DA29" w14:textId="77777777" w:rsidR="006A1AC4" w:rsidRPr="00685DE9" w:rsidRDefault="006A1AC4" w:rsidP="00270279">
            <w:pPr>
              <w:spacing w:after="0"/>
              <w:jc w:val="center"/>
              <w:rPr>
                <w:rFonts w:ascii="Arial" w:hAnsi="Arial" w:cs="Arial"/>
              </w:rPr>
            </w:pPr>
            <w:r w:rsidRPr="00685DE9">
              <w:rPr>
                <w:rFonts w:ascii="Arial" w:hAnsi="Arial" w:cs="Arial"/>
              </w:rPr>
              <w:t>Sigma Aldrich</w:t>
            </w:r>
          </w:p>
        </w:tc>
      </w:tr>
      <w:tr w:rsidR="00685DE9" w:rsidRPr="00685DE9" w14:paraId="0489677D"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3AF51FA" w14:textId="77777777" w:rsidR="006A1AC4" w:rsidRPr="00685DE9" w:rsidRDefault="006A1AC4" w:rsidP="00270279">
            <w:pPr>
              <w:spacing w:after="0"/>
              <w:rPr>
                <w:rFonts w:ascii="Arial" w:hAnsi="Arial" w:cs="Arial"/>
              </w:rPr>
            </w:pPr>
            <w:r w:rsidRPr="00685DE9">
              <w:rPr>
                <w:rFonts w:ascii="Arial" w:hAnsi="Arial" w:cs="Arial"/>
              </w:rPr>
              <w:t>DEPC-Treated Water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E8C9E0" w14:textId="77777777" w:rsidR="006A1AC4" w:rsidRPr="00685DE9" w:rsidRDefault="006A1AC4" w:rsidP="00270279">
            <w:pPr>
              <w:spacing w:after="0"/>
              <w:jc w:val="center"/>
              <w:rPr>
                <w:rFonts w:ascii="Arial" w:hAnsi="Arial" w:cs="Arial"/>
              </w:rPr>
            </w:pPr>
            <w:r w:rsidRPr="00685DE9">
              <w:rPr>
                <w:rFonts w:ascii="Arial" w:hAnsi="Arial" w:cs="Arial"/>
              </w:rPr>
              <w:t>AM9906</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8955923"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4F76BCD0"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653DCBC" w14:textId="77777777" w:rsidR="006A1AC4" w:rsidRPr="00685DE9" w:rsidRDefault="006A1AC4" w:rsidP="00270279">
            <w:pPr>
              <w:spacing w:after="0"/>
              <w:rPr>
                <w:rFonts w:ascii="Arial" w:hAnsi="Arial" w:cs="Arial"/>
              </w:rPr>
            </w:pPr>
            <w:proofErr w:type="spellStart"/>
            <w:r w:rsidRPr="00685DE9">
              <w:rPr>
                <w:rFonts w:ascii="Arial" w:hAnsi="Arial" w:cs="Arial"/>
              </w:rPr>
              <w:t>Ambion</w:t>
            </w:r>
            <w:proofErr w:type="spellEnd"/>
            <w:r w:rsidRPr="00685DE9">
              <w:rPr>
                <w:rFonts w:ascii="Arial" w:hAnsi="Arial" w:cs="Arial"/>
              </w:rPr>
              <w:t>™ DNase I (RNase-free)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47E638" w14:textId="77777777" w:rsidR="006A1AC4" w:rsidRPr="00685DE9" w:rsidRDefault="006A1AC4" w:rsidP="00270279">
            <w:pPr>
              <w:spacing w:after="0"/>
              <w:jc w:val="center"/>
              <w:rPr>
                <w:rFonts w:ascii="Arial" w:hAnsi="Arial" w:cs="Arial"/>
              </w:rPr>
            </w:pPr>
            <w:r w:rsidRPr="00685DE9">
              <w:rPr>
                <w:rFonts w:ascii="Arial" w:hAnsi="Arial" w:cs="Arial"/>
              </w:rPr>
              <w:t>AM2222</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357EEF3"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56829C79"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9365DEB" w14:textId="77777777" w:rsidR="006A1AC4" w:rsidRPr="00685DE9" w:rsidRDefault="006A1AC4" w:rsidP="00270279">
            <w:pPr>
              <w:spacing w:after="0"/>
              <w:rPr>
                <w:rFonts w:ascii="Arial" w:hAnsi="Arial" w:cs="Arial"/>
              </w:rPr>
            </w:pPr>
            <w:r w:rsidRPr="00685DE9">
              <w:rPr>
                <w:rFonts w:ascii="Arial" w:hAnsi="Arial" w:cs="Arial"/>
              </w:rPr>
              <w:t>Random Hexamers (50 µM)</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BDB87E" w14:textId="77777777" w:rsidR="006A1AC4" w:rsidRPr="00685DE9" w:rsidRDefault="006A1AC4" w:rsidP="00270279">
            <w:pPr>
              <w:spacing w:after="0"/>
              <w:jc w:val="center"/>
              <w:rPr>
                <w:rFonts w:ascii="Arial" w:hAnsi="Arial" w:cs="Arial"/>
              </w:rPr>
            </w:pPr>
            <w:r w:rsidRPr="00685DE9">
              <w:rPr>
                <w:rFonts w:ascii="Arial" w:hAnsi="Arial" w:cs="Arial"/>
              </w:rPr>
              <w:t>N8080127</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A5B957C"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584051E2"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BB9B368" w14:textId="77777777" w:rsidR="006A1AC4" w:rsidRPr="00685DE9" w:rsidRDefault="006A1AC4" w:rsidP="00270279">
            <w:pPr>
              <w:spacing w:after="0"/>
              <w:rPr>
                <w:rFonts w:ascii="Arial" w:hAnsi="Arial" w:cs="Arial"/>
              </w:rPr>
            </w:pPr>
            <w:r w:rsidRPr="00685DE9">
              <w:rPr>
                <w:rFonts w:ascii="Arial" w:hAnsi="Arial" w:cs="Arial"/>
              </w:rPr>
              <w:t xml:space="preserve">Transcriptase inverse </w:t>
            </w:r>
            <w:proofErr w:type="spellStart"/>
            <w:r w:rsidRPr="00685DE9">
              <w:rPr>
                <w:rFonts w:ascii="Arial" w:hAnsi="Arial" w:cs="Arial"/>
              </w:rPr>
              <w:t>SuperScript</w:t>
            </w:r>
            <w:proofErr w:type="spellEnd"/>
            <w:r w:rsidRPr="00685DE9">
              <w:rPr>
                <w:rFonts w:ascii="Arial" w:hAnsi="Arial" w:cs="Arial"/>
              </w:rPr>
              <w:t>™ II</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249ABC" w14:textId="77777777" w:rsidR="006A1AC4" w:rsidRPr="00685DE9" w:rsidRDefault="006A1AC4" w:rsidP="00270279">
            <w:pPr>
              <w:spacing w:after="0"/>
              <w:jc w:val="center"/>
              <w:rPr>
                <w:rFonts w:ascii="Arial" w:hAnsi="Arial" w:cs="Arial"/>
              </w:rPr>
            </w:pPr>
            <w:r w:rsidRPr="00685DE9">
              <w:rPr>
                <w:rFonts w:ascii="Arial" w:hAnsi="Arial" w:cs="Arial"/>
              </w:rPr>
              <w:t>18064071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D51052C"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47D6DB21" w14:textId="77777777" w:rsidTr="006A1AC4">
        <w:trPr>
          <w:trHeight w:val="231"/>
        </w:trPr>
        <w:tc>
          <w:tcPr>
            <w:tcW w:w="482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6923055" w14:textId="77777777" w:rsidR="006A1AC4" w:rsidRPr="00685DE9" w:rsidRDefault="006A1AC4" w:rsidP="00270279">
            <w:pPr>
              <w:spacing w:after="0"/>
              <w:rPr>
                <w:rFonts w:ascii="Arial" w:hAnsi="Arial" w:cs="Arial"/>
              </w:rPr>
            </w:pPr>
            <w:proofErr w:type="spellStart"/>
            <w:r w:rsidRPr="00685DE9">
              <w:rPr>
                <w:rFonts w:ascii="Arial" w:hAnsi="Arial" w:cs="Arial"/>
              </w:rPr>
              <w:t>LightCycler</w:t>
            </w:r>
            <w:proofErr w:type="spellEnd"/>
            <w:r w:rsidRPr="00685DE9">
              <w:rPr>
                <w:rFonts w:ascii="Arial" w:hAnsi="Arial" w:cs="Arial"/>
              </w:rPr>
              <w:t>® 480 SYBR Green I Master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54EF91" w14:textId="77777777" w:rsidR="006A1AC4" w:rsidRPr="00685DE9" w:rsidRDefault="006A1AC4" w:rsidP="00270279">
            <w:pPr>
              <w:spacing w:after="0"/>
              <w:jc w:val="center"/>
              <w:rPr>
                <w:rFonts w:ascii="Arial" w:hAnsi="Arial" w:cs="Arial"/>
              </w:rPr>
            </w:pPr>
            <w:r w:rsidRPr="00685DE9">
              <w:rPr>
                <w:rFonts w:ascii="Arial" w:hAnsi="Arial" w:cs="Arial"/>
              </w:rPr>
              <w:t>4887352001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775A7A" w14:textId="77777777" w:rsidR="006A1AC4" w:rsidRPr="00685DE9" w:rsidRDefault="006A1AC4" w:rsidP="00270279">
            <w:pPr>
              <w:spacing w:after="0"/>
              <w:jc w:val="center"/>
              <w:rPr>
                <w:rFonts w:ascii="Arial" w:hAnsi="Arial" w:cs="Arial"/>
              </w:rPr>
            </w:pPr>
            <w:r w:rsidRPr="00685DE9">
              <w:rPr>
                <w:rFonts w:ascii="Arial" w:hAnsi="Arial" w:cs="Arial"/>
              </w:rPr>
              <w:t>Roche</w:t>
            </w:r>
          </w:p>
        </w:tc>
      </w:tr>
      <w:tr w:rsidR="00685DE9" w:rsidRPr="00685DE9" w14:paraId="10224091" w14:textId="77777777" w:rsidTr="006A1AC4">
        <w:trPr>
          <w:trHeight w:val="231"/>
        </w:trPr>
        <w:tc>
          <w:tcPr>
            <w:tcW w:w="482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8A14E8B" w14:textId="77777777" w:rsidR="006A1AC4" w:rsidRPr="00685DE9" w:rsidRDefault="006A1AC4" w:rsidP="00270279">
            <w:pPr>
              <w:spacing w:after="0"/>
              <w:rPr>
                <w:rFonts w:ascii="Arial" w:hAnsi="Arial" w:cs="Arial"/>
              </w:rPr>
            </w:pPr>
            <w:r w:rsidRPr="00685DE9">
              <w:rPr>
                <w:rFonts w:ascii="Arial" w:hAnsi="Arial" w:cs="Arial"/>
              </w:rPr>
              <w:t>Corning® Costar® Spin-X® centrifuge tube filters</w:t>
            </w:r>
          </w:p>
        </w:tc>
        <w:tc>
          <w:tcPr>
            <w:tcW w:w="2084" w:type="dxa"/>
            <w:tcBorders>
              <w:top w:val="nil"/>
              <w:left w:val="nil"/>
              <w:bottom w:val="nil"/>
              <w:right w:val="nil"/>
            </w:tcBorders>
            <w:shd w:val="clear" w:color="auto" w:fill="auto"/>
            <w:tcMar>
              <w:top w:w="15" w:type="dxa"/>
              <w:left w:w="15" w:type="dxa"/>
              <w:bottom w:w="0" w:type="dxa"/>
              <w:right w:w="15" w:type="dxa"/>
            </w:tcMar>
            <w:vAlign w:val="center"/>
            <w:hideMark/>
          </w:tcPr>
          <w:p w14:paraId="7F4EDDE5" w14:textId="77777777" w:rsidR="006A1AC4" w:rsidRPr="00685DE9" w:rsidRDefault="006A1AC4" w:rsidP="00270279">
            <w:pPr>
              <w:spacing w:after="0"/>
              <w:jc w:val="center"/>
              <w:rPr>
                <w:rFonts w:ascii="Arial" w:hAnsi="Arial" w:cs="Arial"/>
              </w:rPr>
            </w:pPr>
            <w:r w:rsidRPr="00685DE9">
              <w:rPr>
                <w:rFonts w:ascii="Arial" w:hAnsi="Arial" w:cs="Arial"/>
              </w:rPr>
              <w:t>CLS8162-96EA</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FA38B43" w14:textId="77777777" w:rsidR="006A1AC4" w:rsidRPr="00685DE9" w:rsidRDefault="006A1AC4" w:rsidP="00270279">
            <w:pPr>
              <w:spacing w:after="0"/>
              <w:jc w:val="center"/>
              <w:rPr>
                <w:rFonts w:ascii="Arial" w:hAnsi="Arial" w:cs="Arial"/>
              </w:rPr>
            </w:pPr>
            <w:r w:rsidRPr="00685DE9">
              <w:rPr>
                <w:rFonts w:ascii="Arial" w:hAnsi="Arial" w:cs="Arial"/>
              </w:rPr>
              <w:t>Costar</w:t>
            </w:r>
          </w:p>
        </w:tc>
      </w:tr>
      <w:tr w:rsidR="00685DE9" w:rsidRPr="00685DE9" w14:paraId="78CA1CC6" w14:textId="77777777" w:rsidTr="006A1AC4">
        <w:trPr>
          <w:trHeight w:val="257"/>
        </w:trPr>
        <w:tc>
          <w:tcPr>
            <w:tcW w:w="482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0D13A922" w14:textId="77777777" w:rsidR="006A1AC4" w:rsidRPr="00685DE9" w:rsidRDefault="006A1AC4" w:rsidP="00270279">
            <w:pPr>
              <w:spacing w:after="0"/>
              <w:rPr>
                <w:rFonts w:ascii="Arial" w:hAnsi="Arial" w:cs="Arial"/>
              </w:rPr>
            </w:pPr>
            <w:proofErr w:type="spellStart"/>
            <w:r w:rsidRPr="00685DE9">
              <w:rPr>
                <w:rFonts w:ascii="Arial" w:hAnsi="Arial" w:cs="Arial"/>
              </w:rPr>
              <w:t>BigDye</w:t>
            </w:r>
            <w:proofErr w:type="spellEnd"/>
            <w:r w:rsidRPr="00685DE9">
              <w:rPr>
                <w:rFonts w:ascii="Arial" w:hAnsi="Arial" w:cs="Arial"/>
              </w:rPr>
              <w:t>™ Terminator v3.1 Cycle Sequencing Kit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4C4881" w14:textId="77777777" w:rsidR="006A1AC4" w:rsidRPr="00685DE9" w:rsidRDefault="006A1AC4" w:rsidP="00270279">
            <w:pPr>
              <w:spacing w:after="0"/>
              <w:jc w:val="center"/>
              <w:rPr>
                <w:rFonts w:ascii="Arial" w:hAnsi="Arial" w:cs="Arial"/>
              </w:rPr>
            </w:pPr>
            <w:r w:rsidRPr="00685DE9">
              <w:rPr>
                <w:rFonts w:ascii="Arial" w:hAnsi="Arial" w:cs="Arial"/>
              </w:rPr>
              <w:t>4337458</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7865DD1" w14:textId="77777777" w:rsidR="006A1AC4" w:rsidRPr="00685DE9" w:rsidRDefault="006A1AC4" w:rsidP="00270279">
            <w:pPr>
              <w:spacing w:after="0"/>
              <w:jc w:val="center"/>
              <w:rPr>
                <w:rFonts w:ascii="Arial" w:hAnsi="Arial" w:cs="Arial"/>
              </w:rPr>
            </w:pPr>
            <w:r w:rsidRPr="00685DE9">
              <w:rPr>
                <w:rFonts w:ascii="Arial" w:hAnsi="Arial" w:cs="Arial"/>
              </w:rPr>
              <w:t>Applied Biosystems</w:t>
            </w:r>
          </w:p>
        </w:tc>
      </w:tr>
      <w:tr w:rsidR="00685DE9" w:rsidRPr="00685DE9" w14:paraId="1E46D7B9" w14:textId="77777777" w:rsidTr="006A1AC4">
        <w:trPr>
          <w:trHeight w:val="104"/>
        </w:trPr>
        <w:tc>
          <w:tcPr>
            <w:tcW w:w="482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CBECFE3" w14:textId="77777777" w:rsidR="006A1AC4" w:rsidRPr="00685DE9" w:rsidRDefault="006A1AC4" w:rsidP="00270279">
            <w:pPr>
              <w:spacing w:after="0"/>
              <w:rPr>
                <w:rFonts w:ascii="Arial" w:hAnsi="Arial" w:cs="Arial"/>
              </w:rPr>
            </w:pPr>
            <w:proofErr w:type="spellStart"/>
            <w:r w:rsidRPr="00685DE9">
              <w:rPr>
                <w:rFonts w:ascii="Arial" w:hAnsi="Arial" w:cs="Arial"/>
              </w:rPr>
              <w:t>QIAamp</w:t>
            </w:r>
            <w:proofErr w:type="spellEnd"/>
            <w:r w:rsidRPr="00685DE9">
              <w:rPr>
                <w:rFonts w:ascii="Arial" w:hAnsi="Arial" w:cs="Arial"/>
              </w:rPr>
              <w:t xml:space="preserve"> DNA Blood Mini Kit</w:t>
            </w:r>
            <w:r w:rsidRPr="00685DE9">
              <w:rPr>
                <w:rFonts w:ascii="Arial" w:hAnsi="Arial" w:cs="Arial"/>
              </w:rPr>
              <w:br/>
              <w:t>Print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3A3053" w14:textId="77777777" w:rsidR="006A1AC4" w:rsidRPr="00685DE9" w:rsidRDefault="006A1AC4" w:rsidP="00270279">
            <w:pPr>
              <w:spacing w:after="0"/>
              <w:jc w:val="center"/>
              <w:rPr>
                <w:rFonts w:ascii="Arial" w:hAnsi="Arial" w:cs="Arial"/>
              </w:rPr>
            </w:pPr>
            <w:r w:rsidRPr="00685DE9">
              <w:rPr>
                <w:rFonts w:ascii="Arial" w:hAnsi="Arial" w:cs="Arial"/>
              </w:rPr>
              <w:t>51104</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65CB98B" w14:textId="77777777" w:rsidR="006A1AC4" w:rsidRPr="00685DE9" w:rsidRDefault="006A1AC4" w:rsidP="00270279">
            <w:pPr>
              <w:spacing w:after="0"/>
              <w:jc w:val="center"/>
              <w:rPr>
                <w:rFonts w:ascii="Arial" w:hAnsi="Arial" w:cs="Arial"/>
              </w:rPr>
            </w:pPr>
            <w:r w:rsidRPr="00685DE9">
              <w:rPr>
                <w:rFonts w:ascii="Arial" w:hAnsi="Arial" w:cs="Arial"/>
              </w:rPr>
              <w:t>Qiagen</w:t>
            </w:r>
          </w:p>
        </w:tc>
      </w:tr>
      <w:tr w:rsidR="00685DE9" w:rsidRPr="00685DE9" w14:paraId="00091BCB"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ECE9FF6" w14:textId="77777777" w:rsidR="006A1AC4" w:rsidRPr="00685DE9" w:rsidRDefault="006A1AC4" w:rsidP="00270279">
            <w:pPr>
              <w:spacing w:after="0"/>
              <w:rPr>
                <w:rFonts w:ascii="Arial" w:hAnsi="Arial" w:cs="Arial"/>
              </w:rPr>
            </w:pPr>
            <w:proofErr w:type="spellStart"/>
            <w:r w:rsidRPr="00685DE9">
              <w:rPr>
                <w:rFonts w:ascii="Arial" w:hAnsi="Arial" w:cs="Arial"/>
              </w:rPr>
              <w:t>PureLink</w:t>
            </w:r>
            <w:proofErr w:type="spellEnd"/>
            <w:r w:rsidRPr="00685DE9">
              <w:rPr>
                <w:rFonts w:ascii="Arial" w:hAnsi="Arial" w:cs="Arial"/>
              </w:rPr>
              <w:t>™ RNase A (20 mg/mL)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DB6C57" w14:textId="77777777" w:rsidR="006A1AC4" w:rsidRPr="00685DE9" w:rsidRDefault="006A1AC4" w:rsidP="00270279">
            <w:pPr>
              <w:spacing w:after="0"/>
              <w:jc w:val="center"/>
              <w:rPr>
                <w:rFonts w:ascii="Arial" w:hAnsi="Arial" w:cs="Arial"/>
              </w:rPr>
            </w:pPr>
            <w:r w:rsidRPr="00685DE9">
              <w:rPr>
                <w:rFonts w:ascii="Arial" w:hAnsi="Arial" w:cs="Arial"/>
              </w:rPr>
              <w:t>12091021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7D84CDA"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r w:rsidR="00685DE9" w:rsidRPr="00685DE9" w14:paraId="03C60A8E"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87BF0FE" w14:textId="77777777" w:rsidR="006A1AC4" w:rsidRPr="00685DE9" w:rsidRDefault="006A1AC4" w:rsidP="00270279">
            <w:pPr>
              <w:spacing w:after="0"/>
              <w:rPr>
                <w:rFonts w:ascii="Arial" w:hAnsi="Arial" w:cs="Arial"/>
              </w:rPr>
            </w:pPr>
            <w:r w:rsidRPr="00685DE9">
              <w:rPr>
                <w:rFonts w:ascii="Arial" w:hAnsi="Arial" w:cs="Arial"/>
              </w:rPr>
              <w:t>Luminescent ATP Detection Assay Kit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D92D98" w14:textId="77777777" w:rsidR="006A1AC4" w:rsidRPr="00685DE9" w:rsidRDefault="006A1AC4" w:rsidP="00270279">
            <w:pPr>
              <w:spacing w:after="0"/>
              <w:jc w:val="center"/>
              <w:rPr>
                <w:rFonts w:ascii="Arial" w:hAnsi="Arial" w:cs="Arial"/>
              </w:rPr>
            </w:pPr>
            <w:r w:rsidRPr="00685DE9">
              <w:rPr>
                <w:rFonts w:ascii="Arial" w:hAnsi="Arial" w:cs="Arial"/>
              </w:rPr>
              <w:t>ab113849</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7B7084C" w14:textId="77777777" w:rsidR="006A1AC4" w:rsidRPr="00685DE9" w:rsidRDefault="006A1AC4" w:rsidP="00270279">
            <w:pPr>
              <w:spacing w:after="0"/>
              <w:jc w:val="center"/>
              <w:rPr>
                <w:rFonts w:ascii="Arial" w:hAnsi="Arial" w:cs="Arial"/>
              </w:rPr>
            </w:pPr>
            <w:r w:rsidRPr="00685DE9">
              <w:rPr>
                <w:rFonts w:ascii="Arial" w:hAnsi="Arial" w:cs="Arial"/>
              </w:rPr>
              <w:t>Abcam</w:t>
            </w:r>
          </w:p>
        </w:tc>
      </w:tr>
      <w:tr w:rsidR="00685DE9" w:rsidRPr="00685DE9" w14:paraId="527C211D" w14:textId="77777777" w:rsidTr="006A1AC4">
        <w:trPr>
          <w:trHeight w:val="104"/>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F8F8CE0" w14:textId="77777777" w:rsidR="006A1AC4" w:rsidRPr="00685DE9" w:rsidRDefault="006A1AC4" w:rsidP="00270279">
            <w:pPr>
              <w:spacing w:after="0"/>
              <w:rPr>
                <w:rFonts w:ascii="Arial" w:hAnsi="Arial" w:cs="Arial"/>
              </w:rPr>
            </w:pPr>
            <w:r w:rsidRPr="00685DE9">
              <w:rPr>
                <w:rFonts w:ascii="Arial" w:hAnsi="Arial" w:cs="Arial"/>
              </w:rPr>
              <w:t>Quick Start™ Bradford Protein Assay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1C5C6C" w14:textId="77777777" w:rsidR="006A1AC4" w:rsidRPr="00685DE9" w:rsidRDefault="006A1AC4" w:rsidP="00270279">
            <w:pPr>
              <w:spacing w:after="0"/>
              <w:jc w:val="center"/>
              <w:rPr>
                <w:rFonts w:ascii="Arial" w:hAnsi="Arial" w:cs="Arial"/>
              </w:rPr>
            </w:pPr>
            <w:r w:rsidRPr="00685DE9">
              <w:rPr>
                <w:rFonts w:ascii="Arial" w:hAnsi="Arial" w:cs="Arial"/>
              </w:rPr>
              <w:t>5000201</w:t>
            </w: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812560D" w14:textId="77777777" w:rsidR="006A1AC4" w:rsidRPr="00685DE9" w:rsidRDefault="006A1AC4" w:rsidP="00270279">
            <w:pPr>
              <w:spacing w:after="0"/>
              <w:jc w:val="center"/>
              <w:rPr>
                <w:rFonts w:ascii="Arial" w:hAnsi="Arial" w:cs="Arial"/>
              </w:rPr>
            </w:pPr>
            <w:proofErr w:type="spellStart"/>
            <w:r w:rsidRPr="00685DE9">
              <w:rPr>
                <w:rFonts w:ascii="Arial" w:hAnsi="Arial" w:cs="Arial"/>
              </w:rPr>
              <w:t>Biorad</w:t>
            </w:r>
            <w:proofErr w:type="spellEnd"/>
          </w:p>
        </w:tc>
      </w:tr>
      <w:tr w:rsidR="00685DE9" w:rsidRPr="00685DE9" w14:paraId="44FBD812" w14:textId="77777777" w:rsidTr="006A1AC4">
        <w:trPr>
          <w:trHeight w:val="224"/>
        </w:trPr>
        <w:tc>
          <w:tcPr>
            <w:tcW w:w="4823" w:type="dxa"/>
            <w:gridSpan w:val="2"/>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F0F410E" w14:textId="77777777" w:rsidR="006A1AC4" w:rsidRPr="00685DE9" w:rsidRDefault="006A1AC4" w:rsidP="00270279">
            <w:pPr>
              <w:spacing w:after="0"/>
              <w:rPr>
                <w:rFonts w:ascii="Arial" w:hAnsi="Arial" w:cs="Arial"/>
              </w:rPr>
            </w:pPr>
            <w:proofErr w:type="spellStart"/>
            <w:r w:rsidRPr="00685DE9">
              <w:rPr>
                <w:rFonts w:ascii="Arial" w:hAnsi="Arial" w:cs="Arial"/>
              </w:rPr>
              <w:t>Novex</w:t>
            </w:r>
            <w:proofErr w:type="spellEnd"/>
            <w:r w:rsidRPr="00685DE9">
              <w:rPr>
                <w:rFonts w:ascii="Arial" w:hAnsi="Arial" w:cs="Arial"/>
              </w:rPr>
              <w:t>™ Tris-Glycine SDS Sample Buffer (2X)</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73FA908" w14:textId="77777777" w:rsidR="006A1AC4" w:rsidRPr="00685DE9" w:rsidRDefault="006A1AC4" w:rsidP="00270279">
            <w:pPr>
              <w:spacing w:after="0"/>
              <w:jc w:val="center"/>
              <w:rPr>
                <w:rFonts w:ascii="Arial" w:hAnsi="Arial" w:cs="Arial"/>
              </w:rPr>
            </w:pPr>
            <w:r w:rsidRPr="00685DE9">
              <w:rPr>
                <w:rFonts w:ascii="Arial" w:hAnsi="Arial" w:cs="Arial"/>
              </w:rPr>
              <w:t>LC2676</w:t>
            </w:r>
          </w:p>
        </w:tc>
        <w:tc>
          <w:tcPr>
            <w:tcW w:w="0" w:type="auto"/>
            <w:gridSpan w:val="2"/>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0443D99" w14:textId="77777777" w:rsidR="006A1AC4" w:rsidRPr="00685DE9" w:rsidRDefault="006A1AC4" w:rsidP="00270279">
            <w:pPr>
              <w:spacing w:after="0"/>
              <w:jc w:val="center"/>
              <w:rPr>
                <w:rFonts w:ascii="Arial" w:hAnsi="Arial" w:cs="Arial"/>
              </w:rPr>
            </w:pPr>
            <w:r w:rsidRPr="00685DE9">
              <w:rPr>
                <w:rFonts w:ascii="Arial" w:hAnsi="Arial" w:cs="Arial"/>
              </w:rPr>
              <w:t>Invitrogen</w:t>
            </w:r>
          </w:p>
        </w:tc>
      </w:tr>
    </w:tbl>
    <w:p w14:paraId="1790AF7F" w14:textId="1000420B" w:rsidR="006A1AC4" w:rsidRPr="00685DE9" w:rsidRDefault="006A1AC4" w:rsidP="003F4456">
      <w:pPr>
        <w:autoSpaceDE w:val="0"/>
        <w:adjustRightInd w:val="0"/>
        <w:spacing w:line="360" w:lineRule="auto"/>
        <w:jc w:val="both"/>
        <w:rPr>
          <w:rFonts w:ascii="Arial" w:hAnsi="Arial" w:cs="Arial"/>
          <w:b/>
        </w:rPr>
      </w:pPr>
    </w:p>
    <w:p w14:paraId="74F24F33" w14:textId="1E6E4B45" w:rsidR="00863A32" w:rsidRPr="00685DE9" w:rsidRDefault="00863A32">
      <w:pPr>
        <w:autoSpaceDN/>
        <w:spacing w:after="160" w:line="259" w:lineRule="auto"/>
        <w:rPr>
          <w:rFonts w:ascii="Arial" w:hAnsi="Arial" w:cs="Arial"/>
          <w:b/>
        </w:rPr>
      </w:pPr>
      <w:r w:rsidRPr="00685DE9">
        <w:rPr>
          <w:rFonts w:ascii="Arial" w:hAnsi="Arial" w:cs="Arial"/>
          <w:b/>
        </w:rPr>
        <w:br w:type="page"/>
      </w:r>
    </w:p>
    <w:p w14:paraId="5169D7A5" w14:textId="3007C843" w:rsidR="003F4456" w:rsidRPr="00685DE9" w:rsidRDefault="00DE47F7" w:rsidP="003F4456">
      <w:pPr>
        <w:autoSpaceDE w:val="0"/>
        <w:adjustRightInd w:val="0"/>
        <w:spacing w:line="360" w:lineRule="auto"/>
        <w:jc w:val="both"/>
        <w:rPr>
          <w:rFonts w:ascii="Arial" w:hAnsi="Arial" w:cs="Arial"/>
        </w:rPr>
      </w:pPr>
      <w:r w:rsidRPr="00685DE9">
        <w:rPr>
          <w:rFonts w:ascii="Arial" w:hAnsi="Arial" w:cs="Arial"/>
          <w:b/>
        </w:rPr>
        <w:lastRenderedPageBreak/>
        <w:t xml:space="preserve">Supplemental </w:t>
      </w:r>
      <w:r w:rsidR="003F4456" w:rsidRPr="00685DE9">
        <w:rPr>
          <w:rFonts w:ascii="Arial" w:hAnsi="Arial" w:cs="Arial"/>
          <w:b/>
        </w:rPr>
        <w:t xml:space="preserve">Table </w:t>
      </w:r>
      <w:r w:rsidR="000234AE" w:rsidRPr="00685DE9">
        <w:rPr>
          <w:rFonts w:ascii="Arial" w:hAnsi="Arial" w:cs="Arial"/>
          <w:b/>
        </w:rPr>
        <w:t>3</w:t>
      </w:r>
      <w:r w:rsidR="003F4456" w:rsidRPr="00685DE9">
        <w:rPr>
          <w:rFonts w:ascii="Arial" w:hAnsi="Arial" w:cs="Arial"/>
          <w:b/>
        </w:rPr>
        <w:t xml:space="preserve">. </w:t>
      </w:r>
      <w:r w:rsidR="000C31CA" w:rsidRPr="00685DE9">
        <w:rPr>
          <w:rFonts w:ascii="Arial" w:hAnsi="Arial" w:cs="Arial"/>
          <w:b/>
        </w:rPr>
        <w:t xml:space="preserve"> </w:t>
      </w:r>
      <w:r w:rsidR="003F4456" w:rsidRPr="00685DE9">
        <w:rPr>
          <w:rFonts w:ascii="Arial" w:hAnsi="Arial" w:cs="Arial"/>
        </w:rPr>
        <w:t xml:space="preserve">Prevalence of diverse </w:t>
      </w:r>
      <w:proofErr w:type="spellStart"/>
      <w:r w:rsidR="003F4456" w:rsidRPr="00685DE9">
        <w:rPr>
          <w:rFonts w:ascii="Arial" w:hAnsi="Arial" w:cs="Arial"/>
        </w:rPr>
        <w:t>mtDNA</w:t>
      </w:r>
      <w:proofErr w:type="spellEnd"/>
      <w:r w:rsidR="003F4456" w:rsidRPr="00685DE9">
        <w:rPr>
          <w:rFonts w:ascii="Arial" w:hAnsi="Arial" w:cs="Arial"/>
        </w:rPr>
        <w:t xml:space="preserve"> deletions in patients with CHB</w:t>
      </w:r>
      <w:r w:rsidR="00A526B5" w:rsidRPr="00685DE9">
        <w:rPr>
          <w:rFonts w:ascii="Arial" w:hAnsi="Arial" w:cs="Arial"/>
        </w:rPr>
        <w:t>, NASH and</w:t>
      </w:r>
      <w:r w:rsidR="003F4456" w:rsidRPr="00685DE9">
        <w:rPr>
          <w:rFonts w:ascii="Arial" w:hAnsi="Arial" w:cs="Arial"/>
        </w:rPr>
        <w:t xml:space="preserve"> controls.</w:t>
      </w:r>
    </w:p>
    <w:tbl>
      <w:tblPr>
        <w:tblW w:w="11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5"/>
        <w:gridCol w:w="1450"/>
        <w:gridCol w:w="1162"/>
        <w:gridCol w:w="1307"/>
        <w:gridCol w:w="1451"/>
        <w:gridCol w:w="1021"/>
        <w:gridCol w:w="2563"/>
      </w:tblGrid>
      <w:tr w:rsidR="00685DE9" w:rsidRPr="00685DE9" w14:paraId="3C886471" w14:textId="77777777" w:rsidTr="007D4AC6">
        <w:trPr>
          <w:trHeight w:val="592"/>
          <w:jc w:val="center"/>
        </w:trPr>
        <w:tc>
          <w:tcPr>
            <w:tcW w:w="2565" w:type="dxa"/>
            <w:vMerge w:val="restart"/>
            <w:tcBorders>
              <w:top w:val="single" w:sz="12" w:space="0" w:color="auto"/>
              <w:left w:val="nil"/>
              <w:bottom w:val="nil"/>
              <w:right w:val="nil"/>
            </w:tcBorders>
            <w:shd w:val="clear" w:color="auto" w:fill="auto"/>
          </w:tcPr>
          <w:p w14:paraId="38140900" w14:textId="77777777" w:rsidR="00A222DA" w:rsidRPr="00685DE9" w:rsidRDefault="00A222DA" w:rsidP="007D4AC6">
            <w:pPr>
              <w:autoSpaceDE w:val="0"/>
              <w:adjustRightInd w:val="0"/>
              <w:spacing w:after="0" w:line="360" w:lineRule="auto"/>
              <w:rPr>
                <w:rFonts w:ascii="Arial" w:hAnsi="Arial" w:cs="Arial"/>
                <w:b/>
                <w:sz w:val="20"/>
                <w:szCs w:val="20"/>
              </w:rPr>
            </w:pPr>
          </w:p>
          <w:p w14:paraId="73AA1266" w14:textId="77777777" w:rsidR="00A222DA" w:rsidRPr="00685DE9" w:rsidRDefault="00A222DA" w:rsidP="007D4AC6">
            <w:pPr>
              <w:autoSpaceDE w:val="0"/>
              <w:adjustRightInd w:val="0"/>
              <w:spacing w:after="0" w:line="360" w:lineRule="auto"/>
              <w:rPr>
                <w:rFonts w:ascii="Arial" w:hAnsi="Arial" w:cs="Arial"/>
                <w:b/>
                <w:sz w:val="20"/>
                <w:szCs w:val="20"/>
              </w:rPr>
            </w:pPr>
          </w:p>
          <w:p w14:paraId="5E90C53E" w14:textId="77777777" w:rsidR="00A222DA" w:rsidRPr="00685DE9" w:rsidRDefault="00A222DA" w:rsidP="007D4AC6">
            <w:pPr>
              <w:autoSpaceDE w:val="0"/>
              <w:adjustRightInd w:val="0"/>
              <w:spacing w:after="0" w:line="360" w:lineRule="auto"/>
              <w:rPr>
                <w:rFonts w:ascii="Arial" w:hAnsi="Arial" w:cs="Arial"/>
                <w:b/>
                <w:sz w:val="20"/>
                <w:szCs w:val="20"/>
              </w:rPr>
            </w:pPr>
            <w:r w:rsidRPr="00685DE9">
              <w:rPr>
                <w:rFonts w:ascii="Arial" w:hAnsi="Arial" w:cs="Arial"/>
                <w:b/>
                <w:sz w:val="20"/>
                <w:szCs w:val="20"/>
              </w:rPr>
              <w:t>Patients and controls</w:t>
            </w:r>
          </w:p>
        </w:tc>
        <w:tc>
          <w:tcPr>
            <w:tcW w:w="1450" w:type="dxa"/>
            <w:vMerge w:val="restart"/>
            <w:tcBorders>
              <w:top w:val="single" w:sz="12" w:space="0" w:color="auto"/>
              <w:left w:val="nil"/>
              <w:bottom w:val="nil"/>
              <w:right w:val="nil"/>
            </w:tcBorders>
            <w:shd w:val="clear" w:color="auto" w:fill="auto"/>
          </w:tcPr>
          <w:p w14:paraId="72EBD4D4" w14:textId="77777777" w:rsidR="00A222DA" w:rsidRPr="00685DE9" w:rsidRDefault="00A222DA" w:rsidP="007D4AC6">
            <w:pPr>
              <w:autoSpaceDE w:val="0"/>
              <w:adjustRightInd w:val="0"/>
              <w:spacing w:after="0" w:line="360" w:lineRule="auto"/>
              <w:jc w:val="center"/>
              <w:rPr>
                <w:rFonts w:ascii="Arial" w:hAnsi="Arial" w:cs="Arial"/>
                <w:b/>
                <w:sz w:val="20"/>
                <w:szCs w:val="20"/>
              </w:rPr>
            </w:pPr>
          </w:p>
          <w:p w14:paraId="5C50CC24" w14:textId="77777777" w:rsidR="00A222DA" w:rsidRPr="00685DE9" w:rsidRDefault="00A222DA" w:rsidP="007D4AC6">
            <w:pPr>
              <w:autoSpaceDE w:val="0"/>
              <w:adjustRightInd w:val="0"/>
              <w:spacing w:after="0" w:line="360" w:lineRule="auto"/>
              <w:rPr>
                <w:rFonts w:ascii="Arial" w:hAnsi="Arial" w:cs="Arial"/>
                <w:b/>
                <w:sz w:val="20"/>
                <w:szCs w:val="20"/>
              </w:rPr>
            </w:pPr>
          </w:p>
          <w:p w14:paraId="22B45620" w14:textId="77777777" w:rsidR="00A222DA" w:rsidRPr="00685DE9" w:rsidRDefault="00A222DA" w:rsidP="007D4AC6">
            <w:pPr>
              <w:autoSpaceDE w:val="0"/>
              <w:adjustRightInd w:val="0"/>
              <w:spacing w:after="0" w:line="360" w:lineRule="auto"/>
              <w:rPr>
                <w:rFonts w:ascii="Arial" w:hAnsi="Arial" w:cs="Arial"/>
                <w:b/>
                <w:sz w:val="20"/>
                <w:szCs w:val="20"/>
              </w:rPr>
            </w:pPr>
            <w:r w:rsidRPr="00685DE9">
              <w:rPr>
                <w:rFonts w:ascii="Arial" w:hAnsi="Arial" w:cs="Arial"/>
                <w:b/>
                <w:sz w:val="20"/>
                <w:szCs w:val="20"/>
              </w:rPr>
              <w:t>Number</w:t>
            </w:r>
          </w:p>
        </w:tc>
        <w:tc>
          <w:tcPr>
            <w:tcW w:w="4941" w:type="dxa"/>
            <w:gridSpan w:val="4"/>
            <w:tcBorders>
              <w:top w:val="single" w:sz="12" w:space="0" w:color="auto"/>
              <w:left w:val="nil"/>
              <w:bottom w:val="single" w:sz="4" w:space="0" w:color="auto"/>
              <w:right w:val="nil"/>
            </w:tcBorders>
            <w:shd w:val="clear" w:color="auto" w:fill="auto"/>
          </w:tcPr>
          <w:p w14:paraId="7B58C351" w14:textId="77777777" w:rsidR="00A222DA" w:rsidRPr="00685DE9" w:rsidRDefault="00A222DA" w:rsidP="007D4AC6">
            <w:pPr>
              <w:autoSpaceDE w:val="0"/>
              <w:adjustRightInd w:val="0"/>
              <w:spacing w:after="0" w:line="360" w:lineRule="auto"/>
              <w:jc w:val="center"/>
              <w:rPr>
                <w:rFonts w:ascii="Arial" w:hAnsi="Arial" w:cs="Arial"/>
                <w:b/>
                <w:sz w:val="20"/>
                <w:szCs w:val="20"/>
              </w:rPr>
            </w:pPr>
          </w:p>
          <w:p w14:paraId="1749F563"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 xml:space="preserve">No. of patients with each </w:t>
            </w:r>
            <w:proofErr w:type="spellStart"/>
            <w:r w:rsidRPr="00685DE9">
              <w:rPr>
                <w:rFonts w:ascii="Arial" w:hAnsi="Arial" w:cs="Arial"/>
                <w:b/>
                <w:sz w:val="20"/>
                <w:szCs w:val="20"/>
              </w:rPr>
              <w:t>mtDNA</w:t>
            </w:r>
            <w:proofErr w:type="spellEnd"/>
            <w:r w:rsidRPr="00685DE9">
              <w:rPr>
                <w:rFonts w:ascii="Arial" w:hAnsi="Arial" w:cs="Arial"/>
                <w:b/>
                <w:sz w:val="20"/>
                <w:szCs w:val="20"/>
              </w:rPr>
              <w:t xml:space="preserve"> deletion</w:t>
            </w:r>
          </w:p>
        </w:tc>
        <w:tc>
          <w:tcPr>
            <w:tcW w:w="2563" w:type="dxa"/>
            <w:vMerge w:val="restart"/>
            <w:tcBorders>
              <w:top w:val="single" w:sz="12" w:space="0" w:color="auto"/>
              <w:left w:val="nil"/>
              <w:bottom w:val="nil"/>
              <w:right w:val="nil"/>
            </w:tcBorders>
            <w:shd w:val="clear" w:color="auto" w:fill="auto"/>
          </w:tcPr>
          <w:p w14:paraId="0B578D4B"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 xml:space="preserve">No. of Patients </w:t>
            </w:r>
          </w:p>
          <w:p w14:paraId="38D41DCF"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 xml:space="preserve">with at least one </w:t>
            </w:r>
            <w:proofErr w:type="spellStart"/>
            <w:r w:rsidRPr="00685DE9">
              <w:rPr>
                <w:rFonts w:ascii="Arial" w:hAnsi="Arial" w:cs="Arial"/>
                <w:b/>
                <w:sz w:val="20"/>
                <w:szCs w:val="20"/>
              </w:rPr>
              <w:t>mtDNA</w:t>
            </w:r>
            <w:proofErr w:type="spellEnd"/>
            <w:r w:rsidRPr="00685DE9">
              <w:rPr>
                <w:rFonts w:ascii="Arial" w:hAnsi="Arial" w:cs="Arial"/>
                <w:b/>
                <w:sz w:val="20"/>
                <w:szCs w:val="20"/>
              </w:rPr>
              <w:t xml:space="preserve"> deletion, (%)</w:t>
            </w:r>
          </w:p>
        </w:tc>
      </w:tr>
      <w:tr w:rsidR="00685DE9" w:rsidRPr="00685DE9" w14:paraId="67AB8C6A" w14:textId="77777777" w:rsidTr="007D4AC6">
        <w:trPr>
          <w:trHeight w:val="311"/>
          <w:jc w:val="center"/>
        </w:trPr>
        <w:tc>
          <w:tcPr>
            <w:tcW w:w="2565" w:type="dxa"/>
            <w:vMerge/>
            <w:tcBorders>
              <w:top w:val="nil"/>
              <w:left w:val="nil"/>
              <w:bottom w:val="nil"/>
              <w:right w:val="nil"/>
            </w:tcBorders>
            <w:shd w:val="clear" w:color="auto" w:fill="auto"/>
          </w:tcPr>
          <w:p w14:paraId="57821F83" w14:textId="77777777" w:rsidR="00A222DA" w:rsidRPr="00685DE9" w:rsidRDefault="00A222DA" w:rsidP="007D4AC6">
            <w:pPr>
              <w:autoSpaceDE w:val="0"/>
              <w:adjustRightInd w:val="0"/>
              <w:spacing w:after="0" w:line="360" w:lineRule="auto"/>
              <w:rPr>
                <w:rFonts w:ascii="Arial" w:hAnsi="Arial" w:cs="Arial"/>
                <w:sz w:val="20"/>
                <w:szCs w:val="20"/>
              </w:rPr>
            </w:pPr>
          </w:p>
        </w:tc>
        <w:tc>
          <w:tcPr>
            <w:tcW w:w="1450" w:type="dxa"/>
            <w:vMerge/>
            <w:tcBorders>
              <w:top w:val="nil"/>
              <w:left w:val="nil"/>
              <w:bottom w:val="nil"/>
              <w:right w:val="nil"/>
            </w:tcBorders>
            <w:shd w:val="clear" w:color="auto" w:fill="auto"/>
          </w:tcPr>
          <w:p w14:paraId="35FFC3F9" w14:textId="77777777" w:rsidR="00A222DA" w:rsidRPr="00685DE9" w:rsidRDefault="00A222DA" w:rsidP="007D4AC6">
            <w:pPr>
              <w:autoSpaceDE w:val="0"/>
              <w:adjustRightInd w:val="0"/>
              <w:spacing w:after="0" w:line="360" w:lineRule="auto"/>
              <w:jc w:val="center"/>
              <w:rPr>
                <w:rFonts w:ascii="Arial" w:hAnsi="Arial" w:cs="Arial"/>
                <w:b/>
                <w:sz w:val="20"/>
                <w:szCs w:val="20"/>
              </w:rPr>
            </w:pPr>
          </w:p>
        </w:tc>
        <w:tc>
          <w:tcPr>
            <w:tcW w:w="1162" w:type="dxa"/>
            <w:tcBorders>
              <w:top w:val="single" w:sz="12" w:space="0" w:color="auto"/>
              <w:left w:val="nil"/>
              <w:bottom w:val="nil"/>
              <w:right w:val="nil"/>
            </w:tcBorders>
            <w:shd w:val="clear" w:color="auto" w:fill="auto"/>
          </w:tcPr>
          <w:p w14:paraId="300E0A10"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4977-bp</w:t>
            </w:r>
          </w:p>
        </w:tc>
        <w:tc>
          <w:tcPr>
            <w:tcW w:w="1307" w:type="dxa"/>
            <w:tcBorders>
              <w:top w:val="single" w:sz="12" w:space="0" w:color="auto"/>
              <w:left w:val="nil"/>
              <w:bottom w:val="nil"/>
              <w:right w:val="nil"/>
            </w:tcBorders>
            <w:shd w:val="clear" w:color="auto" w:fill="auto"/>
          </w:tcPr>
          <w:p w14:paraId="25A4E327"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5385-bp</w:t>
            </w:r>
          </w:p>
        </w:tc>
        <w:tc>
          <w:tcPr>
            <w:tcW w:w="1451" w:type="dxa"/>
            <w:tcBorders>
              <w:top w:val="single" w:sz="12" w:space="0" w:color="auto"/>
              <w:left w:val="nil"/>
              <w:bottom w:val="nil"/>
              <w:right w:val="nil"/>
            </w:tcBorders>
            <w:shd w:val="clear" w:color="auto" w:fill="auto"/>
          </w:tcPr>
          <w:p w14:paraId="41AB12C1"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2451-bp</w:t>
            </w:r>
          </w:p>
        </w:tc>
        <w:tc>
          <w:tcPr>
            <w:tcW w:w="1019" w:type="dxa"/>
            <w:tcBorders>
              <w:top w:val="single" w:sz="12" w:space="0" w:color="auto"/>
              <w:left w:val="nil"/>
              <w:bottom w:val="nil"/>
              <w:right w:val="nil"/>
            </w:tcBorders>
            <w:shd w:val="clear" w:color="auto" w:fill="auto"/>
          </w:tcPr>
          <w:p w14:paraId="5AFB49CF" w14:textId="77777777" w:rsidR="00A222DA" w:rsidRPr="00685DE9" w:rsidRDefault="00A222DA" w:rsidP="007D4AC6">
            <w:pPr>
              <w:autoSpaceDE w:val="0"/>
              <w:adjustRightInd w:val="0"/>
              <w:spacing w:after="0" w:line="360" w:lineRule="auto"/>
              <w:jc w:val="center"/>
              <w:rPr>
                <w:rFonts w:ascii="Arial" w:hAnsi="Arial" w:cs="Arial"/>
                <w:b/>
                <w:sz w:val="20"/>
                <w:szCs w:val="20"/>
              </w:rPr>
            </w:pPr>
            <w:r w:rsidRPr="00685DE9">
              <w:rPr>
                <w:rFonts w:ascii="Arial" w:hAnsi="Arial" w:cs="Arial"/>
                <w:b/>
                <w:sz w:val="20"/>
                <w:szCs w:val="20"/>
              </w:rPr>
              <w:t>4881-bp</w:t>
            </w:r>
          </w:p>
        </w:tc>
        <w:tc>
          <w:tcPr>
            <w:tcW w:w="2563" w:type="dxa"/>
            <w:vMerge/>
            <w:tcBorders>
              <w:top w:val="nil"/>
              <w:left w:val="nil"/>
              <w:bottom w:val="nil"/>
              <w:right w:val="nil"/>
            </w:tcBorders>
            <w:shd w:val="clear" w:color="auto" w:fill="auto"/>
          </w:tcPr>
          <w:p w14:paraId="754B5FEA" w14:textId="77777777" w:rsidR="00A222DA" w:rsidRPr="00685DE9" w:rsidRDefault="00A222DA" w:rsidP="007D4AC6">
            <w:pPr>
              <w:autoSpaceDE w:val="0"/>
              <w:adjustRightInd w:val="0"/>
              <w:spacing w:after="0" w:line="360" w:lineRule="auto"/>
              <w:jc w:val="center"/>
              <w:rPr>
                <w:rFonts w:ascii="Arial" w:hAnsi="Arial" w:cs="Arial"/>
                <w:sz w:val="20"/>
                <w:szCs w:val="20"/>
              </w:rPr>
            </w:pPr>
          </w:p>
        </w:tc>
      </w:tr>
      <w:tr w:rsidR="00685DE9" w:rsidRPr="00685DE9" w14:paraId="3E18BB7E" w14:textId="77777777" w:rsidTr="007D4AC6">
        <w:trPr>
          <w:trHeight w:val="1735"/>
          <w:jc w:val="center"/>
        </w:trPr>
        <w:tc>
          <w:tcPr>
            <w:tcW w:w="2565" w:type="dxa"/>
            <w:tcBorders>
              <w:top w:val="nil"/>
              <w:left w:val="nil"/>
              <w:bottom w:val="single" w:sz="12" w:space="0" w:color="auto"/>
              <w:right w:val="nil"/>
            </w:tcBorders>
            <w:shd w:val="clear" w:color="auto" w:fill="auto"/>
          </w:tcPr>
          <w:p w14:paraId="3B36BAD1" w14:textId="77777777" w:rsidR="00A222DA" w:rsidRPr="00685DE9" w:rsidRDefault="00A222DA" w:rsidP="007D4AC6">
            <w:pPr>
              <w:autoSpaceDE w:val="0"/>
              <w:adjustRightInd w:val="0"/>
              <w:spacing w:after="0" w:line="360" w:lineRule="auto"/>
              <w:rPr>
                <w:rFonts w:ascii="Arial" w:hAnsi="Arial" w:cs="Arial"/>
                <w:sz w:val="20"/>
                <w:szCs w:val="20"/>
              </w:rPr>
            </w:pPr>
          </w:p>
          <w:p w14:paraId="3DA9A484"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 xml:space="preserve">Controls </w:t>
            </w:r>
          </w:p>
          <w:p w14:paraId="30192576"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CHB F0-F4</w:t>
            </w:r>
          </w:p>
          <w:p w14:paraId="4FBEDA9C"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CHB F0-F2</w:t>
            </w:r>
          </w:p>
          <w:p w14:paraId="67D57C18"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 xml:space="preserve">CHB F3-F4 </w:t>
            </w:r>
          </w:p>
          <w:p w14:paraId="0406945E"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NASH (F4)</w:t>
            </w:r>
          </w:p>
        </w:tc>
        <w:tc>
          <w:tcPr>
            <w:tcW w:w="1450" w:type="dxa"/>
            <w:tcBorders>
              <w:top w:val="nil"/>
              <w:left w:val="nil"/>
              <w:bottom w:val="single" w:sz="12" w:space="0" w:color="auto"/>
              <w:right w:val="nil"/>
            </w:tcBorders>
            <w:shd w:val="clear" w:color="auto" w:fill="auto"/>
          </w:tcPr>
          <w:p w14:paraId="0B767FFE" w14:textId="77777777" w:rsidR="00A222DA" w:rsidRPr="00685DE9" w:rsidRDefault="00A222DA" w:rsidP="007D4AC6">
            <w:pPr>
              <w:autoSpaceDE w:val="0"/>
              <w:adjustRightInd w:val="0"/>
              <w:spacing w:after="0" w:line="360" w:lineRule="auto"/>
              <w:rPr>
                <w:rFonts w:ascii="Arial" w:hAnsi="Arial" w:cs="Arial"/>
                <w:sz w:val="20"/>
                <w:szCs w:val="20"/>
              </w:rPr>
            </w:pPr>
          </w:p>
          <w:p w14:paraId="5C18DC55"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24</w:t>
            </w:r>
          </w:p>
          <w:p w14:paraId="40C99766"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65</w:t>
            </w:r>
          </w:p>
          <w:p w14:paraId="10C1FAD3"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46</w:t>
            </w:r>
          </w:p>
          <w:p w14:paraId="7CC0312A"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19</w:t>
            </w:r>
          </w:p>
          <w:p w14:paraId="742B0128" w14:textId="77777777" w:rsidR="00A222DA" w:rsidRPr="00685DE9" w:rsidRDefault="00A222DA" w:rsidP="007D4AC6">
            <w:pPr>
              <w:autoSpaceDE w:val="0"/>
              <w:adjustRightInd w:val="0"/>
              <w:spacing w:after="0" w:line="360" w:lineRule="auto"/>
              <w:rPr>
                <w:rFonts w:ascii="Arial" w:hAnsi="Arial" w:cs="Arial"/>
                <w:sz w:val="20"/>
                <w:szCs w:val="20"/>
              </w:rPr>
            </w:pPr>
            <w:r w:rsidRPr="00685DE9">
              <w:rPr>
                <w:rFonts w:ascii="Arial" w:hAnsi="Arial" w:cs="Arial"/>
                <w:sz w:val="20"/>
                <w:szCs w:val="20"/>
              </w:rPr>
              <w:t>12</w:t>
            </w:r>
          </w:p>
        </w:tc>
        <w:tc>
          <w:tcPr>
            <w:tcW w:w="1162" w:type="dxa"/>
            <w:tcBorders>
              <w:top w:val="nil"/>
              <w:left w:val="nil"/>
              <w:bottom w:val="single" w:sz="12" w:space="0" w:color="auto"/>
              <w:right w:val="nil"/>
            </w:tcBorders>
            <w:shd w:val="clear" w:color="auto" w:fill="auto"/>
          </w:tcPr>
          <w:p w14:paraId="30D840C3" w14:textId="77777777" w:rsidR="00A222DA" w:rsidRPr="00685DE9" w:rsidRDefault="00A222DA" w:rsidP="007D4AC6">
            <w:pPr>
              <w:autoSpaceDE w:val="0"/>
              <w:adjustRightInd w:val="0"/>
              <w:spacing w:after="0" w:line="360" w:lineRule="auto"/>
              <w:rPr>
                <w:rFonts w:ascii="Arial" w:hAnsi="Arial" w:cs="Arial"/>
                <w:sz w:val="20"/>
                <w:szCs w:val="20"/>
              </w:rPr>
            </w:pPr>
          </w:p>
          <w:p w14:paraId="73393B99" w14:textId="58BE6EF4"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5</w:t>
            </w:r>
          </w:p>
          <w:p w14:paraId="75B056B6"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46</w:t>
            </w:r>
          </w:p>
          <w:p w14:paraId="08FB8752"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30</w:t>
            </w:r>
          </w:p>
          <w:p w14:paraId="34830A5D"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16</w:t>
            </w:r>
          </w:p>
          <w:p w14:paraId="223166C2"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7</w:t>
            </w:r>
          </w:p>
        </w:tc>
        <w:tc>
          <w:tcPr>
            <w:tcW w:w="1307" w:type="dxa"/>
            <w:tcBorders>
              <w:top w:val="nil"/>
              <w:left w:val="nil"/>
              <w:bottom w:val="single" w:sz="12" w:space="0" w:color="auto"/>
              <w:right w:val="nil"/>
            </w:tcBorders>
            <w:shd w:val="clear" w:color="auto" w:fill="auto"/>
          </w:tcPr>
          <w:p w14:paraId="5C3FD334" w14:textId="77777777" w:rsidR="00A222DA" w:rsidRPr="00685DE9" w:rsidRDefault="00A222DA" w:rsidP="007D4AC6">
            <w:pPr>
              <w:autoSpaceDE w:val="0"/>
              <w:adjustRightInd w:val="0"/>
              <w:spacing w:after="0" w:line="360" w:lineRule="auto"/>
              <w:rPr>
                <w:rFonts w:ascii="Arial" w:hAnsi="Arial" w:cs="Arial"/>
                <w:sz w:val="20"/>
                <w:szCs w:val="20"/>
              </w:rPr>
            </w:pPr>
          </w:p>
          <w:p w14:paraId="17964A9C"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p w14:paraId="7BB8F88B"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2</w:t>
            </w:r>
          </w:p>
          <w:p w14:paraId="0223DD58"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p w14:paraId="34EF1B5D"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2</w:t>
            </w:r>
          </w:p>
          <w:p w14:paraId="53F98093"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tc>
        <w:tc>
          <w:tcPr>
            <w:tcW w:w="1451" w:type="dxa"/>
            <w:tcBorders>
              <w:top w:val="nil"/>
              <w:left w:val="nil"/>
              <w:bottom w:val="single" w:sz="12" w:space="0" w:color="auto"/>
              <w:right w:val="nil"/>
            </w:tcBorders>
            <w:shd w:val="clear" w:color="auto" w:fill="auto"/>
          </w:tcPr>
          <w:p w14:paraId="25C66451" w14:textId="77777777" w:rsidR="00A222DA" w:rsidRPr="00685DE9" w:rsidRDefault="00A222DA" w:rsidP="007D4AC6">
            <w:pPr>
              <w:autoSpaceDE w:val="0"/>
              <w:adjustRightInd w:val="0"/>
              <w:spacing w:after="0" w:line="360" w:lineRule="auto"/>
              <w:rPr>
                <w:rFonts w:ascii="Arial" w:hAnsi="Arial" w:cs="Arial"/>
                <w:sz w:val="20"/>
                <w:szCs w:val="20"/>
              </w:rPr>
            </w:pPr>
          </w:p>
          <w:p w14:paraId="470333E5"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p w14:paraId="60EAA212"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21</w:t>
            </w:r>
          </w:p>
          <w:p w14:paraId="24586A20"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12</w:t>
            </w:r>
          </w:p>
          <w:p w14:paraId="6EEC2271"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9</w:t>
            </w:r>
          </w:p>
          <w:p w14:paraId="73F23A90"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tc>
        <w:tc>
          <w:tcPr>
            <w:tcW w:w="1019" w:type="dxa"/>
            <w:tcBorders>
              <w:top w:val="nil"/>
              <w:left w:val="nil"/>
              <w:bottom w:val="single" w:sz="12" w:space="0" w:color="auto"/>
              <w:right w:val="nil"/>
            </w:tcBorders>
            <w:shd w:val="clear" w:color="auto" w:fill="auto"/>
          </w:tcPr>
          <w:p w14:paraId="2EBDADB6" w14:textId="77777777" w:rsidR="00A222DA" w:rsidRPr="00685DE9" w:rsidRDefault="00A222DA" w:rsidP="007D4AC6">
            <w:pPr>
              <w:autoSpaceDE w:val="0"/>
              <w:adjustRightInd w:val="0"/>
              <w:spacing w:after="0" w:line="360" w:lineRule="auto"/>
              <w:rPr>
                <w:rFonts w:ascii="Arial" w:hAnsi="Arial" w:cs="Arial"/>
                <w:sz w:val="20"/>
                <w:szCs w:val="20"/>
              </w:rPr>
            </w:pPr>
          </w:p>
          <w:p w14:paraId="3DBDDB49"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p w14:paraId="379253E4"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5</w:t>
            </w:r>
          </w:p>
          <w:p w14:paraId="03A9198A"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p w14:paraId="09457018"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5</w:t>
            </w:r>
          </w:p>
          <w:p w14:paraId="47E9FB98"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0</w:t>
            </w:r>
          </w:p>
        </w:tc>
        <w:tc>
          <w:tcPr>
            <w:tcW w:w="2563" w:type="dxa"/>
            <w:tcBorders>
              <w:top w:val="nil"/>
              <w:left w:val="nil"/>
              <w:bottom w:val="single" w:sz="12" w:space="0" w:color="auto"/>
              <w:right w:val="nil"/>
            </w:tcBorders>
            <w:shd w:val="clear" w:color="auto" w:fill="auto"/>
          </w:tcPr>
          <w:p w14:paraId="7665DCDE" w14:textId="77777777" w:rsidR="00A222DA" w:rsidRPr="00685DE9" w:rsidRDefault="00A222DA" w:rsidP="007D4AC6">
            <w:pPr>
              <w:autoSpaceDE w:val="0"/>
              <w:adjustRightInd w:val="0"/>
              <w:spacing w:after="0" w:line="360" w:lineRule="auto"/>
              <w:rPr>
                <w:rFonts w:ascii="Arial" w:hAnsi="Arial" w:cs="Arial"/>
                <w:sz w:val="20"/>
                <w:szCs w:val="20"/>
              </w:rPr>
            </w:pPr>
          </w:p>
          <w:p w14:paraId="3CD72B02"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5 (21%)</w:t>
            </w:r>
          </w:p>
          <w:p w14:paraId="2599B708"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56 (86</w:t>
            </w:r>
            <w:proofErr w:type="gramStart"/>
            <w:r w:rsidRPr="00685DE9">
              <w:rPr>
                <w:rFonts w:ascii="Arial" w:hAnsi="Arial" w:cs="Arial"/>
                <w:sz w:val="20"/>
                <w:szCs w:val="20"/>
              </w:rPr>
              <w:t>%)*</w:t>
            </w:r>
            <w:proofErr w:type="gramEnd"/>
          </w:p>
          <w:p w14:paraId="150F7671" w14:textId="77777777" w:rsidR="00A222DA" w:rsidRPr="00685DE9" w:rsidRDefault="00A222DA" w:rsidP="007D4AC6">
            <w:pPr>
              <w:autoSpaceDE w:val="0"/>
              <w:adjustRightInd w:val="0"/>
              <w:spacing w:after="0" w:line="360" w:lineRule="auto"/>
              <w:jc w:val="center"/>
              <w:rPr>
                <w:rFonts w:ascii="Arial" w:hAnsi="Arial" w:cs="Arial"/>
                <w:sz w:val="20"/>
                <w:szCs w:val="20"/>
              </w:rPr>
            </w:pPr>
            <w:r w:rsidRPr="00685DE9">
              <w:rPr>
                <w:rFonts w:ascii="Arial" w:hAnsi="Arial" w:cs="Arial"/>
                <w:sz w:val="20"/>
                <w:szCs w:val="20"/>
              </w:rPr>
              <w:t>30 (65%)</w:t>
            </w:r>
          </w:p>
          <w:p w14:paraId="0D3F79F0" w14:textId="77777777" w:rsidR="00A222DA" w:rsidRPr="00685DE9" w:rsidRDefault="00A222DA" w:rsidP="007D4AC6">
            <w:pPr>
              <w:autoSpaceDE w:val="0"/>
              <w:adjustRightInd w:val="0"/>
              <w:spacing w:after="0" w:line="360" w:lineRule="auto"/>
              <w:jc w:val="center"/>
              <w:rPr>
                <w:rFonts w:ascii="Arial" w:hAnsi="Arial" w:cs="Arial"/>
                <w:sz w:val="20"/>
                <w:szCs w:val="20"/>
                <w:vertAlign w:val="superscript"/>
              </w:rPr>
            </w:pPr>
            <w:r w:rsidRPr="00685DE9">
              <w:rPr>
                <w:rFonts w:ascii="Arial" w:hAnsi="Arial" w:cs="Arial"/>
                <w:sz w:val="20"/>
                <w:szCs w:val="20"/>
              </w:rPr>
              <w:t>18 (95</w:t>
            </w:r>
            <w:proofErr w:type="gramStart"/>
            <w:r w:rsidRPr="00685DE9">
              <w:rPr>
                <w:rFonts w:ascii="Arial" w:hAnsi="Arial" w:cs="Arial"/>
                <w:sz w:val="20"/>
                <w:szCs w:val="20"/>
              </w:rPr>
              <w:t>%)</w:t>
            </w:r>
            <w:r w:rsidRPr="00685DE9">
              <w:rPr>
                <w:rFonts w:ascii="Arial" w:hAnsi="Arial" w:cs="Arial"/>
                <w:sz w:val="20"/>
                <w:szCs w:val="20"/>
                <w:vertAlign w:val="superscript"/>
              </w:rPr>
              <w:t>#</w:t>
            </w:r>
            <w:proofErr w:type="gramEnd"/>
          </w:p>
          <w:p w14:paraId="57359818" w14:textId="77D5D9D2" w:rsidR="00A222DA" w:rsidRPr="00685DE9" w:rsidRDefault="00A222DA" w:rsidP="006D5B99">
            <w:pPr>
              <w:autoSpaceDE w:val="0"/>
              <w:adjustRightInd w:val="0"/>
              <w:spacing w:after="0" w:line="360" w:lineRule="auto"/>
              <w:jc w:val="center"/>
              <w:rPr>
                <w:rFonts w:ascii="Arial" w:hAnsi="Arial" w:cs="Arial"/>
                <w:sz w:val="20"/>
                <w:szCs w:val="20"/>
              </w:rPr>
            </w:pPr>
            <w:r w:rsidRPr="00685DE9">
              <w:rPr>
                <w:rFonts w:ascii="Arial" w:hAnsi="Arial" w:cs="Arial"/>
                <w:sz w:val="20"/>
                <w:szCs w:val="20"/>
              </w:rPr>
              <w:t>7</w:t>
            </w:r>
            <w:r w:rsidR="006D5B99" w:rsidRPr="00685DE9">
              <w:rPr>
                <w:rFonts w:ascii="Arial" w:hAnsi="Arial" w:cs="Arial"/>
                <w:sz w:val="20"/>
                <w:szCs w:val="20"/>
              </w:rPr>
              <w:t xml:space="preserve"> (58</w:t>
            </w:r>
            <w:proofErr w:type="gramStart"/>
            <w:r w:rsidR="006D5B99" w:rsidRPr="00685DE9">
              <w:rPr>
                <w:rFonts w:ascii="Arial" w:hAnsi="Arial" w:cs="Arial"/>
                <w:sz w:val="20"/>
                <w:szCs w:val="20"/>
              </w:rPr>
              <w:t>%)</w:t>
            </w:r>
            <w:r w:rsidR="00352D57" w:rsidRPr="00685DE9">
              <w:rPr>
                <w:rFonts w:ascii="Arial" w:hAnsi="Arial" w:cs="Arial"/>
                <w:iCs/>
                <w:sz w:val="20"/>
                <w:szCs w:val="20"/>
                <w:vertAlign w:val="superscript"/>
              </w:rPr>
              <w:t>†</w:t>
            </w:r>
            <w:proofErr w:type="gramEnd"/>
            <w:r w:rsidR="006D5B99" w:rsidRPr="00685DE9">
              <w:rPr>
                <w:rFonts w:ascii="Arial" w:hAnsi="Arial" w:cs="Arial"/>
                <w:sz w:val="20"/>
                <w:szCs w:val="20"/>
                <w:vertAlign w:val="superscript"/>
              </w:rPr>
              <w:t>‡</w:t>
            </w:r>
          </w:p>
        </w:tc>
      </w:tr>
    </w:tbl>
    <w:p w14:paraId="5F54E7D3" w14:textId="1CB374DD" w:rsidR="003F4456" w:rsidRPr="00685DE9" w:rsidRDefault="00784755" w:rsidP="003F4456">
      <w:pPr>
        <w:autoSpaceDE w:val="0"/>
        <w:adjustRightInd w:val="0"/>
        <w:spacing w:line="360" w:lineRule="auto"/>
        <w:jc w:val="both"/>
        <w:rPr>
          <w:rFonts w:ascii="Arial" w:hAnsi="Arial" w:cs="Arial"/>
          <w:sz w:val="20"/>
          <w:szCs w:val="20"/>
        </w:rPr>
      </w:pPr>
      <w:r w:rsidRPr="00685DE9">
        <w:rPr>
          <w:rFonts w:ascii="Arial" w:hAnsi="Arial" w:cs="Arial"/>
          <w:iCs/>
          <w:sz w:val="20"/>
          <w:szCs w:val="20"/>
        </w:rPr>
        <w:t xml:space="preserve">*, CHB </w:t>
      </w:r>
      <w:r w:rsidRPr="00685DE9">
        <w:rPr>
          <w:rFonts w:ascii="Arial" w:hAnsi="Arial" w:cs="Arial"/>
          <w:i/>
          <w:iCs/>
          <w:sz w:val="20"/>
          <w:szCs w:val="20"/>
        </w:rPr>
        <w:t>vs</w:t>
      </w:r>
      <w:r w:rsidRPr="00685DE9">
        <w:rPr>
          <w:rFonts w:ascii="Arial" w:hAnsi="Arial" w:cs="Arial"/>
          <w:iCs/>
          <w:sz w:val="20"/>
          <w:szCs w:val="20"/>
        </w:rPr>
        <w:t xml:space="preserve"> Controls</w:t>
      </w:r>
      <w:r w:rsidRPr="00685DE9">
        <w:rPr>
          <w:rFonts w:ascii="Arial" w:hAnsi="Arial" w:cs="Arial"/>
          <w:i/>
          <w:iCs/>
          <w:sz w:val="20"/>
          <w:szCs w:val="20"/>
        </w:rPr>
        <w:t>, қ</w:t>
      </w:r>
      <w:r w:rsidRPr="00685DE9">
        <w:rPr>
          <w:rFonts w:ascii="Arial" w:hAnsi="Arial" w:cs="Arial"/>
          <w:i/>
          <w:iCs/>
          <w:sz w:val="20"/>
          <w:szCs w:val="20"/>
          <w:vertAlign w:val="superscript"/>
        </w:rPr>
        <w:t>2</w:t>
      </w:r>
      <w:r w:rsidRPr="00685DE9">
        <w:rPr>
          <w:rFonts w:ascii="Arial" w:hAnsi="Arial" w:cs="Arial"/>
          <w:i/>
          <w:iCs/>
          <w:sz w:val="20"/>
          <w:szCs w:val="20"/>
        </w:rPr>
        <w:t xml:space="preserve">=34.68; </w:t>
      </w:r>
      <w:r w:rsidRPr="00685DE9">
        <w:rPr>
          <w:rFonts w:ascii="Arial" w:hAnsi="Arial" w:cs="Arial"/>
          <w:i/>
          <w:sz w:val="20"/>
          <w:szCs w:val="20"/>
        </w:rPr>
        <w:t>p&lt;0.005</w:t>
      </w:r>
      <w:r w:rsidR="003F4456" w:rsidRPr="00685DE9">
        <w:rPr>
          <w:rFonts w:ascii="Arial" w:hAnsi="Arial" w:cs="Arial"/>
          <w:iCs/>
          <w:sz w:val="20"/>
          <w:szCs w:val="20"/>
        </w:rPr>
        <w:t xml:space="preserve">; </w:t>
      </w:r>
      <w:r w:rsidR="003F4456" w:rsidRPr="00685DE9">
        <w:rPr>
          <w:rFonts w:ascii="Arial" w:hAnsi="Arial" w:cs="Arial"/>
          <w:sz w:val="20"/>
          <w:szCs w:val="20"/>
          <w:vertAlign w:val="superscript"/>
        </w:rPr>
        <w:t>#</w:t>
      </w:r>
      <w:r w:rsidR="003F4456" w:rsidRPr="00685DE9">
        <w:rPr>
          <w:rFonts w:ascii="Arial" w:hAnsi="Arial" w:cs="Arial"/>
          <w:sz w:val="20"/>
          <w:szCs w:val="20"/>
        </w:rPr>
        <w:t xml:space="preserve">, </w:t>
      </w:r>
      <w:r w:rsidR="006D5B99" w:rsidRPr="00685DE9">
        <w:rPr>
          <w:rFonts w:ascii="Arial" w:hAnsi="Arial" w:cs="Arial"/>
          <w:sz w:val="20"/>
          <w:szCs w:val="20"/>
        </w:rPr>
        <w:t xml:space="preserve">CHB and </w:t>
      </w:r>
      <w:r w:rsidRPr="00685DE9">
        <w:rPr>
          <w:rFonts w:ascii="Arial" w:hAnsi="Arial" w:cs="Arial"/>
          <w:iCs/>
          <w:sz w:val="20"/>
          <w:szCs w:val="20"/>
        </w:rPr>
        <w:t xml:space="preserve">F3-F4 </w:t>
      </w:r>
      <w:r w:rsidR="006D5B99" w:rsidRPr="00685DE9">
        <w:rPr>
          <w:rFonts w:ascii="Arial" w:hAnsi="Arial" w:cs="Arial"/>
          <w:iCs/>
          <w:sz w:val="20"/>
          <w:szCs w:val="20"/>
        </w:rPr>
        <w:t xml:space="preserve">fibrosis </w:t>
      </w:r>
      <w:r w:rsidRPr="00685DE9">
        <w:rPr>
          <w:rFonts w:ascii="Arial" w:hAnsi="Arial" w:cs="Arial"/>
          <w:i/>
          <w:iCs/>
          <w:sz w:val="20"/>
          <w:szCs w:val="20"/>
        </w:rPr>
        <w:t>vs</w:t>
      </w:r>
      <w:r w:rsidRPr="00685DE9">
        <w:rPr>
          <w:rFonts w:ascii="Arial" w:hAnsi="Arial" w:cs="Arial"/>
          <w:iCs/>
          <w:sz w:val="20"/>
          <w:szCs w:val="20"/>
        </w:rPr>
        <w:t xml:space="preserve"> </w:t>
      </w:r>
      <w:r w:rsidR="006D5B99" w:rsidRPr="00685DE9">
        <w:rPr>
          <w:rFonts w:ascii="Arial" w:hAnsi="Arial" w:cs="Arial"/>
          <w:sz w:val="20"/>
          <w:szCs w:val="20"/>
        </w:rPr>
        <w:t xml:space="preserve">CHB and </w:t>
      </w:r>
      <w:r w:rsidRPr="00685DE9">
        <w:rPr>
          <w:rFonts w:ascii="Arial" w:hAnsi="Arial" w:cs="Arial"/>
          <w:iCs/>
          <w:sz w:val="20"/>
          <w:szCs w:val="20"/>
        </w:rPr>
        <w:t>F0-F2 fibrosis</w:t>
      </w:r>
      <w:r w:rsidRPr="00685DE9">
        <w:rPr>
          <w:rFonts w:ascii="Arial" w:hAnsi="Arial" w:cs="Arial"/>
          <w:i/>
          <w:iCs/>
          <w:sz w:val="20"/>
          <w:szCs w:val="20"/>
        </w:rPr>
        <w:t>, қ</w:t>
      </w:r>
      <w:r w:rsidRPr="00685DE9">
        <w:rPr>
          <w:rFonts w:ascii="Arial" w:hAnsi="Arial" w:cs="Arial"/>
          <w:i/>
          <w:iCs/>
          <w:sz w:val="20"/>
          <w:szCs w:val="20"/>
          <w:vertAlign w:val="superscript"/>
        </w:rPr>
        <w:t>2</w:t>
      </w:r>
      <w:r w:rsidRPr="00685DE9">
        <w:rPr>
          <w:rFonts w:ascii="Arial" w:hAnsi="Arial" w:cs="Arial"/>
          <w:i/>
          <w:iCs/>
          <w:sz w:val="20"/>
          <w:szCs w:val="20"/>
        </w:rPr>
        <w:t xml:space="preserve">=20.04; </w:t>
      </w:r>
      <w:r w:rsidRPr="00685DE9">
        <w:rPr>
          <w:rFonts w:ascii="Arial" w:hAnsi="Arial" w:cs="Arial"/>
          <w:i/>
          <w:sz w:val="20"/>
          <w:szCs w:val="20"/>
        </w:rPr>
        <w:t>p&lt;0.005</w:t>
      </w:r>
      <w:r w:rsidRPr="00685DE9">
        <w:rPr>
          <w:rFonts w:ascii="Arial" w:hAnsi="Arial" w:cs="Arial"/>
          <w:i/>
          <w:iCs/>
          <w:sz w:val="20"/>
          <w:szCs w:val="20"/>
        </w:rPr>
        <w:t>)</w:t>
      </w:r>
      <w:r w:rsidR="006D5B99" w:rsidRPr="00685DE9">
        <w:rPr>
          <w:rFonts w:ascii="Arial" w:hAnsi="Arial" w:cs="Arial"/>
          <w:i/>
          <w:iCs/>
          <w:sz w:val="20"/>
          <w:szCs w:val="20"/>
        </w:rPr>
        <w:t xml:space="preserve">; </w:t>
      </w:r>
      <w:r w:rsidR="00352D57" w:rsidRPr="00685DE9">
        <w:rPr>
          <w:rFonts w:ascii="Arial" w:hAnsi="Arial" w:cs="Arial"/>
          <w:iCs/>
          <w:sz w:val="20"/>
          <w:szCs w:val="20"/>
          <w:vertAlign w:val="superscript"/>
        </w:rPr>
        <w:t>†</w:t>
      </w:r>
      <w:r w:rsidR="006D5B99" w:rsidRPr="00685DE9">
        <w:rPr>
          <w:rFonts w:ascii="Arial" w:hAnsi="Arial" w:cs="Arial"/>
          <w:sz w:val="20"/>
          <w:szCs w:val="20"/>
        </w:rPr>
        <w:t xml:space="preserve">, NASH </w:t>
      </w:r>
      <w:r w:rsidR="006D5B99" w:rsidRPr="00685DE9">
        <w:rPr>
          <w:rFonts w:ascii="Arial" w:hAnsi="Arial" w:cs="Arial"/>
          <w:i/>
          <w:sz w:val="20"/>
          <w:szCs w:val="20"/>
        </w:rPr>
        <w:t>vs</w:t>
      </w:r>
      <w:r w:rsidR="006D5B99" w:rsidRPr="00685DE9">
        <w:rPr>
          <w:rFonts w:ascii="Arial" w:hAnsi="Arial" w:cs="Arial"/>
          <w:sz w:val="20"/>
          <w:szCs w:val="20"/>
        </w:rPr>
        <w:t xml:space="preserve"> Controls, </w:t>
      </w:r>
      <w:r w:rsidR="006D5B99" w:rsidRPr="00685DE9">
        <w:rPr>
          <w:rFonts w:ascii="Arial" w:hAnsi="Arial" w:cs="Arial"/>
          <w:i/>
          <w:sz w:val="20"/>
          <w:szCs w:val="20"/>
        </w:rPr>
        <w:t>kc</w:t>
      </w:r>
      <w:r w:rsidR="006D5B99" w:rsidRPr="00685DE9">
        <w:rPr>
          <w:rFonts w:ascii="Arial" w:hAnsi="Arial" w:cs="Arial"/>
          <w:i/>
          <w:sz w:val="20"/>
          <w:szCs w:val="20"/>
          <w:vertAlign w:val="superscript"/>
        </w:rPr>
        <w:t xml:space="preserve">2 </w:t>
      </w:r>
      <w:r w:rsidR="006D5B99" w:rsidRPr="00685DE9">
        <w:rPr>
          <w:rFonts w:ascii="Arial" w:hAnsi="Arial" w:cs="Arial"/>
          <w:i/>
          <w:sz w:val="20"/>
          <w:szCs w:val="20"/>
        </w:rPr>
        <w:t>= 5.06, p&lt;0.025</w:t>
      </w:r>
      <w:r w:rsidR="006D5B99" w:rsidRPr="00685DE9">
        <w:rPr>
          <w:rFonts w:ascii="Arial" w:hAnsi="Arial" w:cs="Arial"/>
          <w:iCs/>
          <w:sz w:val="20"/>
          <w:szCs w:val="20"/>
        </w:rPr>
        <w:t xml:space="preserve">; </w:t>
      </w:r>
      <w:r w:rsidR="00352D57" w:rsidRPr="00685DE9">
        <w:rPr>
          <w:rFonts w:ascii="Arial" w:hAnsi="Arial" w:cs="Arial"/>
          <w:sz w:val="20"/>
          <w:szCs w:val="20"/>
          <w:vertAlign w:val="superscript"/>
        </w:rPr>
        <w:t>‡</w:t>
      </w:r>
      <w:r w:rsidR="00352D57" w:rsidRPr="00685DE9">
        <w:rPr>
          <w:rFonts w:ascii="Arial" w:hAnsi="Arial" w:cs="Arial"/>
          <w:iCs/>
          <w:sz w:val="20"/>
          <w:szCs w:val="20"/>
        </w:rPr>
        <w:t>, C</w:t>
      </w:r>
      <w:r w:rsidR="006D5B99" w:rsidRPr="00685DE9">
        <w:rPr>
          <w:rFonts w:ascii="Arial" w:hAnsi="Arial" w:cs="Arial"/>
          <w:iCs/>
          <w:sz w:val="20"/>
          <w:szCs w:val="20"/>
        </w:rPr>
        <w:t xml:space="preserve">HB and F3-F4 fibrosis </w:t>
      </w:r>
      <w:r w:rsidR="006C0377" w:rsidRPr="00685DE9">
        <w:rPr>
          <w:rFonts w:ascii="Arial" w:hAnsi="Arial" w:cs="Arial"/>
          <w:i/>
          <w:iCs/>
          <w:sz w:val="20"/>
          <w:szCs w:val="20"/>
        </w:rPr>
        <w:t xml:space="preserve">vs </w:t>
      </w:r>
      <w:r w:rsidR="006D5B99" w:rsidRPr="00685DE9">
        <w:rPr>
          <w:rFonts w:ascii="Arial" w:hAnsi="Arial" w:cs="Arial"/>
          <w:sz w:val="20"/>
          <w:szCs w:val="20"/>
        </w:rPr>
        <w:t>NASH</w:t>
      </w:r>
      <w:r w:rsidR="006C0377" w:rsidRPr="00685DE9">
        <w:rPr>
          <w:rFonts w:ascii="Arial" w:hAnsi="Arial" w:cs="Arial"/>
          <w:sz w:val="20"/>
          <w:szCs w:val="20"/>
        </w:rPr>
        <w:t xml:space="preserve"> and </w:t>
      </w:r>
      <w:r w:rsidR="00DA4EC6" w:rsidRPr="00685DE9">
        <w:rPr>
          <w:rFonts w:ascii="Arial" w:hAnsi="Arial" w:cs="Arial"/>
          <w:sz w:val="20"/>
          <w:szCs w:val="20"/>
        </w:rPr>
        <w:t>cirrhosis (F4)</w:t>
      </w:r>
      <w:r w:rsidR="006D5B99" w:rsidRPr="00685DE9">
        <w:rPr>
          <w:rFonts w:ascii="Arial" w:hAnsi="Arial" w:cs="Arial"/>
          <w:sz w:val="20"/>
          <w:szCs w:val="20"/>
        </w:rPr>
        <w:t xml:space="preserve">, </w:t>
      </w:r>
      <w:r w:rsidR="006D5B99" w:rsidRPr="00685DE9">
        <w:rPr>
          <w:rFonts w:ascii="Arial" w:hAnsi="Arial" w:cs="Arial"/>
          <w:i/>
          <w:sz w:val="20"/>
          <w:szCs w:val="20"/>
        </w:rPr>
        <w:t>k</w:t>
      </w:r>
      <w:r w:rsidR="006D5B99" w:rsidRPr="00685DE9">
        <w:rPr>
          <w:rFonts w:ascii="Arial" w:hAnsi="Arial" w:cs="Arial"/>
          <w:i/>
          <w:sz w:val="20"/>
          <w:szCs w:val="20"/>
          <w:vertAlign w:val="superscript"/>
        </w:rPr>
        <w:t xml:space="preserve">2 </w:t>
      </w:r>
      <w:r w:rsidR="006D5B99" w:rsidRPr="00685DE9">
        <w:rPr>
          <w:rFonts w:ascii="Arial" w:hAnsi="Arial" w:cs="Arial"/>
          <w:i/>
          <w:sz w:val="20"/>
          <w:szCs w:val="20"/>
        </w:rPr>
        <w:t>=</w:t>
      </w:r>
      <w:r w:rsidR="00352D57" w:rsidRPr="00685DE9">
        <w:rPr>
          <w:rFonts w:ascii="Arial" w:hAnsi="Arial" w:cs="Arial"/>
          <w:i/>
          <w:sz w:val="20"/>
          <w:szCs w:val="20"/>
        </w:rPr>
        <w:t>6.93</w:t>
      </w:r>
      <w:r w:rsidR="00352D57" w:rsidRPr="00685DE9">
        <w:rPr>
          <w:rFonts w:ascii="Arial" w:hAnsi="Arial" w:cs="Arial"/>
          <w:i/>
          <w:iCs/>
          <w:sz w:val="20"/>
          <w:szCs w:val="20"/>
        </w:rPr>
        <w:t xml:space="preserve">, p&lt;0.005. </w:t>
      </w:r>
      <w:r w:rsidR="003F4456" w:rsidRPr="00685DE9">
        <w:rPr>
          <w:rFonts w:ascii="Arial" w:hAnsi="Arial" w:cs="Arial"/>
          <w:sz w:val="20"/>
          <w:szCs w:val="20"/>
        </w:rPr>
        <w:t>Chi-square (</w:t>
      </w:r>
      <w:r w:rsidR="003F4456" w:rsidRPr="00685DE9">
        <w:rPr>
          <w:rFonts w:ascii="Arial" w:hAnsi="Arial" w:cs="Arial"/>
          <w:i/>
          <w:sz w:val="20"/>
          <w:szCs w:val="20"/>
        </w:rPr>
        <w:t>Ƙ</w:t>
      </w:r>
      <w:r w:rsidR="003F4456" w:rsidRPr="00685DE9">
        <w:rPr>
          <w:rFonts w:ascii="Arial" w:hAnsi="Arial" w:cs="Arial"/>
          <w:i/>
          <w:sz w:val="20"/>
          <w:szCs w:val="20"/>
          <w:vertAlign w:val="superscript"/>
        </w:rPr>
        <w:t>2</w:t>
      </w:r>
      <w:r w:rsidR="003F4456" w:rsidRPr="00685DE9">
        <w:rPr>
          <w:rFonts w:ascii="Arial" w:hAnsi="Arial" w:cs="Arial"/>
          <w:sz w:val="20"/>
          <w:szCs w:val="20"/>
        </w:rPr>
        <w:t>) test; Chi-square corrected for continuity (</w:t>
      </w:r>
      <w:r w:rsidR="003F4456" w:rsidRPr="00685DE9">
        <w:rPr>
          <w:rFonts w:ascii="Arial" w:hAnsi="Arial" w:cs="Arial"/>
          <w:i/>
          <w:sz w:val="20"/>
          <w:szCs w:val="20"/>
        </w:rPr>
        <w:t>kc</w:t>
      </w:r>
      <w:r w:rsidR="003F4456" w:rsidRPr="00685DE9">
        <w:rPr>
          <w:rFonts w:ascii="Arial" w:hAnsi="Arial" w:cs="Arial"/>
          <w:i/>
          <w:sz w:val="20"/>
          <w:szCs w:val="20"/>
          <w:vertAlign w:val="superscript"/>
        </w:rPr>
        <w:t>2</w:t>
      </w:r>
      <w:r w:rsidR="003F4456" w:rsidRPr="00685DE9">
        <w:rPr>
          <w:rFonts w:ascii="Arial" w:hAnsi="Arial" w:cs="Arial"/>
          <w:sz w:val="20"/>
          <w:szCs w:val="20"/>
        </w:rPr>
        <w:t>) test.</w:t>
      </w:r>
    </w:p>
    <w:p w14:paraId="3B01C1FD" w14:textId="14BEF84A" w:rsidR="00797DA8" w:rsidRPr="00685DE9" w:rsidRDefault="00797DA8" w:rsidP="00797DA8">
      <w:pPr>
        <w:autoSpaceDE w:val="0"/>
        <w:adjustRightInd w:val="0"/>
        <w:spacing w:after="0" w:line="360" w:lineRule="auto"/>
        <w:jc w:val="both"/>
        <w:rPr>
          <w:rFonts w:ascii="Arial" w:hAnsi="Arial" w:cs="Arial"/>
          <w:i/>
          <w:iCs/>
          <w:sz w:val="24"/>
          <w:szCs w:val="24"/>
        </w:rPr>
      </w:pPr>
    </w:p>
    <w:p w14:paraId="19BFE336" w14:textId="3E979F5D" w:rsidR="00881FA3" w:rsidRPr="00685DE9" w:rsidRDefault="00881FA3" w:rsidP="003F4456">
      <w:pPr>
        <w:autoSpaceDE w:val="0"/>
        <w:adjustRightInd w:val="0"/>
        <w:spacing w:line="360" w:lineRule="auto"/>
        <w:jc w:val="both"/>
        <w:rPr>
          <w:rFonts w:ascii="Arial" w:hAnsi="Arial" w:cs="Arial"/>
          <w:i/>
          <w:sz w:val="20"/>
          <w:szCs w:val="20"/>
        </w:rPr>
      </w:pPr>
    </w:p>
    <w:p w14:paraId="59C97FF6" w14:textId="77777777" w:rsidR="009C4CB8" w:rsidRPr="00685DE9" w:rsidRDefault="009C4CB8" w:rsidP="003F4456">
      <w:pPr>
        <w:autoSpaceDE w:val="0"/>
        <w:adjustRightInd w:val="0"/>
        <w:spacing w:line="360" w:lineRule="auto"/>
        <w:jc w:val="both"/>
        <w:rPr>
          <w:rFonts w:ascii="Arial" w:hAnsi="Arial" w:cs="Arial"/>
          <w:sz w:val="20"/>
          <w:szCs w:val="20"/>
        </w:rPr>
      </w:pPr>
    </w:p>
    <w:p w14:paraId="4905CD1D" w14:textId="77777777" w:rsidR="00881FA3" w:rsidRPr="00685DE9" w:rsidRDefault="00881FA3" w:rsidP="003F4456">
      <w:pPr>
        <w:autoSpaceDE w:val="0"/>
        <w:adjustRightInd w:val="0"/>
        <w:spacing w:line="360" w:lineRule="auto"/>
        <w:jc w:val="both"/>
        <w:rPr>
          <w:rFonts w:ascii="Arial" w:hAnsi="Arial" w:cs="Arial"/>
          <w:sz w:val="20"/>
          <w:szCs w:val="20"/>
        </w:rPr>
        <w:sectPr w:rsidR="00881FA3" w:rsidRPr="00685DE9" w:rsidSect="00270279">
          <w:footerReference w:type="default" r:id="rId13"/>
          <w:footnotePr>
            <w:numRestart w:val="eachPage"/>
          </w:footnotePr>
          <w:pgSz w:w="11906" w:h="16838"/>
          <w:pgMar w:top="1417" w:right="1417" w:bottom="1417" w:left="1417" w:header="720" w:footer="720" w:gutter="0"/>
          <w:cols w:space="720"/>
          <w:docGrid w:linePitch="326"/>
        </w:sectPr>
      </w:pPr>
    </w:p>
    <w:p w14:paraId="5552859A" w14:textId="6C4575C7" w:rsidR="00EB774E" w:rsidRPr="00685DE9" w:rsidRDefault="00EB774E" w:rsidP="00EB774E">
      <w:pPr>
        <w:autoSpaceDE w:val="0"/>
        <w:adjustRightInd w:val="0"/>
        <w:ind w:left="-3119"/>
        <w:rPr>
          <w:rFonts w:ascii="Arial" w:eastAsiaTheme="minorHAnsi" w:hAnsi="Arial" w:cs="Arial"/>
          <w:b/>
        </w:rPr>
      </w:pPr>
      <w:r w:rsidRPr="00685DE9">
        <w:rPr>
          <w:rFonts w:ascii="Arial" w:hAnsi="Arial" w:cs="Arial"/>
          <w:b/>
        </w:rPr>
        <w:lastRenderedPageBreak/>
        <w:t xml:space="preserve">Supplemental Table 4. </w:t>
      </w:r>
      <w:r w:rsidRPr="00685DE9">
        <w:rPr>
          <w:rFonts w:ascii="Arial" w:eastAsiaTheme="minorHAnsi" w:hAnsi="Arial" w:cs="Arial"/>
        </w:rPr>
        <w:t xml:space="preserve">ROS and RNS Formation, Mitochondrial and Total GSH and Culture Medium Nitrite/Nitrate Levels in HepG2 cells </w:t>
      </w:r>
      <w:r w:rsidR="00986E84" w:rsidRPr="00685DE9">
        <w:rPr>
          <w:rFonts w:ascii="Arial" w:eastAsiaTheme="minorHAnsi" w:hAnsi="Arial" w:cs="Arial"/>
        </w:rPr>
        <w:t>R</w:t>
      </w:r>
      <w:r w:rsidR="007A4394" w:rsidRPr="00685DE9">
        <w:rPr>
          <w:rFonts w:ascii="Arial" w:eastAsiaTheme="minorHAnsi" w:hAnsi="Arial" w:cs="Arial"/>
        </w:rPr>
        <w:t>eplicating</w:t>
      </w:r>
      <w:r w:rsidRPr="00685DE9">
        <w:rPr>
          <w:rFonts w:ascii="Arial" w:eastAsiaTheme="minorHAnsi" w:hAnsi="Arial" w:cs="Arial"/>
        </w:rPr>
        <w:t xml:space="preserve"> HBV or </w:t>
      </w:r>
      <w:r w:rsidR="00986E84" w:rsidRPr="00685DE9">
        <w:rPr>
          <w:rFonts w:ascii="Arial" w:eastAsiaTheme="minorHAnsi" w:hAnsi="Arial" w:cs="Arial"/>
        </w:rPr>
        <w:t>Expressing Wild-type or M</w:t>
      </w:r>
      <w:r w:rsidR="007A4394" w:rsidRPr="00685DE9">
        <w:rPr>
          <w:rFonts w:ascii="Arial" w:eastAsiaTheme="minorHAnsi" w:hAnsi="Arial" w:cs="Arial"/>
        </w:rPr>
        <w:t xml:space="preserve">utated </w:t>
      </w:r>
      <w:proofErr w:type="spellStart"/>
      <w:r w:rsidR="00986E84" w:rsidRPr="00685DE9">
        <w:rPr>
          <w:rFonts w:ascii="Arial" w:eastAsiaTheme="minorHAnsi" w:hAnsi="Arial" w:cs="Arial"/>
        </w:rPr>
        <w:t>HBx</w:t>
      </w:r>
      <w:proofErr w:type="spellEnd"/>
      <w:r w:rsidR="00986E84" w:rsidRPr="00685DE9">
        <w:rPr>
          <w:rFonts w:ascii="Arial" w:eastAsiaTheme="minorHAnsi" w:hAnsi="Arial" w:cs="Arial"/>
        </w:rPr>
        <w:t xml:space="preserve"> and C</w:t>
      </w:r>
      <w:r w:rsidRPr="00685DE9">
        <w:rPr>
          <w:rFonts w:ascii="Arial" w:eastAsiaTheme="minorHAnsi" w:hAnsi="Arial" w:cs="Arial"/>
        </w:rPr>
        <w:t>orrespondin</w:t>
      </w:r>
      <w:r w:rsidR="00986E84" w:rsidRPr="00685DE9">
        <w:rPr>
          <w:rFonts w:ascii="Arial" w:eastAsiaTheme="minorHAnsi" w:hAnsi="Arial" w:cs="Arial"/>
        </w:rPr>
        <w:t>g Control V</w:t>
      </w:r>
      <w:r w:rsidRPr="00685DE9">
        <w:rPr>
          <w:rFonts w:ascii="Arial" w:eastAsiaTheme="minorHAnsi" w:hAnsi="Arial" w:cs="Arial"/>
        </w:rPr>
        <w:t>ectors at 24 h post-transfection.</w:t>
      </w:r>
      <w:r w:rsidRPr="00685DE9">
        <w:rPr>
          <w:rFonts w:ascii="Arial" w:hAnsi="Arial" w:cs="Arial"/>
          <w:b/>
          <w:noProof/>
        </w:rPr>
        <w:t xml:space="preserve"> </w:t>
      </w:r>
    </w:p>
    <w:tbl>
      <w:tblPr>
        <w:tblW w:w="13608" w:type="dxa"/>
        <w:tblInd w:w="-2727" w:type="dxa"/>
        <w:tblLook w:val="04A0" w:firstRow="1" w:lastRow="0" w:firstColumn="1" w:lastColumn="0" w:noHBand="0" w:noVBand="1"/>
      </w:tblPr>
      <w:tblGrid>
        <w:gridCol w:w="4656"/>
        <w:gridCol w:w="1648"/>
        <w:gridCol w:w="1648"/>
        <w:gridCol w:w="1511"/>
        <w:gridCol w:w="2058"/>
        <w:gridCol w:w="2087"/>
      </w:tblGrid>
      <w:tr w:rsidR="00685DE9" w:rsidRPr="00685DE9" w14:paraId="223B3BCC" w14:textId="49101247" w:rsidTr="004477B3">
        <w:trPr>
          <w:trHeight w:val="630"/>
        </w:trPr>
        <w:tc>
          <w:tcPr>
            <w:tcW w:w="4656" w:type="dxa"/>
            <w:tcBorders>
              <w:top w:val="nil"/>
              <w:left w:val="nil"/>
              <w:bottom w:val="single" w:sz="4" w:space="0" w:color="auto"/>
              <w:right w:val="single" w:sz="4" w:space="0" w:color="auto"/>
            </w:tcBorders>
            <w:shd w:val="clear" w:color="auto" w:fill="auto"/>
            <w:vAlign w:val="center"/>
            <w:hideMark/>
          </w:tcPr>
          <w:p w14:paraId="59DC5556" w14:textId="77777777" w:rsidR="00E34A37" w:rsidRPr="00685DE9" w:rsidRDefault="00E34A37" w:rsidP="00FB2843">
            <w:pPr>
              <w:jc w:val="center"/>
              <w:rPr>
                <w:rFonts w:ascii="Arial" w:hAnsi="Arial" w:cs="Arial"/>
                <w:b/>
                <w:bCs/>
                <w:sz w:val="20"/>
                <w:szCs w:val="20"/>
              </w:rPr>
            </w:pPr>
            <w:r w:rsidRPr="00685DE9">
              <w:rPr>
                <w:rFonts w:ascii="Arial" w:hAnsi="Arial" w:cs="Arial"/>
                <w:b/>
                <w:bCs/>
                <w:sz w:val="20"/>
                <w:szCs w:val="20"/>
              </w:rPr>
              <w:t xml:space="preserve">ROS/RNS formation </w:t>
            </w:r>
            <w:r w:rsidRPr="00685DE9">
              <w:rPr>
                <w:rFonts w:ascii="Arial" w:hAnsi="Arial" w:cs="Arial"/>
                <w:bCs/>
                <w:sz w:val="20"/>
                <w:szCs w:val="20"/>
              </w:rPr>
              <w:t>(% of corresponding vector)</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4C2AFC3" w14:textId="77777777" w:rsidR="00E34A37" w:rsidRPr="00685DE9" w:rsidRDefault="00E34A37" w:rsidP="00FB2843">
            <w:pPr>
              <w:jc w:val="center"/>
              <w:rPr>
                <w:rFonts w:ascii="Arial" w:hAnsi="Arial" w:cs="Arial"/>
                <w:b/>
                <w:bCs/>
                <w:sz w:val="20"/>
                <w:szCs w:val="20"/>
              </w:rPr>
            </w:pPr>
            <w:proofErr w:type="spellStart"/>
            <w:r w:rsidRPr="00685DE9">
              <w:rPr>
                <w:rFonts w:ascii="Arial" w:hAnsi="Arial" w:cs="Arial"/>
                <w:b/>
                <w:bCs/>
                <w:sz w:val="20"/>
                <w:szCs w:val="20"/>
              </w:rPr>
              <w:t>pGEM</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BDDBEC7" w14:textId="77777777" w:rsidR="00E34A37" w:rsidRPr="00685DE9" w:rsidRDefault="00E34A37" w:rsidP="00FB2843">
            <w:pPr>
              <w:jc w:val="center"/>
              <w:rPr>
                <w:rFonts w:ascii="Arial" w:hAnsi="Arial" w:cs="Arial"/>
                <w:b/>
                <w:bCs/>
                <w:sz w:val="20"/>
                <w:szCs w:val="20"/>
              </w:rPr>
            </w:pPr>
            <w:r w:rsidRPr="00685DE9">
              <w:rPr>
                <w:rFonts w:ascii="Arial" w:hAnsi="Arial" w:cs="Arial"/>
                <w:b/>
                <w:bCs/>
                <w:sz w:val="20"/>
                <w:szCs w:val="20"/>
              </w:rPr>
              <w:t>Payw1.2 (HBV)</w:t>
            </w:r>
          </w:p>
        </w:tc>
        <w:tc>
          <w:tcPr>
            <w:tcW w:w="1511" w:type="dxa"/>
            <w:tcBorders>
              <w:top w:val="single" w:sz="4" w:space="0" w:color="auto"/>
              <w:left w:val="nil"/>
              <w:bottom w:val="single" w:sz="4" w:space="0" w:color="auto"/>
              <w:right w:val="nil"/>
            </w:tcBorders>
            <w:shd w:val="clear" w:color="auto" w:fill="auto"/>
            <w:vAlign w:val="center"/>
            <w:hideMark/>
          </w:tcPr>
          <w:p w14:paraId="34ECCA8F" w14:textId="77777777" w:rsidR="00E34A37" w:rsidRPr="00685DE9" w:rsidRDefault="00E34A37" w:rsidP="00FB2843">
            <w:pPr>
              <w:jc w:val="center"/>
              <w:rPr>
                <w:rFonts w:ascii="Arial" w:hAnsi="Arial" w:cs="Arial"/>
                <w:b/>
                <w:bCs/>
                <w:sz w:val="20"/>
                <w:szCs w:val="20"/>
              </w:rPr>
            </w:pPr>
            <w:r w:rsidRPr="00685DE9">
              <w:rPr>
                <w:rFonts w:ascii="Arial" w:hAnsi="Arial" w:cs="Arial"/>
                <w:b/>
                <w:bCs/>
                <w:sz w:val="20"/>
                <w:szCs w:val="20"/>
              </w:rPr>
              <w:t>pcDNA3.1</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A9EF" w14:textId="2FF8B247" w:rsidR="00E34A37" w:rsidRPr="00685DE9" w:rsidRDefault="00E34A37" w:rsidP="004477B3">
            <w:pPr>
              <w:jc w:val="center"/>
              <w:rPr>
                <w:rFonts w:ascii="Arial" w:hAnsi="Arial" w:cs="Arial"/>
                <w:b/>
                <w:bCs/>
                <w:sz w:val="20"/>
                <w:szCs w:val="20"/>
              </w:rPr>
            </w:pPr>
            <w:r w:rsidRPr="00685DE9">
              <w:rPr>
                <w:rFonts w:ascii="Arial" w:hAnsi="Arial" w:cs="Arial"/>
                <w:b/>
                <w:bCs/>
                <w:sz w:val="20"/>
                <w:szCs w:val="20"/>
              </w:rPr>
              <w:t>pcDNA3.1Flag</w:t>
            </w:r>
            <w:r w:rsidR="004477B3" w:rsidRPr="00685DE9">
              <w:rPr>
                <w:rFonts w:ascii="Arial" w:hAnsi="Arial" w:cs="Arial"/>
                <w:b/>
                <w:bCs/>
                <w:sz w:val="20"/>
                <w:szCs w:val="20"/>
              </w:rPr>
              <w:t>-</w:t>
            </w:r>
            <w:r w:rsidRPr="00685DE9">
              <w:rPr>
                <w:rFonts w:ascii="Arial" w:hAnsi="Arial" w:cs="Arial"/>
                <w:b/>
                <w:bCs/>
                <w:sz w:val="20"/>
                <w:szCs w:val="20"/>
              </w:rPr>
              <w:t>HBx</w:t>
            </w:r>
          </w:p>
        </w:tc>
        <w:tc>
          <w:tcPr>
            <w:tcW w:w="2087" w:type="dxa"/>
            <w:tcBorders>
              <w:top w:val="single" w:sz="4" w:space="0" w:color="auto"/>
              <w:left w:val="single" w:sz="4" w:space="0" w:color="auto"/>
              <w:bottom w:val="single" w:sz="4" w:space="0" w:color="auto"/>
              <w:right w:val="single" w:sz="4" w:space="0" w:color="auto"/>
            </w:tcBorders>
          </w:tcPr>
          <w:p w14:paraId="089A0A1C" w14:textId="7EE440EF" w:rsidR="00E34A37" w:rsidRPr="00685DE9" w:rsidRDefault="00E34A37" w:rsidP="004477B3">
            <w:pPr>
              <w:jc w:val="center"/>
              <w:rPr>
                <w:rFonts w:ascii="Arial" w:hAnsi="Arial" w:cs="Arial"/>
                <w:b/>
                <w:bCs/>
                <w:sz w:val="20"/>
                <w:szCs w:val="20"/>
              </w:rPr>
            </w:pPr>
            <w:r w:rsidRPr="00685DE9">
              <w:rPr>
                <w:rFonts w:ascii="Arial" w:hAnsi="Arial" w:cs="Arial"/>
                <w:b/>
                <w:bCs/>
                <w:sz w:val="20"/>
                <w:szCs w:val="20"/>
              </w:rPr>
              <w:t>pcDNA3.1Flag</w:t>
            </w:r>
            <w:r w:rsidR="004477B3" w:rsidRPr="00685DE9">
              <w:rPr>
                <w:rFonts w:ascii="Arial" w:hAnsi="Arial" w:cs="Arial"/>
                <w:b/>
                <w:bCs/>
                <w:sz w:val="20"/>
                <w:szCs w:val="20"/>
              </w:rPr>
              <w:t>-</w:t>
            </w:r>
            <w:r w:rsidRPr="00685DE9">
              <w:rPr>
                <w:rFonts w:ascii="Arial" w:hAnsi="Arial" w:cs="Arial"/>
                <w:b/>
                <w:bCs/>
                <w:sz w:val="20"/>
                <w:szCs w:val="20"/>
              </w:rPr>
              <w:t>HBx(G124</w:t>
            </w:r>
            <w:proofErr w:type="gramStart"/>
            <w:r w:rsidRPr="00685DE9">
              <w:rPr>
                <w:rFonts w:ascii="Arial" w:hAnsi="Arial" w:cs="Arial"/>
                <w:b/>
                <w:bCs/>
                <w:sz w:val="20"/>
                <w:szCs w:val="20"/>
              </w:rPr>
              <w:t>L,I</w:t>
            </w:r>
            <w:proofErr w:type="gramEnd"/>
            <w:r w:rsidRPr="00685DE9">
              <w:rPr>
                <w:rFonts w:ascii="Arial" w:hAnsi="Arial" w:cs="Arial"/>
                <w:b/>
                <w:bCs/>
                <w:sz w:val="20"/>
                <w:szCs w:val="20"/>
              </w:rPr>
              <w:t>127A)</w:t>
            </w:r>
          </w:p>
        </w:tc>
      </w:tr>
      <w:tr w:rsidR="00685DE9" w:rsidRPr="00685DE9" w14:paraId="4A61CAD2" w14:textId="18827F42" w:rsidTr="004477B3">
        <w:trPr>
          <w:trHeight w:val="315"/>
        </w:trPr>
        <w:tc>
          <w:tcPr>
            <w:tcW w:w="4656" w:type="dxa"/>
            <w:tcBorders>
              <w:top w:val="single" w:sz="4" w:space="0" w:color="auto"/>
              <w:right w:val="single" w:sz="4" w:space="0" w:color="auto"/>
            </w:tcBorders>
            <w:shd w:val="clear" w:color="auto" w:fill="auto"/>
            <w:noWrap/>
            <w:vAlign w:val="bottom"/>
            <w:hideMark/>
          </w:tcPr>
          <w:p w14:paraId="5571D241"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 xml:space="preserve">Mitochondria + </w:t>
            </w:r>
            <w:proofErr w:type="spellStart"/>
            <w:r w:rsidRPr="00685DE9">
              <w:rPr>
                <w:rFonts w:ascii="Arial" w:hAnsi="Arial" w:cs="Arial"/>
                <w:sz w:val="20"/>
                <w:szCs w:val="20"/>
              </w:rPr>
              <w:t>MitoSox</w:t>
            </w:r>
            <w:proofErr w:type="spellEnd"/>
            <w:r w:rsidRPr="00685DE9">
              <w:rPr>
                <w:rFonts w:ascii="Arial" w:hAnsi="Arial" w:cs="Arial"/>
                <w:sz w:val="20"/>
                <w:szCs w:val="20"/>
              </w:rPr>
              <w:t xml:space="preserve"> + Mal/Glu</w:t>
            </w:r>
          </w:p>
        </w:tc>
        <w:tc>
          <w:tcPr>
            <w:tcW w:w="1648" w:type="dxa"/>
            <w:tcBorders>
              <w:top w:val="single" w:sz="4" w:space="0" w:color="auto"/>
              <w:left w:val="single" w:sz="4" w:space="0" w:color="auto"/>
              <w:right w:val="single" w:sz="4" w:space="0" w:color="auto"/>
            </w:tcBorders>
            <w:shd w:val="clear" w:color="auto" w:fill="auto"/>
            <w:noWrap/>
            <w:vAlign w:val="bottom"/>
            <w:hideMark/>
          </w:tcPr>
          <w:p w14:paraId="0A9BFCF4" w14:textId="705E93E3" w:rsidR="00E34A37" w:rsidRPr="00685DE9" w:rsidRDefault="00E93E22" w:rsidP="00FB2843">
            <w:pPr>
              <w:jc w:val="center"/>
              <w:rPr>
                <w:rFonts w:ascii="Arial" w:hAnsi="Arial" w:cs="Arial"/>
                <w:sz w:val="20"/>
                <w:szCs w:val="20"/>
              </w:rPr>
            </w:pPr>
            <w:r w:rsidRPr="00685DE9">
              <w:rPr>
                <w:rFonts w:ascii="Arial" w:hAnsi="Arial" w:cs="Arial"/>
                <w:sz w:val="20"/>
                <w:szCs w:val="20"/>
              </w:rPr>
              <w:t>99 ± 9</w:t>
            </w:r>
          </w:p>
        </w:tc>
        <w:tc>
          <w:tcPr>
            <w:tcW w:w="1648" w:type="dxa"/>
            <w:tcBorders>
              <w:top w:val="single" w:sz="4" w:space="0" w:color="auto"/>
              <w:left w:val="nil"/>
              <w:right w:val="single" w:sz="4" w:space="0" w:color="auto"/>
            </w:tcBorders>
            <w:shd w:val="clear" w:color="auto" w:fill="auto"/>
            <w:noWrap/>
            <w:vAlign w:val="bottom"/>
            <w:hideMark/>
          </w:tcPr>
          <w:p w14:paraId="1D43E15A"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172 ± 13*</w:t>
            </w:r>
          </w:p>
        </w:tc>
        <w:tc>
          <w:tcPr>
            <w:tcW w:w="1511" w:type="dxa"/>
            <w:tcBorders>
              <w:top w:val="single" w:sz="4" w:space="0" w:color="auto"/>
              <w:left w:val="nil"/>
              <w:right w:val="nil"/>
            </w:tcBorders>
            <w:shd w:val="clear" w:color="auto" w:fill="auto"/>
            <w:noWrap/>
            <w:vAlign w:val="bottom"/>
            <w:hideMark/>
          </w:tcPr>
          <w:p w14:paraId="502902D3" w14:textId="578A81B6" w:rsidR="00E34A37" w:rsidRPr="00685DE9" w:rsidRDefault="00E93E22" w:rsidP="00E93E22">
            <w:pPr>
              <w:jc w:val="center"/>
              <w:rPr>
                <w:rFonts w:ascii="Arial" w:hAnsi="Arial" w:cs="Arial"/>
                <w:sz w:val="20"/>
                <w:szCs w:val="20"/>
              </w:rPr>
            </w:pPr>
            <w:r w:rsidRPr="00685DE9">
              <w:rPr>
                <w:rFonts w:ascii="Arial" w:hAnsi="Arial" w:cs="Arial"/>
                <w:sz w:val="20"/>
                <w:szCs w:val="20"/>
              </w:rPr>
              <w:t>98</w:t>
            </w:r>
            <w:r w:rsidR="00E34A37" w:rsidRPr="00685DE9">
              <w:rPr>
                <w:rFonts w:ascii="Arial" w:hAnsi="Arial" w:cs="Arial"/>
                <w:sz w:val="20"/>
                <w:szCs w:val="20"/>
              </w:rPr>
              <w:t xml:space="preserve"> ± </w:t>
            </w:r>
            <w:r w:rsidRPr="00685DE9">
              <w:rPr>
                <w:rFonts w:ascii="Arial" w:hAnsi="Arial" w:cs="Arial"/>
                <w:sz w:val="20"/>
                <w:szCs w:val="20"/>
              </w:rPr>
              <w:t>10</w:t>
            </w:r>
          </w:p>
        </w:tc>
        <w:tc>
          <w:tcPr>
            <w:tcW w:w="2058" w:type="dxa"/>
            <w:tcBorders>
              <w:top w:val="single" w:sz="4" w:space="0" w:color="auto"/>
              <w:left w:val="single" w:sz="4" w:space="0" w:color="auto"/>
              <w:right w:val="single" w:sz="4" w:space="0" w:color="auto"/>
            </w:tcBorders>
            <w:shd w:val="clear" w:color="auto" w:fill="auto"/>
            <w:noWrap/>
            <w:vAlign w:val="bottom"/>
            <w:hideMark/>
          </w:tcPr>
          <w:p w14:paraId="505E3D48" w14:textId="365B89B5" w:rsidR="00E34A37" w:rsidRPr="00685DE9" w:rsidRDefault="00E34A37" w:rsidP="00E93E22">
            <w:pPr>
              <w:jc w:val="center"/>
              <w:rPr>
                <w:rFonts w:ascii="Arial" w:hAnsi="Arial" w:cs="Arial"/>
                <w:sz w:val="20"/>
                <w:szCs w:val="20"/>
              </w:rPr>
            </w:pPr>
            <w:r w:rsidRPr="00685DE9">
              <w:rPr>
                <w:rFonts w:ascii="Arial" w:hAnsi="Arial" w:cs="Arial"/>
                <w:sz w:val="20"/>
                <w:szCs w:val="20"/>
              </w:rPr>
              <w:t>14</w:t>
            </w:r>
            <w:r w:rsidR="00E93E22" w:rsidRPr="00685DE9">
              <w:rPr>
                <w:rFonts w:ascii="Arial" w:hAnsi="Arial" w:cs="Arial"/>
                <w:sz w:val="20"/>
                <w:szCs w:val="20"/>
              </w:rPr>
              <w:t>6</w:t>
            </w:r>
            <w:r w:rsidRPr="00685DE9">
              <w:rPr>
                <w:rFonts w:ascii="Arial" w:hAnsi="Arial" w:cs="Arial"/>
                <w:sz w:val="20"/>
                <w:szCs w:val="20"/>
              </w:rPr>
              <w:t xml:space="preserve"> ± </w:t>
            </w:r>
            <w:r w:rsidR="00E93E22" w:rsidRPr="00685DE9">
              <w:rPr>
                <w:rFonts w:ascii="Arial" w:hAnsi="Arial" w:cs="Arial"/>
                <w:sz w:val="20"/>
                <w:szCs w:val="20"/>
              </w:rPr>
              <w:t>12</w:t>
            </w:r>
            <w:r w:rsidRPr="00685DE9">
              <w:rPr>
                <w:rFonts w:ascii="Arial" w:hAnsi="Arial" w:cs="Arial"/>
                <w:sz w:val="20"/>
                <w:szCs w:val="20"/>
              </w:rPr>
              <w:t>*</w:t>
            </w:r>
          </w:p>
        </w:tc>
        <w:tc>
          <w:tcPr>
            <w:tcW w:w="2087" w:type="dxa"/>
            <w:tcBorders>
              <w:top w:val="single" w:sz="4" w:space="0" w:color="auto"/>
              <w:left w:val="single" w:sz="4" w:space="0" w:color="auto"/>
              <w:right w:val="single" w:sz="4" w:space="0" w:color="auto"/>
            </w:tcBorders>
          </w:tcPr>
          <w:p w14:paraId="6158CB76" w14:textId="1F23EBAD" w:rsidR="00E34A37" w:rsidRPr="00685DE9" w:rsidRDefault="00E34A37" w:rsidP="00E34A37">
            <w:pPr>
              <w:jc w:val="center"/>
              <w:rPr>
                <w:rFonts w:ascii="Arial" w:hAnsi="Arial" w:cs="Arial"/>
                <w:sz w:val="20"/>
                <w:szCs w:val="20"/>
              </w:rPr>
            </w:pPr>
            <w:r w:rsidRPr="00685DE9">
              <w:rPr>
                <w:rFonts w:ascii="Arial" w:hAnsi="Arial" w:cs="Arial"/>
                <w:sz w:val="20"/>
                <w:szCs w:val="20"/>
              </w:rPr>
              <w:t>112.81 ± 14</w:t>
            </w:r>
            <w:r w:rsidR="00E93E22" w:rsidRPr="00685DE9">
              <w:rPr>
                <w:rFonts w:ascii="Arial" w:hAnsi="Arial" w:cs="Arial"/>
                <w:iCs/>
                <w:sz w:val="20"/>
                <w:szCs w:val="20"/>
                <w:vertAlign w:val="superscript"/>
              </w:rPr>
              <w:t>†</w:t>
            </w:r>
          </w:p>
        </w:tc>
      </w:tr>
      <w:tr w:rsidR="00685DE9" w:rsidRPr="00685DE9" w14:paraId="291078BF" w14:textId="26824875" w:rsidTr="004477B3">
        <w:trPr>
          <w:trHeight w:val="315"/>
        </w:trPr>
        <w:tc>
          <w:tcPr>
            <w:tcW w:w="4656" w:type="dxa"/>
            <w:tcBorders>
              <w:right w:val="single" w:sz="4" w:space="0" w:color="auto"/>
            </w:tcBorders>
            <w:shd w:val="clear" w:color="auto" w:fill="auto"/>
            <w:noWrap/>
            <w:vAlign w:val="bottom"/>
            <w:hideMark/>
          </w:tcPr>
          <w:p w14:paraId="24AEC810"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 xml:space="preserve">Mitochondria + </w:t>
            </w:r>
            <w:proofErr w:type="spellStart"/>
            <w:r w:rsidRPr="00685DE9">
              <w:rPr>
                <w:rFonts w:ascii="Arial" w:hAnsi="Arial" w:cs="Arial"/>
                <w:sz w:val="20"/>
                <w:szCs w:val="20"/>
              </w:rPr>
              <w:t>MitoSox</w:t>
            </w:r>
            <w:proofErr w:type="spellEnd"/>
            <w:r w:rsidRPr="00685DE9">
              <w:rPr>
                <w:rFonts w:ascii="Arial" w:hAnsi="Arial" w:cs="Arial"/>
                <w:sz w:val="20"/>
                <w:szCs w:val="20"/>
              </w:rPr>
              <w:t xml:space="preserve"> + succinate</w:t>
            </w:r>
          </w:p>
        </w:tc>
        <w:tc>
          <w:tcPr>
            <w:tcW w:w="1648" w:type="dxa"/>
            <w:tcBorders>
              <w:left w:val="single" w:sz="4" w:space="0" w:color="auto"/>
              <w:right w:val="single" w:sz="4" w:space="0" w:color="auto"/>
            </w:tcBorders>
            <w:shd w:val="clear" w:color="auto" w:fill="auto"/>
            <w:noWrap/>
            <w:vAlign w:val="bottom"/>
            <w:hideMark/>
          </w:tcPr>
          <w:p w14:paraId="603DC542"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100 ± 12</w:t>
            </w:r>
          </w:p>
        </w:tc>
        <w:tc>
          <w:tcPr>
            <w:tcW w:w="1648" w:type="dxa"/>
            <w:tcBorders>
              <w:left w:val="nil"/>
              <w:right w:val="single" w:sz="4" w:space="0" w:color="auto"/>
            </w:tcBorders>
            <w:shd w:val="clear" w:color="auto" w:fill="auto"/>
            <w:noWrap/>
            <w:vAlign w:val="bottom"/>
            <w:hideMark/>
          </w:tcPr>
          <w:p w14:paraId="3CC55EB3"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190 ± 18*</w:t>
            </w:r>
          </w:p>
        </w:tc>
        <w:tc>
          <w:tcPr>
            <w:tcW w:w="1511" w:type="dxa"/>
            <w:tcBorders>
              <w:left w:val="nil"/>
              <w:right w:val="nil"/>
            </w:tcBorders>
            <w:shd w:val="clear" w:color="auto" w:fill="auto"/>
            <w:noWrap/>
            <w:vAlign w:val="bottom"/>
            <w:hideMark/>
          </w:tcPr>
          <w:p w14:paraId="7ACEDE2D" w14:textId="2B01A1AB" w:rsidR="00E34A37" w:rsidRPr="00685DE9" w:rsidRDefault="00E34A37" w:rsidP="00E93E22">
            <w:pPr>
              <w:jc w:val="center"/>
              <w:rPr>
                <w:rFonts w:ascii="Arial" w:hAnsi="Arial" w:cs="Arial"/>
                <w:sz w:val="20"/>
                <w:szCs w:val="20"/>
              </w:rPr>
            </w:pPr>
            <w:r w:rsidRPr="00685DE9">
              <w:rPr>
                <w:rFonts w:ascii="Arial" w:hAnsi="Arial" w:cs="Arial"/>
                <w:sz w:val="20"/>
                <w:szCs w:val="20"/>
              </w:rPr>
              <w:t>100 ± 1</w:t>
            </w:r>
            <w:r w:rsidR="00E93E22" w:rsidRPr="00685DE9">
              <w:rPr>
                <w:rFonts w:ascii="Arial" w:hAnsi="Arial" w:cs="Arial"/>
                <w:sz w:val="20"/>
                <w:szCs w:val="20"/>
              </w:rPr>
              <w:t>2</w:t>
            </w:r>
          </w:p>
        </w:tc>
        <w:tc>
          <w:tcPr>
            <w:tcW w:w="2058" w:type="dxa"/>
            <w:tcBorders>
              <w:left w:val="single" w:sz="4" w:space="0" w:color="auto"/>
              <w:right w:val="single" w:sz="4" w:space="0" w:color="auto"/>
            </w:tcBorders>
            <w:shd w:val="clear" w:color="auto" w:fill="auto"/>
            <w:noWrap/>
            <w:vAlign w:val="bottom"/>
            <w:hideMark/>
          </w:tcPr>
          <w:p w14:paraId="6D2E6CCA" w14:textId="5E3E5A6F" w:rsidR="00E34A37" w:rsidRPr="00685DE9" w:rsidRDefault="00E34A37" w:rsidP="00E93E22">
            <w:pPr>
              <w:jc w:val="center"/>
              <w:rPr>
                <w:rFonts w:ascii="Arial" w:hAnsi="Arial" w:cs="Arial"/>
                <w:sz w:val="20"/>
                <w:szCs w:val="20"/>
              </w:rPr>
            </w:pPr>
            <w:r w:rsidRPr="00685DE9">
              <w:rPr>
                <w:rFonts w:ascii="Arial" w:hAnsi="Arial" w:cs="Arial"/>
                <w:sz w:val="20"/>
                <w:szCs w:val="20"/>
              </w:rPr>
              <w:t>16</w:t>
            </w:r>
            <w:r w:rsidR="00E93E22" w:rsidRPr="00685DE9">
              <w:rPr>
                <w:rFonts w:ascii="Arial" w:hAnsi="Arial" w:cs="Arial"/>
                <w:sz w:val="20"/>
                <w:szCs w:val="20"/>
              </w:rPr>
              <w:t>1</w:t>
            </w:r>
            <w:r w:rsidRPr="00685DE9">
              <w:rPr>
                <w:rFonts w:ascii="Arial" w:hAnsi="Arial" w:cs="Arial"/>
                <w:sz w:val="20"/>
                <w:szCs w:val="20"/>
              </w:rPr>
              <w:t xml:space="preserve"> ± 12*</w:t>
            </w:r>
          </w:p>
        </w:tc>
        <w:tc>
          <w:tcPr>
            <w:tcW w:w="2087" w:type="dxa"/>
            <w:tcBorders>
              <w:left w:val="single" w:sz="4" w:space="0" w:color="auto"/>
              <w:right w:val="single" w:sz="4" w:space="0" w:color="auto"/>
            </w:tcBorders>
          </w:tcPr>
          <w:p w14:paraId="6F227B21" w14:textId="4014FE20" w:rsidR="00E34A37" w:rsidRPr="00685DE9" w:rsidRDefault="00E34A37" w:rsidP="00E34A37">
            <w:pPr>
              <w:jc w:val="center"/>
              <w:rPr>
                <w:rFonts w:ascii="Arial" w:hAnsi="Arial" w:cs="Arial"/>
                <w:sz w:val="20"/>
                <w:szCs w:val="20"/>
              </w:rPr>
            </w:pPr>
            <w:r w:rsidRPr="00685DE9">
              <w:rPr>
                <w:rFonts w:ascii="Arial" w:hAnsi="Arial" w:cs="Arial"/>
                <w:sz w:val="20"/>
                <w:szCs w:val="20"/>
              </w:rPr>
              <w:t>119 ± 21</w:t>
            </w:r>
            <w:r w:rsidR="00E93E22" w:rsidRPr="00685DE9">
              <w:rPr>
                <w:rFonts w:ascii="Arial" w:hAnsi="Arial" w:cs="Arial"/>
                <w:iCs/>
                <w:sz w:val="20"/>
                <w:szCs w:val="20"/>
                <w:vertAlign w:val="superscript"/>
              </w:rPr>
              <w:t>†</w:t>
            </w:r>
          </w:p>
        </w:tc>
      </w:tr>
      <w:tr w:rsidR="00685DE9" w:rsidRPr="00685DE9" w14:paraId="7F7D4092" w14:textId="18DA9DE5" w:rsidTr="004477B3">
        <w:trPr>
          <w:trHeight w:val="315"/>
        </w:trPr>
        <w:tc>
          <w:tcPr>
            <w:tcW w:w="4656" w:type="dxa"/>
            <w:tcBorders>
              <w:right w:val="single" w:sz="4" w:space="0" w:color="auto"/>
            </w:tcBorders>
            <w:shd w:val="clear" w:color="auto" w:fill="auto"/>
            <w:noWrap/>
            <w:vAlign w:val="bottom"/>
            <w:hideMark/>
          </w:tcPr>
          <w:p w14:paraId="77F4F87F"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Mitochondria + H2DCF + Mal/Glu</w:t>
            </w:r>
          </w:p>
        </w:tc>
        <w:tc>
          <w:tcPr>
            <w:tcW w:w="1648" w:type="dxa"/>
            <w:tcBorders>
              <w:left w:val="single" w:sz="4" w:space="0" w:color="auto"/>
              <w:right w:val="single" w:sz="4" w:space="0" w:color="auto"/>
            </w:tcBorders>
            <w:shd w:val="clear" w:color="auto" w:fill="auto"/>
            <w:noWrap/>
            <w:vAlign w:val="bottom"/>
            <w:hideMark/>
          </w:tcPr>
          <w:p w14:paraId="0BEE1A6C"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100 ± 14</w:t>
            </w:r>
          </w:p>
        </w:tc>
        <w:tc>
          <w:tcPr>
            <w:tcW w:w="1648" w:type="dxa"/>
            <w:tcBorders>
              <w:left w:val="nil"/>
              <w:right w:val="single" w:sz="4" w:space="0" w:color="auto"/>
            </w:tcBorders>
            <w:shd w:val="clear" w:color="auto" w:fill="auto"/>
            <w:noWrap/>
            <w:vAlign w:val="bottom"/>
            <w:hideMark/>
          </w:tcPr>
          <w:p w14:paraId="4878657E"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147 ± 10*</w:t>
            </w:r>
          </w:p>
        </w:tc>
        <w:tc>
          <w:tcPr>
            <w:tcW w:w="1511" w:type="dxa"/>
            <w:tcBorders>
              <w:left w:val="nil"/>
              <w:right w:val="nil"/>
            </w:tcBorders>
            <w:shd w:val="clear" w:color="auto" w:fill="auto"/>
            <w:noWrap/>
            <w:vAlign w:val="bottom"/>
            <w:hideMark/>
          </w:tcPr>
          <w:p w14:paraId="4DDA7ED2" w14:textId="40AB8210" w:rsidR="00E34A37" w:rsidRPr="00685DE9" w:rsidRDefault="00E93E22" w:rsidP="00FB2843">
            <w:pPr>
              <w:jc w:val="center"/>
              <w:rPr>
                <w:rFonts w:ascii="Arial" w:hAnsi="Arial" w:cs="Arial"/>
                <w:sz w:val="20"/>
                <w:szCs w:val="20"/>
              </w:rPr>
            </w:pPr>
            <w:r w:rsidRPr="00685DE9">
              <w:rPr>
                <w:rFonts w:ascii="Arial" w:hAnsi="Arial" w:cs="Arial"/>
                <w:sz w:val="20"/>
                <w:szCs w:val="20"/>
              </w:rPr>
              <w:t>102</w:t>
            </w:r>
            <w:r w:rsidR="00E34A37" w:rsidRPr="00685DE9">
              <w:rPr>
                <w:rFonts w:ascii="Arial" w:hAnsi="Arial" w:cs="Arial"/>
                <w:sz w:val="20"/>
                <w:szCs w:val="20"/>
              </w:rPr>
              <w:t xml:space="preserve"> ± 11</w:t>
            </w:r>
          </w:p>
        </w:tc>
        <w:tc>
          <w:tcPr>
            <w:tcW w:w="2058" w:type="dxa"/>
            <w:tcBorders>
              <w:left w:val="single" w:sz="4" w:space="0" w:color="auto"/>
              <w:right w:val="single" w:sz="4" w:space="0" w:color="auto"/>
            </w:tcBorders>
            <w:shd w:val="clear" w:color="auto" w:fill="auto"/>
            <w:noWrap/>
            <w:vAlign w:val="bottom"/>
            <w:hideMark/>
          </w:tcPr>
          <w:p w14:paraId="52401548" w14:textId="6E407C98" w:rsidR="00E34A37" w:rsidRPr="00685DE9" w:rsidRDefault="00E34A37" w:rsidP="00E93E22">
            <w:pPr>
              <w:jc w:val="center"/>
              <w:rPr>
                <w:rFonts w:ascii="Arial" w:hAnsi="Arial" w:cs="Arial"/>
                <w:sz w:val="20"/>
                <w:szCs w:val="20"/>
              </w:rPr>
            </w:pPr>
            <w:r w:rsidRPr="00685DE9">
              <w:rPr>
                <w:rFonts w:ascii="Arial" w:hAnsi="Arial" w:cs="Arial"/>
                <w:sz w:val="20"/>
                <w:szCs w:val="20"/>
              </w:rPr>
              <w:t>13</w:t>
            </w:r>
            <w:r w:rsidR="00E93E22" w:rsidRPr="00685DE9">
              <w:rPr>
                <w:rFonts w:ascii="Arial" w:hAnsi="Arial" w:cs="Arial"/>
                <w:sz w:val="20"/>
                <w:szCs w:val="20"/>
              </w:rPr>
              <w:t>8</w:t>
            </w:r>
            <w:r w:rsidRPr="00685DE9">
              <w:rPr>
                <w:rFonts w:ascii="Arial" w:hAnsi="Arial" w:cs="Arial"/>
                <w:sz w:val="20"/>
                <w:szCs w:val="20"/>
              </w:rPr>
              <w:t xml:space="preserve"> ± </w:t>
            </w:r>
            <w:r w:rsidR="00E93E22" w:rsidRPr="00685DE9">
              <w:rPr>
                <w:rFonts w:ascii="Arial" w:hAnsi="Arial" w:cs="Arial"/>
                <w:sz w:val="20"/>
                <w:szCs w:val="20"/>
              </w:rPr>
              <w:t>8</w:t>
            </w:r>
            <w:r w:rsidRPr="00685DE9">
              <w:rPr>
                <w:rFonts w:ascii="Arial" w:hAnsi="Arial" w:cs="Arial"/>
                <w:sz w:val="20"/>
                <w:szCs w:val="20"/>
              </w:rPr>
              <w:t>*</w:t>
            </w:r>
          </w:p>
        </w:tc>
        <w:tc>
          <w:tcPr>
            <w:tcW w:w="2087" w:type="dxa"/>
            <w:tcBorders>
              <w:left w:val="single" w:sz="4" w:space="0" w:color="auto"/>
              <w:right w:val="single" w:sz="4" w:space="0" w:color="auto"/>
            </w:tcBorders>
          </w:tcPr>
          <w:p w14:paraId="15E82C3E" w14:textId="0065E6E6" w:rsidR="00E34A37" w:rsidRPr="00685DE9" w:rsidRDefault="00E34A37" w:rsidP="00E34A37">
            <w:pPr>
              <w:jc w:val="center"/>
              <w:rPr>
                <w:rFonts w:ascii="Arial" w:hAnsi="Arial" w:cs="Arial"/>
                <w:sz w:val="20"/>
                <w:szCs w:val="20"/>
              </w:rPr>
            </w:pPr>
            <w:r w:rsidRPr="00685DE9">
              <w:rPr>
                <w:rFonts w:ascii="Arial" w:hAnsi="Arial" w:cs="Arial"/>
                <w:sz w:val="20"/>
                <w:szCs w:val="20"/>
              </w:rPr>
              <w:t>104 ± 18</w:t>
            </w:r>
            <w:r w:rsidR="00E93E22" w:rsidRPr="00685DE9">
              <w:rPr>
                <w:rFonts w:ascii="Arial" w:hAnsi="Arial" w:cs="Arial"/>
                <w:iCs/>
                <w:sz w:val="20"/>
                <w:szCs w:val="20"/>
                <w:vertAlign w:val="superscript"/>
              </w:rPr>
              <w:t>†</w:t>
            </w:r>
          </w:p>
        </w:tc>
      </w:tr>
      <w:tr w:rsidR="00685DE9" w:rsidRPr="00685DE9" w14:paraId="6C9C15F2" w14:textId="06F5F608" w:rsidTr="004477B3">
        <w:trPr>
          <w:trHeight w:val="315"/>
        </w:trPr>
        <w:tc>
          <w:tcPr>
            <w:tcW w:w="4656" w:type="dxa"/>
            <w:tcBorders>
              <w:right w:val="single" w:sz="4" w:space="0" w:color="auto"/>
            </w:tcBorders>
            <w:shd w:val="clear" w:color="auto" w:fill="auto"/>
            <w:noWrap/>
            <w:vAlign w:val="bottom"/>
            <w:hideMark/>
          </w:tcPr>
          <w:p w14:paraId="032323F1"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Mitochondria + H2DCF + succinate</w:t>
            </w:r>
          </w:p>
        </w:tc>
        <w:tc>
          <w:tcPr>
            <w:tcW w:w="1648" w:type="dxa"/>
            <w:tcBorders>
              <w:left w:val="single" w:sz="4" w:space="0" w:color="auto"/>
              <w:right w:val="single" w:sz="4" w:space="0" w:color="auto"/>
            </w:tcBorders>
            <w:shd w:val="clear" w:color="auto" w:fill="auto"/>
            <w:noWrap/>
            <w:vAlign w:val="bottom"/>
            <w:hideMark/>
          </w:tcPr>
          <w:p w14:paraId="7626949D"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100 ± 10</w:t>
            </w:r>
          </w:p>
        </w:tc>
        <w:tc>
          <w:tcPr>
            <w:tcW w:w="1648" w:type="dxa"/>
            <w:tcBorders>
              <w:left w:val="nil"/>
              <w:right w:val="single" w:sz="4" w:space="0" w:color="auto"/>
            </w:tcBorders>
            <w:shd w:val="clear" w:color="auto" w:fill="auto"/>
            <w:noWrap/>
            <w:vAlign w:val="bottom"/>
            <w:hideMark/>
          </w:tcPr>
          <w:p w14:paraId="4120307E"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223 ± 29*</w:t>
            </w:r>
          </w:p>
        </w:tc>
        <w:tc>
          <w:tcPr>
            <w:tcW w:w="1511" w:type="dxa"/>
            <w:tcBorders>
              <w:left w:val="nil"/>
              <w:right w:val="nil"/>
            </w:tcBorders>
            <w:shd w:val="clear" w:color="auto" w:fill="auto"/>
            <w:noWrap/>
            <w:vAlign w:val="bottom"/>
            <w:hideMark/>
          </w:tcPr>
          <w:p w14:paraId="0AF119EF" w14:textId="53F1171B" w:rsidR="00E34A37" w:rsidRPr="00685DE9" w:rsidRDefault="00E34A37" w:rsidP="00E93E22">
            <w:pPr>
              <w:jc w:val="center"/>
              <w:rPr>
                <w:rFonts w:ascii="Arial" w:hAnsi="Arial" w:cs="Arial"/>
                <w:sz w:val="20"/>
                <w:szCs w:val="20"/>
              </w:rPr>
            </w:pPr>
            <w:r w:rsidRPr="00685DE9">
              <w:rPr>
                <w:rFonts w:ascii="Arial" w:hAnsi="Arial" w:cs="Arial"/>
                <w:sz w:val="20"/>
                <w:szCs w:val="20"/>
              </w:rPr>
              <w:t>10</w:t>
            </w:r>
            <w:r w:rsidR="00E93E22" w:rsidRPr="00685DE9">
              <w:rPr>
                <w:rFonts w:ascii="Arial" w:hAnsi="Arial" w:cs="Arial"/>
                <w:sz w:val="20"/>
                <w:szCs w:val="20"/>
              </w:rPr>
              <w:t>1</w:t>
            </w:r>
            <w:r w:rsidRPr="00685DE9">
              <w:rPr>
                <w:rFonts w:ascii="Arial" w:hAnsi="Arial" w:cs="Arial"/>
                <w:sz w:val="20"/>
                <w:szCs w:val="20"/>
              </w:rPr>
              <w:t xml:space="preserve"> ± </w:t>
            </w:r>
            <w:r w:rsidR="00E93E22" w:rsidRPr="00685DE9">
              <w:rPr>
                <w:rFonts w:ascii="Arial" w:hAnsi="Arial" w:cs="Arial"/>
                <w:sz w:val="20"/>
                <w:szCs w:val="20"/>
              </w:rPr>
              <w:t>7</w:t>
            </w:r>
          </w:p>
        </w:tc>
        <w:tc>
          <w:tcPr>
            <w:tcW w:w="2058" w:type="dxa"/>
            <w:tcBorders>
              <w:left w:val="single" w:sz="4" w:space="0" w:color="auto"/>
              <w:right w:val="single" w:sz="4" w:space="0" w:color="auto"/>
            </w:tcBorders>
            <w:shd w:val="clear" w:color="auto" w:fill="auto"/>
            <w:noWrap/>
            <w:vAlign w:val="bottom"/>
            <w:hideMark/>
          </w:tcPr>
          <w:p w14:paraId="5E7C963A" w14:textId="6EC21A28" w:rsidR="00E34A37" w:rsidRPr="00685DE9" w:rsidRDefault="00E34A37" w:rsidP="00E93E22">
            <w:pPr>
              <w:jc w:val="center"/>
              <w:rPr>
                <w:rFonts w:ascii="Arial" w:hAnsi="Arial" w:cs="Arial"/>
                <w:sz w:val="20"/>
                <w:szCs w:val="20"/>
              </w:rPr>
            </w:pPr>
            <w:r w:rsidRPr="00685DE9">
              <w:rPr>
                <w:rFonts w:ascii="Arial" w:hAnsi="Arial" w:cs="Arial"/>
                <w:sz w:val="20"/>
                <w:szCs w:val="20"/>
              </w:rPr>
              <w:t>16</w:t>
            </w:r>
            <w:r w:rsidR="00E93E22" w:rsidRPr="00685DE9">
              <w:rPr>
                <w:rFonts w:ascii="Arial" w:hAnsi="Arial" w:cs="Arial"/>
                <w:sz w:val="20"/>
                <w:szCs w:val="20"/>
              </w:rPr>
              <w:t>6</w:t>
            </w:r>
            <w:r w:rsidRPr="00685DE9">
              <w:rPr>
                <w:rFonts w:ascii="Arial" w:hAnsi="Arial" w:cs="Arial"/>
                <w:sz w:val="20"/>
                <w:szCs w:val="20"/>
              </w:rPr>
              <w:t xml:space="preserve"> ± 1</w:t>
            </w:r>
            <w:r w:rsidR="00E93E22" w:rsidRPr="00685DE9">
              <w:rPr>
                <w:rFonts w:ascii="Arial" w:hAnsi="Arial" w:cs="Arial"/>
                <w:sz w:val="20"/>
                <w:szCs w:val="20"/>
              </w:rPr>
              <w:t>4</w:t>
            </w:r>
            <w:r w:rsidRPr="00685DE9">
              <w:rPr>
                <w:rFonts w:ascii="Arial" w:hAnsi="Arial" w:cs="Arial"/>
                <w:sz w:val="20"/>
                <w:szCs w:val="20"/>
              </w:rPr>
              <w:t>*#</w:t>
            </w:r>
          </w:p>
        </w:tc>
        <w:tc>
          <w:tcPr>
            <w:tcW w:w="2087" w:type="dxa"/>
            <w:tcBorders>
              <w:left w:val="single" w:sz="4" w:space="0" w:color="auto"/>
              <w:right w:val="single" w:sz="4" w:space="0" w:color="auto"/>
            </w:tcBorders>
          </w:tcPr>
          <w:p w14:paraId="24EC4A87" w14:textId="6057ADCA" w:rsidR="00E34A37" w:rsidRPr="00685DE9" w:rsidRDefault="00E34A37" w:rsidP="00E34A37">
            <w:pPr>
              <w:jc w:val="center"/>
              <w:rPr>
                <w:rFonts w:ascii="Arial" w:hAnsi="Arial" w:cs="Arial"/>
                <w:sz w:val="20"/>
                <w:szCs w:val="20"/>
              </w:rPr>
            </w:pPr>
            <w:r w:rsidRPr="00685DE9">
              <w:rPr>
                <w:rFonts w:ascii="Arial" w:hAnsi="Arial" w:cs="Arial"/>
                <w:sz w:val="20"/>
                <w:szCs w:val="20"/>
              </w:rPr>
              <w:t>121 ± 12</w:t>
            </w:r>
            <w:r w:rsidR="00E93E22" w:rsidRPr="00685DE9">
              <w:rPr>
                <w:rFonts w:ascii="Arial" w:hAnsi="Arial" w:cs="Arial"/>
                <w:iCs/>
                <w:sz w:val="20"/>
                <w:szCs w:val="20"/>
                <w:vertAlign w:val="superscript"/>
              </w:rPr>
              <w:t>†</w:t>
            </w:r>
          </w:p>
        </w:tc>
      </w:tr>
      <w:tr w:rsidR="00685DE9" w:rsidRPr="00685DE9" w14:paraId="0374D1E1" w14:textId="17F3EAAC" w:rsidTr="004477B3">
        <w:trPr>
          <w:trHeight w:val="315"/>
        </w:trPr>
        <w:tc>
          <w:tcPr>
            <w:tcW w:w="4656" w:type="dxa"/>
            <w:tcBorders>
              <w:right w:val="single" w:sz="4" w:space="0" w:color="auto"/>
            </w:tcBorders>
            <w:shd w:val="clear" w:color="auto" w:fill="auto"/>
            <w:noWrap/>
            <w:vAlign w:val="bottom"/>
            <w:hideMark/>
          </w:tcPr>
          <w:p w14:paraId="3B02CDD0"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Homogenate + DHR123 + Mal/Glu</w:t>
            </w:r>
          </w:p>
        </w:tc>
        <w:tc>
          <w:tcPr>
            <w:tcW w:w="1648" w:type="dxa"/>
            <w:tcBorders>
              <w:left w:val="single" w:sz="4" w:space="0" w:color="auto"/>
              <w:right w:val="single" w:sz="4" w:space="0" w:color="auto"/>
            </w:tcBorders>
            <w:shd w:val="clear" w:color="auto" w:fill="auto"/>
            <w:noWrap/>
            <w:vAlign w:val="bottom"/>
            <w:hideMark/>
          </w:tcPr>
          <w:p w14:paraId="759E89CA"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98 ± 19</w:t>
            </w:r>
          </w:p>
        </w:tc>
        <w:tc>
          <w:tcPr>
            <w:tcW w:w="1648" w:type="dxa"/>
            <w:tcBorders>
              <w:left w:val="nil"/>
              <w:right w:val="single" w:sz="4" w:space="0" w:color="auto"/>
            </w:tcBorders>
            <w:shd w:val="clear" w:color="auto" w:fill="auto"/>
            <w:noWrap/>
            <w:vAlign w:val="bottom"/>
            <w:hideMark/>
          </w:tcPr>
          <w:p w14:paraId="5E18F36E"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155 ± 11*</w:t>
            </w:r>
          </w:p>
        </w:tc>
        <w:tc>
          <w:tcPr>
            <w:tcW w:w="1511" w:type="dxa"/>
            <w:tcBorders>
              <w:left w:val="nil"/>
              <w:right w:val="nil"/>
            </w:tcBorders>
            <w:shd w:val="clear" w:color="auto" w:fill="auto"/>
            <w:noWrap/>
            <w:vAlign w:val="bottom"/>
            <w:hideMark/>
          </w:tcPr>
          <w:p w14:paraId="7E3FB61F" w14:textId="027E671E" w:rsidR="00E34A37" w:rsidRPr="00685DE9" w:rsidRDefault="00E34A37" w:rsidP="00E93E22">
            <w:pPr>
              <w:jc w:val="center"/>
              <w:rPr>
                <w:rFonts w:ascii="Arial" w:hAnsi="Arial" w:cs="Arial"/>
                <w:sz w:val="20"/>
                <w:szCs w:val="20"/>
              </w:rPr>
            </w:pPr>
            <w:r w:rsidRPr="00685DE9">
              <w:rPr>
                <w:rFonts w:ascii="Arial" w:hAnsi="Arial" w:cs="Arial"/>
                <w:sz w:val="20"/>
                <w:szCs w:val="20"/>
              </w:rPr>
              <w:t xml:space="preserve">98 ± </w:t>
            </w:r>
            <w:r w:rsidR="00E93E22" w:rsidRPr="00685DE9">
              <w:rPr>
                <w:rFonts w:ascii="Arial" w:hAnsi="Arial" w:cs="Arial"/>
                <w:sz w:val="20"/>
                <w:szCs w:val="20"/>
              </w:rPr>
              <w:t>18</w:t>
            </w:r>
          </w:p>
        </w:tc>
        <w:tc>
          <w:tcPr>
            <w:tcW w:w="2058" w:type="dxa"/>
            <w:tcBorders>
              <w:left w:val="single" w:sz="4" w:space="0" w:color="auto"/>
              <w:right w:val="single" w:sz="4" w:space="0" w:color="auto"/>
            </w:tcBorders>
            <w:shd w:val="clear" w:color="auto" w:fill="auto"/>
            <w:noWrap/>
            <w:vAlign w:val="bottom"/>
            <w:hideMark/>
          </w:tcPr>
          <w:p w14:paraId="6D3ACA6E" w14:textId="355C6763" w:rsidR="00E34A37" w:rsidRPr="00685DE9" w:rsidRDefault="00E34A37" w:rsidP="00E93E22">
            <w:pPr>
              <w:jc w:val="center"/>
              <w:rPr>
                <w:rFonts w:ascii="Arial" w:hAnsi="Arial" w:cs="Arial"/>
                <w:sz w:val="20"/>
                <w:szCs w:val="20"/>
              </w:rPr>
            </w:pPr>
            <w:r w:rsidRPr="00685DE9">
              <w:rPr>
                <w:rFonts w:ascii="Arial" w:hAnsi="Arial" w:cs="Arial"/>
                <w:sz w:val="20"/>
                <w:szCs w:val="20"/>
              </w:rPr>
              <w:t>15</w:t>
            </w:r>
            <w:r w:rsidR="00E93E22" w:rsidRPr="00685DE9">
              <w:rPr>
                <w:rFonts w:ascii="Arial" w:hAnsi="Arial" w:cs="Arial"/>
                <w:sz w:val="20"/>
                <w:szCs w:val="20"/>
              </w:rPr>
              <w:t>9</w:t>
            </w:r>
            <w:r w:rsidRPr="00685DE9">
              <w:rPr>
                <w:rFonts w:ascii="Arial" w:hAnsi="Arial" w:cs="Arial"/>
                <w:sz w:val="20"/>
                <w:szCs w:val="20"/>
              </w:rPr>
              <w:t xml:space="preserve"> ± 1</w:t>
            </w:r>
            <w:r w:rsidR="00E93E22" w:rsidRPr="00685DE9">
              <w:rPr>
                <w:rFonts w:ascii="Arial" w:hAnsi="Arial" w:cs="Arial"/>
                <w:sz w:val="20"/>
                <w:szCs w:val="20"/>
              </w:rPr>
              <w:t>9</w:t>
            </w:r>
            <w:r w:rsidRPr="00685DE9">
              <w:rPr>
                <w:rFonts w:ascii="Arial" w:hAnsi="Arial" w:cs="Arial"/>
                <w:sz w:val="20"/>
                <w:szCs w:val="20"/>
              </w:rPr>
              <w:t>*</w:t>
            </w:r>
          </w:p>
        </w:tc>
        <w:tc>
          <w:tcPr>
            <w:tcW w:w="2087" w:type="dxa"/>
            <w:tcBorders>
              <w:left w:val="single" w:sz="4" w:space="0" w:color="auto"/>
              <w:right w:val="single" w:sz="4" w:space="0" w:color="auto"/>
            </w:tcBorders>
          </w:tcPr>
          <w:p w14:paraId="037E82DC" w14:textId="1EB30CFB" w:rsidR="00E34A37" w:rsidRPr="00685DE9" w:rsidRDefault="00E34A37" w:rsidP="00FB2843">
            <w:pPr>
              <w:jc w:val="center"/>
              <w:rPr>
                <w:rFonts w:ascii="Arial" w:hAnsi="Arial" w:cs="Arial"/>
                <w:sz w:val="20"/>
                <w:szCs w:val="20"/>
              </w:rPr>
            </w:pPr>
            <w:r w:rsidRPr="00685DE9">
              <w:rPr>
                <w:rFonts w:ascii="Arial" w:hAnsi="Arial" w:cs="Arial"/>
                <w:sz w:val="20"/>
                <w:szCs w:val="20"/>
              </w:rPr>
              <w:t>105± 8</w:t>
            </w:r>
            <w:r w:rsidR="00E93E22" w:rsidRPr="00685DE9">
              <w:rPr>
                <w:rFonts w:ascii="Arial" w:hAnsi="Arial" w:cs="Arial"/>
                <w:iCs/>
                <w:sz w:val="20"/>
                <w:szCs w:val="20"/>
                <w:vertAlign w:val="superscript"/>
              </w:rPr>
              <w:t>†</w:t>
            </w:r>
          </w:p>
        </w:tc>
      </w:tr>
      <w:tr w:rsidR="00685DE9" w:rsidRPr="00685DE9" w14:paraId="49AC03EC" w14:textId="276ED225" w:rsidTr="004477B3">
        <w:trPr>
          <w:trHeight w:val="315"/>
        </w:trPr>
        <w:tc>
          <w:tcPr>
            <w:tcW w:w="4656" w:type="dxa"/>
            <w:tcBorders>
              <w:bottom w:val="single" w:sz="4" w:space="0" w:color="auto"/>
              <w:right w:val="single" w:sz="4" w:space="0" w:color="auto"/>
            </w:tcBorders>
            <w:shd w:val="clear" w:color="auto" w:fill="auto"/>
            <w:noWrap/>
            <w:vAlign w:val="bottom"/>
            <w:hideMark/>
          </w:tcPr>
          <w:p w14:paraId="33A45837" w14:textId="77777777" w:rsidR="00E34A37" w:rsidRPr="00685DE9" w:rsidRDefault="00E34A37" w:rsidP="00FB2843">
            <w:pPr>
              <w:ind w:firstLine="317"/>
              <w:rPr>
                <w:rFonts w:ascii="Arial" w:hAnsi="Arial" w:cs="Arial"/>
                <w:sz w:val="20"/>
                <w:szCs w:val="20"/>
              </w:rPr>
            </w:pPr>
            <w:r w:rsidRPr="00685DE9">
              <w:rPr>
                <w:rFonts w:ascii="Arial" w:hAnsi="Arial" w:cs="Arial"/>
                <w:sz w:val="20"/>
                <w:szCs w:val="20"/>
              </w:rPr>
              <w:t>Homogenate + DHR123 + succinate</w:t>
            </w:r>
          </w:p>
        </w:tc>
        <w:tc>
          <w:tcPr>
            <w:tcW w:w="1648" w:type="dxa"/>
            <w:tcBorders>
              <w:left w:val="single" w:sz="4" w:space="0" w:color="auto"/>
              <w:bottom w:val="single" w:sz="4" w:space="0" w:color="auto"/>
              <w:right w:val="single" w:sz="4" w:space="0" w:color="auto"/>
            </w:tcBorders>
            <w:shd w:val="clear" w:color="auto" w:fill="auto"/>
            <w:noWrap/>
            <w:vAlign w:val="bottom"/>
            <w:hideMark/>
          </w:tcPr>
          <w:p w14:paraId="42D907A7"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102 ± 15</w:t>
            </w:r>
          </w:p>
        </w:tc>
        <w:tc>
          <w:tcPr>
            <w:tcW w:w="1648" w:type="dxa"/>
            <w:tcBorders>
              <w:left w:val="nil"/>
              <w:bottom w:val="single" w:sz="4" w:space="0" w:color="auto"/>
              <w:right w:val="single" w:sz="4" w:space="0" w:color="auto"/>
            </w:tcBorders>
            <w:shd w:val="clear" w:color="auto" w:fill="auto"/>
            <w:noWrap/>
            <w:vAlign w:val="bottom"/>
            <w:hideMark/>
          </w:tcPr>
          <w:p w14:paraId="1B076B0F"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188 ± 23*</w:t>
            </w:r>
          </w:p>
        </w:tc>
        <w:tc>
          <w:tcPr>
            <w:tcW w:w="1511" w:type="dxa"/>
            <w:tcBorders>
              <w:left w:val="nil"/>
              <w:bottom w:val="single" w:sz="4" w:space="0" w:color="auto"/>
              <w:right w:val="nil"/>
            </w:tcBorders>
            <w:shd w:val="clear" w:color="auto" w:fill="auto"/>
            <w:noWrap/>
            <w:vAlign w:val="bottom"/>
            <w:hideMark/>
          </w:tcPr>
          <w:p w14:paraId="06A2ECAE" w14:textId="29A8B32E" w:rsidR="00E34A37" w:rsidRPr="00685DE9" w:rsidRDefault="00E93E22" w:rsidP="00E93E22">
            <w:pPr>
              <w:jc w:val="center"/>
              <w:rPr>
                <w:rFonts w:ascii="Arial" w:hAnsi="Arial" w:cs="Arial"/>
                <w:sz w:val="20"/>
                <w:szCs w:val="20"/>
              </w:rPr>
            </w:pPr>
            <w:r w:rsidRPr="00685DE9">
              <w:rPr>
                <w:rFonts w:ascii="Arial" w:hAnsi="Arial" w:cs="Arial"/>
                <w:sz w:val="20"/>
                <w:szCs w:val="20"/>
              </w:rPr>
              <w:t>100</w:t>
            </w:r>
            <w:r w:rsidR="00E34A37" w:rsidRPr="00685DE9">
              <w:rPr>
                <w:rFonts w:ascii="Arial" w:hAnsi="Arial" w:cs="Arial"/>
                <w:sz w:val="20"/>
                <w:szCs w:val="20"/>
              </w:rPr>
              <w:t xml:space="preserve"> ± 1</w:t>
            </w:r>
            <w:r w:rsidRPr="00685DE9">
              <w:rPr>
                <w:rFonts w:ascii="Arial" w:hAnsi="Arial" w:cs="Arial"/>
                <w:sz w:val="20"/>
                <w:szCs w:val="20"/>
              </w:rPr>
              <w:t>5</w:t>
            </w:r>
          </w:p>
        </w:tc>
        <w:tc>
          <w:tcPr>
            <w:tcW w:w="2058" w:type="dxa"/>
            <w:tcBorders>
              <w:left w:val="single" w:sz="4" w:space="0" w:color="auto"/>
              <w:bottom w:val="single" w:sz="4" w:space="0" w:color="auto"/>
              <w:right w:val="single" w:sz="4" w:space="0" w:color="auto"/>
            </w:tcBorders>
            <w:shd w:val="clear" w:color="auto" w:fill="auto"/>
            <w:noWrap/>
            <w:vAlign w:val="bottom"/>
            <w:hideMark/>
          </w:tcPr>
          <w:p w14:paraId="335E749A" w14:textId="0F8C6D35" w:rsidR="00E34A37" w:rsidRPr="00685DE9" w:rsidRDefault="00E34A37" w:rsidP="00E93E22">
            <w:pPr>
              <w:jc w:val="center"/>
              <w:rPr>
                <w:rFonts w:ascii="Arial" w:hAnsi="Arial" w:cs="Arial"/>
                <w:sz w:val="20"/>
                <w:szCs w:val="20"/>
              </w:rPr>
            </w:pPr>
            <w:r w:rsidRPr="00685DE9">
              <w:rPr>
                <w:rFonts w:ascii="Arial" w:hAnsi="Arial" w:cs="Arial"/>
                <w:sz w:val="20"/>
                <w:szCs w:val="20"/>
              </w:rPr>
              <w:t>1</w:t>
            </w:r>
            <w:r w:rsidR="00E93E22" w:rsidRPr="00685DE9">
              <w:rPr>
                <w:rFonts w:ascii="Arial" w:hAnsi="Arial" w:cs="Arial"/>
                <w:sz w:val="20"/>
                <w:szCs w:val="20"/>
              </w:rPr>
              <w:t>84</w:t>
            </w:r>
            <w:r w:rsidRPr="00685DE9">
              <w:rPr>
                <w:rFonts w:ascii="Arial" w:hAnsi="Arial" w:cs="Arial"/>
                <w:sz w:val="20"/>
                <w:szCs w:val="20"/>
              </w:rPr>
              <w:t xml:space="preserve"> ± </w:t>
            </w:r>
            <w:r w:rsidR="00E93E22" w:rsidRPr="00685DE9">
              <w:rPr>
                <w:rFonts w:ascii="Arial" w:hAnsi="Arial" w:cs="Arial"/>
                <w:sz w:val="20"/>
                <w:szCs w:val="20"/>
              </w:rPr>
              <w:t>22</w:t>
            </w:r>
            <w:r w:rsidRPr="00685DE9">
              <w:rPr>
                <w:rFonts w:ascii="Arial" w:hAnsi="Arial" w:cs="Arial"/>
                <w:sz w:val="20"/>
                <w:szCs w:val="20"/>
              </w:rPr>
              <w:t>*</w:t>
            </w:r>
          </w:p>
        </w:tc>
        <w:tc>
          <w:tcPr>
            <w:tcW w:w="2087" w:type="dxa"/>
            <w:tcBorders>
              <w:left w:val="single" w:sz="4" w:space="0" w:color="auto"/>
              <w:bottom w:val="single" w:sz="4" w:space="0" w:color="auto"/>
              <w:right w:val="single" w:sz="4" w:space="0" w:color="auto"/>
            </w:tcBorders>
          </w:tcPr>
          <w:p w14:paraId="61808CF6" w14:textId="5605BEF1" w:rsidR="00E34A37" w:rsidRPr="00685DE9" w:rsidRDefault="00E34A37" w:rsidP="00FB2843">
            <w:pPr>
              <w:jc w:val="center"/>
              <w:rPr>
                <w:rFonts w:ascii="Arial" w:hAnsi="Arial" w:cs="Arial"/>
                <w:sz w:val="20"/>
                <w:szCs w:val="20"/>
              </w:rPr>
            </w:pPr>
            <w:r w:rsidRPr="00685DE9">
              <w:rPr>
                <w:rFonts w:ascii="Arial" w:hAnsi="Arial" w:cs="Arial"/>
                <w:sz w:val="20"/>
                <w:szCs w:val="20"/>
              </w:rPr>
              <w:t>114 ± 15</w:t>
            </w:r>
            <w:r w:rsidR="00E93E22" w:rsidRPr="00685DE9">
              <w:rPr>
                <w:rFonts w:ascii="Arial" w:hAnsi="Arial" w:cs="Arial"/>
                <w:iCs/>
                <w:sz w:val="20"/>
                <w:szCs w:val="20"/>
                <w:vertAlign w:val="superscript"/>
              </w:rPr>
              <w:t>†</w:t>
            </w:r>
          </w:p>
        </w:tc>
      </w:tr>
      <w:tr w:rsidR="00685DE9" w:rsidRPr="00685DE9" w14:paraId="127E436C" w14:textId="1BACAA10" w:rsidTr="004477B3">
        <w:trPr>
          <w:trHeight w:val="315"/>
        </w:trPr>
        <w:tc>
          <w:tcPr>
            <w:tcW w:w="4656" w:type="dxa"/>
            <w:tcBorders>
              <w:top w:val="single" w:sz="4" w:space="0" w:color="auto"/>
              <w:right w:val="single" w:sz="4" w:space="0" w:color="auto"/>
            </w:tcBorders>
            <w:shd w:val="clear" w:color="auto" w:fill="auto"/>
            <w:noWrap/>
            <w:vAlign w:val="bottom"/>
          </w:tcPr>
          <w:p w14:paraId="55B6B31E" w14:textId="77777777" w:rsidR="00E34A37" w:rsidRPr="00685DE9" w:rsidRDefault="00E34A37" w:rsidP="00FB2843">
            <w:pPr>
              <w:rPr>
                <w:rFonts w:ascii="Arial" w:hAnsi="Arial" w:cs="Arial"/>
                <w:b/>
                <w:sz w:val="20"/>
                <w:szCs w:val="20"/>
              </w:rPr>
            </w:pPr>
            <w:r w:rsidRPr="00685DE9">
              <w:rPr>
                <w:rFonts w:ascii="Arial" w:hAnsi="Arial" w:cs="Arial"/>
                <w:b/>
                <w:sz w:val="20"/>
                <w:szCs w:val="20"/>
              </w:rPr>
              <w:t>Mitochondrial GSH</w:t>
            </w:r>
            <w:r w:rsidRPr="00685DE9">
              <w:rPr>
                <w:rFonts w:ascii="Arial" w:hAnsi="Arial" w:cs="Arial"/>
                <w:sz w:val="20"/>
                <w:szCs w:val="20"/>
              </w:rPr>
              <w:t xml:space="preserve"> (nmol/mg protein)</w:t>
            </w:r>
          </w:p>
        </w:tc>
        <w:tc>
          <w:tcPr>
            <w:tcW w:w="1648" w:type="dxa"/>
            <w:tcBorders>
              <w:top w:val="single" w:sz="4" w:space="0" w:color="auto"/>
              <w:left w:val="single" w:sz="4" w:space="0" w:color="auto"/>
              <w:right w:val="single" w:sz="4" w:space="0" w:color="auto"/>
            </w:tcBorders>
            <w:shd w:val="clear" w:color="auto" w:fill="auto"/>
            <w:noWrap/>
            <w:vAlign w:val="bottom"/>
          </w:tcPr>
          <w:p w14:paraId="5D027B3C"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8.84 ± 1.12</w:t>
            </w:r>
          </w:p>
        </w:tc>
        <w:tc>
          <w:tcPr>
            <w:tcW w:w="1648" w:type="dxa"/>
            <w:tcBorders>
              <w:top w:val="single" w:sz="4" w:space="0" w:color="auto"/>
              <w:left w:val="nil"/>
              <w:right w:val="single" w:sz="4" w:space="0" w:color="auto"/>
            </w:tcBorders>
            <w:shd w:val="clear" w:color="auto" w:fill="auto"/>
            <w:noWrap/>
            <w:vAlign w:val="bottom"/>
          </w:tcPr>
          <w:p w14:paraId="433E97DF"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3.63 ± 0.58*</w:t>
            </w:r>
          </w:p>
        </w:tc>
        <w:tc>
          <w:tcPr>
            <w:tcW w:w="1511" w:type="dxa"/>
            <w:tcBorders>
              <w:top w:val="single" w:sz="4" w:space="0" w:color="auto"/>
              <w:left w:val="nil"/>
              <w:right w:val="nil"/>
            </w:tcBorders>
            <w:shd w:val="clear" w:color="auto" w:fill="auto"/>
            <w:noWrap/>
            <w:vAlign w:val="bottom"/>
          </w:tcPr>
          <w:p w14:paraId="53550F24" w14:textId="2B045BB1" w:rsidR="00E34A37" w:rsidRPr="00685DE9" w:rsidRDefault="00F84CD6" w:rsidP="00F84CD6">
            <w:pPr>
              <w:jc w:val="center"/>
              <w:rPr>
                <w:rFonts w:ascii="Arial" w:hAnsi="Arial" w:cs="Arial"/>
                <w:sz w:val="20"/>
                <w:szCs w:val="20"/>
              </w:rPr>
            </w:pPr>
            <w:r w:rsidRPr="00685DE9">
              <w:rPr>
                <w:rFonts w:ascii="Arial" w:hAnsi="Arial" w:cs="Arial"/>
                <w:sz w:val="20"/>
                <w:szCs w:val="20"/>
              </w:rPr>
              <w:t>9</w:t>
            </w:r>
            <w:r w:rsidR="00E34A37" w:rsidRPr="00685DE9">
              <w:rPr>
                <w:rFonts w:ascii="Arial" w:hAnsi="Arial" w:cs="Arial"/>
                <w:sz w:val="20"/>
                <w:szCs w:val="20"/>
              </w:rPr>
              <w:t xml:space="preserve">.24 ± </w:t>
            </w:r>
            <w:r w:rsidRPr="00685DE9">
              <w:rPr>
                <w:rFonts w:ascii="Arial" w:hAnsi="Arial" w:cs="Arial"/>
                <w:sz w:val="20"/>
                <w:szCs w:val="20"/>
              </w:rPr>
              <w:t>1</w:t>
            </w:r>
            <w:r w:rsidR="00E34A37" w:rsidRPr="00685DE9">
              <w:rPr>
                <w:rFonts w:ascii="Arial" w:hAnsi="Arial" w:cs="Arial"/>
                <w:sz w:val="20"/>
                <w:szCs w:val="20"/>
              </w:rPr>
              <w:t>.</w:t>
            </w:r>
            <w:r w:rsidRPr="00685DE9">
              <w:rPr>
                <w:rFonts w:ascii="Arial" w:hAnsi="Arial" w:cs="Arial"/>
                <w:sz w:val="20"/>
                <w:szCs w:val="20"/>
              </w:rPr>
              <w:t>12</w:t>
            </w:r>
          </w:p>
        </w:tc>
        <w:tc>
          <w:tcPr>
            <w:tcW w:w="2058" w:type="dxa"/>
            <w:tcBorders>
              <w:top w:val="single" w:sz="4" w:space="0" w:color="auto"/>
              <w:left w:val="single" w:sz="4" w:space="0" w:color="auto"/>
              <w:right w:val="single" w:sz="4" w:space="0" w:color="auto"/>
            </w:tcBorders>
            <w:shd w:val="clear" w:color="auto" w:fill="auto"/>
            <w:noWrap/>
            <w:vAlign w:val="bottom"/>
          </w:tcPr>
          <w:p w14:paraId="0132BCB6" w14:textId="77B169CC" w:rsidR="00E34A37" w:rsidRPr="00685DE9" w:rsidRDefault="00F84CD6" w:rsidP="00F84CD6">
            <w:pPr>
              <w:jc w:val="center"/>
              <w:rPr>
                <w:rFonts w:ascii="Arial" w:hAnsi="Arial" w:cs="Arial"/>
                <w:sz w:val="20"/>
                <w:szCs w:val="20"/>
              </w:rPr>
            </w:pPr>
            <w:r w:rsidRPr="00685DE9">
              <w:rPr>
                <w:rFonts w:ascii="Arial" w:hAnsi="Arial" w:cs="Arial"/>
                <w:sz w:val="20"/>
                <w:szCs w:val="20"/>
              </w:rPr>
              <w:t>4.21</w:t>
            </w:r>
            <w:r w:rsidR="00E34A37" w:rsidRPr="00685DE9">
              <w:rPr>
                <w:rFonts w:ascii="Arial" w:hAnsi="Arial" w:cs="Arial"/>
                <w:sz w:val="20"/>
                <w:szCs w:val="20"/>
              </w:rPr>
              <w:t xml:space="preserve"> ± 1.</w:t>
            </w:r>
            <w:r w:rsidRPr="00685DE9">
              <w:rPr>
                <w:rFonts w:ascii="Arial" w:hAnsi="Arial" w:cs="Arial"/>
                <w:sz w:val="20"/>
                <w:szCs w:val="20"/>
              </w:rPr>
              <w:t>10</w:t>
            </w:r>
            <w:r w:rsidR="00E34A37" w:rsidRPr="00685DE9">
              <w:rPr>
                <w:rFonts w:ascii="Arial" w:hAnsi="Arial" w:cs="Arial"/>
                <w:sz w:val="20"/>
                <w:szCs w:val="20"/>
              </w:rPr>
              <w:t>*</w:t>
            </w:r>
          </w:p>
        </w:tc>
        <w:tc>
          <w:tcPr>
            <w:tcW w:w="2087" w:type="dxa"/>
            <w:tcBorders>
              <w:top w:val="single" w:sz="4" w:space="0" w:color="auto"/>
              <w:left w:val="single" w:sz="4" w:space="0" w:color="auto"/>
              <w:right w:val="single" w:sz="4" w:space="0" w:color="auto"/>
            </w:tcBorders>
          </w:tcPr>
          <w:p w14:paraId="4A04E27B" w14:textId="43F4F56D" w:rsidR="00E34A37" w:rsidRPr="00685DE9" w:rsidRDefault="00F84CD6" w:rsidP="00F84CD6">
            <w:pPr>
              <w:jc w:val="center"/>
              <w:rPr>
                <w:rFonts w:ascii="Arial" w:hAnsi="Arial" w:cs="Arial"/>
                <w:sz w:val="20"/>
                <w:szCs w:val="20"/>
              </w:rPr>
            </w:pPr>
            <w:r w:rsidRPr="00685DE9">
              <w:rPr>
                <w:rFonts w:ascii="Arial" w:hAnsi="Arial" w:cs="Arial"/>
                <w:sz w:val="20"/>
                <w:szCs w:val="20"/>
              </w:rPr>
              <w:t>8</w:t>
            </w:r>
            <w:r w:rsidR="00D170A2" w:rsidRPr="00685DE9">
              <w:rPr>
                <w:rFonts w:ascii="Arial" w:hAnsi="Arial" w:cs="Arial"/>
                <w:sz w:val="20"/>
                <w:szCs w:val="20"/>
              </w:rPr>
              <w:t>.</w:t>
            </w:r>
            <w:r w:rsidRPr="00685DE9">
              <w:rPr>
                <w:rFonts w:ascii="Arial" w:hAnsi="Arial" w:cs="Arial"/>
                <w:sz w:val="20"/>
                <w:szCs w:val="20"/>
              </w:rPr>
              <w:t>88</w:t>
            </w:r>
            <w:r w:rsidR="00D170A2" w:rsidRPr="00685DE9">
              <w:rPr>
                <w:rFonts w:ascii="Arial" w:hAnsi="Arial" w:cs="Arial"/>
                <w:sz w:val="20"/>
                <w:szCs w:val="20"/>
              </w:rPr>
              <w:t xml:space="preserve"> ± </w:t>
            </w:r>
            <w:r w:rsidRPr="00685DE9">
              <w:rPr>
                <w:rFonts w:ascii="Arial" w:hAnsi="Arial" w:cs="Arial"/>
                <w:sz w:val="20"/>
                <w:szCs w:val="20"/>
              </w:rPr>
              <w:t>1</w:t>
            </w:r>
            <w:r w:rsidR="00D170A2" w:rsidRPr="00685DE9">
              <w:rPr>
                <w:rFonts w:ascii="Arial" w:hAnsi="Arial" w:cs="Arial"/>
                <w:sz w:val="20"/>
                <w:szCs w:val="20"/>
              </w:rPr>
              <w:t>.</w:t>
            </w:r>
            <w:r w:rsidRPr="00685DE9">
              <w:rPr>
                <w:rFonts w:ascii="Arial" w:hAnsi="Arial" w:cs="Arial"/>
                <w:sz w:val="20"/>
                <w:szCs w:val="20"/>
              </w:rPr>
              <w:t>33</w:t>
            </w:r>
            <w:r w:rsidR="00D170A2" w:rsidRPr="00685DE9">
              <w:rPr>
                <w:rFonts w:ascii="Arial" w:hAnsi="Arial" w:cs="Arial"/>
                <w:iCs/>
                <w:sz w:val="20"/>
                <w:szCs w:val="20"/>
                <w:vertAlign w:val="superscript"/>
              </w:rPr>
              <w:t>†</w:t>
            </w:r>
          </w:p>
        </w:tc>
      </w:tr>
      <w:tr w:rsidR="00685DE9" w:rsidRPr="00685DE9" w14:paraId="2BA25DAE" w14:textId="38716B24" w:rsidTr="004477B3">
        <w:trPr>
          <w:trHeight w:val="315"/>
        </w:trPr>
        <w:tc>
          <w:tcPr>
            <w:tcW w:w="4656" w:type="dxa"/>
            <w:tcBorders>
              <w:right w:val="single" w:sz="4" w:space="0" w:color="auto"/>
            </w:tcBorders>
            <w:shd w:val="clear" w:color="auto" w:fill="auto"/>
            <w:noWrap/>
            <w:vAlign w:val="bottom"/>
            <w:hideMark/>
          </w:tcPr>
          <w:p w14:paraId="10ED4DA5" w14:textId="77777777" w:rsidR="00E34A37" w:rsidRPr="00685DE9" w:rsidRDefault="00E34A37" w:rsidP="00FB2843">
            <w:pPr>
              <w:rPr>
                <w:rFonts w:ascii="Arial" w:hAnsi="Arial" w:cs="Arial"/>
                <w:sz w:val="20"/>
                <w:szCs w:val="20"/>
              </w:rPr>
            </w:pPr>
            <w:r w:rsidRPr="00685DE9">
              <w:rPr>
                <w:rFonts w:ascii="Arial" w:hAnsi="Arial" w:cs="Arial"/>
                <w:b/>
                <w:sz w:val="20"/>
                <w:szCs w:val="20"/>
              </w:rPr>
              <w:t>Total GSH</w:t>
            </w:r>
            <w:r w:rsidRPr="00685DE9">
              <w:rPr>
                <w:rFonts w:ascii="Arial" w:hAnsi="Arial" w:cs="Arial"/>
                <w:sz w:val="20"/>
                <w:szCs w:val="20"/>
              </w:rPr>
              <w:t xml:space="preserve"> (nmol/mg protein)</w:t>
            </w:r>
          </w:p>
        </w:tc>
        <w:tc>
          <w:tcPr>
            <w:tcW w:w="1648" w:type="dxa"/>
            <w:tcBorders>
              <w:left w:val="single" w:sz="4" w:space="0" w:color="auto"/>
              <w:right w:val="single" w:sz="4" w:space="0" w:color="auto"/>
            </w:tcBorders>
            <w:shd w:val="clear" w:color="auto" w:fill="auto"/>
            <w:noWrap/>
            <w:vAlign w:val="bottom"/>
            <w:hideMark/>
          </w:tcPr>
          <w:p w14:paraId="7AC875E3"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 xml:space="preserve">25.40 ± 10 </w:t>
            </w:r>
          </w:p>
        </w:tc>
        <w:tc>
          <w:tcPr>
            <w:tcW w:w="1648" w:type="dxa"/>
            <w:tcBorders>
              <w:left w:val="nil"/>
              <w:right w:val="single" w:sz="4" w:space="0" w:color="auto"/>
            </w:tcBorders>
            <w:shd w:val="clear" w:color="auto" w:fill="auto"/>
            <w:noWrap/>
            <w:vAlign w:val="bottom"/>
            <w:hideMark/>
          </w:tcPr>
          <w:p w14:paraId="775F7DD6"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19.01 ± 4.48</w:t>
            </w:r>
          </w:p>
        </w:tc>
        <w:tc>
          <w:tcPr>
            <w:tcW w:w="1511" w:type="dxa"/>
            <w:tcBorders>
              <w:left w:val="nil"/>
              <w:right w:val="nil"/>
            </w:tcBorders>
            <w:shd w:val="clear" w:color="auto" w:fill="auto"/>
            <w:noWrap/>
            <w:vAlign w:val="bottom"/>
            <w:hideMark/>
          </w:tcPr>
          <w:p w14:paraId="256B6046"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20.25 ± 2.8</w:t>
            </w:r>
          </w:p>
        </w:tc>
        <w:tc>
          <w:tcPr>
            <w:tcW w:w="2058" w:type="dxa"/>
            <w:tcBorders>
              <w:left w:val="single" w:sz="4" w:space="0" w:color="auto"/>
              <w:right w:val="single" w:sz="4" w:space="0" w:color="auto"/>
            </w:tcBorders>
            <w:shd w:val="clear" w:color="auto" w:fill="auto"/>
            <w:noWrap/>
            <w:vAlign w:val="bottom"/>
            <w:hideMark/>
          </w:tcPr>
          <w:p w14:paraId="235915B4"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18 ± 4.74</w:t>
            </w:r>
          </w:p>
        </w:tc>
        <w:tc>
          <w:tcPr>
            <w:tcW w:w="2087" w:type="dxa"/>
            <w:tcBorders>
              <w:left w:val="single" w:sz="4" w:space="0" w:color="auto"/>
              <w:right w:val="single" w:sz="4" w:space="0" w:color="auto"/>
            </w:tcBorders>
          </w:tcPr>
          <w:p w14:paraId="7228117A" w14:textId="53A1BC72" w:rsidR="00E34A37" w:rsidRPr="00685DE9" w:rsidRDefault="00E34A37" w:rsidP="00FB2843">
            <w:pPr>
              <w:jc w:val="center"/>
              <w:rPr>
                <w:rFonts w:ascii="Arial" w:hAnsi="Arial" w:cs="Arial"/>
                <w:sz w:val="20"/>
                <w:szCs w:val="20"/>
              </w:rPr>
            </w:pPr>
            <w:r w:rsidRPr="00685DE9">
              <w:rPr>
                <w:rFonts w:ascii="Arial" w:hAnsi="Arial" w:cs="Arial"/>
                <w:sz w:val="20"/>
                <w:szCs w:val="20"/>
              </w:rPr>
              <w:t>ND</w:t>
            </w:r>
          </w:p>
        </w:tc>
      </w:tr>
      <w:tr w:rsidR="00685DE9" w:rsidRPr="00685DE9" w14:paraId="1C616398" w14:textId="06336784" w:rsidTr="004477B3">
        <w:trPr>
          <w:trHeight w:val="315"/>
        </w:trPr>
        <w:tc>
          <w:tcPr>
            <w:tcW w:w="4656" w:type="dxa"/>
            <w:tcBorders>
              <w:bottom w:val="single" w:sz="4" w:space="0" w:color="auto"/>
              <w:right w:val="single" w:sz="4" w:space="0" w:color="auto"/>
            </w:tcBorders>
            <w:shd w:val="clear" w:color="auto" w:fill="auto"/>
            <w:noWrap/>
            <w:vAlign w:val="bottom"/>
            <w:hideMark/>
          </w:tcPr>
          <w:p w14:paraId="0EF09409" w14:textId="77777777" w:rsidR="00E34A37" w:rsidRPr="00685DE9" w:rsidRDefault="00E34A37" w:rsidP="00FB2843">
            <w:pPr>
              <w:rPr>
                <w:rFonts w:ascii="Arial" w:hAnsi="Arial" w:cs="Arial"/>
                <w:sz w:val="20"/>
                <w:szCs w:val="20"/>
              </w:rPr>
            </w:pPr>
            <w:r w:rsidRPr="00685DE9">
              <w:rPr>
                <w:rFonts w:ascii="Arial" w:hAnsi="Arial" w:cs="Arial"/>
                <w:b/>
                <w:sz w:val="20"/>
                <w:szCs w:val="20"/>
              </w:rPr>
              <w:t>Medium nitrite/nitrate</w:t>
            </w:r>
            <w:r w:rsidRPr="00685DE9">
              <w:rPr>
                <w:rFonts w:ascii="Arial" w:hAnsi="Arial" w:cs="Arial"/>
                <w:sz w:val="20"/>
                <w:szCs w:val="20"/>
              </w:rPr>
              <w:t xml:space="preserve"> (µM)</w:t>
            </w:r>
          </w:p>
        </w:tc>
        <w:tc>
          <w:tcPr>
            <w:tcW w:w="1648" w:type="dxa"/>
            <w:tcBorders>
              <w:left w:val="single" w:sz="4" w:space="0" w:color="auto"/>
              <w:bottom w:val="single" w:sz="4" w:space="0" w:color="auto"/>
              <w:right w:val="single" w:sz="4" w:space="0" w:color="auto"/>
            </w:tcBorders>
            <w:shd w:val="clear" w:color="auto" w:fill="auto"/>
            <w:noWrap/>
            <w:vAlign w:val="bottom"/>
            <w:hideMark/>
          </w:tcPr>
          <w:p w14:paraId="3E6BDD1C"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4.42 ± 0.56</w:t>
            </w:r>
          </w:p>
        </w:tc>
        <w:tc>
          <w:tcPr>
            <w:tcW w:w="1648" w:type="dxa"/>
            <w:tcBorders>
              <w:left w:val="nil"/>
              <w:bottom w:val="single" w:sz="4" w:space="0" w:color="auto"/>
              <w:right w:val="single" w:sz="4" w:space="0" w:color="auto"/>
            </w:tcBorders>
            <w:shd w:val="clear" w:color="auto" w:fill="auto"/>
            <w:noWrap/>
            <w:vAlign w:val="bottom"/>
            <w:hideMark/>
          </w:tcPr>
          <w:p w14:paraId="4B0E4BB8"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9.76 ± 1.22*</w:t>
            </w:r>
          </w:p>
        </w:tc>
        <w:tc>
          <w:tcPr>
            <w:tcW w:w="1511" w:type="dxa"/>
            <w:tcBorders>
              <w:left w:val="nil"/>
              <w:bottom w:val="single" w:sz="4" w:space="0" w:color="auto"/>
              <w:right w:val="nil"/>
            </w:tcBorders>
            <w:shd w:val="clear" w:color="auto" w:fill="auto"/>
            <w:noWrap/>
            <w:vAlign w:val="bottom"/>
            <w:hideMark/>
          </w:tcPr>
          <w:p w14:paraId="7E7BB5CB"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3.63 ± 1.05</w:t>
            </w:r>
          </w:p>
        </w:tc>
        <w:tc>
          <w:tcPr>
            <w:tcW w:w="2058" w:type="dxa"/>
            <w:tcBorders>
              <w:left w:val="single" w:sz="4" w:space="0" w:color="auto"/>
              <w:bottom w:val="single" w:sz="4" w:space="0" w:color="auto"/>
              <w:right w:val="single" w:sz="4" w:space="0" w:color="auto"/>
            </w:tcBorders>
            <w:shd w:val="clear" w:color="auto" w:fill="auto"/>
            <w:noWrap/>
            <w:vAlign w:val="bottom"/>
            <w:hideMark/>
          </w:tcPr>
          <w:p w14:paraId="6AFA38C9" w14:textId="77777777" w:rsidR="00E34A37" w:rsidRPr="00685DE9" w:rsidRDefault="00E34A37" w:rsidP="00FB2843">
            <w:pPr>
              <w:jc w:val="center"/>
              <w:rPr>
                <w:rFonts w:ascii="Arial" w:hAnsi="Arial" w:cs="Arial"/>
                <w:sz w:val="20"/>
                <w:szCs w:val="20"/>
              </w:rPr>
            </w:pPr>
            <w:r w:rsidRPr="00685DE9">
              <w:rPr>
                <w:rFonts w:ascii="Arial" w:hAnsi="Arial" w:cs="Arial"/>
                <w:sz w:val="20"/>
                <w:szCs w:val="20"/>
              </w:rPr>
              <w:t>7.28 ± 0.85 *</w:t>
            </w:r>
          </w:p>
        </w:tc>
        <w:tc>
          <w:tcPr>
            <w:tcW w:w="2087" w:type="dxa"/>
            <w:tcBorders>
              <w:left w:val="single" w:sz="4" w:space="0" w:color="auto"/>
              <w:bottom w:val="single" w:sz="4" w:space="0" w:color="auto"/>
              <w:right w:val="single" w:sz="4" w:space="0" w:color="auto"/>
            </w:tcBorders>
          </w:tcPr>
          <w:p w14:paraId="7D16DF88" w14:textId="33EAD95E" w:rsidR="00E34A37" w:rsidRPr="00685DE9" w:rsidRDefault="00E34A37" w:rsidP="00FB2843">
            <w:pPr>
              <w:jc w:val="center"/>
              <w:rPr>
                <w:rFonts w:ascii="Arial" w:hAnsi="Arial" w:cs="Arial"/>
                <w:sz w:val="20"/>
                <w:szCs w:val="20"/>
              </w:rPr>
            </w:pPr>
            <w:r w:rsidRPr="00685DE9">
              <w:rPr>
                <w:rFonts w:ascii="Arial" w:hAnsi="Arial" w:cs="Arial"/>
                <w:sz w:val="20"/>
                <w:szCs w:val="20"/>
              </w:rPr>
              <w:t>ND</w:t>
            </w:r>
          </w:p>
        </w:tc>
      </w:tr>
    </w:tbl>
    <w:p w14:paraId="5F367956" w14:textId="2A6D9906" w:rsidR="00EB774E" w:rsidRPr="00685DE9" w:rsidRDefault="00EB774E" w:rsidP="0090657C">
      <w:pPr>
        <w:spacing w:line="360" w:lineRule="auto"/>
        <w:ind w:left="-2410"/>
        <w:jc w:val="both"/>
        <w:rPr>
          <w:rFonts w:ascii="Arial" w:eastAsiaTheme="minorHAnsi" w:hAnsi="Arial" w:cs="Arial"/>
          <w:sz w:val="20"/>
          <w:szCs w:val="20"/>
        </w:rPr>
      </w:pPr>
      <w:r w:rsidRPr="00685DE9">
        <w:rPr>
          <w:rFonts w:ascii="Arial" w:eastAsiaTheme="minorHAnsi" w:hAnsi="Arial" w:cs="Arial"/>
          <w:sz w:val="20"/>
          <w:szCs w:val="20"/>
        </w:rPr>
        <w:t xml:space="preserve">Note: Mitochondrial ROS and RNS formation was evaluated by recording the relative fluorescence of specific fluorogenic dyes. Mitochondrial superoxide formation was detected with </w:t>
      </w:r>
      <w:proofErr w:type="spellStart"/>
      <w:r w:rsidRPr="00685DE9">
        <w:rPr>
          <w:rFonts w:ascii="Arial" w:eastAsiaTheme="minorHAnsi" w:hAnsi="Arial" w:cs="Arial"/>
          <w:sz w:val="20"/>
          <w:szCs w:val="20"/>
        </w:rPr>
        <w:t>MitoSOX</w:t>
      </w:r>
      <w:proofErr w:type="spellEnd"/>
      <w:r w:rsidRPr="00685DE9">
        <w:rPr>
          <w:rFonts w:ascii="Arial" w:eastAsiaTheme="minorHAnsi" w:hAnsi="Arial" w:cs="Arial"/>
          <w:sz w:val="20"/>
          <w:szCs w:val="20"/>
        </w:rPr>
        <w:t xml:space="preserve"> Red, and mitochondrial peroxide formation with H2DCF after incubation of mitochondria with either malate and glutamate (mal/</w:t>
      </w:r>
      <w:proofErr w:type="spellStart"/>
      <w:r w:rsidRPr="00685DE9">
        <w:rPr>
          <w:rFonts w:ascii="Arial" w:eastAsiaTheme="minorHAnsi" w:hAnsi="Arial" w:cs="Arial"/>
          <w:sz w:val="20"/>
          <w:szCs w:val="20"/>
        </w:rPr>
        <w:t>glu</w:t>
      </w:r>
      <w:proofErr w:type="spellEnd"/>
      <w:r w:rsidRPr="00685DE9">
        <w:rPr>
          <w:rFonts w:ascii="Arial" w:eastAsiaTheme="minorHAnsi" w:hAnsi="Arial" w:cs="Arial"/>
          <w:sz w:val="20"/>
          <w:szCs w:val="20"/>
        </w:rPr>
        <w:t xml:space="preserve">) or succinate. The formation of </w:t>
      </w:r>
      <w:proofErr w:type="spellStart"/>
      <w:r w:rsidRPr="00685DE9">
        <w:rPr>
          <w:rFonts w:ascii="Arial" w:eastAsiaTheme="minorHAnsi" w:hAnsi="Arial" w:cs="Arial"/>
          <w:sz w:val="20"/>
          <w:szCs w:val="20"/>
        </w:rPr>
        <w:t>peroxynitrite</w:t>
      </w:r>
      <w:proofErr w:type="spellEnd"/>
      <w:r w:rsidRPr="00685DE9">
        <w:rPr>
          <w:rFonts w:ascii="Arial" w:eastAsiaTheme="minorHAnsi" w:hAnsi="Arial" w:cs="Arial"/>
          <w:sz w:val="20"/>
          <w:szCs w:val="20"/>
        </w:rPr>
        <w:t xml:space="preserve"> and other ROS in a whole homogenate was evaluated with the mitochondrial-avid dye, DHR123. Values are expressed as mean </w:t>
      </w:r>
      <w:r w:rsidRPr="00685DE9">
        <w:rPr>
          <w:rFonts w:ascii="Arial" w:hAnsi="Arial" w:cs="Arial"/>
          <w:sz w:val="20"/>
          <w:szCs w:val="20"/>
        </w:rPr>
        <w:t xml:space="preserve">± </w:t>
      </w:r>
      <w:r w:rsidRPr="00685DE9">
        <w:rPr>
          <w:rFonts w:ascii="Arial" w:eastAsiaTheme="minorHAnsi" w:hAnsi="Arial" w:cs="Arial"/>
          <w:sz w:val="20"/>
          <w:szCs w:val="20"/>
        </w:rPr>
        <w:t xml:space="preserve">SEM for </w:t>
      </w:r>
      <w:r w:rsidR="00E93E22" w:rsidRPr="00685DE9">
        <w:rPr>
          <w:rFonts w:ascii="Arial" w:eastAsiaTheme="minorHAnsi" w:hAnsi="Arial" w:cs="Arial"/>
          <w:sz w:val="20"/>
          <w:szCs w:val="20"/>
        </w:rPr>
        <w:t>3-8</w:t>
      </w:r>
      <w:r w:rsidRPr="00685DE9">
        <w:rPr>
          <w:rFonts w:ascii="Arial" w:eastAsiaTheme="minorHAnsi" w:hAnsi="Arial" w:cs="Arial"/>
          <w:sz w:val="20"/>
          <w:szCs w:val="20"/>
        </w:rPr>
        <w:t xml:space="preserve"> determinations in each condition. *Different from corresponding empty vector</w:t>
      </w:r>
      <w:r w:rsidRPr="00685DE9">
        <w:rPr>
          <w:rFonts w:ascii="Arial" w:eastAsiaTheme="minorHAnsi" w:hAnsi="Arial" w:cs="Arial"/>
          <w:i/>
          <w:sz w:val="20"/>
          <w:szCs w:val="20"/>
        </w:rPr>
        <w:t>, p&lt;0.05</w:t>
      </w:r>
      <w:r w:rsidRPr="00685DE9">
        <w:rPr>
          <w:rFonts w:ascii="Arial" w:eastAsiaTheme="minorHAnsi" w:hAnsi="Arial" w:cs="Arial"/>
          <w:sz w:val="20"/>
          <w:szCs w:val="20"/>
        </w:rPr>
        <w:t xml:space="preserve">. </w:t>
      </w:r>
      <w:r w:rsidRPr="00685DE9">
        <w:rPr>
          <w:rFonts w:ascii="Arial" w:eastAsiaTheme="minorHAnsi" w:hAnsi="Arial" w:cs="Arial"/>
          <w:sz w:val="20"/>
          <w:szCs w:val="20"/>
          <w:vertAlign w:val="superscript"/>
        </w:rPr>
        <w:t>#</w:t>
      </w:r>
      <w:r w:rsidRPr="00685DE9">
        <w:rPr>
          <w:rFonts w:ascii="Arial" w:eastAsiaTheme="minorHAnsi" w:hAnsi="Arial" w:cs="Arial"/>
          <w:sz w:val="20"/>
          <w:szCs w:val="20"/>
        </w:rPr>
        <w:t>Different from HBV</w:t>
      </w:r>
      <w:r w:rsidRPr="00685DE9">
        <w:rPr>
          <w:rFonts w:ascii="Arial" w:eastAsiaTheme="minorHAnsi" w:hAnsi="Arial" w:cs="Arial"/>
          <w:i/>
          <w:sz w:val="20"/>
          <w:szCs w:val="20"/>
        </w:rPr>
        <w:t>, p&lt;0.05.</w:t>
      </w:r>
      <w:r w:rsidRPr="00685DE9">
        <w:rPr>
          <w:rFonts w:ascii="Arial" w:hAnsi="Arial" w:cs="Arial"/>
          <w:i/>
          <w:sz w:val="20"/>
          <w:szCs w:val="20"/>
        </w:rPr>
        <w:t xml:space="preserve"> Mann-Whitney U-test.</w:t>
      </w:r>
      <w:r w:rsidRPr="00685DE9">
        <w:rPr>
          <w:rFonts w:ascii="Arial" w:hAnsi="Arial" w:cs="Arial"/>
          <w:sz w:val="20"/>
          <w:szCs w:val="20"/>
        </w:rPr>
        <w:t xml:space="preserve"> </w:t>
      </w:r>
      <w:r w:rsidR="00E93E22" w:rsidRPr="00685DE9">
        <w:rPr>
          <w:rFonts w:ascii="Arial" w:hAnsi="Arial" w:cs="Arial"/>
          <w:iCs/>
          <w:sz w:val="20"/>
          <w:szCs w:val="20"/>
          <w:vertAlign w:val="superscript"/>
        </w:rPr>
        <w:t>†</w:t>
      </w:r>
      <w:r w:rsidR="00E93E22" w:rsidRPr="00685DE9">
        <w:rPr>
          <w:rFonts w:ascii="Arial" w:hAnsi="Arial" w:cs="Arial"/>
          <w:sz w:val="20"/>
          <w:szCs w:val="20"/>
        </w:rPr>
        <w:t>,</w:t>
      </w:r>
      <w:r w:rsidR="00E93E22" w:rsidRPr="00685DE9">
        <w:rPr>
          <w:rFonts w:ascii="Arial" w:hAnsi="Arial" w:cs="Arial"/>
          <w:sz w:val="20"/>
          <w:szCs w:val="20"/>
          <w:vertAlign w:val="superscript"/>
        </w:rPr>
        <w:t xml:space="preserve"> </w:t>
      </w:r>
      <w:r w:rsidR="00E93E22" w:rsidRPr="00685DE9">
        <w:rPr>
          <w:rFonts w:ascii="Arial" w:hAnsi="Arial" w:cs="Arial"/>
          <w:sz w:val="20"/>
          <w:szCs w:val="20"/>
        </w:rPr>
        <w:t xml:space="preserve">different from </w:t>
      </w:r>
      <w:r w:rsidR="00980111" w:rsidRPr="00685DE9">
        <w:rPr>
          <w:rFonts w:ascii="Arial" w:hAnsi="Arial" w:cs="Arial"/>
          <w:sz w:val="20"/>
          <w:szCs w:val="20"/>
        </w:rPr>
        <w:t xml:space="preserve">wild type </w:t>
      </w:r>
      <w:proofErr w:type="spellStart"/>
      <w:r w:rsidR="00980111" w:rsidRPr="00685DE9">
        <w:rPr>
          <w:rFonts w:ascii="Arial" w:hAnsi="Arial" w:cs="Arial"/>
          <w:sz w:val="20"/>
          <w:szCs w:val="20"/>
        </w:rPr>
        <w:t>HBx</w:t>
      </w:r>
      <w:proofErr w:type="spellEnd"/>
      <w:r w:rsidR="004477B3" w:rsidRPr="00685DE9">
        <w:rPr>
          <w:rFonts w:ascii="Arial" w:hAnsi="Arial" w:cs="Arial"/>
          <w:sz w:val="20"/>
          <w:szCs w:val="20"/>
        </w:rPr>
        <w:t xml:space="preserve">, </w:t>
      </w:r>
      <w:r w:rsidR="004477B3" w:rsidRPr="00685DE9">
        <w:rPr>
          <w:rFonts w:ascii="Arial" w:eastAsiaTheme="minorHAnsi" w:hAnsi="Arial" w:cs="Arial"/>
          <w:i/>
          <w:sz w:val="20"/>
          <w:szCs w:val="20"/>
        </w:rPr>
        <w:t>p&lt;0.05</w:t>
      </w:r>
      <w:r w:rsidR="004477B3" w:rsidRPr="00685DE9">
        <w:rPr>
          <w:rFonts w:ascii="Arial" w:eastAsiaTheme="minorHAnsi" w:hAnsi="Arial" w:cs="Arial"/>
          <w:sz w:val="20"/>
          <w:szCs w:val="20"/>
        </w:rPr>
        <w:t xml:space="preserve">. </w:t>
      </w:r>
      <w:r w:rsidR="00E93E22" w:rsidRPr="00685DE9">
        <w:rPr>
          <w:rFonts w:ascii="Arial" w:hAnsi="Arial" w:cs="Arial"/>
          <w:sz w:val="20"/>
          <w:szCs w:val="20"/>
        </w:rPr>
        <w:t xml:space="preserve"> </w:t>
      </w:r>
      <w:r w:rsidRPr="00685DE9">
        <w:rPr>
          <w:rFonts w:ascii="Arial" w:eastAsiaTheme="minorHAnsi" w:hAnsi="Arial" w:cs="Arial"/>
          <w:sz w:val="20"/>
          <w:szCs w:val="20"/>
        </w:rPr>
        <w:t xml:space="preserve">DHR123, </w:t>
      </w:r>
      <w:proofErr w:type="spellStart"/>
      <w:r w:rsidRPr="00685DE9">
        <w:rPr>
          <w:rFonts w:ascii="Arial" w:eastAsiaTheme="minorHAnsi" w:hAnsi="Arial" w:cs="Arial"/>
          <w:sz w:val="20"/>
          <w:szCs w:val="20"/>
        </w:rPr>
        <w:t>dihydrorhodamine</w:t>
      </w:r>
      <w:proofErr w:type="spellEnd"/>
      <w:r w:rsidRPr="00685DE9">
        <w:rPr>
          <w:rFonts w:ascii="Arial" w:eastAsiaTheme="minorHAnsi" w:hAnsi="Arial" w:cs="Arial"/>
          <w:sz w:val="20"/>
          <w:szCs w:val="20"/>
        </w:rPr>
        <w:t xml:space="preserve"> 123; GSH, reduced glutathione; H2DCF-DA, 2’,7’-dichlorodihydrofluorescein diacetate; mal/</w:t>
      </w:r>
      <w:proofErr w:type="spellStart"/>
      <w:r w:rsidRPr="00685DE9">
        <w:rPr>
          <w:rFonts w:ascii="Arial" w:eastAsiaTheme="minorHAnsi" w:hAnsi="Arial" w:cs="Arial"/>
          <w:sz w:val="20"/>
          <w:szCs w:val="20"/>
        </w:rPr>
        <w:t>glu</w:t>
      </w:r>
      <w:proofErr w:type="spellEnd"/>
      <w:r w:rsidRPr="00685DE9">
        <w:rPr>
          <w:rFonts w:ascii="Arial" w:eastAsiaTheme="minorHAnsi" w:hAnsi="Arial" w:cs="Arial"/>
          <w:sz w:val="20"/>
          <w:szCs w:val="20"/>
        </w:rPr>
        <w:t>, malate/glutamate; RNS, reactive nitrogen species; ROS, reactive oxygen species</w:t>
      </w:r>
      <w:r w:rsidR="0090657C" w:rsidRPr="00685DE9">
        <w:rPr>
          <w:rFonts w:ascii="Arial" w:eastAsiaTheme="minorHAnsi" w:hAnsi="Arial" w:cs="Arial"/>
          <w:sz w:val="20"/>
          <w:szCs w:val="20"/>
        </w:rPr>
        <w:t xml:space="preserve">; </w:t>
      </w:r>
      <w:r w:rsidR="0090657C" w:rsidRPr="00685DE9">
        <w:rPr>
          <w:rFonts w:ascii="Arial" w:hAnsi="Arial" w:cs="Arial"/>
          <w:sz w:val="20"/>
          <w:szCs w:val="20"/>
        </w:rPr>
        <w:t>ND, not determined.</w:t>
      </w:r>
    </w:p>
    <w:p w14:paraId="7CF2DC32" w14:textId="2C04B603" w:rsidR="00E93E22" w:rsidRPr="00685DE9" w:rsidRDefault="00E93E22" w:rsidP="00E93E22">
      <w:pPr>
        <w:spacing w:line="360" w:lineRule="auto"/>
        <w:jc w:val="both"/>
        <w:rPr>
          <w:rFonts w:ascii="Arial" w:hAnsi="Arial" w:cs="Arial"/>
          <w:sz w:val="20"/>
          <w:szCs w:val="20"/>
        </w:rPr>
        <w:sectPr w:rsidR="00E93E22" w:rsidRPr="00685DE9">
          <w:footnotePr>
            <w:numRestart w:val="eachPage"/>
          </w:footnotePr>
          <w:pgSz w:w="16838" w:h="11906" w:orient="landscape"/>
          <w:pgMar w:top="1418" w:right="1418" w:bottom="1418" w:left="4933" w:header="720" w:footer="720" w:gutter="0"/>
          <w:cols w:space="720"/>
        </w:sectPr>
      </w:pPr>
    </w:p>
    <w:p w14:paraId="64AB62DF" w14:textId="58506EDD" w:rsidR="00EB774E" w:rsidRPr="00685DE9" w:rsidRDefault="00EB774E" w:rsidP="00F37260">
      <w:pPr>
        <w:autoSpaceDE w:val="0"/>
        <w:adjustRightInd w:val="0"/>
        <w:spacing w:after="0" w:line="360" w:lineRule="auto"/>
        <w:ind w:left="-2835"/>
        <w:rPr>
          <w:rFonts w:ascii="Arial" w:eastAsiaTheme="minorHAnsi" w:hAnsi="Arial" w:cs="Arial"/>
          <w:sz w:val="24"/>
          <w:szCs w:val="24"/>
        </w:rPr>
      </w:pPr>
      <w:r w:rsidRPr="00685DE9">
        <w:rPr>
          <w:rFonts w:ascii="Arial" w:hAnsi="Arial" w:cs="Arial"/>
          <w:b/>
          <w:sz w:val="24"/>
          <w:szCs w:val="24"/>
        </w:rPr>
        <w:lastRenderedPageBreak/>
        <w:t xml:space="preserve">Supplemental Table </w:t>
      </w:r>
      <w:r w:rsidR="00182C5C" w:rsidRPr="00685DE9">
        <w:rPr>
          <w:rFonts w:ascii="Arial" w:hAnsi="Arial" w:cs="Arial"/>
          <w:b/>
          <w:sz w:val="24"/>
          <w:szCs w:val="24"/>
        </w:rPr>
        <w:t>5</w:t>
      </w:r>
      <w:r w:rsidRPr="00685DE9">
        <w:rPr>
          <w:rFonts w:ascii="Arial" w:hAnsi="Arial" w:cs="Arial"/>
          <w:b/>
          <w:sz w:val="24"/>
          <w:szCs w:val="24"/>
        </w:rPr>
        <w:t xml:space="preserve">. </w:t>
      </w:r>
      <w:r w:rsidR="00182C5C" w:rsidRPr="00685DE9">
        <w:rPr>
          <w:rFonts w:ascii="Arial" w:eastAsiaTheme="minorHAnsi" w:hAnsi="Arial" w:cs="Arial"/>
          <w:sz w:val="24"/>
          <w:szCs w:val="24"/>
        </w:rPr>
        <w:t xml:space="preserve">Effects of </w:t>
      </w:r>
      <w:r w:rsidR="00CD6BB8" w:rsidRPr="00685DE9">
        <w:rPr>
          <w:rFonts w:ascii="Arial" w:eastAsiaTheme="minorHAnsi" w:hAnsi="Arial" w:cs="Arial"/>
          <w:sz w:val="24"/>
          <w:szCs w:val="24"/>
        </w:rPr>
        <w:t xml:space="preserve">HBV Replication, Wild-type </w:t>
      </w:r>
      <w:proofErr w:type="spellStart"/>
      <w:r w:rsidR="00CD6BB8" w:rsidRPr="00685DE9">
        <w:rPr>
          <w:rFonts w:ascii="Arial" w:eastAsiaTheme="minorHAnsi" w:hAnsi="Arial" w:cs="Arial"/>
          <w:sz w:val="24"/>
          <w:szCs w:val="24"/>
        </w:rPr>
        <w:t>HBx</w:t>
      </w:r>
      <w:proofErr w:type="spellEnd"/>
      <w:r w:rsidR="00CD6BB8" w:rsidRPr="00685DE9">
        <w:rPr>
          <w:rFonts w:ascii="Arial" w:eastAsiaTheme="minorHAnsi" w:hAnsi="Arial" w:cs="Arial"/>
          <w:sz w:val="24"/>
          <w:szCs w:val="24"/>
        </w:rPr>
        <w:t xml:space="preserve"> or Mutated </w:t>
      </w:r>
      <w:proofErr w:type="spellStart"/>
      <w:r w:rsidR="00CD6BB8" w:rsidRPr="00685DE9">
        <w:rPr>
          <w:rFonts w:ascii="Arial" w:eastAsiaTheme="minorHAnsi" w:hAnsi="Arial" w:cs="Arial"/>
          <w:sz w:val="24"/>
          <w:szCs w:val="24"/>
        </w:rPr>
        <w:t>HBx</w:t>
      </w:r>
      <w:proofErr w:type="spellEnd"/>
      <w:r w:rsidR="00CD6BB8" w:rsidRPr="00685DE9">
        <w:rPr>
          <w:rFonts w:ascii="Arial" w:hAnsi="Arial" w:cs="Arial"/>
          <w:bCs/>
          <w:sz w:val="24"/>
          <w:szCs w:val="24"/>
        </w:rPr>
        <w:t>(G124</w:t>
      </w:r>
      <w:proofErr w:type="gramStart"/>
      <w:r w:rsidR="00CD6BB8" w:rsidRPr="00685DE9">
        <w:rPr>
          <w:rFonts w:ascii="Arial" w:hAnsi="Arial" w:cs="Arial"/>
          <w:bCs/>
          <w:sz w:val="24"/>
          <w:szCs w:val="24"/>
        </w:rPr>
        <w:t>L,I</w:t>
      </w:r>
      <w:proofErr w:type="gramEnd"/>
      <w:r w:rsidR="00CD6BB8" w:rsidRPr="00685DE9">
        <w:rPr>
          <w:rFonts w:ascii="Arial" w:hAnsi="Arial" w:cs="Arial"/>
          <w:bCs/>
          <w:sz w:val="24"/>
          <w:szCs w:val="24"/>
        </w:rPr>
        <w:t>127A)</w:t>
      </w:r>
      <w:r w:rsidR="00CD6BB8" w:rsidRPr="00685DE9">
        <w:rPr>
          <w:rFonts w:ascii="Arial" w:eastAsiaTheme="minorHAnsi" w:hAnsi="Arial" w:cs="Arial"/>
          <w:sz w:val="24"/>
          <w:szCs w:val="24"/>
        </w:rPr>
        <w:t xml:space="preserve"> Expression on </w:t>
      </w:r>
      <w:proofErr w:type="spellStart"/>
      <w:r w:rsidR="00CD6BB8" w:rsidRPr="00685DE9">
        <w:rPr>
          <w:rFonts w:ascii="Arial" w:eastAsiaTheme="minorHAnsi" w:hAnsi="Arial" w:cs="Arial"/>
          <w:sz w:val="24"/>
          <w:szCs w:val="24"/>
        </w:rPr>
        <w:t>mtDNA</w:t>
      </w:r>
      <w:proofErr w:type="spellEnd"/>
      <w:r w:rsidR="00CD6BB8" w:rsidRPr="00685DE9">
        <w:rPr>
          <w:rFonts w:ascii="Arial" w:eastAsiaTheme="minorHAnsi" w:hAnsi="Arial" w:cs="Arial"/>
          <w:sz w:val="24"/>
          <w:szCs w:val="24"/>
        </w:rPr>
        <w:t xml:space="preserve"> Levels and Complex I Activity and Effects of  </w:t>
      </w:r>
      <w:r w:rsidR="00182C5C" w:rsidRPr="00685DE9">
        <w:rPr>
          <w:rFonts w:ascii="Arial" w:eastAsiaTheme="minorHAnsi" w:hAnsi="Arial" w:cs="Arial"/>
          <w:sz w:val="24"/>
          <w:szCs w:val="24"/>
        </w:rPr>
        <w:t xml:space="preserve">the Mitochondrial-Targeted Superoxide Scavenger Mito-Tempo [(2-(2,2,6,6-Tetramethylpiperidin-1-Oxyl-4-Ylamino)-2-Oxoethyl)-Triphenylphosphonium Chloride, Monohydrate] and Specific Inducible Nitric Oxide Synthase Inhibitor (1400W) on </w:t>
      </w:r>
      <w:proofErr w:type="spellStart"/>
      <w:r w:rsidR="00182C5C" w:rsidRPr="00685DE9">
        <w:rPr>
          <w:rFonts w:ascii="Arial" w:eastAsiaTheme="minorHAnsi" w:hAnsi="Arial" w:cs="Arial"/>
          <w:sz w:val="24"/>
          <w:szCs w:val="24"/>
        </w:rPr>
        <w:t>HBx</w:t>
      </w:r>
      <w:proofErr w:type="spellEnd"/>
      <w:r w:rsidR="00182C5C" w:rsidRPr="00685DE9">
        <w:rPr>
          <w:rFonts w:ascii="Arial" w:eastAsiaTheme="minorHAnsi" w:hAnsi="Arial" w:cs="Arial"/>
          <w:sz w:val="24"/>
          <w:szCs w:val="24"/>
        </w:rPr>
        <w:t xml:space="preserve">- and HBV-Induced Mitochondrial DNA Depletion and Complex I Impairment </w:t>
      </w:r>
      <w:r w:rsidRPr="00685DE9">
        <w:rPr>
          <w:rFonts w:ascii="Arial" w:eastAsiaTheme="minorHAnsi" w:hAnsi="Arial" w:cs="Arial"/>
          <w:sz w:val="24"/>
          <w:szCs w:val="24"/>
        </w:rPr>
        <w:t>in HepG2 cells</w:t>
      </w:r>
      <w:r w:rsidR="00182C5C" w:rsidRPr="00685DE9">
        <w:rPr>
          <w:rFonts w:ascii="Arial" w:eastAsiaTheme="minorHAnsi" w:hAnsi="Arial" w:cs="Arial"/>
          <w:sz w:val="24"/>
          <w:szCs w:val="24"/>
        </w:rPr>
        <w:t>.</w:t>
      </w:r>
    </w:p>
    <w:p w14:paraId="1E2AB34C" w14:textId="77777777" w:rsidR="00182C5C" w:rsidRPr="00685DE9" w:rsidRDefault="00182C5C" w:rsidP="00182C5C">
      <w:pPr>
        <w:autoSpaceDE w:val="0"/>
        <w:adjustRightInd w:val="0"/>
        <w:spacing w:after="0" w:line="240" w:lineRule="auto"/>
        <w:ind w:left="-2835"/>
        <w:rPr>
          <w:rFonts w:ascii="Arial" w:eastAsiaTheme="minorHAnsi" w:hAnsi="Arial" w:cs="Arial"/>
          <w:sz w:val="20"/>
          <w:szCs w:val="20"/>
        </w:rPr>
      </w:pPr>
    </w:p>
    <w:tbl>
      <w:tblPr>
        <w:tblW w:w="12616" w:type="dxa"/>
        <w:tblInd w:w="-2727" w:type="dxa"/>
        <w:tblLook w:val="04A0" w:firstRow="1" w:lastRow="0" w:firstColumn="1" w:lastColumn="0" w:noHBand="0" w:noVBand="1"/>
      </w:tblPr>
      <w:tblGrid>
        <w:gridCol w:w="3828"/>
        <w:gridCol w:w="3543"/>
        <w:gridCol w:w="5245"/>
      </w:tblGrid>
      <w:tr w:rsidR="00685DE9" w:rsidRPr="00685DE9" w14:paraId="7B90A05B" w14:textId="77777777" w:rsidTr="00FB2843">
        <w:trPr>
          <w:trHeight w:val="630"/>
        </w:trPr>
        <w:tc>
          <w:tcPr>
            <w:tcW w:w="3828" w:type="dxa"/>
            <w:tcBorders>
              <w:top w:val="nil"/>
              <w:left w:val="nil"/>
              <w:bottom w:val="single" w:sz="4" w:space="0" w:color="auto"/>
              <w:right w:val="single" w:sz="4" w:space="0" w:color="auto"/>
            </w:tcBorders>
            <w:shd w:val="clear" w:color="auto" w:fill="auto"/>
            <w:vAlign w:val="center"/>
            <w:hideMark/>
          </w:tcPr>
          <w:p w14:paraId="0CD536A4" w14:textId="3D817993" w:rsidR="00FB2843" w:rsidRPr="00685DE9" w:rsidRDefault="00FB2843" w:rsidP="00FB2843">
            <w:pPr>
              <w:jc w:val="center"/>
              <w:rPr>
                <w:rFonts w:ascii="Arial" w:hAnsi="Arial" w:cs="Arial"/>
                <w:b/>
                <w:bCs/>
                <w:sz w:val="20"/>
                <w:szCs w:val="20"/>
              </w:rPr>
            </w:pPr>
          </w:p>
        </w:tc>
        <w:tc>
          <w:tcPr>
            <w:tcW w:w="3543" w:type="dxa"/>
            <w:tcBorders>
              <w:top w:val="single" w:sz="4" w:space="0" w:color="auto"/>
              <w:left w:val="nil"/>
              <w:bottom w:val="single" w:sz="4" w:space="0" w:color="auto"/>
              <w:right w:val="single" w:sz="4" w:space="0" w:color="auto"/>
            </w:tcBorders>
            <w:shd w:val="clear" w:color="auto" w:fill="auto"/>
            <w:hideMark/>
          </w:tcPr>
          <w:p w14:paraId="13E9EB5C" w14:textId="77777777" w:rsidR="00FB2843" w:rsidRPr="00685DE9" w:rsidRDefault="00FB2843" w:rsidP="00FB2843">
            <w:pPr>
              <w:jc w:val="center"/>
              <w:rPr>
                <w:rFonts w:ascii="Arial" w:eastAsiaTheme="minorHAnsi" w:hAnsi="Arial" w:cs="Arial"/>
                <w:b/>
                <w:sz w:val="20"/>
                <w:szCs w:val="20"/>
              </w:rPr>
            </w:pPr>
            <w:proofErr w:type="spellStart"/>
            <w:r w:rsidRPr="00685DE9">
              <w:rPr>
                <w:rFonts w:ascii="Arial" w:eastAsiaTheme="minorHAnsi" w:hAnsi="Arial" w:cs="Arial"/>
                <w:b/>
                <w:sz w:val="20"/>
                <w:szCs w:val="20"/>
              </w:rPr>
              <w:t>mtDNA</w:t>
            </w:r>
            <w:proofErr w:type="spellEnd"/>
            <w:r w:rsidRPr="00685DE9">
              <w:rPr>
                <w:rFonts w:ascii="Arial" w:eastAsiaTheme="minorHAnsi" w:hAnsi="Arial" w:cs="Arial"/>
                <w:b/>
                <w:sz w:val="20"/>
                <w:szCs w:val="20"/>
              </w:rPr>
              <w:t>/</w:t>
            </w:r>
            <w:proofErr w:type="spellStart"/>
            <w:r w:rsidRPr="00685DE9">
              <w:rPr>
                <w:rFonts w:ascii="Arial" w:eastAsiaTheme="minorHAnsi" w:hAnsi="Arial" w:cs="Arial"/>
                <w:b/>
                <w:sz w:val="20"/>
                <w:szCs w:val="20"/>
              </w:rPr>
              <w:t>nDNA</w:t>
            </w:r>
            <w:proofErr w:type="spellEnd"/>
            <w:r w:rsidRPr="00685DE9">
              <w:rPr>
                <w:rFonts w:ascii="Arial" w:eastAsiaTheme="minorHAnsi" w:hAnsi="Arial" w:cs="Arial"/>
                <w:b/>
                <w:sz w:val="20"/>
                <w:szCs w:val="20"/>
              </w:rPr>
              <w:t xml:space="preserve"> hybridization ratio</w:t>
            </w:r>
          </w:p>
          <w:p w14:paraId="6A9DEEA4" w14:textId="42E3267C" w:rsidR="00FB2843" w:rsidRPr="00685DE9" w:rsidRDefault="00FB2843" w:rsidP="00FB2843">
            <w:pPr>
              <w:jc w:val="center"/>
              <w:rPr>
                <w:rFonts w:ascii="Arial" w:hAnsi="Arial" w:cs="Arial"/>
                <w:b/>
                <w:bCs/>
                <w:sz w:val="20"/>
                <w:szCs w:val="20"/>
              </w:rPr>
            </w:pPr>
            <w:r w:rsidRPr="00685DE9">
              <w:rPr>
                <w:rFonts w:ascii="Arial" w:eastAsiaTheme="minorHAnsi" w:hAnsi="Arial" w:cs="Arial"/>
                <w:b/>
                <w:sz w:val="20"/>
                <w:szCs w:val="20"/>
              </w:rPr>
              <w:t xml:space="preserve"> (% corresponding vector)</w:t>
            </w:r>
          </w:p>
        </w:tc>
        <w:tc>
          <w:tcPr>
            <w:tcW w:w="5245" w:type="dxa"/>
            <w:tcBorders>
              <w:top w:val="single" w:sz="4" w:space="0" w:color="auto"/>
              <w:left w:val="nil"/>
              <w:bottom w:val="single" w:sz="4" w:space="0" w:color="auto"/>
              <w:right w:val="single" w:sz="4" w:space="0" w:color="auto"/>
            </w:tcBorders>
            <w:shd w:val="clear" w:color="auto" w:fill="auto"/>
            <w:hideMark/>
          </w:tcPr>
          <w:p w14:paraId="776240C0" w14:textId="77777777" w:rsidR="00FB2843" w:rsidRPr="00685DE9" w:rsidRDefault="00FB2843" w:rsidP="00FB2843">
            <w:pPr>
              <w:jc w:val="center"/>
              <w:rPr>
                <w:rFonts w:ascii="Arial" w:eastAsiaTheme="minorHAnsi" w:hAnsi="Arial" w:cs="Arial"/>
                <w:b/>
                <w:sz w:val="20"/>
                <w:szCs w:val="20"/>
              </w:rPr>
            </w:pPr>
            <w:r w:rsidRPr="00685DE9">
              <w:rPr>
                <w:rFonts w:ascii="Arial" w:eastAsiaTheme="minorHAnsi" w:hAnsi="Arial" w:cs="Arial"/>
                <w:b/>
                <w:sz w:val="20"/>
                <w:szCs w:val="20"/>
              </w:rPr>
              <w:t xml:space="preserve">Complex I activity </w:t>
            </w:r>
          </w:p>
          <w:p w14:paraId="47D90B34" w14:textId="0F5AF6D2" w:rsidR="00FB2843" w:rsidRPr="00685DE9" w:rsidRDefault="00FB2843" w:rsidP="00FB2843">
            <w:pPr>
              <w:jc w:val="center"/>
              <w:rPr>
                <w:rFonts w:ascii="Arial" w:hAnsi="Arial" w:cs="Arial"/>
                <w:b/>
                <w:bCs/>
                <w:sz w:val="20"/>
                <w:szCs w:val="20"/>
              </w:rPr>
            </w:pPr>
            <w:r w:rsidRPr="00685DE9">
              <w:rPr>
                <w:rFonts w:ascii="Arial" w:eastAsiaTheme="minorHAnsi" w:hAnsi="Arial" w:cs="Arial"/>
                <w:b/>
                <w:sz w:val="20"/>
                <w:szCs w:val="20"/>
              </w:rPr>
              <w:t>(% corresponding vector)</w:t>
            </w:r>
          </w:p>
        </w:tc>
      </w:tr>
      <w:tr w:rsidR="00685DE9" w:rsidRPr="00685DE9" w14:paraId="171B5892" w14:textId="77777777" w:rsidTr="00FB2843">
        <w:trPr>
          <w:trHeight w:val="315"/>
        </w:trPr>
        <w:tc>
          <w:tcPr>
            <w:tcW w:w="3828" w:type="dxa"/>
            <w:tcBorders>
              <w:top w:val="single" w:sz="4" w:space="0" w:color="auto"/>
              <w:right w:val="single" w:sz="4" w:space="0" w:color="auto"/>
            </w:tcBorders>
            <w:shd w:val="clear" w:color="auto" w:fill="auto"/>
            <w:noWrap/>
            <w:vAlign w:val="bottom"/>
            <w:hideMark/>
          </w:tcPr>
          <w:p w14:paraId="7664BEFD" w14:textId="41879ADB" w:rsidR="00FB2843" w:rsidRPr="00685DE9" w:rsidRDefault="00FB2843" w:rsidP="00FB2843">
            <w:pPr>
              <w:jc w:val="both"/>
              <w:rPr>
                <w:rFonts w:ascii="Arial" w:hAnsi="Arial" w:cs="Arial"/>
                <w:sz w:val="20"/>
                <w:szCs w:val="20"/>
              </w:rPr>
            </w:pPr>
            <w:r w:rsidRPr="00685DE9">
              <w:rPr>
                <w:rFonts w:ascii="Arial" w:hAnsi="Arial" w:cs="Arial"/>
                <w:bCs/>
                <w:sz w:val="20"/>
                <w:szCs w:val="20"/>
              </w:rPr>
              <w:t>pcDNA3.1</w:t>
            </w:r>
          </w:p>
        </w:tc>
        <w:tc>
          <w:tcPr>
            <w:tcW w:w="3543" w:type="dxa"/>
            <w:tcBorders>
              <w:top w:val="single" w:sz="4" w:space="0" w:color="auto"/>
              <w:left w:val="single" w:sz="4" w:space="0" w:color="auto"/>
              <w:right w:val="single" w:sz="4" w:space="0" w:color="auto"/>
            </w:tcBorders>
            <w:shd w:val="clear" w:color="auto" w:fill="auto"/>
            <w:noWrap/>
            <w:vAlign w:val="bottom"/>
            <w:hideMark/>
          </w:tcPr>
          <w:p w14:paraId="11FFDA63" w14:textId="3B01BD70" w:rsidR="00FB2843" w:rsidRPr="00685DE9" w:rsidRDefault="00840402" w:rsidP="00FB2843">
            <w:pPr>
              <w:jc w:val="center"/>
              <w:rPr>
                <w:rFonts w:ascii="Arial" w:hAnsi="Arial" w:cs="Arial"/>
                <w:sz w:val="20"/>
                <w:szCs w:val="20"/>
              </w:rPr>
            </w:pPr>
            <w:r w:rsidRPr="00685DE9">
              <w:rPr>
                <w:rFonts w:ascii="Arial" w:hAnsi="Arial" w:cs="Arial"/>
                <w:sz w:val="20"/>
                <w:szCs w:val="20"/>
              </w:rPr>
              <w:t>100</w:t>
            </w:r>
            <w:r w:rsidR="00FB2843" w:rsidRPr="00685DE9">
              <w:rPr>
                <w:rFonts w:ascii="Arial" w:hAnsi="Arial" w:cs="Arial"/>
                <w:sz w:val="20"/>
                <w:szCs w:val="20"/>
              </w:rPr>
              <w:t xml:space="preserve"> ± </w:t>
            </w:r>
            <w:r w:rsidR="00691A23" w:rsidRPr="00685DE9">
              <w:rPr>
                <w:rFonts w:ascii="Arial" w:hAnsi="Arial" w:cs="Arial"/>
                <w:sz w:val="20"/>
                <w:szCs w:val="20"/>
              </w:rPr>
              <w:t>0</w:t>
            </w:r>
            <w:r w:rsidR="00FB2843" w:rsidRPr="00685DE9">
              <w:rPr>
                <w:rFonts w:ascii="Arial" w:hAnsi="Arial" w:cs="Arial"/>
                <w:sz w:val="20"/>
                <w:szCs w:val="20"/>
              </w:rPr>
              <w:t>8</w:t>
            </w:r>
          </w:p>
        </w:tc>
        <w:tc>
          <w:tcPr>
            <w:tcW w:w="5245" w:type="dxa"/>
            <w:tcBorders>
              <w:top w:val="single" w:sz="4" w:space="0" w:color="auto"/>
              <w:left w:val="nil"/>
              <w:right w:val="single" w:sz="4" w:space="0" w:color="auto"/>
            </w:tcBorders>
            <w:shd w:val="clear" w:color="auto" w:fill="auto"/>
            <w:noWrap/>
            <w:vAlign w:val="bottom"/>
            <w:hideMark/>
          </w:tcPr>
          <w:p w14:paraId="1F69BFCA" w14:textId="41CAA9E6" w:rsidR="00FB2843" w:rsidRPr="00685DE9" w:rsidRDefault="00840402" w:rsidP="00840402">
            <w:pPr>
              <w:jc w:val="center"/>
              <w:rPr>
                <w:rFonts w:ascii="Arial" w:hAnsi="Arial" w:cs="Arial"/>
                <w:sz w:val="20"/>
                <w:szCs w:val="20"/>
              </w:rPr>
            </w:pPr>
            <w:r w:rsidRPr="00685DE9">
              <w:rPr>
                <w:rFonts w:ascii="Arial" w:hAnsi="Arial" w:cs="Arial"/>
                <w:sz w:val="20"/>
                <w:szCs w:val="20"/>
              </w:rPr>
              <w:t>99</w:t>
            </w:r>
            <w:r w:rsidR="00FB2843" w:rsidRPr="00685DE9">
              <w:rPr>
                <w:rFonts w:ascii="Arial" w:hAnsi="Arial" w:cs="Arial"/>
                <w:sz w:val="20"/>
                <w:szCs w:val="20"/>
              </w:rPr>
              <w:t xml:space="preserve"> ± 1</w:t>
            </w:r>
            <w:r w:rsidRPr="00685DE9">
              <w:rPr>
                <w:rFonts w:ascii="Arial" w:hAnsi="Arial" w:cs="Arial"/>
                <w:sz w:val="20"/>
                <w:szCs w:val="20"/>
              </w:rPr>
              <w:t>2</w:t>
            </w:r>
          </w:p>
        </w:tc>
      </w:tr>
      <w:tr w:rsidR="00685DE9" w:rsidRPr="00685DE9" w14:paraId="3771466D" w14:textId="77777777" w:rsidTr="00FB2843">
        <w:trPr>
          <w:trHeight w:val="315"/>
        </w:trPr>
        <w:tc>
          <w:tcPr>
            <w:tcW w:w="3828" w:type="dxa"/>
            <w:tcBorders>
              <w:right w:val="single" w:sz="4" w:space="0" w:color="auto"/>
            </w:tcBorders>
            <w:shd w:val="clear" w:color="auto" w:fill="auto"/>
            <w:noWrap/>
            <w:vAlign w:val="bottom"/>
            <w:hideMark/>
          </w:tcPr>
          <w:p w14:paraId="0F21985B" w14:textId="2D8740BB" w:rsidR="00FB2843" w:rsidRPr="00685DE9" w:rsidRDefault="00CD6BB8" w:rsidP="00840402">
            <w:pPr>
              <w:jc w:val="both"/>
              <w:rPr>
                <w:rFonts w:ascii="Arial" w:hAnsi="Arial" w:cs="Arial"/>
                <w:sz w:val="20"/>
                <w:szCs w:val="20"/>
              </w:rPr>
            </w:pPr>
            <w:r w:rsidRPr="00685DE9">
              <w:rPr>
                <w:rFonts w:ascii="Arial" w:hAnsi="Arial" w:cs="Arial"/>
                <w:bCs/>
                <w:sz w:val="20"/>
                <w:szCs w:val="20"/>
              </w:rPr>
              <w:t>pcDNA3.1Flag</w:t>
            </w:r>
            <w:r w:rsidR="00736147" w:rsidRPr="00685DE9">
              <w:rPr>
                <w:rFonts w:ascii="Arial" w:hAnsi="Arial" w:cs="Arial"/>
                <w:bCs/>
                <w:sz w:val="20"/>
                <w:szCs w:val="20"/>
              </w:rPr>
              <w:t>-</w:t>
            </w:r>
            <w:r w:rsidRPr="00685DE9">
              <w:rPr>
                <w:rFonts w:ascii="Arial" w:hAnsi="Arial" w:cs="Arial"/>
                <w:bCs/>
                <w:sz w:val="20"/>
                <w:szCs w:val="20"/>
              </w:rPr>
              <w:t>HBx</w:t>
            </w:r>
          </w:p>
        </w:tc>
        <w:tc>
          <w:tcPr>
            <w:tcW w:w="3543" w:type="dxa"/>
            <w:tcBorders>
              <w:left w:val="single" w:sz="4" w:space="0" w:color="auto"/>
              <w:right w:val="single" w:sz="4" w:space="0" w:color="auto"/>
            </w:tcBorders>
            <w:shd w:val="clear" w:color="auto" w:fill="auto"/>
            <w:noWrap/>
            <w:vAlign w:val="bottom"/>
            <w:hideMark/>
          </w:tcPr>
          <w:p w14:paraId="16DEA132" w14:textId="665E41F6" w:rsidR="00FB2843" w:rsidRPr="00685DE9" w:rsidRDefault="00840402" w:rsidP="00306BD6">
            <w:pPr>
              <w:jc w:val="center"/>
              <w:rPr>
                <w:rFonts w:ascii="Arial" w:hAnsi="Arial" w:cs="Arial"/>
                <w:sz w:val="20"/>
                <w:szCs w:val="20"/>
              </w:rPr>
            </w:pPr>
            <w:r w:rsidRPr="00685DE9">
              <w:rPr>
                <w:rFonts w:ascii="Arial" w:hAnsi="Arial" w:cs="Arial"/>
                <w:sz w:val="20"/>
                <w:szCs w:val="20"/>
              </w:rPr>
              <w:t>48</w:t>
            </w:r>
            <w:r w:rsidR="00FB2843" w:rsidRPr="00685DE9">
              <w:rPr>
                <w:rFonts w:ascii="Arial" w:hAnsi="Arial" w:cs="Arial"/>
                <w:sz w:val="20"/>
                <w:szCs w:val="20"/>
              </w:rPr>
              <w:t xml:space="preserve"> ± </w:t>
            </w:r>
            <w:r w:rsidRPr="00685DE9">
              <w:rPr>
                <w:rFonts w:ascii="Arial" w:hAnsi="Arial" w:cs="Arial"/>
                <w:sz w:val="20"/>
                <w:szCs w:val="20"/>
              </w:rPr>
              <w:t>12</w:t>
            </w:r>
            <w:r w:rsidR="001F15E2" w:rsidRPr="00685DE9">
              <w:rPr>
                <w:rFonts w:ascii="Arial" w:eastAsiaTheme="minorHAnsi" w:hAnsi="Arial" w:cs="Arial"/>
                <w:sz w:val="20"/>
                <w:szCs w:val="20"/>
              </w:rPr>
              <w:t>*</w:t>
            </w:r>
          </w:p>
        </w:tc>
        <w:tc>
          <w:tcPr>
            <w:tcW w:w="5245" w:type="dxa"/>
            <w:tcBorders>
              <w:left w:val="nil"/>
              <w:right w:val="single" w:sz="4" w:space="0" w:color="auto"/>
            </w:tcBorders>
            <w:shd w:val="clear" w:color="auto" w:fill="auto"/>
            <w:noWrap/>
            <w:vAlign w:val="bottom"/>
            <w:hideMark/>
          </w:tcPr>
          <w:p w14:paraId="75DAAF3C" w14:textId="6B7F5251" w:rsidR="00FB2843" w:rsidRPr="00685DE9" w:rsidRDefault="00691A23" w:rsidP="00840402">
            <w:pPr>
              <w:jc w:val="center"/>
              <w:rPr>
                <w:rFonts w:ascii="Arial" w:hAnsi="Arial" w:cs="Arial"/>
                <w:sz w:val="20"/>
                <w:szCs w:val="20"/>
              </w:rPr>
            </w:pPr>
            <w:r w:rsidRPr="00685DE9">
              <w:rPr>
                <w:rFonts w:ascii="Arial" w:hAnsi="Arial" w:cs="Arial"/>
                <w:sz w:val="20"/>
                <w:szCs w:val="20"/>
              </w:rPr>
              <w:t>6</w:t>
            </w:r>
            <w:r w:rsidR="00840402" w:rsidRPr="00685DE9">
              <w:rPr>
                <w:rFonts w:ascii="Arial" w:hAnsi="Arial" w:cs="Arial"/>
                <w:sz w:val="20"/>
                <w:szCs w:val="20"/>
              </w:rPr>
              <w:t>2</w:t>
            </w:r>
            <w:r w:rsidR="00FB2843" w:rsidRPr="00685DE9">
              <w:rPr>
                <w:rFonts w:ascii="Arial" w:hAnsi="Arial" w:cs="Arial"/>
                <w:sz w:val="20"/>
                <w:szCs w:val="20"/>
              </w:rPr>
              <w:t xml:space="preserve"> ± </w:t>
            </w:r>
            <w:r w:rsidR="00840402" w:rsidRPr="00685DE9">
              <w:rPr>
                <w:rFonts w:ascii="Arial" w:hAnsi="Arial" w:cs="Arial"/>
                <w:sz w:val="20"/>
                <w:szCs w:val="20"/>
              </w:rPr>
              <w:t>9</w:t>
            </w:r>
            <w:r w:rsidR="00FB2843" w:rsidRPr="00685DE9">
              <w:rPr>
                <w:rFonts w:ascii="Arial" w:hAnsi="Arial" w:cs="Arial"/>
                <w:sz w:val="20"/>
                <w:szCs w:val="20"/>
              </w:rPr>
              <w:t>*</w:t>
            </w:r>
          </w:p>
        </w:tc>
      </w:tr>
      <w:tr w:rsidR="00685DE9" w:rsidRPr="00685DE9" w14:paraId="026698B1" w14:textId="77777777" w:rsidTr="00FB2843">
        <w:trPr>
          <w:trHeight w:val="315"/>
        </w:trPr>
        <w:tc>
          <w:tcPr>
            <w:tcW w:w="3828" w:type="dxa"/>
            <w:tcBorders>
              <w:right w:val="single" w:sz="4" w:space="0" w:color="auto"/>
            </w:tcBorders>
            <w:shd w:val="clear" w:color="auto" w:fill="auto"/>
            <w:noWrap/>
            <w:vAlign w:val="bottom"/>
          </w:tcPr>
          <w:p w14:paraId="0367E4DC" w14:textId="38CB1DFA" w:rsidR="00840402" w:rsidRPr="00685DE9" w:rsidRDefault="00840402" w:rsidP="00840402">
            <w:pPr>
              <w:jc w:val="both"/>
              <w:rPr>
                <w:rFonts w:ascii="Arial" w:hAnsi="Arial" w:cs="Arial"/>
                <w:bCs/>
                <w:sz w:val="20"/>
                <w:szCs w:val="20"/>
              </w:rPr>
            </w:pPr>
            <w:r w:rsidRPr="00685DE9">
              <w:rPr>
                <w:rFonts w:ascii="Arial" w:hAnsi="Arial" w:cs="Arial"/>
                <w:bCs/>
                <w:sz w:val="20"/>
                <w:szCs w:val="20"/>
              </w:rPr>
              <w:t>pcDNA3.1Flag</w:t>
            </w:r>
            <w:r w:rsidR="00736147" w:rsidRPr="00685DE9">
              <w:rPr>
                <w:rFonts w:ascii="Arial" w:hAnsi="Arial" w:cs="Arial"/>
                <w:bCs/>
                <w:sz w:val="20"/>
                <w:szCs w:val="20"/>
              </w:rPr>
              <w:t>-</w:t>
            </w:r>
            <w:r w:rsidRPr="00685DE9">
              <w:rPr>
                <w:rFonts w:ascii="Arial" w:hAnsi="Arial" w:cs="Arial"/>
                <w:bCs/>
                <w:sz w:val="20"/>
                <w:szCs w:val="20"/>
              </w:rPr>
              <w:t>HBx(G124</w:t>
            </w:r>
            <w:proofErr w:type="gramStart"/>
            <w:r w:rsidRPr="00685DE9">
              <w:rPr>
                <w:rFonts w:ascii="Arial" w:hAnsi="Arial" w:cs="Arial"/>
                <w:bCs/>
                <w:sz w:val="20"/>
                <w:szCs w:val="20"/>
              </w:rPr>
              <w:t>L,I</w:t>
            </w:r>
            <w:proofErr w:type="gramEnd"/>
            <w:r w:rsidRPr="00685DE9">
              <w:rPr>
                <w:rFonts w:ascii="Arial" w:hAnsi="Arial" w:cs="Arial"/>
                <w:bCs/>
                <w:sz w:val="20"/>
                <w:szCs w:val="20"/>
              </w:rPr>
              <w:t>127A)</w:t>
            </w:r>
          </w:p>
        </w:tc>
        <w:tc>
          <w:tcPr>
            <w:tcW w:w="3543" w:type="dxa"/>
            <w:tcBorders>
              <w:left w:val="single" w:sz="4" w:space="0" w:color="auto"/>
              <w:right w:val="single" w:sz="4" w:space="0" w:color="auto"/>
            </w:tcBorders>
            <w:shd w:val="clear" w:color="auto" w:fill="auto"/>
            <w:noWrap/>
            <w:vAlign w:val="bottom"/>
          </w:tcPr>
          <w:p w14:paraId="43C373EF" w14:textId="41F0FD90" w:rsidR="00840402" w:rsidRPr="00685DE9" w:rsidRDefault="00840402" w:rsidP="00840402">
            <w:pPr>
              <w:jc w:val="center"/>
              <w:rPr>
                <w:rFonts w:ascii="Arial" w:hAnsi="Arial" w:cs="Arial"/>
                <w:sz w:val="20"/>
                <w:szCs w:val="20"/>
              </w:rPr>
            </w:pPr>
            <w:r w:rsidRPr="00685DE9">
              <w:rPr>
                <w:rFonts w:ascii="Arial" w:hAnsi="Arial" w:cs="Arial"/>
                <w:sz w:val="20"/>
                <w:szCs w:val="20"/>
              </w:rPr>
              <w:t>88 ± 10</w:t>
            </w:r>
            <w:r w:rsidR="00980111" w:rsidRPr="00685DE9">
              <w:rPr>
                <w:rFonts w:ascii="Arial" w:eastAsiaTheme="minorHAnsi" w:hAnsi="Arial" w:cs="Arial"/>
                <w:sz w:val="20"/>
                <w:szCs w:val="20"/>
                <w:vertAlign w:val="superscript"/>
              </w:rPr>
              <w:t>#</w:t>
            </w:r>
          </w:p>
        </w:tc>
        <w:tc>
          <w:tcPr>
            <w:tcW w:w="5245" w:type="dxa"/>
            <w:tcBorders>
              <w:left w:val="nil"/>
              <w:right w:val="single" w:sz="4" w:space="0" w:color="auto"/>
            </w:tcBorders>
            <w:shd w:val="clear" w:color="auto" w:fill="auto"/>
            <w:noWrap/>
            <w:vAlign w:val="bottom"/>
          </w:tcPr>
          <w:p w14:paraId="3C437184" w14:textId="045042B8" w:rsidR="00840402" w:rsidRPr="00685DE9" w:rsidRDefault="00CD6BB8" w:rsidP="00247452">
            <w:pPr>
              <w:jc w:val="center"/>
              <w:rPr>
                <w:rFonts w:ascii="Arial" w:hAnsi="Arial" w:cs="Arial"/>
                <w:sz w:val="20"/>
                <w:szCs w:val="20"/>
              </w:rPr>
            </w:pPr>
            <w:r w:rsidRPr="00685DE9">
              <w:rPr>
                <w:rFonts w:ascii="Arial" w:hAnsi="Arial" w:cs="Arial"/>
                <w:sz w:val="20"/>
                <w:szCs w:val="20"/>
              </w:rPr>
              <w:t>9</w:t>
            </w:r>
            <w:r w:rsidR="00ED1B10" w:rsidRPr="00685DE9">
              <w:rPr>
                <w:rFonts w:ascii="Arial" w:hAnsi="Arial" w:cs="Arial"/>
                <w:sz w:val="20"/>
                <w:szCs w:val="20"/>
              </w:rPr>
              <w:t>2</w:t>
            </w:r>
            <w:r w:rsidRPr="00685DE9">
              <w:rPr>
                <w:rFonts w:ascii="Arial" w:hAnsi="Arial" w:cs="Arial"/>
                <w:sz w:val="20"/>
                <w:szCs w:val="20"/>
              </w:rPr>
              <w:t xml:space="preserve"> ± 14</w:t>
            </w:r>
            <w:r w:rsidR="00980111" w:rsidRPr="00685DE9">
              <w:rPr>
                <w:rFonts w:ascii="Arial" w:eastAsiaTheme="minorHAnsi" w:hAnsi="Arial" w:cs="Arial"/>
                <w:sz w:val="20"/>
                <w:szCs w:val="20"/>
                <w:vertAlign w:val="superscript"/>
              </w:rPr>
              <w:t>#</w:t>
            </w:r>
          </w:p>
        </w:tc>
      </w:tr>
      <w:tr w:rsidR="00685DE9" w:rsidRPr="00685DE9" w14:paraId="30815EA2" w14:textId="77777777" w:rsidTr="00FB2843">
        <w:trPr>
          <w:trHeight w:val="315"/>
        </w:trPr>
        <w:tc>
          <w:tcPr>
            <w:tcW w:w="3828" w:type="dxa"/>
            <w:tcBorders>
              <w:right w:val="single" w:sz="4" w:space="0" w:color="auto"/>
            </w:tcBorders>
            <w:shd w:val="clear" w:color="auto" w:fill="auto"/>
            <w:noWrap/>
            <w:vAlign w:val="bottom"/>
            <w:hideMark/>
          </w:tcPr>
          <w:p w14:paraId="0FA7998B" w14:textId="29EBB691" w:rsidR="00FB2843" w:rsidRPr="00685DE9" w:rsidRDefault="00FB2843" w:rsidP="00FB2843">
            <w:pPr>
              <w:jc w:val="both"/>
              <w:rPr>
                <w:rFonts w:ascii="Arial" w:hAnsi="Arial" w:cs="Arial"/>
                <w:sz w:val="20"/>
                <w:szCs w:val="20"/>
              </w:rPr>
            </w:pPr>
            <w:r w:rsidRPr="00685DE9">
              <w:rPr>
                <w:rFonts w:ascii="Arial" w:hAnsi="Arial" w:cs="Arial"/>
                <w:bCs/>
                <w:sz w:val="20"/>
                <w:szCs w:val="20"/>
              </w:rPr>
              <w:t>pcDNA3.1FlagHBx (</w:t>
            </w:r>
            <w:proofErr w:type="spellStart"/>
            <w:r w:rsidRPr="00685DE9">
              <w:rPr>
                <w:rFonts w:ascii="Arial" w:hAnsi="Arial" w:cs="Arial"/>
                <w:bCs/>
                <w:sz w:val="20"/>
                <w:szCs w:val="20"/>
              </w:rPr>
              <w:t>HBx</w:t>
            </w:r>
            <w:proofErr w:type="spellEnd"/>
            <w:r w:rsidRPr="00685DE9">
              <w:rPr>
                <w:rFonts w:ascii="Arial" w:hAnsi="Arial" w:cs="Arial"/>
                <w:bCs/>
                <w:sz w:val="20"/>
                <w:szCs w:val="20"/>
              </w:rPr>
              <w:t>) + Mito-Tempo</w:t>
            </w:r>
          </w:p>
        </w:tc>
        <w:tc>
          <w:tcPr>
            <w:tcW w:w="3543" w:type="dxa"/>
            <w:tcBorders>
              <w:left w:val="single" w:sz="4" w:space="0" w:color="auto"/>
              <w:right w:val="single" w:sz="4" w:space="0" w:color="auto"/>
            </w:tcBorders>
            <w:shd w:val="clear" w:color="auto" w:fill="auto"/>
            <w:noWrap/>
            <w:vAlign w:val="bottom"/>
            <w:hideMark/>
          </w:tcPr>
          <w:p w14:paraId="2BBA2A16" w14:textId="6F118752" w:rsidR="00FB2843" w:rsidRPr="00685DE9" w:rsidRDefault="00691A23" w:rsidP="00840402">
            <w:pPr>
              <w:jc w:val="center"/>
              <w:rPr>
                <w:rFonts w:ascii="Arial" w:hAnsi="Arial" w:cs="Arial"/>
                <w:sz w:val="20"/>
                <w:szCs w:val="20"/>
              </w:rPr>
            </w:pPr>
            <w:r w:rsidRPr="00685DE9">
              <w:rPr>
                <w:rFonts w:ascii="Arial" w:hAnsi="Arial" w:cs="Arial"/>
                <w:sz w:val="20"/>
                <w:szCs w:val="20"/>
              </w:rPr>
              <w:t>8</w:t>
            </w:r>
            <w:r w:rsidR="00840402" w:rsidRPr="00685DE9">
              <w:rPr>
                <w:rFonts w:ascii="Arial" w:hAnsi="Arial" w:cs="Arial"/>
                <w:sz w:val="20"/>
                <w:szCs w:val="20"/>
              </w:rPr>
              <w:t>6</w:t>
            </w:r>
            <w:r w:rsidR="00FB2843" w:rsidRPr="00685DE9">
              <w:rPr>
                <w:rFonts w:ascii="Arial" w:hAnsi="Arial" w:cs="Arial"/>
                <w:sz w:val="20"/>
                <w:szCs w:val="20"/>
              </w:rPr>
              <w:t xml:space="preserve"> ± </w:t>
            </w:r>
            <w:r w:rsidRPr="00685DE9">
              <w:rPr>
                <w:rFonts w:ascii="Arial" w:hAnsi="Arial" w:cs="Arial"/>
                <w:sz w:val="20"/>
                <w:szCs w:val="20"/>
              </w:rPr>
              <w:t>0</w:t>
            </w:r>
            <w:r w:rsidR="00840402" w:rsidRPr="00685DE9">
              <w:rPr>
                <w:rFonts w:ascii="Arial" w:hAnsi="Arial" w:cs="Arial"/>
                <w:sz w:val="20"/>
                <w:szCs w:val="20"/>
              </w:rPr>
              <w:t>5</w:t>
            </w:r>
            <w:r w:rsidR="001F15E2" w:rsidRPr="00685DE9">
              <w:rPr>
                <w:rFonts w:ascii="Arial" w:eastAsiaTheme="minorHAnsi" w:hAnsi="Arial" w:cs="Arial"/>
                <w:sz w:val="20"/>
                <w:szCs w:val="20"/>
                <w:vertAlign w:val="superscript"/>
              </w:rPr>
              <w:t>#</w:t>
            </w:r>
          </w:p>
        </w:tc>
        <w:tc>
          <w:tcPr>
            <w:tcW w:w="5245" w:type="dxa"/>
            <w:tcBorders>
              <w:left w:val="nil"/>
              <w:right w:val="single" w:sz="4" w:space="0" w:color="auto"/>
            </w:tcBorders>
            <w:shd w:val="clear" w:color="auto" w:fill="auto"/>
            <w:noWrap/>
            <w:vAlign w:val="bottom"/>
            <w:hideMark/>
          </w:tcPr>
          <w:p w14:paraId="1FED5780" w14:textId="33C5957B" w:rsidR="00FB2843" w:rsidRPr="00685DE9" w:rsidRDefault="00691A23" w:rsidP="00CD6BB8">
            <w:pPr>
              <w:jc w:val="center"/>
              <w:rPr>
                <w:rFonts w:ascii="Arial" w:hAnsi="Arial" w:cs="Arial"/>
                <w:sz w:val="20"/>
                <w:szCs w:val="20"/>
              </w:rPr>
            </w:pPr>
            <w:r w:rsidRPr="00685DE9">
              <w:rPr>
                <w:rFonts w:ascii="Arial" w:hAnsi="Arial" w:cs="Arial"/>
                <w:sz w:val="20"/>
                <w:szCs w:val="20"/>
              </w:rPr>
              <w:t>9</w:t>
            </w:r>
            <w:r w:rsidR="00CD6BB8" w:rsidRPr="00685DE9">
              <w:rPr>
                <w:rFonts w:ascii="Arial" w:hAnsi="Arial" w:cs="Arial"/>
                <w:sz w:val="20"/>
                <w:szCs w:val="20"/>
              </w:rPr>
              <w:t>1</w:t>
            </w:r>
            <w:r w:rsidR="001F15E2" w:rsidRPr="00685DE9">
              <w:rPr>
                <w:rFonts w:ascii="Arial" w:hAnsi="Arial" w:cs="Arial"/>
                <w:sz w:val="20"/>
                <w:szCs w:val="20"/>
              </w:rPr>
              <w:t xml:space="preserve"> ± 10</w:t>
            </w:r>
            <w:r w:rsidR="001F15E2" w:rsidRPr="00685DE9">
              <w:rPr>
                <w:rFonts w:ascii="Arial" w:eastAsiaTheme="minorHAnsi" w:hAnsi="Arial" w:cs="Arial"/>
                <w:sz w:val="20"/>
                <w:szCs w:val="20"/>
                <w:vertAlign w:val="superscript"/>
              </w:rPr>
              <w:t>#</w:t>
            </w:r>
          </w:p>
        </w:tc>
      </w:tr>
      <w:tr w:rsidR="00685DE9" w:rsidRPr="00685DE9" w14:paraId="72CC7065" w14:textId="77777777" w:rsidTr="00FB2843">
        <w:trPr>
          <w:trHeight w:val="315"/>
        </w:trPr>
        <w:tc>
          <w:tcPr>
            <w:tcW w:w="3828" w:type="dxa"/>
            <w:tcBorders>
              <w:right w:val="single" w:sz="4" w:space="0" w:color="auto"/>
            </w:tcBorders>
            <w:shd w:val="clear" w:color="auto" w:fill="auto"/>
            <w:noWrap/>
            <w:vAlign w:val="bottom"/>
            <w:hideMark/>
          </w:tcPr>
          <w:p w14:paraId="6E184005" w14:textId="12E5BCA4" w:rsidR="00FB2843" w:rsidRPr="00685DE9" w:rsidRDefault="00FB2843" w:rsidP="00FB2843">
            <w:pPr>
              <w:jc w:val="both"/>
              <w:rPr>
                <w:rFonts w:ascii="Arial" w:hAnsi="Arial" w:cs="Arial"/>
                <w:sz w:val="20"/>
                <w:szCs w:val="20"/>
              </w:rPr>
            </w:pPr>
            <w:r w:rsidRPr="00685DE9">
              <w:rPr>
                <w:rFonts w:ascii="Arial" w:hAnsi="Arial" w:cs="Arial"/>
                <w:bCs/>
                <w:sz w:val="20"/>
                <w:szCs w:val="20"/>
              </w:rPr>
              <w:t>pcDNA3.1FlagHBx (</w:t>
            </w:r>
            <w:proofErr w:type="spellStart"/>
            <w:r w:rsidRPr="00685DE9">
              <w:rPr>
                <w:rFonts w:ascii="Arial" w:hAnsi="Arial" w:cs="Arial"/>
                <w:bCs/>
                <w:sz w:val="20"/>
                <w:szCs w:val="20"/>
              </w:rPr>
              <w:t>HBx</w:t>
            </w:r>
            <w:proofErr w:type="spellEnd"/>
            <w:r w:rsidRPr="00685DE9">
              <w:rPr>
                <w:rFonts w:ascii="Arial" w:hAnsi="Arial" w:cs="Arial"/>
                <w:bCs/>
                <w:sz w:val="20"/>
                <w:szCs w:val="20"/>
              </w:rPr>
              <w:t>) + 1400W</w:t>
            </w:r>
          </w:p>
        </w:tc>
        <w:tc>
          <w:tcPr>
            <w:tcW w:w="3543" w:type="dxa"/>
            <w:tcBorders>
              <w:left w:val="single" w:sz="4" w:space="0" w:color="auto"/>
              <w:right w:val="single" w:sz="4" w:space="0" w:color="auto"/>
            </w:tcBorders>
            <w:shd w:val="clear" w:color="auto" w:fill="auto"/>
            <w:noWrap/>
            <w:vAlign w:val="bottom"/>
            <w:hideMark/>
          </w:tcPr>
          <w:p w14:paraId="335CF17C" w14:textId="2B64A43C" w:rsidR="00FB2843" w:rsidRPr="00685DE9" w:rsidRDefault="00840402" w:rsidP="00840402">
            <w:pPr>
              <w:jc w:val="center"/>
              <w:rPr>
                <w:rFonts w:ascii="Arial" w:hAnsi="Arial" w:cs="Arial"/>
                <w:sz w:val="20"/>
                <w:szCs w:val="20"/>
              </w:rPr>
            </w:pPr>
            <w:r w:rsidRPr="00685DE9">
              <w:rPr>
                <w:rFonts w:ascii="Arial" w:hAnsi="Arial" w:cs="Arial"/>
                <w:sz w:val="20"/>
                <w:szCs w:val="20"/>
              </w:rPr>
              <w:t>79</w:t>
            </w:r>
            <w:r w:rsidR="00FB2843" w:rsidRPr="00685DE9">
              <w:rPr>
                <w:rFonts w:ascii="Arial" w:hAnsi="Arial" w:cs="Arial"/>
                <w:sz w:val="20"/>
                <w:szCs w:val="20"/>
              </w:rPr>
              <w:t xml:space="preserve"> ± 1</w:t>
            </w:r>
            <w:r w:rsidRPr="00685DE9">
              <w:rPr>
                <w:rFonts w:ascii="Arial" w:hAnsi="Arial" w:cs="Arial"/>
                <w:sz w:val="20"/>
                <w:szCs w:val="20"/>
              </w:rPr>
              <w:t>2</w:t>
            </w:r>
            <w:r w:rsidR="001F15E2" w:rsidRPr="00685DE9">
              <w:rPr>
                <w:rFonts w:ascii="Arial" w:eastAsiaTheme="minorHAnsi" w:hAnsi="Arial" w:cs="Arial"/>
                <w:sz w:val="20"/>
                <w:szCs w:val="20"/>
                <w:vertAlign w:val="superscript"/>
              </w:rPr>
              <w:t>#</w:t>
            </w:r>
          </w:p>
        </w:tc>
        <w:tc>
          <w:tcPr>
            <w:tcW w:w="5245" w:type="dxa"/>
            <w:tcBorders>
              <w:left w:val="nil"/>
              <w:right w:val="single" w:sz="4" w:space="0" w:color="auto"/>
            </w:tcBorders>
            <w:shd w:val="clear" w:color="auto" w:fill="auto"/>
            <w:noWrap/>
            <w:vAlign w:val="bottom"/>
            <w:hideMark/>
          </w:tcPr>
          <w:p w14:paraId="0FA8EAA8" w14:textId="7DA97244" w:rsidR="00FB2843" w:rsidRPr="00685DE9" w:rsidRDefault="00CD6BB8" w:rsidP="00CD6BB8">
            <w:pPr>
              <w:jc w:val="center"/>
              <w:rPr>
                <w:rFonts w:ascii="Arial" w:hAnsi="Arial" w:cs="Arial"/>
                <w:sz w:val="20"/>
                <w:szCs w:val="20"/>
              </w:rPr>
            </w:pPr>
            <w:r w:rsidRPr="00685DE9">
              <w:rPr>
                <w:rFonts w:ascii="Arial" w:hAnsi="Arial" w:cs="Arial"/>
                <w:sz w:val="20"/>
                <w:szCs w:val="20"/>
              </w:rPr>
              <w:t>80</w:t>
            </w:r>
            <w:r w:rsidR="00FB2843" w:rsidRPr="00685DE9">
              <w:rPr>
                <w:rFonts w:ascii="Arial" w:hAnsi="Arial" w:cs="Arial"/>
                <w:sz w:val="20"/>
                <w:szCs w:val="20"/>
              </w:rPr>
              <w:t xml:space="preserve"> ± </w:t>
            </w:r>
            <w:r w:rsidRPr="00685DE9">
              <w:rPr>
                <w:rFonts w:ascii="Arial" w:hAnsi="Arial" w:cs="Arial"/>
                <w:sz w:val="20"/>
                <w:szCs w:val="20"/>
              </w:rPr>
              <w:t>11</w:t>
            </w:r>
          </w:p>
        </w:tc>
      </w:tr>
      <w:tr w:rsidR="00685DE9" w:rsidRPr="00685DE9" w14:paraId="40583C8A" w14:textId="77777777" w:rsidTr="00FB2843">
        <w:trPr>
          <w:trHeight w:val="315"/>
        </w:trPr>
        <w:tc>
          <w:tcPr>
            <w:tcW w:w="3828" w:type="dxa"/>
            <w:tcBorders>
              <w:right w:val="single" w:sz="4" w:space="0" w:color="auto"/>
            </w:tcBorders>
            <w:shd w:val="clear" w:color="auto" w:fill="auto"/>
            <w:noWrap/>
            <w:vAlign w:val="bottom"/>
            <w:hideMark/>
          </w:tcPr>
          <w:p w14:paraId="2800C928" w14:textId="1219AEEF" w:rsidR="00FB2843" w:rsidRPr="00685DE9" w:rsidRDefault="00FB2843" w:rsidP="00FB2843">
            <w:pPr>
              <w:jc w:val="both"/>
              <w:rPr>
                <w:rFonts w:ascii="Arial" w:hAnsi="Arial" w:cs="Arial"/>
                <w:sz w:val="20"/>
                <w:szCs w:val="20"/>
              </w:rPr>
            </w:pPr>
            <w:proofErr w:type="spellStart"/>
            <w:r w:rsidRPr="00685DE9">
              <w:rPr>
                <w:rFonts w:ascii="Arial" w:hAnsi="Arial" w:cs="Arial"/>
                <w:bCs/>
                <w:sz w:val="20"/>
                <w:szCs w:val="20"/>
              </w:rPr>
              <w:t>pGEM</w:t>
            </w:r>
            <w:proofErr w:type="spellEnd"/>
          </w:p>
        </w:tc>
        <w:tc>
          <w:tcPr>
            <w:tcW w:w="3543" w:type="dxa"/>
            <w:tcBorders>
              <w:left w:val="single" w:sz="4" w:space="0" w:color="auto"/>
              <w:right w:val="single" w:sz="4" w:space="0" w:color="auto"/>
            </w:tcBorders>
            <w:shd w:val="clear" w:color="auto" w:fill="auto"/>
            <w:noWrap/>
            <w:vAlign w:val="bottom"/>
            <w:hideMark/>
          </w:tcPr>
          <w:p w14:paraId="4131BDC0" w14:textId="0C45995A" w:rsidR="00FB2843" w:rsidRPr="00685DE9" w:rsidRDefault="00FB2843" w:rsidP="00691A23">
            <w:pPr>
              <w:jc w:val="center"/>
              <w:rPr>
                <w:rFonts w:ascii="Arial" w:hAnsi="Arial" w:cs="Arial"/>
                <w:sz w:val="20"/>
                <w:szCs w:val="20"/>
              </w:rPr>
            </w:pPr>
            <w:r w:rsidRPr="00685DE9">
              <w:rPr>
                <w:rFonts w:ascii="Arial" w:hAnsi="Arial" w:cs="Arial"/>
                <w:sz w:val="20"/>
                <w:szCs w:val="20"/>
              </w:rPr>
              <w:t>10</w:t>
            </w:r>
            <w:r w:rsidR="00691A23" w:rsidRPr="00685DE9">
              <w:rPr>
                <w:rFonts w:ascii="Arial" w:hAnsi="Arial" w:cs="Arial"/>
                <w:sz w:val="20"/>
                <w:szCs w:val="20"/>
              </w:rPr>
              <w:t>1 ± 0</w:t>
            </w:r>
            <w:r w:rsidRPr="00685DE9">
              <w:rPr>
                <w:rFonts w:ascii="Arial" w:hAnsi="Arial" w:cs="Arial"/>
                <w:sz w:val="20"/>
                <w:szCs w:val="20"/>
              </w:rPr>
              <w:t>9</w:t>
            </w:r>
          </w:p>
        </w:tc>
        <w:tc>
          <w:tcPr>
            <w:tcW w:w="5245" w:type="dxa"/>
            <w:tcBorders>
              <w:left w:val="nil"/>
              <w:right w:val="single" w:sz="4" w:space="0" w:color="auto"/>
            </w:tcBorders>
            <w:shd w:val="clear" w:color="auto" w:fill="auto"/>
            <w:noWrap/>
            <w:vAlign w:val="bottom"/>
            <w:hideMark/>
          </w:tcPr>
          <w:p w14:paraId="2C494DC3" w14:textId="3F9862FA" w:rsidR="00FB2843" w:rsidRPr="00685DE9" w:rsidRDefault="00FB2843" w:rsidP="00691A23">
            <w:pPr>
              <w:jc w:val="center"/>
              <w:rPr>
                <w:rFonts w:ascii="Arial" w:hAnsi="Arial" w:cs="Arial"/>
                <w:sz w:val="20"/>
                <w:szCs w:val="20"/>
              </w:rPr>
            </w:pPr>
            <w:r w:rsidRPr="00685DE9">
              <w:rPr>
                <w:rFonts w:ascii="Arial" w:hAnsi="Arial" w:cs="Arial"/>
                <w:sz w:val="20"/>
                <w:szCs w:val="20"/>
              </w:rPr>
              <w:t>1</w:t>
            </w:r>
            <w:r w:rsidR="00691A23" w:rsidRPr="00685DE9">
              <w:rPr>
                <w:rFonts w:ascii="Arial" w:hAnsi="Arial" w:cs="Arial"/>
                <w:sz w:val="20"/>
                <w:szCs w:val="20"/>
              </w:rPr>
              <w:t>00</w:t>
            </w:r>
            <w:r w:rsidR="001F15E2" w:rsidRPr="00685DE9">
              <w:rPr>
                <w:rFonts w:ascii="Arial" w:hAnsi="Arial" w:cs="Arial"/>
                <w:sz w:val="20"/>
                <w:szCs w:val="20"/>
              </w:rPr>
              <w:t xml:space="preserve"> ± 11</w:t>
            </w:r>
          </w:p>
        </w:tc>
      </w:tr>
      <w:tr w:rsidR="00685DE9" w:rsidRPr="00685DE9" w14:paraId="29FB8B36" w14:textId="77777777" w:rsidTr="00FB2843">
        <w:trPr>
          <w:trHeight w:val="315"/>
        </w:trPr>
        <w:tc>
          <w:tcPr>
            <w:tcW w:w="3828" w:type="dxa"/>
            <w:tcBorders>
              <w:right w:val="single" w:sz="4" w:space="0" w:color="auto"/>
            </w:tcBorders>
            <w:shd w:val="clear" w:color="auto" w:fill="auto"/>
            <w:noWrap/>
            <w:vAlign w:val="bottom"/>
            <w:hideMark/>
          </w:tcPr>
          <w:p w14:paraId="14175F70" w14:textId="6BDD45C8" w:rsidR="00FB2843" w:rsidRPr="00685DE9" w:rsidRDefault="00FB2843" w:rsidP="00FB2843">
            <w:pPr>
              <w:ind w:firstLine="33"/>
              <w:jc w:val="both"/>
              <w:rPr>
                <w:rFonts w:ascii="Arial" w:hAnsi="Arial" w:cs="Arial"/>
                <w:sz w:val="20"/>
                <w:szCs w:val="20"/>
              </w:rPr>
            </w:pPr>
            <w:r w:rsidRPr="00685DE9">
              <w:rPr>
                <w:rFonts w:ascii="Arial" w:hAnsi="Arial" w:cs="Arial"/>
                <w:bCs/>
                <w:sz w:val="20"/>
                <w:szCs w:val="20"/>
              </w:rPr>
              <w:t xml:space="preserve">Payw1.2 (HBV) </w:t>
            </w:r>
          </w:p>
        </w:tc>
        <w:tc>
          <w:tcPr>
            <w:tcW w:w="3543" w:type="dxa"/>
            <w:tcBorders>
              <w:left w:val="single" w:sz="4" w:space="0" w:color="auto"/>
              <w:right w:val="single" w:sz="4" w:space="0" w:color="auto"/>
            </w:tcBorders>
            <w:shd w:val="clear" w:color="auto" w:fill="auto"/>
            <w:noWrap/>
            <w:vAlign w:val="bottom"/>
            <w:hideMark/>
          </w:tcPr>
          <w:p w14:paraId="5FB51557" w14:textId="27176D36" w:rsidR="00FB2843" w:rsidRPr="00685DE9" w:rsidRDefault="00691A23" w:rsidP="00691A23">
            <w:pPr>
              <w:jc w:val="center"/>
              <w:rPr>
                <w:rFonts w:ascii="Arial" w:hAnsi="Arial" w:cs="Arial"/>
                <w:sz w:val="20"/>
                <w:szCs w:val="20"/>
              </w:rPr>
            </w:pPr>
            <w:r w:rsidRPr="00685DE9">
              <w:rPr>
                <w:rFonts w:ascii="Arial" w:hAnsi="Arial" w:cs="Arial"/>
                <w:sz w:val="20"/>
                <w:szCs w:val="20"/>
              </w:rPr>
              <w:t>46</w:t>
            </w:r>
            <w:r w:rsidR="00FB2843" w:rsidRPr="00685DE9">
              <w:rPr>
                <w:rFonts w:ascii="Arial" w:hAnsi="Arial" w:cs="Arial"/>
                <w:sz w:val="20"/>
                <w:szCs w:val="20"/>
              </w:rPr>
              <w:t xml:space="preserve"> ± </w:t>
            </w:r>
            <w:r w:rsidRPr="00685DE9">
              <w:rPr>
                <w:rFonts w:ascii="Arial" w:hAnsi="Arial" w:cs="Arial"/>
                <w:sz w:val="20"/>
                <w:szCs w:val="20"/>
              </w:rPr>
              <w:t>0</w:t>
            </w:r>
            <w:r w:rsidR="00FB2843" w:rsidRPr="00685DE9">
              <w:rPr>
                <w:rFonts w:ascii="Arial" w:hAnsi="Arial" w:cs="Arial"/>
                <w:sz w:val="20"/>
                <w:szCs w:val="20"/>
              </w:rPr>
              <w:t>5</w:t>
            </w:r>
            <w:r w:rsidR="001F15E2" w:rsidRPr="00685DE9">
              <w:rPr>
                <w:rFonts w:ascii="Arial" w:eastAsiaTheme="minorHAnsi" w:hAnsi="Arial" w:cs="Arial"/>
                <w:sz w:val="20"/>
                <w:szCs w:val="20"/>
              </w:rPr>
              <w:t>*</w:t>
            </w:r>
          </w:p>
        </w:tc>
        <w:tc>
          <w:tcPr>
            <w:tcW w:w="5245" w:type="dxa"/>
            <w:tcBorders>
              <w:left w:val="nil"/>
              <w:right w:val="single" w:sz="4" w:space="0" w:color="auto"/>
            </w:tcBorders>
            <w:shd w:val="clear" w:color="auto" w:fill="auto"/>
            <w:noWrap/>
            <w:vAlign w:val="bottom"/>
            <w:hideMark/>
          </w:tcPr>
          <w:p w14:paraId="410099A6" w14:textId="2A48FC3B" w:rsidR="00FB2843" w:rsidRPr="00685DE9" w:rsidRDefault="00691A23" w:rsidP="00691A23">
            <w:pPr>
              <w:jc w:val="center"/>
              <w:rPr>
                <w:rFonts w:ascii="Arial" w:hAnsi="Arial" w:cs="Arial"/>
                <w:sz w:val="20"/>
                <w:szCs w:val="20"/>
              </w:rPr>
            </w:pPr>
            <w:r w:rsidRPr="00685DE9">
              <w:rPr>
                <w:rFonts w:ascii="Arial" w:hAnsi="Arial" w:cs="Arial"/>
                <w:sz w:val="20"/>
                <w:szCs w:val="20"/>
              </w:rPr>
              <w:t>54</w:t>
            </w:r>
            <w:r w:rsidR="00FB2843" w:rsidRPr="00685DE9">
              <w:rPr>
                <w:rFonts w:ascii="Arial" w:hAnsi="Arial" w:cs="Arial"/>
                <w:sz w:val="20"/>
                <w:szCs w:val="20"/>
              </w:rPr>
              <w:t xml:space="preserve"> ± </w:t>
            </w:r>
            <w:r w:rsidRPr="00685DE9">
              <w:rPr>
                <w:rFonts w:ascii="Arial" w:hAnsi="Arial" w:cs="Arial"/>
                <w:sz w:val="20"/>
                <w:szCs w:val="20"/>
              </w:rPr>
              <w:t>08</w:t>
            </w:r>
            <w:r w:rsidR="00FB2843" w:rsidRPr="00685DE9">
              <w:rPr>
                <w:rFonts w:ascii="Arial" w:hAnsi="Arial" w:cs="Arial"/>
                <w:sz w:val="20"/>
                <w:szCs w:val="20"/>
              </w:rPr>
              <w:t>*</w:t>
            </w:r>
          </w:p>
        </w:tc>
      </w:tr>
      <w:tr w:rsidR="00685DE9" w:rsidRPr="00685DE9" w14:paraId="4663BAE2" w14:textId="77777777" w:rsidTr="00FB2843">
        <w:trPr>
          <w:trHeight w:val="315"/>
        </w:trPr>
        <w:tc>
          <w:tcPr>
            <w:tcW w:w="3828" w:type="dxa"/>
            <w:tcBorders>
              <w:right w:val="single" w:sz="4" w:space="0" w:color="auto"/>
            </w:tcBorders>
            <w:shd w:val="clear" w:color="auto" w:fill="auto"/>
            <w:noWrap/>
            <w:vAlign w:val="bottom"/>
          </w:tcPr>
          <w:p w14:paraId="32186332" w14:textId="22CAEDFD" w:rsidR="00FB2843" w:rsidRPr="00685DE9" w:rsidRDefault="00FB2843" w:rsidP="00FB2843">
            <w:pPr>
              <w:jc w:val="both"/>
              <w:rPr>
                <w:rFonts w:ascii="Arial" w:hAnsi="Arial" w:cs="Arial"/>
                <w:sz w:val="20"/>
                <w:szCs w:val="20"/>
              </w:rPr>
            </w:pPr>
            <w:r w:rsidRPr="00685DE9">
              <w:rPr>
                <w:rFonts w:ascii="Arial" w:hAnsi="Arial" w:cs="Arial"/>
                <w:bCs/>
                <w:sz w:val="20"/>
                <w:szCs w:val="20"/>
              </w:rPr>
              <w:t>Payw1.2 (HBV) + Mito-Tempo</w:t>
            </w:r>
          </w:p>
        </w:tc>
        <w:tc>
          <w:tcPr>
            <w:tcW w:w="3543" w:type="dxa"/>
            <w:tcBorders>
              <w:left w:val="single" w:sz="4" w:space="0" w:color="auto"/>
              <w:right w:val="single" w:sz="4" w:space="0" w:color="auto"/>
            </w:tcBorders>
            <w:shd w:val="clear" w:color="auto" w:fill="auto"/>
            <w:noWrap/>
            <w:vAlign w:val="bottom"/>
          </w:tcPr>
          <w:p w14:paraId="6CA24110" w14:textId="0ACFF2B0" w:rsidR="00FB2843" w:rsidRPr="00685DE9" w:rsidRDefault="00691A23" w:rsidP="001F15E2">
            <w:pPr>
              <w:jc w:val="center"/>
              <w:rPr>
                <w:rFonts w:ascii="Arial" w:hAnsi="Arial" w:cs="Arial"/>
                <w:sz w:val="20"/>
                <w:szCs w:val="20"/>
              </w:rPr>
            </w:pPr>
            <w:r w:rsidRPr="00685DE9">
              <w:rPr>
                <w:rFonts w:ascii="Arial" w:hAnsi="Arial" w:cs="Arial"/>
                <w:sz w:val="20"/>
                <w:szCs w:val="20"/>
              </w:rPr>
              <w:t>81</w:t>
            </w:r>
            <w:r w:rsidR="00FB2843" w:rsidRPr="00685DE9">
              <w:rPr>
                <w:rFonts w:ascii="Arial" w:hAnsi="Arial" w:cs="Arial"/>
                <w:sz w:val="20"/>
                <w:szCs w:val="20"/>
              </w:rPr>
              <w:t xml:space="preserve">.84 ± </w:t>
            </w:r>
            <w:r w:rsidRPr="00685DE9">
              <w:rPr>
                <w:rFonts w:ascii="Arial" w:hAnsi="Arial" w:cs="Arial"/>
                <w:sz w:val="20"/>
                <w:szCs w:val="20"/>
              </w:rPr>
              <w:t>06</w:t>
            </w:r>
            <w:r w:rsidR="001F15E2" w:rsidRPr="00685DE9">
              <w:rPr>
                <w:rFonts w:ascii="Arial" w:eastAsiaTheme="minorHAnsi" w:hAnsi="Arial" w:cs="Arial"/>
                <w:sz w:val="20"/>
                <w:szCs w:val="20"/>
                <w:vertAlign w:val="superscript"/>
              </w:rPr>
              <w:t>§</w:t>
            </w:r>
          </w:p>
        </w:tc>
        <w:tc>
          <w:tcPr>
            <w:tcW w:w="5245" w:type="dxa"/>
            <w:tcBorders>
              <w:left w:val="single" w:sz="4" w:space="0" w:color="auto"/>
              <w:right w:val="single" w:sz="4" w:space="0" w:color="auto"/>
            </w:tcBorders>
            <w:shd w:val="clear" w:color="auto" w:fill="auto"/>
            <w:noWrap/>
            <w:vAlign w:val="bottom"/>
          </w:tcPr>
          <w:p w14:paraId="27A70317" w14:textId="551E280B" w:rsidR="00FB2843" w:rsidRPr="00685DE9" w:rsidRDefault="001F15E2" w:rsidP="001F15E2">
            <w:pPr>
              <w:jc w:val="center"/>
              <w:rPr>
                <w:rFonts w:ascii="Arial" w:hAnsi="Arial" w:cs="Arial"/>
                <w:sz w:val="20"/>
                <w:szCs w:val="20"/>
              </w:rPr>
            </w:pPr>
            <w:r w:rsidRPr="00685DE9">
              <w:rPr>
                <w:rFonts w:ascii="Arial" w:hAnsi="Arial" w:cs="Arial"/>
                <w:sz w:val="20"/>
                <w:szCs w:val="20"/>
              </w:rPr>
              <w:t>8</w:t>
            </w:r>
            <w:r w:rsidR="00691A23" w:rsidRPr="00685DE9">
              <w:rPr>
                <w:rFonts w:ascii="Arial" w:hAnsi="Arial" w:cs="Arial"/>
                <w:sz w:val="20"/>
                <w:szCs w:val="20"/>
              </w:rPr>
              <w:t>9.03 ± 12</w:t>
            </w:r>
            <w:r w:rsidRPr="00685DE9">
              <w:rPr>
                <w:rFonts w:ascii="Arial" w:eastAsiaTheme="minorHAnsi" w:hAnsi="Arial" w:cs="Arial"/>
                <w:sz w:val="20"/>
                <w:szCs w:val="20"/>
                <w:vertAlign w:val="superscript"/>
              </w:rPr>
              <w:t>§</w:t>
            </w:r>
          </w:p>
        </w:tc>
      </w:tr>
      <w:tr w:rsidR="00685DE9" w:rsidRPr="00685DE9" w14:paraId="23C94A4F" w14:textId="77777777" w:rsidTr="00FB2843">
        <w:trPr>
          <w:trHeight w:val="315"/>
        </w:trPr>
        <w:tc>
          <w:tcPr>
            <w:tcW w:w="3828" w:type="dxa"/>
            <w:tcBorders>
              <w:bottom w:val="single" w:sz="4" w:space="0" w:color="auto"/>
              <w:right w:val="single" w:sz="4" w:space="0" w:color="auto"/>
            </w:tcBorders>
            <w:shd w:val="clear" w:color="auto" w:fill="auto"/>
            <w:noWrap/>
            <w:vAlign w:val="bottom"/>
          </w:tcPr>
          <w:p w14:paraId="7B053854" w14:textId="79618FF9" w:rsidR="00FB2843" w:rsidRPr="00685DE9" w:rsidRDefault="00FB2843" w:rsidP="00FB2843">
            <w:pPr>
              <w:jc w:val="both"/>
              <w:rPr>
                <w:rFonts w:ascii="Arial" w:hAnsi="Arial" w:cs="Arial"/>
                <w:sz w:val="20"/>
                <w:szCs w:val="20"/>
              </w:rPr>
            </w:pPr>
            <w:r w:rsidRPr="00685DE9">
              <w:rPr>
                <w:rFonts w:ascii="Arial" w:hAnsi="Arial" w:cs="Arial"/>
                <w:bCs/>
                <w:sz w:val="20"/>
                <w:szCs w:val="20"/>
              </w:rPr>
              <w:t>Payw1.2 (HBV) + 1400W</w:t>
            </w:r>
          </w:p>
        </w:tc>
        <w:tc>
          <w:tcPr>
            <w:tcW w:w="3543" w:type="dxa"/>
            <w:tcBorders>
              <w:left w:val="single" w:sz="4" w:space="0" w:color="auto"/>
              <w:bottom w:val="single" w:sz="4" w:space="0" w:color="auto"/>
              <w:right w:val="single" w:sz="4" w:space="0" w:color="auto"/>
            </w:tcBorders>
            <w:shd w:val="clear" w:color="auto" w:fill="auto"/>
            <w:noWrap/>
            <w:vAlign w:val="bottom"/>
          </w:tcPr>
          <w:p w14:paraId="124EF29E" w14:textId="2F5A97C9" w:rsidR="00FB2843" w:rsidRPr="00685DE9" w:rsidRDefault="00691A23" w:rsidP="001F15E2">
            <w:pPr>
              <w:jc w:val="center"/>
              <w:rPr>
                <w:rFonts w:ascii="Arial" w:hAnsi="Arial" w:cs="Arial"/>
                <w:sz w:val="20"/>
                <w:szCs w:val="20"/>
              </w:rPr>
            </w:pPr>
            <w:r w:rsidRPr="00685DE9">
              <w:rPr>
                <w:rFonts w:ascii="Arial" w:hAnsi="Arial" w:cs="Arial"/>
                <w:sz w:val="20"/>
                <w:szCs w:val="20"/>
              </w:rPr>
              <w:t>69</w:t>
            </w:r>
            <w:r w:rsidR="00FB2843" w:rsidRPr="00685DE9">
              <w:rPr>
                <w:rFonts w:ascii="Arial" w:hAnsi="Arial" w:cs="Arial"/>
                <w:sz w:val="20"/>
                <w:szCs w:val="20"/>
              </w:rPr>
              <w:t xml:space="preserve">.84 ± </w:t>
            </w:r>
            <w:r w:rsidR="001F15E2" w:rsidRPr="00685DE9">
              <w:rPr>
                <w:rFonts w:ascii="Arial" w:hAnsi="Arial" w:cs="Arial"/>
                <w:sz w:val="20"/>
                <w:szCs w:val="20"/>
              </w:rPr>
              <w:t>12</w:t>
            </w:r>
            <w:r w:rsidR="00940E03" w:rsidRPr="00685DE9">
              <w:rPr>
                <w:rFonts w:ascii="Arial" w:hAnsi="Arial" w:cs="Arial"/>
                <w:sz w:val="20"/>
                <w:szCs w:val="20"/>
              </w:rPr>
              <w:t>*</w:t>
            </w:r>
            <w:r w:rsidR="001F15E2" w:rsidRPr="00685DE9">
              <w:rPr>
                <w:rFonts w:ascii="Arial" w:eastAsiaTheme="minorHAnsi" w:hAnsi="Arial" w:cs="Arial"/>
                <w:sz w:val="20"/>
                <w:szCs w:val="20"/>
                <w:vertAlign w:val="superscript"/>
              </w:rPr>
              <w:t>§</w:t>
            </w:r>
          </w:p>
        </w:tc>
        <w:tc>
          <w:tcPr>
            <w:tcW w:w="5245" w:type="dxa"/>
            <w:tcBorders>
              <w:left w:val="nil"/>
              <w:bottom w:val="single" w:sz="4" w:space="0" w:color="auto"/>
              <w:right w:val="single" w:sz="4" w:space="0" w:color="auto"/>
            </w:tcBorders>
            <w:shd w:val="clear" w:color="auto" w:fill="auto"/>
            <w:noWrap/>
            <w:vAlign w:val="bottom"/>
          </w:tcPr>
          <w:p w14:paraId="79BE53DD" w14:textId="64DC0D1F" w:rsidR="00FB2843" w:rsidRPr="00685DE9" w:rsidRDefault="001F15E2" w:rsidP="00306BD6">
            <w:pPr>
              <w:jc w:val="center"/>
              <w:rPr>
                <w:rFonts w:ascii="Arial" w:hAnsi="Arial" w:cs="Arial"/>
                <w:sz w:val="20"/>
                <w:szCs w:val="20"/>
              </w:rPr>
            </w:pPr>
            <w:r w:rsidRPr="00685DE9">
              <w:rPr>
                <w:rFonts w:ascii="Arial" w:hAnsi="Arial" w:cs="Arial"/>
                <w:sz w:val="20"/>
                <w:szCs w:val="20"/>
              </w:rPr>
              <w:t>62</w:t>
            </w:r>
            <w:r w:rsidR="00691A23" w:rsidRPr="00685DE9">
              <w:rPr>
                <w:rFonts w:ascii="Arial" w:hAnsi="Arial" w:cs="Arial"/>
                <w:sz w:val="20"/>
                <w:szCs w:val="20"/>
              </w:rPr>
              <w:t xml:space="preserve">.03 ± </w:t>
            </w:r>
            <w:r w:rsidR="00306BD6" w:rsidRPr="00685DE9">
              <w:rPr>
                <w:rFonts w:ascii="Arial" w:hAnsi="Arial" w:cs="Arial"/>
                <w:sz w:val="20"/>
                <w:szCs w:val="20"/>
              </w:rPr>
              <w:t>06</w:t>
            </w:r>
            <w:r w:rsidR="00940E03" w:rsidRPr="00685DE9">
              <w:rPr>
                <w:rFonts w:ascii="Arial" w:hAnsi="Arial" w:cs="Arial"/>
                <w:sz w:val="20"/>
                <w:szCs w:val="20"/>
              </w:rPr>
              <w:t>*</w:t>
            </w:r>
          </w:p>
        </w:tc>
      </w:tr>
    </w:tbl>
    <w:p w14:paraId="4BF081AB" w14:textId="10910022" w:rsidR="00EB774E" w:rsidRPr="00685DE9" w:rsidRDefault="00306BD6" w:rsidP="001F15E2">
      <w:pPr>
        <w:autoSpaceDE w:val="0"/>
        <w:adjustRightInd w:val="0"/>
        <w:spacing w:after="0" w:line="240" w:lineRule="auto"/>
        <w:ind w:left="-2835"/>
        <w:rPr>
          <w:rFonts w:ascii="Arial" w:eastAsiaTheme="minorHAnsi" w:hAnsi="Arial" w:cs="Arial"/>
          <w:sz w:val="20"/>
          <w:szCs w:val="20"/>
        </w:rPr>
        <w:sectPr w:rsidR="00EB774E" w:rsidRPr="00685DE9">
          <w:footnotePr>
            <w:numRestart w:val="eachPage"/>
          </w:footnotePr>
          <w:pgSz w:w="16838" w:h="11906" w:orient="landscape"/>
          <w:pgMar w:top="1418" w:right="1418" w:bottom="1418" w:left="4933" w:header="720" w:footer="720" w:gutter="0"/>
          <w:cols w:space="720"/>
        </w:sectPr>
      </w:pPr>
      <w:r w:rsidRPr="00685DE9">
        <w:rPr>
          <w:rFonts w:ascii="Arial" w:eastAsiaTheme="minorHAnsi" w:hAnsi="Arial" w:cs="Arial"/>
          <w:sz w:val="20"/>
          <w:szCs w:val="20"/>
        </w:rPr>
        <w:t xml:space="preserve">Mito-TEMPO (5 µM) or LNAME (5 µM) were added to the cultured HepG2 cells </w:t>
      </w:r>
      <w:r w:rsidR="001F15E2" w:rsidRPr="00685DE9">
        <w:rPr>
          <w:rFonts w:ascii="Arial" w:eastAsiaTheme="minorHAnsi" w:hAnsi="Arial" w:cs="Arial"/>
          <w:sz w:val="20"/>
          <w:szCs w:val="20"/>
        </w:rPr>
        <w:t xml:space="preserve">30 </w:t>
      </w:r>
      <w:r w:rsidRPr="00685DE9">
        <w:rPr>
          <w:rFonts w:ascii="Arial" w:eastAsiaTheme="minorHAnsi" w:hAnsi="Arial" w:cs="Arial"/>
          <w:sz w:val="20"/>
          <w:szCs w:val="20"/>
        </w:rPr>
        <w:t>minutes before transfection. A second dose of the treatment was added 16 h after transfection. Values represent means</w:t>
      </w:r>
      <w:r w:rsidR="001F15E2" w:rsidRPr="00685DE9">
        <w:rPr>
          <w:rFonts w:ascii="Arial" w:eastAsiaTheme="minorHAnsi" w:hAnsi="Arial" w:cs="Arial"/>
          <w:sz w:val="20"/>
          <w:szCs w:val="20"/>
        </w:rPr>
        <w:t xml:space="preserve"> </w:t>
      </w:r>
      <w:r w:rsidR="001F15E2" w:rsidRPr="00685DE9">
        <w:rPr>
          <w:rFonts w:ascii="Arial" w:hAnsi="Arial" w:cs="Arial"/>
          <w:sz w:val="20"/>
          <w:szCs w:val="20"/>
        </w:rPr>
        <w:t xml:space="preserve">± </w:t>
      </w:r>
      <w:r w:rsidRPr="00685DE9">
        <w:rPr>
          <w:rFonts w:ascii="Arial" w:eastAsiaTheme="minorHAnsi" w:hAnsi="Arial" w:cs="Arial"/>
          <w:sz w:val="20"/>
          <w:szCs w:val="20"/>
        </w:rPr>
        <w:t xml:space="preserve">SEM for </w:t>
      </w:r>
      <w:r w:rsidR="00840402" w:rsidRPr="00685DE9">
        <w:rPr>
          <w:rFonts w:ascii="Arial" w:eastAsiaTheme="minorHAnsi" w:hAnsi="Arial" w:cs="Arial"/>
          <w:sz w:val="20"/>
          <w:szCs w:val="20"/>
        </w:rPr>
        <w:t>3-8</w:t>
      </w:r>
      <w:r w:rsidRPr="00685DE9">
        <w:rPr>
          <w:rFonts w:ascii="Arial" w:eastAsiaTheme="minorHAnsi" w:hAnsi="Arial" w:cs="Arial"/>
          <w:sz w:val="20"/>
          <w:szCs w:val="20"/>
        </w:rPr>
        <w:t xml:space="preserve"> determinations.</w:t>
      </w:r>
      <w:r w:rsidR="00FE0A50" w:rsidRPr="00685DE9">
        <w:rPr>
          <w:rFonts w:ascii="Arial" w:eastAsiaTheme="minorHAnsi" w:hAnsi="Arial" w:cs="Arial"/>
          <w:sz w:val="20"/>
          <w:szCs w:val="20"/>
        </w:rPr>
        <w:t xml:space="preserve"> </w:t>
      </w:r>
      <w:r w:rsidR="001F15E2" w:rsidRPr="00685DE9">
        <w:rPr>
          <w:rFonts w:ascii="Arial" w:eastAsiaTheme="minorHAnsi" w:hAnsi="Arial" w:cs="Arial"/>
          <w:sz w:val="20"/>
          <w:szCs w:val="20"/>
        </w:rPr>
        <w:t>*Different from corresponding empty vector</w:t>
      </w:r>
      <w:r w:rsidR="001F15E2" w:rsidRPr="00685DE9">
        <w:rPr>
          <w:rFonts w:ascii="Arial" w:eastAsiaTheme="minorHAnsi" w:hAnsi="Arial" w:cs="Arial"/>
          <w:i/>
          <w:sz w:val="20"/>
          <w:szCs w:val="20"/>
        </w:rPr>
        <w:t>, p&lt;0.05</w:t>
      </w:r>
      <w:r w:rsidR="001F15E2" w:rsidRPr="00685DE9">
        <w:rPr>
          <w:rFonts w:ascii="Arial" w:eastAsiaTheme="minorHAnsi" w:hAnsi="Arial" w:cs="Arial"/>
          <w:sz w:val="20"/>
          <w:szCs w:val="20"/>
        </w:rPr>
        <w:t xml:space="preserve">. </w:t>
      </w:r>
      <w:r w:rsidR="001F15E2" w:rsidRPr="00685DE9">
        <w:rPr>
          <w:rFonts w:ascii="Arial" w:eastAsiaTheme="minorHAnsi" w:hAnsi="Arial" w:cs="Arial"/>
          <w:sz w:val="20"/>
          <w:szCs w:val="20"/>
          <w:vertAlign w:val="superscript"/>
        </w:rPr>
        <w:t>#</w:t>
      </w:r>
      <w:r w:rsidR="001F15E2" w:rsidRPr="00685DE9">
        <w:rPr>
          <w:rFonts w:ascii="Arial" w:eastAsiaTheme="minorHAnsi" w:hAnsi="Arial" w:cs="Arial"/>
          <w:sz w:val="20"/>
          <w:szCs w:val="20"/>
        </w:rPr>
        <w:t xml:space="preserve">Different from </w:t>
      </w:r>
      <w:r w:rsidR="00980111" w:rsidRPr="00685DE9">
        <w:rPr>
          <w:rFonts w:ascii="Arial" w:eastAsiaTheme="minorHAnsi" w:hAnsi="Arial" w:cs="Arial"/>
          <w:sz w:val="20"/>
          <w:szCs w:val="20"/>
        </w:rPr>
        <w:t xml:space="preserve">wild type </w:t>
      </w:r>
      <w:proofErr w:type="spellStart"/>
      <w:r w:rsidR="001F15E2" w:rsidRPr="00685DE9">
        <w:rPr>
          <w:rFonts w:ascii="Arial" w:eastAsiaTheme="minorHAnsi" w:hAnsi="Arial" w:cs="Arial"/>
          <w:sz w:val="20"/>
          <w:szCs w:val="20"/>
        </w:rPr>
        <w:t>HBx</w:t>
      </w:r>
      <w:proofErr w:type="spellEnd"/>
      <w:r w:rsidR="001F15E2" w:rsidRPr="00685DE9">
        <w:rPr>
          <w:rFonts w:ascii="Arial" w:eastAsiaTheme="minorHAnsi" w:hAnsi="Arial" w:cs="Arial"/>
          <w:sz w:val="20"/>
          <w:szCs w:val="20"/>
        </w:rPr>
        <w:t xml:space="preserve">, </w:t>
      </w:r>
      <w:r w:rsidR="001F15E2" w:rsidRPr="00685DE9">
        <w:rPr>
          <w:rFonts w:ascii="Arial" w:eastAsiaTheme="minorHAnsi" w:hAnsi="Arial" w:cs="Arial"/>
          <w:i/>
          <w:sz w:val="20"/>
          <w:szCs w:val="20"/>
        </w:rPr>
        <w:t>p&lt;0.05.</w:t>
      </w:r>
      <w:r w:rsidR="00840402" w:rsidRPr="00685DE9">
        <w:rPr>
          <w:rFonts w:ascii="Arial" w:hAnsi="Arial" w:cs="Arial"/>
          <w:iCs/>
          <w:sz w:val="20"/>
          <w:szCs w:val="20"/>
          <w:vertAlign w:val="superscript"/>
        </w:rPr>
        <w:t xml:space="preserve"> </w:t>
      </w:r>
      <w:r w:rsidR="00D9113D" w:rsidRPr="00685DE9">
        <w:rPr>
          <w:rFonts w:ascii="Arial" w:hAnsi="Arial" w:cs="Arial"/>
          <w:i/>
          <w:sz w:val="20"/>
          <w:szCs w:val="20"/>
          <w:vertAlign w:val="superscript"/>
        </w:rPr>
        <w:t>§</w:t>
      </w:r>
      <w:r w:rsidR="00D9113D" w:rsidRPr="00685DE9">
        <w:rPr>
          <w:rFonts w:ascii="Arial" w:eastAsiaTheme="minorHAnsi" w:hAnsi="Arial" w:cs="Arial"/>
          <w:sz w:val="20"/>
          <w:szCs w:val="20"/>
        </w:rPr>
        <w:t>Different from HBV</w:t>
      </w:r>
      <w:r w:rsidR="00D9113D" w:rsidRPr="00685DE9">
        <w:rPr>
          <w:rFonts w:ascii="Arial" w:hAnsi="Arial" w:cs="Arial"/>
          <w:i/>
          <w:sz w:val="20"/>
          <w:szCs w:val="20"/>
        </w:rPr>
        <w:t xml:space="preserve">, </w:t>
      </w:r>
      <w:r w:rsidR="00D9113D" w:rsidRPr="00685DE9">
        <w:rPr>
          <w:rFonts w:ascii="Arial" w:eastAsiaTheme="minorHAnsi" w:hAnsi="Arial" w:cs="Arial"/>
          <w:i/>
          <w:sz w:val="20"/>
          <w:szCs w:val="20"/>
        </w:rPr>
        <w:t>p&lt;0.05.</w:t>
      </w:r>
      <w:r w:rsidR="00D9113D" w:rsidRPr="00685DE9">
        <w:rPr>
          <w:rFonts w:ascii="Arial" w:hAnsi="Arial" w:cs="Arial"/>
          <w:i/>
          <w:sz w:val="20"/>
          <w:szCs w:val="20"/>
        </w:rPr>
        <w:t xml:space="preserve"> </w:t>
      </w:r>
      <w:r w:rsidR="00792626" w:rsidRPr="00685DE9">
        <w:rPr>
          <w:rFonts w:ascii="Arial" w:hAnsi="Arial" w:cs="Arial"/>
          <w:i/>
          <w:sz w:val="20"/>
          <w:szCs w:val="20"/>
        </w:rPr>
        <w:t>Mann-Whitney U-test.</w:t>
      </w:r>
    </w:p>
    <w:p w14:paraId="7BCB6230" w14:textId="3ACFCD87" w:rsidR="006806A4" w:rsidRPr="00685DE9" w:rsidRDefault="006806A4" w:rsidP="006806A4">
      <w:pPr>
        <w:spacing w:line="360" w:lineRule="auto"/>
        <w:jc w:val="both"/>
        <w:rPr>
          <w:rFonts w:ascii="Arial" w:hAnsi="Arial" w:cs="Arial"/>
          <w:b/>
          <w:sz w:val="24"/>
          <w:szCs w:val="24"/>
        </w:rPr>
      </w:pPr>
      <w:r w:rsidRPr="00685DE9">
        <w:rPr>
          <w:rFonts w:ascii="Arial" w:hAnsi="Arial" w:cs="Arial"/>
          <w:b/>
          <w:sz w:val="24"/>
          <w:szCs w:val="24"/>
        </w:rPr>
        <w:lastRenderedPageBreak/>
        <w:t>SUPPLEMENTARY FIGURE LEGENDS</w:t>
      </w:r>
    </w:p>
    <w:p w14:paraId="4482CA5E" w14:textId="7C4D0EBC" w:rsidR="006806A4" w:rsidRPr="00685DE9" w:rsidRDefault="006806A4" w:rsidP="006806A4">
      <w:pPr>
        <w:spacing w:after="0" w:line="360" w:lineRule="auto"/>
        <w:jc w:val="both"/>
        <w:rPr>
          <w:rFonts w:ascii="Arial" w:hAnsi="Arial" w:cs="Arial"/>
          <w:sz w:val="24"/>
          <w:szCs w:val="24"/>
        </w:rPr>
      </w:pPr>
      <w:r w:rsidRPr="00685DE9">
        <w:rPr>
          <w:rFonts w:ascii="Arial" w:hAnsi="Arial" w:cs="Arial"/>
          <w:b/>
          <w:sz w:val="24"/>
          <w:szCs w:val="24"/>
        </w:rPr>
        <w:t>Supplemental Figure 1.</w:t>
      </w:r>
      <w:r w:rsidRPr="00685DE9">
        <w:rPr>
          <w:rFonts w:ascii="Arial" w:hAnsi="Arial" w:cs="Arial"/>
          <w:sz w:val="24"/>
          <w:szCs w:val="24"/>
        </w:rPr>
        <w:t xml:space="preserve"> </w:t>
      </w:r>
      <w:r w:rsidRPr="00685DE9">
        <w:rPr>
          <w:rFonts w:ascii="Arial" w:hAnsi="Arial" w:cs="Arial"/>
          <w:b/>
          <w:sz w:val="24"/>
          <w:szCs w:val="24"/>
        </w:rPr>
        <w:t>Analyses flow chart.</w:t>
      </w:r>
      <w:r w:rsidRPr="00685DE9">
        <w:rPr>
          <w:rFonts w:ascii="Arial" w:hAnsi="Arial" w:cs="Arial"/>
          <w:sz w:val="24"/>
          <w:szCs w:val="24"/>
        </w:rPr>
        <w:t xml:space="preserve"> Different amounts of DNA, RNAs and/or proteins were obtained from distinct groups of patients and controls depending on the size of liver fragments that remained available after histological studies. In patients with CHB, RNA, DNA and proteins were simultaneously obtained in 40 cases (29 with F0-F2 fibrosis and 11 with F3-F4 fibrosis), and both DNA and proteins obtained in 13 patients. The remaining 93 patients have either DNA, </w:t>
      </w:r>
      <w:proofErr w:type="gramStart"/>
      <w:r w:rsidRPr="00685DE9">
        <w:rPr>
          <w:rFonts w:ascii="Arial" w:hAnsi="Arial" w:cs="Arial"/>
          <w:sz w:val="24"/>
          <w:szCs w:val="24"/>
        </w:rPr>
        <w:t>mRNA</w:t>
      </w:r>
      <w:proofErr w:type="gramEnd"/>
      <w:r w:rsidRPr="00685DE9">
        <w:rPr>
          <w:rFonts w:ascii="Arial" w:hAnsi="Arial" w:cs="Arial"/>
          <w:sz w:val="24"/>
          <w:szCs w:val="24"/>
        </w:rPr>
        <w:t xml:space="preserve"> or proteins. The remaining 93 patients have only mRNA (64 cases), DNA (25 cases) or proteins (4 cases).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damage search, mRNAs levels, immunoblotting, and liver ATP content were then assessed in distinct groups of 65, 104, 44, and 30 patients with CHB, respectively. The 33 patients with CHC had only total RNA, and all the 12 patients with NASH had simultaneously RNA, </w:t>
      </w:r>
      <w:proofErr w:type="gramStart"/>
      <w:r w:rsidRPr="00685DE9">
        <w:rPr>
          <w:rFonts w:ascii="Arial" w:hAnsi="Arial" w:cs="Arial"/>
          <w:sz w:val="24"/>
          <w:szCs w:val="24"/>
        </w:rPr>
        <w:t>DNA</w:t>
      </w:r>
      <w:proofErr w:type="gramEnd"/>
      <w:r w:rsidRPr="00685DE9">
        <w:rPr>
          <w:rFonts w:ascii="Arial" w:hAnsi="Arial" w:cs="Arial"/>
          <w:sz w:val="24"/>
          <w:szCs w:val="24"/>
        </w:rPr>
        <w:t xml:space="preserve"> and proteins. Eight (8) of the 24 controls subjects (non-CHB, non-CHC, non-NASH) had both RNA, </w:t>
      </w:r>
      <w:proofErr w:type="gramStart"/>
      <w:r w:rsidRPr="00685DE9">
        <w:rPr>
          <w:rFonts w:ascii="Arial" w:hAnsi="Arial" w:cs="Arial"/>
          <w:sz w:val="24"/>
          <w:szCs w:val="24"/>
        </w:rPr>
        <w:t>DNA</w:t>
      </w:r>
      <w:proofErr w:type="gramEnd"/>
      <w:r w:rsidRPr="00685DE9">
        <w:rPr>
          <w:rFonts w:ascii="Arial" w:hAnsi="Arial" w:cs="Arial"/>
          <w:sz w:val="24"/>
          <w:szCs w:val="24"/>
        </w:rPr>
        <w:t xml:space="preserve"> and proteins, while 16 had simultaneously DNA and proteins. mRNAs and/or proteins expression were analyzed for the main genes involved in mitochondrial function (MT-CO1, MT-CO2 and </w:t>
      </w:r>
      <w:r w:rsidRPr="00685DE9">
        <w:rPr>
          <w:rFonts w:ascii="Arial" w:hAnsi="Arial" w:cs="Arial"/>
          <w:sz w:val="24"/>
          <w:szCs w:val="24"/>
          <w:shd w:val="clear" w:color="auto" w:fill="FFFFFF"/>
        </w:rPr>
        <w:t>COX4I1</w:t>
      </w:r>
      <w:r w:rsidRPr="00685DE9">
        <w:rPr>
          <w:rFonts w:ascii="Arial" w:hAnsi="Arial" w:cs="Arial"/>
          <w:sz w:val="24"/>
          <w:szCs w:val="24"/>
        </w:rPr>
        <w:t xml:space="preserve"> subunits for complex IV; MT-ATP8 subunit for complex V), mitochondrial biogenesis (PPARGC1</w:t>
      </w:r>
      <w:r w:rsidRPr="00685DE9">
        <w:rPr>
          <w:rFonts w:ascii="Arial" w:eastAsia="Times New Roman" w:hAnsi="Arial" w:cs="Arial"/>
          <w:sz w:val="24"/>
          <w:szCs w:val="24"/>
          <w:shd w:val="clear" w:color="auto" w:fill="FFFFFF"/>
          <w:lang w:eastAsia="fr-FR"/>
        </w:rPr>
        <w:t>α</w:t>
      </w:r>
      <w:r w:rsidRPr="00685DE9">
        <w:rPr>
          <w:rFonts w:ascii="Arial" w:hAnsi="Arial" w:cs="Arial"/>
          <w:sz w:val="24"/>
          <w:szCs w:val="24"/>
        </w:rPr>
        <w:t xml:space="preserve">, TFAM), mitochondrial fusion/fission (MFN1/2, OPA-1, UTRN), </w:t>
      </w:r>
      <w:proofErr w:type="spellStart"/>
      <w:r w:rsidRPr="00685DE9">
        <w:rPr>
          <w:rFonts w:ascii="Arial" w:hAnsi="Arial" w:cs="Arial"/>
          <w:sz w:val="24"/>
          <w:szCs w:val="24"/>
          <w:vertAlign w:val="superscript"/>
        </w:rPr>
        <w:t>mt</w:t>
      </w:r>
      <w:r w:rsidRPr="00685DE9">
        <w:rPr>
          <w:rFonts w:ascii="Arial" w:hAnsi="Arial" w:cs="Arial"/>
          <w:sz w:val="24"/>
          <w:szCs w:val="24"/>
        </w:rPr>
        <w:t>UPR</w:t>
      </w:r>
      <w:proofErr w:type="spellEnd"/>
      <w:r w:rsidRPr="00685DE9">
        <w:rPr>
          <w:rFonts w:ascii="Arial" w:hAnsi="Arial" w:cs="Arial"/>
          <w:sz w:val="24"/>
          <w:szCs w:val="24"/>
        </w:rPr>
        <w:t xml:space="preserve"> (HSPD1, HSPA9, LONP1 protease), mitophagy (PINK1, PRKN), oxidative stress (</w:t>
      </w:r>
      <w:proofErr w:type="spellStart"/>
      <w:r w:rsidRPr="00685DE9">
        <w:rPr>
          <w:rFonts w:ascii="Arial" w:hAnsi="Arial" w:cs="Arial"/>
          <w:sz w:val="24"/>
          <w:szCs w:val="24"/>
        </w:rPr>
        <w:t>iNOS</w:t>
      </w:r>
      <w:proofErr w:type="spellEnd"/>
      <w:r w:rsidRPr="00685DE9">
        <w:rPr>
          <w:rFonts w:ascii="Arial" w:hAnsi="Arial" w:cs="Arial"/>
          <w:sz w:val="24"/>
          <w:szCs w:val="24"/>
        </w:rPr>
        <w:t xml:space="preserve">, </w:t>
      </w:r>
      <w:proofErr w:type="spellStart"/>
      <w:r w:rsidRPr="00685DE9">
        <w:rPr>
          <w:rFonts w:ascii="Arial" w:hAnsi="Arial" w:cs="Arial"/>
          <w:sz w:val="24"/>
          <w:szCs w:val="24"/>
        </w:rPr>
        <w:t>MnSOD</w:t>
      </w:r>
      <w:proofErr w:type="spellEnd"/>
      <w:r w:rsidRPr="00685DE9">
        <w:rPr>
          <w:rFonts w:ascii="Arial" w:hAnsi="Arial" w:cs="Arial"/>
          <w:sz w:val="24"/>
          <w:szCs w:val="24"/>
        </w:rPr>
        <w:t>), and genes for the inflammatory cytokines (TNFα, IL6, IL1β).</w:t>
      </w:r>
    </w:p>
    <w:p w14:paraId="689A4699" w14:textId="77777777" w:rsidR="006806A4" w:rsidRPr="00685DE9" w:rsidRDefault="006806A4" w:rsidP="006806A4">
      <w:pPr>
        <w:spacing w:line="360" w:lineRule="auto"/>
        <w:jc w:val="both"/>
        <w:rPr>
          <w:rFonts w:ascii="Arial" w:hAnsi="Arial" w:cs="Arial"/>
          <w:b/>
          <w:sz w:val="24"/>
          <w:szCs w:val="24"/>
        </w:rPr>
      </w:pPr>
    </w:p>
    <w:p w14:paraId="087AD624" w14:textId="4A3B037D" w:rsidR="006806A4" w:rsidRPr="00685DE9" w:rsidRDefault="006806A4" w:rsidP="00FC6804">
      <w:pPr>
        <w:spacing w:after="0" w:line="360" w:lineRule="auto"/>
        <w:jc w:val="both"/>
        <w:rPr>
          <w:rFonts w:ascii="Arial" w:hAnsi="Arial" w:cs="Arial"/>
          <w:sz w:val="24"/>
          <w:szCs w:val="24"/>
        </w:rPr>
      </w:pPr>
      <w:r w:rsidRPr="00685DE9">
        <w:rPr>
          <w:rFonts w:ascii="Arial" w:hAnsi="Arial" w:cs="Arial"/>
          <w:b/>
          <w:sz w:val="24"/>
          <w:szCs w:val="24"/>
        </w:rPr>
        <w:t xml:space="preserve">Supplemental Figure 2. Characterization and map of </w:t>
      </w:r>
      <w:proofErr w:type="spellStart"/>
      <w:r w:rsidRPr="00685DE9">
        <w:rPr>
          <w:rFonts w:ascii="Arial" w:hAnsi="Arial" w:cs="Arial"/>
          <w:b/>
          <w:sz w:val="24"/>
          <w:szCs w:val="24"/>
        </w:rPr>
        <w:t>mtDNA</w:t>
      </w:r>
      <w:proofErr w:type="spellEnd"/>
      <w:r w:rsidRPr="00685DE9">
        <w:rPr>
          <w:rFonts w:ascii="Arial" w:hAnsi="Arial" w:cs="Arial"/>
          <w:b/>
          <w:sz w:val="24"/>
          <w:szCs w:val="24"/>
        </w:rPr>
        <w:t xml:space="preserve"> deletions.</w:t>
      </w:r>
      <w:r w:rsidRPr="00685DE9">
        <w:rPr>
          <w:rFonts w:ascii="Arial" w:hAnsi="Arial" w:cs="Arial"/>
          <w:sz w:val="24"/>
          <w:szCs w:val="24"/>
        </w:rPr>
        <w:t xml:space="preserve">  (A) DNA sequences flanking the four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characterized in the present study. For some DNA samples that gave an unexpected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PCR product, the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band was excised, recovered, and sequenced by single-primer PCR amplification in the presence of dye terminators. Sequences are those of the L-strand, reading 5’ to 3’. Brackets and numbers indicate the deletion boundaries. The deletions start within the genes for subunit 8 of MT-ATP8 (A8), subunit 3 of cytochrome </w:t>
      </w:r>
      <w:r w:rsidRPr="00685DE9">
        <w:rPr>
          <w:rFonts w:ascii="Arial" w:hAnsi="Arial" w:cs="Arial"/>
          <w:i/>
          <w:iCs/>
          <w:sz w:val="24"/>
          <w:szCs w:val="24"/>
        </w:rPr>
        <w:t>c</w:t>
      </w:r>
      <w:r w:rsidRPr="00685DE9">
        <w:rPr>
          <w:rFonts w:ascii="Arial" w:hAnsi="Arial" w:cs="Arial"/>
          <w:sz w:val="24"/>
          <w:szCs w:val="24"/>
        </w:rPr>
        <w:t xml:space="preserve"> oxidase (MT-CO3) or subunit 3 of reduced nicotinamide adenine dinucleotide dehydrogenase (ND3). The four deletions end up within the gene coding for subunit 5 of reduced nicotinamide adenine dinucleotide dehydrogenase (ND5). All deletions are flanked by long or short direct repeats (underlined). All remove the sequence between the direct repeats plus one of these repeats. (B)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map showing the 37 </w:t>
      </w:r>
      <w:proofErr w:type="spellStart"/>
      <w:r w:rsidRPr="00685DE9">
        <w:rPr>
          <w:rFonts w:ascii="Arial" w:hAnsi="Arial" w:cs="Arial"/>
          <w:sz w:val="24"/>
          <w:szCs w:val="24"/>
        </w:rPr>
        <w:t>mtDNA</w:t>
      </w:r>
      <w:proofErr w:type="spellEnd"/>
      <w:r w:rsidRPr="00685DE9">
        <w:rPr>
          <w:rFonts w:ascii="Arial" w:hAnsi="Arial" w:cs="Arial"/>
          <w:sz w:val="24"/>
          <w:szCs w:val="24"/>
        </w:rPr>
        <w:t xml:space="preserve">-encoded genes. The position of the four </w:t>
      </w:r>
      <w:proofErr w:type="spellStart"/>
      <w:r w:rsidRPr="00685DE9">
        <w:rPr>
          <w:rFonts w:ascii="Arial" w:hAnsi="Arial" w:cs="Arial"/>
          <w:sz w:val="24"/>
          <w:szCs w:val="24"/>
        </w:rPr>
        <w:t>mtDNA</w:t>
      </w:r>
      <w:proofErr w:type="spellEnd"/>
      <w:r w:rsidRPr="00685DE9">
        <w:rPr>
          <w:rFonts w:ascii="Arial" w:hAnsi="Arial" w:cs="Arial"/>
          <w:sz w:val="24"/>
          <w:szCs w:val="24"/>
        </w:rPr>
        <w:t xml:space="preserve"> deletions and the corresponding affected genes were </w:t>
      </w:r>
      <w:r w:rsidRPr="00685DE9">
        <w:rPr>
          <w:rFonts w:ascii="Arial" w:hAnsi="Arial" w:cs="Arial"/>
          <w:sz w:val="24"/>
          <w:szCs w:val="24"/>
        </w:rPr>
        <w:lastRenderedPageBreak/>
        <w:t>shown. D-LOOP: the regulatory region Displacement loop; O</w:t>
      </w:r>
      <w:r w:rsidRPr="00685DE9">
        <w:rPr>
          <w:rFonts w:ascii="Arial" w:hAnsi="Arial" w:cs="Arial"/>
          <w:sz w:val="24"/>
          <w:szCs w:val="24"/>
          <w:vertAlign w:val="subscript"/>
        </w:rPr>
        <w:t>H</w:t>
      </w:r>
      <w:r w:rsidRPr="00685DE9">
        <w:rPr>
          <w:rFonts w:ascii="Arial" w:hAnsi="Arial" w:cs="Arial"/>
          <w:sz w:val="24"/>
          <w:szCs w:val="24"/>
        </w:rPr>
        <w:t xml:space="preserve">: </w:t>
      </w:r>
      <w:proofErr w:type="spellStart"/>
      <w:r w:rsidRPr="00685DE9">
        <w:rPr>
          <w:rFonts w:ascii="Arial" w:hAnsi="Arial" w:cs="Arial"/>
          <w:sz w:val="24"/>
          <w:szCs w:val="24"/>
        </w:rPr>
        <w:t>origine</w:t>
      </w:r>
      <w:proofErr w:type="spellEnd"/>
      <w:r w:rsidRPr="00685DE9">
        <w:rPr>
          <w:rFonts w:ascii="Arial" w:hAnsi="Arial" w:cs="Arial"/>
          <w:sz w:val="24"/>
          <w:szCs w:val="24"/>
        </w:rPr>
        <w:t xml:space="preserve"> of replication for the heavy strand; </w:t>
      </w:r>
      <w:proofErr w:type="spellStart"/>
      <w:r w:rsidRPr="00685DE9">
        <w:rPr>
          <w:rFonts w:ascii="Arial" w:hAnsi="Arial" w:cs="Arial"/>
          <w:sz w:val="24"/>
          <w:szCs w:val="24"/>
        </w:rPr>
        <w:t>O</w:t>
      </w:r>
      <w:r w:rsidRPr="00685DE9">
        <w:rPr>
          <w:rFonts w:ascii="Arial" w:hAnsi="Arial" w:cs="Arial"/>
          <w:sz w:val="24"/>
          <w:szCs w:val="24"/>
          <w:vertAlign w:val="subscript"/>
        </w:rPr>
        <w:t>l</w:t>
      </w:r>
      <w:proofErr w:type="spellEnd"/>
      <w:r w:rsidRPr="00685DE9">
        <w:rPr>
          <w:rFonts w:ascii="Arial" w:hAnsi="Arial" w:cs="Arial"/>
          <w:sz w:val="24"/>
          <w:szCs w:val="24"/>
        </w:rPr>
        <w:t xml:space="preserve">: </w:t>
      </w:r>
      <w:proofErr w:type="spellStart"/>
      <w:r w:rsidRPr="00685DE9">
        <w:rPr>
          <w:rFonts w:ascii="Arial" w:hAnsi="Arial" w:cs="Arial"/>
          <w:sz w:val="24"/>
          <w:szCs w:val="24"/>
        </w:rPr>
        <w:t>Origine</w:t>
      </w:r>
      <w:proofErr w:type="spellEnd"/>
      <w:r w:rsidRPr="00685DE9">
        <w:rPr>
          <w:rFonts w:ascii="Arial" w:hAnsi="Arial" w:cs="Arial"/>
          <w:sz w:val="24"/>
          <w:szCs w:val="24"/>
        </w:rPr>
        <w:t xml:space="preserve"> of replication for the light strand; RRN12S, RRN16S: Ribosomal RNA 12S and 16S; CO1, 2, 3 : Subunits 1, 2 and 3 of cytochrome c oxidase (complex IV); ATP6, 8: subunits 6 and 8 of ATP synthase (complex V); ND1, 2, 3, 4L, 4, 5 and 6, subunits 1, 2, 3, 4L, 4, 5 and 6 of reduced nicotinamide adenine dinucleotide (NADH) dehydrogenase (complex I); CYTB: cytochrome b (complex III). The 22 transfer RNA (TRN) genes for the following amino acids: F, V, L1 (codon UUA/G), I, Q, M, W, A, N, C, Y, S1 (UCN), D, K, G, R, H, S2 (AGC/U), L2 (CUN), E, T and P are indicated.</w:t>
      </w:r>
    </w:p>
    <w:p w14:paraId="4CF6E2F6" w14:textId="77777777" w:rsidR="009A2AE0" w:rsidRPr="00685DE9" w:rsidRDefault="009A2AE0" w:rsidP="00FC6804">
      <w:pPr>
        <w:spacing w:after="0" w:line="360" w:lineRule="auto"/>
        <w:jc w:val="both"/>
        <w:rPr>
          <w:rFonts w:ascii="Arial" w:hAnsi="Arial" w:cs="Arial"/>
          <w:b/>
          <w:sz w:val="24"/>
          <w:szCs w:val="24"/>
        </w:rPr>
      </w:pPr>
    </w:p>
    <w:p w14:paraId="04672AB7" w14:textId="6618A2F6" w:rsidR="006806A4" w:rsidRPr="00685DE9" w:rsidRDefault="006806A4" w:rsidP="009A2AE0">
      <w:pPr>
        <w:spacing w:after="0" w:line="360" w:lineRule="auto"/>
        <w:jc w:val="both"/>
        <w:rPr>
          <w:rFonts w:ascii="Arial" w:hAnsi="Arial" w:cs="Arial"/>
          <w:b/>
          <w:sz w:val="24"/>
          <w:szCs w:val="24"/>
        </w:rPr>
      </w:pPr>
      <w:r w:rsidRPr="00685DE9">
        <w:rPr>
          <w:rFonts w:ascii="Arial" w:hAnsi="Arial" w:cs="Arial"/>
          <w:b/>
          <w:sz w:val="24"/>
          <w:szCs w:val="24"/>
        </w:rPr>
        <w:t>Supplemental Figure 3</w:t>
      </w:r>
      <w:r w:rsidR="00B43875" w:rsidRPr="00685DE9">
        <w:rPr>
          <w:rFonts w:ascii="Arial" w:hAnsi="Arial" w:cs="Arial"/>
          <w:b/>
          <w:sz w:val="24"/>
          <w:szCs w:val="24"/>
        </w:rPr>
        <w:t xml:space="preserve">. </w:t>
      </w:r>
      <w:r w:rsidRPr="00685DE9">
        <w:rPr>
          <w:rFonts w:ascii="Arial" w:hAnsi="Arial" w:cs="Arial"/>
        </w:rPr>
        <w:t xml:space="preserve">(A) </w:t>
      </w:r>
      <w:proofErr w:type="spellStart"/>
      <w:r w:rsidRPr="00685DE9">
        <w:rPr>
          <w:rFonts w:ascii="Arial" w:hAnsi="Arial" w:cs="Arial"/>
        </w:rPr>
        <w:t>mtDNA</w:t>
      </w:r>
      <w:proofErr w:type="spellEnd"/>
      <w:r w:rsidRPr="00685DE9">
        <w:rPr>
          <w:rFonts w:ascii="Arial" w:hAnsi="Arial" w:cs="Arial"/>
        </w:rPr>
        <w:t>/</w:t>
      </w:r>
      <w:proofErr w:type="spellStart"/>
      <w:r w:rsidRPr="00685DE9">
        <w:rPr>
          <w:rFonts w:ascii="Arial" w:hAnsi="Arial" w:cs="Arial"/>
        </w:rPr>
        <w:t>nDNA</w:t>
      </w:r>
      <w:proofErr w:type="spellEnd"/>
      <w:r w:rsidRPr="00685DE9">
        <w:rPr>
          <w:rFonts w:ascii="Arial" w:hAnsi="Arial" w:cs="Arial"/>
        </w:rPr>
        <w:t xml:space="preserve"> ratio as assessed by qPCR amplification of </w:t>
      </w:r>
      <w:proofErr w:type="spellStart"/>
      <w:r w:rsidRPr="00685DE9">
        <w:rPr>
          <w:rFonts w:ascii="Arial" w:hAnsi="Arial" w:cs="Arial"/>
        </w:rPr>
        <w:t>mtDNA</w:t>
      </w:r>
      <w:proofErr w:type="spellEnd"/>
      <w:r w:rsidRPr="00685DE9">
        <w:rPr>
          <w:rFonts w:ascii="Arial" w:hAnsi="Arial" w:cs="Arial"/>
        </w:rPr>
        <w:t xml:space="preserve">-encoded MT-ND1 gene and </w:t>
      </w:r>
      <w:proofErr w:type="spellStart"/>
      <w:r w:rsidRPr="00685DE9">
        <w:rPr>
          <w:rFonts w:ascii="Arial" w:hAnsi="Arial" w:cs="Arial"/>
        </w:rPr>
        <w:t>nDNA</w:t>
      </w:r>
      <w:proofErr w:type="spellEnd"/>
      <w:r w:rsidRPr="00685DE9">
        <w:rPr>
          <w:rFonts w:ascii="Arial" w:hAnsi="Arial" w:cs="Arial"/>
        </w:rPr>
        <w:t>-encoded β-globin gene in 6 control subjects and 12 patients with CHB (6 F0-F2 and 6 F3-F4). (B</w:t>
      </w:r>
      <w:r w:rsidR="00B43875" w:rsidRPr="00685DE9">
        <w:rPr>
          <w:rFonts w:ascii="Arial" w:hAnsi="Arial" w:cs="Arial"/>
        </w:rPr>
        <w:t xml:space="preserve"> and C</w:t>
      </w:r>
      <w:r w:rsidRPr="00685DE9">
        <w:rPr>
          <w:rFonts w:ascii="Arial" w:hAnsi="Arial" w:cs="Arial"/>
        </w:rPr>
        <w:t xml:space="preserve">) </w:t>
      </w:r>
      <w:r w:rsidR="00B43875" w:rsidRPr="00685DE9">
        <w:rPr>
          <w:rFonts w:ascii="Arial" w:hAnsi="Arial" w:cs="Arial"/>
          <w:sz w:val="24"/>
          <w:szCs w:val="24"/>
        </w:rPr>
        <w:t xml:space="preserve">Proportions of the three main </w:t>
      </w:r>
      <w:proofErr w:type="spellStart"/>
      <w:r w:rsidR="00B43875" w:rsidRPr="00685DE9">
        <w:rPr>
          <w:rFonts w:ascii="Arial" w:hAnsi="Arial" w:cs="Arial"/>
          <w:sz w:val="24"/>
          <w:szCs w:val="24"/>
        </w:rPr>
        <w:t>mtDNA</w:t>
      </w:r>
      <w:proofErr w:type="spellEnd"/>
      <w:r w:rsidR="00B43875" w:rsidRPr="00685DE9">
        <w:rPr>
          <w:rFonts w:ascii="Arial" w:hAnsi="Arial" w:cs="Arial"/>
          <w:sz w:val="24"/>
          <w:szCs w:val="24"/>
        </w:rPr>
        <w:t xml:space="preserve"> topology forms. </w:t>
      </w:r>
      <w:r w:rsidRPr="00685DE9">
        <w:rPr>
          <w:rFonts w:ascii="Arial" w:hAnsi="Arial" w:cs="Arial"/>
        </w:rPr>
        <w:t xml:space="preserve">Liver DNA (1.5-3 </w:t>
      </w:r>
      <w:proofErr w:type="spellStart"/>
      <w:r w:rsidRPr="00685DE9">
        <w:rPr>
          <w:rFonts w:ascii="Arial" w:hAnsi="Arial" w:cs="Arial"/>
        </w:rPr>
        <w:t>μg</w:t>
      </w:r>
      <w:proofErr w:type="spellEnd"/>
      <w:r w:rsidRPr="00685DE9">
        <w:rPr>
          <w:rFonts w:ascii="Arial" w:hAnsi="Arial" w:cs="Arial"/>
        </w:rPr>
        <w:t>) was separated on agarose gels without intercalating dyes. Separated DNA was transferred on H</w:t>
      </w:r>
      <w:r w:rsidRPr="00685DE9">
        <w:rPr>
          <w:rFonts w:ascii="Arial" w:hAnsi="Arial" w:cs="Arial"/>
          <w:vertAlign w:val="superscript"/>
        </w:rPr>
        <w:t>+</w:t>
      </w:r>
      <w:r w:rsidRPr="00685DE9">
        <w:rPr>
          <w:rFonts w:ascii="Arial" w:hAnsi="Arial" w:cs="Arial"/>
        </w:rPr>
        <w:t>-</w:t>
      </w:r>
      <w:proofErr w:type="spellStart"/>
      <w:r w:rsidRPr="00685DE9">
        <w:rPr>
          <w:rFonts w:ascii="Arial" w:hAnsi="Arial" w:cs="Arial"/>
        </w:rPr>
        <w:t>Hybond</w:t>
      </w:r>
      <w:proofErr w:type="spellEnd"/>
      <w:r w:rsidRPr="00685DE9">
        <w:rPr>
          <w:rFonts w:ascii="Arial" w:hAnsi="Arial" w:cs="Arial"/>
        </w:rPr>
        <w:t xml:space="preserve"> nylon membranes and southern blots were hybridized with α-dCTP</w:t>
      </w:r>
      <w:r w:rsidRPr="00685DE9">
        <w:rPr>
          <w:rFonts w:ascii="Arial" w:hAnsi="Arial" w:cs="Arial"/>
          <w:vertAlign w:val="superscript"/>
        </w:rPr>
        <w:t>32</w:t>
      </w:r>
      <w:r w:rsidRPr="00685DE9">
        <w:rPr>
          <w:rFonts w:ascii="Arial" w:hAnsi="Arial" w:cs="Arial"/>
        </w:rPr>
        <w:t xml:space="preserve">-radiolabeled 6.08-kb </w:t>
      </w:r>
      <w:proofErr w:type="spellStart"/>
      <w:r w:rsidRPr="00685DE9">
        <w:rPr>
          <w:rFonts w:ascii="Arial" w:hAnsi="Arial" w:cs="Arial"/>
        </w:rPr>
        <w:t>mtDNA</w:t>
      </w:r>
      <w:proofErr w:type="spellEnd"/>
      <w:r w:rsidRPr="00685DE9">
        <w:rPr>
          <w:rFonts w:ascii="Arial" w:hAnsi="Arial" w:cs="Arial"/>
        </w:rPr>
        <w:t xml:space="preserve"> probe. </w:t>
      </w:r>
      <w:proofErr w:type="spellStart"/>
      <w:r w:rsidRPr="00685DE9">
        <w:rPr>
          <w:rFonts w:ascii="Arial" w:hAnsi="Arial" w:cs="Arial"/>
        </w:rPr>
        <w:t>mtDNA</w:t>
      </w:r>
      <w:proofErr w:type="spellEnd"/>
      <w:r w:rsidRPr="00685DE9">
        <w:rPr>
          <w:rFonts w:ascii="Arial" w:hAnsi="Arial" w:cs="Arial"/>
        </w:rPr>
        <w:t xml:space="preserve"> Southern blots from one control and two patients with CHB were shown</w:t>
      </w:r>
      <w:r w:rsidR="00B43875" w:rsidRPr="00685DE9">
        <w:rPr>
          <w:rFonts w:ascii="Arial" w:hAnsi="Arial" w:cs="Arial"/>
        </w:rPr>
        <w:t xml:space="preserve"> (B)</w:t>
      </w:r>
      <w:r w:rsidRPr="00685DE9">
        <w:rPr>
          <w:rFonts w:ascii="Arial" w:hAnsi="Arial" w:cs="Arial"/>
        </w:rPr>
        <w:t xml:space="preserve">. The control subjects mainly contain supercoiled and circular </w:t>
      </w:r>
      <w:proofErr w:type="spellStart"/>
      <w:r w:rsidRPr="00685DE9">
        <w:rPr>
          <w:rFonts w:ascii="Arial" w:hAnsi="Arial" w:cs="Arial"/>
        </w:rPr>
        <w:t>mtDNA</w:t>
      </w:r>
      <w:proofErr w:type="spellEnd"/>
      <w:r w:rsidRPr="00685DE9">
        <w:rPr>
          <w:rFonts w:ascii="Arial" w:hAnsi="Arial" w:cs="Arial"/>
        </w:rPr>
        <w:t xml:space="preserve"> molecules. DNA from patients with CHB shows disappearance of supercoiled </w:t>
      </w:r>
      <w:proofErr w:type="spellStart"/>
      <w:r w:rsidRPr="00685DE9">
        <w:rPr>
          <w:rFonts w:ascii="Arial" w:hAnsi="Arial" w:cs="Arial"/>
        </w:rPr>
        <w:t>mtDNA</w:t>
      </w:r>
      <w:proofErr w:type="spellEnd"/>
      <w:r w:rsidRPr="00685DE9">
        <w:rPr>
          <w:rFonts w:ascii="Arial" w:hAnsi="Arial" w:cs="Arial"/>
        </w:rPr>
        <w:t xml:space="preserve"> and increased linear </w:t>
      </w:r>
      <w:proofErr w:type="spellStart"/>
      <w:r w:rsidRPr="00685DE9">
        <w:rPr>
          <w:rFonts w:ascii="Arial" w:hAnsi="Arial" w:cs="Arial"/>
        </w:rPr>
        <w:t>mtDNA</w:t>
      </w:r>
      <w:proofErr w:type="spellEnd"/>
      <w:r w:rsidRPr="00685DE9">
        <w:rPr>
          <w:rFonts w:ascii="Arial" w:hAnsi="Arial" w:cs="Arial"/>
        </w:rPr>
        <w:t xml:space="preserve">. (C) Relative proportions of the three main </w:t>
      </w:r>
      <w:proofErr w:type="spellStart"/>
      <w:r w:rsidRPr="00685DE9">
        <w:rPr>
          <w:rFonts w:ascii="Arial" w:hAnsi="Arial" w:cs="Arial"/>
        </w:rPr>
        <w:t>mtDNA</w:t>
      </w:r>
      <w:proofErr w:type="spellEnd"/>
      <w:r w:rsidRPr="00685DE9">
        <w:rPr>
          <w:rFonts w:ascii="Arial" w:hAnsi="Arial" w:cs="Arial"/>
        </w:rPr>
        <w:t xml:space="preserve"> forms. The percentages of supercoiled, full-length linear and </w:t>
      </w:r>
      <w:proofErr w:type="spellStart"/>
      <w:r w:rsidRPr="00685DE9">
        <w:rPr>
          <w:rFonts w:ascii="Arial" w:hAnsi="Arial" w:cs="Arial"/>
        </w:rPr>
        <w:t>circularforms</w:t>
      </w:r>
      <w:proofErr w:type="spellEnd"/>
      <w:r w:rsidRPr="00685DE9">
        <w:rPr>
          <w:rFonts w:ascii="Arial" w:hAnsi="Arial" w:cs="Arial"/>
        </w:rPr>
        <w:t xml:space="preserve"> of </w:t>
      </w:r>
      <w:proofErr w:type="spellStart"/>
      <w:r w:rsidRPr="00685DE9">
        <w:rPr>
          <w:rFonts w:ascii="Arial" w:hAnsi="Arial" w:cs="Arial"/>
        </w:rPr>
        <w:t>mtDNA</w:t>
      </w:r>
      <w:proofErr w:type="spellEnd"/>
      <w:r w:rsidRPr="00685DE9">
        <w:rPr>
          <w:rFonts w:ascii="Arial" w:hAnsi="Arial" w:cs="Arial"/>
        </w:rPr>
        <w:t xml:space="preserve"> were determined by densitometry analysis of Southern blot autoradiographs. Results are means </w:t>
      </w:r>
      <w:r w:rsidRPr="00685DE9">
        <w:rPr>
          <w:rFonts w:ascii="Arial" w:hAnsi="Arial" w:cs="Arial"/>
          <w:iCs/>
        </w:rPr>
        <w:t>±</w:t>
      </w:r>
      <w:r w:rsidRPr="00685DE9">
        <w:rPr>
          <w:rFonts w:ascii="Arial" w:hAnsi="Arial" w:cs="Arial"/>
        </w:rPr>
        <w:t xml:space="preserve"> SEM for 5 control subjects, 5 patients with F0-F2 and 5 patients with F3-F4 fibrosis. *Different from control subjects, </w:t>
      </w:r>
      <w:r w:rsidRPr="00685DE9">
        <w:rPr>
          <w:rFonts w:ascii="Arial" w:hAnsi="Arial" w:cs="Arial"/>
          <w:i/>
          <w:iCs/>
        </w:rPr>
        <w:t xml:space="preserve">p&lt;0.05; </w:t>
      </w:r>
      <w:r w:rsidRPr="00685DE9">
        <w:rPr>
          <w:rFonts w:ascii="Arial" w:hAnsi="Arial" w:cs="Arial"/>
        </w:rPr>
        <w:t xml:space="preserve">Mann-Whitney </w:t>
      </w:r>
      <w:r w:rsidRPr="00685DE9">
        <w:rPr>
          <w:rFonts w:ascii="Arial" w:hAnsi="Arial" w:cs="Arial"/>
          <w:iCs/>
        </w:rPr>
        <w:t>U</w:t>
      </w:r>
      <w:r w:rsidRPr="00685DE9">
        <w:rPr>
          <w:rFonts w:ascii="Arial" w:hAnsi="Arial" w:cs="Arial"/>
        </w:rPr>
        <w:t xml:space="preserve">-test. Bp, base pairs; CHB, Chronic Hepatitis B; </w:t>
      </w:r>
      <w:proofErr w:type="spellStart"/>
      <w:r w:rsidRPr="00685DE9">
        <w:rPr>
          <w:rFonts w:ascii="Arial" w:hAnsi="Arial" w:cs="Arial"/>
        </w:rPr>
        <w:t>mtDNA</w:t>
      </w:r>
      <w:proofErr w:type="spellEnd"/>
      <w:r w:rsidRPr="00685DE9">
        <w:rPr>
          <w:rFonts w:ascii="Arial" w:hAnsi="Arial" w:cs="Arial"/>
        </w:rPr>
        <w:t xml:space="preserve">, mitochondrial DNA; MT-ND1, NADH dehydrogenase 1; </w:t>
      </w:r>
      <w:proofErr w:type="spellStart"/>
      <w:r w:rsidRPr="00685DE9">
        <w:rPr>
          <w:rFonts w:ascii="Arial" w:hAnsi="Arial" w:cs="Arial"/>
        </w:rPr>
        <w:t>nDNA</w:t>
      </w:r>
      <w:proofErr w:type="spellEnd"/>
      <w:r w:rsidRPr="00685DE9">
        <w:rPr>
          <w:rFonts w:ascii="Arial" w:hAnsi="Arial" w:cs="Arial"/>
        </w:rPr>
        <w:t>, nuclear DNA.</w:t>
      </w:r>
    </w:p>
    <w:p w14:paraId="14C3A9FB" w14:textId="77777777" w:rsidR="009A2AE0" w:rsidRPr="00685DE9" w:rsidRDefault="009A2AE0" w:rsidP="009A2AE0">
      <w:pPr>
        <w:spacing w:after="0" w:line="360" w:lineRule="auto"/>
        <w:jc w:val="both"/>
        <w:rPr>
          <w:rFonts w:ascii="Arial" w:hAnsi="Arial" w:cs="Arial"/>
          <w:b/>
          <w:sz w:val="24"/>
          <w:szCs w:val="24"/>
        </w:rPr>
      </w:pPr>
    </w:p>
    <w:p w14:paraId="67CB2CE3" w14:textId="66BC22BB" w:rsidR="00457D9A" w:rsidRPr="00685DE9" w:rsidRDefault="006806A4" w:rsidP="009A2AE0">
      <w:pPr>
        <w:autoSpaceDE w:val="0"/>
        <w:adjustRightInd w:val="0"/>
        <w:spacing w:line="360" w:lineRule="auto"/>
        <w:jc w:val="both"/>
        <w:rPr>
          <w:rFonts w:ascii="Arial" w:hAnsi="Arial" w:cs="Arial"/>
          <w:i/>
          <w:sz w:val="24"/>
          <w:szCs w:val="24"/>
        </w:rPr>
      </w:pPr>
      <w:r w:rsidRPr="00685DE9">
        <w:rPr>
          <w:rFonts w:ascii="Arial" w:hAnsi="Arial" w:cs="Arial"/>
          <w:b/>
          <w:sz w:val="24"/>
          <w:szCs w:val="24"/>
        </w:rPr>
        <w:t>Supplemental Figure 4.</w:t>
      </w:r>
      <w:r w:rsidRPr="00685DE9">
        <w:rPr>
          <w:rFonts w:ascii="Arial" w:hAnsi="Arial" w:cs="Arial"/>
          <w:sz w:val="24"/>
          <w:szCs w:val="24"/>
        </w:rPr>
        <w:t xml:space="preserve"> </w:t>
      </w:r>
      <w:r w:rsidRPr="00685DE9">
        <w:rPr>
          <w:rFonts w:ascii="Arial" w:hAnsi="Arial" w:cs="Arial"/>
          <w:b/>
          <w:sz w:val="24"/>
          <w:szCs w:val="24"/>
        </w:rPr>
        <w:t xml:space="preserve">Liver mRNA levels for </w:t>
      </w:r>
      <w:proofErr w:type="spellStart"/>
      <w:r w:rsidRPr="00685DE9">
        <w:rPr>
          <w:rFonts w:ascii="Arial" w:hAnsi="Arial" w:cs="Arial"/>
          <w:b/>
          <w:sz w:val="24"/>
          <w:szCs w:val="24"/>
        </w:rPr>
        <w:t>nDNA</w:t>
      </w:r>
      <w:proofErr w:type="spellEnd"/>
      <w:r w:rsidRPr="00685DE9">
        <w:rPr>
          <w:rFonts w:ascii="Arial" w:hAnsi="Arial" w:cs="Arial"/>
          <w:b/>
          <w:sz w:val="24"/>
          <w:szCs w:val="24"/>
        </w:rPr>
        <w:t xml:space="preserve">-encoded cytochrome </w:t>
      </w:r>
      <w:r w:rsidRPr="00685DE9">
        <w:rPr>
          <w:rFonts w:ascii="Arial" w:hAnsi="Arial" w:cs="Arial"/>
          <w:b/>
          <w:i/>
          <w:sz w:val="24"/>
          <w:szCs w:val="24"/>
        </w:rPr>
        <w:t>c</w:t>
      </w:r>
      <w:r w:rsidRPr="00685DE9">
        <w:rPr>
          <w:rFonts w:ascii="Arial" w:hAnsi="Arial" w:cs="Arial"/>
          <w:b/>
          <w:sz w:val="24"/>
          <w:szCs w:val="24"/>
        </w:rPr>
        <w:t xml:space="preserve"> oxidase 4 (COX4i1) and protein levels for TOMM20, MFN1 and OPA1. </w:t>
      </w:r>
      <w:r w:rsidRPr="00685DE9">
        <w:rPr>
          <w:rFonts w:ascii="Arial" w:hAnsi="Arial" w:cs="Arial"/>
          <w:sz w:val="24"/>
          <w:szCs w:val="24"/>
        </w:rPr>
        <w:t>(A) Cox4i1 mRNA levels were measured in controls (n=8), patients with CHB and F3-F4 (n=16) or F0-F2 (n=51), patients with CHC and F3-F4 (n=12) or F3-F4 (n=19) and patients with NASH and cirrhosis (n=12). (B) TOM20/β-actin ratios in control subjects (n=7), patients with CHB and F3-F4 fibrosis (n=7) or with F0-F2 fibrosis (n=13) and patients with NASH and cirrhosis (n=8). (C) MFN1/β-actin ratios in patients with CHB and F3-F4 (n=5) or F0-F2 (n=6). (D) OPA1/β-actin ratios in patients with CHB and F3-F4 (n=5) or F0-F2 (n=7).</w:t>
      </w:r>
      <w:r w:rsidRPr="00685DE9">
        <w:rPr>
          <w:rFonts w:ascii="Arial" w:hAnsi="Arial" w:cs="Arial"/>
          <w:sz w:val="24"/>
          <w:szCs w:val="24"/>
          <w:vertAlign w:val="superscript"/>
        </w:rPr>
        <w:t xml:space="preserve"> #</w:t>
      </w:r>
      <w:r w:rsidRPr="00685DE9">
        <w:rPr>
          <w:rFonts w:ascii="Arial" w:hAnsi="Arial" w:cs="Arial"/>
          <w:sz w:val="24"/>
          <w:szCs w:val="24"/>
        </w:rPr>
        <w:t xml:space="preserve">Different from control subjects, </w:t>
      </w:r>
      <w:r w:rsidRPr="00685DE9">
        <w:rPr>
          <w:rFonts w:ascii="Arial" w:hAnsi="Arial" w:cs="Arial"/>
          <w:i/>
          <w:sz w:val="24"/>
          <w:szCs w:val="24"/>
          <w:vertAlign w:val="superscript"/>
        </w:rPr>
        <w:t>#</w:t>
      </w:r>
      <w:r w:rsidRPr="00685DE9">
        <w:rPr>
          <w:rFonts w:ascii="Arial" w:hAnsi="Arial" w:cs="Arial"/>
          <w:i/>
          <w:iCs/>
          <w:sz w:val="24"/>
          <w:szCs w:val="24"/>
        </w:rPr>
        <w:t xml:space="preserve">p&lt;0.05, </w:t>
      </w:r>
      <w:r w:rsidRPr="00685DE9">
        <w:rPr>
          <w:rFonts w:ascii="Arial" w:hAnsi="Arial" w:cs="Arial"/>
          <w:i/>
          <w:sz w:val="24"/>
          <w:szCs w:val="24"/>
          <w:vertAlign w:val="superscript"/>
        </w:rPr>
        <w:t>##</w:t>
      </w:r>
      <w:r w:rsidRPr="00685DE9">
        <w:rPr>
          <w:rFonts w:ascii="Arial" w:hAnsi="Arial" w:cs="Arial"/>
          <w:i/>
          <w:sz w:val="24"/>
          <w:szCs w:val="24"/>
        </w:rPr>
        <w:t xml:space="preserve">p&lt;0.01. </w:t>
      </w:r>
      <w:r w:rsidRPr="00685DE9">
        <w:rPr>
          <w:rFonts w:ascii="Arial" w:hAnsi="Arial" w:cs="Arial"/>
          <w:sz w:val="24"/>
          <w:szCs w:val="24"/>
          <w:vertAlign w:val="superscript"/>
        </w:rPr>
        <w:t>*</w:t>
      </w:r>
      <w:r w:rsidRPr="00685DE9">
        <w:rPr>
          <w:rFonts w:ascii="Arial" w:hAnsi="Arial" w:cs="Arial"/>
          <w:sz w:val="24"/>
          <w:szCs w:val="24"/>
        </w:rPr>
        <w:t xml:space="preserve">Different from F0-F2 </w:t>
      </w:r>
      <w:r w:rsidRPr="00685DE9">
        <w:rPr>
          <w:rFonts w:ascii="Arial" w:hAnsi="Arial" w:cs="Arial"/>
          <w:sz w:val="24"/>
          <w:szCs w:val="24"/>
        </w:rPr>
        <w:lastRenderedPageBreak/>
        <w:t xml:space="preserve">fibrosis or F3-F4 of different etiology, </w:t>
      </w:r>
      <w:r w:rsidRPr="00685DE9">
        <w:rPr>
          <w:rFonts w:ascii="Arial" w:hAnsi="Arial" w:cs="Arial"/>
          <w:i/>
          <w:sz w:val="24"/>
          <w:szCs w:val="24"/>
          <w:vertAlign w:val="superscript"/>
        </w:rPr>
        <w:t>*</w:t>
      </w:r>
      <w:r w:rsidRPr="00685DE9">
        <w:rPr>
          <w:rFonts w:ascii="Arial" w:hAnsi="Arial" w:cs="Arial"/>
          <w:i/>
          <w:iCs/>
          <w:sz w:val="24"/>
          <w:szCs w:val="24"/>
        </w:rPr>
        <w:t xml:space="preserve">p&lt;0.05, </w:t>
      </w:r>
      <w:r w:rsidRPr="00685DE9">
        <w:rPr>
          <w:rFonts w:ascii="Arial" w:hAnsi="Arial" w:cs="Arial"/>
          <w:i/>
          <w:sz w:val="24"/>
          <w:szCs w:val="24"/>
          <w:vertAlign w:val="superscript"/>
        </w:rPr>
        <w:t>***</w:t>
      </w:r>
      <w:r w:rsidRPr="00685DE9">
        <w:rPr>
          <w:rFonts w:ascii="Arial" w:hAnsi="Arial" w:cs="Arial"/>
          <w:i/>
          <w:sz w:val="24"/>
          <w:szCs w:val="24"/>
        </w:rPr>
        <w:t>p&lt;0.001.</w:t>
      </w:r>
      <w:r w:rsidRPr="00685DE9">
        <w:rPr>
          <w:rFonts w:ascii="Arial" w:hAnsi="Arial" w:cs="Arial"/>
          <w:i/>
          <w:iCs/>
          <w:sz w:val="24"/>
          <w:szCs w:val="24"/>
        </w:rPr>
        <w:t xml:space="preserve"> </w:t>
      </w:r>
      <w:r w:rsidRPr="00685DE9">
        <w:rPr>
          <w:rFonts w:ascii="Arial" w:hAnsi="Arial" w:cs="Arial"/>
          <w:sz w:val="24"/>
          <w:szCs w:val="24"/>
        </w:rPr>
        <w:t xml:space="preserve">Mann-Whitney </w:t>
      </w:r>
      <w:r w:rsidRPr="00685DE9">
        <w:rPr>
          <w:rFonts w:ascii="Arial" w:hAnsi="Arial" w:cs="Arial"/>
          <w:iCs/>
          <w:sz w:val="24"/>
          <w:szCs w:val="24"/>
        </w:rPr>
        <w:t>U</w:t>
      </w:r>
      <w:r w:rsidRPr="00685DE9">
        <w:rPr>
          <w:rFonts w:ascii="Arial" w:hAnsi="Arial" w:cs="Arial"/>
          <w:sz w:val="24"/>
          <w:szCs w:val="24"/>
        </w:rPr>
        <w:t xml:space="preserve">-test. </w:t>
      </w:r>
      <w:r w:rsidRPr="00685DE9">
        <w:rPr>
          <w:rFonts w:ascii="Arial" w:hAnsi="Arial" w:cs="Arial"/>
          <w:i/>
          <w:sz w:val="24"/>
          <w:szCs w:val="24"/>
        </w:rPr>
        <w:t xml:space="preserve">Mann-Whitney U-test. </w:t>
      </w:r>
    </w:p>
    <w:p w14:paraId="3FD6E61A" w14:textId="62FE614B" w:rsidR="005F294E" w:rsidRPr="00685DE9" w:rsidRDefault="005F294E" w:rsidP="009A2AE0">
      <w:pPr>
        <w:autoSpaceDN/>
        <w:spacing w:line="360" w:lineRule="auto"/>
        <w:jc w:val="both"/>
        <w:rPr>
          <w:rFonts w:ascii="Arial" w:hAnsi="Arial" w:cs="Arial"/>
          <w:sz w:val="24"/>
          <w:szCs w:val="24"/>
        </w:rPr>
      </w:pPr>
      <w:r w:rsidRPr="00685DE9">
        <w:rPr>
          <w:rFonts w:ascii="Arial" w:hAnsi="Arial" w:cs="Arial"/>
          <w:b/>
          <w:sz w:val="24"/>
          <w:szCs w:val="24"/>
        </w:rPr>
        <w:t xml:space="preserve">Supplemental Figure 5. Protein and/or mRNA levels for the mitochondrial biogenesis markers TFAM and </w:t>
      </w:r>
      <w:r w:rsidRPr="00685DE9">
        <w:rPr>
          <w:rFonts w:ascii="Arial" w:hAnsi="Arial" w:cs="Arial"/>
          <w:b/>
          <w:sz w:val="24"/>
          <w:szCs w:val="24"/>
          <w:shd w:val="clear" w:color="auto" w:fill="FFFFFF"/>
        </w:rPr>
        <w:t>PPARGC1α</w:t>
      </w:r>
      <w:r w:rsidRPr="00685DE9">
        <w:rPr>
          <w:rFonts w:ascii="Arial" w:hAnsi="Arial" w:cs="Arial"/>
          <w:b/>
          <w:sz w:val="24"/>
          <w:szCs w:val="24"/>
        </w:rPr>
        <w:t xml:space="preserve">. </w:t>
      </w:r>
      <w:r w:rsidRPr="00685DE9">
        <w:rPr>
          <w:rFonts w:ascii="Arial" w:hAnsi="Arial" w:cs="Arial"/>
          <w:bCs/>
          <w:sz w:val="24"/>
          <w:szCs w:val="24"/>
        </w:rPr>
        <w:t xml:space="preserve">(A) TFAM mRNA levels were compared </w:t>
      </w:r>
      <w:r w:rsidRPr="00685DE9">
        <w:rPr>
          <w:rFonts w:ascii="Arial" w:eastAsia="Times New Roman" w:hAnsi="Arial" w:cs="Arial"/>
          <w:sz w:val="24"/>
          <w:szCs w:val="24"/>
        </w:rPr>
        <w:t xml:space="preserve">in patients with CHB and F3-F4 (n=20) or </w:t>
      </w:r>
      <w:r w:rsidRPr="00685DE9">
        <w:rPr>
          <w:rFonts w:ascii="Arial" w:hAnsi="Arial" w:cs="Arial"/>
          <w:sz w:val="24"/>
          <w:szCs w:val="24"/>
        </w:rPr>
        <w:t xml:space="preserve">F0-F2 </w:t>
      </w:r>
      <w:r w:rsidRPr="00685DE9">
        <w:rPr>
          <w:rFonts w:ascii="Arial" w:eastAsia="Times New Roman" w:hAnsi="Arial" w:cs="Arial"/>
          <w:sz w:val="24"/>
          <w:szCs w:val="24"/>
        </w:rPr>
        <w:t xml:space="preserve">(n=60), patients with CHC and F3-F4 (n=22) or </w:t>
      </w:r>
      <w:r w:rsidRPr="00685DE9">
        <w:rPr>
          <w:rFonts w:ascii="Arial" w:hAnsi="Arial" w:cs="Arial"/>
          <w:sz w:val="24"/>
          <w:szCs w:val="24"/>
        </w:rPr>
        <w:t xml:space="preserve">F0-F2 </w:t>
      </w:r>
      <w:r w:rsidRPr="00685DE9">
        <w:rPr>
          <w:rFonts w:ascii="Arial" w:eastAsia="Times New Roman" w:hAnsi="Arial" w:cs="Arial"/>
          <w:sz w:val="24"/>
          <w:szCs w:val="24"/>
        </w:rPr>
        <w:t xml:space="preserve">(n=60), patients with NASH and F4 (n=12) and controls (n=8).  (B) </w:t>
      </w:r>
      <w:r w:rsidRPr="00685DE9">
        <w:rPr>
          <w:rFonts w:ascii="Arial" w:hAnsi="Arial" w:cs="Arial"/>
          <w:bCs/>
          <w:sz w:val="24"/>
          <w:szCs w:val="24"/>
        </w:rPr>
        <w:t xml:space="preserve">TFAM protein levels were compared </w:t>
      </w:r>
      <w:r w:rsidRPr="00685DE9">
        <w:rPr>
          <w:rFonts w:ascii="Arial" w:eastAsia="Times New Roman" w:hAnsi="Arial" w:cs="Arial"/>
          <w:sz w:val="24"/>
          <w:szCs w:val="24"/>
        </w:rPr>
        <w:t xml:space="preserve">in patients with CHB and F3-F4 (n=7) or </w:t>
      </w:r>
      <w:r w:rsidRPr="00685DE9">
        <w:rPr>
          <w:rFonts w:ascii="Arial" w:hAnsi="Arial" w:cs="Arial"/>
          <w:sz w:val="24"/>
          <w:szCs w:val="24"/>
        </w:rPr>
        <w:t xml:space="preserve">F0-F2 </w:t>
      </w:r>
      <w:r w:rsidRPr="00685DE9">
        <w:rPr>
          <w:rFonts w:ascii="Arial" w:eastAsia="Times New Roman" w:hAnsi="Arial" w:cs="Arial"/>
          <w:sz w:val="24"/>
          <w:szCs w:val="24"/>
        </w:rPr>
        <w:t xml:space="preserve">(n=10), patients with NASH and F4 (n=7) and controls (n=7). (C) </w:t>
      </w:r>
      <w:r w:rsidRPr="00685DE9">
        <w:rPr>
          <w:rFonts w:ascii="Arial" w:hAnsi="Arial" w:cs="Arial"/>
          <w:sz w:val="24"/>
          <w:szCs w:val="24"/>
          <w:shd w:val="clear" w:color="auto" w:fill="FFFFFF"/>
        </w:rPr>
        <w:t>PPARGC1α</w:t>
      </w:r>
      <w:r w:rsidRPr="00685DE9">
        <w:rPr>
          <w:rFonts w:ascii="Arial" w:hAnsi="Arial" w:cs="Arial"/>
          <w:bCs/>
          <w:sz w:val="24"/>
          <w:szCs w:val="24"/>
        </w:rPr>
        <w:t xml:space="preserve"> mRNA levels were compared </w:t>
      </w:r>
      <w:r w:rsidRPr="00685DE9">
        <w:rPr>
          <w:rFonts w:ascii="Arial" w:eastAsia="Times New Roman" w:hAnsi="Arial" w:cs="Arial"/>
          <w:sz w:val="24"/>
          <w:szCs w:val="24"/>
        </w:rPr>
        <w:t xml:space="preserve">in patients with CHB and F3-F4 (n=20) or </w:t>
      </w:r>
      <w:r w:rsidRPr="00685DE9">
        <w:rPr>
          <w:rFonts w:ascii="Arial" w:hAnsi="Arial" w:cs="Arial"/>
          <w:sz w:val="24"/>
          <w:szCs w:val="24"/>
        </w:rPr>
        <w:t xml:space="preserve">F0-F2 </w:t>
      </w:r>
      <w:r w:rsidRPr="00685DE9">
        <w:rPr>
          <w:rFonts w:ascii="Arial" w:eastAsia="Times New Roman" w:hAnsi="Arial" w:cs="Arial"/>
          <w:sz w:val="24"/>
          <w:szCs w:val="24"/>
        </w:rPr>
        <w:t xml:space="preserve">(n=60), patients with CHC and F3-F4 (n=12) or </w:t>
      </w:r>
      <w:r w:rsidRPr="00685DE9">
        <w:rPr>
          <w:rFonts w:ascii="Arial" w:hAnsi="Arial" w:cs="Arial"/>
          <w:sz w:val="24"/>
          <w:szCs w:val="24"/>
        </w:rPr>
        <w:t xml:space="preserve">F0-F2 </w:t>
      </w:r>
      <w:r w:rsidRPr="00685DE9">
        <w:rPr>
          <w:rFonts w:ascii="Arial" w:eastAsia="Times New Roman" w:hAnsi="Arial" w:cs="Arial"/>
          <w:sz w:val="24"/>
          <w:szCs w:val="24"/>
        </w:rPr>
        <w:t xml:space="preserve">(n=21), patients with NASH and F4 fibrosis (n=12) and controls (n=8). </w:t>
      </w:r>
      <w:r w:rsidRPr="00685DE9">
        <w:rPr>
          <w:rFonts w:ascii="Arial" w:hAnsi="Arial" w:cs="Arial"/>
          <w:iCs/>
          <w:sz w:val="24"/>
          <w:szCs w:val="24"/>
          <w:vertAlign w:val="superscript"/>
        </w:rPr>
        <w:t>#, ##, ###</w:t>
      </w:r>
      <w:r w:rsidRPr="00685DE9">
        <w:rPr>
          <w:rFonts w:ascii="Arial" w:hAnsi="Arial" w:cs="Arial"/>
          <w:sz w:val="24"/>
          <w:szCs w:val="24"/>
        </w:rPr>
        <w:t xml:space="preserve">Different from controls </w:t>
      </w:r>
      <w:r w:rsidRPr="00685DE9">
        <w:rPr>
          <w:rFonts w:ascii="Arial" w:hAnsi="Arial" w:cs="Arial"/>
          <w:i/>
          <w:sz w:val="24"/>
          <w:szCs w:val="24"/>
        </w:rPr>
        <w:t xml:space="preserve">(p&lt;0.05, 0.01, 0.001); </w:t>
      </w:r>
      <w:proofErr w:type="gramStart"/>
      <w:r w:rsidRPr="00685DE9">
        <w:rPr>
          <w:rFonts w:ascii="Arial" w:hAnsi="Arial" w:cs="Arial"/>
          <w:i/>
          <w:iCs/>
          <w:sz w:val="24"/>
          <w:szCs w:val="24"/>
        </w:rPr>
        <w:t>*,*</w:t>
      </w:r>
      <w:proofErr w:type="gramEnd"/>
      <w:r w:rsidRPr="00685DE9">
        <w:rPr>
          <w:rFonts w:ascii="Arial" w:hAnsi="Arial" w:cs="Arial"/>
          <w:i/>
          <w:iCs/>
          <w:sz w:val="24"/>
          <w:szCs w:val="24"/>
        </w:rPr>
        <w:t>*,***</w:t>
      </w:r>
      <w:r w:rsidRPr="00685DE9">
        <w:rPr>
          <w:rFonts w:ascii="Arial" w:hAnsi="Arial" w:cs="Arial"/>
          <w:iCs/>
          <w:sz w:val="24"/>
          <w:szCs w:val="24"/>
        </w:rPr>
        <w:t xml:space="preserve">F3-F4 compared to F0-F2 fibrosis within the same etiology or comparison of F3-F4 between etiologies, </w:t>
      </w:r>
      <w:r w:rsidRPr="00685DE9">
        <w:rPr>
          <w:rFonts w:ascii="Arial" w:hAnsi="Arial" w:cs="Arial"/>
          <w:i/>
          <w:iCs/>
          <w:sz w:val="24"/>
          <w:szCs w:val="24"/>
        </w:rPr>
        <w:t xml:space="preserve">*p&lt;0.05, **p&lt;0.01, ***p&lt;0.001, </w:t>
      </w:r>
      <w:r w:rsidRPr="00685DE9">
        <w:rPr>
          <w:rFonts w:ascii="Arial" w:hAnsi="Arial" w:cs="Arial"/>
          <w:sz w:val="24"/>
          <w:szCs w:val="24"/>
        </w:rPr>
        <w:t xml:space="preserve">Mann-Whitney </w:t>
      </w:r>
      <w:r w:rsidRPr="00685DE9">
        <w:rPr>
          <w:rFonts w:ascii="Arial" w:hAnsi="Arial" w:cs="Arial"/>
          <w:iCs/>
          <w:sz w:val="24"/>
          <w:szCs w:val="24"/>
        </w:rPr>
        <w:t>U</w:t>
      </w:r>
      <w:r w:rsidRPr="00685DE9">
        <w:rPr>
          <w:rFonts w:ascii="Arial" w:hAnsi="Arial" w:cs="Arial"/>
          <w:sz w:val="24"/>
          <w:szCs w:val="24"/>
        </w:rPr>
        <w:t xml:space="preserve">-test. </w:t>
      </w:r>
      <w:r w:rsidRPr="00685DE9">
        <w:rPr>
          <w:rFonts w:ascii="Arial" w:hAnsi="Arial" w:cs="Arial"/>
          <w:iCs/>
          <w:sz w:val="24"/>
          <w:szCs w:val="24"/>
        </w:rPr>
        <w:t>U</w:t>
      </w:r>
      <w:r w:rsidRPr="00685DE9">
        <w:rPr>
          <w:rFonts w:ascii="Arial" w:hAnsi="Arial" w:cs="Arial"/>
          <w:sz w:val="24"/>
          <w:szCs w:val="24"/>
        </w:rPr>
        <w:t>-test. Ctrl, Controls.</w:t>
      </w:r>
    </w:p>
    <w:p w14:paraId="627D6D28" w14:textId="694FF5B2" w:rsidR="001B74DC" w:rsidRPr="00685DE9" w:rsidRDefault="00F21CAD" w:rsidP="009A2AE0">
      <w:pPr>
        <w:spacing w:before="100" w:beforeAutospacing="1" w:after="100" w:afterAutospacing="1" w:line="360" w:lineRule="auto"/>
        <w:jc w:val="both"/>
        <w:outlineLvl w:val="1"/>
        <w:rPr>
          <w:rFonts w:ascii="Arial" w:eastAsia="Times New Roman" w:hAnsi="Arial" w:cs="Arial"/>
          <w:bCs/>
          <w:sz w:val="24"/>
          <w:szCs w:val="24"/>
          <w:lang w:eastAsia="fr-FR"/>
        </w:rPr>
      </w:pPr>
      <w:r w:rsidRPr="00685DE9">
        <w:rPr>
          <w:rFonts w:ascii="Arial" w:hAnsi="Arial" w:cs="Arial"/>
          <w:b/>
          <w:sz w:val="24"/>
          <w:szCs w:val="24"/>
        </w:rPr>
        <w:t xml:space="preserve">Supplemental Figure </w:t>
      </w:r>
      <w:r w:rsidR="005F294E" w:rsidRPr="00685DE9">
        <w:rPr>
          <w:rFonts w:ascii="Arial" w:hAnsi="Arial" w:cs="Arial"/>
          <w:b/>
          <w:sz w:val="24"/>
          <w:szCs w:val="24"/>
        </w:rPr>
        <w:t>6</w:t>
      </w:r>
      <w:r w:rsidR="00457D9A" w:rsidRPr="00685DE9">
        <w:rPr>
          <w:rFonts w:ascii="Arial" w:hAnsi="Arial" w:cs="Arial"/>
          <w:b/>
          <w:sz w:val="24"/>
          <w:szCs w:val="24"/>
        </w:rPr>
        <w:t>.</w:t>
      </w:r>
      <w:r w:rsidR="00457D9A" w:rsidRPr="00685DE9">
        <w:rPr>
          <w:rFonts w:ascii="Arial" w:hAnsi="Arial" w:cs="Arial"/>
          <w:sz w:val="24"/>
          <w:szCs w:val="24"/>
        </w:rPr>
        <w:t xml:space="preserve"> (A) Wild type or mutated </w:t>
      </w:r>
      <w:proofErr w:type="spellStart"/>
      <w:r w:rsidR="00457D9A" w:rsidRPr="00685DE9">
        <w:rPr>
          <w:rFonts w:ascii="Arial" w:hAnsi="Arial" w:cs="Arial"/>
          <w:sz w:val="24"/>
          <w:szCs w:val="24"/>
        </w:rPr>
        <w:t>HBx</w:t>
      </w:r>
      <w:proofErr w:type="spellEnd"/>
      <w:r w:rsidR="00457D9A" w:rsidRPr="00685DE9">
        <w:rPr>
          <w:rFonts w:ascii="Arial" w:hAnsi="Arial" w:cs="Arial"/>
          <w:sz w:val="24"/>
          <w:szCs w:val="24"/>
        </w:rPr>
        <w:t xml:space="preserve"> protein expression in HepG2 cells after 24h transfection with pcDNA3.1Flag-HBx or pcDNA3.1Flag-</w:t>
      </w:r>
      <w:r w:rsidR="00457D9A" w:rsidRPr="00685DE9">
        <w:rPr>
          <w:rFonts w:ascii="Arial" w:eastAsiaTheme="minorHAnsi" w:hAnsi="Arial" w:cs="Arial"/>
          <w:sz w:val="24"/>
          <w:szCs w:val="24"/>
        </w:rPr>
        <w:t>HBx</w:t>
      </w:r>
      <w:r w:rsidR="00457D9A" w:rsidRPr="00685DE9">
        <w:rPr>
          <w:rFonts w:ascii="Arial" w:hAnsi="Arial" w:cs="Arial"/>
          <w:bCs/>
          <w:sz w:val="24"/>
          <w:szCs w:val="24"/>
        </w:rPr>
        <w:t>(G124</w:t>
      </w:r>
      <w:proofErr w:type="gramStart"/>
      <w:r w:rsidR="00457D9A" w:rsidRPr="00685DE9">
        <w:rPr>
          <w:rFonts w:ascii="Arial" w:hAnsi="Arial" w:cs="Arial"/>
          <w:bCs/>
          <w:sz w:val="24"/>
          <w:szCs w:val="24"/>
        </w:rPr>
        <w:t>L,I</w:t>
      </w:r>
      <w:proofErr w:type="gramEnd"/>
      <w:r w:rsidR="00457D9A" w:rsidRPr="00685DE9">
        <w:rPr>
          <w:rFonts w:ascii="Arial" w:hAnsi="Arial" w:cs="Arial"/>
          <w:bCs/>
          <w:sz w:val="24"/>
          <w:szCs w:val="24"/>
        </w:rPr>
        <w:t>127A)</w:t>
      </w:r>
      <w:r w:rsidR="00457D9A" w:rsidRPr="00685DE9">
        <w:rPr>
          <w:rFonts w:ascii="Arial" w:hAnsi="Arial" w:cs="Arial"/>
          <w:sz w:val="24"/>
          <w:szCs w:val="24"/>
        </w:rPr>
        <w:t>.</w:t>
      </w:r>
      <w:r w:rsidR="00457D9A" w:rsidRPr="00685DE9">
        <w:rPr>
          <w:rFonts w:ascii="Arial" w:eastAsiaTheme="minorHAnsi" w:hAnsi="Arial" w:cs="Arial"/>
          <w:sz w:val="24"/>
          <w:szCs w:val="24"/>
        </w:rPr>
        <w:t xml:space="preserve"> </w:t>
      </w:r>
      <w:r w:rsidR="00457D9A" w:rsidRPr="00685DE9">
        <w:rPr>
          <w:rFonts w:ascii="Arial" w:hAnsi="Arial" w:cs="Arial"/>
          <w:sz w:val="24"/>
          <w:szCs w:val="24"/>
        </w:rPr>
        <w:t xml:space="preserve">(B) Agarose gel showing </w:t>
      </w:r>
      <w:proofErr w:type="spellStart"/>
      <w:r w:rsidR="00457D9A" w:rsidRPr="00685DE9">
        <w:rPr>
          <w:rFonts w:ascii="Arial" w:hAnsi="Arial" w:cs="Arial"/>
          <w:sz w:val="24"/>
          <w:szCs w:val="24"/>
        </w:rPr>
        <w:t>pgRNA</w:t>
      </w:r>
      <w:proofErr w:type="spellEnd"/>
      <w:r w:rsidR="00457D9A" w:rsidRPr="00685DE9">
        <w:rPr>
          <w:rFonts w:ascii="Arial" w:hAnsi="Arial" w:cs="Arial"/>
          <w:sz w:val="24"/>
          <w:szCs w:val="24"/>
        </w:rPr>
        <w:t xml:space="preserve"> expression 24 h after transfection with payw1.2 vector. </w:t>
      </w:r>
      <w:r w:rsidR="00457D9A" w:rsidRPr="00685DE9">
        <w:rPr>
          <w:rFonts w:ascii="Arial" w:eastAsiaTheme="minorHAnsi" w:hAnsi="Arial" w:cs="Arial"/>
          <w:sz w:val="24"/>
          <w:szCs w:val="24"/>
        </w:rPr>
        <w:t xml:space="preserve">(C) Time course of </w:t>
      </w:r>
      <w:r w:rsidR="00457D9A" w:rsidRPr="00685DE9">
        <w:rPr>
          <w:rFonts w:ascii="Arial" w:eastAsia="Times New Roman" w:hAnsi="Arial" w:cs="Arial"/>
          <w:bCs/>
          <w:sz w:val="24"/>
          <w:szCs w:val="24"/>
          <w:lang w:eastAsia="fr-FR"/>
        </w:rPr>
        <w:t>lactate dehydrogenase activity (LDH) in the cell culture medium</w:t>
      </w:r>
      <w:r w:rsidR="00457D9A" w:rsidRPr="00685DE9">
        <w:rPr>
          <w:rFonts w:ascii="Arial" w:eastAsia="Times New Roman" w:hAnsi="Arial" w:cs="Arial"/>
          <w:bCs/>
          <w:iCs/>
          <w:sz w:val="24"/>
          <w:szCs w:val="24"/>
        </w:rPr>
        <w:t xml:space="preserve"> </w:t>
      </w:r>
      <w:r w:rsidR="002A001E" w:rsidRPr="00685DE9">
        <w:rPr>
          <w:rFonts w:ascii="Arial" w:eastAsia="Times New Roman" w:hAnsi="Arial" w:cs="Arial"/>
          <w:bCs/>
          <w:iCs/>
          <w:sz w:val="24"/>
          <w:szCs w:val="24"/>
        </w:rPr>
        <w:t xml:space="preserve">of </w:t>
      </w:r>
      <w:r w:rsidR="00457D9A" w:rsidRPr="00685DE9">
        <w:rPr>
          <w:rFonts w:ascii="Arial" w:eastAsia="Times New Roman" w:hAnsi="Arial" w:cs="Arial"/>
          <w:bCs/>
          <w:iCs/>
          <w:sz w:val="24"/>
          <w:szCs w:val="24"/>
        </w:rPr>
        <w:t xml:space="preserve">HepG2 cells replicating HBV or expressing wild type </w:t>
      </w:r>
      <w:proofErr w:type="spellStart"/>
      <w:r w:rsidR="002A001E" w:rsidRPr="00685DE9">
        <w:rPr>
          <w:rFonts w:ascii="Arial" w:eastAsia="Times New Roman" w:hAnsi="Arial" w:cs="Arial"/>
          <w:bCs/>
          <w:iCs/>
          <w:sz w:val="24"/>
          <w:szCs w:val="24"/>
        </w:rPr>
        <w:t>HBx</w:t>
      </w:r>
      <w:proofErr w:type="spellEnd"/>
      <w:r w:rsidR="002A001E" w:rsidRPr="00685DE9">
        <w:rPr>
          <w:rFonts w:ascii="Arial" w:eastAsia="Times New Roman" w:hAnsi="Arial" w:cs="Arial"/>
          <w:bCs/>
          <w:iCs/>
          <w:sz w:val="24"/>
          <w:szCs w:val="24"/>
        </w:rPr>
        <w:t xml:space="preserve"> protein.</w:t>
      </w:r>
    </w:p>
    <w:p w14:paraId="554F61C0" w14:textId="21D374F5" w:rsidR="005F294E" w:rsidRPr="00685DE9" w:rsidRDefault="006806A4" w:rsidP="0072594D">
      <w:pPr>
        <w:autoSpaceDE w:val="0"/>
        <w:adjustRightInd w:val="0"/>
        <w:spacing w:line="360" w:lineRule="auto"/>
        <w:jc w:val="both"/>
        <w:rPr>
          <w:rFonts w:ascii="Arial" w:hAnsi="Arial" w:cs="Arial"/>
          <w:i/>
          <w:sz w:val="24"/>
          <w:szCs w:val="24"/>
        </w:rPr>
      </w:pPr>
      <w:r w:rsidRPr="00685DE9">
        <w:rPr>
          <w:rFonts w:ascii="Arial" w:hAnsi="Arial" w:cs="Arial"/>
          <w:b/>
          <w:sz w:val="24"/>
          <w:szCs w:val="24"/>
        </w:rPr>
        <w:t xml:space="preserve">Supplemental Figure </w:t>
      </w:r>
      <w:r w:rsidR="005F294E" w:rsidRPr="00685DE9">
        <w:rPr>
          <w:rFonts w:ascii="Arial" w:hAnsi="Arial" w:cs="Arial"/>
          <w:b/>
          <w:sz w:val="24"/>
          <w:szCs w:val="24"/>
        </w:rPr>
        <w:t>7</w:t>
      </w:r>
      <w:r w:rsidRPr="00685DE9">
        <w:rPr>
          <w:rFonts w:ascii="Arial" w:hAnsi="Arial" w:cs="Arial"/>
          <w:b/>
          <w:sz w:val="24"/>
          <w:szCs w:val="24"/>
        </w:rPr>
        <w:t xml:space="preserve">. </w:t>
      </w:r>
      <w:r w:rsidRPr="00685DE9">
        <w:rPr>
          <w:rFonts w:ascii="Arial" w:eastAsiaTheme="minorHAnsi" w:hAnsi="Arial" w:cs="Arial"/>
          <w:b/>
          <w:sz w:val="24"/>
          <w:szCs w:val="24"/>
        </w:rPr>
        <w:t>Inducible nitric oxide synthase (</w:t>
      </w:r>
      <w:proofErr w:type="spellStart"/>
      <w:r w:rsidRPr="00685DE9">
        <w:rPr>
          <w:rFonts w:ascii="Arial" w:eastAsiaTheme="minorHAnsi" w:hAnsi="Arial" w:cs="Arial"/>
          <w:b/>
          <w:sz w:val="24"/>
          <w:szCs w:val="24"/>
        </w:rPr>
        <w:t>iNOS</w:t>
      </w:r>
      <w:proofErr w:type="spellEnd"/>
      <w:r w:rsidRPr="00685DE9">
        <w:rPr>
          <w:rFonts w:ascii="Arial" w:eastAsiaTheme="minorHAnsi" w:hAnsi="Arial" w:cs="Arial"/>
          <w:b/>
          <w:sz w:val="24"/>
          <w:szCs w:val="24"/>
        </w:rPr>
        <w:t>) protein and manganese superoxide dismutase (</w:t>
      </w:r>
      <w:proofErr w:type="spellStart"/>
      <w:r w:rsidRPr="00685DE9">
        <w:rPr>
          <w:rFonts w:ascii="Arial" w:eastAsiaTheme="minorHAnsi" w:hAnsi="Arial" w:cs="Arial"/>
          <w:b/>
          <w:sz w:val="24"/>
          <w:szCs w:val="24"/>
        </w:rPr>
        <w:t>MnSOD</w:t>
      </w:r>
      <w:proofErr w:type="spellEnd"/>
      <w:r w:rsidRPr="00685DE9">
        <w:rPr>
          <w:rFonts w:ascii="Arial" w:eastAsiaTheme="minorHAnsi" w:hAnsi="Arial" w:cs="Arial"/>
          <w:b/>
          <w:sz w:val="24"/>
          <w:szCs w:val="24"/>
        </w:rPr>
        <w:t xml:space="preserve">) protein and activity, and nitration of the respiratory chain complexes in HepG2 </w:t>
      </w:r>
      <w:r w:rsidRPr="00685DE9">
        <w:rPr>
          <w:rFonts w:ascii="Arial" w:eastAsia="Times New Roman" w:hAnsi="Arial" w:cs="Arial"/>
          <w:b/>
          <w:sz w:val="24"/>
          <w:szCs w:val="24"/>
        </w:rPr>
        <w:t>cells</w:t>
      </w:r>
      <w:r w:rsidRPr="00685DE9">
        <w:rPr>
          <w:rFonts w:ascii="Arial" w:eastAsiaTheme="minorHAnsi" w:hAnsi="Arial" w:cs="Arial"/>
          <w:b/>
          <w:sz w:val="24"/>
          <w:szCs w:val="24"/>
        </w:rPr>
        <w:t xml:space="preserve"> overexpressing HBV or </w:t>
      </w:r>
      <w:proofErr w:type="spellStart"/>
      <w:r w:rsidRPr="00685DE9">
        <w:rPr>
          <w:rFonts w:ascii="Arial" w:eastAsiaTheme="minorHAnsi" w:hAnsi="Arial" w:cs="Arial"/>
          <w:b/>
          <w:sz w:val="24"/>
          <w:szCs w:val="24"/>
        </w:rPr>
        <w:t>HBx</w:t>
      </w:r>
      <w:proofErr w:type="spellEnd"/>
      <w:r w:rsidRPr="00685DE9">
        <w:rPr>
          <w:rFonts w:ascii="Arial" w:eastAsiaTheme="minorHAnsi" w:hAnsi="Arial" w:cs="Arial"/>
          <w:b/>
          <w:sz w:val="24"/>
          <w:szCs w:val="24"/>
        </w:rPr>
        <w:t xml:space="preserve"> protein.</w:t>
      </w:r>
      <w:r w:rsidRPr="00685DE9">
        <w:rPr>
          <w:rFonts w:ascii="Arial" w:eastAsiaTheme="minorHAnsi" w:hAnsi="Arial" w:cs="Arial"/>
          <w:sz w:val="24"/>
          <w:szCs w:val="24"/>
        </w:rPr>
        <w:t xml:space="preserve"> (</w:t>
      </w:r>
      <w:r w:rsidR="001B74DC" w:rsidRPr="00685DE9">
        <w:rPr>
          <w:rFonts w:ascii="Arial" w:eastAsiaTheme="minorHAnsi" w:hAnsi="Arial" w:cs="Arial"/>
          <w:sz w:val="24"/>
          <w:szCs w:val="24"/>
        </w:rPr>
        <w:t>A</w:t>
      </w:r>
      <w:r w:rsidRPr="00685DE9">
        <w:rPr>
          <w:rFonts w:ascii="Arial" w:eastAsiaTheme="minorHAnsi" w:hAnsi="Arial" w:cs="Arial"/>
          <w:sz w:val="24"/>
          <w:szCs w:val="24"/>
        </w:rPr>
        <w:t xml:space="preserve">) </w:t>
      </w:r>
      <w:proofErr w:type="gramStart"/>
      <w:r w:rsidRPr="00685DE9">
        <w:rPr>
          <w:rFonts w:ascii="Arial" w:eastAsiaTheme="minorHAnsi" w:hAnsi="Arial" w:cs="Arial"/>
          <w:sz w:val="24"/>
          <w:szCs w:val="24"/>
        </w:rPr>
        <w:t>Representative</w:t>
      </w:r>
      <w:proofErr w:type="gramEnd"/>
      <w:r w:rsidRPr="00685DE9">
        <w:rPr>
          <w:rFonts w:ascii="Arial" w:eastAsiaTheme="minorHAnsi" w:hAnsi="Arial" w:cs="Arial"/>
          <w:sz w:val="24"/>
          <w:szCs w:val="24"/>
        </w:rPr>
        <w:t xml:space="preserve"> immunoblot of the </w:t>
      </w:r>
      <w:proofErr w:type="spellStart"/>
      <w:r w:rsidRPr="00685DE9">
        <w:rPr>
          <w:rFonts w:ascii="Arial" w:eastAsiaTheme="minorHAnsi" w:hAnsi="Arial" w:cs="Arial"/>
          <w:sz w:val="24"/>
          <w:szCs w:val="24"/>
        </w:rPr>
        <w:t>iNOS</w:t>
      </w:r>
      <w:proofErr w:type="spellEnd"/>
      <w:r w:rsidRPr="00685DE9">
        <w:rPr>
          <w:rFonts w:ascii="Arial" w:eastAsiaTheme="minorHAnsi" w:hAnsi="Arial" w:cs="Arial"/>
          <w:sz w:val="24"/>
          <w:szCs w:val="24"/>
        </w:rPr>
        <w:t xml:space="preserve"> and </w:t>
      </w:r>
      <w:proofErr w:type="spellStart"/>
      <w:r w:rsidRPr="00685DE9">
        <w:rPr>
          <w:rFonts w:ascii="Arial" w:eastAsiaTheme="minorHAnsi" w:hAnsi="Arial" w:cs="Arial"/>
          <w:sz w:val="24"/>
          <w:szCs w:val="24"/>
        </w:rPr>
        <w:t>iNOS</w:t>
      </w:r>
      <w:proofErr w:type="spellEnd"/>
      <w:r w:rsidRPr="00685DE9">
        <w:rPr>
          <w:rFonts w:ascii="Arial" w:eastAsiaTheme="minorHAnsi" w:hAnsi="Arial" w:cs="Arial"/>
          <w:sz w:val="24"/>
          <w:szCs w:val="24"/>
        </w:rPr>
        <w:t>/</w:t>
      </w:r>
      <w:r w:rsidRPr="00685DE9">
        <w:rPr>
          <w:rFonts w:ascii="Arial" w:hAnsi="Arial" w:cs="Arial"/>
          <w:sz w:val="24"/>
          <w:szCs w:val="24"/>
        </w:rPr>
        <w:t>β-actin ratios</w:t>
      </w:r>
      <w:r w:rsidRPr="00685DE9">
        <w:rPr>
          <w:rFonts w:ascii="Arial" w:eastAsiaTheme="minorHAnsi" w:hAnsi="Arial" w:cs="Arial"/>
          <w:sz w:val="24"/>
          <w:szCs w:val="24"/>
        </w:rPr>
        <w:t xml:space="preserve"> quantification. (</w:t>
      </w:r>
      <w:r w:rsidR="001B74DC" w:rsidRPr="00685DE9">
        <w:rPr>
          <w:rFonts w:ascii="Arial" w:eastAsiaTheme="minorHAnsi" w:hAnsi="Arial" w:cs="Arial"/>
          <w:sz w:val="24"/>
          <w:szCs w:val="24"/>
        </w:rPr>
        <w:t>B</w:t>
      </w:r>
      <w:r w:rsidRPr="00685DE9">
        <w:rPr>
          <w:rFonts w:ascii="Arial" w:eastAsiaTheme="minorHAnsi" w:hAnsi="Arial" w:cs="Arial"/>
          <w:sz w:val="24"/>
          <w:szCs w:val="24"/>
        </w:rPr>
        <w:t xml:space="preserve">)  </w:t>
      </w:r>
      <w:proofErr w:type="gramStart"/>
      <w:r w:rsidRPr="00685DE9">
        <w:rPr>
          <w:rFonts w:ascii="Arial" w:eastAsiaTheme="minorHAnsi" w:hAnsi="Arial" w:cs="Arial"/>
          <w:sz w:val="24"/>
          <w:szCs w:val="24"/>
        </w:rPr>
        <w:t>Representative</w:t>
      </w:r>
      <w:proofErr w:type="gramEnd"/>
      <w:r w:rsidRPr="00685DE9">
        <w:rPr>
          <w:rFonts w:ascii="Arial" w:eastAsiaTheme="minorHAnsi" w:hAnsi="Arial" w:cs="Arial"/>
          <w:sz w:val="24"/>
          <w:szCs w:val="24"/>
        </w:rPr>
        <w:t xml:space="preserve"> immunoblot of the </w:t>
      </w:r>
      <w:proofErr w:type="spellStart"/>
      <w:r w:rsidRPr="00685DE9">
        <w:rPr>
          <w:rFonts w:ascii="Arial" w:eastAsiaTheme="minorHAnsi" w:hAnsi="Arial" w:cs="Arial"/>
          <w:sz w:val="24"/>
          <w:szCs w:val="24"/>
        </w:rPr>
        <w:t>MnSOD</w:t>
      </w:r>
      <w:proofErr w:type="spellEnd"/>
      <w:r w:rsidRPr="00685DE9">
        <w:rPr>
          <w:rFonts w:ascii="Arial" w:eastAsiaTheme="minorHAnsi" w:hAnsi="Arial" w:cs="Arial"/>
          <w:sz w:val="24"/>
          <w:szCs w:val="24"/>
        </w:rPr>
        <w:t xml:space="preserve"> protein and quantification of </w:t>
      </w:r>
      <w:proofErr w:type="spellStart"/>
      <w:r w:rsidRPr="00685DE9">
        <w:rPr>
          <w:rFonts w:ascii="Arial" w:eastAsiaTheme="minorHAnsi" w:hAnsi="Arial" w:cs="Arial"/>
          <w:sz w:val="24"/>
          <w:szCs w:val="24"/>
        </w:rPr>
        <w:t>MnSOD</w:t>
      </w:r>
      <w:proofErr w:type="spellEnd"/>
      <w:r w:rsidRPr="00685DE9">
        <w:rPr>
          <w:rFonts w:ascii="Arial" w:eastAsiaTheme="minorHAnsi" w:hAnsi="Arial" w:cs="Arial"/>
          <w:sz w:val="24"/>
          <w:szCs w:val="24"/>
        </w:rPr>
        <w:t>/</w:t>
      </w:r>
      <w:r w:rsidRPr="00685DE9">
        <w:rPr>
          <w:rFonts w:ascii="Arial" w:hAnsi="Arial" w:cs="Arial"/>
          <w:sz w:val="24"/>
          <w:szCs w:val="24"/>
        </w:rPr>
        <w:t>β-actin</w:t>
      </w:r>
      <w:r w:rsidRPr="00685DE9">
        <w:rPr>
          <w:rFonts w:ascii="Arial" w:eastAsiaTheme="minorHAnsi" w:hAnsi="Arial" w:cs="Arial"/>
          <w:sz w:val="24"/>
          <w:szCs w:val="24"/>
        </w:rPr>
        <w:t xml:space="preserve"> ratios. (</w:t>
      </w:r>
      <w:r w:rsidR="001B74DC" w:rsidRPr="00685DE9">
        <w:rPr>
          <w:rFonts w:ascii="Arial" w:eastAsiaTheme="minorHAnsi" w:hAnsi="Arial" w:cs="Arial"/>
          <w:sz w:val="24"/>
          <w:szCs w:val="24"/>
        </w:rPr>
        <w:t>C</w:t>
      </w:r>
      <w:r w:rsidRPr="00685DE9">
        <w:rPr>
          <w:rFonts w:ascii="Arial" w:eastAsiaTheme="minorHAnsi" w:hAnsi="Arial" w:cs="Arial"/>
          <w:sz w:val="24"/>
          <w:szCs w:val="24"/>
        </w:rPr>
        <w:t xml:space="preserve">) Representative in-gel activity and quantification of the </w:t>
      </w:r>
      <w:proofErr w:type="spellStart"/>
      <w:r w:rsidRPr="00685DE9">
        <w:rPr>
          <w:rFonts w:ascii="Arial" w:eastAsiaTheme="minorHAnsi" w:hAnsi="Arial" w:cs="Arial"/>
          <w:sz w:val="24"/>
          <w:szCs w:val="24"/>
        </w:rPr>
        <w:t>MnSOD</w:t>
      </w:r>
      <w:proofErr w:type="spellEnd"/>
      <w:r w:rsidRPr="00685DE9">
        <w:rPr>
          <w:rFonts w:ascii="Arial" w:eastAsiaTheme="minorHAnsi" w:hAnsi="Arial" w:cs="Arial"/>
          <w:sz w:val="24"/>
          <w:szCs w:val="24"/>
        </w:rPr>
        <w:t xml:space="preserve"> and </w:t>
      </w:r>
      <w:proofErr w:type="spellStart"/>
      <w:proofErr w:type="gramStart"/>
      <w:r w:rsidRPr="00685DE9">
        <w:rPr>
          <w:rFonts w:ascii="Arial" w:eastAsiaTheme="minorHAnsi" w:hAnsi="Arial" w:cs="Arial"/>
          <w:sz w:val="24"/>
          <w:szCs w:val="24"/>
        </w:rPr>
        <w:t>Cu,ZnSOD</w:t>
      </w:r>
      <w:proofErr w:type="spellEnd"/>
      <w:proofErr w:type="gramEnd"/>
      <w:r w:rsidRPr="00685DE9">
        <w:rPr>
          <w:rFonts w:ascii="Arial" w:eastAsiaTheme="minorHAnsi" w:hAnsi="Arial" w:cs="Arial"/>
          <w:sz w:val="24"/>
          <w:szCs w:val="24"/>
        </w:rPr>
        <w:t xml:space="preserve"> activities. (</w:t>
      </w:r>
      <w:r w:rsidR="001B74DC" w:rsidRPr="00685DE9">
        <w:rPr>
          <w:rFonts w:ascii="Arial" w:eastAsiaTheme="minorHAnsi" w:hAnsi="Arial" w:cs="Arial"/>
          <w:sz w:val="24"/>
          <w:szCs w:val="24"/>
        </w:rPr>
        <w:t>D</w:t>
      </w:r>
      <w:r w:rsidRPr="00685DE9">
        <w:rPr>
          <w:rFonts w:ascii="Arial" w:eastAsiaTheme="minorHAnsi" w:hAnsi="Arial" w:cs="Arial"/>
          <w:sz w:val="24"/>
          <w:szCs w:val="24"/>
        </w:rPr>
        <w:t xml:space="preserve">) Equal amounts of HepG2 mitochondrial proteins (30 µg) underwent blue native-gel (BNG) electrophoresis to separate intact oxidative phosphorylation complexes. Separated complexes were transferred to nitrocellulose membranes for Western blot detection of 3-nitrotyrosine residues in the proteins of complex I, III, and V with an anti-3-nitrotyrosine antibody. Shown are representative gels of five independent experiments in each condition. </w:t>
      </w:r>
      <w:r w:rsidRPr="00685DE9">
        <w:rPr>
          <w:rFonts w:ascii="Arial" w:hAnsi="Arial" w:cs="Arial"/>
          <w:sz w:val="24"/>
          <w:szCs w:val="24"/>
        </w:rPr>
        <w:t xml:space="preserve"> </w:t>
      </w:r>
      <w:r w:rsidRPr="00685DE9">
        <w:rPr>
          <w:rFonts w:ascii="Arial" w:hAnsi="Arial" w:cs="Arial"/>
          <w:sz w:val="24"/>
          <w:szCs w:val="24"/>
        </w:rPr>
        <w:lastRenderedPageBreak/>
        <w:t xml:space="preserve">Results are mean ± SEM from 5 independent determinations. *Different from the corresponding empty vector, </w:t>
      </w:r>
      <w:r w:rsidRPr="00685DE9">
        <w:rPr>
          <w:rFonts w:ascii="Arial" w:hAnsi="Arial" w:cs="Arial"/>
          <w:i/>
          <w:iCs/>
          <w:sz w:val="24"/>
          <w:szCs w:val="24"/>
        </w:rPr>
        <w:t>p&lt; 0.05</w:t>
      </w:r>
      <w:r w:rsidRPr="00685DE9">
        <w:rPr>
          <w:rFonts w:ascii="Arial" w:hAnsi="Arial" w:cs="Arial"/>
          <w:sz w:val="24"/>
          <w:szCs w:val="24"/>
        </w:rPr>
        <w:t xml:space="preserve">. **Different from the corresponding empty vector, </w:t>
      </w:r>
      <w:r w:rsidRPr="00685DE9">
        <w:rPr>
          <w:rFonts w:ascii="Arial" w:hAnsi="Arial" w:cs="Arial"/>
          <w:i/>
          <w:iCs/>
          <w:sz w:val="24"/>
          <w:szCs w:val="24"/>
        </w:rPr>
        <w:t>p&lt; 0.01</w:t>
      </w:r>
      <w:r w:rsidRPr="00685DE9">
        <w:rPr>
          <w:rFonts w:ascii="Arial" w:hAnsi="Arial" w:cs="Arial"/>
          <w:sz w:val="24"/>
          <w:szCs w:val="24"/>
        </w:rPr>
        <w:t>.</w:t>
      </w:r>
      <w:r w:rsidRPr="00685DE9">
        <w:rPr>
          <w:rFonts w:ascii="Arial" w:hAnsi="Arial" w:cs="Arial"/>
          <w:i/>
          <w:sz w:val="24"/>
          <w:szCs w:val="24"/>
        </w:rPr>
        <w:t xml:space="preserve"> Mann-Whitney U-test.</w:t>
      </w:r>
    </w:p>
    <w:p w14:paraId="01B2381F" w14:textId="11733520" w:rsidR="006806A4" w:rsidRPr="00685DE9" w:rsidRDefault="00F21CAD" w:rsidP="009A2AE0">
      <w:pPr>
        <w:autoSpaceDE w:val="0"/>
        <w:adjustRightInd w:val="0"/>
        <w:spacing w:line="360" w:lineRule="auto"/>
        <w:jc w:val="both"/>
        <w:rPr>
          <w:rFonts w:ascii="Arial" w:hAnsi="Arial" w:cs="Arial"/>
          <w:sz w:val="24"/>
          <w:szCs w:val="24"/>
        </w:rPr>
      </w:pPr>
      <w:r w:rsidRPr="00685DE9">
        <w:rPr>
          <w:rFonts w:ascii="Arial" w:hAnsi="Arial" w:cs="Arial"/>
          <w:b/>
          <w:sz w:val="24"/>
          <w:szCs w:val="24"/>
        </w:rPr>
        <w:t xml:space="preserve">Supplemental Figure </w:t>
      </w:r>
      <w:r w:rsidR="005F294E" w:rsidRPr="00685DE9">
        <w:rPr>
          <w:rFonts w:ascii="Arial" w:hAnsi="Arial" w:cs="Arial"/>
          <w:b/>
          <w:sz w:val="24"/>
          <w:szCs w:val="24"/>
        </w:rPr>
        <w:t>8</w:t>
      </w:r>
      <w:r w:rsidR="006806A4" w:rsidRPr="00685DE9">
        <w:rPr>
          <w:rStyle w:val="label5"/>
          <w:rFonts w:ascii="Arial" w:hAnsi="Arial" w:cs="Arial"/>
          <w:b/>
          <w:szCs w:val="24"/>
        </w:rPr>
        <w:t>.</w:t>
      </w:r>
      <w:r w:rsidR="006806A4" w:rsidRPr="00685DE9">
        <w:rPr>
          <w:rFonts w:ascii="Arial" w:hAnsi="Arial" w:cs="Arial"/>
          <w:sz w:val="24"/>
          <w:szCs w:val="24"/>
        </w:rPr>
        <w:t xml:space="preserve"> </w:t>
      </w:r>
      <w:r w:rsidR="006806A4" w:rsidRPr="00685DE9">
        <w:rPr>
          <w:rFonts w:ascii="Arial" w:hAnsi="Arial" w:cs="Arial"/>
          <w:b/>
          <w:sz w:val="24"/>
          <w:szCs w:val="24"/>
        </w:rPr>
        <w:t xml:space="preserve">Effects of HBV or </w:t>
      </w:r>
      <w:proofErr w:type="spellStart"/>
      <w:r w:rsidR="006806A4" w:rsidRPr="00685DE9">
        <w:rPr>
          <w:rFonts w:ascii="Arial" w:hAnsi="Arial" w:cs="Arial"/>
          <w:b/>
          <w:sz w:val="24"/>
          <w:szCs w:val="24"/>
        </w:rPr>
        <w:t>HBx</w:t>
      </w:r>
      <w:proofErr w:type="spellEnd"/>
      <w:r w:rsidR="006806A4" w:rsidRPr="00685DE9">
        <w:rPr>
          <w:rFonts w:ascii="Arial" w:hAnsi="Arial" w:cs="Arial"/>
          <w:b/>
          <w:sz w:val="24"/>
          <w:szCs w:val="24"/>
        </w:rPr>
        <w:t xml:space="preserve"> on superoxide production and on </w:t>
      </w:r>
      <w:proofErr w:type="spellStart"/>
      <w:r w:rsidR="006806A4" w:rsidRPr="00685DE9">
        <w:rPr>
          <w:rFonts w:ascii="Arial" w:hAnsi="Arial" w:cs="Arial"/>
          <w:b/>
          <w:sz w:val="24"/>
          <w:szCs w:val="24"/>
        </w:rPr>
        <w:t>mtDNA</w:t>
      </w:r>
      <w:proofErr w:type="spellEnd"/>
      <w:r w:rsidR="006806A4" w:rsidRPr="00685DE9">
        <w:rPr>
          <w:rFonts w:ascii="Arial" w:hAnsi="Arial" w:cs="Arial"/>
          <w:b/>
          <w:sz w:val="24"/>
          <w:szCs w:val="24"/>
        </w:rPr>
        <w:t xml:space="preserve"> levels and integrity.</w:t>
      </w:r>
      <w:r w:rsidR="006806A4" w:rsidRPr="00685DE9">
        <w:rPr>
          <w:rFonts w:ascii="Arial" w:hAnsi="Arial" w:cs="Arial"/>
          <w:sz w:val="24"/>
          <w:szCs w:val="24"/>
        </w:rPr>
        <w:t xml:space="preserve"> (A) Real time mitochondrial superoxide production in isolated mitochondria incubated with 5 mM </w:t>
      </w:r>
      <w:r w:rsidR="002A001E" w:rsidRPr="00685DE9">
        <w:rPr>
          <w:rFonts w:ascii="Arial" w:hAnsi="Arial" w:cs="Arial"/>
          <w:sz w:val="24"/>
          <w:szCs w:val="24"/>
        </w:rPr>
        <w:t xml:space="preserve">of each </w:t>
      </w:r>
      <w:r w:rsidR="006806A4" w:rsidRPr="00685DE9">
        <w:rPr>
          <w:rFonts w:ascii="Arial" w:hAnsi="Arial" w:cs="Arial"/>
          <w:sz w:val="24"/>
          <w:szCs w:val="24"/>
        </w:rPr>
        <w:t>glutamate</w:t>
      </w:r>
      <w:r w:rsidR="002A001E" w:rsidRPr="00685DE9">
        <w:rPr>
          <w:rFonts w:ascii="Arial" w:hAnsi="Arial" w:cs="Arial"/>
          <w:sz w:val="24"/>
          <w:szCs w:val="24"/>
        </w:rPr>
        <w:t xml:space="preserve"> and </w:t>
      </w:r>
      <w:r w:rsidR="006806A4" w:rsidRPr="00685DE9">
        <w:rPr>
          <w:rFonts w:ascii="Arial" w:hAnsi="Arial" w:cs="Arial"/>
          <w:sz w:val="24"/>
          <w:szCs w:val="24"/>
        </w:rPr>
        <w:t xml:space="preserve">malate. (B) and (C) Representative slot blots and </w:t>
      </w:r>
      <w:proofErr w:type="spellStart"/>
      <w:r w:rsidR="006806A4" w:rsidRPr="00685DE9">
        <w:rPr>
          <w:rFonts w:ascii="Arial" w:hAnsi="Arial" w:cs="Arial"/>
          <w:sz w:val="24"/>
          <w:szCs w:val="24"/>
        </w:rPr>
        <w:t>mtDNA</w:t>
      </w:r>
      <w:proofErr w:type="spellEnd"/>
      <w:r w:rsidR="006806A4" w:rsidRPr="00685DE9">
        <w:rPr>
          <w:rFonts w:ascii="Arial" w:hAnsi="Arial" w:cs="Arial"/>
          <w:sz w:val="24"/>
          <w:szCs w:val="24"/>
        </w:rPr>
        <w:t>/</w:t>
      </w:r>
      <w:proofErr w:type="spellStart"/>
      <w:r w:rsidR="006806A4" w:rsidRPr="00685DE9">
        <w:rPr>
          <w:rFonts w:ascii="Arial" w:hAnsi="Arial" w:cs="Arial"/>
          <w:sz w:val="24"/>
          <w:szCs w:val="24"/>
        </w:rPr>
        <w:t>nDNA</w:t>
      </w:r>
      <w:proofErr w:type="spellEnd"/>
      <w:r w:rsidR="006806A4" w:rsidRPr="00685DE9">
        <w:rPr>
          <w:rFonts w:ascii="Arial" w:hAnsi="Arial" w:cs="Arial"/>
          <w:sz w:val="24"/>
          <w:szCs w:val="24"/>
        </w:rPr>
        <w:t xml:space="preserve"> ratios in HepG2 </w:t>
      </w:r>
      <w:r w:rsidR="006806A4" w:rsidRPr="00685DE9">
        <w:rPr>
          <w:rFonts w:ascii="Arial" w:eastAsia="Times New Roman" w:hAnsi="Arial" w:cs="Arial"/>
          <w:sz w:val="24"/>
          <w:szCs w:val="24"/>
        </w:rPr>
        <w:t xml:space="preserve">cells </w:t>
      </w:r>
      <w:r w:rsidR="006806A4" w:rsidRPr="00685DE9">
        <w:rPr>
          <w:rFonts w:ascii="Arial" w:hAnsi="Arial" w:cs="Arial"/>
          <w:sz w:val="24"/>
          <w:szCs w:val="24"/>
        </w:rPr>
        <w:t>expressing HBV (B)</w:t>
      </w:r>
      <w:r w:rsidR="002A001E" w:rsidRPr="00685DE9">
        <w:rPr>
          <w:rFonts w:ascii="Arial" w:hAnsi="Arial" w:cs="Arial"/>
          <w:sz w:val="24"/>
          <w:szCs w:val="24"/>
        </w:rPr>
        <w:t xml:space="preserve">, wild type </w:t>
      </w:r>
      <w:proofErr w:type="spellStart"/>
      <w:r w:rsidR="002A001E" w:rsidRPr="00685DE9">
        <w:rPr>
          <w:rFonts w:ascii="Arial" w:hAnsi="Arial" w:cs="Arial"/>
          <w:sz w:val="24"/>
          <w:szCs w:val="24"/>
        </w:rPr>
        <w:t>HBx</w:t>
      </w:r>
      <w:proofErr w:type="spellEnd"/>
      <w:r w:rsidR="006806A4" w:rsidRPr="00685DE9">
        <w:rPr>
          <w:rFonts w:ascii="Arial" w:hAnsi="Arial" w:cs="Arial"/>
          <w:sz w:val="24"/>
          <w:szCs w:val="24"/>
        </w:rPr>
        <w:t xml:space="preserve"> or </w:t>
      </w:r>
      <w:r w:rsidR="002A001E" w:rsidRPr="00685DE9">
        <w:rPr>
          <w:rFonts w:ascii="Arial" w:hAnsi="Arial" w:cs="Arial"/>
          <w:sz w:val="24"/>
          <w:szCs w:val="24"/>
        </w:rPr>
        <w:t xml:space="preserve">mutated </w:t>
      </w:r>
      <w:proofErr w:type="spellStart"/>
      <w:r w:rsidR="006806A4" w:rsidRPr="00685DE9">
        <w:rPr>
          <w:rFonts w:ascii="Arial" w:hAnsi="Arial" w:cs="Arial"/>
          <w:sz w:val="24"/>
          <w:szCs w:val="24"/>
        </w:rPr>
        <w:t>HBx</w:t>
      </w:r>
      <w:proofErr w:type="spellEnd"/>
      <w:r w:rsidR="006806A4" w:rsidRPr="00685DE9">
        <w:rPr>
          <w:rFonts w:ascii="Arial" w:hAnsi="Arial" w:cs="Arial"/>
          <w:sz w:val="24"/>
          <w:szCs w:val="24"/>
        </w:rPr>
        <w:t xml:space="preserve"> (C). (D) Agarose gel for </w:t>
      </w:r>
      <w:proofErr w:type="spellStart"/>
      <w:r w:rsidR="006806A4" w:rsidRPr="00685DE9">
        <w:rPr>
          <w:rFonts w:ascii="Arial" w:hAnsi="Arial" w:cs="Arial"/>
          <w:sz w:val="24"/>
          <w:szCs w:val="24"/>
        </w:rPr>
        <w:t>mtDNA</w:t>
      </w:r>
      <w:proofErr w:type="spellEnd"/>
      <w:r w:rsidR="006806A4" w:rsidRPr="00685DE9">
        <w:rPr>
          <w:rFonts w:ascii="Arial" w:hAnsi="Arial" w:cs="Arial"/>
          <w:sz w:val="24"/>
          <w:szCs w:val="24"/>
        </w:rPr>
        <w:t xml:space="preserve"> deletions search. </w:t>
      </w:r>
      <w:r w:rsidR="002A001E" w:rsidRPr="00685DE9">
        <w:rPr>
          <w:rFonts w:ascii="Arial" w:hAnsi="Arial" w:cs="Arial"/>
          <w:sz w:val="24"/>
          <w:szCs w:val="24"/>
        </w:rPr>
        <w:t>HepG2</w:t>
      </w:r>
      <w:r w:rsidR="006806A4" w:rsidRPr="00685DE9">
        <w:rPr>
          <w:rFonts w:ascii="Arial" w:hAnsi="Arial" w:cs="Arial"/>
          <w:sz w:val="24"/>
          <w:szCs w:val="24"/>
        </w:rPr>
        <w:t xml:space="preserve"> cells DNA was amplified with primers A and B (Suppl. Table 1) and PCR products were run on agarose gels (1%). Data are </w:t>
      </w:r>
      <w:proofErr w:type="spellStart"/>
      <w:r w:rsidR="006806A4" w:rsidRPr="00685DE9">
        <w:rPr>
          <w:rFonts w:ascii="Arial" w:hAnsi="Arial" w:cs="Arial"/>
          <w:sz w:val="24"/>
          <w:szCs w:val="24"/>
        </w:rPr>
        <w:t>mean±SEM</w:t>
      </w:r>
      <w:proofErr w:type="spellEnd"/>
      <w:r w:rsidR="006806A4" w:rsidRPr="00685DE9">
        <w:rPr>
          <w:rFonts w:ascii="Arial" w:hAnsi="Arial" w:cs="Arial"/>
          <w:sz w:val="24"/>
          <w:szCs w:val="24"/>
        </w:rPr>
        <w:t xml:space="preserve"> from </w:t>
      </w:r>
      <w:r w:rsidR="002A001E" w:rsidRPr="00685DE9">
        <w:rPr>
          <w:rFonts w:ascii="Arial" w:hAnsi="Arial" w:cs="Arial"/>
          <w:sz w:val="24"/>
          <w:szCs w:val="24"/>
        </w:rPr>
        <w:t>3-</w:t>
      </w:r>
      <w:r w:rsidR="00F85DFF" w:rsidRPr="00685DE9">
        <w:rPr>
          <w:rFonts w:ascii="Arial" w:hAnsi="Arial" w:cs="Arial"/>
          <w:sz w:val="24"/>
          <w:szCs w:val="24"/>
        </w:rPr>
        <w:t xml:space="preserve">8 </w:t>
      </w:r>
      <w:r w:rsidR="006806A4" w:rsidRPr="00685DE9">
        <w:rPr>
          <w:rFonts w:ascii="Arial" w:hAnsi="Arial" w:cs="Arial"/>
          <w:sz w:val="24"/>
          <w:szCs w:val="24"/>
        </w:rPr>
        <w:t xml:space="preserve">replicates. </w:t>
      </w:r>
      <w:r w:rsidR="00F85DFF" w:rsidRPr="00685DE9">
        <w:rPr>
          <w:rFonts w:ascii="Arial" w:hAnsi="Arial" w:cs="Arial"/>
          <w:sz w:val="24"/>
          <w:szCs w:val="24"/>
        </w:rPr>
        <w:t>*</w:t>
      </w:r>
      <w:r w:rsidR="00F85DFF" w:rsidRPr="00685DE9">
        <w:rPr>
          <w:rFonts w:ascii="Arial" w:hAnsi="Arial" w:cs="Arial"/>
          <w:i/>
          <w:sz w:val="24"/>
          <w:szCs w:val="24"/>
        </w:rPr>
        <w:t xml:space="preserve">p&lt;0.05; </w:t>
      </w:r>
      <w:r w:rsidR="00F85DFF" w:rsidRPr="00685DE9">
        <w:rPr>
          <w:rFonts w:ascii="Arial" w:hAnsi="Arial" w:cs="Arial"/>
          <w:sz w:val="24"/>
          <w:szCs w:val="24"/>
        </w:rPr>
        <w:t>**</w:t>
      </w:r>
      <w:r w:rsidR="00F85DFF" w:rsidRPr="00685DE9">
        <w:rPr>
          <w:rFonts w:ascii="Arial" w:hAnsi="Arial" w:cs="Arial"/>
          <w:i/>
          <w:sz w:val="24"/>
          <w:szCs w:val="24"/>
        </w:rPr>
        <w:t>p&lt;0.01,</w:t>
      </w:r>
      <w:r w:rsidR="009D5F8D" w:rsidRPr="00685DE9">
        <w:rPr>
          <w:rFonts w:ascii="Arial" w:hAnsi="Arial" w:cs="Arial"/>
          <w:i/>
          <w:sz w:val="24"/>
          <w:szCs w:val="24"/>
        </w:rPr>
        <w:t xml:space="preserve"> </w:t>
      </w:r>
      <w:r w:rsidR="00F85DFF" w:rsidRPr="00685DE9">
        <w:rPr>
          <w:rFonts w:ascii="Arial" w:hAnsi="Arial" w:cs="Arial"/>
          <w:i/>
          <w:sz w:val="24"/>
          <w:szCs w:val="24"/>
        </w:rPr>
        <w:t>*</w:t>
      </w:r>
      <w:r w:rsidR="006806A4" w:rsidRPr="00685DE9">
        <w:rPr>
          <w:rFonts w:ascii="Arial" w:hAnsi="Arial" w:cs="Arial"/>
          <w:sz w:val="24"/>
          <w:szCs w:val="24"/>
        </w:rPr>
        <w:t>**</w:t>
      </w:r>
      <w:r w:rsidR="006806A4" w:rsidRPr="00685DE9">
        <w:rPr>
          <w:rFonts w:ascii="Arial" w:hAnsi="Arial" w:cs="Arial"/>
          <w:i/>
          <w:sz w:val="24"/>
          <w:szCs w:val="24"/>
        </w:rPr>
        <w:t>p&lt;0.0</w:t>
      </w:r>
      <w:r w:rsidR="00F85DFF" w:rsidRPr="00685DE9">
        <w:rPr>
          <w:rFonts w:ascii="Arial" w:hAnsi="Arial" w:cs="Arial"/>
          <w:i/>
          <w:sz w:val="24"/>
          <w:szCs w:val="24"/>
        </w:rPr>
        <w:t>0</w:t>
      </w:r>
      <w:r w:rsidR="006806A4" w:rsidRPr="00685DE9">
        <w:rPr>
          <w:rFonts w:ascii="Arial" w:hAnsi="Arial" w:cs="Arial"/>
          <w:i/>
          <w:sz w:val="24"/>
          <w:szCs w:val="24"/>
        </w:rPr>
        <w:t>1</w:t>
      </w:r>
      <w:r w:rsidR="006806A4" w:rsidRPr="00685DE9">
        <w:rPr>
          <w:rFonts w:ascii="Arial" w:hAnsi="Arial" w:cs="Arial"/>
          <w:sz w:val="24"/>
          <w:szCs w:val="24"/>
        </w:rPr>
        <w:t xml:space="preserve">. </w:t>
      </w:r>
      <w:r w:rsidR="006806A4" w:rsidRPr="00685DE9">
        <w:rPr>
          <w:rFonts w:ascii="Arial" w:hAnsi="Arial" w:cs="Arial"/>
          <w:i/>
          <w:sz w:val="24"/>
          <w:szCs w:val="24"/>
        </w:rPr>
        <w:t>Mann-Whitney U-test.</w:t>
      </w:r>
      <w:r w:rsidR="006806A4" w:rsidRPr="00685DE9">
        <w:rPr>
          <w:rFonts w:ascii="Arial" w:eastAsiaTheme="minorHAnsi" w:hAnsi="Arial" w:cs="Arial"/>
          <w:sz w:val="24"/>
          <w:szCs w:val="24"/>
        </w:rPr>
        <w:t xml:space="preserve"> </w:t>
      </w:r>
      <w:r w:rsidR="006806A4" w:rsidRPr="00685DE9">
        <w:rPr>
          <w:rFonts w:ascii="Arial" w:hAnsi="Arial" w:cs="Arial"/>
          <w:sz w:val="24"/>
          <w:szCs w:val="24"/>
        </w:rPr>
        <w:t xml:space="preserve">NT, Non-transfected; </w:t>
      </w:r>
      <w:proofErr w:type="spellStart"/>
      <w:r w:rsidR="006806A4" w:rsidRPr="00685DE9">
        <w:rPr>
          <w:rFonts w:ascii="Arial" w:hAnsi="Arial" w:cs="Arial"/>
          <w:sz w:val="24"/>
          <w:szCs w:val="24"/>
        </w:rPr>
        <w:t>mtDNA</w:t>
      </w:r>
      <w:proofErr w:type="spellEnd"/>
      <w:r w:rsidR="006806A4" w:rsidRPr="00685DE9">
        <w:rPr>
          <w:rFonts w:ascii="Arial" w:hAnsi="Arial" w:cs="Arial"/>
          <w:sz w:val="24"/>
          <w:szCs w:val="24"/>
        </w:rPr>
        <w:t xml:space="preserve">, Mitochondrial DNA; </w:t>
      </w:r>
      <w:proofErr w:type="spellStart"/>
      <w:r w:rsidR="006806A4" w:rsidRPr="00685DE9">
        <w:rPr>
          <w:rFonts w:ascii="Arial" w:hAnsi="Arial" w:cs="Arial"/>
          <w:sz w:val="24"/>
          <w:szCs w:val="24"/>
        </w:rPr>
        <w:t>nDNA</w:t>
      </w:r>
      <w:proofErr w:type="spellEnd"/>
      <w:r w:rsidR="006806A4" w:rsidRPr="00685DE9">
        <w:rPr>
          <w:rFonts w:ascii="Arial" w:hAnsi="Arial" w:cs="Arial"/>
          <w:sz w:val="24"/>
          <w:szCs w:val="24"/>
        </w:rPr>
        <w:t>, Nuclear DNA; RFU, Relative fluorescence unit.</w:t>
      </w:r>
    </w:p>
    <w:sectPr w:rsidR="006806A4" w:rsidRPr="00685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F4A0" w14:textId="77777777" w:rsidR="00827531" w:rsidRDefault="00827531" w:rsidP="00F91A3D">
      <w:pPr>
        <w:spacing w:after="0" w:line="240" w:lineRule="auto"/>
      </w:pPr>
      <w:r>
        <w:separator/>
      </w:r>
    </w:p>
  </w:endnote>
  <w:endnote w:type="continuationSeparator" w:id="0">
    <w:p w14:paraId="2EC1A9CF" w14:textId="77777777" w:rsidR="00827531" w:rsidRDefault="00827531" w:rsidP="00F9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Text-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18992"/>
      <w:docPartObj>
        <w:docPartGallery w:val="Page Numbers (Bottom of Page)"/>
        <w:docPartUnique/>
      </w:docPartObj>
    </w:sdtPr>
    <w:sdtEndPr/>
    <w:sdtContent>
      <w:p w14:paraId="126D9FC2" w14:textId="5B76FD94" w:rsidR="0017394F" w:rsidRDefault="0017394F">
        <w:pPr>
          <w:pStyle w:val="Footer"/>
          <w:jc w:val="right"/>
        </w:pPr>
        <w:r>
          <w:fldChar w:fldCharType="begin"/>
        </w:r>
        <w:r>
          <w:instrText>PAGE   \* MERGEFORMAT</w:instrText>
        </w:r>
        <w:r>
          <w:fldChar w:fldCharType="separate"/>
        </w:r>
        <w:r w:rsidR="005F294E" w:rsidRPr="005F294E">
          <w:rPr>
            <w:noProof/>
            <w:lang w:val="fr-FR"/>
          </w:rPr>
          <w:t>25</w:t>
        </w:r>
        <w:r>
          <w:fldChar w:fldCharType="end"/>
        </w:r>
      </w:p>
    </w:sdtContent>
  </w:sdt>
  <w:p w14:paraId="71C7E170" w14:textId="77777777" w:rsidR="0017394F" w:rsidRDefault="0017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0AFB" w14:textId="77777777" w:rsidR="00827531" w:rsidRDefault="00827531" w:rsidP="00F91A3D">
      <w:pPr>
        <w:spacing w:after="0" w:line="240" w:lineRule="auto"/>
      </w:pPr>
      <w:r>
        <w:separator/>
      </w:r>
    </w:p>
  </w:footnote>
  <w:footnote w:type="continuationSeparator" w:id="0">
    <w:p w14:paraId="6DCAEDF5" w14:textId="77777777" w:rsidR="00827531" w:rsidRDefault="00827531" w:rsidP="00F91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1370"/>
    <w:multiLevelType w:val="hybridMultilevel"/>
    <w:tmpl w:val="8932A8EE"/>
    <w:lvl w:ilvl="0" w:tplc="6D387FE8">
      <w:start w:val="1"/>
      <w:numFmt w:val="upperLetter"/>
      <w:lvlText w:val="(%1)"/>
      <w:lvlJc w:val="left"/>
      <w:pPr>
        <w:ind w:left="795" w:hanging="435"/>
      </w:pPr>
      <w:rPr>
        <w:rFonts w:eastAsia="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1453ED2"/>
    <w:multiLevelType w:val="multilevel"/>
    <w:tmpl w:val="6ABA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C5A69"/>
    <w:multiLevelType w:val="multilevel"/>
    <w:tmpl w:val="6C1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532FE"/>
    <w:multiLevelType w:val="multilevel"/>
    <w:tmpl w:val="F048B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D43FB"/>
    <w:multiLevelType w:val="hybridMultilevel"/>
    <w:tmpl w:val="D9C01760"/>
    <w:lvl w:ilvl="0" w:tplc="ABCC3342">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05316"/>
    <w:multiLevelType w:val="multilevel"/>
    <w:tmpl w:val="6C6A9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83076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8284381">
    <w:abstractNumId w:val="3"/>
  </w:num>
  <w:num w:numId="3" w16cid:durableId="305089536">
    <w:abstractNumId w:val="2"/>
  </w:num>
  <w:num w:numId="4" w16cid:durableId="217589805">
    <w:abstractNumId w:val="5"/>
  </w:num>
  <w:num w:numId="5" w16cid:durableId="1852573183">
    <w:abstractNumId w:val="1"/>
  </w:num>
  <w:num w:numId="6" w16cid:durableId="159536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B8"/>
    <w:rsid w:val="00015869"/>
    <w:rsid w:val="000234AE"/>
    <w:rsid w:val="00052DD3"/>
    <w:rsid w:val="00056439"/>
    <w:rsid w:val="0006062B"/>
    <w:rsid w:val="00064945"/>
    <w:rsid w:val="000712B1"/>
    <w:rsid w:val="000824BB"/>
    <w:rsid w:val="00082BB8"/>
    <w:rsid w:val="000831F4"/>
    <w:rsid w:val="000903C1"/>
    <w:rsid w:val="00095046"/>
    <w:rsid w:val="0009508C"/>
    <w:rsid w:val="000A4C0E"/>
    <w:rsid w:val="000A7E72"/>
    <w:rsid w:val="000C0141"/>
    <w:rsid w:val="000C31CA"/>
    <w:rsid w:val="000F04C0"/>
    <w:rsid w:val="000F4360"/>
    <w:rsid w:val="000F6272"/>
    <w:rsid w:val="00104A43"/>
    <w:rsid w:val="001135D9"/>
    <w:rsid w:val="00121C73"/>
    <w:rsid w:val="001268F1"/>
    <w:rsid w:val="00127BE8"/>
    <w:rsid w:val="00132388"/>
    <w:rsid w:val="00134A06"/>
    <w:rsid w:val="00143602"/>
    <w:rsid w:val="001565DB"/>
    <w:rsid w:val="001636AF"/>
    <w:rsid w:val="0017394F"/>
    <w:rsid w:val="00182C5C"/>
    <w:rsid w:val="001A2C8C"/>
    <w:rsid w:val="001A3091"/>
    <w:rsid w:val="001B4899"/>
    <w:rsid w:val="001B656B"/>
    <w:rsid w:val="001B74DC"/>
    <w:rsid w:val="001B77A4"/>
    <w:rsid w:val="001C412E"/>
    <w:rsid w:val="001D5C8E"/>
    <w:rsid w:val="001D6D11"/>
    <w:rsid w:val="001E3A72"/>
    <w:rsid w:val="001E41AD"/>
    <w:rsid w:val="001F15E2"/>
    <w:rsid w:val="001F623F"/>
    <w:rsid w:val="0022358F"/>
    <w:rsid w:val="00234E35"/>
    <w:rsid w:val="002453AD"/>
    <w:rsid w:val="00247452"/>
    <w:rsid w:val="002538FB"/>
    <w:rsid w:val="00270279"/>
    <w:rsid w:val="00295BF0"/>
    <w:rsid w:val="002A001E"/>
    <w:rsid w:val="002A4D32"/>
    <w:rsid w:val="002B0C87"/>
    <w:rsid w:val="002B4C79"/>
    <w:rsid w:val="002B7A9D"/>
    <w:rsid w:val="002B7AE7"/>
    <w:rsid w:val="002E621A"/>
    <w:rsid w:val="002F3CA1"/>
    <w:rsid w:val="00304542"/>
    <w:rsid w:val="00306BD6"/>
    <w:rsid w:val="00315A01"/>
    <w:rsid w:val="00317788"/>
    <w:rsid w:val="00323582"/>
    <w:rsid w:val="00332F52"/>
    <w:rsid w:val="00335441"/>
    <w:rsid w:val="00350951"/>
    <w:rsid w:val="00352D57"/>
    <w:rsid w:val="00365BF6"/>
    <w:rsid w:val="00366BA0"/>
    <w:rsid w:val="00370D8D"/>
    <w:rsid w:val="003743B3"/>
    <w:rsid w:val="00387178"/>
    <w:rsid w:val="003A0B70"/>
    <w:rsid w:val="003A175F"/>
    <w:rsid w:val="003B1BA4"/>
    <w:rsid w:val="003C12BC"/>
    <w:rsid w:val="003C5F6D"/>
    <w:rsid w:val="003E6DDF"/>
    <w:rsid w:val="003F2C7A"/>
    <w:rsid w:val="003F4456"/>
    <w:rsid w:val="00403DC2"/>
    <w:rsid w:val="00442EBD"/>
    <w:rsid w:val="004477B3"/>
    <w:rsid w:val="00456F5F"/>
    <w:rsid w:val="00457D9A"/>
    <w:rsid w:val="00466302"/>
    <w:rsid w:val="00480111"/>
    <w:rsid w:val="004866CD"/>
    <w:rsid w:val="004A038C"/>
    <w:rsid w:val="004B4252"/>
    <w:rsid w:val="004C340E"/>
    <w:rsid w:val="004D0B27"/>
    <w:rsid w:val="004D60EB"/>
    <w:rsid w:val="004F586E"/>
    <w:rsid w:val="00511CEB"/>
    <w:rsid w:val="00520364"/>
    <w:rsid w:val="00526D78"/>
    <w:rsid w:val="00534B12"/>
    <w:rsid w:val="00534D86"/>
    <w:rsid w:val="00534E3C"/>
    <w:rsid w:val="00554A5D"/>
    <w:rsid w:val="005562DF"/>
    <w:rsid w:val="005679A2"/>
    <w:rsid w:val="00570F6A"/>
    <w:rsid w:val="00570FC0"/>
    <w:rsid w:val="00577B0C"/>
    <w:rsid w:val="00593A30"/>
    <w:rsid w:val="005A5069"/>
    <w:rsid w:val="005A5C04"/>
    <w:rsid w:val="005A5F3F"/>
    <w:rsid w:val="005B6311"/>
    <w:rsid w:val="005C4902"/>
    <w:rsid w:val="005C7491"/>
    <w:rsid w:val="005D2EC2"/>
    <w:rsid w:val="005D3E9A"/>
    <w:rsid w:val="005D5DD2"/>
    <w:rsid w:val="005F294E"/>
    <w:rsid w:val="005F3C17"/>
    <w:rsid w:val="00601A59"/>
    <w:rsid w:val="0060443D"/>
    <w:rsid w:val="00614713"/>
    <w:rsid w:val="00624CAD"/>
    <w:rsid w:val="006412FE"/>
    <w:rsid w:val="006446B1"/>
    <w:rsid w:val="0065592D"/>
    <w:rsid w:val="00677660"/>
    <w:rsid w:val="006806A4"/>
    <w:rsid w:val="00685DE9"/>
    <w:rsid w:val="00691A23"/>
    <w:rsid w:val="006A1AC4"/>
    <w:rsid w:val="006B2649"/>
    <w:rsid w:val="006B362B"/>
    <w:rsid w:val="006B5104"/>
    <w:rsid w:val="006C0377"/>
    <w:rsid w:val="006C097C"/>
    <w:rsid w:val="006C38DE"/>
    <w:rsid w:val="006C44CF"/>
    <w:rsid w:val="006D5B99"/>
    <w:rsid w:val="006D63A7"/>
    <w:rsid w:val="006E38CA"/>
    <w:rsid w:val="006E4C4D"/>
    <w:rsid w:val="006F47F4"/>
    <w:rsid w:val="00710C37"/>
    <w:rsid w:val="00713CA1"/>
    <w:rsid w:val="0072594D"/>
    <w:rsid w:val="00727DCD"/>
    <w:rsid w:val="00736147"/>
    <w:rsid w:val="00757318"/>
    <w:rsid w:val="00763477"/>
    <w:rsid w:val="0076784A"/>
    <w:rsid w:val="00771E29"/>
    <w:rsid w:val="00782801"/>
    <w:rsid w:val="00784755"/>
    <w:rsid w:val="00792626"/>
    <w:rsid w:val="00797DA8"/>
    <w:rsid w:val="007A4394"/>
    <w:rsid w:val="007A5410"/>
    <w:rsid w:val="007B2394"/>
    <w:rsid w:val="007D3DC9"/>
    <w:rsid w:val="007D4AC6"/>
    <w:rsid w:val="007D786A"/>
    <w:rsid w:val="007E0AC0"/>
    <w:rsid w:val="007E0EED"/>
    <w:rsid w:val="007F2535"/>
    <w:rsid w:val="007F2F6A"/>
    <w:rsid w:val="00810C41"/>
    <w:rsid w:val="00827531"/>
    <w:rsid w:val="00834BC2"/>
    <w:rsid w:val="00840402"/>
    <w:rsid w:val="00842E8E"/>
    <w:rsid w:val="00852BCF"/>
    <w:rsid w:val="00857E71"/>
    <w:rsid w:val="008602C3"/>
    <w:rsid w:val="008621AE"/>
    <w:rsid w:val="00863A32"/>
    <w:rsid w:val="00863F5F"/>
    <w:rsid w:val="00881FA3"/>
    <w:rsid w:val="00883990"/>
    <w:rsid w:val="0088596C"/>
    <w:rsid w:val="008B390D"/>
    <w:rsid w:val="008B5525"/>
    <w:rsid w:val="008C1EB0"/>
    <w:rsid w:val="008C238D"/>
    <w:rsid w:val="008C799E"/>
    <w:rsid w:val="008D4D6F"/>
    <w:rsid w:val="008E71BB"/>
    <w:rsid w:val="0090200A"/>
    <w:rsid w:val="0090657C"/>
    <w:rsid w:val="00916068"/>
    <w:rsid w:val="00917324"/>
    <w:rsid w:val="00940E03"/>
    <w:rsid w:val="009426B9"/>
    <w:rsid w:val="00965F28"/>
    <w:rsid w:val="00976D7F"/>
    <w:rsid w:val="00980111"/>
    <w:rsid w:val="00986E84"/>
    <w:rsid w:val="009A2A96"/>
    <w:rsid w:val="009A2AE0"/>
    <w:rsid w:val="009A5437"/>
    <w:rsid w:val="009B2EFE"/>
    <w:rsid w:val="009B5544"/>
    <w:rsid w:val="009C4CB8"/>
    <w:rsid w:val="009C5BE0"/>
    <w:rsid w:val="009D5F8D"/>
    <w:rsid w:val="009D7A07"/>
    <w:rsid w:val="009E62C0"/>
    <w:rsid w:val="009F11B6"/>
    <w:rsid w:val="00A17E5E"/>
    <w:rsid w:val="00A222DA"/>
    <w:rsid w:val="00A277BF"/>
    <w:rsid w:val="00A353BF"/>
    <w:rsid w:val="00A37E0E"/>
    <w:rsid w:val="00A42F69"/>
    <w:rsid w:val="00A437A7"/>
    <w:rsid w:val="00A51C9E"/>
    <w:rsid w:val="00A526B5"/>
    <w:rsid w:val="00A56261"/>
    <w:rsid w:val="00A57F75"/>
    <w:rsid w:val="00A60ECC"/>
    <w:rsid w:val="00A63208"/>
    <w:rsid w:val="00A64F9D"/>
    <w:rsid w:val="00A9482C"/>
    <w:rsid w:val="00AA2205"/>
    <w:rsid w:val="00AA77F7"/>
    <w:rsid w:val="00AE6353"/>
    <w:rsid w:val="00AF35D5"/>
    <w:rsid w:val="00B10F10"/>
    <w:rsid w:val="00B20824"/>
    <w:rsid w:val="00B32766"/>
    <w:rsid w:val="00B34B91"/>
    <w:rsid w:val="00B4195D"/>
    <w:rsid w:val="00B41A49"/>
    <w:rsid w:val="00B43875"/>
    <w:rsid w:val="00B66B34"/>
    <w:rsid w:val="00B84D90"/>
    <w:rsid w:val="00B86433"/>
    <w:rsid w:val="00B87AFB"/>
    <w:rsid w:val="00B962F3"/>
    <w:rsid w:val="00BB08CE"/>
    <w:rsid w:val="00BB5FFC"/>
    <w:rsid w:val="00BC6A61"/>
    <w:rsid w:val="00BF27C0"/>
    <w:rsid w:val="00C05E69"/>
    <w:rsid w:val="00C07F50"/>
    <w:rsid w:val="00C1422C"/>
    <w:rsid w:val="00C2529D"/>
    <w:rsid w:val="00C31F4E"/>
    <w:rsid w:val="00C346F1"/>
    <w:rsid w:val="00C410BB"/>
    <w:rsid w:val="00C51918"/>
    <w:rsid w:val="00C51AC6"/>
    <w:rsid w:val="00C54975"/>
    <w:rsid w:val="00C90889"/>
    <w:rsid w:val="00C973DD"/>
    <w:rsid w:val="00CA0AB0"/>
    <w:rsid w:val="00CA62A8"/>
    <w:rsid w:val="00CB5B92"/>
    <w:rsid w:val="00CB7D5B"/>
    <w:rsid w:val="00CC02F4"/>
    <w:rsid w:val="00CC0326"/>
    <w:rsid w:val="00CC5345"/>
    <w:rsid w:val="00CD3BF5"/>
    <w:rsid w:val="00CD6BB8"/>
    <w:rsid w:val="00CE29CE"/>
    <w:rsid w:val="00CE420A"/>
    <w:rsid w:val="00CE5494"/>
    <w:rsid w:val="00CE55B5"/>
    <w:rsid w:val="00CE66C1"/>
    <w:rsid w:val="00D10EB8"/>
    <w:rsid w:val="00D11DD0"/>
    <w:rsid w:val="00D170A2"/>
    <w:rsid w:val="00D17749"/>
    <w:rsid w:val="00D269E6"/>
    <w:rsid w:val="00D3645D"/>
    <w:rsid w:val="00D47C50"/>
    <w:rsid w:val="00D52954"/>
    <w:rsid w:val="00D53DE8"/>
    <w:rsid w:val="00D605AC"/>
    <w:rsid w:val="00D6665C"/>
    <w:rsid w:val="00D67E5B"/>
    <w:rsid w:val="00D779BE"/>
    <w:rsid w:val="00D80124"/>
    <w:rsid w:val="00D9113D"/>
    <w:rsid w:val="00D931F3"/>
    <w:rsid w:val="00D9326F"/>
    <w:rsid w:val="00D95CFE"/>
    <w:rsid w:val="00DA4EC6"/>
    <w:rsid w:val="00DB4829"/>
    <w:rsid w:val="00DB790B"/>
    <w:rsid w:val="00DD2134"/>
    <w:rsid w:val="00DE354F"/>
    <w:rsid w:val="00DE47F7"/>
    <w:rsid w:val="00E02A63"/>
    <w:rsid w:val="00E05F7A"/>
    <w:rsid w:val="00E104CD"/>
    <w:rsid w:val="00E14657"/>
    <w:rsid w:val="00E2404F"/>
    <w:rsid w:val="00E272AF"/>
    <w:rsid w:val="00E304F0"/>
    <w:rsid w:val="00E3219C"/>
    <w:rsid w:val="00E34A37"/>
    <w:rsid w:val="00E37736"/>
    <w:rsid w:val="00E40123"/>
    <w:rsid w:val="00E42D66"/>
    <w:rsid w:val="00E611F9"/>
    <w:rsid w:val="00E77D33"/>
    <w:rsid w:val="00E933CD"/>
    <w:rsid w:val="00E93E22"/>
    <w:rsid w:val="00EA181A"/>
    <w:rsid w:val="00EA2F83"/>
    <w:rsid w:val="00EA349C"/>
    <w:rsid w:val="00EA7CC2"/>
    <w:rsid w:val="00EB442F"/>
    <w:rsid w:val="00EB4A69"/>
    <w:rsid w:val="00EB774E"/>
    <w:rsid w:val="00EC1856"/>
    <w:rsid w:val="00EC2C48"/>
    <w:rsid w:val="00EC2E8E"/>
    <w:rsid w:val="00EC4B31"/>
    <w:rsid w:val="00ED1B10"/>
    <w:rsid w:val="00EE740B"/>
    <w:rsid w:val="00EF5CDE"/>
    <w:rsid w:val="00EF7E6C"/>
    <w:rsid w:val="00F01491"/>
    <w:rsid w:val="00F16F39"/>
    <w:rsid w:val="00F1752E"/>
    <w:rsid w:val="00F21CAD"/>
    <w:rsid w:val="00F228F0"/>
    <w:rsid w:val="00F37260"/>
    <w:rsid w:val="00F53549"/>
    <w:rsid w:val="00F55E2D"/>
    <w:rsid w:val="00F74894"/>
    <w:rsid w:val="00F84CD6"/>
    <w:rsid w:val="00F85DFF"/>
    <w:rsid w:val="00F87522"/>
    <w:rsid w:val="00F91794"/>
    <w:rsid w:val="00F91A3D"/>
    <w:rsid w:val="00F931EC"/>
    <w:rsid w:val="00FB2843"/>
    <w:rsid w:val="00FB4A55"/>
    <w:rsid w:val="00FC021A"/>
    <w:rsid w:val="00FC0FC1"/>
    <w:rsid w:val="00FC6804"/>
    <w:rsid w:val="00FD4EDC"/>
    <w:rsid w:val="00FD73C7"/>
    <w:rsid w:val="00FE0A50"/>
    <w:rsid w:val="00FE0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585F"/>
  <w15:docId w15:val="{C4A87676-24AF-D740-B863-F5546A32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B8"/>
    <w:pPr>
      <w:autoSpaceDN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806A4"/>
    <w:pPr>
      <w:keepNext/>
      <w:overflowPunct w:val="0"/>
      <w:autoSpaceDE w:val="0"/>
      <w:adjustRightInd w:val="0"/>
      <w:spacing w:after="0" w:line="240" w:lineRule="auto"/>
      <w:outlineLvl w:val="0"/>
    </w:pPr>
    <w:rPr>
      <w:rFonts w:ascii="Times New Roman" w:eastAsia="Times New Roman" w:hAnsi="Times New Roman"/>
      <w:b/>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0EB8"/>
    <w:rPr>
      <w:color w:val="0000FF"/>
      <w:u w:val="single"/>
    </w:rPr>
  </w:style>
  <w:style w:type="paragraph" w:styleId="NormalWeb">
    <w:name w:val="Normal (Web)"/>
    <w:basedOn w:val="Normal"/>
    <w:uiPriority w:val="99"/>
    <w:unhideWhenUsed/>
    <w:rsid w:val="00D10EB8"/>
    <w:pPr>
      <w:overflowPunct w:val="0"/>
      <w:autoSpaceDE w:val="0"/>
      <w:adjustRightInd w:val="0"/>
      <w:spacing w:before="100" w:after="100" w:line="240" w:lineRule="auto"/>
    </w:pPr>
    <w:rPr>
      <w:rFonts w:ascii="Times New Roman" w:eastAsia="Times New Roman" w:hAnsi="Times New Roman"/>
      <w:sz w:val="24"/>
      <w:szCs w:val="20"/>
      <w:lang w:eastAsia="fr-FR"/>
    </w:rPr>
  </w:style>
  <w:style w:type="paragraph" w:customStyle="1" w:styleId="desc">
    <w:name w:val="desc"/>
    <w:basedOn w:val="Normal"/>
    <w:uiPriority w:val="99"/>
    <w:rsid w:val="003F44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lement-citation">
    <w:name w:val="element-citation"/>
    <w:rsid w:val="003F4456"/>
  </w:style>
  <w:style w:type="character" w:customStyle="1" w:styleId="label5">
    <w:name w:val="label5"/>
    <w:basedOn w:val="DefaultParagraphFont"/>
    <w:rsid w:val="003F4456"/>
  </w:style>
  <w:style w:type="character" w:customStyle="1" w:styleId="NoSpacingChar">
    <w:name w:val="No Spacing Char"/>
    <w:aliases w:val="Corps Char"/>
    <w:link w:val="NoSpacing"/>
    <w:locked/>
    <w:rsid w:val="001B656B"/>
    <w:rPr>
      <w:rFonts w:ascii="Arial" w:eastAsia="Arial" w:hAnsi="Arial" w:cs="Arial"/>
      <w:sz w:val="24"/>
      <w:szCs w:val="24"/>
      <w:lang w:eastAsia="fr-FR"/>
    </w:rPr>
  </w:style>
  <w:style w:type="paragraph" w:styleId="NoSpacing">
    <w:name w:val="No Spacing"/>
    <w:aliases w:val="Corps"/>
    <w:basedOn w:val="Normal"/>
    <w:next w:val="Normal"/>
    <w:link w:val="NoSpacingChar"/>
    <w:qFormat/>
    <w:rsid w:val="001B656B"/>
    <w:pPr>
      <w:spacing w:after="160" w:line="360" w:lineRule="auto"/>
      <w:jc w:val="both"/>
    </w:pPr>
    <w:rPr>
      <w:rFonts w:ascii="Arial" w:eastAsia="Arial" w:hAnsi="Arial" w:cs="Arial"/>
      <w:sz w:val="24"/>
      <w:szCs w:val="24"/>
      <w:lang w:val="fr-FR" w:eastAsia="fr-FR"/>
    </w:rPr>
  </w:style>
  <w:style w:type="character" w:customStyle="1" w:styleId="acopre1">
    <w:name w:val="acopre1"/>
    <w:basedOn w:val="DefaultParagraphFont"/>
    <w:rsid w:val="001B656B"/>
  </w:style>
  <w:style w:type="character" w:styleId="Strong">
    <w:name w:val="Strong"/>
    <w:basedOn w:val="DefaultParagraphFont"/>
    <w:uiPriority w:val="22"/>
    <w:qFormat/>
    <w:rsid w:val="001B656B"/>
    <w:rPr>
      <w:b/>
      <w:bCs/>
    </w:rPr>
  </w:style>
  <w:style w:type="paragraph" w:styleId="Bibliography">
    <w:name w:val="Bibliography"/>
    <w:basedOn w:val="Normal"/>
    <w:next w:val="Normal"/>
    <w:uiPriority w:val="37"/>
    <w:unhideWhenUsed/>
    <w:rsid w:val="001B656B"/>
    <w:pPr>
      <w:tabs>
        <w:tab w:val="left" w:pos="384"/>
      </w:tabs>
      <w:spacing w:after="240" w:line="240" w:lineRule="auto"/>
      <w:ind w:left="384" w:hanging="384"/>
    </w:pPr>
  </w:style>
  <w:style w:type="paragraph" w:customStyle="1" w:styleId="p">
    <w:name w:val="p"/>
    <w:basedOn w:val="Normal"/>
    <w:rsid w:val="007D4AC6"/>
    <w:pPr>
      <w:autoSpaceDN/>
      <w:spacing w:before="100" w:beforeAutospacing="1" w:after="100" w:afterAutospacing="1" w:line="240" w:lineRule="auto"/>
    </w:pPr>
    <w:rPr>
      <w:rFonts w:ascii="Times New Roman" w:eastAsia="Times New Roman" w:hAnsi="Times New Roman"/>
      <w:sz w:val="24"/>
      <w:szCs w:val="24"/>
      <w:lang w:val="fr-FR" w:eastAsia="fr-FR"/>
    </w:rPr>
  </w:style>
  <w:style w:type="paragraph" w:styleId="Header">
    <w:name w:val="header"/>
    <w:basedOn w:val="Normal"/>
    <w:link w:val="HeaderChar"/>
    <w:uiPriority w:val="99"/>
    <w:unhideWhenUsed/>
    <w:rsid w:val="00F91A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91A3D"/>
    <w:rPr>
      <w:rFonts w:ascii="Calibri" w:eastAsia="Calibri" w:hAnsi="Calibri" w:cs="Times New Roman"/>
      <w:lang w:val="en-US"/>
    </w:rPr>
  </w:style>
  <w:style w:type="paragraph" w:styleId="Footer">
    <w:name w:val="footer"/>
    <w:basedOn w:val="Normal"/>
    <w:link w:val="FooterChar"/>
    <w:uiPriority w:val="99"/>
    <w:unhideWhenUsed/>
    <w:rsid w:val="00F91A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1A3D"/>
    <w:rPr>
      <w:rFonts w:ascii="Calibri" w:eastAsia="Calibri" w:hAnsi="Calibri" w:cs="Times New Roman"/>
      <w:lang w:val="en-US"/>
    </w:rPr>
  </w:style>
  <w:style w:type="character" w:customStyle="1" w:styleId="docsum-authors">
    <w:name w:val="docsum-authors"/>
    <w:basedOn w:val="DefaultParagraphFont"/>
    <w:rsid w:val="00601A59"/>
  </w:style>
  <w:style w:type="character" w:customStyle="1" w:styleId="docsum-journal-citation">
    <w:name w:val="docsum-journal-citation"/>
    <w:basedOn w:val="DefaultParagraphFont"/>
    <w:rsid w:val="00601A59"/>
  </w:style>
  <w:style w:type="character" w:customStyle="1" w:styleId="Heading1Char">
    <w:name w:val="Heading 1 Char"/>
    <w:basedOn w:val="DefaultParagraphFont"/>
    <w:link w:val="Heading1"/>
    <w:uiPriority w:val="9"/>
    <w:rsid w:val="006806A4"/>
    <w:rPr>
      <w:rFonts w:ascii="Times New Roman" w:eastAsia="Times New Roman" w:hAnsi="Times New Roman" w:cs="Times New Roman"/>
      <w:b/>
      <w:sz w:val="24"/>
      <w:szCs w:val="20"/>
      <w:lang w:val="en-GB" w:eastAsia="fr-FR"/>
    </w:rPr>
  </w:style>
  <w:style w:type="character" w:customStyle="1" w:styleId="ListParagraphChar">
    <w:name w:val="List Paragraph Char"/>
    <w:link w:val="ListParagraph"/>
    <w:uiPriority w:val="99"/>
    <w:locked/>
    <w:rsid w:val="006806A4"/>
  </w:style>
  <w:style w:type="paragraph" w:styleId="ListParagraph">
    <w:name w:val="List Paragraph"/>
    <w:basedOn w:val="Normal"/>
    <w:link w:val="ListParagraphChar"/>
    <w:uiPriority w:val="99"/>
    <w:qFormat/>
    <w:rsid w:val="006806A4"/>
    <w:pPr>
      <w:ind w:left="720"/>
      <w:contextualSpacing/>
    </w:pPr>
    <w:rPr>
      <w:rFonts w:asciiTheme="minorHAnsi" w:eastAsiaTheme="minorHAnsi" w:hAnsiTheme="minorHAnsi" w:cstheme="minorBidi"/>
      <w:lang w:val="fr-FR"/>
    </w:rPr>
  </w:style>
  <w:style w:type="character" w:customStyle="1" w:styleId="cit">
    <w:name w:val="cit"/>
    <w:rsid w:val="006806A4"/>
  </w:style>
  <w:style w:type="character" w:customStyle="1" w:styleId="period">
    <w:name w:val="period"/>
    <w:basedOn w:val="DefaultParagraphFont"/>
    <w:rsid w:val="006806A4"/>
  </w:style>
  <w:style w:type="character" w:customStyle="1" w:styleId="author-sup-separator">
    <w:name w:val="author-sup-separator"/>
    <w:basedOn w:val="DefaultParagraphFont"/>
    <w:rsid w:val="006806A4"/>
  </w:style>
  <w:style w:type="character" w:customStyle="1" w:styleId="comma">
    <w:name w:val="comma"/>
    <w:basedOn w:val="DefaultParagraphFont"/>
    <w:rsid w:val="006806A4"/>
  </w:style>
  <w:style w:type="character" w:customStyle="1" w:styleId="citation-doi">
    <w:name w:val="citation-doi"/>
    <w:basedOn w:val="DefaultParagraphFont"/>
    <w:rsid w:val="006806A4"/>
  </w:style>
  <w:style w:type="character" w:customStyle="1" w:styleId="identifier">
    <w:name w:val="identifier"/>
    <w:basedOn w:val="DefaultParagraphFont"/>
    <w:rsid w:val="006806A4"/>
  </w:style>
  <w:style w:type="character" w:customStyle="1" w:styleId="id-label">
    <w:name w:val="id-label"/>
    <w:basedOn w:val="DefaultParagraphFont"/>
    <w:rsid w:val="006806A4"/>
  </w:style>
  <w:style w:type="character" w:customStyle="1" w:styleId="docsum-authors2">
    <w:name w:val="docsum-authors2"/>
    <w:basedOn w:val="DefaultParagraphFont"/>
    <w:rsid w:val="009E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4">
      <w:bodyDiv w:val="1"/>
      <w:marLeft w:val="0"/>
      <w:marRight w:val="0"/>
      <w:marTop w:val="0"/>
      <w:marBottom w:val="0"/>
      <w:divBdr>
        <w:top w:val="none" w:sz="0" w:space="0" w:color="auto"/>
        <w:left w:val="none" w:sz="0" w:space="0" w:color="auto"/>
        <w:bottom w:val="none" w:sz="0" w:space="0" w:color="auto"/>
        <w:right w:val="none" w:sz="0" w:space="0" w:color="auto"/>
      </w:divBdr>
    </w:div>
    <w:div w:id="395512392">
      <w:bodyDiv w:val="1"/>
      <w:marLeft w:val="0"/>
      <w:marRight w:val="0"/>
      <w:marTop w:val="0"/>
      <w:marBottom w:val="0"/>
      <w:divBdr>
        <w:top w:val="none" w:sz="0" w:space="0" w:color="auto"/>
        <w:left w:val="none" w:sz="0" w:space="0" w:color="auto"/>
        <w:bottom w:val="none" w:sz="0" w:space="0" w:color="auto"/>
        <w:right w:val="none" w:sz="0" w:space="0" w:color="auto"/>
      </w:divBdr>
    </w:div>
    <w:div w:id="862868392">
      <w:bodyDiv w:val="1"/>
      <w:marLeft w:val="0"/>
      <w:marRight w:val="0"/>
      <w:marTop w:val="0"/>
      <w:marBottom w:val="0"/>
      <w:divBdr>
        <w:top w:val="none" w:sz="0" w:space="0" w:color="auto"/>
        <w:left w:val="none" w:sz="0" w:space="0" w:color="auto"/>
        <w:bottom w:val="none" w:sz="0" w:space="0" w:color="auto"/>
        <w:right w:val="none" w:sz="0" w:space="0" w:color="auto"/>
      </w:divBdr>
    </w:div>
    <w:div w:id="1221945382">
      <w:bodyDiv w:val="1"/>
      <w:marLeft w:val="0"/>
      <w:marRight w:val="0"/>
      <w:marTop w:val="0"/>
      <w:marBottom w:val="0"/>
      <w:divBdr>
        <w:top w:val="none" w:sz="0" w:space="0" w:color="auto"/>
        <w:left w:val="none" w:sz="0" w:space="0" w:color="auto"/>
        <w:bottom w:val="none" w:sz="0" w:space="0" w:color="auto"/>
        <w:right w:val="none" w:sz="0" w:space="0" w:color="auto"/>
      </w:divBdr>
    </w:div>
    <w:div w:id="1416779377">
      <w:bodyDiv w:val="1"/>
      <w:marLeft w:val="0"/>
      <w:marRight w:val="0"/>
      <w:marTop w:val="0"/>
      <w:marBottom w:val="0"/>
      <w:divBdr>
        <w:top w:val="none" w:sz="0" w:space="0" w:color="auto"/>
        <w:left w:val="none" w:sz="0" w:space="0" w:color="auto"/>
        <w:bottom w:val="none" w:sz="0" w:space="0" w:color="auto"/>
        <w:right w:val="none" w:sz="0" w:space="0" w:color="auto"/>
      </w:divBdr>
      <w:divsChild>
        <w:div w:id="1809082908">
          <w:marLeft w:val="0"/>
          <w:marRight w:val="0"/>
          <w:marTop w:val="0"/>
          <w:marBottom w:val="0"/>
          <w:divBdr>
            <w:top w:val="none" w:sz="0" w:space="0" w:color="auto"/>
            <w:left w:val="none" w:sz="0" w:space="0" w:color="auto"/>
            <w:bottom w:val="none" w:sz="0" w:space="0" w:color="auto"/>
            <w:right w:val="none" w:sz="0" w:space="0" w:color="auto"/>
          </w:divBdr>
        </w:div>
      </w:divsChild>
    </w:div>
    <w:div w:id="1631133200">
      <w:bodyDiv w:val="1"/>
      <w:marLeft w:val="0"/>
      <w:marRight w:val="0"/>
      <w:marTop w:val="0"/>
      <w:marBottom w:val="0"/>
      <w:divBdr>
        <w:top w:val="none" w:sz="0" w:space="0" w:color="auto"/>
        <w:left w:val="none" w:sz="0" w:space="0" w:color="auto"/>
        <w:bottom w:val="none" w:sz="0" w:space="0" w:color="auto"/>
        <w:right w:val="none" w:sz="0" w:space="0" w:color="auto"/>
      </w:divBdr>
    </w:div>
    <w:div w:id="1877623992">
      <w:bodyDiv w:val="1"/>
      <w:marLeft w:val="0"/>
      <w:marRight w:val="0"/>
      <w:marTop w:val="0"/>
      <w:marBottom w:val="0"/>
      <w:divBdr>
        <w:top w:val="none" w:sz="0" w:space="0" w:color="auto"/>
        <w:left w:val="none" w:sz="0" w:space="0" w:color="auto"/>
        <w:bottom w:val="none" w:sz="0" w:space="0" w:color="auto"/>
        <w:right w:val="none" w:sz="0" w:space="0" w:color="auto"/>
      </w:divBdr>
    </w:div>
    <w:div w:id="1920406961">
      <w:bodyDiv w:val="1"/>
      <w:marLeft w:val="0"/>
      <w:marRight w:val="0"/>
      <w:marTop w:val="0"/>
      <w:marBottom w:val="0"/>
      <w:divBdr>
        <w:top w:val="none" w:sz="0" w:space="0" w:color="auto"/>
        <w:left w:val="none" w:sz="0" w:space="0" w:color="auto"/>
        <w:bottom w:val="none" w:sz="0" w:space="0" w:color="auto"/>
        <w:right w:val="none" w:sz="0" w:space="0" w:color="auto"/>
      </w:divBdr>
    </w:div>
    <w:div w:id="19976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el.mansouri@inserm.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rik.asselah@aphp.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03c50d-f851-412a-a9a7-d373c4b5fce4">
      <Terms xmlns="http://schemas.microsoft.com/office/infopath/2007/PartnerControls"/>
    </lcf76f155ced4ddcb4097134ff3c332f>
    <TaxCatchAll xmlns="bcd09660-be93-4bd9-869c-f45048cb5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4EA4453D0CF4F8778EE4578C55941" ma:contentTypeVersion="12" ma:contentTypeDescription="Create a new document." ma:contentTypeScope="" ma:versionID="4d0cd780277b99dd3223a1bc4b4ac7ac">
  <xsd:schema xmlns:xsd="http://www.w3.org/2001/XMLSchema" xmlns:xs="http://www.w3.org/2001/XMLSchema" xmlns:p="http://schemas.microsoft.com/office/2006/metadata/properties" xmlns:ns2="7703c50d-f851-412a-a9a7-d373c4b5fce4" xmlns:ns3="bcd09660-be93-4bd9-869c-f45048cb599a" targetNamespace="http://schemas.microsoft.com/office/2006/metadata/properties" ma:root="true" ma:fieldsID="6cc3c76069ead370e266ecfd9143c3f0" ns2:_="" ns3:_="">
    <xsd:import namespace="7703c50d-f851-412a-a9a7-d373c4b5fce4"/>
    <xsd:import namespace="bcd09660-be93-4bd9-869c-f45048cb5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c50d-f851-412a-a9a7-d373c4b5f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ae24f7-0383-4be0-b1b9-c152641787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09660-be93-4bd9-869c-f45048cb59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693e1a-a1d9-4602-97ea-88e565efeaa8}" ma:internalName="TaxCatchAll" ma:showField="CatchAllData" ma:web="bcd09660-be93-4bd9-869c-f45048cb5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8144-B020-4E8C-9522-7513254D6715}">
  <ds:schemaRefs>
    <ds:schemaRef ds:uri="http://schemas.microsoft.com/office/2006/metadata/properties"/>
    <ds:schemaRef ds:uri="http://schemas.microsoft.com/office/infopath/2007/PartnerControls"/>
    <ds:schemaRef ds:uri="7703c50d-f851-412a-a9a7-d373c4b5fce4"/>
    <ds:schemaRef ds:uri="bcd09660-be93-4bd9-869c-f45048cb599a"/>
  </ds:schemaRefs>
</ds:datastoreItem>
</file>

<file path=customXml/itemProps2.xml><?xml version="1.0" encoding="utf-8"?>
<ds:datastoreItem xmlns:ds="http://schemas.openxmlformats.org/officeDocument/2006/customXml" ds:itemID="{029B242B-0D57-4FCE-9CDF-1392E9569141}">
  <ds:schemaRefs>
    <ds:schemaRef ds:uri="http://schemas.microsoft.com/sharepoint/v3/contenttype/forms"/>
  </ds:schemaRefs>
</ds:datastoreItem>
</file>

<file path=customXml/itemProps3.xml><?xml version="1.0" encoding="utf-8"?>
<ds:datastoreItem xmlns:ds="http://schemas.openxmlformats.org/officeDocument/2006/customXml" ds:itemID="{722CBDA5-6F4C-4B3B-9EE3-BA4E5475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c50d-f851-412a-a9a7-d373c4b5fce4"/>
    <ds:schemaRef ds:uri="bcd09660-be93-4bd9-869c-f45048cb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98184-5ACD-49DF-A536-5B05654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19309</Words>
  <Characters>100024</Characters>
  <Application>Microsoft Office Word</Application>
  <DocSecurity>0</DocSecurity>
  <Lines>3031</Lines>
  <Paragraphs>1169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Loureiro</dc:creator>
  <cp:lastModifiedBy>Ann Haran</cp:lastModifiedBy>
  <cp:revision>2</cp:revision>
  <cp:lastPrinted>2021-09-24T11:02:00Z</cp:lastPrinted>
  <dcterms:created xsi:type="dcterms:W3CDTF">2022-08-10T23:02:00Z</dcterms:created>
  <dcterms:modified xsi:type="dcterms:W3CDTF">2022-08-10T23:02:00Z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id="42nyzRu5"/&gt;&lt;style id="http://www.zotero.org/styles/hepatology"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y fmtid="{D5CDD505-2E9C-101B-9397-08002B2CF9AE}" pid="4" name="ContentTypeId">
    <vt:lpwstr>0x010100A934EA4453D0CF4F8778EE4578C55941</vt:lpwstr>
  </property>
  <property fmtid="{D5CDD505-2E9C-101B-9397-08002B2CF9AE}" pid="5" name="Order">
    <vt:r8>88151800</vt:r8>
  </property>
</Properties>
</file>