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2B61" w14:textId="5D18BC89" w:rsidR="003F063E" w:rsidRDefault="003F063E" w:rsidP="003F063E">
      <w:pPr>
        <w:rPr>
          <w:rFonts w:ascii="Times New Roman" w:hAnsi="Times New Roman" w:cs="Times New Roman"/>
        </w:rPr>
      </w:pPr>
      <w:r w:rsidRPr="00B74F40">
        <w:rPr>
          <w:rFonts w:ascii="Times New Roman" w:hAnsi="Times New Roman" w:cs="Times New Roman"/>
          <w:b/>
          <w:bCs/>
          <w:lang w:val="en-US"/>
        </w:rPr>
        <w:t>Supplementary Table 1.</w:t>
      </w:r>
      <w:r w:rsidRPr="00B74F40">
        <w:rPr>
          <w:rFonts w:ascii="Times New Roman" w:hAnsi="Times New Roman" w:cs="Times New Roman"/>
          <w:b/>
          <w:bCs/>
        </w:rPr>
        <w:t xml:space="preserve"> </w:t>
      </w:r>
      <w:r w:rsidRPr="00B74F40">
        <w:rPr>
          <w:rFonts w:ascii="Times New Roman" w:hAnsi="Times New Roman" w:cs="Times New Roman"/>
        </w:rPr>
        <w:t xml:space="preserve">Eligibility criteria for The GALA Study.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18"/>
        <w:gridCol w:w="3118"/>
        <w:gridCol w:w="3118"/>
      </w:tblGrid>
      <w:tr w:rsidR="003F063E" w:rsidRPr="00B74F40" w14:paraId="57AA7510" w14:textId="77777777" w:rsidTr="00B504E9">
        <w:trPr>
          <w:trHeight w:val="459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E1C8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A2AE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Pathogenic Variant in </w:t>
            </w:r>
            <w:r w:rsidRPr="00B74F40">
              <w:rPr>
                <w:rFonts w:ascii="Times New Roman" w:hAnsi="Times New Roman" w:cs="Times New Roman"/>
                <w:b/>
                <w:bCs/>
                <w:i/>
                <w:iCs/>
              </w:rPr>
              <w:t>JAG1</w:t>
            </w:r>
            <w:r w:rsidRPr="00B74F40">
              <w:rPr>
                <w:rFonts w:ascii="Times New Roman" w:hAnsi="Times New Roman" w:cs="Times New Roman"/>
                <w:b/>
                <w:bCs/>
              </w:rPr>
              <w:t xml:space="preserve"> or </w:t>
            </w:r>
            <w:r w:rsidRPr="00B74F40">
              <w:rPr>
                <w:rFonts w:ascii="Times New Roman" w:hAnsi="Times New Roman" w:cs="Times New Roman"/>
                <w:b/>
                <w:bCs/>
                <w:i/>
                <w:iCs/>
              </w:rPr>
              <w:t>NOTCH2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ABB3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  <w:b/>
                <w:bCs/>
              </w:rPr>
              <w:t>Family History of ALGS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DE9A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  <w:b/>
                <w:bCs/>
              </w:rPr>
              <w:t xml:space="preserve">Number of Clinical Features </w:t>
            </w:r>
            <w:proofErr w:type="spellStart"/>
            <w:r w:rsidRPr="00B74F40">
              <w:rPr>
                <w:rFonts w:ascii="Times New Roman" w:hAnsi="Times New Roman" w:cs="Times New Roman"/>
                <w:b/>
                <w:bCs/>
              </w:rPr>
              <w:t>Required</w:t>
            </w:r>
            <w:r w:rsidRPr="004A08D9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3F063E" w:rsidRPr="00B74F40" w14:paraId="52A53A72" w14:textId="77777777" w:rsidTr="00B504E9">
        <w:trPr>
          <w:trHeight w:val="459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CCB7" w14:textId="77777777" w:rsidR="003F063E" w:rsidRPr="0041717D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4171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6385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Identified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B364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E781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Any or none</w:t>
            </w:r>
          </w:p>
        </w:tc>
      </w:tr>
      <w:tr w:rsidR="003F063E" w:rsidRPr="00B74F40" w14:paraId="61FD26C2" w14:textId="77777777" w:rsidTr="00B504E9">
        <w:trPr>
          <w:trHeight w:val="459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078D" w14:textId="77777777" w:rsidR="003F063E" w:rsidRPr="0041717D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41717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616D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Identified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44BA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None (proband)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55AE7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At least 1</w:t>
            </w:r>
          </w:p>
        </w:tc>
      </w:tr>
      <w:tr w:rsidR="003F063E" w:rsidRPr="00B74F40" w14:paraId="5347A159" w14:textId="77777777" w:rsidTr="00B504E9">
        <w:trPr>
          <w:trHeight w:val="459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CE52" w14:textId="77777777" w:rsidR="003F063E" w:rsidRPr="0041717D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41717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0491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 xml:space="preserve">Not </w:t>
            </w:r>
            <w:proofErr w:type="spellStart"/>
            <w:r w:rsidRPr="00B74F40">
              <w:rPr>
                <w:rFonts w:ascii="Times New Roman" w:hAnsi="Times New Roman" w:cs="Times New Roman"/>
              </w:rPr>
              <w:t>identified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74F4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74F40">
              <w:rPr>
                <w:rFonts w:ascii="Times New Roman" w:hAnsi="Times New Roman" w:cs="Times New Roman"/>
              </w:rPr>
              <w:t>or not screened for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1448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CD52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2 or more</w:t>
            </w:r>
          </w:p>
        </w:tc>
      </w:tr>
      <w:tr w:rsidR="003F063E" w:rsidRPr="00B74F40" w14:paraId="3546A92A" w14:textId="77777777" w:rsidTr="00B504E9">
        <w:trPr>
          <w:trHeight w:val="459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B602" w14:textId="77777777" w:rsidR="003F063E" w:rsidRPr="0041717D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41717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7365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 xml:space="preserve">Not </w:t>
            </w:r>
            <w:proofErr w:type="spellStart"/>
            <w:r w:rsidRPr="00B74F40">
              <w:rPr>
                <w:rFonts w:ascii="Times New Roman" w:hAnsi="Times New Roman" w:cs="Times New Roman"/>
              </w:rPr>
              <w:t>identified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74F40">
              <w:rPr>
                <w:rFonts w:ascii="Times New Roman" w:hAnsi="Times New Roman" w:cs="Times New Roman"/>
              </w:rPr>
              <w:t xml:space="preserve"> or not screened for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CF84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None (proband)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F564" w14:textId="77777777" w:rsidR="003F063E" w:rsidRPr="00B74F40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B74F40">
              <w:rPr>
                <w:rFonts w:ascii="Times New Roman" w:hAnsi="Times New Roman" w:cs="Times New Roman"/>
              </w:rPr>
              <w:t>3 or more</w:t>
            </w:r>
          </w:p>
        </w:tc>
      </w:tr>
    </w:tbl>
    <w:p w14:paraId="5A8143C4" w14:textId="06E35C5F" w:rsidR="003F063E" w:rsidRDefault="003F063E" w:rsidP="003F06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r w:rsidRPr="00B74F40">
        <w:rPr>
          <w:rFonts w:ascii="Times New Roman" w:hAnsi="Times New Roman" w:cs="Times New Roman"/>
        </w:rPr>
        <w:t>Clinical</w:t>
      </w:r>
      <w:proofErr w:type="spellEnd"/>
      <w:r w:rsidRPr="00B74F40">
        <w:rPr>
          <w:rFonts w:ascii="Times New Roman" w:hAnsi="Times New Roman" w:cs="Times New Roman"/>
        </w:rPr>
        <w:t xml:space="preserve"> features of ALGS </w:t>
      </w:r>
      <w:r w:rsidR="007928DE" w:rsidRPr="00B74F40">
        <w:rPr>
          <w:rFonts w:ascii="Times New Roman" w:hAnsi="Times New Roman" w:cs="Times New Roman"/>
        </w:rPr>
        <w:t>include</w:t>
      </w:r>
      <w:r w:rsidRPr="00B74F40">
        <w:rPr>
          <w:rFonts w:ascii="Times New Roman" w:hAnsi="Times New Roman" w:cs="Times New Roman"/>
        </w:rPr>
        <w:t xml:space="preserve"> bile duct paucity and/or cholestasis, cardiac, renal, ocular or skeletal manifestations, structural vascular anomalies or events, and/or characteristic ALGS facies.</w:t>
      </w:r>
    </w:p>
    <w:p w14:paraId="5B5B5817" w14:textId="77777777" w:rsidR="002134F6" w:rsidRPr="00B74F40" w:rsidRDefault="002134F6" w:rsidP="003F063E">
      <w:pPr>
        <w:rPr>
          <w:rFonts w:ascii="Times New Roman" w:hAnsi="Times New Roman" w:cs="Times New Roman"/>
        </w:rPr>
      </w:pPr>
    </w:p>
    <w:p w14:paraId="2C11AB05" w14:textId="77777777" w:rsidR="003F063E" w:rsidRPr="00B74F40" w:rsidRDefault="003F063E" w:rsidP="003F06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b</w:t>
      </w:r>
      <w:r w:rsidRPr="00B74F40">
        <w:rPr>
          <w:rFonts w:ascii="Times New Roman" w:hAnsi="Times New Roman" w:cs="Times New Roman"/>
        </w:rPr>
        <w:t>Known</w:t>
      </w:r>
      <w:proofErr w:type="spellEnd"/>
      <w:r w:rsidRPr="00B74F40">
        <w:rPr>
          <w:rFonts w:ascii="Times New Roman" w:hAnsi="Times New Roman" w:cs="Times New Roman"/>
        </w:rPr>
        <w:t xml:space="preserve"> disease-causing mutations were not identified during genetic screening or were not screened for. </w:t>
      </w:r>
    </w:p>
    <w:p w14:paraId="3CDA991C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2930AD27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4B6F6CCF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0CAE3185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11AE7983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6D7840EC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395F8FA0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2215CA90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3908BD32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1F4EFA90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33EF2029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77B1810F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6FB1172E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77D32DED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39675E7D" w14:textId="2691C754" w:rsidR="003F063E" w:rsidRDefault="003F063E" w:rsidP="003F063E">
      <w:pPr>
        <w:rPr>
          <w:rFonts w:ascii="Times New Roman" w:hAnsi="Times New Roman" w:cs="Times New Roman"/>
        </w:rPr>
      </w:pPr>
    </w:p>
    <w:p w14:paraId="4198A8EC" w14:textId="4CB052E8" w:rsidR="00B837A6" w:rsidRDefault="00B837A6" w:rsidP="003F063E">
      <w:pPr>
        <w:rPr>
          <w:rFonts w:ascii="Times New Roman" w:hAnsi="Times New Roman" w:cs="Times New Roman"/>
        </w:rPr>
      </w:pPr>
    </w:p>
    <w:p w14:paraId="23695BDF" w14:textId="1BF6440B" w:rsidR="00B504E9" w:rsidRDefault="00B504E9" w:rsidP="003F063E">
      <w:pPr>
        <w:rPr>
          <w:rFonts w:ascii="Times New Roman" w:hAnsi="Times New Roman" w:cs="Times New Roman"/>
        </w:rPr>
      </w:pPr>
    </w:p>
    <w:p w14:paraId="519D1F27" w14:textId="13C10E1C" w:rsidR="00B504E9" w:rsidRDefault="00B504E9" w:rsidP="003F063E">
      <w:pPr>
        <w:rPr>
          <w:rFonts w:ascii="Times New Roman" w:hAnsi="Times New Roman" w:cs="Times New Roman"/>
        </w:rPr>
      </w:pPr>
    </w:p>
    <w:p w14:paraId="70471412" w14:textId="71D9F6D0" w:rsidR="00B504E9" w:rsidRDefault="00B504E9" w:rsidP="003F063E">
      <w:pPr>
        <w:rPr>
          <w:rFonts w:ascii="Times New Roman" w:hAnsi="Times New Roman" w:cs="Times New Roman"/>
        </w:rPr>
      </w:pPr>
    </w:p>
    <w:p w14:paraId="51DE8891" w14:textId="6129F804" w:rsidR="00B504E9" w:rsidRPr="00F323CF" w:rsidRDefault="00B504E9" w:rsidP="003F063E">
      <w:pPr>
        <w:rPr>
          <w:rFonts w:ascii="Times New Roman" w:hAnsi="Times New Roman" w:cs="Times New Roman"/>
        </w:rPr>
      </w:pPr>
    </w:p>
    <w:p w14:paraId="221CAD63" w14:textId="77777777" w:rsidR="00B504E9" w:rsidRPr="00F323CF" w:rsidRDefault="00B504E9" w:rsidP="003F063E">
      <w:pPr>
        <w:rPr>
          <w:rFonts w:ascii="Times New Roman" w:hAnsi="Times New Roman" w:cs="Times New Roman"/>
        </w:rPr>
      </w:pPr>
    </w:p>
    <w:p w14:paraId="4DA0A718" w14:textId="44B6FA4C" w:rsidR="003F063E" w:rsidRPr="00F323CF" w:rsidRDefault="003F063E" w:rsidP="003F063E">
      <w:pPr>
        <w:rPr>
          <w:rFonts w:ascii="Times New Roman" w:hAnsi="Times New Roman" w:cs="Times New Roman"/>
        </w:rPr>
      </w:pPr>
    </w:p>
    <w:p w14:paraId="3AAD05B5" w14:textId="07C59F9B" w:rsidR="00894EC1" w:rsidRDefault="00894EC1" w:rsidP="003F063E">
      <w:pPr>
        <w:rPr>
          <w:rFonts w:ascii="Times New Roman" w:hAnsi="Times New Roman" w:cs="Times New Roman"/>
        </w:rPr>
      </w:pPr>
    </w:p>
    <w:p w14:paraId="4388A8B1" w14:textId="7594485B" w:rsidR="008A6E74" w:rsidRDefault="008A6E74" w:rsidP="003F063E">
      <w:pPr>
        <w:rPr>
          <w:rFonts w:ascii="Times New Roman" w:hAnsi="Times New Roman" w:cs="Times New Roman"/>
        </w:rPr>
      </w:pPr>
    </w:p>
    <w:p w14:paraId="54A8AEDD" w14:textId="66492C06" w:rsidR="00F41C50" w:rsidRDefault="00F41C50" w:rsidP="003F063E">
      <w:pPr>
        <w:rPr>
          <w:rFonts w:ascii="Times New Roman" w:hAnsi="Times New Roman" w:cs="Times New Roman"/>
        </w:rPr>
      </w:pPr>
    </w:p>
    <w:p w14:paraId="202AD6EC" w14:textId="2683CF10" w:rsidR="00F41C50" w:rsidRDefault="00F41C50" w:rsidP="003F063E">
      <w:pPr>
        <w:rPr>
          <w:rFonts w:ascii="Times New Roman" w:hAnsi="Times New Roman" w:cs="Times New Roman"/>
        </w:rPr>
      </w:pPr>
    </w:p>
    <w:p w14:paraId="29AB5C8D" w14:textId="2E0A487E" w:rsidR="00F41C50" w:rsidRDefault="00F41C50" w:rsidP="003F063E">
      <w:pPr>
        <w:rPr>
          <w:rFonts w:ascii="Times New Roman" w:hAnsi="Times New Roman" w:cs="Times New Roman"/>
        </w:rPr>
      </w:pPr>
    </w:p>
    <w:p w14:paraId="5B8BD73F" w14:textId="1ECD850C" w:rsidR="00F41C50" w:rsidRDefault="00F41C50" w:rsidP="003F063E">
      <w:pPr>
        <w:rPr>
          <w:rFonts w:ascii="Times New Roman" w:hAnsi="Times New Roman" w:cs="Times New Roman"/>
        </w:rPr>
      </w:pPr>
    </w:p>
    <w:p w14:paraId="4D75EC2F" w14:textId="3FF2A436" w:rsidR="00F41C50" w:rsidRDefault="00F41C50" w:rsidP="003F063E">
      <w:pPr>
        <w:rPr>
          <w:rFonts w:ascii="Times New Roman" w:hAnsi="Times New Roman" w:cs="Times New Roman"/>
        </w:rPr>
      </w:pPr>
    </w:p>
    <w:p w14:paraId="5A927CFD" w14:textId="40D1D9CA" w:rsidR="00F41C50" w:rsidRDefault="00F41C50" w:rsidP="003F063E">
      <w:pPr>
        <w:rPr>
          <w:rFonts w:ascii="Times New Roman" w:hAnsi="Times New Roman" w:cs="Times New Roman"/>
        </w:rPr>
      </w:pPr>
    </w:p>
    <w:p w14:paraId="4D9CF917" w14:textId="1A0CD7FA" w:rsidR="00F41C50" w:rsidRDefault="00F41C50" w:rsidP="003F063E">
      <w:pPr>
        <w:rPr>
          <w:rFonts w:ascii="Times New Roman" w:hAnsi="Times New Roman" w:cs="Times New Roman"/>
        </w:rPr>
      </w:pPr>
    </w:p>
    <w:p w14:paraId="79C64585" w14:textId="4665E5E5" w:rsidR="00F41C50" w:rsidRDefault="00F41C50" w:rsidP="003F063E">
      <w:pPr>
        <w:rPr>
          <w:rFonts w:ascii="Times New Roman" w:hAnsi="Times New Roman" w:cs="Times New Roman"/>
        </w:rPr>
      </w:pPr>
    </w:p>
    <w:p w14:paraId="4E314F4B" w14:textId="54BBC690" w:rsidR="00F41C50" w:rsidRDefault="00F41C50" w:rsidP="003F063E">
      <w:pPr>
        <w:rPr>
          <w:rFonts w:ascii="Times New Roman" w:hAnsi="Times New Roman" w:cs="Times New Roman"/>
        </w:rPr>
      </w:pPr>
    </w:p>
    <w:p w14:paraId="42BD65BE" w14:textId="76F50548" w:rsidR="00F41C50" w:rsidRDefault="00F41C50" w:rsidP="003F063E">
      <w:pPr>
        <w:rPr>
          <w:rFonts w:ascii="Times New Roman" w:hAnsi="Times New Roman" w:cs="Times New Roman"/>
        </w:rPr>
      </w:pPr>
    </w:p>
    <w:p w14:paraId="30D8A480" w14:textId="022B9A65" w:rsidR="00F41C50" w:rsidRDefault="00F41C50" w:rsidP="003F063E">
      <w:pPr>
        <w:rPr>
          <w:rFonts w:ascii="Times New Roman" w:hAnsi="Times New Roman" w:cs="Times New Roman"/>
        </w:rPr>
      </w:pPr>
    </w:p>
    <w:p w14:paraId="5DCECAA3" w14:textId="77777777" w:rsidR="00F41C50" w:rsidRDefault="00F41C50" w:rsidP="003F063E">
      <w:pPr>
        <w:rPr>
          <w:rFonts w:ascii="Times New Roman" w:hAnsi="Times New Roman" w:cs="Times New Roman"/>
        </w:rPr>
      </w:pPr>
    </w:p>
    <w:p w14:paraId="13EE1380" w14:textId="2F6EE1B4" w:rsidR="008A6E74" w:rsidRDefault="008A6E74" w:rsidP="003F063E">
      <w:pPr>
        <w:rPr>
          <w:rFonts w:ascii="Times New Roman" w:hAnsi="Times New Roman" w:cs="Times New Roman"/>
        </w:rPr>
      </w:pPr>
    </w:p>
    <w:p w14:paraId="6A5669F6" w14:textId="68120E30" w:rsidR="009520A4" w:rsidRPr="009520A4" w:rsidRDefault="009520A4" w:rsidP="009520A4">
      <w:pPr>
        <w:rPr>
          <w:rFonts w:ascii="Times New Roman" w:hAnsi="Times New Roman" w:cs="Times New Roman"/>
          <w:color w:val="000000" w:themeColor="text1"/>
        </w:rPr>
      </w:pPr>
      <w:r w:rsidRPr="009520A4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2</w:t>
      </w:r>
      <w:r w:rsidRPr="009520A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H</w:t>
      </w:r>
      <w:r w:rsidRPr="009520A4">
        <w:rPr>
          <w:rFonts w:ascii="Times New Roman" w:hAnsi="Times New Roman" w:cs="Times New Roman"/>
          <w:color w:val="000000" w:themeColor="text1"/>
        </w:rPr>
        <w:t>igh-level summary of</w:t>
      </w:r>
      <w:r w:rsidRPr="009520A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520A4">
        <w:rPr>
          <w:rFonts w:ascii="Times New Roman" w:hAnsi="Times New Roman" w:cs="Times New Roman"/>
          <w:color w:val="000000" w:themeColor="text1"/>
        </w:rPr>
        <w:t>data elements collected in The GALA Study.</w:t>
      </w:r>
    </w:p>
    <w:tbl>
      <w:tblPr>
        <w:tblStyle w:val="TableGrid"/>
        <w:tblW w:w="10805" w:type="dxa"/>
        <w:jc w:val="center"/>
        <w:tblLook w:val="04A0" w:firstRow="1" w:lastRow="0" w:firstColumn="1" w:lastColumn="0" w:noHBand="0" w:noVBand="1"/>
      </w:tblPr>
      <w:tblGrid>
        <w:gridCol w:w="2737"/>
        <w:gridCol w:w="2789"/>
        <w:gridCol w:w="2676"/>
        <w:gridCol w:w="2603"/>
      </w:tblGrid>
      <w:tr w:rsidR="009520A4" w:rsidRPr="009520A4" w14:paraId="24811F39" w14:textId="77777777" w:rsidTr="00B53AD6">
        <w:trPr>
          <w:jc w:val="center"/>
        </w:trPr>
        <w:tc>
          <w:tcPr>
            <w:tcW w:w="2737" w:type="dxa"/>
            <w:vAlign w:val="center"/>
          </w:tcPr>
          <w:p w14:paraId="102BFFCD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Baseline</w:t>
            </w:r>
          </w:p>
        </w:tc>
        <w:tc>
          <w:tcPr>
            <w:tcW w:w="2789" w:type="dxa"/>
            <w:vAlign w:val="center"/>
          </w:tcPr>
          <w:p w14:paraId="03011180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ALGS </w:t>
            </w:r>
          </w:p>
          <w:p w14:paraId="5B090D8D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2676" w:type="dxa"/>
            <w:vAlign w:val="center"/>
          </w:tcPr>
          <w:p w14:paraId="0559C0F5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Follow-up clinical and laboratory data</w:t>
            </w:r>
          </w:p>
        </w:tc>
        <w:tc>
          <w:tcPr>
            <w:tcW w:w="2603" w:type="dxa"/>
            <w:vAlign w:val="center"/>
          </w:tcPr>
          <w:p w14:paraId="5F4C1C3E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Events during </w:t>
            </w:r>
          </w:p>
          <w:p w14:paraId="05E45AEE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long-term follow-up</w:t>
            </w:r>
          </w:p>
        </w:tc>
      </w:tr>
      <w:tr w:rsidR="009520A4" w:rsidRPr="009520A4" w14:paraId="6729471B" w14:textId="77777777" w:rsidTr="00B53AD6">
        <w:trPr>
          <w:trHeight w:val="828"/>
          <w:jc w:val="center"/>
        </w:trPr>
        <w:tc>
          <w:tcPr>
            <w:tcW w:w="2737" w:type="dxa"/>
            <w:vAlign w:val="center"/>
          </w:tcPr>
          <w:p w14:paraId="0897A17B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Biological sex</w:t>
            </w:r>
          </w:p>
        </w:tc>
        <w:tc>
          <w:tcPr>
            <w:tcW w:w="2789" w:type="dxa"/>
            <w:vAlign w:val="center"/>
          </w:tcPr>
          <w:p w14:paraId="3C1AA202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  <w:lang w:val="en-US"/>
              </w:rPr>
              <w:t>Native liver biopsy reports</w:t>
            </w:r>
          </w:p>
        </w:tc>
        <w:tc>
          <w:tcPr>
            <w:tcW w:w="2676" w:type="dxa"/>
            <w:vAlign w:val="center"/>
          </w:tcPr>
          <w:p w14:paraId="64C5F4A6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Growth parameters</w:t>
            </w:r>
          </w:p>
        </w:tc>
        <w:tc>
          <w:tcPr>
            <w:tcW w:w="2603" w:type="dxa"/>
            <w:vAlign w:val="center"/>
          </w:tcPr>
          <w:p w14:paraId="194780EA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20A4">
              <w:rPr>
                <w:rFonts w:ascii="Times New Roman" w:hAnsi="Times New Roman" w:cs="Times New Roman"/>
                <w:color w:val="000000" w:themeColor="text1"/>
              </w:rPr>
              <w:t>Hepatoportoenterostomy</w:t>
            </w:r>
            <w:proofErr w:type="spellEnd"/>
          </w:p>
        </w:tc>
      </w:tr>
      <w:tr w:rsidR="009520A4" w:rsidRPr="009520A4" w14:paraId="7EC1BDC2" w14:textId="77777777" w:rsidTr="00B53AD6">
        <w:trPr>
          <w:trHeight w:val="828"/>
          <w:jc w:val="center"/>
        </w:trPr>
        <w:tc>
          <w:tcPr>
            <w:tcW w:w="2737" w:type="dxa"/>
            <w:vAlign w:val="center"/>
          </w:tcPr>
          <w:p w14:paraId="3599B631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2789" w:type="dxa"/>
            <w:vAlign w:val="center"/>
          </w:tcPr>
          <w:p w14:paraId="64EF5868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  <w:lang w:val="en-US"/>
              </w:rPr>
              <w:t>Echocardiogram reports</w:t>
            </w:r>
          </w:p>
        </w:tc>
        <w:tc>
          <w:tcPr>
            <w:tcW w:w="2676" w:type="dxa"/>
            <w:vAlign w:val="center"/>
          </w:tcPr>
          <w:p w14:paraId="4D1F691E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Liver function tests</w:t>
            </w:r>
          </w:p>
        </w:tc>
        <w:tc>
          <w:tcPr>
            <w:tcW w:w="2603" w:type="dxa"/>
            <w:vAlign w:val="center"/>
          </w:tcPr>
          <w:p w14:paraId="49108DD9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 xml:space="preserve">Surgical </w:t>
            </w:r>
          </w:p>
          <w:p w14:paraId="1B1E9188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biliary diversion</w:t>
            </w:r>
          </w:p>
        </w:tc>
      </w:tr>
      <w:tr w:rsidR="009520A4" w:rsidRPr="009520A4" w14:paraId="61DC2630" w14:textId="77777777" w:rsidTr="00B53AD6">
        <w:trPr>
          <w:trHeight w:val="828"/>
          <w:jc w:val="center"/>
        </w:trPr>
        <w:tc>
          <w:tcPr>
            <w:tcW w:w="2737" w:type="dxa"/>
            <w:vAlign w:val="center"/>
          </w:tcPr>
          <w:p w14:paraId="6999B3E2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Birth history</w:t>
            </w:r>
          </w:p>
        </w:tc>
        <w:tc>
          <w:tcPr>
            <w:tcW w:w="2789" w:type="dxa"/>
            <w:vAlign w:val="center"/>
          </w:tcPr>
          <w:p w14:paraId="4896E168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Ophthalmology examinations</w:t>
            </w:r>
          </w:p>
        </w:tc>
        <w:tc>
          <w:tcPr>
            <w:tcW w:w="2676" w:type="dxa"/>
            <w:vAlign w:val="center"/>
          </w:tcPr>
          <w:p w14:paraId="5F5239BB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Pruritus</w:t>
            </w:r>
          </w:p>
        </w:tc>
        <w:tc>
          <w:tcPr>
            <w:tcW w:w="2603" w:type="dxa"/>
            <w:vAlign w:val="center"/>
          </w:tcPr>
          <w:p w14:paraId="707DAACD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 xml:space="preserve">Solid </w:t>
            </w:r>
          </w:p>
          <w:p w14:paraId="200E5B95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organ transplantation</w:t>
            </w:r>
          </w:p>
        </w:tc>
      </w:tr>
      <w:tr w:rsidR="009520A4" w:rsidRPr="009520A4" w14:paraId="2227130B" w14:textId="77777777" w:rsidTr="00B53AD6">
        <w:trPr>
          <w:trHeight w:val="828"/>
          <w:jc w:val="center"/>
        </w:trPr>
        <w:tc>
          <w:tcPr>
            <w:tcW w:w="2737" w:type="dxa"/>
            <w:vAlign w:val="center"/>
          </w:tcPr>
          <w:p w14:paraId="55B1EF14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Variant details</w:t>
            </w:r>
          </w:p>
        </w:tc>
        <w:tc>
          <w:tcPr>
            <w:tcW w:w="2789" w:type="dxa"/>
            <w:vAlign w:val="center"/>
          </w:tcPr>
          <w:p w14:paraId="262DC4D5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Skeletal involvement</w:t>
            </w:r>
          </w:p>
        </w:tc>
        <w:tc>
          <w:tcPr>
            <w:tcW w:w="2676" w:type="dxa"/>
            <w:vAlign w:val="center"/>
          </w:tcPr>
          <w:p w14:paraId="44E4EECE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Xanthomas</w:t>
            </w:r>
          </w:p>
        </w:tc>
        <w:tc>
          <w:tcPr>
            <w:tcW w:w="2603" w:type="dxa"/>
            <w:vAlign w:val="center"/>
          </w:tcPr>
          <w:p w14:paraId="1DAA1CFF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Pregnancy</w:t>
            </w:r>
          </w:p>
        </w:tc>
      </w:tr>
      <w:tr w:rsidR="009520A4" w:rsidRPr="009520A4" w14:paraId="2659FABF" w14:textId="77777777" w:rsidTr="00B53AD6">
        <w:trPr>
          <w:trHeight w:val="828"/>
          <w:jc w:val="center"/>
        </w:trPr>
        <w:tc>
          <w:tcPr>
            <w:tcW w:w="2737" w:type="dxa"/>
            <w:vAlign w:val="center"/>
          </w:tcPr>
          <w:p w14:paraId="50124D82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Family history</w:t>
            </w:r>
          </w:p>
        </w:tc>
        <w:tc>
          <w:tcPr>
            <w:tcW w:w="2789" w:type="dxa"/>
            <w:vAlign w:val="center"/>
          </w:tcPr>
          <w:p w14:paraId="69345D20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Renal involvement</w:t>
            </w:r>
          </w:p>
        </w:tc>
        <w:tc>
          <w:tcPr>
            <w:tcW w:w="2676" w:type="dxa"/>
            <w:vAlign w:val="center"/>
          </w:tcPr>
          <w:p w14:paraId="18E579DB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 xml:space="preserve">Medications for </w:t>
            </w:r>
          </w:p>
          <w:p w14:paraId="3680893F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cholestasis-associated pruritus</w:t>
            </w:r>
          </w:p>
        </w:tc>
        <w:tc>
          <w:tcPr>
            <w:tcW w:w="2603" w:type="dxa"/>
            <w:vAlign w:val="center"/>
          </w:tcPr>
          <w:p w14:paraId="7C1E02AF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Mortality</w:t>
            </w:r>
          </w:p>
        </w:tc>
      </w:tr>
      <w:tr w:rsidR="009520A4" w:rsidRPr="009520A4" w14:paraId="719A550A" w14:textId="77777777" w:rsidTr="00B53AD6">
        <w:trPr>
          <w:trHeight w:val="828"/>
          <w:jc w:val="center"/>
        </w:trPr>
        <w:tc>
          <w:tcPr>
            <w:tcW w:w="2737" w:type="dxa"/>
            <w:vAlign w:val="center"/>
          </w:tcPr>
          <w:p w14:paraId="64F53EF0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89" w:type="dxa"/>
            <w:vAlign w:val="center"/>
          </w:tcPr>
          <w:p w14:paraId="2F7C56F4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  <w:lang w:val="en-US"/>
              </w:rPr>
              <w:t>MRI and CT scan reports</w:t>
            </w:r>
          </w:p>
        </w:tc>
        <w:tc>
          <w:tcPr>
            <w:tcW w:w="2676" w:type="dxa"/>
            <w:vAlign w:val="center"/>
          </w:tcPr>
          <w:p w14:paraId="50209958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 xml:space="preserve">Manifestations </w:t>
            </w:r>
          </w:p>
          <w:p w14:paraId="0DA7A27C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of portal hypertension</w:t>
            </w:r>
          </w:p>
        </w:tc>
        <w:tc>
          <w:tcPr>
            <w:tcW w:w="2603" w:type="dxa"/>
            <w:vAlign w:val="center"/>
          </w:tcPr>
          <w:p w14:paraId="73111688" w14:textId="77777777" w:rsidR="009520A4" w:rsidRPr="009520A4" w:rsidRDefault="009520A4" w:rsidP="00B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20A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48BD67BA" w14:textId="77777777" w:rsidR="009520A4" w:rsidRPr="009520A4" w:rsidRDefault="009520A4" w:rsidP="00952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  <w:r w:rsidRPr="009520A4">
        <w:rPr>
          <w:rFonts w:ascii="Times New Roman" w:hAnsi="Times New Roman" w:cs="Times New Roman"/>
          <w:color w:val="000000" w:themeColor="text1"/>
        </w:rPr>
        <w:t xml:space="preserve"> Abbreviations: </w:t>
      </w:r>
      <w:r w:rsidRPr="009520A4">
        <w:rPr>
          <w:rFonts w:ascii="Times New Roman" w:hAnsi="Times New Roman" w:cs="Times New Roman"/>
          <w:color w:val="000000" w:themeColor="text1"/>
          <w:lang w:val="en-US"/>
        </w:rPr>
        <w:t xml:space="preserve">MRI, magnetic resonance imaging; CT, computerized tomography. </w:t>
      </w:r>
    </w:p>
    <w:p w14:paraId="4BD585D0" w14:textId="597B6B15" w:rsidR="008A6E74" w:rsidRDefault="008A6E74" w:rsidP="003F063E">
      <w:pPr>
        <w:rPr>
          <w:rFonts w:ascii="Times New Roman" w:hAnsi="Times New Roman" w:cs="Times New Roman"/>
        </w:rPr>
      </w:pPr>
    </w:p>
    <w:p w14:paraId="6EC7DB65" w14:textId="04389892" w:rsidR="008A6E74" w:rsidRDefault="008A6E74" w:rsidP="003F063E">
      <w:pPr>
        <w:rPr>
          <w:rFonts w:ascii="Times New Roman" w:hAnsi="Times New Roman" w:cs="Times New Roman"/>
        </w:rPr>
      </w:pPr>
    </w:p>
    <w:p w14:paraId="0A41DBA7" w14:textId="1B945B81" w:rsidR="008A6E74" w:rsidRDefault="008A6E74" w:rsidP="003F063E">
      <w:pPr>
        <w:rPr>
          <w:rFonts w:ascii="Times New Roman" w:hAnsi="Times New Roman" w:cs="Times New Roman"/>
        </w:rPr>
      </w:pPr>
    </w:p>
    <w:p w14:paraId="2587226E" w14:textId="4C40A323" w:rsidR="008A6E74" w:rsidRDefault="008A6E74" w:rsidP="003F063E">
      <w:pPr>
        <w:rPr>
          <w:rFonts w:ascii="Times New Roman" w:hAnsi="Times New Roman" w:cs="Times New Roman"/>
        </w:rPr>
      </w:pPr>
    </w:p>
    <w:p w14:paraId="66BF5300" w14:textId="54E0064F" w:rsidR="008A6E74" w:rsidRDefault="008A6E74" w:rsidP="003F063E">
      <w:pPr>
        <w:rPr>
          <w:rFonts w:ascii="Times New Roman" w:hAnsi="Times New Roman" w:cs="Times New Roman"/>
        </w:rPr>
      </w:pPr>
    </w:p>
    <w:p w14:paraId="315EE056" w14:textId="1FD122B4" w:rsidR="008A6E74" w:rsidRDefault="008A6E74" w:rsidP="003F063E">
      <w:pPr>
        <w:rPr>
          <w:rFonts w:ascii="Times New Roman" w:hAnsi="Times New Roman" w:cs="Times New Roman"/>
        </w:rPr>
      </w:pPr>
    </w:p>
    <w:p w14:paraId="352D169A" w14:textId="1DC8E92A" w:rsidR="008A6E74" w:rsidRDefault="008A6E74" w:rsidP="003F063E">
      <w:pPr>
        <w:rPr>
          <w:rFonts w:ascii="Times New Roman" w:hAnsi="Times New Roman" w:cs="Times New Roman"/>
        </w:rPr>
      </w:pPr>
    </w:p>
    <w:p w14:paraId="3FA5B438" w14:textId="52FF9884" w:rsidR="008A6E74" w:rsidRDefault="008A6E74" w:rsidP="003F063E">
      <w:pPr>
        <w:rPr>
          <w:rFonts w:ascii="Times New Roman" w:hAnsi="Times New Roman" w:cs="Times New Roman"/>
        </w:rPr>
      </w:pPr>
    </w:p>
    <w:p w14:paraId="328AE76E" w14:textId="15DD3AE2" w:rsidR="008A6E74" w:rsidRDefault="008A6E74" w:rsidP="003F063E">
      <w:pPr>
        <w:rPr>
          <w:rFonts w:ascii="Times New Roman" w:hAnsi="Times New Roman" w:cs="Times New Roman"/>
        </w:rPr>
      </w:pPr>
    </w:p>
    <w:p w14:paraId="6328B45C" w14:textId="6140C707" w:rsidR="008A6E74" w:rsidRDefault="008A6E74" w:rsidP="003F063E">
      <w:pPr>
        <w:rPr>
          <w:rFonts w:ascii="Times New Roman" w:hAnsi="Times New Roman" w:cs="Times New Roman"/>
        </w:rPr>
      </w:pPr>
    </w:p>
    <w:p w14:paraId="0D203309" w14:textId="27528B6E" w:rsidR="00F41C50" w:rsidRDefault="00F41C50" w:rsidP="003F063E">
      <w:pPr>
        <w:rPr>
          <w:rFonts w:ascii="Times New Roman" w:hAnsi="Times New Roman" w:cs="Times New Roman"/>
        </w:rPr>
      </w:pPr>
    </w:p>
    <w:p w14:paraId="24BBC66A" w14:textId="52B7A6F9" w:rsidR="00F41C50" w:rsidRDefault="00F41C50" w:rsidP="003F063E">
      <w:pPr>
        <w:rPr>
          <w:rFonts w:ascii="Times New Roman" w:hAnsi="Times New Roman" w:cs="Times New Roman"/>
        </w:rPr>
      </w:pPr>
    </w:p>
    <w:p w14:paraId="6A8D8FD2" w14:textId="53D364AC" w:rsidR="00F41C50" w:rsidRDefault="00F41C50" w:rsidP="003F063E">
      <w:pPr>
        <w:rPr>
          <w:rFonts w:ascii="Times New Roman" w:hAnsi="Times New Roman" w:cs="Times New Roman"/>
        </w:rPr>
      </w:pPr>
    </w:p>
    <w:p w14:paraId="6FC9FE36" w14:textId="332A54C1" w:rsidR="00F41C50" w:rsidRDefault="00F41C50" w:rsidP="003F063E">
      <w:pPr>
        <w:rPr>
          <w:rFonts w:ascii="Times New Roman" w:hAnsi="Times New Roman" w:cs="Times New Roman"/>
        </w:rPr>
      </w:pPr>
    </w:p>
    <w:p w14:paraId="7A0242C2" w14:textId="43C7F3BA" w:rsidR="00F41C50" w:rsidRDefault="00F41C50" w:rsidP="003F063E">
      <w:pPr>
        <w:rPr>
          <w:rFonts w:ascii="Times New Roman" w:hAnsi="Times New Roman" w:cs="Times New Roman"/>
        </w:rPr>
      </w:pPr>
    </w:p>
    <w:p w14:paraId="68DE0C19" w14:textId="2982F9A5" w:rsidR="00F41C50" w:rsidRDefault="00F41C50" w:rsidP="003F063E">
      <w:pPr>
        <w:rPr>
          <w:rFonts w:ascii="Times New Roman" w:hAnsi="Times New Roman" w:cs="Times New Roman"/>
        </w:rPr>
      </w:pPr>
    </w:p>
    <w:p w14:paraId="20AFEB43" w14:textId="17E12549" w:rsidR="00F41C50" w:rsidRDefault="00F41C50" w:rsidP="003F063E">
      <w:pPr>
        <w:rPr>
          <w:rFonts w:ascii="Times New Roman" w:hAnsi="Times New Roman" w:cs="Times New Roman"/>
        </w:rPr>
      </w:pPr>
    </w:p>
    <w:p w14:paraId="336020FC" w14:textId="09DE379F" w:rsidR="00F41C50" w:rsidRDefault="00F41C50" w:rsidP="003F063E">
      <w:pPr>
        <w:rPr>
          <w:rFonts w:ascii="Times New Roman" w:hAnsi="Times New Roman" w:cs="Times New Roman"/>
        </w:rPr>
      </w:pPr>
    </w:p>
    <w:p w14:paraId="2D087A99" w14:textId="3953FD06" w:rsidR="00F41C50" w:rsidRDefault="00F41C50" w:rsidP="003F063E">
      <w:pPr>
        <w:rPr>
          <w:rFonts w:ascii="Times New Roman" w:hAnsi="Times New Roman" w:cs="Times New Roman"/>
        </w:rPr>
      </w:pPr>
    </w:p>
    <w:p w14:paraId="661EA6EB" w14:textId="40F67A1C" w:rsidR="00F41C50" w:rsidRDefault="00F41C50" w:rsidP="003F063E">
      <w:pPr>
        <w:rPr>
          <w:rFonts w:ascii="Times New Roman" w:hAnsi="Times New Roman" w:cs="Times New Roman"/>
        </w:rPr>
      </w:pPr>
    </w:p>
    <w:p w14:paraId="4AB75DDC" w14:textId="7798AB04" w:rsidR="00F41C50" w:rsidRDefault="00F41C50" w:rsidP="003F063E">
      <w:pPr>
        <w:rPr>
          <w:rFonts w:ascii="Times New Roman" w:hAnsi="Times New Roman" w:cs="Times New Roman"/>
        </w:rPr>
      </w:pPr>
    </w:p>
    <w:p w14:paraId="36E5C073" w14:textId="2714C954" w:rsidR="00F41C50" w:rsidRDefault="00F41C50" w:rsidP="003F063E">
      <w:pPr>
        <w:rPr>
          <w:rFonts w:ascii="Times New Roman" w:hAnsi="Times New Roman" w:cs="Times New Roman"/>
        </w:rPr>
      </w:pPr>
    </w:p>
    <w:p w14:paraId="637C7547" w14:textId="38AC15DC" w:rsidR="00F41C50" w:rsidRDefault="00F41C50" w:rsidP="003F063E">
      <w:pPr>
        <w:rPr>
          <w:rFonts w:ascii="Times New Roman" w:hAnsi="Times New Roman" w:cs="Times New Roman"/>
        </w:rPr>
      </w:pPr>
    </w:p>
    <w:p w14:paraId="3CCF766F" w14:textId="7DFF4E2C" w:rsidR="00F41C50" w:rsidRDefault="00F41C50" w:rsidP="003F063E">
      <w:pPr>
        <w:rPr>
          <w:rFonts w:ascii="Times New Roman" w:hAnsi="Times New Roman" w:cs="Times New Roman"/>
        </w:rPr>
      </w:pPr>
    </w:p>
    <w:p w14:paraId="4666E39F" w14:textId="74372B7E" w:rsidR="00F41C50" w:rsidRDefault="00F41C50" w:rsidP="003F063E">
      <w:pPr>
        <w:rPr>
          <w:rFonts w:ascii="Times New Roman" w:hAnsi="Times New Roman" w:cs="Times New Roman"/>
        </w:rPr>
      </w:pPr>
    </w:p>
    <w:p w14:paraId="038C6DB9" w14:textId="3D5A09E1" w:rsidR="00F41C50" w:rsidRDefault="00F41C50" w:rsidP="003F063E">
      <w:pPr>
        <w:rPr>
          <w:rFonts w:ascii="Times New Roman" w:hAnsi="Times New Roman" w:cs="Times New Roman"/>
        </w:rPr>
      </w:pPr>
    </w:p>
    <w:p w14:paraId="4239D501" w14:textId="3FAD6027" w:rsidR="00F41C50" w:rsidRDefault="00F41C50" w:rsidP="003F063E">
      <w:pPr>
        <w:rPr>
          <w:rFonts w:ascii="Times New Roman" w:hAnsi="Times New Roman" w:cs="Times New Roman"/>
        </w:rPr>
      </w:pPr>
    </w:p>
    <w:p w14:paraId="794E9B5F" w14:textId="57AB783B" w:rsidR="00F41C50" w:rsidRDefault="00F41C50" w:rsidP="003F063E">
      <w:pPr>
        <w:rPr>
          <w:rFonts w:ascii="Times New Roman" w:hAnsi="Times New Roman" w:cs="Times New Roman"/>
        </w:rPr>
      </w:pPr>
    </w:p>
    <w:p w14:paraId="16644760" w14:textId="61047B83" w:rsidR="009520A4" w:rsidRPr="009520A4" w:rsidRDefault="000E4C5F" w:rsidP="009520A4">
      <w:pPr>
        <w:rPr>
          <w:rFonts w:ascii="Times New Roman" w:hAnsi="Times New Roman" w:cs="Times New Roman"/>
          <w:color w:val="000000" w:themeColor="text1"/>
        </w:rPr>
      </w:pPr>
      <w:r w:rsidRPr="00B74F40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</w:t>
      </w:r>
      <w:r w:rsidR="009520A4" w:rsidRPr="009520A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Table </w:t>
      </w:r>
      <w:r w:rsidR="009520A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3</w:t>
      </w:r>
      <w:r w:rsidR="009520A4" w:rsidRPr="009520A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</w:t>
      </w:r>
      <w:r w:rsidR="009520A4" w:rsidRPr="009520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Summary of </w:t>
      </w:r>
      <w:r w:rsidR="009520A4" w:rsidRPr="009520A4">
        <w:rPr>
          <w:rFonts w:ascii="Times New Roman" w:hAnsi="Times New Roman" w:cs="Times New Roman"/>
          <w:color w:val="000000" w:themeColor="text1"/>
        </w:rPr>
        <w:t xml:space="preserve">native liver survival (NLS) </w:t>
      </w:r>
      <w:r w:rsidR="009520A4" w:rsidRPr="009520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rates across geographic regions at </w:t>
      </w:r>
      <w:r w:rsidR="009520A4" w:rsidRPr="009520A4">
        <w:rPr>
          <w:rFonts w:ascii="Times New Roman" w:hAnsi="Times New Roman" w:cs="Times New Roman"/>
          <w:color w:val="000000" w:themeColor="text1"/>
        </w:rPr>
        <w:t xml:space="preserve">5, 10, and 18-years in 1184 children with ALGS who presented with neonatal cholestasis. </w:t>
      </w:r>
    </w:p>
    <w:tbl>
      <w:tblPr>
        <w:tblW w:w="107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2696"/>
        <w:gridCol w:w="2696"/>
        <w:gridCol w:w="2697"/>
      </w:tblGrid>
      <w:tr w:rsidR="009520A4" w:rsidRPr="009520A4" w14:paraId="674F72B6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2DC2F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NLS rates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5B44B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5-years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26416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10-years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6545E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18-years</w:t>
            </w:r>
          </w:p>
        </w:tc>
      </w:tr>
      <w:tr w:rsidR="009520A4" w:rsidRPr="009520A4" w14:paraId="1F43B0D2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0A4C7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Entire Cohort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E5F61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66.8%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DD419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54.4%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E7DFA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40.3%</w:t>
            </w:r>
          </w:p>
        </w:tc>
      </w:tr>
      <w:tr w:rsidR="009520A4" w:rsidRPr="009520A4" w14:paraId="499493CC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2955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Africa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4877" w14:textId="3A0F3AE3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79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.3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9EBFA" w14:textId="32CF7617" w:rsidR="009520A4" w:rsidRPr="00233B44" w:rsidRDefault="00DF4D66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67.9</w:t>
            </w:r>
            <w:r w:rsidR="009520A4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EB222" w14:textId="47537C32" w:rsidR="009520A4" w:rsidRPr="00233B44" w:rsidRDefault="00DF4D66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67.9%</w:t>
            </w:r>
          </w:p>
        </w:tc>
      </w:tr>
      <w:tr w:rsidR="009520A4" w:rsidRPr="009520A4" w14:paraId="0C3544ED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E3F5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Asia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40898" w14:textId="1DE408AD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77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.0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A79D8" w14:textId="03CA1194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7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3.6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15060" w14:textId="48013CD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7.9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</w:tr>
      <w:tr w:rsidR="009520A4" w:rsidRPr="009520A4" w14:paraId="6F279A0A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E799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Europe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EDEEE" w14:textId="28522405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3.8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B1E2A" w14:textId="5DFCC644" w:rsidR="009520A4" w:rsidRPr="00233B44" w:rsidRDefault="00DF4D66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49.7</w:t>
            </w:r>
            <w:r w:rsidR="009520A4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0F298" w14:textId="43F68DF2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3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7.9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</w:tr>
      <w:tr w:rsidR="009520A4" w:rsidRPr="009520A4" w14:paraId="3C1FE27E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7654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Middle East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168BA" w14:textId="5DC8E71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51</w:t>
            </w:r>
            <w:r w:rsidR="00DF4D66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.1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B9D35" w14:textId="612946A0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8.8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ADAFD" w14:textId="47F0A7AD" w:rsidR="009520A4" w:rsidRPr="00233B44" w:rsidRDefault="00FB3143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28.8%</w:t>
            </w:r>
          </w:p>
        </w:tc>
      </w:tr>
      <w:tr w:rsidR="009520A4" w:rsidRPr="009520A4" w14:paraId="19424CCD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0D9A9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North America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AF2BA" w14:textId="434406FD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8.8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E843D" w14:textId="5241A351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5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7.7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3FA9F" w14:textId="5292CF9D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41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.3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</w:tr>
      <w:tr w:rsidR="009520A4" w:rsidRPr="009520A4" w14:paraId="1FFC2A42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204E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Oceania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913EB" w14:textId="0735849E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69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.1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E186D" w14:textId="07DB477F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51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.3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C09AD" w14:textId="31BB5574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28</w:t>
            </w:r>
            <w:r w:rsidR="00FB3143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.0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</w:tr>
      <w:tr w:rsidR="009520A4" w:rsidRPr="009520A4" w14:paraId="16E2A8C6" w14:textId="77777777" w:rsidTr="00EB79C9">
        <w:trPr>
          <w:trHeight w:val="3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DFBD9" w14:textId="7777777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South America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36D73" w14:textId="151D4047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32</w:t>
            </w:r>
            <w:r w:rsidR="00233B44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.3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AC8C5" w14:textId="5568471A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23</w:t>
            </w:r>
            <w:r w:rsidR="00233B44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.1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4E7F1" w14:textId="256CE065" w:rsidR="009520A4" w:rsidRPr="00233B44" w:rsidRDefault="009520A4" w:rsidP="00EB79C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1</w:t>
            </w:r>
            <w:r w:rsidR="00233B44"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1.5</w:t>
            </w:r>
            <w:r w:rsidRPr="00233B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%</w:t>
            </w:r>
          </w:p>
        </w:tc>
      </w:tr>
    </w:tbl>
    <w:p w14:paraId="00EB11AF" w14:textId="045E5AE9" w:rsidR="00F41C50" w:rsidRDefault="00F41C50" w:rsidP="003F063E">
      <w:pPr>
        <w:rPr>
          <w:rFonts w:ascii="Times New Roman" w:hAnsi="Times New Roman" w:cs="Times New Roman"/>
        </w:rPr>
      </w:pPr>
    </w:p>
    <w:p w14:paraId="32D241CF" w14:textId="47337FA2" w:rsidR="009520A4" w:rsidRDefault="009520A4" w:rsidP="003F063E">
      <w:pPr>
        <w:rPr>
          <w:rFonts w:ascii="Times New Roman" w:hAnsi="Times New Roman" w:cs="Times New Roman"/>
        </w:rPr>
      </w:pPr>
    </w:p>
    <w:p w14:paraId="1DB45719" w14:textId="2A7E2D7B" w:rsidR="009520A4" w:rsidRDefault="009520A4" w:rsidP="003F063E">
      <w:pPr>
        <w:rPr>
          <w:rFonts w:ascii="Times New Roman" w:hAnsi="Times New Roman" w:cs="Times New Roman"/>
        </w:rPr>
      </w:pPr>
    </w:p>
    <w:p w14:paraId="45A38187" w14:textId="2CACFA93" w:rsidR="009520A4" w:rsidRDefault="009520A4" w:rsidP="003F063E">
      <w:pPr>
        <w:rPr>
          <w:rFonts w:ascii="Times New Roman" w:hAnsi="Times New Roman" w:cs="Times New Roman"/>
        </w:rPr>
      </w:pPr>
    </w:p>
    <w:p w14:paraId="0315ADC7" w14:textId="71B84CA2" w:rsidR="009520A4" w:rsidRDefault="009520A4" w:rsidP="003F063E">
      <w:pPr>
        <w:rPr>
          <w:rFonts w:ascii="Times New Roman" w:hAnsi="Times New Roman" w:cs="Times New Roman"/>
        </w:rPr>
      </w:pPr>
    </w:p>
    <w:p w14:paraId="4660DC8A" w14:textId="41C6BF8F" w:rsidR="009520A4" w:rsidRDefault="009520A4" w:rsidP="003F063E">
      <w:pPr>
        <w:rPr>
          <w:rFonts w:ascii="Times New Roman" w:hAnsi="Times New Roman" w:cs="Times New Roman"/>
        </w:rPr>
      </w:pPr>
    </w:p>
    <w:p w14:paraId="00AF9C7B" w14:textId="6C12D1C1" w:rsidR="009520A4" w:rsidRDefault="009520A4" w:rsidP="003F063E">
      <w:pPr>
        <w:rPr>
          <w:rFonts w:ascii="Times New Roman" w:hAnsi="Times New Roman" w:cs="Times New Roman"/>
        </w:rPr>
      </w:pPr>
    </w:p>
    <w:p w14:paraId="2905C65D" w14:textId="5D97965B" w:rsidR="009520A4" w:rsidRDefault="009520A4" w:rsidP="003F063E">
      <w:pPr>
        <w:rPr>
          <w:rFonts w:ascii="Times New Roman" w:hAnsi="Times New Roman" w:cs="Times New Roman"/>
        </w:rPr>
      </w:pPr>
    </w:p>
    <w:p w14:paraId="1B700038" w14:textId="32C5320C" w:rsidR="009520A4" w:rsidRDefault="009520A4" w:rsidP="003F063E">
      <w:pPr>
        <w:rPr>
          <w:rFonts w:ascii="Times New Roman" w:hAnsi="Times New Roman" w:cs="Times New Roman"/>
        </w:rPr>
      </w:pPr>
    </w:p>
    <w:p w14:paraId="521DB7B2" w14:textId="591D107D" w:rsidR="009520A4" w:rsidRDefault="009520A4" w:rsidP="003F063E">
      <w:pPr>
        <w:rPr>
          <w:rFonts w:ascii="Times New Roman" w:hAnsi="Times New Roman" w:cs="Times New Roman"/>
        </w:rPr>
      </w:pPr>
    </w:p>
    <w:p w14:paraId="4B0E69AB" w14:textId="02F8B24C" w:rsidR="009520A4" w:rsidRDefault="009520A4" w:rsidP="003F063E">
      <w:pPr>
        <w:rPr>
          <w:rFonts w:ascii="Times New Roman" w:hAnsi="Times New Roman" w:cs="Times New Roman"/>
        </w:rPr>
      </w:pPr>
    </w:p>
    <w:p w14:paraId="19DCB3AD" w14:textId="42E5B1D1" w:rsidR="009520A4" w:rsidRDefault="009520A4" w:rsidP="003F063E">
      <w:pPr>
        <w:rPr>
          <w:rFonts w:ascii="Times New Roman" w:hAnsi="Times New Roman" w:cs="Times New Roman"/>
        </w:rPr>
      </w:pPr>
    </w:p>
    <w:p w14:paraId="00E371BA" w14:textId="308E9508" w:rsidR="009520A4" w:rsidRDefault="009520A4" w:rsidP="003F063E">
      <w:pPr>
        <w:rPr>
          <w:rFonts w:ascii="Times New Roman" w:hAnsi="Times New Roman" w:cs="Times New Roman"/>
        </w:rPr>
      </w:pPr>
    </w:p>
    <w:p w14:paraId="68F8310B" w14:textId="147E4FDF" w:rsidR="009520A4" w:rsidRDefault="009520A4" w:rsidP="003F063E">
      <w:pPr>
        <w:rPr>
          <w:rFonts w:ascii="Times New Roman" w:hAnsi="Times New Roman" w:cs="Times New Roman"/>
        </w:rPr>
      </w:pPr>
    </w:p>
    <w:p w14:paraId="4CCAEA23" w14:textId="1F852F89" w:rsidR="009520A4" w:rsidRDefault="009520A4" w:rsidP="003F063E">
      <w:pPr>
        <w:rPr>
          <w:rFonts w:ascii="Times New Roman" w:hAnsi="Times New Roman" w:cs="Times New Roman"/>
        </w:rPr>
      </w:pPr>
    </w:p>
    <w:p w14:paraId="537D670C" w14:textId="0CE70DC1" w:rsidR="009520A4" w:rsidRDefault="009520A4" w:rsidP="003F063E">
      <w:pPr>
        <w:rPr>
          <w:rFonts w:ascii="Times New Roman" w:hAnsi="Times New Roman" w:cs="Times New Roman"/>
        </w:rPr>
      </w:pPr>
    </w:p>
    <w:p w14:paraId="17076927" w14:textId="1259ADF3" w:rsidR="009520A4" w:rsidRDefault="009520A4" w:rsidP="003F063E">
      <w:pPr>
        <w:rPr>
          <w:rFonts w:ascii="Times New Roman" w:hAnsi="Times New Roman" w:cs="Times New Roman"/>
        </w:rPr>
      </w:pPr>
    </w:p>
    <w:p w14:paraId="15730046" w14:textId="77DE2B5C" w:rsidR="009520A4" w:rsidRDefault="009520A4" w:rsidP="003F063E">
      <w:pPr>
        <w:rPr>
          <w:rFonts w:ascii="Times New Roman" w:hAnsi="Times New Roman" w:cs="Times New Roman"/>
        </w:rPr>
      </w:pPr>
    </w:p>
    <w:p w14:paraId="21324F87" w14:textId="22219F20" w:rsidR="009520A4" w:rsidRDefault="009520A4" w:rsidP="003F063E">
      <w:pPr>
        <w:rPr>
          <w:rFonts w:ascii="Times New Roman" w:hAnsi="Times New Roman" w:cs="Times New Roman"/>
        </w:rPr>
      </w:pPr>
    </w:p>
    <w:p w14:paraId="7EE24120" w14:textId="48E952CC" w:rsidR="009520A4" w:rsidRDefault="009520A4" w:rsidP="003F063E">
      <w:pPr>
        <w:rPr>
          <w:rFonts w:ascii="Times New Roman" w:hAnsi="Times New Roman" w:cs="Times New Roman"/>
        </w:rPr>
      </w:pPr>
    </w:p>
    <w:p w14:paraId="3A1A44C9" w14:textId="1CCDA358" w:rsidR="009520A4" w:rsidRDefault="009520A4" w:rsidP="003F063E">
      <w:pPr>
        <w:rPr>
          <w:rFonts w:ascii="Times New Roman" w:hAnsi="Times New Roman" w:cs="Times New Roman"/>
        </w:rPr>
      </w:pPr>
    </w:p>
    <w:p w14:paraId="18003605" w14:textId="5B25297E" w:rsidR="009520A4" w:rsidRDefault="009520A4" w:rsidP="003F063E">
      <w:pPr>
        <w:rPr>
          <w:rFonts w:ascii="Times New Roman" w:hAnsi="Times New Roman" w:cs="Times New Roman"/>
        </w:rPr>
      </w:pPr>
    </w:p>
    <w:p w14:paraId="3BB5B225" w14:textId="44801A72" w:rsidR="009520A4" w:rsidRDefault="009520A4" w:rsidP="003F063E">
      <w:pPr>
        <w:rPr>
          <w:rFonts w:ascii="Times New Roman" w:hAnsi="Times New Roman" w:cs="Times New Roman"/>
        </w:rPr>
      </w:pPr>
    </w:p>
    <w:p w14:paraId="01835B90" w14:textId="275C561E" w:rsidR="009520A4" w:rsidRDefault="009520A4" w:rsidP="003F063E">
      <w:pPr>
        <w:rPr>
          <w:rFonts w:ascii="Times New Roman" w:hAnsi="Times New Roman" w:cs="Times New Roman"/>
        </w:rPr>
      </w:pPr>
    </w:p>
    <w:p w14:paraId="1C607639" w14:textId="3BA425F6" w:rsidR="009520A4" w:rsidRDefault="009520A4" w:rsidP="003F063E">
      <w:pPr>
        <w:rPr>
          <w:rFonts w:ascii="Times New Roman" w:hAnsi="Times New Roman" w:cs="Times New Roman"/>
        </w:rPr>
      </w:pPr>
    </w:p>
    <w:p w14:paraId="235127DF" w14:textId="7B735B8B" w:rsidR="009520A4" w:rsidRDefault="009520A4" w:rsidP="003F063E">
      <w:pPr>
        <w:rPr>
          <w:rFonts w:ascii="Times New Roman" w:hAnsi="Times New Roman" w:cs="Times New Roman"/>
        </w:rPr>
      </w:pPr>
    </w:p>
    <w:p w14:paraId="138BD2EB" w14:textId="762738BD" w:rsidR="009520A4" w:rsidRDefault="009520A4" w:rsidP="003F063E">
      <w:pPr>
        <w:rPr>
          <w:rFonts w:ascii="Times New Roman" w:hAnsi="Times New Roman" w:cs="Times New Roman"/>
        </w:rPr>
      </w:pPr>
    </w:p>
    <w:p w14:paraId="59B8B3C7" w14:textId="1DD5C2B8" w:rsidR="009520A4" w:rsidRDefault="009520A4" w:rsidP="003F063E">
      <w:pPr>
        <w:rPr>
          <w:rFonts w:ascii="Times New Roman" w:hAnsi="Times New Roman" w:cs="Times New Roman"/>
        </w:rPr>
      </w:pPr>
    </w:p>
    <w:p w14:paraId="2C9BD620" w14:textId="717255D3" w:rsidR="009520A4" w:rsidRDefault="009520A4" w:rsidP="003F063E">
      <w:pPr>
        <w:rPr>
          <w:rFonts w:ascii="Times New Roman" w:hAnsi="Times New Roman" w:cs="Times New Roman"/>
        </w:rPr>
      </w:pPr>
    </w:p>
    <w:p w14:paraId="6EEDB511" w14:textId="304844D6" w:rsidR="009520A4" w:rsidRDefault="009520A4" w:rsidP="003F063E">
      <w:pPr>
        <w:rPr>
          <w:rFonts w:ascii="Times New Roman" w:hAnsi="Times New Roman" w:cs="Times New Roman"/>
        </w:rPr>
      </w:pPr>
    </w:p>
    <w:p w14:paraId="5F85A2BA" w14:textId="77777777" w:rsidR="009520A4" w:rsidRDefault="009520A4" w:rsidP="003F063E">
      <w:pPr>
        <w:rPr>
          <w:rFonts w:ascii="Times New Roman" w:hAnsi="Times New Roman" w:cs="Times New Roman"/>
        </w:rPr>
      </w:pPr>
    </w:p>
    <w:p w14:paraId="050AD964" w14:textId="5681848B" w:rsidR="00604C34" w:rsidRPr="00604C34" w:rsidRDefault="00604C34" w:rsidP="00604C34">
      <w:pPr>
        <w:rPr>
          <w:rFonts w:ascii="Times New Roman" w:eastAsia="Times New Roman" w:hAnsi="Times New Roman" w:cs="Times New Roman"/>
          <w:color w:val="000000" w:themeColor="text1"/>
        </w:rPr>
      </w:pPr>
      <w:r w:rsidRPr="00604C3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Supplementary Table </w:t>
      </w:r>
      <w:r w:rsidR="009520A4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604C34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604C34">
        <w:rPr>
          <w:rFonts w:ascii="Times New Roman" w:eastAsia="Times New Roman" w:hAnsi="Times New Roman" w:cs="Times New Roman"/>
          <w:color w:val="000000" w:themeColor="text1"/>
        </w:rPr>
        <w:t> </w:t>
      </w:r>
      <w:r w:rsidRPr="00604C34">
        <w:rPr>
          <w:rFonts w:ascii="Times New Roman" w:eastAsia="Times New Roman" w:hAnsi="Times New Roman" w:cs="Times New Roman"/>
          <w:color w:val="000000" w:themeColor="text1"/>
          <w:lang w:val="en-US"/>
        </w:rPr>
        <w:t>Indications for liver transplantation in children with ALGS who presented with neonatal cholestasis. 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4943"/>
        <w:gridCol w:w="2268"/>
      </w:tblGrid>
      <w:tr w:rsidR="00604C34" w:rsidRPr="00604C34" w14:paraId="02DD4941" w14:textId="77777777" w:rsidTr="0042315D"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754C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Indications for Liver Transplantation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9F47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n</w:t>
            </w:r>
          </w:p>
        </w:tc>
      </w:tr>
      <w:tr w:rsidR="00604C34" w:rsidRPr="00604C34" w14:paraId="745900F0" w14:textId="77777777" w:rsidTr="0042315D">
        <w:trPr>
          <w:trHeight w:val="558"/>
        </w:trPr>
        <w:tc>
          <w:tcPr>
            <w:tcW w:w="7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FE9CC" w14:textId="77777777" w:rsidR="00604C34" w:rsidRPr="00604C34" w:rsidRDefault="00604C34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Persistent cholestasis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373D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48% (n=158/328)</w:t>
            </w:r>
          </w:p>
        </w:tc>
      </w:tr>
      <w:tr w:rsidR="00604C34" w:rsidRPr="00604C34" w14:paraId="22EE2E17" w14:textId="77777777" w:rsidTr="0042315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585F8F7" w14:textId="77777777" w:rsidR="00604C34" w:rsidRPr="00604C34" w:rsidRDefault="00604C34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Complications of </w:t>
            </w:r>
          </w:p>
          <w:p w14:paraId="4FACE649" w14:textId="5E6A4563" w:rsidR="00604C34" w:rsidRPr="00604C34" w:rsidRDefault="008A3DC0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</w:t>
            </w:r>
            <w:r w:rsidR="00604C34"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ersistent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="00604C34"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cholestasis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4E18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Intractable pruritus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C4D0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69% (n=161/235)</w:t>
            </w:r>
          </w:p>
        </w:tc>
      </w:tr>
      <w:tr w:rsidR="00604C34" w:rsidRPr="00604C34" w14:paraId="1D6A9426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66AE99F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3441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Growth failure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83FE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54% (n=127/235)</w:t>
            </w:r>
          </w:p>
        </w:tc>
      </w:tr>
      <w:tr w:rsidR="00604C34" w:rsidRPr="00604C34" w14:paraId="7BF01218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CC2265C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65DF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Xanthomas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FCAC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49% (n=116/235)</w:t>
            </w:r>
          </w:p>
        </w:tc>
      </w:tr>
      <w:tr w:rsidR="00604C34" w:rsidRPr="00604C34" w14:paraId="5D37704F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F32B17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DB4F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Metabolic bone disease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4A41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7% (n=16/235)</w:t>
            </w:r>
          </w:p>
        </w:tc>
      </w:tr>
      <w:tr w:rsidR="00604C34" w:rsidRPr="00604C34" w14:paraId="2C557F63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DC7897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164A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Fat soluble vitamin deficiency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0220" w14:textId="1F119210" w:rsidR="00604C34" w:rsidRPr="00604C34" w:rsidRDefault="000315DF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="00604C34"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% (n=3/235)</w:t>
            </w:r>
          </w:p>
        </w:tc>
      </w:tr>
      <w:tr w:rsidR="00604C34" w:rsidRPr="00604C34" w14:paraId="08C2D340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04B2E2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719A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≥1 complication of persistent cholestasis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F132" w14:textId="63214281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 w:rsidR="00F20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% (n=235/328)</w:t>
            </w:r>
          </w:p>
        </w:tc>
      </w:tr>
      <w:tr w:rsidR="00604C34" w:rsidRPr="00604C34" w14:paraId="03113C91" w14:textId="77777777" w:rsidTr="0042315D">
        <w:trPr>
          <w:trHeight w:val="546"/>
        </w:trPr>
        <w:tc>
          <w:tcPr>
            <w:tcW w:w="7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E7B0" w14:textId="77777777" w:rsidR="00604C34" w:rsidRPr="00604C34" w:rsidRDefault="00604C34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Cirrhosis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0F92" w14:textId="628B191F" w:rsidR="00604C34" w:rsidRPr="00604C34" w:rsidRDefault="00F20C8A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  <w:r w:rsidR="00604C34"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% (n=11/328)</w:t>
            </w:r>
          </w:p>
        </w:tc>
      </w:tr>
      <w:tr w:rsidR="00604C34" w:rsidRPr="00604C34" w14:paraId="4EA1C046" w14:textId="77777777" w:rsidTr="0042315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4D4910" w14:textId="229DC283" w:rsidR="00604C34" w:rsidRPr="00604C34" w:rsidRDefault="00FE2D87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Manifestations </w:t>
            </w:r>
            <w:r w:rsidR="00604C34"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of</w:t>
            </w:r>
          </w:p>
          <w:p w14:paraId="7AF8C21A" w14:textId="77777777" w:rsidR="00604C34" w:rsidRPr="00604C34" w:rsidRDefault="00604C34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portal hypertension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B67BE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Ascites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715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20% (n=19/97)</w:t>
            </w:r>
          </w:p>
        </w:tc>
      </w:tr>
      <w:tr w:rsidR="00604C34" w:rsidRPr="00604C34" w14:paraId="31BB930C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5A09A2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5B46" w14:textId="1084486D" w:rsidR="00604C34" w:rsidRPr="00604C34" w:rsidRDefault="00604C34" w:rsidP="007E2C5F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GI varices requiring intervention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7AF4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16% (n=16/97)</w:t>
            </w:r>
          </w:p>
        </w:tc>
      </w:tr>
      <w:tr w:rsidR="00604C34" w:rsidRPr="00604C34" w14:paraId="46DD7110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04F3E0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9AE9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Not specified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C1DF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65% (n=63/97)</w:t>
            </w:r>
          </w:p>
        </w:tc>
      </w:tr>
      <w:tr w:rsidR="00604C34" w:rsidRPr="00604C34" w14:paraId="6DD34FFC" w14:textId="77777777" w:rsidTr="004231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473FC4" w14:textId="77777777" w:rsidR="00604C34" w:rsidRPr="00604C34" w:rsidRDefault="00604C34" w:rsidP="00604C3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0A96" w14:textId="1245FEA3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≥1 </w:t>
            </w:r>
            <w:r w:rsidR="004968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manifestation </w:t>
            </w:r>
            <w:r w:rsidRPr="00604C3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of portal hypertension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E1CE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30% (n=97/328)</w:t>
            </w:r>
          </w:p>
        </w:tc>
      </w:tr>
      <w:tr w:rsidR="00604C34" w:rsidRPr="00604C34" w14:paraId="4DE5F9DC" w14:textId="77777777" w:rsidTr="0042315D">
        <w:trPr>
          <w:trHeight w:val="468"/>
        </w:trPr>
        <w:tc>
          <w:tcPr>
            <w:tcW w:w="7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6092" w14:textId="77777777" w:rsidR="00604C34" w:rsidRPr="00604C34" w:rsidRDefault="00604C34" w:rsidP="00604C34">
            <w:pPr>
              <w:spacing w:line="233" w:lineRule="atLeas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9BC7" w14:textId="77777777" w:rsidR="00604C34" w:rsidRPr="00604C34" w:rsidRDefault="00604C34" w:rsidP="00604C34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04C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7% (n=24/328)</w:t>
            </w:r>
          </w:p>
        </w:tc>
      </w:tr>
    </w:tbl>
    <w:p w14:paraId="0AAF3B3A" w14:textId="77777777" w:rsidR="00604C34" w:rsidRPr="00604C34" w:rsidRDefault="00604C34" w:rsidP="00604C34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04C34">
        <w:rPr>
          <w:rFonts w:ascii="Times New Roman" w:eastAsia="Times New Roman" w:hAnsi="Times New Roman" w:cs="Times New Roman"/>
          <w:color w:val="000000" w:themeColor="text1"/>
        </w:rPr>
        <w:t>*The indication for LT was missing in </w:t>
      </w:r>
      <w:r w:rsidRPr="00604C34">
        <w:rPr>
          <w:rFonts w:ascii="Times New Roman" w:eastAsia="Times New Roman" w:hAnsi="Times New Roman" w:cs="Times New Roman"/>
          <w:color w:val="000000" w:themeColor="text1"/>
          <w:lang w:val="en-US"/>
        </w:rPr>
        <w:t>5% (n=17/345) of ALGS patients.</w:t>
      </w:r>
    </w:p>
    <w:p w14:paraId="571F47FB" w14:textId="77777777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71FB325E" w14:textId="77777777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3600F4FB" w14:textId="2465FD15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77AAD462" w14:textId="77777777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21FBDAD4" w14:textId="77777777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58C49593" w14:textId="6FA2B7EC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5076D08B" w14:textId="792B4F6A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0D929D6E" w14:textId="4CAE4B9E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5597D140" w14:textId="3C4370D2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024C09B3" w14:textId="3A1CD099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7E7B5CBD" w14:textId="5DA1C9BA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22C4C335" w14:textId="71818B89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11D30B52" w14:textId="686608B3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2D68B8E9" w14:textId="258A7C1E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4CC84A96" w14:textId="3AE24578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158FD26E" w14:textId="49888487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1550FC39" w14:textId="5EE8CDA1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242578CD" w14:textId="4C9805BF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7F214FD8" w14:textId="3C00FB0B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0CABAC4A" w14:textId="30FD5DD0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0304C09E" w14:textId="685E2EE2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00398ADF" w14:textId="3A912D4E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6E83EE30" w14:textId="5655A265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2E43D961" w14:textId="7BF72C29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54661D80" w14:textId="6C869409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01EA03A0" w14:textId="0999C966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6BD01157" w14:textId="28362BC9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413A8C05" w14:textId="7E1A7906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58A1D9E2" w14:textId="77777777" w:rsidR="00E34308" w:rsidRDefault="00E34308" w:rsidP="00F323CF">
      <w:pPr>
        <w:rPr>
          <w:rFonts w:ascii="Times New Roman" w:hAnsi="Times New Roman" w:cs="Times New Roman"/>
          <w:b/>
          <w:bCs/>
          <w:lang w:val="en-US"/>
        </w:rPr>
      </w:pPr>
    </w:p>
    <w:p w14:paraId="691E1A53" w14:textId="74CE31B1" w:rsidR="0053555A" w:rsidRDefault="00894EC1" w:rsidP="00F323CF">
      <w:pPr>
        <w:rPr>
          <w:rFonts w:ascii="Times New Roman" w:hAnsi="Times New Roman" w:cs="Times New Roman"/>
          <w:lang w:val="en-US"/>
        </w:rPr>
      </w:pPr>
      <w:r w:rsidRPr="00F323CF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9520A4">
        <w:rPr>
          <w:rFonts w:ascii="Times New Roman" w:hAnsi="Times New Roman" w:cs="Times New Roman"/>
          <w:b/>
          <w:bCs/>
          <w:lang w:val="en-US"/>
        </w:rPr>
        <w:t>5</w:t>
      </w:r>
      <w:r w:rsidRPr="00F323CF">
        <w:rPr>
          <w:rFonts w:ascii="Times New Roman" w:hAnsi="Times New Roman" w:cs="Times New Roman"/>
          <w:b/>
          <w:bCs/>
          <w:lang w:val="en-US"/>
        </w:rPr>
        <w:t>.</w:t>
      </w:r>
      <w:r w:rsidR="00F323CF" w:rsidRPr="00F323C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04C34" w:rsidRPr="00604C34">
        <w:rPr>
          <w:rFonts w:ascii="Times New Roman" w:hAnsi="Times New Roman" w:cs="Times New Roman"/>
          <w:lang w:val="en-US"/>
        </w:rPr>
        <w:t>Effect median values of laboratory data from the first year of life on the risk of liver transplantation or death among ALGS patients who presented with neonatal cholestasis.</w:t>
      </w:r>
      <w:r w:rsidR="0053555A">
        <w:rPr>
          <w:rFonts w:ascii="Times New Roman" w:hAnsi="Times New Roman" w:cs="Times New Roman"/>
          <w:lang w:val="en-US"/>
        </w:rPr>
        <w:t xml:space="preserve"> </w:t>
      </w:r>
      <w:r w:rsidR="0053555A" w:rsidRPr="0053555A">
        <w:rPr>
          <w:rFonts w:ascii="Times New Roman" w:hAnsi="Times New Roman" w:cs="Times New Roman"/>
          <w:lang w:val="en-US"/>
        </w:rPr>
        <w:t>The results are presented on the log10-scale.</w:t>
      </w:r>
    </w:p>
    <w:p w14:paraId="5CF66D5B" w14:textId="77777777" w:rsidR="0053555A" w:rsidRPr="0053555A" w:rsidRDefault="0053555A" w:rsidP="00F323CF">
      <w:pPr>
        <w:rPr>
          <w:rFonts w:ascii="Times New Roman" w:hAnsi="Times New Roman" w:cs="Times New Roman"/>
          <w:lang w:val="en-US"/>
        </w:rPr>
      </w:pPr>
    </w:p>
    <w:tbl>
      <w:tblPr>
        <w:tblW w:w="5260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3085"/>
        <w:gridCol w:w="1595"/>
        <w:gridCol w:w="1134"/>
        <w:gridCol w:w="1699"/>
        <w:gridCol w:w="1136"/>
        <w:gridCol w:w="1558"/>
        <w:gridCol w:w="1134"/>
      </w:tblGrid>
      <w:tr w:rsidR="0053555A" w:rsidRPr="0053555A" w14:paraId="621D0B1C" w14:textId="77777777" w:rsidTr="007774DF">
        <w:trPr>
          <w:trHeight w:val="459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4E474" w14:textId="77B34CBC" w:rsidR="0053555A" w:rsidRPr="0053555A" w:rsidRDefault="00980A52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620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 xml:space="preserve">Cox regression - </w:t>
            </w:r>
            <w:r w:rsidR="00CE2620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r</w:t>
            </w:r>
            <w:r w:rsidRPr="00CE2620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 xml:space="preserve">isk of liver transplantation or death </w:t>
            </w:r>
            <w:r w:rsidR="0053555A" w:rsidRPr="00CE2620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after 12 months</w:t>
            </w:r>
            <w:r w:rsidR="00CE2620" w:rsidRPr="00CE2620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 xml:space="preserve"> of age</w:t>
            </w:r>
          </w:p>
        </w:tc>
      </w:tr>
      <w:tr w:rsidR="0053555A" w:rsidRPr="0053555A" w14:paraId="3FA31775" w14:textId="77777777" w:rsidTr="007774DF">
        <w:trPr>
          <w:trHeight w:val="459"/>
        </w:trPr>
        <w:tc>
          <w:tcPr>
            <w:tcW w:w="13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00A4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Effect Median laboratory values on NLS in the first year of life in ALGS patients who presented</w:t>
            </w:r>
            <w:r w:rsidRPr="0053555A">
              <w:rPr>
                <w:rFonts w:ascii="Times New Roman" w:hAnsi="Times New Roman" w:cs="Times New Roman"/>
              </w:rPr>
              <w:t xml:space="preserve"> </w:t>
            </w:r>
            <w:r w:rsidRPr="0053555A">
              <w:rPr>
                <w:rFonts w:ascii="Times New Roman" w:hAnsi="Times New Roman" w:cs="Times New Roman"/>
                <w:b/>
                <w:bCs/>
              </w:rPr>
              <w:t>with neonatal cholestasis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6D6850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≤6 months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B465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&gt;6 and ≤12 months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A8A2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12 months</w:t>
            </w:r>
          </w:p>
        </w:tc>
      </w:tr>
      <w:tr w:rsidR="0053555A" w:rsidRPr="0053555A" w14:paraId="7B450A03" w14:textId="77777777" w:rsidTr="007774DF">
        <w:trPr>
          <w:trHeight w:val="619"/>
        </w:trPr>
        <w:tc>
          <w:tcPr>
            <w:tcW w:w="13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7BDB7" w14:textId="77777777" w:rsidR="0053555A" w:rsidRPr="0053555A" w:rsidRDefault="0053555A" w:rsidP="007774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C609FE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 xml:space="preserve">HR </w:t>
            </w:r>
          </w:p>
          <w:p w14:paraId="6B7A407E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1F4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53555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1CA3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 xml:space="preserve">HR </w:t>
            </w:r>
          </w:p>
          <w:p w14:paraId="00B7C7F9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581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53555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2A8B9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 xml:space="preserve">HR </w:t>
            </w:r>
          </w:p>
          <w:p w14:paraId="60EF7BB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8F32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55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53555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53555A" w:rsidRPr="0053555A" w14:paraId="0B157E23" w14:textId="77777777" w:rsidTr="007774DF">
        <w:trPr>
          <w:trHeight w:val="485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E160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 xml:space="preserve">Bile acids, </w:t>
            </w:r>
            <w:proofErr w:type="spellStart"/>
            <w:r w:rsidRPr="0053555A">
              <w:rPr>
                <w:rFonts w:ascii="Times New Roman" w:hAnsi="Times New Roman" w:cs="Times New Roman"/>
              </w:rPr>
              <w:t>μmol</w:t>
            </w:r>
            <w:proofErr w:type="spellEnd"/>
            <w:r w:rsidRPr="0053555A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5C06EB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1.42</w:t>
            </w:r>
          </w:p>
          <w:p w14:paraId="6263A689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(0.69 – 2.93)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C9F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997D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0.78</w:t>
            </w:r>
          </w:p>
          <w:p w14:paraId="5FF233D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(0.49 –1.24)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CD10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B92F2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0.86</w:t>
            </w:r>
          </w:p>
          <w:p w14:paraId="5031177E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(0.57 – 1.29)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F24D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0.467</w:t>
            </w:r>
          </w:p>
        </w:tc>
      </w:tr>
      <w:tr w:rsidR="0053555A" w:rsidRPr="0053555A" w14:paraId="1DF043E8" w14:textId="77777777" w:rsidTr="007774DF">
        <w:trPr>
          <w:trHeight w:val="67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4CE5E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Total bilirubin, mg/dL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1BDDB32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10.41</w:t>
            </w:r>
          </w:p>
          <w:p w14:paraId="5B8EC7F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(5.07 – 21.35)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AD89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36AE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13.88</w:t>
            </w:r>
          </w:p>
          <w:p w14:paraId="60D9D2A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(7.68 –25.1)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402C1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A59A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8.24</w:t>
            </w:r>
          </w:p>
          <w:p w14:paraId="7C6EA76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(5.3 – 12.79)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8C95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</w:tr>
      <w:tr w:rsidR="0053555A" w:rsidRPr="0053555A" w14:paraId="14A7352F" w14:textId="77777777" w:rsidTr="007774DF">
        <w:trPr>
          <w:trHeight w:val="67"/>
        </w:trPr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9CB16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Conjugated bilirubin, mg/dL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E07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2.52</w:t>
            </w:r>
          </w:p>
          <w:p w14:paraId="44D0D88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(1.51 – 4.21)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07B7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74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F00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5.13</w:t>
            </w:r>
          </w:p>
          <w:p w14:paraId="22700831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(3.22 – 8.16)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F7119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68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E81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4.09</w:t>
            </w:r>
          </w:p>
          <w:p w14:paraId="71B38056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(2.74 – 6.09)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4F561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</w:tr>
      <w:tr w:rsidR="0053555A" w:rsidRPr="0053555A" w14:paraId="4F8726B1" w14:textId="77777777" w:rsidTr="007774DF">
        <w:trPr>
          <w:trHeight w:val="96"/>
        </w:trPr>
        <w:tc>
          <w:tcPr>
            <w:tcW w:w="13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0AB6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ALT, IU/L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597E2A1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 xml:space="preserve">1.6 </w:t>
            </w:r>
          </w:p>
          <w:p w14:paraId="7EDDED5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(0.96 – 2.68)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7EF7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96FD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3.61</w:t>
            </w:r>
          </w:p>
          <w:p w14:paraId="4EA4178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(1.89 – 6.91)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80F2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B2FD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2.11</w:t>
            </w:r>
          </w:p>
          <w:p w14:paraId="0AC6A2D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(1.26 – 3.53)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30A1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0.004</w:t>
            </w:r>
          </w:p>
        </w:tc>
      </w:tr>
      <w:tr w:rsidR="0053555A" w:rsidRPr="0053555A" w14:paraId="6D0CC02F" w14:textId="77777777" w:rsidTr="007774DF">
        <w:trPr>
          <w:trHeight w:val="67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4245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AST, IU/L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52692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1.81</w:t>
            </w:r>
          </w:p>
          <w:p w14:paraId="3198F7A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(1.05 – 3.11)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2810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C2FC6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2.37</w:t>
            </w:r>
          </w:p>
          <w:p w14:paraId="22C1970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(1.7 – 3.3)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C7236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66D1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3.45</w:t>
            </w:r>
          </w:p>
          <w:p w14:paraId="1DD2EAF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(2.01 – 5.92)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BB0D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</w:tr>
      <w:tr w:rsidR="0053555A" w:rsidRPr="0053555A" w14:paraId="431D10EE" w14:textId="77777777" w:rsidTr="007774DF">
        <w:trPr>
          <w:trHeight w:val="67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5CA3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GGT, IU/L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9BF65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 xml:space="preserve">1.05               </w:t>
            </w:r>
            <w:proofErr w:type="gramStart"/>
            <w:r w:rsidRPr="0053555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3555A">
              <w:rPr>
                <w:rFonts w:ascii="Times New Roman" w:hAnsi="Times New Roman" w:cs="Times New Roman"/>
              </w:rPr>
              <w:t>0.68 – 1.61)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6A80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8B30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0.81</w:t>
            </w:r>
          </w:p>
          <w:p w14:paraId="78E95DB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(0.53 – 1.25)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C83E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D8F2E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0.9</w:t>
            </w:r>
          </w:p>
          <w:p w14:paraId="5B0ADC7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(0.62 – 1.31)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955C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0.581</w:t>
            </w:r>
          </w:p>
        </w:tc>
      </w:tr>
      <w:tr w:rsidR="0053555A" w:rsidRPr="0053555A" w14:paraId="28DCF01F" w14:textId="77777777" w:rsidTr="007774DF">
        <w:trPr>
          <w:trHeight w:val="67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F5F8A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Cholesterol, mg/dL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7A10C3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2.15</w:t>
            </w:r>
          </w:p>
          <w:p w14:paraId="085FA1E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(0.94 – 4.9)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078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14DE8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2.31</w:t>
            </w:r>
          </w:p>
          <w:p w14:paraId="0A86C042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(0.9 – 5.95)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A6AEE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52D3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2.45</w:t>
            </w:r>
          </w:p>
          <w:p w14:paraId="461366A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(1.25 – 4.81)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6C55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0.009</w:t>
            </w:r>
          </w:p>
        </w:tc>
      </w:tr>
      <w:tr w:rsidR="0053555A" w:rsidRPr="0053555A" w14:paraId="4D8C8D8D" w14:textId="77777777" w:rsidTr="007774DF">
        <w:trPr>
          <w:trHeight w:val="67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4AF8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Triglycerides, mg/dL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FF895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2.08</w:t>
            </w:r>
          </w:p>
          <w:p w14:paraId="2544B5A2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(0.66 – 6.5)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D85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FC52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4.09</w:t>
            </w:r>
          </w:p>
          <w:p w14:paraId="268AB98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(0.97 – 17.26)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BC2B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9A99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 xml:space="preserve">3.07                    </w:t>
            </w:r>
            <w:proofErr w:type="gramStart"/>
            <w:r w:rsidRPr="0053555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3555A">
              <w:rPr>
                <w:rFonts w:ascii="Times New Roman" w:hAnsi="Times New Roman" w:cs="Times New Roman"/>
              </w:rPr>
              <w:t>1.15 – 8.21)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B72B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0.025</w:t>
            </w:r>
          </w:p>
        </w:tc>
      </w:tr>
      <w:tr w:rsidR="0053555A" w:rsidRPr="0053555A" w14:paraId="18674533" w14:textId="77777777" w:rsidTr="007774DF">
        <w:trPr>
          <w:trHeight w:val="70"/>
        </w:trPr>
        <w:tc>
          <w:tcPr>
            <w:tcW w:w="1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F4778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 xml:space="preserve">Platelet Count, </w:t>
            </w:r>
            <w:r w:rsidRPr="005355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r w:rsidRPr="0053555A">
              <w:rPr>
                <w:rStyle w:val="Emphasis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 × 10</w:t>
            </w:r>
            <w:r w:rsidRPr="0053555A">
              <w:rPr>
                <w:rStyle w:val="Emphasis"/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9</w:t>
            </w:r>
            <w:r w:rsidRPr="005355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</w:t>
            </w:r>
            <w:r w:rsidRPr="0053555A">
              <w:rPr>
                <w:rStyle w:val="Emphasis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</w:t>
            </w:r>
            <w:r w:rsidRPr="005355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0599F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0.98</w:t>
            </w:r>
          </w:p>
          <w:p w14:paraId="74F15F1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(0.94 – 1.03)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AE46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0.455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A246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0.94</w:t>
            </w:r>
          </w:p>
          <w:p w14:paraId="6AD37887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(0.88 – 1.01)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3CF93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F100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0.97</w:t>
            </w:r>
          </w:p>
          <w:p w14:paraId="33176770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(0.93 – 1.02)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80DD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0.293</w:t>
            </w:r>
          </w:p>
        </w:tc>
      </w:tr>
      <w:tr w:rsidR="0053555A" w:rsidRPr="0053555A" w14:paraId="44820F35" w14:textId="77777777" w:rsidTr="007774DF">
        <w:trPr>
          <w:trHeight w:val="67"/>
        </w:trPr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67E6F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APRI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80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1.27</w:t>
            </w:r>
          </w:p>
          <w:p w14:paraId="051C0864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(1.05 – 1.55)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AAA9D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74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0B0C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1.4</w:t>
            </w:r>
          </w:p>
          <w:p w14:paraId="76E4A62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(1.27 – 1.54)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C7C58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68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4992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1.51</w:t>
            </w:r>
          </w:p>
          <w:p w14:paraId="01A0401B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(1.35 – 1.69)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80C05" w14:textId="77777777" w:rsidR="0053555A" w:rsidRPr="0053555A" w:rsidRDefault="0053555A" w:rsidP="007774DF">
            <w:pPr>
              <w:jc w:val="center"/>
              <w:rPr>
                <w:rFonts w:ascii="Times New Roman" w:hAnsi="Times New Roman" w:cs="Times New Roman"/>
              </w:rPr>
            </w:pPr>
            <w:r w:rsidRPr="0053555A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5A0AD8B3" w14:textId="77777777" w:rsidR="00980A52" w:rsidRDefault="00F323CF" w:rsidP="00F323CF">
      <w:pPr>
        <w:rPr>
          <w:rFonts w:ascii="Times New Roman" w:hAnsi="Times New Roman" w:cs="Times New Roman"/>
        </w:rPr>
      </w:pPr>
      <w:r w:rsidRPr="0053555A">
        <w:rPr>
          <w:rFonts w:ascii="Times New Roman" w:hAnsi="Times New Roman" w:cs="Times New Roman"/>
        </w:rPr>
        <w:fldChar w:fldCharType="begin"/>
      </w:r>
      <w:r w:rsidRPr="0053555A">
        <w:rPr>
          <w:rFonts w:ascii="Times New Roman" w:hAnsi="Times New Roman" w:cs="Times New Roman"/>
        </w:rPr>
        <w:instrText xml:space="preserve"> LINK Excel.Sheet.12 "C:\\Users\\bhansen\\OneDrive - UHN\\Documents\\BEH Toronto\\GALA\\GALA data\\July 2021\\HR labs.xlsx" "Sheet1!R14C1:R27C4" \a \f 4 \h  \* MERGEFORMAT </w:instrText>
      </w:r>
      <w:r w:rsidRPr="0053555A">
        <w:rPr>
          <w:rFonts w:ascii="Times New Roman" w:hAnsi="Times New Roman" w:cs="Times New Roman"/>
        </w:rPr>
        <w:fldChar w:fldCharType="separate"/>
      </w:r>
      <w:r w:rsidRPr="0053555A">
        <w:rPr>
          <w:rFonts w:ascii="Times New Roman" w:hAnsi="Times New Roman" w:cs="Times New Roman"/>
        </w:rPr>
        <w:t xml:space="preserve">* Cox-model of each </w:t>
      </w:r>
      <w:r w:rsidR="007453D0" w:rsidRPr="0053555A">
        <w:rPr>
          <w:rFonts w:ascii="Times New Roman" w:hAnsi="Times New Roman" w:cs="Times New Roman"/>
          <w:lang w:val="en-US"/>
        </w:rPr>
        <w:t>laboratory</w:t>
      </w:r>
      <w:r w:rsidRPr="0053555A">
        <w:rPr>
          <w:rFonts w:ascii="Times New Roman" w:hAnsi="Times New Roman" w:cs="Times New Roman"/>
        </w:rPr>
        <w:t xml:space="preserve"> measurement, adjusted for sex and year of birth and stratified by region</w:t>
      </w:r>
    </w:p>
    <w:p w14:paraId="3796F045" w14:textId="77777777" w:rsidR="00980A52" w:rsidRDefault="00980A52" w:rsidP="00F323CF">
      <w:pPr>
        <w:rPr>
          <w:rFonts w:ascii="Times New Roman" w:hAnsi="Times New Roman" w:cs="Times New Roman"/>
        </w:rPr>
      </w:pPr>
    </w:p>
    <w:p w14:paraId="68BEB428" w14:textId="0806FA9D" w:rsidR="00F323CF" w:rsidRPr="0053555A" w:rsidRDefault="00980A52" w:rsidP="00F32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980A52">
        <w:rPr>
          <w:rFonts w:ascii="Times" w:hAnsi="Times"/>
          <w:color w:val="000000" w:themeColor="text1"/>
        </w:rPr>
        <w:t xml:space="preserve">In children who underwent Kasai portoenterostomy during the first year of life, laboratory data was only </w:t>
      </w:r>
      <w:r>
        <w:rPr>
          <w:rFonts w:ascii="Times" w:hAnsi="Times"/>
          <w:color w:val="000000" w:themeColor="text1"/>
        </w:rPr>
        <w:t xml:space="preserve">collected </w:t>
      </w:r>
      <w:r w:rsidRPr="00980A52">
        <w:rPr>
          <w:rFonts w:ascii="Times" w:hAnsi="Times"/>
          <w:color w:val="000000" w:themeColor="text1"/>
        </w:rPr>
        <w:t>up until the procedure. Those who underwent LT or died in the first year of life or their follow-up ended before 1 year of age were excluded from the laboratory analysis.</w:t>
      </w:r>
    </w:p>
    <w:p w14:paraId="6AB686A1" w14:textId="73B3F328" w:rsidR="00F323CF" w:rsidRPr="0053555A" w:rsidRDefault="00F323CF" w:rsidP="00F323CF">
      <w:pPr>
        <w:rPr>
          <w:rFonts w:ascii="Times New Roman" w:hAnsi="Times New Roman" w:cs="Times New Roman"/>
          <w:b/>
          <w:bCs/>
        </w:rPr>
      </w:pPr>
      <w:r w:rsidRPr="0053555A">
        <w:rPr>
          <w:rFonts w:ascii="Times New Roman" w:hAnsi="Times New Roman" w:cs="Times New Roman"/>
        </w:rPr>
        <w:fldChar w:fldCharType="end"/>
      </w:r>
    </w:p>
    <w:p w14:paraId="7C8A8606" w14:textId="77777777" w:rsidR="00F323CF" w:rsidRPr="00F323CF" w:rsidRDefault="00F323CF" w:rsidP="00894EC1">
      <w:pPr>
        <w:rPr>
          <w:rFonts w:ascii="Times New Roman" w:hAnsi="Times New Roman" w:cs="Times New Roman"/>
          <w:b/>
          <w:bCs/>
        </w:rPr>
      </w:pPr>
    </w:p>
    <w:p w14:paraId="06CF476C" w14:textId="77777777" w:rsidR="00F323CF" w:rsidRPr="00F323CF" w:rsidRDefault="00F323CF" w:rsidP="00894EC1">
      <w:pPr>
        <w:rPr>
          <w:rFonts w:ascii="Times New Roman" w:hAnsi="Times New Roman" w:cs="Times New Roman"/>
          <w:b/>
          <w:bCs/>
        </w:rPr>
      </w:pPr>
    </w:p>
    <w:p w14:paraId="16B8182A" w14:textId="77777777" w:rsidR="00F323CF" w:rsidRPr="00F323CF" w:rsidRDefault="00F323CF" w:rsidP="00894EC1">
      <w:pPr>
        <w:rPr>
          <w:rFonts w:ascii="Times New Roman" w:hAnsi="Times New Roman" w:cs="Times New Roman"/>
          <w:b/>
          <w:bCs/>
        </w:rPr>
      </w:pPr>
    </w:p>
    <w:p w14:paraId="6BA9F498" w14:textId="77777777" w:rsidR="00F323CF" w:rsidRDefault="00F323CF" w:rsidP="00894EC1">
      <w:pPr>
        <w:rPr>
          <w:b/>
          <w:bCs/>
        </w:rPr>
      </w:pPr>
    </w:p>
    <w:p w14:paraId="537488FB" w14:textId="77777777" w:rsidR="00F323CF" w:rsidRDefault="00F323CF" w:rsidP="00894EC1">
      <w:pPr>
        <w:rPr>
          <w:b/>
          <w:bCs/>
        </w:rPr>
      </w:pPr>
    </w:p>
    <w:p w14:paraId="7F9ACA5E" w14:textId="77777777" w:rsidR="00F323CF" w:rsidRDefault="00F323CF" w:rsidP="00894EC1">
      <w:pPr>
        <w:rPr>
          <w:b/>
          <w:bCs/>
        </w:rPr>
      </w:pPr>
    </w:p>
    <w:p w14:paraId="262DAE76" w14:textId="77777777" w:rsidR="00F323CF" w:rsidRDefault="00F323CF" w:rsidP="00894EC1">
      <w:pPr>
        <w:rPr>
          <w:b/>
          <w:bCs/>
        </w:rPr>
      </w:pPr>
    </w:p>
    <w:p w14:paraId="01CBC28D" w14:textId="77777777" w:rsidR="00F323CF" w:rsidRDefault="00F323CF" w:rsidP="00894EC1">
      <w:pPr>
        <w:rPr>
          <w:b/>
          <w:bCs/>
        </w:rPr>
      </w:pPr>
    </w:p>
    <w:p w14:paraId="126C6BB4" w14:textId="77777777" w:rsidR="00F323CF" w:rsidRDefault="00F323CF" w:rsidP="00894EC1">
      <w:pPr>
        <w:rPr>
          <w:b/>
          <w:bCs/>
        </w:rPr>
      </w:pPr>
    </w:p>
    <w:p w14:paraId="33F9336D" w14:textId="6D03B6C4" w:rsidR="00F323CF" w:rsidRDefault="00F323CF" w:rsidP="00894EC1">
      <w:pPr>
        <w:rPr>
          <w:b/>
          <w:bCs/>
        </w:rPr>
      </w:pPr>
    </w:p>
    <w:p w14:paraId="42877996" w14:textId="6250370C" w:rsidR="008A6E74" w:rsidRDefault="008A6E74" w:rsidP="00894EC1">
      <w:pPr>
        <w:rPr>
          <w:b/>
          <w:bCs/>
        </w:rPr>
      </w:pPr>
    </w:p>
    <w:p w14:paraId="125A7ABE" w14:textId="1DFB973A" w:rsidR="00F000A3" w:rsidRDefault="00F000A3" w:rsidP="00894EC1">
      <w:pPr>
        <w:rPr>
          <w:b/>
          <w:bCs/>
        </w:rPr>
      </w:pPr>
    </w:p>
    <w:p w14:paraId="57E54670" w14:textId="77777777" w:rsidR="004D76B4" w:rsidRDefault="004D76B4" w:rsidP="00894EC1">
      <w:pPr>
        <w:rPr>
          <w:b/>
          <w:bCs/>
        </w:rPr>
      </w:pPr>
    </w:p>
    <w:p w14:paraId="08088D8A" w14:textId="44C48CA4" w:rsidR="003F063E" w:rsidRPr="003B14A2" w:rsidRDefault="003F063E" w:rsidP="003F063E">
      <w:pPr>
        <w:rPr>
          <w:rFonts w:ascii="Times New Roman" w:hAnsi="Times New Roman" w:cs="Times New Roman"/>
          <w:b/>
          <w:bCs/>
        </w:rPr>
      </w:pPr>
      <w:r w:rsidRPr="0000440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9520A4">
        <w:rPr>
          <w:rFonts w:ascii="Times New Roman" w:hAnsi="Times New Roman" w:cs="Times New Roman"/>
          <w:b/>
          <w:bCs/>
          <w:lang w:val="en-US"/>
        </w:rPr>
        <w:t>6</w:t>
      </w:r>
      <w:r w:rsidRPr="0000440A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00440A">
        <w:rPr>
          <w:rFonts w:ascii="Times New Roman" w:hAnsi="Times New Roman" w:cs="Times New Roman"/>
          <w:lang w:val="en-US"/>
        </w:rPr>
        <w:t>Baseline histopathologic findings in 604 children with ALGS who presented with neonatal cholestasis stratified by the presence of bile duct paucity on baseline biopsy.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2764"/>
        <w:gridCol w:w="2764"/>
        <w:gridCol w:w="1151"/>
      </w:tblGrid>
      <w:tr w:rsidR="003F063E" w:rsidRPr="0000440A" w14:paraId="526F9557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2A9D4E" w14:textId="77777777" w:rsidR="003F063E" w:rsidRPr="008669FE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E19FB0" w14:textId="77777777" w:rsidR="003F063E" w:rsidRPr="008669FE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9FE">
              <w:rPr>
                <w:rFonts w:ascii="Times New Roman" w:hAnsi="Times New Roman" w:cs="Times New Roman"/>
                <w:b/>
                <w:bCs/>
              </w:rPr>
              <w:t>Bile duct paucity, present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B8016C" w14:textId="234C57B4" w:rsidR="003F063E" w:rsidRPr="00633DD8" w:rsidRDefault="003F063E" w:rsidP="003B14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D8">
              <w:rPr>
                <w:rFonts w:ascii="Times New Roman" w:hAnsi="Times New Roman" w:cs="Times New Roman"/>
                <w:b/>
                <w:bCs/>
              </w:rPr>
              <w:t>Bile duct paucity,</w:t>
            </w:r>
            <w:r w:rsidR="003B14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DD8">
              <w:rPr>
                <w:rFonts w:ascii="Times New Roman" w:hAnsi="Times New Roman" w:cs="Times New Roman"/>
                <w:b/>
                <w:bCs/>
              </w:rPr>
              <w:t>absent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1B67F2" w14:textId="29C7393F" w:rsidR="003F063E" w:rsidRPr="00633DD8" w:rsidRDefault="00894EC1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C1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3F063E" w:rsidRPr="00633DD8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3F063E" w:rsidRPr="0000440A" w14:paraId="0E5533F8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C11010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91E70B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595170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95F142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63E" w:rsidRPr="0000440A" w14:paraId="4FA4AE33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B7640B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Median age at bx, months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E79E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3.0 (IQR 2.0 – 21.8)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13685A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2.5 (IQR 1.8 – 4.3)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96F0E8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63E" w:rsidRPr="0000440A" w14:paraId="0C7D7F66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BBC406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D8">
              <w:rPr>
                <w:rFonts w:ascii="Times New Roman" w:hAnsi="Times New Roman" w:cs="Times New Roman"/>
                <w:b/>
                <w:bCs/>
              </w:rPr>
              <w:t>Histopathologic Findings, % (n)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5C10CA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FD03E6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8B8BC3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63E" w:rsidRPr="0000440A" w14:paraId="5563D5EB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8D3170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Giant cell transformation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AE772B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25% (n=105)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1E9286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3DD8">
              <w:rPr>
                <w:rFonts w:ascii="Times New Roman" w:hAnsi="Times New Roman" w:cs="Times New Roman"/>
              </w:rPr>
              <w:t>48% (n=87)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E7F9B7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33DD8">
              <w:rPr>
                <w:rFonts w:ascii="Times New Roman" w:hAnsi="Times New Roman" w:cs="Times New Roman"/>
                <w:b/>
                <w:bCs/>
              </w:rPr>
              <w:t>&lt;0.001*</w:t>
            </w:r>
          </w:p>
        </w:tc>
      </w:tr>
      <w:tr w:rsidR="003F063E" w:rsidRPr="0000440A" w14:paraId="31CB5FB5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127C8C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Hepatic Fibrosis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410171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29% (n=121)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E12C2F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26% (n=47)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8E2A2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0.44</w:t>
            </w:r>
          </w:p>
        </w:tc>
      </w:tr>
      <w:tr w:rsidR="003F063E" w:rsidRPr="0000440A" w14:paraId="46DF3A05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236A29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Bile duct proliferation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AC84B5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12% (n=49)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6BD71E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31% (n=56)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2858B1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D8">
              <w:rPr>
                <w:rFonts w:ascii="Times New Roman" w:hAnsi="Times New Roman" w:cs="Times New Roman"/>
                <w:b/>
                <w:bCs/>
              </w:rPr>
              <w:t>&lt;0.001*</w:t>
            </w:r>
          </w:p>
        </w:tc>
      </w:tr>
      <w:tr w:rsidR="003F063E" w:rsidRPr="0000440A" w14:paraId="490457D6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C1A2BC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Duct/ductular bile plugs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8D0D18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6% (n=26)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3C22DD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11% (n=20)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126D9F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D8">
              <w:rPr>
                <w:rFonts w:ascii="Times New Roman" w:hAnsi="Times New Roman" w:cs="Times New Roman"/>
                <w:b/>
                <w:bCs/>
              </w:rPr>
              <w:t>0.04*</w:t>
            </w:r>
          </w:p>
        </w:tc>
      </w:tr>
      <w:tr w:rsidR="003F063E" w:rsidRPr="0000440A" w14:paraId="3CB68622" w14:textId="77777777" w:rsidTr="003B14A2">
        <w:trPr>
          <w:trHeight w:val="459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AA75DF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Features of biliary obstruction, any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78D0A5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15% (n=65)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E8FB3E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33DD8">
              <w:rPr>
                <w:rFonts w:ascii="Times New Roman" w:hAnsi="Times New Roman" w:cs="Times New Roman"/>
              </w:rPr>
              <w:t>36% (n=66)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FB674A" w14:textId="77777777" w:rsidR="003F063E" w:rsidRPr="00633DD8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D8">
              <w:rPr>
                <w:rFonts w:ascii="Times New Roman" w:hAnsi="Times New Roman" w:cs="Times New Roman"/>
                <w:b/>
                <w:bCs/>
              </w:rPr>
              <w:t>&lt;0.001*</w:t>
            </w:r>
          </w:p>
        </w:tc>
      </w:tr>
    </w:tbl>
    <w:p w14:paraId="414490C1" w14:textId="77777777" w:rsidR="003F063E" w:rsidRPr="0000440A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E72241C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BE04ADE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6A51ADC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7045FA2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DD5B167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A03974E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6D071D6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5AC0B2A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4351DCE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4C52F9F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BC09AB0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6FB270E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4C162B1D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980C803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C85D1B7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4CB1CEB" w14:textId="77777777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1F212922" w14:textId="5F0A6128" w:rsidR="003F063E" w:rsidRDefault="003F063E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C3E2628" w14:textId="674A9236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2D81EF9" w14:textId="28290BE1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49B96CE9" w14:textId="69940CFF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FC3711E" w14:textId="37D78DFA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36E6FE2" w14:textId="1EC7168F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56B91D2D" w14:textId="16A12E27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407449BC" w14:textId="483D9AA5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E62949D" w14:textId="26EC41B9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50A22541" w14:textId="777C20A7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FFD920A" w14:textId="6DD86EB5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31C174F" w14:textId="07B6E76D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ED8FD25" w14:textId="77777777" w:rsidR="008A6E74" w:rsidRDefault="008A6E74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546BFCD2" w14:textId="7BDEB5B4" w:rsidR="00B504E9" w:rsidRDefault="00B504E9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9EDA850" w14:textId="4E182211" w:rsidR="003B14A2" w:rsidRDefault="003B14A2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EDFC99C" w14:textId="77777777" w:rsidR="00816DF3" w:rsidRDefault="00816DF3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AD04EE3" w14:textId="12D0C836" w:rsidR="0079080F" w:rsidRPr="003B14A2" w:rsidRDefault="0079080F" w:rsidP="0079080F">
      <w:pPr>
        <w:rPr>
          <w:rFonts w:ascii="Times New Roman" w:eastAsia="Times New Roman" w:hAnsi="Times New Roman" w:cs="Times New Roman"/>
        </w:rPr>
      </w:pPr>
      <w:r w:rsidRPr="0000440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9520A4">
        <w:rPr>
          <w:rFonts w:ascii="Times New Roman" w:hAnsi="Times New Roman" w:cs="Times New Roman"/>
          <w:b/>
          <w:bCs/>
          <w:lang w:val="en-US"/>
        </w:rPr>
        <w:t>7</w:t>
      </w:r>
      <w:r w:rsidRPr="0000440A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1E1A16">
        <w:rPr>
          <w:rFonts w:ascii="Times New Roman" w:eastAsia="Times New Roman" w:hAnsi="Times New Roman" w:cs="Times New Roman"/>
          <w:lang w:val="en-US"/>
        </w:rPr>
        <w:t>Baseline histopathologic findings in 604 children with ALGS and a history of neonatal cholestasis stratified by age at first biopsy.</w:t>
      </w:r>
    </w:p>
    <w:tbl>
      <w:tblPr>
        <w:tblW w:w="12011" w:type="dxa"/>
        <w:tblInd w:w="-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2"/>
        <w:gridCol w:w="2362"/>
        <w:gridCol w:w="2362"/>
        <w:gridCol w:w="2510"/>
        <w:gridCol w:w="1085"/>
      </w:tblGrid>
      <w:tr w:rsidR="0079080F" w:rsidRPr="001E1A16" w14:paraId="0215BEE5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6F5AAB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F623DE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 xml:space="preserve">Biopsy </w:t>
            </w:r>
          </w:p>
          <w:p w14:paraId="53CADC01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≤6 months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6702D5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Biopsy</w:t>
            </w:r>
          </w:p>
          <w:p w14:paraId="12E47182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&gt;6 and ≤24 months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E350AE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Biopsy</w:t>
            </w:r>
          </w:p>
          <w:p w14:paraId="0B9B15DB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&gt;24 months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A22296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</w:t>
            </w: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-value</w:t>
            </w:r>
          </w:p>
        </w:tc>
      </w:tr>
      <w:tr w:rsidR="0079080F" w:rsidRPr="001E1A16" w14:paraId="012D2EEF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4907F9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C39873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BC5F13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9839F0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F38475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080F" w:rsidRPr="001E1A16" w14:paraId="2F1914B2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6E43AB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Median age at biopsy, months (IQR)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26BD7B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2.0 (IQR 1.5 – 3.0)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3FEC21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11.3 (IQR 7.4 – 17.2)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527CA9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49.8 (IQR 35.6 – 80.4)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8554F4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080F" w:rsidRPr="001E1A16" w14:paraId="6CAA53EF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3BB479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Histopathologic Findings, % (n)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876E8F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A92D4F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3BDC81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873287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080F" w:rsidRPr="001E1A16" w14:paraId="7F5CA614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62F16E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Bile duct paucity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D501AC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64% (n=262)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ADEEDE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73% (n=60)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B163CA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87% (n=100)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4DE526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&lt;0.001*</w:t>
            </w:r>
          </w:p>
        </w:tc>
      </w:tr>
      <w:tr w:rsidR="0079080F" w:rsidRPr="001E1A16" w14:paraId="187531E6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5C4291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Giant cell transformation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728920" w14:textId="5F7FDBBC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4</w:t>
            </w:r>
            <w:r w:rsidR="004D76B4">
              <w:rPr>
                <w:rFonts w:ascii="Times New Roman" w:eastAsia="Times New Roman" w:hAnsi="Times New Roman" w:cs="Times New Roman"/>
              </w:rPr>
              <w:t>3</w:t>
            </w:r>
            <w:r w:rsidRPr="001E1A16">
              <w:rPr>
                <w:rFonts w:ascii="Times New Roman" w:eastAsia="Times New Roman" w:hAnsi="Times New Roman" w:cs="Times New Roman"/>
              </w:rPr>
              <w:t>% (n=176)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0338EF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16% (n=13)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AC1E63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2% (n=2)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169594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&lt;0.001*</w:t>
            </w:r>
          </w:p>
        </w:tc>
      </w:tr>
      <w:tr w:rsidR="0079080F" w:rsidRPr="001E1A16" w14:paraId="7AD60288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0803F1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Hepatic Fibrosis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8C2804" w14:textId="585BE9F1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2</w:t>
            </w:r>
            <w:r w:rsidR="004D76B4">
              <w:rPr>
                <w:rFonts w:ascii="Times New Roman" w:eastAsia="Times New Roman" w:hAnsi="Times New Roman" w:cs="Times New Roman"/>
              </w:rPr>
              <w:t>2</w:t>
            </w:r>
            <w:r w:rsidRPr="001E1A16">
              <w:rPr>
                <w:rFonts w:ascii="Times New Roman" w:eastAsia="Times New Roman" w:hAnsi="Times New Roman" w:cs="Times New Roman"/>
              </w:rPr>
              <w:t>% (n=88)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E7F7C6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37% (n=30)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1923FF" w14:textId="54090B20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4</w:t>
            </w:r>
            <w:r w:rsidR="004D76B4">
              <w:rPr>
                <w:rFonts w:ascii="Times New Roman" w:eastAsia="Times New Roman" w:hAnsi="Times New Roman" w:cs="Times New Roman"/>
              </w:rPr>
              <w:t>5</w:t>
            </w:r>
            <w:r w:rsidRPr="001E1A16">
              <w:rPr>
                <w:rFonts w:ascii="Times New Roman" w:eastAsia="Times New Roman" w:hAnsi="Times New Roman" w:cs="Times New Roman"/>
              </w:rPr>
              <w:t>% (n=51)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86C8E7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&lt;0.001*</w:t>
            </w:r>
          </w:p>
        </w:tc>
      </w:tr>
      <w:tr w:rsidR="0079080F" w:rsidRPr="001E1A16" w14:paraId="3E035628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2C1995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Bile duct proliferation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DE64D6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21% (n=86)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CF3B63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16% (n=13)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26100C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5% (n=6)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424FFC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&lt;0.001*</w:t>
            </w:r>
          </w:p>
        </w:tc>
      </w:tr>
      <w:tr w:rsidR="0079080F" w:rsidRPr="001E1A16" w14:paraId="64D54BD7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0D1C11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Duct/ductular bile plugs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FA825C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9% (n=35)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67B028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7% (n=6)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DDB2DE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4% (n=5)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23BB4D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0.32</w:t>
            </w:r>
          </w:p>
        </w:tc>
      </w:tr>
      <w:tr w:rsidR="0079080F" w:rsidRPr="001E1A16" w14:paraId="67775031" w14:textId="77777777" w:rsidTr="007A05F4">
        <w:trPr>
          <w:trHeight w:val="351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CB7342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Features of biliary obstruction, any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11AA5B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26% (n=105)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C136CE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21% (n=17)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605D32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</w:rPr>
              <w:t>8% (n=9)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E41145" w14:textId="77777777" w:rsidR="0079080F" w:rsidRPr="001E1A16" w:rsidRDefault="0079080F" w:rsidP="007A0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A16">
              <w:rPr>
                <w:rFonts w:ascii="Times New Roman" w:eastAsia="Times New Roman" w:hAnsi="Times New Roman" w:cs="Times New Roman"/>
                <w:b/>
                <w:bCs/>
              </w:rPr>
              <w:t>&lt;0.001*</w:t>
            </w:r>
          </w:p>
        </w:tc>
      </w:tr>
    </w:tbl>
    <w:p w14:paraId="674C569E" w14:textId="77777777" w:rsidR="0079080F" w:rsidRPr="001E1A16" w:rsidRDefault="0079080F" w:rsidP="0079080F">
      <w:pPr>
        <w:rPr>
          <w:rFonts w:ascii="Times New Roman" w:eastAsia="Times New Roman" w:hAnsi="Times New Roman" w:cs="Times New Roman"/>
        </w:rPr>
      </w:pPr>
    </w:p>
    <w:p w14:paraId="76A3DE09" w14:textId="77777777" w:rsidR="0079080F" w:rsidRPr="001E1A16" w:rsidRDefault="0079080F" w:rsidP="0079080F">
      <w:pPr>
        <w:rPr>
          <w:rFonts w:ascii="Times New Roman" w:eastAsia="Times New Roman" w:hAnsi="Times New Roman" w:cs="Times New Roman"/>
        </w:rPr>
      </w:pPr>
    </w:p>
    <w:p w14:paraId="0789FC07" w14:textId="77777777" w:rsidR="0079080F" w:rsidRPr="001E1A16" w:rsidRDefault="0079080F" w:rsidP="0079080F">
      <w:pPr>
        <w:rPr>
          <w:rFonts w:ascii="Times New Roman" w:eastAsia="Times New Roman" w:hAnsi="Times New Roman" w:cs="Times New Roman"/>
        </w:rPr>
      </w:pPr>
    </w:p>
    <w:p w14:paraId="53965CA7" w14:textId="77777777" w:rsidR="0079080F" w:rsidRPr="001E1A16" w:rsidRDefault="0079080F" w:rsidP="0079080F">
      <w:pPr>
        <w:rPr>
          <w:rFonts w:ascii="Times New Roman" w:eastAsia="Times New Roman" w:hAnsi="Times New Roman" w:cs="Times New Roman"/>
        </w:rPr>
      </w:pPr>
    </w:p>
    <w:p w14:paraId="4A6D50C7" w14:textId="77777777" w:rsidR="0079080F" w:rsidRPr="001E1A16" w:rsidRDefault="0079080F" w:rsidP="0079080F">
      <w:pPr>
        <w:rPr>
          <w:rFonts w:ascii="Times New Roman" w:eastAsia="Times New Roman" w:hAnsi="Times New Roman" w:cs="Times New Roman"/>
        </w:rPr>
      </w:pPr>
    </w:p>
    <w:p w14:paraId="16890A7B" w14:textId="759BF5FB" w:rsidR="0079080F" w:rsidRDefault="0079080F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B388E33" w14:textId="43B429A5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1AE872A" w14:textId="4F84497F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1047511" w14:textId="430BBE2E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48BBC9C" w14:textId="6FCF749A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4B9202D" w14:textId="4D1404EF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140E3392" w14:textId="7FDD2D58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32189D8" w14:textId="18B20D7F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1BC7571" w14:textId="35F21B49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40D91F2" w14:textId="37A4B3E7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4496673B" w14:textId="590312C1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5F36B86" w14:textId="4670E5B8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429AF37" w14:textId="7E33B5FB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0D958B2" w14:textId="4D2C578A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9272FC9" w14:textId="2F610604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83092AF" w14:textId="3A780523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969E715" w14:textId="5ED2E286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5B491CF9" w14:textId="1EE964AF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AC85A73" w14:textId="7342D58D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66077217" w14:textId="46B0BD8A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564212A" w14:textId="6D590D6A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C648E74" w14:textId="08B99DD5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53E8B5DE" w14:textId="2195D60C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C416061" w14:textId="431B30CC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52BC77F" w14:textId="7B910E40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06DCB985" w14:textId="5CC5D7FD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CFBF95A" w14:textId="5999AF83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77EF08CE" w14:textId="3A461A92" w:rsidR="001420DA" w:rsidRDefault="001420DA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2E763605" w14:textId="77777777" w:rsidR="00816DF3" w:rsidRDefault="00816DF3" w:rsidP="003F063E">
      <w:pPr>
        <w:rPr>
          <w:rFonts w:ascii="Times New Roman" w:hAnsi="Times New Roman" w:cs="Times New Roman"/>
          <w:b/>
          <w:bCs/>
          <w:lang w:val="en-US"/>
        </w:rPr>
      </w:pPr>
    </w:p>
    <w:p w14:paraId="3683645B" w14:textId="2A66451B" w:rsidR="0036007C" w:rsidRPr="00741221" w:rsidRDefault="003F063E" w:rsidP="003F063E">
      <w:pPr>
        <w:rPr>
          <w:rFonts w:ascii="Times New Roman" w:hAnsi="Times New Roman" w:cs="Times New Roman"/>
        </w:rPr>
      </w:pPr>
      <w:r w:rsidRPr="00741221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9520A4">
        <w:rPr>
          <w:rFonts w:ascii="Times New Roman" w:hAnsi="Times New Roman" w:cs="Times New Roman"/>
          <w:b/>
          <w:bCs/>
          <w:lang w:val="en-US"/>
        </w:rPr>
        <w:t>8</w:t>
      </w:r>
      <w:r w:rsidRPr="00741221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741221">
        <w:rPr>
          <w:rFonts w:ascii="Times New Roman" w:hAnsi="Times New Roman" w:cs="Times New Roman"/>
          <w:lang w:val="en-US"/>
        </w:rPr>
        <w:t>Histopathologic findings at baseline and follow-up (&gt;12 months apart) in 8</w:t>
      </w:r>
      <w:r w:rsidR="00B504E9">
        <w:rPr>
          <w:rFonts w:ascii="Times New Roman" w:hAnsi="Times New Roman" w:cs="Times New Roman"/>
          <w:lang w:val="en-US"/>
        </w:rPr>
        <w:t>5</w:t>
      </w:r>
      <w:r w:rsidRPr="00741221">
        <w:rPr>
          <w:rFonts w:ascii="Times New Roman" w:hAnsi="Times New Roman" w:cs="Times New Roman"/>
          <w:lang w:val="en-US"/>
        </w:rPr>
        <w:t xml:space="preserve"> Children with ALGS and a history of neonatal cholestasis.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7"/>
        <w:gridCol w:w="2906"/>
        <w:gridCol w:w="2906"/>
        <w:gridCol w:w="1291"/>
      </w:tblGrid>
      <w:tr w:rsidR="003F063E" w:rsidRPr="00741221" w14:paraId="446B3F56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43A750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768AE4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  <w:b/>
                <w:bCs/>
              </w:rPr>
              <w:t>First Liver Biopsy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BB3D26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  <w:b/>
                <w:bCs/>
              </w:rPr>
              <w:t>Second Liver Biopsy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2598FF" w14:textId="25818FFB" w:rsidR="003F063E" w:rsidRPr="00681377" w:rsidRDefault="00894EC1" w:rsidP="00894EC1">
            <w:pPr>
              <w:jc w:val="center"/>
              <w:rPr>
                <w:rFonts w:ascii="Times New Roman" w:hAnsi="Times New Roman" w:cs="Times New Roman"/>
              </w:rPr>
            </w:pPr>
            <w:r w:rsidRPr="00894EC1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3F063E" w:rsidRPr="00681377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3F063E" w:rsidRPr="00741221" w14:paraId="3A17C35D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6991C5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0A1001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14BD3E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ACED48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63E" w:rsidRPr="00741221" w14:paraId="52676820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AEA951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Median age at bx, months (IQR)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A25CCC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2.3 (IQR 1.8 – 4.8)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CEC5D1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35.0 (IQR 24.4 – 75.0)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87B63F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63E" w:rsidRPr="00741221" w14:paraId="3D3A69F3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127A46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  <w:b/>
                <w:bCs/>
              </w:rPr>
              <w:t>Histopathologic Findings, % (n)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E9C9CA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EF159D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1CE999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63E" w:rsidRPr="00741221" w14:paraId="3C4B0514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FF612E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Bile duct paucity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3FC347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66% (n=56)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336305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86% (n=73)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6A83B2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0.53</w:t>
            </w:r>
          </w:p>
        </w:tc>
      </w:tr>
      <w:tr w:rsidR="003F063E" w:rsidRPr="00741221" w14:paraId="7505CDEE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0E99B3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Giant cell transformation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2B1BCE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47% (n=40)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D67504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4% (n=3)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5409B9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377">
              <w:rPr>
                <w:rFonts w:ascii="Times New Roman" w:hAnsi="Times New Roman" w:cs="Times New Roman"/>
              </w:rPr>
              <w:t>0.10</w:t>
            </w:r>
          </w:p>
        </w:tc>
      </w:tr>
      <w:tr w:rsidR="003F063E" w:rsidRPr="00741221" w14:paraId="263B39D7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BA077D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Hepatic Fibrosis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DBE3321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28% (n=24)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BC6869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62% (n=53)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FE3B72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81377">
              <w:rPr>
                <w:rFonts w:ascii="Times New Roman" w:hAnsi="Times New Roman" w:cs="Times New Roman"/>
                <w:b/>
                <w:bCs/>
              </w:rPr>
              <w:t>0.01*</w:t>
            </w:r>
          </w:p>
        </w:tc>
      </w:tr>
      <w:tr w:rsidR="003F063E" w:rsidRPr="00741221" w14:paraId="7A9AAE77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26B423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Bile duct proliferation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D9840B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25% (n=21)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AB9853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11% (n=9)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FF8B96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377">
              <w:rPr>
                <w:rFonts w:ascii="Times New Roman" w:hAnsi="Times New Roman" w:cs="Times New Roman"/>
                <w:b/>
                <w:bCs/>
              </w:rPr>
              <w:t>0.04*</w:t>
            </w:r>
          </w:p>
        </w:tc>
      </w:tr>
      <w:tr w:rsidR="003F063E" w:rsidRPr="00741221" w14:paraId="2CBA1122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23F52F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Duct/ductular bile plugs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81B98E" w14:textId="649FA983" w:rsidR="003F063E" w:rsidRPr="00681377" w:rsidRDefault="00221902" w:rsidP="0060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063E" w:rsidRPr="00681377">
              <w:rPr>
                <w:rFonts w:ascii="Times New Roman" w:hAnsi="Times New Roman" w:cs="Times New Roman"/>
              </w:rPr>
              <w:t>% (n=7)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B8603F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7% (n=6)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50F454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377">
              <w:rPr>
                <w:rFonts w:ascii="Times New Roman" w:hAnsi="Times New Roman" w:cs="Times New Roman"/>
              </w:rPr>
              <w:t>0.41</w:t>
            </w:r>
          </w:p>
        </w:tc>
      </w:tr>
      <w:tr w:rsidR="003F063E" w:rsidRPr="00532958" w14:paraId="10CD380F" w14:textId="77777777" w:rsidTr="00604C34">
        <w:trPr>
          <w:trHeight w:val="45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301E4A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Features of biliary obstruction, any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06EE06" w14:textId="77777777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29% (n=25)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E640D0" w14:textId="4188DF68" w:rsidR="003F063E" w:rsidRPr="00681377" w:rsidRDefault="003F063E" w:rsidP="006048ED">
            <w:pPr>
              <w:jc w:val="center"/>
              <w:rPr>
                <w:rFonts w:ascii="Times New Roman" w:hAnsi="Times New Roman" w:cs="Times New Roman"/>
              </w:rPr>
            </w:pPr>
            <w:r w:rsidRPr="00681377">
              <w:rPr>
                <w:rFonts w:ascii="Times New Roman" w:hAnsi="Times New Roman" w:cs="Times New Roman"/>
              </w:rPr>
              <w:t>1</w:t>
            </w:r>
            <w:r w:rsidR="00221902">
              <w:rPr>
                <w:rFonts w:ascii="Times New Roman" w:hAnsi="Times New Roman" w:cs="Times New Roman"/>
              </w:rPr>
              <w:t>6</w:t>
            </w:r>
            <w:r w:rsidRPr="00681377">
              <w:rPr>
                <w:rFonts w:ascii="Times New Roman" w:hAnsi="Times New Roman" w:cs="Times New Roman"/>
              </w:rPr>
              <w:t>% (n=14)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511CDE" w14:textId="77777777" w:rsidR="003F063E" w:rsidRPr="00E35C72" w:rsidRDefault="003F063E" w:rsidP="006048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377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</w:tbl>
    <w:p w14:paraId="2BEC4EE6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239B90EB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2213462A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587774F9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79CF6BBD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25653875" w14:textId="77777777" w:rsidR="003F063E" w:rsidRDefault="003F063E" w:rsidP="003F063E">
      <w:pPr>
        <w:rPr>
          <w:rFonts w:ascii="Times New Roman" w:hAnsi="Times New Roman" w:cs="Times New Roman"/>
        </w:rPr>
      </w:pPr>
    </w:p>
    <w:p w14:paraId="7B64E932" w14:textId="69532B62" w:rsidR="008A6E74" w:rsidRDefault="008A6E74"/>
    <w:p w14:paraId="36B43122" w14:textId="39CDB9B9" w:rsidR="008A6E74" w:rsidRDefault="008A6E74"/>
    <w:p w14:paraId="25D1D341" w14:textId="77777777" w:rsidR="008A6E74" w:rsidRDefault="008A6E74" w:rsidP="008A6E74"/>
    <w:p w14:paraId="253060C2" w14:textId="09A9C2AF" w:rsidR="008A6E74" w:rsidRDefault="008A6E74" w:rsidP="008A6E74"/>
    <w:p w14:paraId="509E58E3" w14:textId="65C4E7D6" w:rsidR="008A6E74" w:rsidRDefault="008A6E74" w:rsidP="008A6E74"/>
    <w:p w14:paraId="4DFEE1BF" w14:textId="69ADD1B8" w:rsidR="008A6E74" w:rsidRDefault="008A6E74" w:rsidP="008A6E74">
      <w:pPr>
        <w:rPr>
          <w:rFonts w:ascii="Times New Roman" w:hAnsi="Times New Roman" w:cs="Times New Roman"/>
        </w:rPr>
      </w:pPr>
    </w:p>
    <w:p w14:paraId="4C5377CE" w14:textId="3927EC42" w:rsidR="0036007C" w:rsidRDefault="0036007C" w:rsidP="008A6E74">
      <w:pPr>
        <w:rPr>
          <w:rFonts w:ascii="Times New Roman" w:hAnsi="Times New Roman" w:cs="Times New Roman"/>
        </w:rPr>
      </w:pPr>
    </w:p>
    <w:p w14:paraId="4B9F7253" w14:textId="3EF1A588" w:rsidR="0036007C" w:rsidRDefault="0036007C" w:rsidP="008A6E74">
      <w:pPr>
        <w:rPr>
          <w:rFonts w:ascii="Times New Roman" w:hAnsi="Times New Roman" w:cs="Times New Roman"/>
        </w:rPr>
      </w:pPr>
    </w:p>
    <w:p w14:paraId="576821E7" w14:textId="50E99068" w:rsidR="0036007C" w:rsidRDefault="0036007C" w:rsidP="008A6E74">
      <w:pPr>
        <w:rPr>
          <w:rFonts w:ascii="Times New Roman" w:hAnsi="Times New Roman" w:cs="Times New Roman"/>
        </w:rPr>
      </w:pPr>
    </w:p>
    <w:p w14:paraId="2B55B86E" w14:textId="129114DA" w:rsidR="0036007C" w:rsidRDefault="0036007C" w:rsidP="008A6E74">
      <w:pPr>
        <w:rPr>
          <w:rFonts w:ascii="Times New Roman" w:hAnsi="Times New Roman" w:cs="Times New Roman"/>
        </w:rPr>
      </w:pPr>
    </w:p>
    <w:p w14:paraId="62D9AE35" w14:textId="53FD1E3D" w:rsidR="0036007C" w:rsidRDefault="0036007C" w:rsidP="008A6E74">
      <w:pPr>
        <w:rPr>
          <w:rFonts w:ascii="Times New Roman" w:hAnsi="Times New Roman" w:cs="Times New Roman"/>
        </w:rPr>
      </w:pPr>
    </w:p>
    <w:p w14:paraId="307DF516" w14:textId="6B30082F" w:rsidR="0036007C" w:rsidRDefault="0036007C" w:rsidP="008A6E74">
      <w:pPr>
        <w:rPr>
          <w:rFonts w:ascii="Times New Roman" w:hAnsi="Times New Roman" w:cs="Times New Roman"/>
        </w:rPr>
      </w:pPr>
    </w:p>
    <w:p w14:paraId="2CB6DFF2" w14:textId="7EBA1DE7" w:rsidR="0036007C" w:rsidRDefault="0036007C" w:rsidP="008A6E74">
      <w:pPr>
        <w:rPr>
          <w:rFonts w:ascii="Times New Roman" w:hAnsi="Times New Roman" w:cs="Times New Roman"/>
        </w:rPr>
      </w:pPr>
    </w:p>
    <w:p w14:paraId="451A22B3" w14:textId="16B20991" w:rsidR="0036007C" w:rsidRDefault="0036007C" w:rsidP="008A6E74">
      <w:pPr>
        <w:rPr>
          <w:rFonts w:ascii="Times New Roman" w:hAnsi="Times New Roman" w:cs="Times New Roman"/>
        </w:rPr>
      </w:pPr>
    </w:p>
    <w:p w14:paraId="4725BFAA" w14:textId="0E36BB3F" w:rsidR="0036007C" w:rsidRDefault="0036007C" w:rsidP="008A6E74">
      <w:pPr>
        <w:rPr>
          <w:rFonts w:ascii="Times New Roman" w:hAnsi="Times New Roman" w:cs="Times New Roman"/>
        </w:rPr>
      </w:pPr>
    </w:p>
    <w:p w14:paraId="64BA153C" w14:textId="51CD8539" w:rsidR="0036007C" w:rsidRDefault="0036007C" w:rsidP="008A6E74">
      <w:pPr>
        <w:rPr>
          <w:rFonts w:ascii="Times New Roman" w:hAnsi="Times New Roman" w:cs="Times New Roman"/>
        </w:rPr>
      </w:pPr>
    </w:p>
    <w:p w14:paraId="547CC129" w14:textId="510B197C" w:rsidR="0036007C" w:rsidRDefault="0036007C" w:rsidP="008A6E74">
      <w:pPr>
        <w:rPr>
          <w:rFonts w:ascii="Times New Roman" w:hAnsi="Times New Roman" w:cs="Times New Roman"/>
        </w:rPr>
      </w:pPr>
    </w:p>
    <w:p w14:paraId="31DD90DA" w14:textId="1C0AB6C4" w:rsidR="0036007C" w:rsidRDefault="0036007C" w:rsidP="008A6E74">
      <w:pPr>
        <w:rPr>
          <w:rFonts w:ascii="Times New Roman" w:hAnsi="Times New Roman" w:cs="Times New Roman"/>
        </w:rPr>
      </w:pPr>
    </w:p>
    <w:p w14:paraId="62124030" w14:textId="71355A1C" w:rsidR="0036007C" w:rsidRDefault="0036007C" w:rsidP="008A6E74">
      <w:pPr>
        <w:rPr>
          <w:rFonts w:ascii="Times New Roman" w:hAnsi="Times New Roman" w:cs="Times New Roman"/>
        </w:rPr>
      </w:pPr>
    </w:p>
    <w:p w14:paraId="26CEDADC" w14:textId="68AEF8F8" w:rsidR="0036007C" w:rsidRDefault="0036007C" w:rsidP="008A6E74">
      <w:pPr>
        <w:rPr>
          <w:rFonts w:ascii="Times New Roman" w:hAnsi="Times New Roman" w:cs="Times New Roman"/>
        </w:rPr>
      </w:pPr>
    </w:p>
    <w:p w14:paraId="1B923423" w14:textId="52E6E7B9" w:rsidR="0036007C" w:rsidRDefault="0036007C" w:rsidP="008A6E74">
      <w:pPr>
        <w:rPr>
          <w:rFonts w:ascii="Times New Roman" w:hAnsi="Times New Roman" w:cs="Times New Roman"/>
        </w:rPr>
      </w:pPr>
    </w:p>
    <w:p w14:paraId="7F548935" w14:textId="6920B0C2" w:rsidR="0036007C" w:rsidRDefault="0036007C" w:rsidP="008A6E74">
      <w:pPr>
        <w:rPr>
          <w:rFonts w:ascii="Times New Roman" w:hAnsi="Times New Roman" w:cs="Times New Roman"/>
        </w:rPr>
      </w:pPr>
    </w:p>
    <w:p w14:paraId="262A0215" w14:textId="349E9FEB" w:rsidR="0036007C" w:rsidRDefault="0036007C" w:rsidP="008A6E74">
      <w:pPr>
        <w:rPr>
          <w:rFonts w:ascii="Times New Roman" w:hAnsi="Times New Roman" w:cs="Times New Roman"/>
        </w:rPr>
      </w:pPr>
    </w:p>
    <w:p w14:paraId="4469CE5E" w14:textId="2A1EB761" w:rsidR="0036007C" w:rsidRDefault="0036007C" w:rsidP="008A6E74">
      <w:pPr>
        <w:rPr>
          <w:rFonts w:ascii="Times New Roman" w:hAnsi="Times New Roman" w:cs="Times New Roman"/>
        </w:rPr>
      </w:pPr>
    </w:p>
    <w:p w14:paraId="776DC5CC" w14:textId="77777777" w:rsidR="0036007C" w:rsidRPr="0079114E" w:rsidRDefault="0036007C" w:rsidP="008A6E74">
      <w:pPr>
        <w:rPr>
          <w:rFonts w:ascii="Times New Roman" w:hAnsi="Times New Roman" w:cs="Times New Roman"/>
        </w:rPr>
      </w:pPr>
    </w:p>
    <w:p w14:paraId="408136AB" w14:textId="7E2D5D31" w:rsidR="00CD06A0" w:rsidRDefault="00CD06A0" w:rsidP="008A6E74">
      <w:pPr>
        <w:rPr>
          <w:rFonts w:ascii="Times New Roman" w:hAnsi="Times New Roman" w:cs="Times New Roman"/>
        </w:rPr>
      </w:pPr>
      <w:r w:rsidRPr="00CD06A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902406C" wp14:editId="7F21265A">
            <wp:extent cx="6858000" cy="430784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9A22" w14:textId="7745B162" w:rsidR="0068506F" w:rsidRPr="000846AF" w:rsidRDefault="0068506F" w:rsidP="008A6E74">
      <w:pPr>
        <w:rPr>
          <w:rFonts w:ascii="Times New Roman" w:hAnsi="Times New Roman" w:cs="Times New Roman"/>
          <w:b/>
          <w:bCs/>
        </w:rPr>
      </w:pPr>
      <w:r w:rsidRPr="0079114E">
        <w:rPr>
          <w:rFonts w:ascii="Times New Roman" w:hAnsi="Times New Roman" w:cs="Times New Roman"/>
          <w:b/>
          <w:bCs/>
        </w:rPr>
        <w:t xml:space="preserve">Supplementary Fig. 1. </w:t>
      </w:r>
      <w:r w:rsidR="0036007C" w:rsidRPr="0036007C">
        <w:rPr>
          <w:rFonts w:ascii="Times New Roman" w:hAnsi="Times New Roman" w:cs="Times New Roman"/>
          <w:b/>
          <w:bCs/>
        </w:rPr>
        <w:t xml:space="preserve">Cumulative incidence of native liver survival </w:t>
      </w:r>
      <w:r w:rsidR="000846AF">
        <w:rPr>
          <w:rFonts w:ascii="Times New Roman" w:hAnsi="Times New Roman" w:cs="Times New Roman"/>
          <w:b/>
          <w:bCs/>
        </w:rPr>
        <w:t xml:space="preserve">(NLS) </w:t>
      </w:r>
      <w:r w:rsidR="0036007C" w:rsidRPr="0036007C">
        <w:rPr>
          <w:rFonts w:ascii="Times New Roman" w:hAnsi="Times New Roman" w:cs="Times New Roman"/>
          <w:b/>
          <w:bCs/>
        </w:rPr>
        <w:t xml:space="preserve">in the presence of competing events (LT or risk of death without </w:t>
      </w:r>
      <w:r w:rsidR="000846AF">
        <w:rPr>
          <w:rFonts w:ascii="Times New Roman" w:hAnsi="Times New Roman" w:cs="Times New Roman"/>
          <w:b/>
          <w:bCs/>
        </w:rPr>
        <w:t>liver transplantation</w:t>
      </w:r>
      <w:r w:rsidR="0036007C" w:rsidRPr="0036007C">
        <w:rPr>
          <w:rFonts w:ascii="Times New Roman" w:hAnsi="Times New Roman" w:cs="Times New Roman"/>
          <w:b/>
          <w:bCs/>
        </w:rPr>
        <w:t>) in children with Alagille syndrome (ALGS) who presented with neonatal cholestasis</w:t>
      </w:r>
      <w:r w:rsidR="0036007C">
        <w:rPr>
          <w:rFonts w:ascii="Times New Roman" w:hAnsi="Times New Roman" w:cs="Times New Roman"/>
          <w:b/>
          <w:bCs/>
        </w:rPr>
        <w:t>, where those who</w:t>
      </w:r>
      <w:r w:rsidR="0036007C" w:rsidRPr="0036007C">
        <w:t xml:space="preserve"> </w:t>
      </w:r>
      <w:r w:rsidR="0036007C" w:rsidRPr="0036007C">
        <w:rPr>
          <w:rFonts w:ascii="Times New Roman" w:hAnsi="Times New Roman" w:cs="Times New Roman"/>
          <w:b/>
          <w:bCs/>
        </w:rPr>
        <w:t xml:space="preserve">underwent KPE were </w:t>
      </w:r>
      <w:r w:rsidR="00221902">
        <w:rPr>
          <w:rFonts w:ascii="Times New Roman" w:hAnsi="Times New Roman" w:cs="Times New Roman"/>
          <w:b/>
          <w:bCs/>
        </w:rPr>
        <w:t xml:space="preserve">truncated </w:t>
      </w:r>
      <w:r w:rsidR="0036007C" w:rsidRPr="0036007C">
        <w:rPr>
          <w:rFonts w:ascii="Times New Roman" w:hAnsi="Times New Roman" w:cs="Times New Roman"/>
          <w:b/>
          <w:bCs/>
        </w:rPr>
        <w:t>at the time of their procedure</w:t>
      </w:r>
      <w:r w:rsidR="000846AF">
        <w:rPr>
          <w:rFonts w:ascii="Times New Roman" w:hAnsi="Times New Roman" w:cs="Times New Roman"/>
          <w:b/>
          <w:bCs/>
        </w:rPr>
        <w:t xml:space="preserve">. </w:t>
      </w:r>
      <w:r w:rsidR="0036007C">
        <w:rPr>
          <w:rFonts w:ascii="Times New Roman" w:hAnsi="Times New Roman" w:cs="Times New Roman"/>
        </w:rPr>
        <w:t>A</w:t>
      </w:r>
      <w:r w:rsidR="0036007C" w:rsidRPr="0079114E">
        <w:rPr>
          <w:rFonts w:ascii="Times New Roman" w:hAnsi="Times New Roman" w:cs="Times New Roman"/>
        </w:rPr>
        <w:t>t 5, 10, and 18-years the rate of NLS was 70.7% (95% CI, 26.2 – 32.5), 58.3% (95% CI, 37.8 – 45.5), and 43.0% (95% CI, 51.5 – 62.2)</w:t>
      </w:r>
      <w:r w:rsidR="000846AF">
        <w:rPr>
          <w:rFonts w:ascii="Times New Roman" w:hAnsi="Times New Roman" w:cs="Times New Roman"/>
        </w:rPr>
        <w:t xml:space="preserve">. </w:t>
      </w:r>
    </w:p>
    <w:p w14:paraId="5C9017CE" w14:textId="4EB55472" w:rsidR="0079114E" w:rsidRDefault="0079114E" w:rsidP="0079114E">
      <w:pPr>
        <w:rPr>
          <w:rFonts w:ascii="Times New Roman" w:hAnsi="Times New Roman" w:cs="Times New Roman"/>
        </w:rPr>
      </w:pPr>
    </w:p>
    <w:p w14:paraId="1D757CFF" w14:textId="3F490579" w:rsidR="000846AF" w:rsidRDefault="000846AF" w:rsidP="0079114E">
      <w:pPr>
        <w:rPr>
          <w:rFonts w:ascii="Times New Roman" w:hAnsi="Times New Roman" w:cs="Times New Roman"/>
        </w:rPr>
      </w:pPr>
    </w:p>
    <w:p w14:paraId="6F63CDB1" w14:textId="579145CC" w:rsidR="000846AF" w:rsidRPr="0079114E" w:rsidRDefault="000846AF" w:rsidP="0079114E">
      <w:pPr>
        <w:rPr>
          <w:rFonts w:ascii="Times New Roman" w:hAnsi="Times New Roman" w:cs="Times New Roman"/>
        </w:rPr>
      </w:pPr>
    </w:p>
    <w:p w14:paraId="433D1668" w14:textId="19917976" w:rsidR="0079114E" w:rsidRDefault="0079114E" w:rsidP="008A6E74"/>
    <w:p w14:paraId="3802FFA1" w14:textId="66159CF3" w:rsidR="0068506F" w:rsidRDefault="0068506F" w:rsidP="008A6E74"/>
    <w:p w14:paraId="040020DF" w14:textId="13F9AB89" w:rsidR="008A6E74" w:rsidRDefault="008A6E74" w:rsidP="008A6E74"/>
    <w:p w14:paraId="6C3653CD" w14:textId="69956CAE" w:rsidR="008A6E74" w:rsidRDefault="008A6E74" w:rsidP="008A6E74"/>
    <w:p w14:paraId="24774813" w14:textId="0F14B3DB" w:rsidR="0036007C" w:rsidRDefault="0036007C" w:rsidP="008A6E74"/>
    <w:p w14:paraId="28449FD1" w14:textId="6BB3E4CC" w:rsidR="0036007C" w:rsidRDefault="0036007C" w:rsidP="008A6E74"/>
    <w:p w14:paraId="6F5D5813" w14:textId="6B08B561" w:rsidR="0036007C" w:rsidRDefault="0036007C" w:rsidP="008A6E74"/>
    <w:p w14:paraId="48233A68" w14:textId="0A847E7A" w:rsidR="0036007C" w:rsidRDefault="0036007C" w:rsidP="008A6E74"/>
    <w:p w14:paraId="17F4C7DE" w14:textId="24A4564F" w:rsidR="0036007C" w:rsidRDefault="0036007C" w:rsidP="008A6E74"/>
    <w:p w14:paraId="4F8FD330" w14:textId="5BA5C502" w:rsidR="0036007C" w:rsidRDefault="0036007C" w:rsidP="008A6E74"/>
    <w:p w14:paraId="0183BF23" w14:textId="36485A49" w:rsidR="0036007C" w:rsidRDefault="0036007C" w:rsidP="008A6E74"/>
    <w:p w14:paraId="10BC81AF" w14:textId="2AC7C961" w:rsidR="0036007C" w:rsidRDefault="0036007C" w:rsidP="008A6E74"/>
    <w:p w14:paraId="15CA355C" w14:textId="0C5C882D" w:rsidR="008A6E74" w:rsidRDefault="008A6E74" w:rsidP="008A6E74"/>
    <w:p w14:paraId="54E0E5E3" w14:textId="77777777" w:rsidR="0036007C" w:rsidRDefault="0036007C" w:rsidP="008A6E74"/>
    <w:p w14:paraId="6AEB8772" w14:textId="68B80664" w:rsidR="0092582D" w:rsidRDefault="0092582D" w:rsidP="008A6E74">
      <w:pPr>
        <w:rPr>
          <w:rFonts w:ascii="Times New Roman" w:hAnsi="Times New Roman" w:cs="Times New Roman"/>
        </w:rPr>
      </w:pPr>
    </w:p>
    <w:p w14:paraId="76DA0C68" w14:textId="261AE912" w:rsidR="0092582D" w:rsidRDefault="0092582D" w:rsidP="008A6E74">
      <w:pPr>
        <w:rPr>
          <w:rFonts w:ascii="Times New Roman" w:hAnsi="Times New Roman" w:cs="Times New Roman"/>
        </w:rPr>
      </w:pPr>
    </w:p>
    <w:p w14:paraId="716C119B" w14:textId="7DCEF809" w:rsidR="0092582D" w:rsidRDefault="0092582D" w:rsidP="008A6E74">
      <w:pPr>
        <w:rPr>
          <w:rFonts w:ascii="Times New Roman" w:hAnsi="Times New Roman" w:cs="Times New Roman"/>
        </w:rPr>
      </w:pPr>
    </w:p>
    <w:p w14:paraId="20B244B2" w14:textId="72022C90" w:rsidR="006A2031" w:rsidRDefault="006A2031" w:rsidP="008A6E74">
      <w:pPr>
        <w:rPr>
          <w:rFonts w:ascii="Times New Roman" w:hAnsi="Times New Roman" w:cs="Times New Roman"/>
        </w:rPr>
      </w:pPr>
    </w:p>
    <w:p w14:paraId="121A5294" w14:textId="21FEB056" w:rsidR="003C3190" w:rsidRPr="003C3190" w:rsidRDefault="00666783" w:rsidP="003C3190">
      <w:pPr>
        <w:rPr>
          <w:rFonts w:ascii="Times New Roman" w:hAnsi="Times New Roman" w:cs="Times New Roman"/>
        </w:rPr>
      </w:pPr>
      <w:r w:rsidRPr="0066678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67CF451" wp14:editId="32B5AF0E">
            <wp:extent cx="5257800" cy="7035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9097" w14:textId="587AE328" w:rsidR="006A2031" w:rsidRDefault="003C3190" w:rsidP="003C3190">
      <w:pPr>
        <w:rPr>
          <w:rFonts w:ascii="Times New Roman" w:hAnsi="Times New Roman" w:cs="Times New Roman"/>
        </w:rPr>
      </w:pPr>
      <w:r w:rsidRPr="003C3190">
        <w:rPr>
          <w:rFonts w:ascii="Times New Roman" w:hAnsi="Times New Roman" w:cs="Times New Roman"/>
          <w:b/>
          <w:bCs/>
        </w:rPr>
        <w:t xml:space="preserve">Supplementary Fig. 2. Geographic differences in rates of native liver survival (NLS) and overall survival (OS) in a large, international cohort of children with Alagille syndrome (ALGS). </w:t>
      </w:r>
      <w:r w:rsidRPr="003C3190">
        <w:rPr>
          <w:rFonts w:ascii="Times New Roman" w:hAnsi="Times New Roman" w:cs="Times New Roman"/>
        </w:rPr>
        <w:t xml:space="preserve">The cohort was stratified into one of seven geographic regions – (1) Africa; (2) Asia; (3) Europe; (4) the Middle East; (5) North America; (6) Oceania (Australia and New Zealand); and (7) South America. (A) A Kaplan-Meier analysis in 1184 children with ALGS who presented with neonatal cholestasis revealed a statistically significant difference between rates of NLS and geographic region (log-rank, </w:t>
      </w:r>
      <w:r w:rsidRPr="00221902">
        <w:rPr>
          <w:rFonts w:ascii="Times New Roman" w:hAnsi="Times New Roman" w:cs="Times New Roman"/>
          <w:i/>
          <w:iCs/>
        </w:rPr>
        <w:t>p</w:t>
      </w:r>
      <w:r w:rsidRPr="003C3190">
        <w:rPr>
          <w:rFonts w:ascii="Times New Roman" w:hAnsi="Times New Roman" w:cs="Times New Roman"/>
        </w:rPr>
        <w:t xml:space="preserve">&lt;0.001). (B) A Kaplan-Meier analysis in 1433 children with ALGS revealed a statistically significant difference in OS rates across geographic regions (log-rank, </w:t>
      </w:r>
      <w:r w:rsidRPr="00221902">
        <w:rPr>
          <w:rFonts w:ascii="Times New Roman" w:hAnsi="Times New Roman" w:cs="Times New Roman"/>
          <w:i/>
          <w:iCs/>
        </w:rPr>
        <w:t>p</w:t>
      </w:r>
      <w:r w:rsidRPr="003C3190">
        <w:rPr>
          <w:rFonts w:ascii="Times New Roman" w:hAnsi="Times New Roman" w:cs="Times New Roman"/>
        </w:rPr>
        <w:t>=0.002). Two subjects were excluded from the NLS and OS analysis due to missing dates of LT and death.</w:t>
      </w:r>
    </w:p>
    <w:p w14:paraId="2CCDE268" w14:textId="71737E61" w:rsidR="006A2031" w:rsidRDefault="006A2031" w:rsidP="008A6E74">
      <w:pPr>
        <w:rPr>
          <w:rFonts w:ascii="Times New Roman" w:hAnsi="Times New Roman" w:cs="Times New Roman"/>
        </w:rPr>
      </w:pPr>
    </w:p>
    <w:p w14:paraId="76C43DD4" w14:textId="6184F21D" w:rsidR="006A2031" w:rsidRDefault="006A2031" w:rsidP="008A6E74">
      <w:pPr>
        <w:rPr>
          <w:rFonts w:ascii="Times New Roman" w:hAnsi="Times New Roman" w:cs="Times New Roman"/>
        </w:rPr>
      </w:pPr>
    </w:p>
    <w:p w14:paraId="4449255E" w14:textId="452B5107" w:rsidR="006A2031" w:rsidRDefault="006A2031" w:rsidP="008A6E74">
      <w:pPr>
        <w:rPr>
          <w:rFonts w:ascii="Times New Roman" w:hAnsi="Times New Roman" w:cs="Times New Roman"/>
        </w:rPr>
      </w:pPr>
    </w:p>
    <w:p w14:paraId="186F7588" w14:textId="06FC9357" w:rsidR="003E1A6A" w:rsidRDefault="003E1A6A" w:rsidP="008A6E74">
      <w:pPr>
        <w:rPr>
          <w:rFonts w:ascii="Times New Roman" w:hAnsi="Times New Roman" w:cs="Times New Roman"/>
        </w:rPr>
      </w:pPr>
    </w:p>
    <w:p w14:paraId="5BA0BA3D" w14:textId="09EE6B9F" w:rsidR="009A23D6" w:rsidRDefault="00D52BDF" w:rsidP="008A6E74">
      <w:pPr>
        <w:rPr>
          <w:rFonts w:ascii="Times New Roman" w:hAnsi="Times New Roman" w:cs="Times New Roman"/>
          <w:b/>
          <w:bCs/>
        </w:rPr>
      </w:pPr>
      <w:r w:rsidRPr="00D52BDF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3D0DE771" wp14:editId="1298C5F1">
            <wp:extent cx="6172200" cy="34417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82C8B" w14:textId="22563688" w:rsidR="0092582D" w:rsidRPr="00E01D80" w:rsidRDefault="007943D6" w:rsidP="008A6E74">
      <w:pPr>
        <w:rPr>
          <w:rFonts w:ascii="Times New Roman" w:hAnsi="Times New Roman" w:cs="Times New Roman"/>
          <w:b/>
          <w:bCs/>
        </w:rPr>
      </w:pPr>
      <w:r w:rsidRPr="001E0C5D">
        <w:rPr>
          <w:rFonts w:ascii="Times New Roman" w:hAnsi="Times New Roman" w:cs="Times New Roman"/>
          <w:b/>
          <w:bCs/>
        </w:rPr>
        <w:t xml:space="preserve">Supplementary Fig. </w:t>
      </w:r>
      <w:r w:rsidR="00A75DE8" w:rsidRPr="001E0C5D">
        <w:rPr>
          <w:rFonts w:ascii="Times New Roman" w:hAnsi="Times New Roman" w:cs="Times New Roman"/>
          <w:b/>
          <w:bCs/>
        </w:rPr>
        <w:t>3</w:t>
      </w:r>
      <w:r w:rsidRPr="001E0C5D">
        <w:rPr>
          <w:rFonts w:ascii="Times New Roman" w:hAnsi="Times New Roman" w:cs="Times New Roman"/>
          <w:b/>
          <w:bCs/>
        </w:rPr>
        <w:t xml:space="preserve">. </w:t>
      </w:r>
      <w:r w:rsidR="003B6E05" w:rsidRPr="001E0C5D">
        <w:rPr>
          <w:rFonts w:ascii="Times New Roman" w:hAnsi="Times New Roman" w:cs="Times New Roman"/>
          <w:b/>
          <w:bCs/>
        </w:rPr>
        <w:t xml:space="preserve">Early total bilirubin (TB) levels are predictive of developing </w:t>
      </w:r>
      <w:r w:rsidR="0049261A">
        <w:rPr>
          <w:rFonts w:ascii="Times New Roman" w:hAnsi="Times New Roman" w:cs="Times New Roman"/>
          <w:b/>
          <w:bCs/>
        </w:rPr>
        <w:t xml:space="preserve">clinically evident portal hypertension </w:t>
      </w:r>
      <w:r w:rsidR="003B6E05" w:rsidRPr="001E0C5D">
        <w:rPr>
          <w:rFonts w:ascii="Times New Roman" w:hAnsi="Times New Roman" w:cs="Times New Roman"/>
          <w:b/>
          <w:bCs/>
        </w:rPr>
        <w:t>in children with Alagille syndrome (ALGS)</w:t>
      </w:r>
      <w:r w:rsidR="009A23D6">
        <w:rPr>
          <w:rFonts w:ascii="Times New Roman" w:hAnsi="Times New Roman" w:cs="Times New Roman"/>
          <w:b/>
          <w:bCs/>
        </w:rPr>
        <w:t xml:space="preserve">. </w:t>
      </w:r>
      <w:r w:rsidR="00D52BDF" w:rsidRPr="00CF05DA">
        <w:rPr>
          <w:rFonts w:ascii="Times New Roman" w:hAnsi="Times New Roman" w:cs="Times New Roman"/>
          <w:color w:val="000000" w:themeColor="text1"/>
        </w:rPr>
        <w:t xml:space="preserve">Those who had </w:t>
      </w:r>
      <w:r w:rsidR="00D52BDF">
        <w:rPr>
          <w:rFonts w:ascii="Times New Roman" w:hAnsi="Times New Roman" w:cs="Times New Roman"/>
          <w:color w:val="000000" w:themeColor="text1"/>
        </w:rPr>
        <w:t xml:space="preserve">CEPH </w:t>
      </w:r>
      <w:r w:rsidR="00D52BDF" w:rsidRPr="00CF05DA">
        <w:rPr>
          <w:rFonts w:ascii="Times New Roman" w:hAnsi="Times New Roman" w:cs="Times New Roman"/>
          <w:color w:val="000000" w:themeColor="text1"/>
        </w:rPr>
        <w:t>in the first year of life or their follow-up ended before 1 year of age were excluded from the laboratory analysis.</w:t>
      </w:r>
      <w:r w:rsidR="00553998">
        <w:rPr>
          <w:rFonts w:ascii="Times New Roman" w:hAnsi="Times New Roman" w:cs="Times New Roman"/>
          <w:b/>
          <w:bCs/>
        </w:rPr>
        <w:t xml:space="preserve"> </w:t>
      </w:r>
      <w:r w:rsidR="00E01D80" w:rsidRPr="00E01D80">
        <w:rPr>
          <w:rFonts w:ascii="Times New Roman" w:hAnsi="Times New Roman" w:cs="Times New Roman"/>
        </w:rPr>
        <w:t xml:space="preserve">Children (&gt;6 and ≤12 months) with median total bilirubin (TB) levels between ≥5.0 and &lt;10.0 mg/dL had a 4.1-fold (95% CI 1.6 – 10.8) and those ≥10.0 mg/dL had </w:t>
      </w:r>
      <w:r w:rsidR="002856A1" w:rsidRPr="00E01D80">
        <w:rPr>
          <w:rFonts w:ascii="Times New Roman" w:hAnsi="Times New Roman" w:cs="Times New Roman"/>
        </w:rPr>
        <w:t>an</w:t>
      </w:r>
      <w:r w:rsidR="00E01D80" w:rsidRPr="00E01D80">
        <w:rPr>
          <w:rFonts w:ascii="Times New Roman" w:hAnsi="Times New Roman" w:cs="Times New Roman"/>
        </w:rPr>
        <w:t xml:space="preserve"> 8.0-fold (95% CI 3.4 – 18.4) increased risk of developing CEPH compared with &lt;5.0 mg/dL.</w:t>
      </w:r>
    </w:p>
    <w:p w14:paraId="41E72807" w14:textId="5A5A1F64" w:rsidR="00297E35" w:rsidRDefault="00297E35" w:rsidP="008A6E74">
      <w:pPr>
        <w:rPr>
          <w:rFonts w:ascii="Times New Roman" w:hAnsi="Times New Roman" w:cs="Times New Roman"/>
        </w:rPr>
      </w:pPr>
    </w:p>
    <w:p w14:paraId="13373E30" w14:textId="77777777" w:rsidR="003B6E05" w:rsidRDefault="003B6E05" w:rsidP="008A6E74">
      <w:pPr>
        <w:rPr>
          <w:rFonts w:ascii="Times New Roman" w:hAnsi="Times New Roman" w:cs="Times New Roman"/>
        </w:rPr>
      </w:pPr>
    </w:p>
    <w:p w14:paraId="39D4CDD2" w14:textId="33E8D1DF" w:rsidR="0092582D" w:rsidRDefault="0092582D" w:rsidP="008A6E74">
      <w:pPr>
        <w:rPr>
          <w:rFonts w:ascii="Times New Roman" w:hAnsi="Times New Roman" w:cs="Times New Roman"/>
        </w:rPr>
      </w:pPr>
    </w:p>
    <w:p w14:paraId="05C83706" w14:textId="60FEF8CE" w:rsidR="0092582D" w:rsidRDefault="0092582D" w:rsidP="008A6E74">
      <w:pPr>
        <w:rPr>
          <w:rFonts w:ascii="Times New Roman" w:hAnsi="Times New Roman" w:cs="Times New Roman"/>
        </w:rPr>
      </w:pPr>
    </w:p>
    <w:p w14:paraId="309BDF4A" w14:textId="66D1D54D" w:rsidR="004632D3" w:rsidRDefault="004632D3" w:rsidP="008A6E74">
      <w:pPr>
        <w:rPr>
          <w:rFonts w:ascii="Times New Roman" w:hAnsi="Times New Roman" w:cs="Times New Roman"/>
        </w:rPr>
      </w:pPr>
    </w:p>
    <w:p w14:paraId="1AF0C663" w14:textId="21F78E85" w:rsidR="004632D3" w:rsidRDefault="004632D3" w:rsidP="008A6E74">
      <w:pPr>
        <w:rPr>
          <w:rFonts w:ascii="Times New Roman" w:hAnsi="Times New Roman" w:cs="Times New Roman"/>
        </w:rPr>
      </w:pPr>
    </w:p>
    <w:p w14:paraId="312353E4" w14:textId="335627EC" w:rsidR="004632D3" w:rsidRDefault="004632D3" w:rsidP="008A6E74">
      <w:pPr>
        <w:rPr>
          <w:rFonts w:ascii="Times New Roman" w:hAnsi="Times New Roman" w:cs="Times New Roman"/>
        </w:rPr>
      </w:pPr>
    </w:p>
    <w:p w14:paraId="0B465743" w14:textId="248E669B" w:rsidR="004632D3" w:rsidRDefault="004632D3" w:rsidP="008A6E74">
      <w:pPr>
        <w:rPr>
          <w:rFonts w:ascii="Times New Roman" w:hAnsi="Times New Roman" w:cs="Times New Roman"/>
        </w:rPr>
      </w:pPr>
    </w:p>
    <w:p w14:paraId="060303CE" w14:textId="3CB5B1DB" w:rsidR="004632D3" w:rsidRDefault="004632D3" w:rsidP="008A6E74">
      <w:pPr>
        <w:rPr>
          <w:rFonts w:ascii="Times New Roman" w:hAnsi="Times New Roman" w:cs="Times New Roman"/>
        </w:rPr>
      </w:pPr>
    </w:p>
    <w:p w14:paraId="2174E4FE" w14:textId="1C81B439" w:rsidR="004632D3" w:rsidRDefault="004632D3" w:rsidP="008A6E74">
      <w:pPr>
        <w:rPr>
          <w:rFonts w:ascii="Times New Roman" w:hAnsi="Times New Roman" w:cs="Times New Roman"/>
        </w:rPr>
      </w:pPr>
    </w:p>
    <w:p w14:paraId="36EBC147" w14:textId="0D62A114" w:rsidR="004632D3" w:rsidRDefault="004632D3" w:rsidP="008A6E74">
      <w:pPr>
        <w:rPr>
          <w:rFonts w:ascii="Times New Roman" w:hAnsi="Times New Roman" w:cs="Times New Roman"/>
        </w:rPr>
      </w:pPr>
    </w:p>
    <w:p w14:paraId="1BCA3F67" w14:textId="38EF22AB" w:rsidR="004632D3" w:rsidRDefault="004632D3" w:rsidP="008A6E74">
      <w:pPr>
        <w:rPr>
          <w:rFonts w:ascii="Times New Roman" w:hAnsi="Times New Roman" w:cs="Times New Roman"/>
        </w:rPr>
      </w:pPr>
    </w:p>
    <w:p w14:paraId="4911C234" w14:textId="77777777" w:rsidR="004632D3" w:rsidRDefault="004632D3" w:rsidP="008A6E74">
      <w:pPr>
        <w:rPr>
          <w:rFonts w:ascii="Times New Roman" w:hAnsi="Times New Roman" w:cs="Times New Roman"/>
        </w:rPr>
      </w:pPr>
    </w:p>
    <w:p w14:paraId="55A35DC2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6F820800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5DAC143A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2B6683E4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71B6C6F1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37247246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2BB360B2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32EE21DB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2CB7BF3C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75CA8AEF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34FD2230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4385415D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0E4F1F9B" w14:textId="77777777" w:rsidR="00291445" w:rsidRDefault="00291445" w:rsidP="008A6E74">
      <w:pPr>
        <w:rPr>
          <w:rFonts w:ascii="Times New Roman" w:hAnsi="Times New Roman" w:cs="Times New Roman"/>
          <w:b/>
          <w:bCs/>
        </w:rPr>
      </w:pPr>
    </w:p>
    <w:p w14:paraId="59722D7E" w14:textId="39026814" w:rsidR="0092582D" w:rsidRPr="00291445" w:rsidRDefault="00AF31BF" w:rsidP="008A6E74">
      <w:pPr>
        <w:rPr>
          <w:rFonts w:ascii="Times New Roman" w:hAnsi="Times New Roman" w:cs="Times New Roman"/>
          <w:b/>
          <w:bCs/>
        </w:rPr>
      </w:pPr>
      <w:r w:rsidRPr="00AF31BF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178C8BCA" wp14:editId="33F07CB4">
            <wp:extent cx="6858000" cy="3753485"/>
            <wp:effectExtent l="0" t="0" r="0" b="5715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82D" w:rsidRPr="008A6E74">
        <w:rPr>
          <w:rFonts w:ascii="Times New Roman" w:hAnsi="Times New Roman" w:cs="Times New Roman"/>
          <w:b/>
          <w:bCs/>
        </w:rPr>
        <w:t xml:space="preserve">Supplementary Fig. </w:t>
      </w:r>
      <w:r w:rsidR="00D25E64">
        <w:rPr>
          <w:rFonts w:ascii="Times New Roman" w:hAnsi="Times New Roman" w:cs="Times New Roman"/>
          <w:b/>
          <w:bCs/>
        </w:rPr>
        <w:t>4</w:t>
      </w:r>
      <w:r w:rsidR="0092582D">
        <w:rPr>
          <w:rFonts w:ascii="Times New Roman" w:hAnsi="Times New Roman" w:cs="Times New Roman"/>
          <w:b/>
          <w:bCs/>
        </w:rPr>
        <w:t xml:space="preserve">. </w:t>
      </w:r>
      <w:r w:rsidR="0092582D" w:rsidRPr="008A6E74">
        <w:rPr>
          <w:rFonts w:ascii="Times New Roman" w:hAnsi="Times New Roman" w:cs="Times New Roman"/>
        </w:rPr>
        <w:t xml:space="preserve"> </w:t>
      </w:r>
      <w:r w:rsidR="0092582D" w:rsidRPr="003B6E05">
        <w:rPr>
          <w:rFonts w:ascii="Times New Roman" w:hAnsi="Times New Roman" w:cs="Times New Roman"/>
          <w:b/>
          <w:bCs/>
        </w:rPr>
        <w:t>Overall patient survival rates in 1433 children with Alagille syndrome (ALGS).</w:t>
      </w:r>
      <w:r w:rsidR="0092582D" w:rsidRPr="0092582D">
        <w:rPr>
          <w:rFonts w:ascii="Times New Roman" w:hAnsi="Times New Roman" w:cs="Times New Roman"/>
        </w:rPr>
        <w:t xml:space="preserve"> A Kaplan–Meier survival analysis for all-cause mortality showed at 5, 10 and 18-years the rate of overall survival was </w:t>
      </w:r>
      <w:r w:rsidR="00B17F62" w:rsidRPr="00B17F62">
        <w:rPr>
          <w:rFonts w:ascii="Times New Roman" w:hAnsi="Times New Roman" w:cs="Times New Roman"/>
        </w:rPr>
        <w:t xml:space="preserve">92.8%, 91.2%, and 88.1%, </w:t>
      </w:r>
      <w:r w:rsidR="0092582D" w:rsidRPr="0092582D">
        <w:rPr>
          <w:rFonts w:ascii="Times New Roman" w:hAnsi="Times New Roman" w:cs="Times New Roman"/>
        </w:rPr>
        <w:t>respectively. Two subjects were excluded from this analysis due to missing dates of death.</w:t>
      </w:r>
    </w:p>
    <w:p w14:paraId="467383E0" w14:textId="58971026" w:rsidR="0092582D" w:rsidRDefault="0092582D" w:rsidP="008A6E74">
      <w:pPr>
        <w:rPr>
          <w:rFonts w:ascii="Times New Roman" w:hAnsi="Times New Roman" w:cs="Times New Roman"/>
        </w:rPr>
      </w:pPr>
    </w:p>
    <w:p w14:paraId="36537199" w14:textId="3A39D4B9" w:rsidR="0092582D" w:rsidRDefault="0092582D" w:rsidP="008A6E74">
      <w:pPr>
        <w:rPr>
          <w:rFonts w:ascii="Times New Roman" w:hAnsi="Times New Roman" w:cs="Times New Roman"/>
        </w:rPr>
      </w:pPr>
    </w:p>
    <w:p w14:paraId="57A28463" w14:textId="10BDB93D" w:rsidR="0092582D" w:rsidRDefault="0092582D" w:rsidP="008A6E74">
      <w:pPr>
        <w:rPr>
          <w:rFonts w:ascii="Times New Roman" w:hAnsi="Times New Roman" w:cs="Times New Roman"/>
        </w:rPr>
      </w:pPr>
    </w:p>
    <w:p w14:paraId="59780285" w14:textId="48206809" w:rsidR="0092582D" w:rsidRDefault="0092582D" w:rsidP="008A6E74">
      <w:pPr>
        <w:rPr>
          <w:rFonts w:ascii="Times New Roman" w:hAnsi="Times New Roman" w:cs="Times New Roman"/>
        </w:rPr>
      </w:pPr>
    </w:p>
    <w:p w14:paraId="1E440394" w14:textId="324A043B" w:rsidR="002D10FA" w:rsidRDefault="002D10FA" w:rsidP="008A6E74">
      <w:pPr>
        <w:rPr>
          <w:rFonts w:ascii="Times New Roman" w:hAnsi="Times New Roman" w:cs="Times New Roman"/>
        </w:rPr>
      </w:pPr>
    </w:p>
    <w:p w14:paraId="5C911F80" w14:textId="46726A0F" w:rsidR="002D10FA" w:rsidRDefault="002D10FA" w:rsidP="008A6E74">
      <w:pPr>
        <w:rPr>
          <w:rFonts w:ascii="Times New Roman" w:hAnsi="Times New Roman" w:cs="Times New Roman"/>
        </w:rPr>
      </w:pPr>
    </w:p>
    <w:p w14:paraId="2E5BA541" w14:textId="0CDF865C" w:rsidR="002D10FA" w:rsidRDefault="002D10FA" w:rsidP="008A6E74">
      <w:pPr>
        <w:rPr>
          <w:rFonts w:ascii="Times New Roman" w:hAnsi="Times New Roman" w:cs="Times New Roman"/>
        </w:rPr>
      </w:pPr>
    </w:p>
    <w:p w14:paraId="76321F6E" w14:textId="7BECBF03" w:rsidR="002D10FA" w:rsidRDefault="002D10FA" w:rsidP="008A6E74">
      <w:pPr>
        <w:rPr>
          <w:rFonts w:ascii="Times New Roman" w:hAnsi="Times New Roman" w:cs="Times New Roman"/>
        </w:rPr>
      </w:pPr>
    </w:p>
    <w:p w14:paraId="4468C043" w14:textId="01A4B305" w:rsidR="002D10FA" w:rsidRDefault="002D10FA" w:rsidP="008A6E74">
      <w:pPr>
        <w:rPr>
          <w:rFonts w:ascii="Times New Roman" w:hAnsi="Times New Roman" w:cs="Times New Roman"/>
        </w:rPr>
      </w:pPr>
    </w:p>
    <w:p w14:paraId="267470C7" w14:textId="5C175158" w:rsidR="002D10FA" w:rsidRDefault="002D10FA" w:rsidP="008A6E74">
      <w:pPr>
        <w:rPr>
          <w:rFonts w:ascii="Times New Roman" w:hAnsi="Times New Roman" w:cs="Times New Roman"/>
        </w:rPr>
      </w:pPr>
    </w:p>
    <w:p w14:paraId="05987427" w14:textId="0C7C2ACB" w:rsidR="002D10FA" w:rsidRDefault="002D10FA" w:rsidP="008A6E74">
      <w:pPr>
        <w:rPr>
          <w:rFonts w:ascii="Times New Roman" w:hAnsi="Times New Roman" w:cs="Times New Roman"/>
        </w:rPr>
      </w:pPr>
    </w:p>
    <w:p w14:paraId="12826B0A" w14:textId="30512870" w:rsidR="00291445" w:rsidRDefault="00291445" w:rsidP="008A6E74">
      <w:pPr>
        <w:rPr>
          <w:rFonts w:ascii="Times New Roman" w:hAnsi="Times New Roman" w:cs="Times New Roman"/>
        </w:rPr>
      </w:pPr>
    </w:p>
    <w:p w14:paraId="3489274E" w14:textId="0CB5B447" w:rsidR="00291445" w:rsidRDefault="00291445" w:rsidP="008A6E74">
      <w:pPr>
        <w:rPr>
          <w:rFonts w:ascii="Times New Roman" w:hAnsi="Times New Roman" w:cs="Times New Roman"/>
        </w:rPr>
      </w:pPr>
    </w:p>
    <w:p w14:paraId="31D1D293" w14:textId="59880F84" w:rsidR="00291445" w:rsidRDefault="00291445" w:rsidP="008A6E74">
      <w:pPr>
        <w:rPr>
          <w:rFonts w:ascii="Times New Roman" w:hAnsi="Times New Roman" w:cs="Times New Roman"/>
        </w:rPr>
      </w:pPr>
    </w:p>
    <w:p w14:paraId="53C82B0C" w14:textId="41283B02" w:rsidR="00291445" w:rsidRDefault="00291445" w:rsidP="008A6E74">
      <w:pPr>
        <w:rPr>
          <w:rFonts w:ascii="Times New Roman" w:hAnsi="Times New Roman" w:cs="Times New Roman"/>
        </w:rPr>
      </w:pPr>
    </w:p>
    <w:p w14:paraId="3F6C98CA" w14:textId="442E47C9" w:rsidR="00291445" w:rsidRDefault="00291445" w:rsidP="008A6E74">
      <w:pPr>
        <w:rPr>
          <w:rFonts w:ascii="Times New Roman" w:hAnsi="Times New Roman" w:cs="Times New Roman"/>
        </w:rPr>
      </w:pPr>
    </w:p>
    <w:p w14:paraId="3E84D205" w14:textId="0879E828" w:rsidR="00291445" w:rsidRDefault="00291445" w:rsidP="008A6E74">
      <w:pPr>
        <w:rPr>
          <w:rFonts w:ascii="Times New Roman" w:hAnsi="Times New Roman" w:cs="Times New Roman"/>
        </w:rPr>
      </w:pPr>
    </w:p>
    <w:p w14:paraId="47CBEDF2" w14:textId="75742538" w:rsidR="00291445" w:rsidRDefault="00291445" w:rsidP="008A6E74">
      <w:pPr>
        <w:rPr>
          <w:rFonts w:ascii="Times New Roman" w:hAnsi="Times New Roman" w:cs="Times New Roman"/>
        </w:rPr>
      </w:pPr>
    </w:p>
    <w:p w14:paraId="03C4BA0D" w14:textId="2D223CFF" w:rsidR="00291445" w:rsidRDefault="00291445" w:rsidP="008A6E74">
      <w:pPr>
        <w:rPr>
          <w:rFonts w:ascii="Times New Roman" w:hAnsi="Times New Roman" w:cs="Times New Roman"/>
        </w:rPr>
      </w:pPr>
    </w:p>
    <w:p w14:paraId="158AC5ED" w14:textId="07D7CCEC" w:rsidR="00291445" w:rsidRDefault="00291445" w:rsidP="008A6E74">
      <w:pPr>
        <w:rPr>
          <w:rFonts w:ascii="Times New Roman" w:hAnsi="Times New Roman" w:cs="Times New Roman"/>
        </w:rPr>
      </w:pPr>
    </w:p>
    <w:p w14:paraId="7CDD3992" w14:textId="4DF68CF3" w:rsidR="00291445" w:rsidRDefault="00291445" w:rsidP="008A6E74">
      <w:pPr>
        <w:rPr>
          <w:rFonts w:ascii="Times New Roman" w:hAnsi="Times New Roman" w:cs="Times New Roman"/>
        </w:rPr>
      </w:pPr>
    </w:p>
    <w:p w14:paraId="068A2A4F" w14:textId="7D85DEFB" w:rsidR="00291445" w:rsidRDefault="00291445" w:rsidP="008A6E74">
      <w:pPr>
        <w:rPr>
          <w:rFonts w:ascii="Times New Roman" w:hAnsi="Times New Roman" w:cs="Times New Roman"/>
        </w:rPr>
      </w:pPr>
    </w:p>
    <w:p w14:paraId="68B4096D" w14:textId="77777777" w:rsidR="00291445" w:rsidRDefault="00291445" w:rsidP="008A6E74">
      <w:pPr>
        <w:rPr>
          <w:rFonts w:ascii="Times New Roman" w:hAnsi="Times New Roman" w:cs="Times New Roman"/>
        </w:rPr>
      </w:pPr>
    </w:p>
    <w:p w14:paraId="39238C08" w14:textId="3D30969C" w:rsidR="002D10FA" w:rsidRPr="003B14A2" w:rsidRDefault="002D10FA" w:rsidP="002D10FA">
      <w:r w:rsidRPr="00147B60">
        <w:rPr>
          <w:noProof/>
        </w:rPr>
        <w:lastRenderedPageBreak/>
        <w:drawing>
          <wp:inline distT="0" distB="0" distL="0" distR="0" wp14:anchorId="7A1C8938" wp14:editId="33C92F18">
            <wp:extent cx="6858000" cy="3839845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DCD5" w14:textId="0626001B" w:rsidR="002D10FA" w:rsidRDefault="002D10FA" w:rsidP="002D10FA">
      <w:pPr>
        <w:rPr>
          <w:rFonts w:ascii="Times New Roman" w:hAnsi="Times New Roman" w:cs="Times New Roman"/>
        </w:rPr>
      </w:pPr>
      <w:r w:rsidRPr="008A6E74">
        <w:rPr>
          <w:rFonts w:ascii="Times New Roman" w:hAnsi="Times New Roman" w:cs="Times New Roman"/>
          <w:b/>
          <w:bCs/>
        </w:rPr>
        <w:t xml:space="preserve">Supplementary Fig. </w:t>
      </w:r>
      <w:r w:rsidR="00A75DE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Pr="008A6E74">
        <w:rPr>
          <w:rFonts w:ascii="Times New Roman" w:hAnsi="Times New Roman" w:cs="Times New Roman"/>
        </w:rPr>
        <w:t xml:space="preserve"> </w:t>
      </w:r>
      <w:r w:rsidRPr="00CA034A">
        <w:rPr>
          <w:rFonts w:ascii="Times New Roman" w:hAnsi="Times New Roman" w:cs="Times New Roman"/>
          <w:b/>
          <w:bCs/>
        </w:rPr>
        <w:t>Overall survival in Alagille syndrome (ALGS) children with and without a history of neonatal cholestasis (n=1387).</w:t>
      </w:r>
      <w:r w:rsidRPr="008A6E74">
        <w:rPr>
          <w:rFonts w:ascii="Times New Roman" w:hAnsi="Times New Roman" w:cs="Times New Roman"/>
        </w:rPr>
        <w:t xml:space="preserve"> Survival analysis using Kaplan-Meier and log rank test revealed overall survival rates at 10- and 18-years were significantly lower in children with ALGS who presented with neonatal cholestasis in comparison with those who did not (log-rank </w:t>
      </w:r>
      <w:r w:rsidRPr="00221902">
        <w:rPr>
          <w:rFonts w:ascii="Times New Roman" w:hAnsi="Times New Roman" w:cs="Times New Roman"/>
          <w:i/>
          <w:iCs/>
        </w:rPr>
        <w:t>p</w:t>
      </w:r>
      <w:r w:rsidRPr="008A6E74">
        <w:rPr>
          <w:rFonts w:ascii="Times New Roman" w:hAnsi="Times New Roman" w:cs="Times New Roman"/>
        </w:rPr>
        <w:t>&lt;0.001). Two subjects who presented with neonatal cholestasis were excluded from this analysis due to missing dates of death.</w:t>
      </w:r>
    </w:p>
    <w:p w14:paraId="1287ADA0" w14:textId="77777777" w:rsidR="002D10FA" w:rsidRDefault="002D10FA" w:rsidP="002D10FA">
      <w:pPr>
        <w:rPr>
          <w:rFonts w:ascii="Times New Roman" w:hAnsi="Times New Roman" w:cs="Times New Roman"/>
        </w:rPr>
      </w:pPr>
    </w:p>
    <w:p w14:paraId="2BE5F89E" w14:textId="307F8790" w:rsidR="0092582D" w:rsidRDefault="0092582D" w:rsidP="008A6E74">
      <w:pPr>
        <w:rPr>
          <w:rFonts w:ascii="Times New Roman" w:hAnsi="Times New Roman" w:cs="Times New Roman"/>
        </w:rPr>
      </w:pPr>
    </w:p>
    <w:p w14:paraId="278061B3" w14:textId="77777777" w:rsidR="0092582D" w:rsidRDefault="0092582D" w:rsidP="008A6E74">
      <w:pPr>
        <w:rPr>
          <w:rFonts w:ascii="Times New Roman" w:hAnsi="Times New Roman" w:cs="Times New Roman"/>
        </w:rPr>
      </w:pPr>
    </w:p>
    <w:p w14:paraId="7DD1995F" w14:textId="6CF5DF6C" w:rsidR="0092582D" w:rsidRDefault="0092582D" w:rsidP="008A6E74">
      <w:pPr>
        <w:rPr>
          <w:rFonts w:ascii="Times New Roman" w:hAnsi="Times New Roman" w:cs="Times New Roman"/>
        </w:rPr>
      </w:pPr>
    </w:p>
    <w:p w14:paraId="2F8933A3" w14:textId="3D8EC25E" w:rsidR="0092582D" w:rsidRDefault="0092582D" w:rsidP="008A6E74">
      <w:pPr>
        <w:rPr>
          <w:rFonts w:ascii="Times New Roman" w:hAnsi="Times New Roman" w:cs="Times New Roman"/>
        </w:rPr>
      </w:pPr>
    </w:p>
    <w:p w14:paraId="28C354EF" w14:textId="689E24EC" w:rsidR="0092582D" w:rsidRDefault="0092582D" w:rsidP="008A6E74">
      <w:pPr>
        <w:rPr>
          <w:rFonts w:ascii="Times New Roman" w:hAnsi="Times New Roman" w:cs="Times New Roman"/>
        </w:rPr>
      </w:pPr>
    </w:p>
    <w:p w14:paraId="15FB523F" w14:textId="658EEC90" w:rsidR="0092582D" w:rsidRDefault="0092582D" w:rsidP="008A6E74">
      <w:pPr>
        <w:rPr>
          <w:rFonts w:ascii="Times New Roman" w:hAnsi="Times New Roman" w:cs="Times New Roman"/>
        </w:rPr>
      </w:pPr>
    </w:p>
    <w:p w14:paraId="37163A90" w14:textId="6AD16F84" w:rsidR="0092582D" w:rsidRDefault="0092582D" w:rsidP="008A6E74">
      <w:pPr>
        <w:rPr>
          <w:rFonts w:ascii="Times New Roman" w:hAnsi="Times New Roman" w:cs="Times New Roman"/>
        </w:rPr>
      </w:pPr>
    </w:p>
    <w:p w14:paraId="7FB0068C" w14:textId="1EF822C5" w:rsidR="0092582D" w:rsidRDefault="0092582D" w:rsidP="008A6E74">
      <w:pPr>
        <w:rPr>
          <w:rFonts w:ascii="Times New Roman" w:hAnsi="Times New Roman" w:cs="Times New Roman"/>
        </w:rPr>
      </w:pPr>
    </w:p>
    <w:p w14:paraId="305AA76D" w14:textId="77777777" w:rsidR="0092582D" w:rsidRPr="008A6E74" w:rsidRDefault="0092582D" w:rsidP="008A6E74">
      <w:pPr>
        <w:rPr>
          <w:rFonts w:ascii="Times New Roman" w:hAnsi="Times New Roman" w:cs="Times New Roman"/>
        </w:rPr>
      </w:pPr>
    </w:p>
    <w:sectPr w:rsidR="0092582D" w:rsidRPr="008A6E74" w:rsidSect="003B14A2">
      <w:footerReference w:type="even" r:id="rId11"/>
      <w:footerReference w:type="default" r:id="rId12"/>
      <w:pgSz w:w="12240" w:h="15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2D58" w14:textId="77777777" w:rsidR="003D7C68" w:rsidRDefault="003D7C68">
      <w:r>
        <w:separator/>
      </w:r>
    </w:p>
  </w:endnote>
  <w:endnote w:type="continuationSeparator" w:id="0">
    <w:p w14:paraId="2721C1A1" w14:textId="77777777" w:rsidR="003D7C68" w:rsidRDefault="003D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0685058"/>
      <w:docPartObj>
        <w:docPartGallery w:val="Page Numbers (Bottom of Page)"/>
        <w:docPartUnique/>
      </w:docPartObj>
    </w:sdtPr>
    <w:sdtContent>
      <w:p w14:paraId="4CDEBDC5" w14:textId="163F4A57" w:rsidR="003B14A2" w:rsidRDefault="003B14A2" w:rsidP="003127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24A72" w14:textId="77777777" w:rsidR="003B14A2" w:rsidRDefault="003B14A2" w:rsidP="003B14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A01" w14:textId="77777777" w:rsidR="003B14A2" w:rsidRPr="003B14A2" w:rsidRDefault="003B14A2" w:rsidP="003B14A2">
    <w:pPr>
      <w:pStyle w:val="Footer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3B14A2">
      <w:rPr>
        <w:rFonts w:ascii="Times New Roman" w:hAnsi="Times New Roman" w:cs="Times New Roman"/>
        <w:color w:val="000000" w:themeColor="text1"/>
        <w:sz w:val="20"/>
        <w:szCs w:val="20"/>
      </w:rPr>
      <w:t xml:space="preserve">Page </w:t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instrText xml:space="preserve"> PAGE  \* Arabic  \* MERGEFORMAT </w:instrText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3B14A2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t xml:space="preserve"> of </w:t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instrText xml:space="preserve"> NUMPAGES  \* Arabic  \* MERGEFORMAT </w:instrText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3B14A2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3B14A2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14:paraId="2F069AE1" w14:textId="77777777" w:rsidR="003B14A2" w:rsidRDefault="003B14A2" w:rsidP="003B14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A333" w14:textId="77777777" w:rsidR="003D7C68" w:rsidRDefault="003D7C68">
      <w:r>
        <w:separator/>
      </w:r>
    </w:p>
  </w:footnote>
  <w:footnote w:type="continuationSeparator" w:id="0">
    <w:p w14:paraId="0652CC30" w14:textId="77777777" w:rsidR="003D7C68" w:rsidRDefault="003D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E"/>
    <w:rsid w:val="0003008D"/>
    <w:rsid w:val="000315DF"/>
    <w:rsid w:val="00055AAF"/>
    <w:rsid w:val="0006725C"/>
    <w:rsid w:val="000846AF"/>
    <w:rsid w:val="00097D5A"/>
    <w:rsid w:val="000A75D2"/>
    <w:rsid w:val="000B2058"/>
    <w:rsid w:val="000C1589"/>
    <w:rsid w:val="000D336D"/>
    <w:rsid w:val="000D6408"/>
    <w:rsid w:val="000E4C5F"/>
    <w:rsid w:val="000F2E79"/>
    <w:rsid w:val="00103227"/>
    <w:rsid w:val="00125FE0"/>
    <w:rsid w:val="001262E2"/>
    <w:rsid w:val="0013054E"/>
    <w:rsid w:val="001420DA"/>
    <w:rsid w:val="00147B60"/>
    <w:rsid w:val="00156A93"/>
    <w:rsid w:val="00167717"/>
    <w:rsid w:val="00181CA8"/>
    <w:rsid w:val="00184C97"/>
    <w:rsid w:val="001B66D4"/>
    <w:rsid w:val="001C3D14"/>
    <w:rsid w:val="001E0C5D"/>
    <w:rsid w:val="001E1A16"/>
    <w:rsid w:val="002134F6"/>
    <w:rsid w:val="0022044B"/>
    <w:rsid w:val="00221902"/>
    <w:rsid w:val="00233B44"/>
    <w:rsid w:val="0025763C"/>
    <w:rsid w:val="002710E2"/>
    <w:rsid w:val="00282202"/>
    <w:rsid w:val="002856A1"/>
    <w:rsid w:val="00291445"/>
    <w:rsid w:val="00297E35"/>
    <w:rsid w:val="002B2A84"/>
    <w:rsid w:val="002B6FC5"/>
    <w:rsid w:val="002C662C"/>
    <w:rsid w:val="002D10FA"/>
    <w:rsid w:val="002E2434"/>
    <w:rsid w:val="002F337D"/>
    <w:rsid w:val="002F5DCE"/>
    <w:rsid w:val="00300CBE"/>
    <w:rsid w:val="003135D9"/>
    <w:rsid w:val="00320842"/>
    <w:rsid w:val="0032088D"/>
    <w:rsid w:val="00325175"/>
    <w:rsid w:val="003254CA"/>
    <w:rsid w:val="00336BE9"/>
    <w:rsid w:val="0036007C"/>
    <w:rsid w:val="00365EBA"/>
    <w:rsid w:val="003B14A2"/>
    <w:rsid w:val="003B6E05"/>
    <w:rsid w:val="003C3190"/>
    <w:rsid w:val="003D5D59"/>
    <w:rsid w:val="003D7C68"/>
    <w:rsid w:val="003E1A6A"/>
    <w:rsid w:val="003E5D18"/>
    <w:rsid w:val="003F063E"/>
    <w:rsid w:val="003F21F9"/>
    <w:rsid w:val="003F4144"/>
    <w:rsid w:val="00413614"/>
    <w:rsid w:val="0041656A"/>
    <w:rsid w:val="00431D96"/>
    <w:rsid w:val="00450504"/>
    <w:rsid w:val="00450569"/>
    <w:rsid w:val="004547EB"/>
    <w:rsid w:val="004632D3"/>
    <w:rsid w:val="0049261A"/>
    <w:rsid w:val="004968B9"/>
    <w:rsid w:val="004C12B2"/>
    <w:rsid w:val="004C7843"/>
    <w:rsid w:val="004D76B4"/>
    <w:rsid w:val="00506EAA"/>
    <w:rsid w:val="00522323"/>
    <w:rsid w:val="00522ED1"/>
    <w:rsid w:val="0053555A"/>
    <w:rsid w:val="00542B68"/>
    <w:rsid w:val="00542C4E"/>
    <w:rsid w:val="00553998"/>
    <w:rsid w:val="005539CF"/>
    <w:rsid w:val="0055514F"/>
    <w:rsid w:val="00561C47"/>
    <w:rsid w:val="00561E35"/>
    <w:rsid w:val="00566556"/>
    <w:rsid w:val="0057123C"/>
    <w:rsid w:val="00580F44"/>
    <w:rsid w:val="005A27A3"/>
    <w:rsid w:val="005B3C52"/>
    <w:rsid w:val="005C6C2F"/>
    <w:rsid w:val="005D3E5C"/>
    <w:rsid w:val="005F1B19"/>
    <w:rsid w:val="00604C34"/>
    <w:rsid w:val="006157AC"/>
    <w:rsid w:val="00617213"/>
    <w:rsid w:val="0063239D"/>
    <w:rsid w:val="00665A5A"/>
    <w:rsid w:val="00665BE1"/>
    <w:rsid w:val="00666783"/>
    <w:rsid w:val="0068506F"/>
    <w:rsid w:val="00686244"/>
    <w:rsid w:val="00696BBE"/>
    <w:rsid w:val="006A0ED0"/>
    <w:rsid w:val="006A2031"/>
    <w:rsid w:val="006A79EB"/>
    <w:rsid w:val="00743D5B"/>
    <w:rsid w:val="007453D0"/>
    <w:rsid w:val="007870A3"/>
    <w:rsid w:val="0079080F"/>
    <w:rsid w:val="0079114E"/>
    <w:rsid w:val="007928DE"/>
    <w:rsid w:val="007943D6"/>
    <w:rsid w:val="007B3509"/>
    <w:rsid w:val="007B3F09"/>
    <w:rsid w:val="007C2810"/>
    <w:rsid w:val="007D74DE"/>
    <w:rsid w:val="007E0833"/>
    <w:rsid w:val="007E2C5F"/>
    <w:rsid w:val="007E37D3"/>
    <w:rsid w:val="007F0422"/>
    <w:rsid w:val="007F4632"/>
    <w:rsid w:val="00801713"/>
    <w:rsid w:val="00816DF3"/>
    <w:rsid w:val="00852394"/>
    <w:rsid w:val="00857C15"/>
    <w:rsid w:val="00864E3C"/>
    <w:rsid w:val="00864F6C"/>
    <w:rsid w:val="0086715B"/>
    <w:rsid w:val="00870ADC"/>
    <w:rsid w:val="00891094"/>
    <w:rsid w:val="00894EC1"/>
    <w:rsid w:val="008A26A3"/>
    <w:rsid w:val="008A3DC0"/>
    <w:rsid w:val="008A6E74"/>
    <w:rsid w:val="008B1AC2"/>
    <w:rsid w:val="008D3E77"/>
    <w:rsid w:val="008E0DD4"/>
    <w:rsid w:val="008F5CF3"/>
    <w:rsid w:val="008F68E2"/>
    <w:rsid w:val="00902F9F"/>
    <w:rsid w:val="0090674D"/>
    <w:rsid w:val="00911157"/>
    <w:rsid w:val="0092582D"/>
    <w:rsid w:val="00942FE1"/>
    <w:rsid w:val="009520A4"/>
    <w:rsid w:val="00966A86"/>
    <w:rsid w:val="00980A52"/>
    <w:rsid w:val="009824BB"/>
    <w:rsid w:val="00986696"/>
    <w:rsid w:val="00987F56"/>
    <w:rsid w:val="00990B8D"/>
    <w:rsid w:val="009932CE"/>
    <w:rsid w:val="009A23D6"/>
    <w:rsid w:val="009B59F2"/>
    <w:rsid w:val="009C3697"/>
    <w:rsid w:val="009C6165"/>
    <w:rsid w:val="00A00E82"/>
    <w:rsid w:val="00A10AD2"/>
    <w:rsid w:val="00A157B7"/>
    <w:rsid w:val="00A231B9"/>
    <w:rsid w:val="00A25623"/>
    <w:rsid w:val="00A40E38"/>
    <w:rsid w:val="00A43B58"/>
    <w:rsid w:val="00A606DE"/>
    <w:rsid w:val="00A725B0"/>
    <w:rsid w:val="00A75DE8"/>
    <w:rsid w:val="00A81C87"/>
    <w:rsid w:val="00A91934"/>
    <w:rsid w:val="00AD3566"/>
    <w:rsid w:val="00AD3ACC"/>
    <w:rsid w:val="00AF31BF"/>
    <w:rsid w:val="00AF4A56"/>
    <w:rsid w:val="00B17F62"/>
    <w:rsid w:val="00B504E9"/>
    <w:rsid w:val="00B55246"/>
    <w:rsid w:val="00B56F17"/>
    <w:rsid w:val="00B578AC"/>
    <w:rsid w:val="00B67CB6"/>
    <w:rsid w:val="00B837A6"/>
    <w:rsid w:val="00B91EA1"/>
    <w:rsid w:val="00BA0261"/>
    <w:rsid w:val="00BA1F7F"/>
    <w:rsid w:val="00BA21B3"/>
    <w:rsid w:val="00BA798D"/>
    <w:rsid w:val="00BC0FAD"/>
    <w:rsid w:val="00BD2F72"/>
    <w:rsid w:val="00BE07EF"/>
    <w:rsid w:val="00C004FC"/>
    <w:rsid w:val="00C02ACC"/>
    <w:rsid w:val="00C1798C"/>
    <w:rsid w:val="00C25E00"/>
    <w:rsid w:val="00C31B95"/>
    <w:rsid w:val="00C5660B"/>
    <w:rsid w:val="00C74B8F"/>
    <w:rsid w:val="00C75673"/>
    <w:rsid w:val="00C7579E"/>
    <w:rsid w:val="00C86B8E"/>
    <w:rsid w:val="00C86D2A"/>
    <w:rsid w:val="00C87CAE"/>
    <w:rsid w:val="00CA034A"/>
    <w:rsid w:val="00CB1003"/>
    <w:rsid w:val="00CC1129"/>
    <w:rsid w:val="00CC22CC"/>
    <w:rsid w:val="00CC27D3"/>
    <w:rsid w:val="00CD06A0"/>
    <w:rsid w:val="00CE08E8"/>
    <w:rsid w:val="00CE0E70"/>
    <w:rsid w:val="00CE2620"/>
    <w:rsid w:val="00CE3DAD"/>
    <w:rsid w:val="00CE4AD2"/>
    <w:rsid w:val="00CE5F88"/>
    <w:rsid w:val="00CE69FE"/>
    <w:rsid w:val="00D25E64"/>
    <w:rsid w:val="00D27FAD"/>
    <w:rsid w:val="00D43250"/>
    <w:rsid w:val="00D44738"/>
    <w:rsid w:val="00D52BDF"/>
    <w:rsid w:val="00D651EF"/>
    <w:rsid w:val="00D66202"/>
    <w:rsid w:val="00D66DC3"/>
    <w:rsid w:val="00DB3496"/>
    <w:rsid w:val="00DB3B32"/>
    <w:rsid w:val="00DB3CC9"/>
    <w:rsid w:val="00DB6544"/>
    <w:rsid w:val="00DD0A2D"/>
    <w:rsid w:val="00DD1A5E"/>
    <w:rsid w:val="00DD2EBD"/>
    <w:rsid w:val="00DF19CD"/>
    <w:rsid w:val="00DF4D66"/>
    <w:rsid w:val="00DF6F5D"/>
    <w:rsid w:val="00E01D80"/>
    <w:rsid w:val="00E1472A"/>
    <w:rsid w:val="00E34308"/>
    <w:rsid w:val="00E34CD8"/>
    <w:rsid w:val="00E42F9B"/>
    <w:rsid w:val="00E46744"/>
    <w:rsid w:val="00E95E4C"/>
    <w:rsid w:val="00EA228F"/>
    <w:rsid w:val="00EB79C9"/>
    <w:rsid w:val="00EC00D3"/>
    <w:rsid w:val="00EF2731"/>
    <w:rsid w:val="00EF32E8"/>
    <w:rsid w:val="00F000A3"/>
    <w:rsid w:val="00F14F97"/>
    <w:rsid w:val="00F20C8A"/>
    <w:rsid w:val="00F215C1"/>
    <w:rsid w:val="00F323CF"/>
    <w:rsid w:val="00F40BAE"/>
    <w:rsid w:val="00F415DB"/>
    <w:rsid w:val="00F41C50"/>
    <w:rsid w:val="00F93B6C"/>
    <w:rsid w:val="00FB3143"/>
    <w:rsid w:val="00FC05D1"/>
    <w:rsid w:val="00FD0EB5"/>
    <w:rsid w:val="00FD5BA4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7C25C"/>
  <w15:chartTrackingRefBased/>
  <w15:docId w15:val="{55B45642-D83F-964C-B378-063AE0A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308"/>
  </w:style>
  <w:style w:type="paragraph" w:styleId="Footer">
    <w:name w:val="footer"/>
    <w:basedOn w:val="Normal"/>
    <w:link w:val="FooterChar"/>
    <w:uiPriority w:val="99"/>
    <w:unhideWhenUsed/>
    <w:rsid w:val="003B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A2"/>
  </w:style>
  <w:style w:type="character" w:styleId="PageNumber">
    <w:name w:val="page number"/>
    <w:basedOn w:val="DefaultParagraphFont"/>
    <w:uiPriority w:val="99"/>
    <w:semiHidden/>
    <w:unhideWhenUsed/>
    <w:rsid w:val="003B14A2"/>
  </w:style>
  <w:style w:type="paragraph" w:styleId="Header">
    <w:name w:val="header"/>
    <w:basedOn w:val="Normal"/>
    <w:link w:val="HeaderChar"/>
    <w:uiPriority w:val="99"/>
    <w:unhideWhenUsed/>
    <w:rsid w:val="003B1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A2"/>
  </w:style>
  <w:style w:type="table" w:styleId="TableGrid">
    <w:name w:val="Table Grid"/>
    <w:basedOn w:val="TableNormal"/>
    <w:uiPriority w:val="39"/>
    <w:rsid w:val="0095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5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Vandriel</dc:creator>
  <cp:keywords/>
  <dc:description/>
  <cp:lastModifiedBy>Shannon Vandriel</cp:lastModifiedBy>
  <cp:revision>9</cp:revision>
  <cp:lastPrinted>2022-07-20T15:34:00Z</cp:lastPrinted>
  <dcterms:created xsi:type="dcterms:W3CDTF">2022-07-20T16:02:00Z</dcterms:created>
  <dcterms:modified xsi:type="dcterms:W3CDTF">2022-07-20T23:49:00Z</dcterms:modified>
</cp:coreProperties>
</file>