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5A5EA" w14:textId="77777777" w:rsidR="00CA2EEF" w:rsidRPr="007431E6" w:rsidRDefault="00CA2EEF" w:rsidP="00CA2EEF">
      <w:pPr>
        <w:keepNext/>
        <w:keepLines/>
        <w:spacing w:before="80" w:after="80"/>
        <w:outlineLvl w:val="0"/>
        <w:rPr>
          <w:rFonts w:eastAsia="Times New Roman" w:cstheme="minorHAnsi"/>
          <w:b/>
          <w:sz w:val="32"/>
          <w:szCs w:val="36"/>
        </w:rPr>
      </w:pPr>
      <w:bookmarkStart w:id="0" w:name="_GoBack"/>
      <w:bookmarkEnd w:id="0"/>
      <w:r w:rsidRPr="007431E6">
        <w:rPr>
          <w:rFonts w:eastAsia="Times New Roman" w:cstheme="minorHAnsi"/>
          <w:b/>
          <w:sz w:val="32"/>
          <w:szCs w:val="36"/>
        </w:rPr>
        <w:t>Supplementary Experimental Procedures</w:t>
      </w:r>
    </w:p>
    <w:p w14:paraId="593AC01F" w14:textId="77777777" w:rsidR="006C0DD4" w:rsidRPr="007431E6" w:rsidRDefault="006C0DD4">
      <w:pPr>
        <w:rPr>
          <w:rFonts w:cstheme="minorHAnsi"/>
        </w:rPr>
      </w:pPr>
    </w:p>
    <w:p w14:paraId="3DE9555B" w14:textId="62F4181F" w:rsidR="00CA2EEF" w:rsidRPr="007431E6" w:rsidRDefault="0056639B" w:rsidP="00CA2EEF">
      <w:pPr>
        <w:pStyle w:val="Heading2"/>
        <w:rPr>
          <w:rFonts w:cstheme="minorHAnsi"/>
        </w:rPr>
      </w:pPr>
      <w:bookmarkStart w:id="1" w:name="sec:r6b7ufkvgjes"/>
      <w:r>
        <w:rPr>
          <w:rFonts w:cstheme="minorHAnsi"/>
        </w:rPr>
        <w:t>Computed</w:t>
      </w:r>
      <w:r w:rsidR="00CA2EEF" w:rsidRPr="007431E6">
        <w:rPr>
          <w:rFonts w:cstheme="minorHAnsi"/>
        </w:rPr>
        <w:t xml:space="preserve"> tomography</w:t>
      </w:r>
    </w:p>
    <w:p w14:paraId="3B7C53B5" w14:textId="5A20210B" w:rsidR="00CA2EEF" w:rsidRPr="007431E6" w:rsidRDefault="0056639B" w:rsidP="00CA2EEF">
      <w:pPr>
        <w:pStyle w:val="FirstParagraph"/>
        <w:rPr>
          <w:rFonts w:cstheme="minorHAnsi"/>
        </w:rPr>
      </w:pPr>
      <w:r>
        <w:rPr>
          <w:rFonts w:cstheme="minorHAnsi"/>
        </w:rPr>
        <w:t>Computed</w:t>
      </w:r>
      <w:r w:rsidR="00CA2EEF" w:rsidRPr="007431E6">
        <w:rPr>
          <w:rFonts w:cstheme="minorHAnsi"/>
        </w:rPr>
        <w:t xml:space="preserve"> tomography (CT) was performed using an industrial combined planar X-ray micro-CT-system (</w:t>
      </w:r>
      <w:proofErr w:type="spellStart"/>
      <w:r w:rsidR="00CA2EEF" w:rsidRPr="007431E6">
        <w:rPr>
          <w:rFonts w:cstheme="minorHAnsi"/>
        </w:rPr>
        <w:t>Y.Fox</w:t>
      </w:r>
      <w:proofErr w:type="spellEnd"/>
      <w:r w:rsidR="00CA2EEF" w:rsidRPr="007431E6">
        <w:rPr>
          <w:rFonts w:cstheme="minorHAnsi"/>
        </w:rPr>
        <w:t xml:space="preserve">, </w:t>
      </w:r>
      <w:proofErr w:type="spellStart"/>
      <w:r w:rsidR="00CA2EEF" w:rsidRPr="007431E6">
        <w:rPr>
          <w:rFonts w:cstheme="minorHAnsi"/>
        </w:rPr>
        <w:t>Yxlon</w:t>
      </w:r>
      <w:proofErr w:type="spellEnd"/>
      <w:r w:rsidR="00CA2EEF" w:rsidRPr="007431E6">
        <w:rPr>
          <w:rFonts w:cstheme="minorHAnsi"/>
        </w:rPr>
        <w:t xml:space="preserve">) equipped with an open </w:t>
      </w:r>
      <w:proofErr w:type="spellStart"/>
      <w:r w:rsidR="00CA2EEF" w:rsidRPr="007431E6">
        <w:rPr>
          <w:rFonts w:cstheme="minorHAnsi"/>
        </w:rPr>
        <w:t>multifocus</w:t>
      </w:r>
      <w:proofErr w:type="spellEnd"/>
      <w:r w:rsidR="00CA2EEF" w:rsidRPr="007431E6">
        <w:rPr>
          <w:rFonts w:cstheme="minorHAnsi"/>
        </w:rPr>
        <w:t xml:space="preserve"> X-ray tube and a 14-bit direct amorphous silicon flat panel detector (Varian </w:t>
      </w:r>
      <w:proofErr w:type="spellStart"/>
      <w:r w:rsidR="00CA2EEF" w:rsidRPr="007431E6">
        <w:rPr>
          <w:rFonts w:cstheme="minorHAnsi"/>
        </w:rPr>
        <w:t>PaxScan</w:t>
      </w:r>
      <w:proofErr w:type="spellEnd"/>
      <w:r w:rsidR="00CA2EEF" w:rsidRPr="007431E6">
        <w:rPr>
          <w:rFonts w:cstheme="minorHAnsi"/>
        </w:rPr>
        <w:t xml:space="preserve"> 2520 D/CL, Varian) </w:t>
      </w:r>
      <w:r w:rsidR="00CA2EEF" w:rsidRPr="007431E6">
        <w:rPr>
          <w:rFonts w:cstheme="minorHAnsi"/>
        </w:rPr>
        <w:fldChar w:fldCharType="begin"/>
      </w:r>
      <w:r w:rsidR="00C818B0" w:rsidRPr="007431E6">
        <w:rPr>
          <w:rFonts w:cstheme="minorHAnsi"/>
        </w:rPr>
        <w:instrText xml:space="preserve"> ADDIN ZOTERO_ITEM CSL_CITATION {"citationID":"2FBpybQm","properties":{"formattedCitation":"(1)","plainCitation":"(1)","noteIndex":0},"citationItems":[{"id":436,"uris":["http://zotero.org/users/5941559/items/VQC69ZEK"],"uri":["http://zotero.org/users/5941559/items/VQC69ZEK"],"itemData":{"id":436,"type":"article-journal","abstract":"Longitudinal in vivo imaging studies characterizing subarachnoid hemorrhage (SAH)-induced large artery vasospasm (LAV) in mice are lacking. We developed a SAH-scoring system to assess SAH severity in mice using micro CT and longitudinally analysed LAV by intravenous digital subtraction angiography (i.v. DSA). Thirty female C57Bl/6J-mice (7 sham, 23 SAH) were implanted with central venous ports for repetitive contrast agent administration. SAH was induced by filament perforation. LAV was assessed up to 14 days after induction of SAH by i.v. DSA. SAH-score and neuroscore showed a highly significant positive correlation (rsp = 0.803, p &lt; 0.001). SAH-score and survival showed a negative significant correlation (rsp = -0.71, p &lt; 0.001). LAV peaked between days 3-5 and normalized on days 7-15. Most severe LAV was observed in the internal carotid (Δmax = 30.5%, p &lt; 0.001), anterior cerebral (Δmax = 21.2%, p = 0.014), middle cerebral (Δmax = 28.16%, p &lt; 0.001) and basilar artery (Δmax = 23.49%, p &lt; 0.001). Cerebral perfusion on day 5 correlated negatively with survival time (rPe = -0.54, p = 0.04). Arterial diameter of the left MCA correlated negatively with cerebral perfusion on day 3 (rPe = -0.72, p = 0.005). In addition, pseudoaneurysms arising from the filament perforation site were visualized in three mice using i.v. DSA. Thus, micro-CT and DSA are valuable tools to assess SAH severity and to longitudinally monitor LAV in living mice.","container-title":"Journal of Cerebral Blood Flow and Metabolism: Official Journal of the International Society of Cerebral Blood Flow and Metabolism","DOI":"10.1177/0271678X19887052","ISSN":"1559-7016","issue":"11","journalAbbreviation":"J Cereb Blood Flow Metab","language":"eng","note":"PMID: 31752586\nPMCID: PMC7585924","page":"2265-2277","source":"PubMed","title":"Longitudinal imaging and evaluation of SAH-associated cerebral large artery vasospasm in mice using micro-CT and angiography","volume":"40","author":[{"family":"Weyer","given":"Vanessa"},{"family":"Maros","given":"Máté E."},{"family":"Kronfeld","given":"Andrea"},{"family":"Kirschner","given":"Stefanie"},{"family":"Groden","given":"Christoph"},{"family":"Sommer","given":"Clemens"},{"family":"Tanyildizi","given":"Yasemin"},{"family":"Kramer","given":"Martin"},{"family":"Brockmann","given":"Marc A."}],"issued":{"date-parts":[["2020",11]]}}}],"schema":"https://github.com/citation-style-language/schema/raw/master/csl-citation.json"} </w:instrText>
      </w:r>
      <w:r w:rsidR="00CA2EEF" w:rsidRPr="007431E6">
        <w:rPr>
          <w:rFonts w:cstheme="minorHAnsi"/>
        </w:rPr>
        <w:fldChar w:fldCharType="separate"/>
      </w:r>
      <w:r w:rsidR="00C818B0" w:rsidRPr="007431E6">
        <w:rPr>
          <w:rFonts w:cstheme="minorHAnsi"/>
        </w:rPr>
        <w:t>(1)</w:t>
      </w:r>
      <w:r w:rsidR="00CA2EEF" w:rsidRPr="007431E6">
        <w:rPr>
          <w:rFonts w:cstheme="minorHAnsi"/>
        </w:rPr>
        <w:fldChar w:fldCharType="end"/>
      </w:r>
      <w:r w:rsidR="00CA2EEF" w:rsidRPr="007431E6">
        <w:rPr>
          <w:rFonts w:cstheme="minorHAnsi"/>
        </w:rPr>
        <w:t>. Three months old mice were injected 250 µL contrast agent (</w:t>
      </w:r>
      <w:proofErr w:type="spellStart"/>
      <w:r w:rsidR="00CA2EEF" w:rsidRPr="007431E6">
        <w:rPr>
          <w:rFonts w:cstheme="minorHAnsi"/>
        </w:rPr>
        <w:t>ExiTron</w:t>
      </w:r>
      <w:proofErr w:type="spellEnd"/>
      <w:r w:rsidR="00CA2EEF" w:rsidRPr="007431E6">
        <w:rPr>
          <w:rFonts w:cstheme="minorHAnsi"/>
        </w:rPr>
        <w:t xml:space="preserve"> </w:t>
      </w:r>
      <w:proofErr w:type="spellStart"/>
      <w:r w:rsidR="00CA2EEF" w:rsidRPr="007431E6">
        <w:rPr>
          <w:rFonts w:cstheme="minorHAnsi"/>
        </w:rPr>
        <w:t>nano</w:t>
      </w:r>
      <w:proofErr w:type="spellEnd"/>
      <w:r w:rsidR="00CA2EEF" w:rsidRPr="007431E6">
        <w:rPr>
          <w:rFonts w:cstheme="minorHAnsi"/>
        </w:rPr>
        <w:t xml:space="preserve"> 6000, </w:t>
      </w:r>
      <w:proofErr w:type="spellStart"/>
      <w:r w:rsidR="00CA2EEF" w:rsidRPr="007431E6">
        <w:rPr>
          <w:rFonts w:cstheme="minorHAnsi"/>
        </w:rPr>
        <w:t>Miltenyi</w:t>
      </w:r>
      <w:proofErr w:type="spellEnd"/>
      <w:r w:rsidR="00CA2EEF" w:rsidRPr="007431E6">
        <w:rPr>
          <w:rFonts w:cstheme="minorHAnsi"/>
        </w:rPr>
        <w:t xml:space="preserve"> </w:t>
      </w:r>
      <w:proofErr w:type="spellStart"/>
      <w:r w:rsidR="00CA2EEF" w:rsidRPr="007431E6">
        <w:rPr>
          <w:rFonts w:cstheme="minorHAnsi"/>
        </w:rPr>
        <w:t>Biotec</w:t>
      </w:r>
      <w:proofErr w:type="spellEnd"/>
      <w:r w:rsidR="00CA2EEF" w:rsidRPr="007431E6">
        <w:rPr>
          <w:rFonts w:cstheme="minorHAnsi"/>
        </w:rPr>
        <w:t xml:space="preserve">) into the pre-warmed lateral tail vein </w:t>
      </w:r>
      <w:r w:rsidR="00CA2EEF" w:rsidRPr="007431E6">
        <w:rPr>
          <w:rFonts w:cstheme="minorHAnsi"/>
        </w:rPr>
        <w:fldChar w:fldCharType="begin"/>
      </w:r>
      <w:r w:rsidR="00C818B0" w:rsidRPr="007431E6">
        <w:rPr>
          <w:rFonts w:cstheme="minorHAnsi"/>
        </w:rPr>
        <w:instrText xml:space="preserve"> ADDIN ZOTERO_ITEM CSL_CITATION {"citationID":"5TCMVY1r","properties":{"formattedCitation":"(2)","plainCitation":"(2)","noteIndex":0},"citationItems":[{"id":456,"uris":["http://zotero.org/users/5941559/items/NR4ZZ3AK"],"uri":["http://zotero.org/users/5941559/items/NR4ZZ3AK"],"itemData":{"id":456,"type":"article-journal","abstract":"Background\nMicro-CT imaging of liver disease in mice relies on high soft tissue contrast to detect small lesions like liver metastases. Purpose of this study was to characterize the localization and time course of contrast enhancement of a nanoparticular alkaline earth metal-based contrast agent (VISCOVER ExiTron nano) developed for small animal liver CT imaging.\n\nMethodology\nExiTron nano 6000 and ExiTron nano 12000, formulated for liver/spleen imaging and angiography, respectively, were intravenously injected in C57BL/6J-mice. The distribution and time course of contrast enhancement were analysed by repeated micro-CT up to 6 months. Finally, mice developing liver metastases after intrasplenic injection of colon carcinoma cells underwent longitudinal micro-CT imaging after a single injection of ExiTron nano.\n\nPrincipal Findings\nAfter a single injection of ExiTron nano the contrast of liver and spleen peaked after 4–8 hours, lasted up to several months and was tolerated well by all mice. In addition, strong contrast enhancement of abdominal and mediastinal lymph nodes and the adrenal glands was observed. Within the first two hours after injection, particularly ExiTron nano 12000 provided pronounced contrast for imaging of vascular structures. ExiTron nano facilitated detection of liver metastases and provided sufficient contrast for longitudinal observation of tumor development over weeks.\n\nConclusions\nThe nanoparticulate contrast agents ExiTron nano 6000 and 12000 provide strong contrast of the liver, spleen, lymph nodes and adrenal glands up to weeks, hereby allowing longitudinal monitoring of pathological processes of these organs in small animals, with ExiTron nano 12000 being particularly optimized for angiography due to its very high initial vessel contrast.","container-title":"PLoS ONE","DOI":"10.1371/journal.pone.0025692","ISSN":"1932-6203","issue":"9","journalAbbreviation":"PLoS One","note":"PMID: 21984939\nPMCID: PMC3184160","page":"e25692","source":"PubMed Central","title":"Micro-CT Based Experimental Liver Imaging Using a Nanoparticulate Contrast Agent: A Longitudinal Study in Mice","title-short":"Micro-CT Based Experimental Liver Imaging Using a Nanoparticulate Contrast Agent","volume":"6","author":[{"family":"Boll","given":"Hanne"},{"family":"Nittka","given":"Stefanie"},{"family":"Doyon","given":"Fabian"},{"family":"Neumaier","given":"Michael"},{"family":"Marx","given":"Alexander"},{"family":"Kramer","given":"Martin"},{"family":"Groden","given":"Christoph"},{"family":"Brockmann","given":"Marc A."}],"issued":{"date-parts":[["2011",9,30]]}}}],"schema":"https://github.com/citation-style-language/schema/raw/master/csl-citation.json"} </w:instrText>
      </w:r>
      <w:r w:rsidR="00CA2EEF" w:rsidRPr="007431E6">
        <w:rPr>
          <w:rFonts w:cstheme="minorHAnsi"/>
        </w:rPr>
        <w:fldChar w:fldCharType="separate"/>
      </w:r>
      <w:r w:rsidR="00C818B0" w:rsidRPr="007431E6">
        <w:rPr>
          <w:rFonts w:cstheme="minorHAnsi"/>
        </w:rPr>
        <w:t>(2)</w:t>
      </w:r>
      <w:r w:rsidR="00CA2EEF" w:rsidRPr="007431E6">
        <w:rPr>
          <w:rFonts w:cstheme="minorHAnsi"/>
        </w:rPr>
        <w:fldChar w:fldCharType="end"/>
      </w:r>
      <w:r w:rsidR="00CA2EEF" w:rsidRPr="007431E6">
        <w:rPr>
          <w:rFonts w:cstheme="minorHAnsi"/>
        </w:rPr>
        <w:t xml:space="preserve">. After 60 minutes, mice were anesthetized with Isoflurane (Baxter) and CT imaging was performed as described before </w:t>
      </w:r>
      <w:r w:rsidR="00CA2EEF" w:rsidRPr="007431E6">
        <w:rPr>
          <w:rFonts w:cstheme="minorHAnsi"/>
        </w:rPr>
        <w:fldChar w:fldCharType="begin"/>
      </w:r>
      <w:r w:rsidR="00C818B0" w:rsidRPr="007431E6">
        <w:rPr>
          <w:rFonts w:cstheme="minorHAnsi"/>
        </w:rPr>
        <w:instrText xml:space="preserve"> ADDIN ZOTERO_ITEM CSL_CITATION {"citationID":"bNHl7KYu","properties":{"formattedCitation":"(3)","plainCitation":"(3)","noteIndex":0},"citationItems":[{"id":471,"uris":["http://zotero.org/users/5941559/items/XX5LB3Z7"],"uri":["http://zotero.org/users/5941559/items/XX5LB3Z7"],"itemData":{"id":471,"type":"article-journal","abstract":"BACKGROUND AND PURPOSE: Animal models developed in rats and mice have become indispensable in preclinical cerebrovascular research. Points of interest include the investigation of the vascular bed and the morphology and function of the arterial, capillary, and venous vessels. Because of their extremely small caliber, in vivo examination of these vessels is extremely difficult. In the present study we have developed a method to provide fast 3D in vivo analysis of cerebral murine vessels using volume computed tomography-angiography (vCTA).\nMETHODS: Using an industrial X-ray inspection system equipped with a multifocus cone beam X-ray source and a 12-bit direct digital flatbed detector, high-speed vCTA (180 degrees rotation in 40 s. at 30 fps) was performed in anesthetized mice. During the scan an iodinated contrast agent was infused via a tail vein. Images were reconstructed using a filtered backprojection algorithm. Image analysis was performed by maximum intensity projection (MIP) and 3D volume reconstruction.\nRESULTS: All mice tolerated i.v. injection of the iodinated contrast agent well. Smallest achievable voxel size of raw data while scanning the whole neurocranium was 16 mum. Anatomy of cerebral vessels was assessable in all animals, and anatomic differences between mouse strains could easily be detected. Mean vessel diameter was measured in C57BL/6 and BALBc mice. Changes of vessel caliber were assessable by repeated vCTA.\nCONCLUSIONS: Ultra fast in vivo vCTA of murine cerebral vasculature is feasible at resolutions down to 16 mum. The technique allows the assessment of vessel caliber changes in living mice, thus providing an interesting tool to monitor different features such as vasospasm or vessel patency.","container-title":"Stroke","DOI":"10.1161/STROKEAHA.108.521740","ISSN":"1524-4628","issue":"4","journalAbbreviation":"Stroke","language":"eng","note":"PMID: 19213951","page":"1444-1450","source":"PubMed","title":"Ultrafast high-resolution in vivo volume-CTA of mice cerebral vessels","volume":"40","author":[{"family":"Schambach","given":"Sebastian J."},{"family":"Bag","given":"Simona"},{"family":"Steil","given":"Volker"},{"family":"Isaza","given":"Cristina"},{"family":"Schilling","given":"Lothar"},{"family":"Groden","given":"Christoph"},{"family":"Brockmann","given":"Marc A."}],"issued":{"date-parts":[["2009",4]]}}}],"schema":"https://github.com/citation-style-language/schema/raw/master/csl-citation.json"} </w:instrText>
      </w:r>
      <w:r w:rsidR="00CA2EEF" w:rsidRPr="007431E6">
        <w:rPr>
          <w:rFonts w:cstheme="minorHAnsi"/>
        </w:rPr>
        <w:fldChar w:fldCharType="separate"/>
      </w:r>
      <w:r w:rsidR="00C818B0" w:rsidRPr="007431E6">
        <w:rPr>
          <w:rFonts w:cstheme="minorHAnsi"/>
        </w:rPr>
        <w:t>(3)</w:t>
      </w:r>
      <w:r w:rsidR="00CA2EEF" w:rsidRPr="007431E6">
        <w:rPr>
          <w:rFonts w:cstheme="minorHAnsi"/>
        </w:rPr>
        <w:fldChar w:fldCharType="end"/>
      </w:r>
      <w:r w:rsidR="00CA2EEF" w:rsidRPr="007431E6">
        <w:rPr>
          <w:rFonts w:cstheme="minorHAnsi"/>
        </w:rPr>
        <w:t xml:space="preserve"> using the following scan parameters: tube voltage 80 kV (current 75 µA), 360° rotation within 33s scan time and continuous image acquisition at 30 frames per second (fps) resulting in 990 projections. Raw-data were reconstructed using a filtered back-projection algorithm applying the </w:t>
      </w:r>
      <w:proofErr w:type="spellStart"/>
      <w:r w:rsidR="00CA2EEF" w:rsidRPr="007431E6">
        <w:rPr>
          <w:rFonts w:cstheme="minorHAnsi"/>
        </w:rPr>
        <w:t>Shepp</w:t>
      </w:r>
      <w:proofErr w:type="spellEnd"/>
      <w:r w:rsidR="00CA2EEF" w:rsidRPr="007431E6">
        <w:rPr>
          <w:rFonts w:cstheme="minorHAnsi"/>
        </w:rPr>
        <w:t xml:space="preserve">–Logan filter and a matrix of 512 × 512 × 512 voxels (Reconstruction Studio Software, </w:t>
      </w:r>
      <w:proofErr w:type="spellStart"/>
      <w:r w:rsidR="00CA2EEF" w:rsidRPr="007431E6">
        <w:rPr>
          <w:rFonts w:cstheme="minorHAnsi"/>
        </w:rPr>
        <w:t>TeraRecon</w:t>
      </w:r>
      <w:proofErr w:type="spellEnd"/>
      <w:r w:rsidR="00CA2EEF" w:rsidRPr="007431E6">
        <w:rPr>
          <w:rFonts w:cstheme="minorHAnsi"/>
        </w:rPr>
        <w:t xml:space="preserve">). The created DICOM data were assessed using </w:t>
      </w:r>
      <w:proofErr w:type="spellStart"/>
      <w:r w:rsidR="00CA2EEF" w:rsidRPr="007431E6">
        <w:rPr>
          <w:rFonts w:cstheme="minorHAnsi"/>
        </w:rPr>
        <w:t>OsiriX</w:t>
      </w:r>
      <w:proofErr w:type="spellEnd"/>
      <w:r w:rsidR="00CA2EEF" w:rsidRPr="007431E6">
        <w:rPr>
          <w:rFonts w:cstheme="minorHAnsi"/>
        </w:rPr>
        <w:t xml:space="preserve"> imaging software (</w:t>
      </w:r>
      <w:proofErr w:type="spellStart"/>
      <w:r w:rsidR="00CA2EEF" w:rsidRPr="007431E6">
        <w:rPr>
          <w:rFonts w:cstheme="minorHAnsi"/>
        </w:rPr>
        <w:t>OsiriX</w:t>
      </w:r>
      <w:proofErr w:type="spellEnd"/>
      <w:r w:rsidR="00CA2EEF" w:rsidRPr="007431E6">
        <w:rPr>
          <w:rFonts w:cstheme="minorHAnsi"/>
        </w:rPr>
        <w:t xml:space="preserve"> v. 5.0.2, 64-bit, </w:t>
      </w:r>
      <w:proofErr w:type="spellStart"/>
      <w:r w:rsidR="00CA2EEF" w:rsidRPr="007431E6">
        <w:rPr>
          <w:rFonts w:cstheme="minorHAnsi"/>
        </w:rPr>
        <w:t>Pixmeo</w:t>
      </w:r>
      <w:proofErr w:type="spellEnd"/>
      <w:r w:rsidR="00CA2EEF" w:rsidRPr="007431E6">
        <w:rPr>
          <w:rFonts w:cstheme="minorHAnsi"/>
        </w:rPr>
        <w:t xml:space="preserve">, </w:t>
      </w:r>
      <w:proofErr w:type="gramStart"/>
      <w:r w:rsidR="00CA2EEF" w:rsidRPr="007431E6">
        <w:rPr>
          <w:rFonts w:cstheme="minorHAnsi"/>
        </w:rPr>
        <w:t>SARL</w:t>
      </w:r>
      <w:proofErr w:type="gramEnd"/>
      <w:r w:rsidR="00CA2EEF" w:rsidRPr="007431E6">
        <w:rPr>
          <w:rFonts w:cstheme="minorHAnsi"/>
        </w:rPr>
        <w:t>).</w:t>
      </w:r>
    </w:p>
    <w:p w14:paraId="2BA423D1" w14:textId="2F9C41F6" w:rsidR="00CA2EEF" w:rsidRPr="007431E6" w:rsidRDefault="00CA2EEF" w:rsidP="00CA2EEF">
      <w:pPr>
        <w:pStyle w:val="BodyText"/>
        <w:rPr>
          <w:rFonts w:cstheme="minorHAnsi"/>
        </w:rPr>
      </w:pPr>
      <w:r w:rsidRPr="007431E6">
        <w:rPr>
          <w:rFonts w:cstheme="minorHAnsi"/>
        </w:rPr>
        <w:t xml:space="preserve">Hepatic large vessel density was measured in representative coronal sections. The contour of the liver was used as region of interest and the threshold function of ImageJ (Fiji ImageJ 2.0.0-rc69/1.53c) </w:t>
      </w:r>
      <w:r w:rsidRPr="007431E6">
        <w:rPr>
          <w:rFonts w:cstheme="minorHAnsi"/>
        </w:rPr>
        <w:fldChar w:fldCharType="begin"/>
      </w:r>
      <w:r w:rsidR="00C818B0" w:rsidRPr="007431E6">
        <w:rPr>
          <w:rFonts w:cstheme="minorHAnsi"/>
        </w:rPr>
        <w:instrText xml:space="preserve"> ADDIN ZOTERO_ITEM CSL_CITATION {"citationID":"OM9f609e","properties":{"formattedCitation":"(4,5)","plainCitation":"(4,5)","noteIndex":0},"citationItems":[{"id":451,"uris":["http://zotero.org/users/5941559/items/IPMZHVJ4"],"uri":["http://zotero.org/users/5941559/items/IPMZHVJ4"],"itemData":{"id":451,"type":"article-journal","abstract":"Fiji is a distribution of the popular open-source software ImageJ focused on biological-image analysis. Fiji uses modern software engineering practices to combine powerful software libraries with a broad range of scripting languages to enable rapid prototyping of image-processing algorithms. Fiji facilitates the transformation of new algorithms into ImageJ plugins that can be shared with end users through an integrated update system. We propose Fiji as a platform for productive collaboration between computer science and biology research communities.","container-title":"Nat Methods","DOI":"10.1038/nmeth.2019","ISSN":"1548-7091","issue":"7","journalAbbreviation":"Nature methods","language":"eng","note":"PMCID: PMC3855844","page":"676-82","title":"Fiji: an open-source platform for biological-image analysis","volume":"9","author":[{"family":"Schindelin","given":"J."},{"family":"Arganda-Carreras","given":"I."},{"family":"Frise","given":"E."},{"family":"Kaynig","given":"V."},{"family":"Longair","given":"M."},{"family":"Pietzsch","given":"T."},{"family":"Preibisch","given":"S."},{"family":"Rueden","given":"C."},{"family":"Saalfeld","given":"S."},{"family":"Schmid","given":"B."},{"family":"Tinevez","given":"J. Y."},{"family":"White","given":"D. J."},{"family":"Hartenstein","given":"V."},{"family":"Eliceiri","given":"K."},{"family":"Tomancak","given":"P."},{"family":"Cardona","given":"A."}],"issued":{"date-parts":[["2012",6,28]]}},"label":"page"},{"id":470,"uris":["http://zotero.org/users/5941559/items/ETDGQDC3"],"uri":["http://zotero.org/users/5941559/items/ETDGQDC3"],"itemData":{"id":470,"type":"article-journal","abstract":"For the past 25 years NIH Image and ImageJ software have been pioneers as open tools for the analysis of scientific images. We discuss the origins, challenges and solutions of these two programs, and how their history can serve to advise and inform other software projects.","container-title":"Nature Methods","DOI":"10.1038/nmeth.2089","ISSN":"1548-7105","issue":"7","journalAbbreviation":"Nat Methods","language":"en","note":"Bandiera_abtest: a\nCg_type: Nature Research Journals\nnumber: 7\nPrimary_atype: Comments &amp; Opinion\npublisher: Nature Publishing Group\nSubject_term: Imaging;Software\nSubject_term_id: imaging;software","page":"671-675","source":"www.nature.com","title":"NIH Image to ImageJ: 25 years of image analysis","title-short":"NIH Image to ImageJ","volume":"9","author":[{"family":"Schneider","given":"Caroline A."},{"family":"Rasband","given":"Wayne S."},{"family":"Eliceiri","given":"Kevin W."}],"issued":{"date-parts":[["2012",7]]}},"label":"page"}],"schema":"https://github.com/citation-style-language/schema/raw/master/csl-citation.json"} </w:instrText>
      </w:r>
      <w:r w:rsidRPr="007431E6">
        <w:rPr>
          <w:rFonts w:cstheme="minorHAnsi"/>
        </w:rPr>
        <w:fldChar w:fldCharType="separate"/>
      </w:r>
      <w:r w:rsidR="00C818B0" w:rsidRPr="007431E6">
        <w:rPr>
          <w:rFonts w:cstheme="minorHAnsi"/>
        </w:rPr>
        <w:t>(4,5)</w:t>
      </w:r>
      <w:r w:rsidRPr="007431E6">
        <w:rPr>
          <w:rFonts w:cstheme="minorHAnsi"/>
        </w:rPr>
        <w:fldChar w:fldCharType="end"/>
      </w:r>
      <w:r w:rsidRPr="007431E6">
        <w:rPr>
          <w:rFonts w:cstheme="minorHAnsi"/>
        </w:rPr>
        <w:t xml:space="preserve"> was used to identify contrast medium positive vessels. A mask was created and the measured vessel area was normalized by the whole liver area in each section.</w:t>
      </w:r>
    </w:p>
    <w:p w14:paraId="52FED354" w14:textId="77777777" w:rsidR="00CA2EEF" w:rsidRPr="007431E6" w:rsidRDefault="00CA2EEF" w:rsidP="00CA2EEF">
      <w:pPr>
        <w:pStyle w:val="Heading2"/>
        <w:rPr>
          <w:rFonts w:cstheme="minorHAnsi"/>
        </w:rPr>
      </w:pPr>
      <w:bookmarkStart w:id="2" w:name="sec:fhugv6u0pf76"/>
      <w:bookmarkEnd w:id="1"/>
      <w:r w:rsidRPr="007431E6">
        <w:rPr>
          <w:rFonts w:cstheme="minorHAnsi"/>
        </w:rPr>
        <w:t>Echocardiography and Doppler analyses</w:t>
      </w:r>
    </w:p>
    <w:p w14:paraId="14FE2585" w14:textId="77777777" w:rsidR="00CA2EEF" w:rsidRPr="007431E6" w:rsidRDefault="00CA2EEF" w:rsidP="00CA2EEF">
      <w:pPr>
        <w:pStyle w:val="FirstParagraph"/>
        <w:rPr>
          <w:rFonts w:cstheme="minorHAnsi"/>
        </w:rPr>
      </w:pPr>
      <w:r w:rsidRPr="007431E6">
        <w:rPr>
          <w:rFonts w:cstheme="minorHAnsi"/>
        </w:rPr>
        <w:t xml:space="preserve">Echocardiography and </w:t>
      </w:r>
      <w:proofErr w:type="spellStart"/>
      <w:proofErr w:type="gramStart"/>
      <w:r w:rsidRPr="007431E6">
        <w:rPr>
          <w:rFonts w:cstheme="minorHAnsi"/>
        </w:rPr>
        <w:t>doppler</w:t>
      </w:r>
      <w:proofErr w:type="spellEnd"/>
      <w:proofErr w:type="gramEnd"/>
      <w:r w:rsidRPr="007431E6">
        <w:rPr>
          <w:rFonts w:cstheme="minorHAnsi"/>
        </w:rPr>
        <w:t xml:space="preserve"> analyses of the liver and vena cava were performed with six months old mice using a high-frequency ultrasonography device (VEVO 3100, </w:t>
      </w:r>
      <w:proofErr w:type="spellStart"/>
      <w:r w:rsidRPr="007431E6">
        <w:rPr>
          <w:rFonts w:cstheme="minorHAnsi"/>
        </w:rPr>
        <w:t>VisualSonics</w:t>
      </w:r>
      <w:proofErr w:type="spellEnd"/>
      <w:r w:rsidRPr="007431E6">
        <w:rPr>
          <w:rFonts w:cstheme="minorHAnsi"/>
        </w:rPr>
        <w:t xml:space="preserve">). Before investigation, mice were anesthetized with 3% isoflurane (CP-Pharma) in </w:t>
      </w:r>
      <w:proofErr w:type="gramStart"/>
      <w:r w:rsidRPr="007431E6">
        <w:rPr>
          <w:rFonts w:cstheme="minorHAnsi"/>
        </w:rPr>
        <w:t>1</w:t>
      </w:r>
      <w:proofErr w:type="gramEnd"/>
      <w:r w:rsidRPr="007431E6">
        <w:rPr>
          <w:rFonts w:cstheme="minorHAnsi"/>
        </w:rPr>
        <w:t xml:space="preserve"> </w:t>
      </w:r>
      <w:proofErr w:type="spellStart"/>
      <w:r w:rsidRPr="007431E6">
        <w:rPr>
          <w:rFonts w:cstheme="minorHAnsi"/>
        </w:rPr>
        <w:t>Lpm</w:t>
      </w:r>
      <w:proofErr w:type="spellEnd"/>
      <w:r w:rsidRPr="007431E6">
        <w:rPr>
          <w:rFonts w:cstheme="minorHAnsi"/>
        </w:rPr>
        <w:t xml:space="preserve"> oxygen and maintained at 1% isoflurane. The heart ventricles were recorded in the short long axis at papillary muscle level (left ventricle, LV) and apical five chamber view at the level of aortic root (right ventricle, RV). B-mode images were analyzed with </w:t>
      </w:r>
      <w:proofErr w:type="spellStart"/>
      <w:r w:rsidRPr="007431E6">
        <w:rPr>
          <w:rFonts w:cstheme="minorHAnsi"/>
        </w:rPr>
        <w:t>VevoLab</w:t>
      </w:r>
      <w:proofErr w:type="spellEnd"/>
      <w:r w:rsidRPr="007431E6">
        <w:rPr>
          <w:rFonts w:cstheme="minorHAnsi"/>
        </w:rPr>
        <w:t xml:space="preserve"> 5.5.0 and the integrated cardiac measurement package.</w:t>
      </w:r>
    </w:p>
    <w:p w14:paraId="47EBEA47" w14:textId="67E5D14C" w:rsidR="00540EA0" w:rsidRPr="00520BEE" w:rsidRDefault="00540EA0" w:rsidP="00520BEE">
      <w:r w:rsidRPr="00540EA0">
        <w:rPr>
          <w:rFonts w:cstheme="minorHAnsi"/>
        </w:rPr>
        <w:lastRenderedPageBreak/>
        <w:t xml:space="preserve">Liver echography as well as inferior vena cava (IVC) and portal vein (PV) flow analyses were conducted utilizing Color and Pulsed-wave Doppler. IVC flow was recorded in long axis at a distal, pre-hepatic, and a proximal post-hepatic position. PV flow and diameter were recorded in long axis with PW Doppler and M-mode, resp., at para-hepatic position. </w:t>
      </w:r>
      <w:proofErr w:type="spellStart"/>
      <w:r w:rsidRPr="00540EA0">
        <w:rPr>
          <w:rFonts w:cstheme="minorHAnsi"/>
        </w:rPr>
        <w:t>Capillarization</w:t>
      </w:r>
      <w:proofErr w:type="spellEnd"/>
      <w:r w:rsidRPr="00540EA0">
        <w:rPr>
          <w:rFonts w:cstheme="minorHAnsi"/>
        </w:rPr>
        <w:t xml:space="preserve"> of the liver parenchyma was visualized with Color Doppler (CD) in axial plane of the mouse abdomen. The CD window was set to maximum gate size (4 AU) and the beam induced with a transmit frequency of 24 MHz and a Doppler gain of 6 </w:t>
      </w:r>
      <w:proofErr w:type="spellStart"/>
      <w:r w:rsidRPr="00540EA0">
        <w:rPr>
          <w:rFonts w:cstheme="minorHAnsi"/>
        </w:rPr>
        <w:t>dB.</w:t>
      </w:r>
      <w:proofErr w:type="spellEnd"/>
    </w:p>
    <w:p w14:paraId="06743FAA" w14:textId="77777777" w:rsidR="00CA2EEF" w:rsidRPr="007431E6" w:rsidRDefault="00CA2EEF" w:rsidP="00CA2EEF">
      <w:pPr>
        <w:pStyle w:val="Heading2"/>
        <w:rPr>
          <w:rFonts w:cstheme="minorHAnsi"/>
        </w:rPr>
      </w:pPr>
      <w:bookmarkStart w:id="3" w:name="sec:t9b1vcrthlr5"/>
      <w:bookmarkEnd w:id="2"/>
      <w:r w:rsidRPr="007431E6">
        <w:rPr>
          <w:rFonts w:cstheme="minorHAnsi"/>
        </w:rPr>
        <w:t>Tissue preparation</w:t>
      </w:r>
    </w:p>
    <w:p w14:paraId="34BAFEDA" w14:textId="067AB164" w:rsidR="00CA2EEF" w:rsidRPr="007431E6" w:rsidRDefault="00CA2EEF" w:rsidP="00CA2EEF">
      <w:pPr>
        <w:pStyle w:val="FirstParagraph"/>
        <w:rPr>
          <w:rFonts w:cstheme="minorHAnsi"/>
        </w:rPr>
      </w:pPr>
      <w:proofErr w:type="spellStart"/>
      <w:r w:rsidRPr="007431E6">
        <w:rPr>
          <w:rFonts w:cstheme="minorHAnsi"/>
        </w:rPr>
        <w:t>Isofluran</w:t>
      </w:r>
      <w:proofErr w:type="spellEnd"/>
      <w:r w:rsidRPr="007431E6">
        <w:rPr>
          <w:rFonts w:cstheme="minorHAnsi"/>
        </w:rPr>
        <w:t xml:space="preserve"> (Baxter) anesthetized mice were sacrificed by cervical dislocation. The liver, spleen, and heart were removed and weighed. Sectioned organs were fixed in phosphate-buffered 4 % formaldehyde solution (P087, Carl Roth) at room temperature for one to five days, followed by paraffin embedding according to standard protocols and as described before </w:t>
      </w:r>
      <w:r w:rsidRPr="007431E6">
        <w:rPr>
          <w:rFonts w:cstheme="minorHAnsi"/>
        </w:rPr>
        <w:fldChar w:fldCharType="begin"/>
      </w:r>
      <w:r w:rsidR="00C818B0" w:rsidRPr="007431E6">
        <w:rPr>
          <w:rFonts w:cstheme="minorHAnsi"/>
        </w:rPr>
        <w:instrText xml:space="preserve"> ADDIN ZOTERO_ITEM CSL_CITATION {"citationID":"sB4fqIHB","properties":{"formattedCitation":"(6)","plainCitation":"(6)","noteIndex":0},"citationItems":[{"id":490,"uris":["http://zotero.org/users/5941559/items/9UVQBHJR"],"uri":["http://zotero.org/users/5941559/items/9UVQBHJR"],"itemData":{"id":490,"type":"article-journal","abstract":"Background &amp; Aims\nAngiocrine signaling by liver sinusoidal endothelial cells (LSECs) regulates hepatic functions such as growth, metabolic maturation, and regeneration. Recently, we identified GATA4 as the master regulator of LSEC specification during development. Herein, we studied the role of endothelial GATA4 in the adult liver and in hepatic pathogenesis.\nMethods\nWe generated adult Clec4g-icretg/0xGata4fl/fl (Gata4LSEC-KO) mice with LSEC-specific depletion of Gata4. Livers were analyzed by histology, electron microscopy, immunohistochemistry/immunofluorescence, in situ hybridization, and LSECs were isolated for gene expression profiling, ChIP- and ATAC-sequencing. Partial hepatectomy was performed to assess regeneration. We used choline-deficient, l-amino acid-defined (CDAA) diet and chronic carbon tetrachloride exposure to model liver fibrosis. Human single cell RNA-seq data sets were analyzed for endothelial alterations in healthy and cirrhotic livers.\nResults\nGenetic Gata4 deficiency in LSECs of adult mice caused perisinusoidal liver fibrosis, hepatopathy and impaired liver regeneration. Sinusoidal capillarization and LSEC-to-continuous endothelial transdifferentiation were accompanied by a profibrotic angiocrine switch involving de novo endothelial expression of hepatic stellate cell-activating cytokine PDGFB. Increased chromatin accessibility and amplification by activated MYC mediated angiocrine Pdgfb expression. As observed in Gata4LSEC-KO livers, CDAA diet-induced perisinusoidal liver fibrosis was associated with GATA4 repression, MYC activation and a profibrotic angiocrine switch in LSECs. Comparison of CDAA-fed Gata4LSEC-KO and control mice demonstrated that endothelial GATA4 indeed protects against dietary-induced perisinusoidal liver fibrosis. In human cirrhotic livers, GATA4-positive LSECs and endothelial GATA4 target genes were reduced, while non-LSEC endothelial cells and MYC target genes including PDGFB were enriched.\nConclusions\nEndothelial GATA4 protects against perisinusoidal liver fibrosis by repressing MYC activation and profibrotic angiocrine signaling at the chromatin level. Therapies targeting the GATA4/MYC/PDGFB/PDGFRβ axis offer a promising strategy for prevention and treatment of liver fibrosis.\nLay summary\nThe liver vasculature is supposed to play a major role in the development of liver fibrosis and cirrhosis, which can lead to liver failure and liver cancer. Herein, we discovered that structural and transcriptional changes induced by genetic deletion of the transcription factor GATA4 in the hepatic endothelium were sufficient to cause liver fibrosis. Activation of the transcription factor MYC and de novo expression of the “angiocrine” growth factor PDGFB were identified as downstream drivers of fibrosis and as potential therapeutic targets for this potentially fatal disease.","container-title":"Journal of Hepatology","DOI":"10.1016/j.jhep.2020.08.033","ISSN":"0168-8278","issue":"2","journalAbbreviation":"Journal of Hepatology","language":"en","page":"380-393","source":"ScienceDirect","title":"Endothelial GATA4 controls liver fibrosis and regeneration by preventing a pathogenic switch in angiocrine signaling","volume":"74","author":[{"family":"Winkler","given":"Manuel"},{"family":"Staniczek","given":"Theresa"},{"family":"Kürschner","given":"Sina Wietje"},{"family":"Schmid","given":"Christian David"},{"family":"Schönhaber","given":"Hiltrud"},{"family":"Cordero","given":"Julio"},{"family":"Kessler","given":"Linda"},{"family":"Mathes","given":"Arthur"},{"family":"Sticht","given":"Carsten"},{"family":"Neßling","given":"Michelle"},{"family":"Uvarovskii","given":"Alexey"},{"family":"Anders","given":"Simon"},{"family":"Zhang","given":"Xue-jun"},{"family":"Figura","given":"Guido","non-dropping-particle":"von"},{"family":"Hartmann","given":"Daniel"},{"family":"Mogler","given":"Carolin"},{"family":"Dobreva","given":"Gergana"},{"family":"Schledzewski","given":"Kai"},{"family":"Géraud","given":"Cyrill"},{"family":"Koch","given":"Philipp-Sebastian"},{"family":"Goerdt","given":"Sergij"}],"issued":{"date-parts":[["2021",2,1]]}}}],"schema":"https://github.com/citation-style-language/schema/raw/master/csl-citation.json"} </w:instrText>
      </w:r>
      <w:r w:rsidRPr="007431E6">
        <w:rPr>
          <w:rFonts w:cstheme="minorHAnsi"/>
        </w:rPr>
        <w:fldChar w:fldCharType="separate"/>
      </w:r>
      <w:r w:rsidR="00C818B0" w:rsidRPr="007431E6">
        <w:rPr>
          <w:rFonts w:cstheme="minorHAnsi"/>
        </w:rPr>
        <w:t>(6)</w:t>
      </w:r>
      <w:r w:rsidRPr="007431E6">
        <w:rPr>
          <w:rFonts w:cstheme="minorHAnsi"/>
        </w:rPr>
        <w:fldChar w:fldCharType="end"/>
      </w:r>
      <w:r w:rsidRPr="007431E6">
        <w:rPr>
          <w:rFonts w:cstheme="minorHAnsi"/>
        </w:rPr>
        <w:t>. Liver tissue pieces were also snap-frozen in liquid nitrogen (</w:t>
      </w:r>
      <w:proofErr w:type="spellStart"/>
      <w:r w:rsidRPr="007431E6">
        <w:rPr>
          <w:rFonts w:cstheme="minorHAnsi"/>
        </w:rPr>
        <w:t>Broser</w:t>
      </w:r>
      <w:proofErr w:type="spellEnd"/>
      <w:r w:rsidRPr="007431E6">
        <w:rPr>
          <w:rFonts w:cstheme="minorHAnsi"/>
        </w:rPr>
        <w:t>).</w:t>
      </w:r>
    </w:p>
    <w:p w14:paraId="04CFBD7A" w14:textId="77777777" w:rsidR="00CA2EEF" w:rsidRPr="007431E6" w:rsidRDefault="00CA2EEF" w:rsidP="00CA2EEF">
      <w:pPr>
        <w:pStyle w:val="BodyText"/>
        <w:rPr>
          <w:rFonts w:cstheme="minorHAnsi"/>
        </w:rPr>
      </w:pPr>
      <w:r w:rsidRPr="007431E6">
        <w:rPr>
          <w:rFonts w:cstheme="minorHAnsi"/>
        </w:rPr>
        <w:t xml:space="preserve">Formalin-fixed paraffin-embedded (FFPE) tissue sections (3 </w:t>
      </w:r>
      <w:proofErr w:type="spellStart"/>
      <w:r w:rsidRPr="007431E6">
        <w:rPr>
          <w:rFonts w:cstheme="minorHAnsi"/>
        </w:rPr>
        <w:t>μm</w:t>
      </w:r>
      <w:proofErr w:type="spellEnd"/>
      <w:r w:rsidRPr="007431E6">
        <w:rPr>
          <w:rFonts w:cstheme="minorHAnsi"/>
        </w:rPr>
        <w:t xml:space="preserve">) were </w:t>
      </w:r>
      <w:proofErr w:type="spellStart"/>
      <w:r w:rsidRPr="007431E6">
        <w:rPr>
          <w:rFonts w:cstheme="minorHAnsi"/>
        </w:rPr>
        <w:t>deparaffinized</w:t>
      </w:r>
      <w:proofErr w:type="spellEnd"/>
      <w:r w:rsidRPr="007431E6">
        <w:rPr>
          <w:rFonts w:cstheme="minorHAnsi"/>
        </w:rPr>
        <w:t xml:space="preserve"> and rehydrated according to standard protocols. Sections were stained with hematoxylin &amp; eosin (H&amp;E) and Sirius Red (SR) according to standard protocols.</w:t>
      </w:r>
    </w:p>
    <w:p w14:paraId="30A4A15A" w14:textId="77777777" w:rsidR="00CA2EEF" w:rsidRPr="007431E6" w:rsidRDefault="00CA2EEF" w:rsidP="00CA2EEF">
      <w:pPr>
        <w:pStyle w:val="Heading2"/>
        <w:rPr>
          <w:rFonts w:cstheme="minorHAnsi"/>
        </w:rPr>
      </w:pPr>
      <w:bookmarkStart w:id="4" w:name="sec:gl1cuzj222e"/>
      <w:bookmarkEnd w:id="3"/>
      <w:r w:rsidRPr="007431E6">
        <w:rPr>
          <w:rFonts w:cstheme="minorHAnsi"/>
        </w:rPr>
        <w:t>Blood collection</w:t>
      </w:r>
    </w:p>
    <w:p w14:paraId="36CEBDBB" w14:textId="77777777" w:rsidR="00CA2EEF" w:rsidRPr="007431E6" w:rsidRDefault="00CA2EEF" w:rsidP="00CA2EEF">
      <w:pPr>
        <w:pStyle w:val="FirstParagraph"/>
        <w:rPr>
          <w:rFonts w:cstheme="minorHAnsi"/>
        </w:rPr>
      </w:pPr>
      <w:r w:rsidRPr="007431E6">
        <w:rPr>
          <w:rFonts w:cstheme="minorHAnsi"/>
        </w:rPr>
        <w:t xml:space="preserve">For blood collection, mice were deeply anesthetized and sacrificed subsequently. Blood samples were taken from the </w:t>
      </w:r>
      <w:proofErr w:type="spellStart"/>
      <w:r w:rsidRPr="007431E6">
        <w:rPr>
          <w:rFonts w:cstheme="minorHAnsi"/>
        </w:rPr>
        <w:t>retrobulbar</w:t>
      </w:r>
      <w:proofErr w:type="spellEnd"/>
      <w:r w:rsidRPr="007431E6">
        <w:rPr>
          <w:rFonts w:cstheme="minorHAnsi"/>
        </w:rPr>
        <w:t xml:space="preserve"> venous plexus during day cycle in lithium heparin tubes (</w:t>
      </w:r>
      <w:proofErr w:type="spellStart"/>
      <w:r w:rsidRPr="007431E6">
        <w:rPr>
          <w:rFonts w:cstheme="minorHAnsi"/>
        </w:rPr>
        <w:t>Microvette</w:t>
      </w:r>
      <w:proofErr w:type="spellEnd"/>
      <w:r w:rsidRPr="007431E6">
        <w:rPr>
          <w:rFonts w:cstheme="minorHAnsi"/>
        </w:rPr>
        <w:t xml:space="preserve"> 500 LH, 20.1345.100, </w:t>
      </w:r>
      <w:proofErr w:type="spellStart"/>
      <w:r w:rsidRPr="007431E6">
        <w:rPr>
          <w:rFonts w:cstheme="minorHAnsi"/>
        </w:rPr>
        <w:t>Sarstedt</w:t>
      </w:r>
      <w:proofErr w:type="spellEnd"/>
      <w:r w:rsidRPr="007431E6">
        <w:rPr>
          <w:rFonts w:cstheme="minorHAnsi"/>
        </w:rPr>
        <w:t xml:space="preserve">). Plasma was separated using centrifugation at 7000 x g for 7 min and analyzed for standard plasma values in a </w:t>
      </w:r>
      <w:proofErr w:type="spellStart"/>
      <w:r w:rsidRPr="007431E6">
        <w:rPr>
          <w:rFonts w:cstheme="minorHAnsi"/>
        </w:rPr>
        <w:t>cobas</w:t>
      </w:r>
      <w:proofErr w:type="spellEnd"/>
      <w:r w:rsidRPr="007431E6">
        <w:rPr>
          <w:rFonts w:cstheme="minorHAnsi"/>
        </w:rPr>
        <w:t xml:space="preserve"> c311 analyzer (Roche Diagnostics). For serum, blood was collected in 1.5 mL reaction tubes without any additives. After two hours of clotting at room temperature, blood was centrifuged for 20 minutes at 2000 x g. Then, the </w:t>
      </w:r>
      <w:proofErr w:type="spellStart"/>
      <w:r w:rsidRPr="007431E6">
        <w:rPr>
          <w:rFonts w:cstheme="minorHAnsi"/>
        </w:rPr>
        <w:t>supernating</w:t>
      </w:r>
      <w:proofErr w:type="spellEnd"/>
      <w:r w:rsidRPr="007431E6">
        <w:rPr>
          <w:rFonts w:cstheme="minorHAnsi"/>
        </w:rPr>
        <w:t xml:space="preserve"> serum was transferred to a new reaction tube.</w:t>
      </w:r>
    </w:p>
    <w:p w14:paraId="34518614" w14:textId="65A5703C" w:rsidR="00CA2EEF" w:rsidRPr="007431E6" w:rsidRDefault="00CA2EEF" w:rsidP="00CA2EEF">
      <w:pPr>
        <w:pStyle w:val="Heading2"/>
        <w:rPr>
          <w:rFonts w:cstheme="minorHAnsi"/>
        </w:rPr>
      </w:pPr>
      <w:bookmarkStart w:id="5" w:name="sec:lqmt5cyo22li"/>
      <w:bookmarkEnd w:id="4"/>
      <w:r w:rsidRPr="007431E6">
        <w:rPr>
          <w:rFonts w:cstheme="minorHAnsi"/>
        </w:rPr>
        <w:lastRenderedPageBreak/>
        <w:t>Immunofluorescence</w:t>
      </w:r>
      <w:r w:rsidR="00C77327">
        <w:rPr>
          <w:rFonts w:cstheme="minorHAnsi"/>
        </w:rPr>
        <w:t xml:space="preserve"> and immunohistochemistry</w:t>
      </w:r>
    </w:p>
    <w:p w14:paraId="37FCCB8D" w14:textId="77777777" w:rsidR="00C77327" w:rsidRDefault="00CA2EEF" w:rsidP="00CA2EEF">
      <w:pPr>
        <w:pStyle w:val="FirstParagraph"/>
        <w:rPr>
          <w:rFonts w:cstheme="minorHAnsi"/>
        </w:rPr>
      </w:pPr>
      <w:r w:rsidRPr="007431E6">
        <w:rPr>
          <w:rFonts w:cstheme="minorHAnsi"/>
        </w:rPr>
        <w:t>3 µm paraffin sections were de-</w:t>
      </w:r>
      <w:proofErr w:type="spellStart"/>
      <w:r w:rsidRPr="007431E6">
        <w:rPr>
          <w:rFonts w:cstheme="minorHAnsi"/>
        </w:rPr>
        <w:t>paraffinized</w:t>
      </w:r>
      <w:proofErr w:type="spellEnd"/>
      <w:r w:rsidRPr="007431E6">
        <w:rPr>
          <w:rFonts w:cstheme="minorHAnsi"/>
        </w:rPr>
        <w:t xml:space="preserve">, rehydrated, and stained according to standard protocols and as described before </w:t>
      </w:r>
      <w:r w:rsidRPr="007431E6">
        <w:rPr>
          <w:rFonts w:cstheme="minorHAnsi"/>
        </w:rPr>
        <w:fldChar w:fldCharType="begin"/>
      </w:r>
      <w:r w:rsidR="00C818B0" w:rsidRPr="007431E6">
        <w:rPr>
          <w:rFonts w:cstheme="minorHAnsi"/>
        </w:rPr>
        <w:instrText xml:space="preserve"> ADDIN ZOTERO_ITEM CSL_CITATION {"citationID":"mym8nItF","properties":{"formattedCitation":"(6)","plainCitation":"(6)","noteIndex":0},"citationItems":[{"id":490,"uris":["http://zotero.org/users/5941559/items/9UVQBHJR"],"uri":["http://zotero.org/users/5941559/items/9UVQBHJR"],"itemData":{"id":490,"type":"article-journal","abstract":"Background &amp; Aims\nAngiocrine signaling by liver sinusoidal endothelial cells (LSECs) regulates hepatic functions such as growth, metabolic maturation, and regeneration. Recently, we identified GATA4 as the master regulator of LSEC specification during development. Herein, we studied the role of endothelial GATA4 in the adult liver and in hepatic pathogenesis.\nMethods\nWe generated adult Clec4g-icretg/0xGata4fl/fl (Gata4LSEC-KO) mice with LSEC-specific depletion of Gata4. Livers were analyzed by histology, electron microscopy, immunohistochemistry/immunofluorescence, in situ hybridization, and LSECs were isolated for gene expression profiling, ChIP- and ATAC-sequencing. Partial hepatectomy was performed to assess regeneration. We used choline-deficient, l-amino acid-defined (CDAA) diet and chronic carbon tetrachloride exposure to model liver fibrosis. Human single cell RNA-seq data sets were analyzed for endothelial alterations in healthy and cirrhotic livers.\nResults\nGenetic Gata4 deficiency in LSECs of adult mice caused perisinusoidal liver fibrosis, hepatopathy and impaired liver regeneration. Sinusoidal capillarization and LSEC-to-continuous endothelial transdifferentiation were accompanied by a profibrotic angiocrine switch involving de novo endothelial expression of hepatic stellate cell-activating cytokine PDGFB. Increased chromatin accessibility and amplification by activated MYC mediated angiocrine Pdgfb expression. As observed in Gata4LSEC-KO livers, CDAA diet-induced perisinusoidal liver fibrosis was associated with GATA4 repression, MYC activation and a profibrotic angiocrine switch in LSECs. Comparison of CDAA-fed Gata4LSEC-KO and control mice demonstrated that endothelial GATA4 indeed protects against dietary-induced perisinusoidal liver fibrosis. In human cirrhotic livers, GATA4-positive LSECs and endothelial GATA4 target genes were reduced, while non-LSEC endothelial cells and MYC target genes including PDGFB were enriched.\nConclusions\nEndothelial GATA4 protects against perisinusoidal liver fibrosis by repressing MYC activation and profibrotic angiocrine signaling at the chromatin level. Therapies targeting the GATA4/MYC/PDGFB/PDGFRβ axis offer a promising strategy for prevention and treatment of liver fibrosis.\nLay summary\nThe liver vasculature is supposed to play a major role in the development of liver fibrosis and cirrhosis, which can lead to liver failure and liver cancer. Herein, we discovered that structural and transcriptional changes induced by genetic deletion of the transcription factor GATA4 in the hepatic endothelium were sufficient to cause liver fibrosis. Activation of the transcription factor MYC and de novo expression of the “angiocrine” growth factor PDGFB were identified as downstream drivers of fibrosis and as potential therapeutic targets for this potentially fatal disease.","container-title":"Journal of Hepatology","DOI":"10.1016/j.jhep.2020.08.033","ISSN":"0168-8278","issue":"2","journalAbbreviation":"Journal of Hepatology","language":"en","page":"380-393","source":"ScienceDirect","title":"Endothelial GATA4 controls liver fibrosis and regeneration by preventing a pathogenic switch in angiocrine signaling","volume":"74","author":[{"family":"Winkler","given":"Manuel"},{"family":"Staniczek","given":"Theresa"},{"family":"Kürschner","given":"Sina Wietje"},{"family":"Schmid","given":"Christian David"},{"family":"Schönhaber","given":"Hiltrud"},{"family":"Cordero","given":"Julio"},{"family":"Kessler","given":"Linda"},{"family":"Mathes","given":"Arthur"},{"family":"Sticht","given":"Carsten"},{"family":"Neßling","given":"Michelle"},{"family":"Uvarovskii","given":"Alexey"},{"family":"Anders","given":"Simon"},{"family":"Zhang","given":"Xue-jun"},{"family":"Figura","given":"Guido","non-dropping-particle":"von"},{"family":"Hartmann","given":"Daniel"},{"family":"Mogler","given":"Carolin"},{"family":"Dobreva","given":"Gergana"},{"family":"Schledzewski","given":"Kai"},{"family":"Géraud","given":"Cyrill"},{"family":"Koch","given":"Philipp-Sebastian"},{"family":"Goerdt","given":"Sergij"}],"issued":{"date-parts":[["2021",2,1]]}}}],"schema":"https://github.com/citation-style-language/schema/raw/master/csl-citation.json"} </w:instrText>
      </w:r>
      <w:r w:rsidRPr="007431E6">
        <w:rPr>
          <w:rFonts w:cstheme="minorHAnsi"/>
        </w:rPr>
        <w:fldChar w:fldCharType="separate"/>
      </w:r>
      <w:r w:rsidR="00C818B0" w:rsidRPr="007431E6">
        <w:rPr>
          <w:rFonts w:cstheme="minorHAnsi"/>
        </w:rPr>
        <w:t>(6)</w:t>
      </w:r>
      <w:r w:rsidRPr="007431E6">
        <w:rPr>
          <w:rFonts w:cstheme="minorHAnsi"/>
        </w:rPr>
        <w:fldChar w:fldCharType="end"/>
      </w:r>
      <w:r w:rsidRPr="007431E6">
        <w:rPr>
          <w:rFonts w:cstheme="minorHAnsi"/>
        </w:rPr>
        <w:t xml:space="preserve">. Heat induced epitope retrieval (HIER) citrate buffer pH 6.0 (ZUC028-500, </w:t>
      </w:r>
      <w:proofErr w:type="spellStart"/>
      <w:r w:rsidRPr="007431E6">
        <w:rPr>
          <w:rFonts w:cstheme="minorHAnsi"/>
        </w:rPr>
        <w:t>Zytomed</w:t>
      </w:r>
      <w:proofErr w:type="spellEnd"/>
      <w:r w:rsidRPr="007431E6">
        <w:rPr>
          <w:rFonts w:cstheme="minorHAnsi"/>
        </w:rPr>
        <w:t xml:space="preserve"> </w:t>
      </w:r>
      <w:proofErr w:type="spellStart"/>
      <w:r w:rsidRPr="007431E6">
        <w:rPr>
          <w:rFonts w:cstheme="minorHAnsi"/>
        </w:rPr>
        <w:t>Sytems</w:t>
      </w:r>
      <w:proofErr w:type="spellEnd"/>
      <w:r w:rsidRPr="007431E6">
        <w:rPr>
          <w:rFonts w:cstheme="minorHAnsi"/>
        </w:rPr>
        <w:t xml:space="preserve">) was used for antigen retrieval at 95 °C for 45 min. </w:t>
      </w:r>
    </w:p>
    <w:p w14:paraId="2EB40388" w14:textId="0BB5A680" w:rsidR="00C77327" w:rsidRDefault="00C77327" w:rsidP="00C77327">
      <w:pPr>
        <w:pStyle w:val="FirstParagraph"/>
        <w:rPr>
          <w:rFonts w:cstheme="minorHAnsi"/>
        </w:rPr>
      </w:pPr>
      <w:proofErr w:type="spellStart"/>
      <w:r>
        <w:rPr>
          <w:rFonts w:cstheme="minorHAnsi"/>
        </w:rPr>
        <w:t>Cryosections</w:t>
      </w:r>
      <w:proofErr w:type="spellEnd"/>
      <w:r>
        <w:rPr>
          <w:rFonts w:cstheme="minorHAnsi"/>
        </w:rPr>
        <w:t xml:space="preserve"> (</w:t>
      </w:r>
      <w:proofErr w:type="gramStart"/>
      <w:r>
        <w:rPr>
          <w:rFonts w:cstheme="minorHAnsi"/>
        </w:rPr>
        <w:t>8</w:t>
      </w:r>
      <w:proofErr w:type="gramEnd"/>
      <w:r>
        <w:rPr>
          <w:rFonts w:cstheme="minorHAnsi"/>
        </w:rPr>
        <w:t xml:space="preserve"> µm) were fixed with </w:t>
      </w:r>
      <w:r w:rsidRPr="00C77327">
        <w:rPr>
          <w:rFonts w:cstheme="minorHAnsi"/>
        </w:rPr>
        <w:t>phosphate-buffered 4 % paraformaldehyde (PFA)</w:t>
      </w:r>
      <w:r>
        <w:rPr>
          <w:rFonts w:cstheme="minorHAnsi"/>
        </w:rPr>
        <w:t xml:space="preserve"> </w:t>
      </w:r>
      <w:r w:rsidRPr="00C77327">
        <w:rPr>
          <w:rFonts w:cstheme="minorHAnsi"/>
        </w:rPr>
        <w:t>(0335, Carl Roth) for 10 min</w:t>
      </w:r>
      <w:r>
        <w:rPr>
          <w:rFonts w:cstheme="minorHAnsi"/>
        </w:rPr>
        <w:t xml:space="preserve"> after air drying. Blocking was conducted for 30 min using </w:t>
      </w:r>
      <w:r w:rsidRPr="00C77327">
        <w:rPr>
          <w:rFonts w:cstheme="minorHAnsi"/>
        </w:rPr>
        <w:t>5</w:t>
      </w:r>
      <w:r w:rsidR="007B55FD">
        <w:rPr>
          <w:rFonts w:cstheme="minorHAnsi"/>
        </w:rPr>
        <w:t> </w:t>
      </w:r>
      <w:r w:rsidRPr="00C77327">
        <w:rPr>
          <w:rFonts w:cstheme="minorHAnsi"/>
        </w:rPr>
        <w:t xml:space="preserve">% normal donkey serum (017-000-121, </w:t>
      </w:r>
      <w:proofErr w:type="spellStart"/>
      <w:r w:rsidRPr="00C77327">
        <w:rPr>
          <w:rFonts w:cstheme="minorHAnsi"/>
        </w:rPr>
        <w:t>Dianova</w:t>
      </w:r>
      <w:proofErr w:type="spellEnd"/>
      <w:r w:rsidRPr="00C77327">
        <w:rPr>
          <w:rFonts w:cstheme="minorHAnsi"/>
        </w:rPr>
        <w:t>,</w:t>
      </w:r>
      <w:r>
        <w:rPr>
          <w:rFonts w:cstheme="minorHAnsi"/>
        </w:rPr>
        <w:t xml:space="preserve"> </w:t>
      </w:r>
      <w:r w:rsidRPr="00C77327">
        <w:rPr>
          <w:rFonts w:cstheme="minorHAnsi"/>
        </w:rPr>
        <w:t>Hamburg, Germany)</w:t>
      </w:r>
      <w:r>
        <w:rPr>
          <w:rFonts w:cstheme="minorHAnsi"/>
        </w:rPr>
        <w:t>.</w:t>
      </w:r>
    </w:p>
    <w:p w14:paraId="36916A42" w14:textId="5D1E29E8" w:rsidR="00CA2EEF" w:rsidRDefault="00C77327" w:rsidP="00AD197D">
      <w:pPr>
        <w:pStyle w:val="BodyText"/>
        <w:rPr>
          <w:rFonts w:cstheme="minorHAnsi"/>
        </w:rPr>
      </w:pPr>
      <w:r>
        <w:t>For immunofluorescence staining</w:t>
      </w:r>
      <w:r w:rsidR="00AD197D">
        <w:t>,</w:t>
      </w:r>
      <w:r>
        <w:t xml:space="preserve"> primary antibodies were diluted in </w:t>
      </w:r>
      <w:proofErr w:type="spellStart"/>
      <w:r>
        <w:t>Dako</w:t>
      </w:r>
      <w:proofErr w:type="spellEnd"/>
      <w:r>
        <w:t xml:space="preserve"> antibody diluent (S202230-2, Agilent Technologies) and incubated over night at 4 °C. </w:t>
      </w:r>
      <w:r w:rsidR="00CA2EEF" w:rsidRPr="007431E6">
        <w:rPr>
          <w:rFonts w:cstheme="minorHAnsi"/>
        </w:rPr>
        <w:t>Subsequently, sections were washed three times with phosphate-buffered saline (PBS) (A0964.9050, VWR International) and incubated with fluorophore-conjugated secondary antibodies</w:t>
      </w:r>
      <w:r w:rsidR="00AD197D">
        <w:rPr>
          <w:rFonts w:cstheme="minorHAnsi"/>
        </w:rPr>
        <w:t xml:space="preserve"> diluted in </w:t>
      </w:r>
      <w:proofErr w:type="spellStart"/>
      <w:r w:rsidR="00AD197D">
        <w:rPr>
          <w:rFonts w:cstheme="minorHAnsi"/>
        </w:rPr>
        <w:t>Dako</w:t>
      </w:r>
      <w:proofErr w:type="spellEnd"/>
      <w:r w:rsidR="00AD197D">
        <w:rPr>
          <w:rFonts w:cstheme="minorHAnsi"/>
        </w:rPr>
        <w:t xml:space="preserve"> antibody diluent</w:t>
      </w:r>
      <w:r w:rsidR="00CA2EEF" w:rsidRPr="007431E6">
        <w:rPr>
          <w:rFonts w:cstheme="minorHAnsi"/>
        </w:rPr>
        <w:t xml:space="preserve"> for one hour at room temperature followed by another washing step with PBS. Finally, sections were mounted with </w:t>
      </w:r>
      <w:proofErr w:type="spellStart"/>
      <w:r w:rsidR="00CA2EEF" w:rsidRPr="007431E6">
        <w:rPr>
          <w:rFonts w:cstheme="minorHAnsi"/>
        </w:rPr>
        <w:t>Dako</w:t>
      </w:r>
      <w:proofErr w:type="spellEnd"/>
      <w:r w:rsidR="00CA2EEF" w:rsidRPr="007431E6">
        <w:rPr>
          <w:rFonts w:cstheme="minorHAnsi"/>
        </w:rPr>
        <w:t xml:space="preserve"> fluorescence mounting medium (S302380-2, Agilent Technologies), dried for one day at room temperature, and stored at 4</w:t>
      </w:r>
      <w:r w:rsidR="002956A1">
        <w:rPr>
          <w:rFonts w:cstheme="minorHAnsi"/>
        </w:rPr>
        <w:t> </w:t>
      </w:r>
      <w:r w:rsidR="00CA2EEF" w:rsidRPr="007431E6">
        <w:rPr>
          <w:rFonts w:cstheme="minorHAnsi"/>
        </w:rPr>
        <w:t>°C</w:t>
      </w:r>
    </w:p>
    <w:p w14:paraId="23F07E49" w14:textId="693A99E5" w:rsidR="00A8587D" w:rsidRDefault="007A378D" w:rsidP="00A8587D">
      <w:pPr>
        <w:pStyle w:val="BodyText"/>
      </w:pPr>
      <w:r>
        <w:t xml:space="preserve">For </w:t>
      </w:r>
      <w:proofErr w:type="spellStart"/>
      <w:r>
        <w:t>immunohisto</w:t>
      </w:r>
      <w:r w:rsidR="00C96A20">
        <w:t>chemical</w:t>
      </w:r>
      <w:proofErr w:type="spellEnd"/>
      <w:r w:rsidR="00C96A20">
        <w:t xml:space="preserve"> staining</w:t>
      </w:r>
      <w:r w:rsidR="005A7AE0">
        <w:t>,</w:t>
      </w:r>
      <w:r w:rsidR="00C96A20">
        <w:t xml:space="preserve"> sections were blocked with </w:t>
      </w:r>
      <w:proofErr w:type="spellStart"/>
      <w:r w:rsidR="00C96A20">
        <w:t>Dako</w:t>
      </w:r>
      <w:proofErr w:type="spellEnd"/>
      <w:r w:rsidR="00C96A20">
        <w:t xml:space="preserve"> peroxidase solution (S2023, Agilent Technologies) and primary antibodies</w:t>
      </w:r>
      <w:r w:rsidR="005A7AE0">
        <w:t xml:space="preserve"> </w:t>
      </w:r>
      <w:r w:rsidR="00C96A20">
        <w:t xml:space="preserve">diluted in </w:t>
      </w:r>
      <w:proofErr w:type="spellStart"/>
      <w:r w:rsidR="00C96A20" w:rsidRPr="00C96A20">
        <w:t>Dako</w:t>
      </w:r>
      <w:proofErr w:type="spellEnd"/>
      <w:r w:rsidR="00C96A20" w:rsidRPr="00C96A20">
        <w:t xml:space="preserve"> antibody diluent</w:t>
      </w:r>
      <w:r w:rsidR="00C96A20">
        <w:t xml:space="preserve"> were incubated over night at 4 °C. At the following day, the sections were washed three times in PBS and incubated with horseradish peroxidase (HRP)-</w:t>
      </w:r>
      <w:proofErr w:type="spellStart"/>
      <w:r w:rsidR="00C96A20">
        <w:t>conjucated</w:t>
      </w:r>
      <w:proofErr w:type="spellEnd"/>
      <w:r w:rsidR="00C96A20">
        <w:t xml:space="preserve"> secondary antibody </w:t>
      </w:r>
      <w:r w:rsidR="00A44B88">
        <w:t>dilut</w:t>
      </w:r>
      <w:r w:rsidR="00A8587D">
        <w:t>e</w:t>
      </w:r>
      <w:r w:rsidR="00A44B88">
        <w:t>d in</w:t>
      </w:r>
      <w:r w:rsidR="00A8587D">
        <w:t xml:space="preserve"> 1 %</w:t>
      </w:r>
      <w:r w:rsidR="00A44B88">
        <w:t xml:space="preserve"> bovine serum </w:t>
      </w:r>
      <w:proofErr w:type="spellStart"/>
      <w:r w:rsidR="00A44B88">
        <w:t>albumine</w:t>
      </w:r>
      <w:proofErr w:type="spellEnd"/>
      <w:r w:rsidR="00A44B88">
        <w:t xml:space="preserve"> (BSA) (</w:t>
      </w:r>
      <w:r w:rsidR="00A44B88" w:rsidRPr="00A44B88">
        <w:t>J642</w:t>
      </w:r>
      <w:r w:rsidR="00A44B88">
        <w:t xml:space="preserve">, VWR International) </w:t>
      </w:r>
      <w:r w:rsidR="00C96A20">
        <w:t>for one hour at room temperature.</w:t>
      </w:r>
      <w:r w:rsidR="00A44B88">
        <w:t xml:space="preserve"> After </w:t>
      </w:r>
      <w:r w:rsidR="00A8587D">
        <w:t>three washing steps with PBS</w:t>
      </w:r>
      <w:r w:rsidR="005A7AE0">
        <w:t>,</w:t>
      </w:r>
      <w:r w:rsidR="00A8587D">
        <w:t xml:space="preserve"> </w:t>
      </w:r>
      <w:proofErr w:type="spellStart"/>
      <w:r w:rsidR="00A8587D" w:rsidRPr="00A8587D">
        <w:t>Dako</w:t>
      </w:r>
      <w:proofErr w:type="spellEnd"/>
      <w:r w:rsidR="00A8587D" w:rsidRPr="00A8587D">
        <w:t xml:space="preserve"> AEC substrate chromogen (K3464, Agilent Technologies)</w:t>
      </w:r>
      <w:r w:rsidR="00A8587D">
        <w:t xml:space="preserve"> was added and incubated for 5 to 30 min. Subsequent</w:t>
      </w:r>
      <w:r w:rsidR="005A7AE0">
        <w:t>ly</w:t>
      </w:r>
      <w:r w:rsidR="00A8587D">
        <w:t xml:space="preserve">, the sections were counterstained with Mayer’s </w:t>
      </w:r>
      <w:proofErr w:type="spellStart"/>
      <w:r w:rsidR="00A8587D">
        <w:t>hemalum</w:t>
      </w:r>
      <w:proofErr w:type="spellEnd"/>
      <w:r w:rsidR="00A8587D">
        <w:t xml:space="preserve"> solution (1.09249.2500, Merck) and mounted with </w:t>
      </w:r>
      <w:proofErr w:type="spellStart"/>
      <w:r w:rsidR="00A8587D">
        <w:t>Dako</w:t>
      </w:r>
      <w:proofErr w:type="spellEnd"/>
      <w:r w:rsidR="00A8587D">
        <w:t xml:space="preserve"> aqueous mounting medium (S3025, Agilent Technologies). </w:t>
      </w:r>
    </w:p>
    <w:p w14:paraId="7C302B23" w14:textId="082EE69F" w:rsidR="007A378D" w:rsidRPr="00AD197D" w:rsidRDefault="00A8587D" w:rsidP="00520BEE">
      <w:pPr>
        <w:pStyle w:val="BodyText"/>
      </w:pPr>
      <w:r>
        <w:t xml:space="preserve">Antibodies used for immunofluorescence and immunohistochemistry are listed in </w:t>
      </w:r>
      <w:r w:rsidRPr="00113BD1">
        <w:t>Table S</w:t>
      </w:r>
      <w:r w:rsidR="00300479">
        <w:t>3</w:t>
      </w:r>
      <w:r w:rsidRPr="00113BD1">
        <w:t>.</w:t>
      </w:r>
    </w:p>
    <w:p w14:paraId="03A63A46" w14:textId="77777777" w:rsidR="00CA2EEF" w:rsidRPr="007431E6" w:rsidRDefault="00CA2EEF" w:rsidP="00CA2EEF">
      <w:pPr>
        <w:pStyle w:val="Heading2"/>
        <w:rPr>
          <w:rFonts w:cstheme="minorHAnsi"/>
        </w:rPr>
      </w:pPr>
      <w:bookmarkStart w:id="6" w:name="sec:vbsxcylkk77"/>
      <w:bookmarkEnd w:id="5"/>
      <w:r w:rsidRPr="007431E6">
        <w:rPr>
          <w:rFonts w:cstheme="minorHAnsi"/>
        </w:rPr>
        <w:lastRenderedPageBreak/>
        <w:t>Microscopy</w:t>
      </w:r>
    </w:p>
    <w:p w14:paraId="1B16502C" w14:textId="4E3A942E" w:rsidR="00CA2EEF" w:rsidRPr="007431E6" w:rsidRDefault="00CA2EEF" w:rsidP="00CA2EEF">
      <w:pPr>
        <w:pStyle w:val="FirstParagraph"/>
        <w:rPr>
          <w:rFonts w:cstheme="minorHAnsi"/>
        </w:rPr>
      </w:pPr>
      <w:r w:rsidRPr="007431E6">
        <w:rPr>
          <w:rFonts w:cstheme="minorHAnsi"/>
        </w:rPr>
        <w:t xml:space="preserve">Images were acquired as described before </w:t>
      </w:r>
      <w:r w:rsidRPr="007431E6">
        <w:rPr>
          <w:rFonts w:cstheme="minorHAnsi"/>
        </w:rPr>
        <w:fldChar w:fldCharType="begin"/>
      </w:r>
      <w:r w:rsidR="00C818B0" w:rsidRPr="007431E6">
        <w:rPr>
          <w:rFonts w:cstheme="minorHAnsi"/>
        </w:rPr>
        <w:instrText xml:space="preserve"> ADDIN ZOTERO_ITEM CSL_CITATION {"citationID":"XfeyAPte","properties":{"formattedCitation":"(6)","plainCitation":"(6)","noteIndex":0},"citationItems":[{"id":490,"uris":["http://zotero.org/users/5941559/items/9UVQBHJR"],"uri":["http://zotero.org/users/5941559/items/9UVQBHJR"],"itemData":{"id":490,"type":"article-journal","abstract":"Background &amp; Aims\nAngiocrine signaling by liver sinusoidal endothelial cells (LSECs) regulates hepatic functions such as growth, metabolic maturation, and regeneration. Recently, we identified GATA4 as the master regulator of LSEC specification during development. Herein, we studied the role of endothelial GATA4 in the adult liver and in hepatic pathogenesis.\nMethods\nWe generated adult Clec4g-icretg/0xGata4fl/fl (Gata4LSEC-KO) mice with LSEC-specific depletion of Gata4. Livers were analyzed by histology, electron microscopy, immunohistochemistry/immunofluorescence, in situ hybridization, and LSECs were isolated for gene expression profiling, ChIP- and ATAC-sequencing. Partial hepatectomy was performed to assess regeneration. We used choline-deficient, l-amino acid-defined (CDAA) diet and chronic carbon tetrachloride exposure to model liver fibrosis. Human single cell RNA-seq data sets were analyzed for endothelial alterations in healthy and cirrhotic livers.\nResults\nGenetic Gata4 deficiency in LSECs of adult mice caused perisinusoidal liver fibrosis, hepatopathy and impaired liver regeneration. Sinusoidal capillarization and LSEC-to-continuous endothelial transdifferentiation were accompanied by a profibrotic angiocrine switch involving de novo endothelial expression of hepatic stellate cell-activating cytokine PDGFB. Increased chromatin accessibility and amplification by activated MYC mediated angiocrine Pdgfb expression. As observed in Gata4LSEC-KO livers, CDAA diet-induced perisinusoidal liver fibrosis was associated with GATA4 repression, MYC activation and a profibrotic angiocrine switch in LSECs. Comparison of CDAA-fed Gata4LSEC-KO and control mice demonstrated that endothelial GATA4 indeed protects against dietary-induced perisinusoidal liver fibrosis. In human cirrhotic livers, GATA4-positive LSECs and endothelial GATA4 target genes were reduced, while non-LSEC endothelial cells and MYC target genes including PDGFB were enriched.\nConclusions\nEndothelial GATA4 protects against perisinusoidal liver fibrosis by repressing MYC activation and profibrotic angiocrine signaling at the chromatin level. Therapies targeting the GATA4/MYC/PDGFB/PDGFRβ axis offer a promising strategy for prevention and treatment of liver fibrosis.\nLay summary\nThe liver vasculature is supposed to play a major role in the development of liver fibrosis and cirrhosis, which can lead to liver failure and liver cancer. Herein, we discovered that structural and transcriptional changes induced by genetic deletion of the transcription factor GATA4 in the hepatic endothelium were sufficient to cause liver fibrosis. Activation of the transcription factor MYC and de novo expression of the “angiocrine” growth factor PDGFB were identified as downstream drivers of fibrosis and as potential therapeutic targets for this potentially fatal disease.","container-title":"Journal of Hepatology","DOI":"10.1016/j.jhep.2020.08.033","ISSN":"0168-8278","issue":"2","journalAbbreviation":"Journal of Hepatology","language":"en","page":"380-393","source":"ScienceDirect","title":"Endothelial GATA4 controls liver fibrosis and regeneration by preventing a pathogenic switch in angiocrine signaling","volume":"74","author":[{"family":"Winkler","given":"Manuel"},{"family":"Staniczek","given":"Theresa"},{"family":"Kürschner","given":"Sina Wietje"},{"family":"Schmid","given":"Christian David"},{"family":"Schönhaber","given":"Hiltrud"},{"family":"Cordero","given":"Julio"},{"family":"Kessler","given":"Linda"},{"family":"Mathes","given":"Arthur"},{"family":"Sticht","given":"Carsten"},{"family":"Neßling","given":"Michelle"},{"family":"Uvarovskii","given":"Alexey"},{"family":"Anders","given":"Simon"},{"family":"Zhang","given":"Xue-jun"},{"family":"Figura","given":"Guido","non-dropping-particle":"von"},{"family":"Hartmann","given":"Daniel"},{"family":"Mogler","given":"Carolin"},{"family":"Dobreva","given":"Gergana"},{"family":"Schledzewski","given":"Kai"},{"family":"Géraud","given":"Cyrill"},{"family":"Koch","given":"Philipp-Sebastian"},{"family":"Goerdt","given":"Sergij"}],"issued":{"date-parts":[["2021",2,1]]}}}],"schema":"https://github.com/citation-style-language/schema/raw/master/csl-citation.json"} </w:instrText>
      </w:r>
      <w:r w:rsidRPr="007431E6">
        <w:rPr>
          <w:rFonts w:cstheme="minorHAnsi"/>
        </w:rPr>
        <w:fldChar w:fldCharType="separate"/>
      </w:r>
      <w:r w:rsidR="00C818B0" w:rsidRPr="007431E6">
        <w:rPr>
          <w:rFonts w:cstheme="minorHAnsi"/>
        </w:rPr>
        <w:t>(6)</w:t>
      </w:r>
      <w:r w:rsidRPr="007431E6">
        <w:rPr>
          <w:rFonts w:cstheme="minorHAnsi"/>
        </w:rPr>
        <w:fldChar w:fldCharType="end"/>
      </w:r>
      <w:r w:rsidRPr="007431E6">
        <w:rPr>
          <w:rFonts w:cstheme="minorHAnsi"/>
        </w:rPr>
        <w:t xml:space="preserve"> using an Eclipse Ni-E motorized upright microscope equipped with CFI Plan </w:t>
      </w:r>
      <w:proofErr w:type="spellStart"/>
      <w:r w:rsidRPr="007431E6">
        <w:rPr>
          <w:rFonts w:cstheme="minorHAnsi"/>
        </w:rPr>
        <w:t>Apochromat</w:t>
      </w:r>
      <w:proofErr w:type="spellEnd"/>
      <w:r w:rsidRPr="007431E6">
        <w:rPr>
          <w:rFonts w:cstheme="minorHAnsi"/>
        </w:rPr>
        <w:t xml:space="preserve"> Lambda series objective lenses (4x, 10x, 20x, 40x, 60x), an </w:t>
      </w:r>
      <w:proofErr w:type="spellStart"/>
      <w:r w:rsidRPr="007431E6">
        <w:rPr>
          <w:rFonts w:cstheme="minorHAnsi"/>
        </w:rPr>
        <w:t>Intensilight</w:t>
      </w:r>
      <w:proofErr w:type="spellEnd"/>
      <w:r w:rsidRPr="007431E6">
        <w:rPr>
          <w:rFonts w:cstheme="minorHAnsi"/>
        </w:rPr>
        <w:t xml:space="preserve"> Epifluorescence Illuminator, a DS-Ri2 high-definition color camera, and a DS-Qi2 high-definition monochrome camera controlled by NIS-Elements AR 5.02 software (Nikon Instruments). To capture the total thickness of the specimen, fluorescence microscopy images were acquired as series of z-axis images. Acquired images were background corrected, </w:t>
      </w:r>
      <w:proofErr w:type="spellStart"/>
      <w:r w:rsidRPr="007431E6">
        <w:rPr>
          <w:rFonts w:cstheme="minorHAnsi"/>
        </w:rPr>
        <w:t>deconvoluted</w:t>
      </w:r>
      <w:proofErr w:type="spellEnd"/>
      <w:r w:rsidRPr="007431E6">
        <w:rPr>
          <w:rFonts w:cstheme="minorHAnsi"/>
        </w:rPr>
        <w:t xml:space="preserve">, and </w:t>
      </w:r>
      <w:r w:rsidR="00021ED9" w:rsidRPr="007431E6">
        <w:rPr>
          <w:rFonts w:cstheme="minorHAnsi"/>
        </w:rPr>
        <w:t>focused</w:t>
      </w:r>
      <w:r w:rsidRPr="007431E6">
        <w:rPr>
          <w:rFonts w:cstheme="minorHAnsi"/>
        </w:rPr>
        <w:t xml:space="preserve"> NIS-Elements AR 5.02 and Fiji ImageJ 2.0.0-rc69/1.53c </w:t>
      </w:r>
      <w:r w:rsidRPr="007431E6">
        <w:rPr>
          <w:rFonts w:cstheme="minorHAnsi"/>
        </w:rPr>
        <w:fldChar w:fldCharType="begin"/>
      </w:r>
      <w:r w:rsidR="00C818B0" w:rsidRPr="007431E6">
        <w:rPr>
          <w:rFonts w:cstheme="minorHAnsi"/>
        </w:rPr>
        <w:instrText xml:space="preserve"> ADDIN ZOTERO_ITEM CSL_CITATION {"citationID":"vEKhfYvF","properties":{"formattedCitation":"(4,5)","plainCitation":"(4,5)","noteIndex":0},"citationItems":[{"id":451,"uris":["http://zotero.org/users/5941559/items/IPMZHVJ4"],"uri":["http://zotero.org/users/5941559/items/IPMZHVJ4"],"itemData":{"id":451,"type":"article-journal","abstract":"Fiji is a distribution of the popular open-source software ImageJ focused on biological-image analysis. Fiji uses modern software engineering practices to combine powerful software libraries with a broad range of scripting languages to enable rapid prototyping of image-processing algorithms. Fiji facilitates the transformation of new algorithms into ImageJ plugins that can be shared with end users through an integrated update system. We propose Fiji as a platform for productive collaboration between computer science and biology research communities.","container-title":"Nat Methods","DOI":"10.1038/nmeth.2019","ISSN":"1548-7091","issue":"7","journalAbbreviation":"Nature methods","language":"eng","note":"PMCID: PMC3855844","page":"676-82","title":"Fiji: an open-source platform for biological-image analysis","volume":"9","author":[{"family":"Schindelin","given":"J."},{"family":"Arganda-Carreras","given":"I."},{"family":"Frise","given":"E."},{"family":"Kaynig","given":"V."},{"family":"Longair","given":"M."},{"family":"Pietzsch","given":"T."},{"family":"Preibisch","given":"S."},{"family":"Rueden","given":"C."},{"family":"Saalfeld","given":"S."},{"family":"Schmid","given":"B."},{"family":"Tinevez","given":"J. Y."},{"family":"White","given":"D. J."},{"family":"Hartenstein","given":"V."},{"family":"Eliceiri","given":"K."},{"family":"Tomancak","given":"P."},{"family":"Cardona","given":"A."}],"issued":{"date-parts":[["2012",6,28]]}},"label":"page"},{"id":470,"uris":["http://zotero.org/users/5941559/items/ETDGQDC3"],"uri":["http://zotero.org/users/5941559/items/ETDGQDC3"],"itemData":{"id":470,"type":"article-journal","abstract":"For the past 25 years NIH Image and ImageJ software have been pioneers as open tools for the analysis of scientific images. We discuss the origins, challenges and solutions of these two programs, and how their history can serve to advise and inform other software projects.","container-title":"Nature Methods","DOI":"10.1038/nmeth.2089","ISSN":"1548-7105","issue":"7","journalAbbreviation":"Nat Methods","language":"en","note":"Bandiera_abtest: a\nCg_type: Nature Research Journals\nnumber: 7\nPrimary_atype: Comments &amp; Opinion\npublisher: Nature Publishing Group\nSubject_term: Imaging;Software\nSubject_term_id: imaging;software","page":"671-675","source":"www.nature.com","title":"NIH Image to ImageJ: 25 years of image analysis","title-short":"NIH Image to ImageJ","volume":"9","author":[{"family":"Schneider","given":"Caroline A."},{"family":"Rasband","given":"Wayne S."},{"family":"Eliceiri","given":"Kevin W."}],"issued":{"date-parts":[["2012",7]]}},"label":"page"}],"schema":"https://github.com/citation-style-language/schema/raw/master/csl-citation.json"} </w:instrText>
      </w:r>
      <w:r w:rsidRPr="007431E6">
        <w:rPr>
          <w:rFonts w:cstheme="minorHAnsi"/>
        </w:rPr>
        <w:fldChar w:fldCharType="separate"/>
      </w:r>
      <w:r w:rsidR="00C818B0" w:rsidRPr="007431E6">
        <w:rPr>
          <w:rFonts w:cstheme="minorHAnsi"/>
        </w:rPr>
        <w:t>(4,5)</w:t>
      </w:r>
      <w:r w:rsidRPr="007431E6">
        <w:rPr>
          <w:rFonts w:cstheme="minorHAnsi"/>
        </w:rPr>
        <w:fldChar w:fldCharType="end"/>
      </w:r>
      <w:r w:rsidRPr="007431E6">
        <w:rPr>
          <w:rFonts w:cstheme="minorHAnsi"/>
        </w:rPr>
        <w:t>.</w:t>
      </w:r>
    </w:p>
    <w:p w14:paraId="420E5910" w14:textId="2BBED673" w:rsidR="00CA2EEF" w:rsidRPr="007431E6" w:rsidRDefault="00CA2EEF" w:rsidP="00CA2EEF">
      <w:pPr>
        <w:pStyle w:val="BodyText"/>
        <w:rPr>
          <w:rFonts w:cstheme="minorHAnsi"/>
        </w:rPr>
      </w:pPr>
      <w:r w:rsidRPr="007431E6">
        <w:rPr>
          <w:rFonts w:cstheme="minorHAnsi"/>
        </w:rPr>
        <w:t xml:space="preserve">For quantification of immunofluorescence or in-situ-hybridization images, representative areas per sample were chosen. “Auto threshold” </w:t>
      </w:r>
      <w:proofErr w:type="gramStart"/>
      <w:r w:rsidRPr="007431E6">
        <w:rPr>
          <w:rFonts w:cstheme="minorHAnsi"/>
        </w:rPr>
        <w:t>function (Otsu-algorithm)</w:t>
      </w:r>
      <w:r w:rsidR="007F6F4F">
        <w:rPr>
          <w:rFonts w:cstheme="minorHAnsi"/>
        </w:rPr>
        <w:t xml:space="preserve"> </w:t>
      </w:r>
      <w:r w:rsidR="007F6F4F" w:rsidRPr="007431E6">
        <w:rPr>
          <w:rFonts w:cstheme="minorHAnsi"/>
        </w:rPr>
        <w:t>of ImageJ</w:t>
      </w:r>
      <w:r w:rsidR="007F6F4F">
        <w:rPr>
          <w:rFonts w:cstheme="minorHAnsi"/>
        </w:rPr>
        <w:t xml:space="preserve"> or individual thresholds </w:t>
      </w:r>
      <w:r w:rsidRPr="007431E6">
        <w:rPr>
          <w:rFonts w:cstheme="minorHAnsi"/>
        </w:rPr>
        <w:t>w</w:t>
      </w:r>
      <w:r w:rsidR="007F6F4F">
        <w:rPr>
          <w:rFonts w:cstheme="minorHAnsi"/>
        </w:rPr>
        <w:t>ere</w:t>
      </w:r>
      <w:proofErr w:type="gramEnd"/>
      <w:r w:rsidRPr="007431E6">
        <w:rPr>
          <w:rFonts w:cstheme="minorHAnsi"/>
        </w:rPr>
        <w:t xml:space="preserve"> used to create masks of the corresponding channels. Then, the area was measured with the implemented “Measure” tool in ImageJ.</w:t>
      </w:r>
      <w:r w:rsidR="00080765">
        <w:rPr>
          <w:rFonts w:cstheme="minorHAnsi"/>
        </w:rPr>
        <w:t xml:space="preserve"> For immunofluorescence images, intensity was measured using the implemented tool in ImageJ before masks were created.</w:t>
      </w:r>
    </w:p>
    <w:p w14:paraId="19DBAE17" w14:textId="5335C933" w:rsidR="005D22BE" w:rsidRDefault="00CA2EEF" w:rsidP="00CA2EEF">
      <w:pPr>
        <w:pStyle w:val="BodyText"/>
        <w:rPr>
          <w:rFonts w:cstheme="minorHAnsi"/>
        </w:rPr>
      </w:pPr>
      <w:r w:rsidRPr="007431E6">
        <w:rPr>
          <w:rFonts w:cstheme="minorHAnsi"/>
        </w:rPr>
        <w:t>Since RNA in situ hybridization (ISH) images are recorded in RGB, we split the images into separate channels by using the “Color deconvolution” command in ImageJ. Masks were created by setting color thresholds. Then, the area of masks was measured and analyzed.</w:t>
      </w:r>
    </w:p>
    <w:p w14:paraId="747A915A" w14:textId="08A2D8FD" w:rsidR="00513F48" w:rsidRPr="00C5745A" w:rsidRDefault="00513F48" w:rsidP="00513F48">
      <w:pPr>
        <w:pStyle w:val="Heading2"/>
        <w:rPr>
          <w:rFonts w:cstheme="minorHAnsi"/>
          <w:lang w:val="en-US"/>
        </w:rPr>
      </w:pPr>
      <w:r w:rsidRPr="003D49A2">
        <w:rPr>
          <w:rFonts w:cstheme="minorHAnsi"/>
        </w:rPr>
        <w:t xml:space="preserve">Transmission Electron Microscopy </w:t>
      </w:r>
      <w:r w:rsidRPr="00C5745A">
        <w:rPr>
          <w:rFonts w:cstheme="minorHAnsi"/>
          <w:lang w:val="en-US"/>
        </w:rPr>
        <w:t>(</w:t>
      </w:r>
      <w:r w:rsidRPr="003D49A2">
        <w:rPr>
          <w:rFonts w:cstheme="minorHAnsi"/>
          <w:lang w:val="en-US"/>
        </w:rPr>
        <w:t>TEM)</w:t>
      </w:r>
    </w:p>
    <w:p w14:paraId="054041CE" w14:textId="555ECDCD" w:rsidR="00513F48" w:rsidRPr="003D49A2" w:rsidRDefault="00513F48" w:rsidP="00CA2EEF">
      <w:pPr>
        <w:pStyle w:val="BodyText"/>
        <w:rPr>
          <w:rFonts w:cstheme="minorHAnsi"/>
        </w:rPr>
      </w:pPr>
      <w:r w:rsidRPr="00C5745A">
        <w:rPr>
          <w:rFonts w:cstheme="minorHAnsi"/>
        </w:rPr>
        <w:t>After perfusion-fixation with 4% formaldehyde, 2% glutaraldehyde, 1 </w:t>
      </w:r>
      <w:proofErr w:type="spellStart"/>
      <w:r w:rsidRPr="00C5745A">
        <w:rPr>
          <w:rFonts w:cstheme="minorHAnsi"/>
        </w:rPr>
        <w:t>mM</w:t>
      </w:r>
      <w:proofErr w:type="spellEnd"/>
      <w:r w:rsidRPr="00C5745A">
        <w:rPr>
          <w:rFonts w:cstheme="minorHAnsi"/>
        </w:rPr>
        <w:t xml:space="preserve"> MgCl2, 1 </w:t>
      </w:r>
      <w:proofErr w:type="spellStart"/>
      <w:r w:rsidRPr="00C5745A">
        <w:rPr>
          <w:rFonts w:cstheme="minorHAnsi"/>
        </w:rPr>
        <w:t>mM</w:t>
      </w:r>
      <w:proofErr w:type="spellEnd"/>
      <w:r w:rsidRPr="00C5745A">
        <w:rPr>
          <w:rFonts w:cstheme="minorHAnsi"/>
        </w:rPr>
        <w:t xml:space="preserve"> CaCl2, in 100 </w:t>
      </w:r>
      <w:proofErr w:type="spellStart"/>
      <w:r w:rsidRPr="00C5745A">
        <w:rPr>
          <w:rFonts w:cstheme="minorHAnsi"/>
        </w:rPr>
        <w:t>mM</w:t>
      </w:r>
      <w:proofErr w:type="spellEnd"/>
      <w:r w:rsidRPr="00C5745A">
        <w:rPr>
          <w:rFonts w:cstheme="minorHAnsi"/>
        </w:rPr>
        <w:t xml:space="preserve"> Na-</w:t>
      </w:r>
      <w:proofErr w:type="spellStart"/>
      <w:r w:rsidRPr="00C5745A">
        <w:rPr>
          <w:rFonts w:cstheme="minorHAnsi"/>
        </w:rPr>
        <w:t>cacodylate</w:t>
      </w:r>
      <w:proofErr w:type="spellEnd"/>
      <w:r w:rsidRPr="00C5745A">
        <w:rPr>
          <w:rFonts w:cstheme="minorHAnsi"/>
        </w:rPr>
        <w:t xml:space="preserve"> buffer, pH 7.2, the large lobe of livers was excised, submitted to </w:t>
      </w:r>
      <w:proofErr w:type="spellStart"/>
      <w:r w:rsidRPr="00C5745A">
        <w:rPr>
          <w:rFonts w:cstheme="minorHAnsi"/>
        </w:rPr>
        <w:t>vibratome</w:t>
      </w:r>
      <w:proofErr w:type="spellEnd"/>
      <w:r w:rsidRPr="00C5745A">
        <w:rPr>
          <w:rFonts w:cstheme="minorHAnsi"/>
        </w:rPr>
        <w:t xml:space="preserve"> sectioning and 200µm-slices immersed in 2.5% buffered glutaraldehyde for further 2 days. Next, treatment for conventional epoxy-resin embedding and TEM consisted of post-fixation in 1% osmium tetroxide, dehydration in grades steps of ethanol and embedding in epoxide (</w:t>
      </w:r>
      <w:proofErr w:type="spellStart"/>
      <w:r w:rsidRPr="00C5745A">
        <w:rPr>
          <w:rFonts w:cstheme="minorHAnsi"/>
        </w:rPr>
        <w:t>Glycidether</w:t>
      </w:r>
      <w:proofErr w:type="spellEnd"/>
      <w:r w:rsidRPr="00C5745A">
        <w:rPr>
          <w:rFonts w:cstheme="minorHAnsi"/>
        </w:rPr>
        <w:t xml:space="preserve">, NMA, DDSA: </w:t>
      </w:r>
      <w:proofErr w:type="spellStart"/>
      <w:r w:rsidRPr="00C5745A">
        <w:rPr>
          <w:rFonts w:cstheme="minorHAnsi"/>
        </w:rPr>
        <w:t>Serva</w:t>
      </w:r>
      <w:proofErr w:type="spellEnd"/>
      <w:r w:rsidRPr="00C5745A">
        <w:rPr>
          <w:rFonts w:cstheme="minorHAnsi"/>
        </w:rPr>
        <w:t xml:space="preserve">). Ultrathin sections at nominal thickness of 60 nm and contrast-stained with lead-citrate and </w:t>
      </w:r>
      <w:proofErr w:type="spellStart"/>
      <w:r w:rsidRPr="00C5745A">
        <w:rPr>
          <w:rFonts w:cstheme="minorHAnsi"/>
        </w:rPr>
        <w:t>uranylacetate</w:t>
      </w:r>
      <w:proofErr w:type="spellEnd"/>
      <w:r w:rsidRPr="00C5745A">
        <w:rPr>
          <w:rFonts w:cstheme="minorHAnsi"/>
        </w:rPr>
        <w:t xml:space="preserve"> were observed in EM 910 at 80 kV (Zeiss) and micrographs taken with a slow scan CCD camera (TRS).</w:t>
      </w:r>
    </w:p>
    <w:p w14:paraId="68146DBC" w14:textId="77777777" w:rsidR="00513F48" w:rsidRPr="007431E6" w:rsidRDefault="00513F48" w:rsidP="00CA2EEF">
      <w:pPr>
        <w:pStyle w:val="BodyText"/>
        <w:rPr>
          <w:rFonts w:cstheme="minorHAnsi"/>
        </w:rPr>
      </w:pPr>
    </w:p>
    <w:p w14:paraId="0EDD3E06" w14:textId="77777777" w:rsidR="00CA2EEF" w:rsidRPr="007431E6" w:rsidRDefault="00CA2EEF" w:rsidP="00CA2EEF">
      <w:pPr>
        <w:pStyle w:val="Heading2"/>
        <w:rPr>
          <w:rFonts w:cstheme="minorHAnsi"/>
        </w:rPr>
      </w:pPr>
      <w:bookmarkStart w:id="7" w:name="sec:rbmwmyc6ybot"/>
      <w:bookmarkEnd w:id="6"/>
      <w:r w:rsidRPr="007431E6">
        <w:rPr>
          <w:rFonts w:cstheme="minorHAnsi"/>
        </w:rPr>
        <w:t>Isolation of hepatic endothelial cells</w:t>
      </w:r>
    </w:p>
    <w:p w14:paraId="58A12E6A" w14:textId="78D2353A" w:rsidR="00CA2EEF" w:rsidRPr="007431E6" w:rsidRDefault="00CA2EEF" w:rsidP="00CA2EEF">
      <w:pPr>
        <w:pStyle w:val="FirstParagraph"/>
        <w:rPr>
          <w:rFonts w:cstheme="minorHAnsi"/>
        </w:rPr>
      </w:pPr>
      <w:r w:rsidRPr="007431E6">
        <w:rPr>
          <w:rFonts w:cstheme="minorHAnsi"/>
        </w:rPr>
        <w:t xml:space="preserve">Isolation of hepatic endothelial cells was performed as described before </w:t>
      </w:r>
      <w:r w:rsidRPr="007431E6">
        <w:rPr>
          <w:rFonts w:cstheme="minorHAnsi"/>
        </w:rPr>
        <w:fldChar w:fldCharType="begin"/>
      </w:r>
      <w:r w:rsidR="00C818B0" w:rsidRPr="007431E6">
        <w:rPr>
          <w:rFonts w:cstheme="minorHAnsi"/>
        </w:rPr>
        <w:instrText xml:space="preserve"> ADDIN ZOTERO_ITEM CSL_CITATION {"citationID":"3Rq8GjoY","properties":{"formattedCitation":"(6)","plainCitation":"(6)","noteIndex":0},"citationItems":[{"id":490,"uris":["http://zotero.org/users/5941559/items/9UVQBHJR"],"uri":["http://zotero.org/users/5941559/items/9UVQBHJR"],"itemData":{"id":490,"type":"article-journal","abstract":"Background &amp; Aims\nAngiocrine signaling by liver sinusoidal endothelial cells (LSECs) regulates hepatic functions such as growth, metabolic maturation, and regeneration. Recently, we identified GATA4 as the master regulator of LSEC specification during development. Herein, we studied the role of endothelial GATA4 in the adult liver and in hepatic pathogenesis.\nMethods\nWe generated adult Clec4g-icretg/0xGata4fl/fl (Gata4LSEC-KO) mice with LSEC-specific depletion of Gata4. Livers were analyzed by histology, electron microscopy, immunohistochemistry/immunofluorescence, in situ hybridization, and LSECs were isolated for gene expression profiling, ChIP- and ATAC-sequencing. Partial hepatectomy was performed to assess regeneration. We used choline-deficient, l-amino acid-defined (CDAA) diet and chronic carbon tetrachloride exposure to model liver fibrosis. Human single cell RNA-seq data sets were analyzed for endothelial alterations in healthy and cirrhotic livers.\nResults\nGenetic Gata4 deficiency in LSECs of adult mice caused perisinusoidal liver fibrosis, hepatopathy and impaired liver regeneration. Sinusoidal capillarization and LSEC-to-continuous endothelial transdifferentiation were accompanied by a profibrotic angiocrine switch involving de novo endothelial expression of hepatic stellate cell-activating cytokine PDGFB. Increased chromatin accessibility and amplification by activated MYC mediated angiocrine Pdgfb expression. As observed in Gata4LSEC-KO livers, CDAA diet-induced perisinusoidal liver fibrosis was associated with GATA4 repression, MYC activation and a profibrotic angiocrine switch in LSECs. Comparison of CDAA-fed Gata4LSEC-KO and control mice demonstrated that endothelial GATA4 indeed protects against dietary-induced perisinusoidal liver fibrosis. In human cirrhotic livers, GATA4-positive LSECs and endothelial GATA4 target genes were reduced, while non-LSEC endothelial cells and MYC target genes including PDGFB were enriched.\nConclusions\nEndothelial GATA4 protects against perisinusoidal liver fibrosis by repressing MYC activation and profibrotic angiocrine signaling at the chromatin level. Therapies targeting the GATA4/MYC/PDGFB/PDGFRβ axis offer a promising strategy for prevention and treatment of liver fibrosis.\nLay summary\nThe liver vasculature is supposed to play a major role in the development of liver fibrosis and cirrhosis, which can lead to liver failure and liver cancer. Herein, we discovered that structural and transcriptional changes induced by genetic deletion of the transcription factor GATA4 in the hepatic endothelium were sufficient to cause liver fibrosis. Activation of the transcription factor MYC and de novo expression of the “angiocrine” growth factor PDGFB were identified as downstream drivers of fibrosis and as potential therapeutic targets for this potentially fatal disease.","container-title":"Journal of Hepatology","DOI":"10.1016/j.jhep.2020.08.033","ISSN":"0168-8278","issue":"2","journalAbbreviation":"Journal of Hepatology","language":"en","page":"380-393","source":"ScienceDirect","title":"Endothelial GATA4 controls liver fibrosis and regeneration by preventing a pathogenic switch in angiocrine signaling","volume":"74","author":[{"family":"Winkler","given":"Manuel"},{"family":"Staniczek","given":"Theresa"},{"family":"Kürschner","given":"Sina Wietje"},{"family":"Schmid","given":"Christian David"},{"family":"Schönhaber","given":"Hiltrud"},{"family":"Cordero","given":"Julio"},{"family":"Kessler","given":"Linda"},{"family":"Mathes","given":"Arthur"},{"family":"Sticht","given":"Carsten"},{"family":"Neßling","given":"Michelle"},{"family":"Uvarovskii","given":"Alexey"},{"family":"Anders","given":"Simon"},{"family":"Zhang","given":"Xue-jun"},{"family":"Figura","given":"Guido","non-dropping-particle":"von"},{"family":"Hartmann","given":"Daniel"},{"family":"Mogler","given":"Carolin"},{"family":"Dobreva","given":"Gergana"},{"family":"Schledzewski","given":"Kai"},{"family":"Géraud","given":"Cyrill"},{"family":"Koch","given":"Philipp-Sebastian"},{"family":"Goerdt","given":"Sergij"}],"issued":{"date-parts":[["2021",2,1]]}}}],"schema":"https://github.com/citation-style-language/schema/raw/master/csl-citation.json"} </w:instrText>
      </w:r>
      <w:r w:rsidRPr="007431E6">
        <w:rPr>
          <w:rFonts w:cstheme="minorHAnsi"/>
        </w:rPr>
        <w:fldChar w:fldCharType="separate"/>
      </w:r>
      <w:r w:rsidR="00C818B0" w:rsidRPr="007431E6">
        <w:rPr>
          <w:rFonts w:cstheme="minorHAnsi"/>
        </w:rPr>
        <w:t>(6)</w:t>
      </w:r>
      <w:r w:rsidRPr="007431E6">
        <w:rPr>
          <w:rFonts w:cstheme="minorHAnsi"/>
        </w:rPr>
        <w:fldChar w:fldCharType="end"/>
      </w:r>
      <w:r w:rsidRPr="007431E6">
        <w:rPr>
          <w:rFonts w:cstheme="minorHAnsi"/>
        </w:rPr>
        <w:t>. Mice were deeply anesthetized with Isoflurane (Baxter) and sacrificed by cervical dislocation. Livers were perfused in situ via the portal vein with a 0.05% collagenase/amino acid/saccharide solution (C2674, Sigma-Aldrich). Livers were dissected and mechanically disrupted. Liver tissue from three mice was pooled and digested at 38 °C in collagenase/</w:t>
      </w:r>
      <w:proofErr w:type="spellStart"/>
      <w:r w:rsidRPr="007431E6">
        <w:rPr>
          <w:rFonts w:cstheme="minorHAnsi"/>
        </w:rPr>
        <w:t>Gey’s</w:t>
      </w:r>
      <w:proofErr w:type="spellEnd"/>
      <w:r w:rsidRPr="007431E6">
        <w:rPr>
          <w:rFonts w:cstheme="minorHAnsi"/>
        </w:rPr>
        <w:t xml:space="preserve"> balanced salt solution (G9779, Sigma-Aldrich). Then, the tissue was filtered through a 250</w:t>
      </w:r>
      <w:r w:rsidR="00614922">
        <w:rPr>
          <w:rFonts w:cstheme="minorHAnsi"/>
        </w:rPr>
        <w:t> </w:t>
      </w:r>
      <w:proofErr w:type="spellStart"/>
      <w:r w:rsidRPr="007431E6">
        <w:rPr>
          <w:rFonts w:cstheme="minorHAnsi"/>
        </w:rPr>
        <w:t>μm</w:t>
      </w:r>
      <w:proofErr w:type="spellEnd"/>
      <w:r w:rsidRPr="007431E6">
        <w:rPr>
          <w:rFonts w:cstheme="minorHAnsi"/>
        </w:rPr>
        <w:t xml:space="preserve"> mesh. Non-parenchymal cells were separated by a 19.3</w:t>
      </w:r>
      <w:r w:rsidR="00614922">
        <w:rPr>
          <w:rFonts w:cstheme="minorHAnsi"/>
        </w:rPr>
        <w:t> </w:t>
      </w:r>
      <w:r w:rsidRPr="007431E6">
        <w:rPr>
          <w:rFonts w:cstheme="minorHAnsi"/>
        </w:rPr>
        <w:t xml:space="preserve">% </w:t>
      </w:r>
      <w:proofErr w:type="spellStart"/>
      <w:r w:rsidRPr="007431E6">
        <w:rPr>
          <w:rFonts w:cstheme="minorHAnsi"/>
        </w:rPr>
        <w:t>Nycodenz</w:t>
      </w:r>
      <w:proofErr w:type="spellEnd"/>
      <w:r w:rsidRPr="007431E6">
        <w:rPr>
          <w:rFonts w:cstheme="minorHAnsi"/>
        </w:rPr>
        <w:t xml:space="preserve"> (1002424, Axis-Shield, </w:t>
      </w:r>
      <w:proofErr w:type="spellStart"/>
      <w:r w:rsidRPr="007431E6">
        <w:rPr>
          <w:rFonts w:cstheme="minorHAnsi"/>
        </w:rPr>
        <w:t>Alere</w:t>
      </w:r>
      <w:proofErr w:type="spellEnd"/>
      <w:r w:rsidRPr="007431E6">
        <w:rPr>
          <w:rFonts w:cstheme="minorHAnsi"/>
        </w:rPr>
        <w:t xml:space="preserve"> Technologies) gradient. Subsequently, magnetic-activated cell sorting (MACS) was used with anti-CD146 </w:t>
      </w:r>
      <w:proofErr w:type="spellStart"/>
      <w:r w:rsidRPr="007431E6">
        <w:rPr>
          <w:rFonts w:cstheme="minorHAnsi"/>
        </w:rPr>
        <w:t>MicroBeads</w:t>
      </w:r>
      <w:proofErr w:type="spellEnd"/>
      <w:r w:rsidRPr="007431E6">
        <w:rPr>
          <w:rFonts w:cstheme="minorHAnsi"/>
        </w:rPr>
        <w:t xml:space="preserve"> (ME-9F1, 130-092-007, </w:t>
      </w:r>
      <w:proofErr w:type="spellStart"/>
      <w:r w:rsidRPr="007431E6">
        <w:rPr>
          <w:rFonts w:cstheme="minorHAnsi"/>
        </w:rPr>
        <w:t>Miltenyi</w:t>
      </w:r>
      <w:proofErr w:type="spellEnd"/>
      <w:r w:rsidRPr="007431E6">
        <w:rPr>
          <w:rFonts w:cstheme="minorHAnsi"/>
        </w:rPr>
        <w:t xml:space="preserve"> Biotech) to purify endothelial cells.</w:t>
      </w:r>
    </w:p>
    <w:p w14:paraId="3A7E883A" w14:textId="77777777" w:rsidR="00CA2EEF" w:rsidRPr="007431E6" w:rsidRDefault="00CA2EEF" w:rsidP="00CA2EEF">
      <w:pPr>
        <w:pStyle w:val="Heading2"/>
        <w:rPr>
          <w:rFonts w:cstheme="minorHAnsi"/>
        </w:rPr>
      </w:pPr>
      <w:bookmarkStart w:id="8" w:name="sec:viuhcztsbv8"/>
      <w:bookmarkEnd w:id="7"/>
      <w:r w:rsidRPr="007431E6">
        <w:rPr>
          <w:rFonts w:cstheme="minorHAnsi"/>
        </w:rPr>
        <w:t>RNA isolation and cDNA synthesis</w:t>
      </w:r>
    </w:p>
    <w:p w14:paraId="233CEC3E" w14:textId="77777777" w:rsidR="00CA2EEF" w:rsidRPr="007431E6" w:rsidRDefault="00CA2EEF" w:rsidP="00CA2EEF">
      <w:pPr>
        <w:pStyle w:val="FirstParagraph"/>
        <w:rPr>
          <w:rFonts w:cstheme="minorHAnsi"/>
        </w:rPr>
      </w:pPr>
      <w:r w:rsidRPr="007431E6">
        <w:rPr>
          <w:rFonts w:cstheme="minorHAnsi"/>
        </w:rPr>
        <w:t xml:space="preserve">We extracted total RNA with the </w:t>
      </w:r>
      <w:proofErr w:type="spellStart"/>
      <w:r w:rsidRPr="007431E6">
        <w:rPr>
          <w:rFonts w:cstheme="minorHAnsi"/>
        </w:rPr>
        <w:t>innuPREP</w:t>
      </w:r>
      <w:proofErr w:type="spellEnd"/>
      <w:r w:rsidRPr="007431E6">
        <w:rPr>
          <w:rFonts w:cstheme="minorHAnsi"/>
        </w:rPr>
        <w:t xml:space="preserve"> RNA Mini Kit 2.0 (845-KS-2040250, </w:t>
      </w:r>
      <w:proofErr w:type="spellStart"/>
      <w:r w:rsidRPr="007431E6">
        <w:rPr>
          <w:rFonts w:cstheme="minorHAnsi"/>
        </w:rPr>
        <w:t>Analytik</w:t>
      </w:r>
      <w:proofErr w:type="spellEnd"/>
      <w:r w:rsidRPr="007431E6">
        <w:rPr>
          <w:rFonts w:cstheme="minorHAnsi"/>
        </w:rPr>
        <w:t xml:space="preserve"> Jena) followed by DNA digestion using the TURBO DNA-free Kit (AM1907, </w:t>
      </w:r>
      <w:proofErr w:type="spellStart"/>
      <w:r w:rsidRPr="007431E6">
        <w:rPr>
          <w:rFonts w:cstheme="minorHAnsi"/>
        </w:rPr>
        <w:t>Thermo</w:t>
      </w:r>
      <w:proofErr w:type="spellEnd"/>
      <w:r w:rsidRPr="007431E6">
        <w:rPr>
          <w:rFonts w:cstheme="minorHAnsi"/>
        </w:rPr>
        <w:t xml:space="preserve"> Fisher Scientific). RNA concentration and quality were measured using a </w:t>
      </w:r>
      <w:proofErr w:type="spellStart"/>
      <w:r w:rsidRPr="007431E6">
        <w:rPr>
          <w:rFonts w:cstheme="minorHAnsi"/>
        </w:rPr>
        <w:t>NanoPhotometer</w:t>
      </w:r>
      <w:proofErr w:type="spellEnd"/>
      <w:r w:rsidRPr="007431E6">
        <w:rPr>
          <w:rFonts w:cstheme="minorHAnsi"/>
        </w:rPr>
        <w:t xml:space="preserve"> NP80 (</w:t>
      </w:r>
      <w:proofErr w:type="spellStart"/>
      <w:r w:rsidRPr="007431E6">
        <w:rPr>
          <w:rFonts w:cstheme="minorHAnsi"/>
        </w:rPr>
        <w:t>Implen</w:t>
      </w:r>
      <w:proofErr w:type="spellEnd"/>
      <w:r w:rsidRPr="007431E6">
        <w:rPr>
          <w:rFonts w:cstheme="minorHAnsi"/>
        </w:rPr>
        <w:t xml:space="preserve">) and a 2100 </w:t>
      </w:r>
      <w:proofErr w:type="spellStart"/>
      <w:r w:rsidRPr="007431E6">
        <w:rPr>
          <w:rFonts w:cstheme="minorHAnsi"/>
        </w:rPr>
        <w:t>Bioanalyzer</w:t>
      </w:r>
      <w:proofErr w:type="spellEnd"/>
      <w:r w:rsidRPr="007431E6">
        <w:rPr>
          <w:rFonts w:cstheme="minorHAnsi"/>
        </w:rPr>
        <w:t xml:space="preserve"> (Agilent Technologies).</w:t>
      </w:r>
    </w:p>
    <w:p w14:paraId="733FD1D3" w14:textId="77777777" w:rsidR="00CA2EEF" w:rsidRPr="007431E6" w:rsidRDefault="00CA2EEF" w:rsidP="00CA2EEF">
      <w:pPr>
        <w:pStyle w:val="BodyText"/>
        <w:rPr>
          <w:rFonts w:cstheme="minorHAnsi"/>
        </w:rPr>
      </w:pPr>
      <w:r w:rsidRPr="007431E6">
        <w:rPr>
          <w:rFonts w:cstheme="minorHAnsi"/>
        </w:rPr>
        <w:t xml:space="preserve">We performed reverse transcription with Maxima Reverse Transcriptase (EP0752, </w:t>
      </w:r>
      <w:proofErr w:type="spellStart"/>
      <w:r w:rsidRPr="007431E6">
        <w:rPr>
          <w:rFonts w:cstheme="minorHAnsi"/>
        </w:rPr>
        <w:t>Thermo</w:t>
      </w:r>
      <w:proofErr w:type="spellEnd"/>
      <w:r w:rsidRPr="007431E6">
        <w:rPr>
          <w:rFonts w:cstheme="minorHAnsi"/>
        </w:rPr>
        <w:t xml:space="preserve"> Fisher Scientific) and </w:t>
      </w:r>
      <w:proofErr w:type="gramStart"/>
      <w:r w:rsidRPr="007431E6">
        <w:rPr>
          <w:rFonts w:cstheme="minorHAnsi"/>
        </w:rPr>
        <w:t>Oligo(</w:t>
      </w:r>
      <w:proofErr w:type="spellStart"/>
      <w:proofErr w:type="gramEnd"/>
      <w:r w:rsidRPr="007431E6">
        <w:rPr>
          <w:rFonts w:cstheme="minorHAnsi"/>
        </w:rPr>
        <w:t>dT</w:t>
      </w:r>
      <w:proofErr w:type="spellEnd"/>
      <w:r w:rsidRPr="007431E6">
        <w:rPr>
          <w:rFonts w:cstheme="minorHAnsi"/>
        </w:rPr>
        <w:t xml:space="preserve">)18 primers (SO131, </w:t>
      </w:r>
      <w:proofErr w:type="spellStart"/>
      <w:r w:rsidRPr="007431E6">
        <w:rPr>
          <w:rFonts w:cstheme="minorHAnsi"/>
        </w:rPr>
        <w:t>Thermo</w:t>
      </w:r>
      <w:proofErr w:type="spellEnd"/>
      <w:r w:rsidRPr="007431E6">
        <w:rPr>
          <w:rFonts w:cstheme="minorHAnsi"/>
        </w:rPr>
        <w:t xml:space="preserve"> Fisher Scientific) according to the manufacturer’s instructions.</w:t>
      </w:r>
    </w:p>
    <w:p w14:paraId="72617A8B" w14:textId="77777777" w:rsidR="00CA2EEF" w:rsidRPr="007431E6" w:rsidRDefault="00CA2EEF" w:rsidP="00CA2EEF">
      <w:pPr>
        <w:pStyle w:val="Heading2"/>
        <w:rPr>
          <w:rFonts w:cstheme="minorHAnsi"/>
        </w:rPr>
      </w:pPr>
      <w:bookmarkStart w:id="9" w:name="sec:phjoy6pkam9"/>
      <w:bookmarkEnd w:id="8"/>
      <w:r w:rsidRPr="007431E6">
        <w:rPr>
          <w:rFonts w:cstheme="minorHAnsi"/>
        </w:rPr>
        <w:t>RNA sequencing</w:t>
      </w:r>
    </w:p>
    <w:p w14:paraId="20A7201B" w14:textId="77777777" w:rsidR="00CA2EEF" w:rsidRPr="007431E6" w:rsidRDefault="00CA2EEF" w:rsidP="00CA2EEF">
      <w:pPr>
        <w:pStyle w:val="FirstParagraph"/>
        <w:rPr>
          <w:rFonts w:cstheme="minorHAnsi"/>
        </w:rPr>
      </w:pPr>
      <w:r w:rsidRPr="007431E6">
        <w:rPr>
          <w:rFonts w:cstheme="minorHAnsi"/>
        </w:rPr>
        <w:t xml:space="preserve">Library </w:t>
      </w:r>
      <w:proofErr w:type="spellStart"/>
      <w:r w:rsidRPr="007431E6">
        <w:rPr>
          <w:rFonts w:cstheme="minorHAnsi"/>
        </w:rPr>
        <w:t>prepararation</w:t>
      </w:r>
      <w:proofErr w:type="spellEnd"/>
      <w:r w:rsidRPr="007431E6">
        <w:rPr>
          <w:rFonts w:cstheme="minorHAnsi"/>
        </w:rPr>
        <w:t xml:space="preserve"> and sequencing was conducted by BGI Tech Solutions (Hong Kong) using the BGISEQ-500 platform and paired-end 100-bp read length. Raw reads were filtered using the </w:t>
      </w:r>
      <w:proofErr w:type="spellStart"/>
      <w:r w:rsidRPr="007431E6">
        <w:rPr>
          <w:rFonts w:cstheme="minorHAnsi"/>
        </w:rPr>
        <w:t>SOAPnuke</w:t>
      </w:r>
      <w:proofErr w:type="spellEnd"/>
      <w:r w:rsidRPr="007431E6">
        <w:rPr>
          <w:rFonts w:cstheme="minorHAnsi"/>
        </w:rPr>
        <w:t xml:space="preserve"> software to obtain clean reads (filter parameters: -n 0.03 -l 20 -q 0.4 -A 0.28). At least 20 × 10</w:t>
      </w:r>
      <w:r w:rsidRPr="007431E6">
        <w:rPr>
          <w:rFonts w:cstheme="minorHAnsi"/>
          <w:vertAlign w:val="superscript"/>
        </w:rPr>
        <w:t>6</w:t>
      </w:r>
      <w:r w:rsidRPr="007431E6">
        <w:rPr>
          <w:rFonts w:cstheme="minorHAnsi"/>
        </w:rPr>
        <w:t xml:space="preserve"> clean reads per sample were obtained.</w:t>
      </w:r>
    </w:p>
    <w:p w14:paraId="46877E28" w14:textId="77777777" w:rsidR="00CA2EEF" w:rsidRPr="007431E6" w:rsidRDefault="00CA2EEF" w:rsidP="00CA2EEF">
      <w:pPr>
        <w:pStyle w:val="Heading2"/>
        <w:rPr>
          <w:rFonts w:cstheme="minorHAnsi"/>
        </w:rPr>
      </w:pPr>
      <w:bookmarkStart w:id="10" w:name="sec:q04ze5kely7ro"/>
      <w:bookmarkEnd w:id="9"/>
      <w:r w:rsidRPr="007431E6">
        <w:rPr>
          <w:rFonts w:cstheme="minorHAnsi"/>
        </w:rPr>
        <w:lastRenderedPageBreak/>
        <w:t>RNA-</w:t>
      </w:r>
      <w:proofErr w:type="spellStart"/>
      <w:r w:rsidRPr="007431E6">
        <w:rPr>
          <w:rFonts w:cstheme="minorHAnsi"/>
        </w:rPr>
        <w:t>seq</w:t>
      </w:r>
      <w:proofErr w:type="spellEnd"/>
      <w:r w:rsidRPr="007431E6">
        <w:rPr>
          <w:rFonts w:cstheme="minorHAnsi"/>
        </w:rPr>
        <w:t xml:space="preserve"> data processing</w:t>
      </w:r>
    </w:p>
    <w:p w14:paraId="56FF8FE8" w14:textId="0669012E" w:rsidR="00CA2EEF" w:rsidRPr="007431E6" w:rsidRDefault="00CA2EEF" w:rsidP="00CA2EEF">
      <w:pPr>
        <w:pStyle w:val="FirstParagraph"/>
        <w:rPr>
          <w:rFonts w:cstheme="minorHAnsi"/>
        </w:rPr>
      </w:pPr>
      <w:r w:rsidRPr="007431E6">
        <w:rPr>
          <w:rFonts w:cstheme="minorHAnsi"/>
        </w:rPr>
        <w:t>RNA-</w:t>
      </w:r>
      <w:proofErr w:type="spellStart"/>
      <w:r w:rsidRPr="007431E6">
        <w:rPr>
          <w:rFonts w:cstheme="minorHAnsi"/>
        </w:rPr>
        <w:t>seq</w:t>
      </w:r>
      <w:proofErr w:type="spellEnd"/>
      <w:r w:rsidRPr="007431E6">
        <w:rPr>
          <w:rFonts w:cstheme="minorHAnsi"/>
        </w:rPr>
        <w:t xml:space="preserve"> data processing was performed with R (version 3.6.3) and </w:t>
      </w:r>
      <w:proofErr w:type="spellStart"/>
      <w:r w:rsidRPr="007431E6">
        <w:rPr>
          <w:rFonts w:cstheme="minorHAnsi"/>
        </w:rPr>
        <w:t>bioconductor</w:t>
      </w:r>
      <w:proofErr w:type="spellEnd"/>
      <w:r w:rsidRPr="007431E6">
        <w:rPr>
          <w:rFonts w:cstheme="minorHAnsi"/>
        </w:rPr>
        <w:t xml:space="preserve"> (version 3.9) using the NGS analysis </w:t>
      </w:r>
      <w:proofErr w:type="spellStart"/>
      <w:r w:rsidRPr="007431E6">
        <w:rPr>
          <w:rFonts w:cstheme="minorHAnsi"/>
        </w:rPr>
        <w:t>plackage</w:t>
      </w:r>
      <w:proofErr w:type="spellEnd"/>
      <w:r w:rsidRPr="007431E6">
        <w:rPr>
          <w:rFonts w:cstheme="minorHAnsi"/>
        </w:rPr>
        <w:t xml:space="preserve"> </w:t>
      </w:r>
      <w:proofErr w:type="spellStart"/>
      <w:r w:rsidRPr="007431E6">
        <w:rPr>
          <w:rFonts w:cstheme="minorHAnsi"/>
        </w:rPr>
        <w:t>systempipeR</w:t>
      </w:r>
      <w:proofErr w:type="spellEnd"/>
      <w:r w:rsidRPr="007431E6">
        <w:rPr>
          <w:rFonts w:cstheme="minorHAnsi"/>
        </w:rPr>
        <w:t xml:space="preserve"> </w:t>
      </w:r>
      <w:r w:rsidRPr="007431E6">
        <w:rPr>
          <w:rFonts w:cstheme="minorHAnsi"/>
        </w:rPr>
        <w:fldChar w:fldCharType="begin"/>
      </w:r>
      <w:r w:rsidR="00C818B0" w:rsidRPr="007431E6">
        <w:rPr>
          <w:rFonts w:cstheme="minorHAnsi"/>
        </w:rPr>
        <w:instrText xml:space="preserve"> ADDIN ZOTERO_ITEM CSL_CITATION {"citationID":"qNNkgoLG","properties":{"formattedCitation":"(7)","plainCitation":"(7)","noteIndex":0},"citationItems":[{"id":462,"uris":["http://zotero.org/users/5941559/items/YAWK98HQ"],"uri":["http://zotero.org/users/5941559/items/YAWK98HQ"],"itemData":{"id":462,"type":"article-journal","abstract":"BACKGROUND: Next-generation sequencing (NGS) has revolutionized how research is carried out in many areas of biology and medicine. However, the analysis of NGS data remains a major obstacle to the efficient utilization of the technology, as it requires complex multi-step processing of big data demanding considerable computational expertise from users. While substantial effort has been invested on the development of software dedicated to the individual analysis steps of NGS experiments, insufficient resources are currently available for integrating the individual software components within the widely used R/Bioconductor environment into automated workflows capable of running the analysis of most types of NGS applications from start-to-finish in a time-efficient and reproducible manner.\nRESULTS: To address this need, we have developed the R/Bioconductor package systemPipeR. It is an extensible environment for both building and running end-to-end analysis workflows with automated report generation for a wide range of NGS applications. Its unique features include a uniform workflow interface across different NGS applications, automated report generation, and support for running both R and command-line software on local computers and computer clusters. A flexible sample annotation infrastructure efficiently handles complex sample sets and experimental designs. To simplify the analysis of widely used NGS applications, the package provides pre-configured workflows and reporting templates for RNA-Seq, ChIP-Seq, VAR-Seq and Ribo-Seq. Additional workflow templates will be provided in the future.\nCONCLUSIONS: systemPipeR accelerates the extraction of reproducible analysis results from NGS experiments. By combining the capabilities of many R/Bioconductor and command-line tools, it makes efficient use of existing software resources without limiting the user to a set of predefined methods or environments. systemPipeR is freely available for all common operating systems from Bioconductor ( http://bioconductor.org/packages/devel/systemPipeR ).","container-title":"BMC bioinformatics","DOI":"10.1186/s12859-016-1241-0","ISSN":"1471-2105","journalAbbreviation":"BMC Bioinformatics","language":"eng","note":"PMID: 27650223\nPMCID: PMC5029110","page":"388","source":"PubMed","title":"systemPipeR: NGS workflow and report generation environment","title-short":"systemPipeR","volume":"17","author":[{"family":"H Backman","given":"Tyler W."},{"family":"Girke","given":"Thomas"}],"issued":{"date-parts":[["2016",9,20]]}}}],"schema":"https://github.com/citation-style-language/schema/raw/master/csl-citation.json"} </w:instrText>
      </w:r>
      <w:r w:rsidRPr="007431E6">
        <w:rPr>
          <w:rFonts w:cstheme="minorHAnsi"/>
        </w:rPr>
        <w:fldChar w:fldCharType="separate"/>
      </w:r>
      <w:r w:rsidR="00C818B0" w:rsidRPr="007431E6">
        <w:rPr>
          <w:rFonts w:cstheme="minorHAnsi"/>
        </w:rPr>
        <w:t>(7)</w:t>
      </w:r>
      <w:r w:rsidRPr="007431E6">
        <w:rPr>
          <w:rFonts w:cstheme="minorHAnsi"/>
        </w:rPr>
        <w:fldChar w:fldCharType="end"/>
      </w:r>
      <w:r w:rsidRPr="007431E6">
        <w:rPr>
          <w:rFonts w:cstheme="minorHAnsi"/>
        </w:rPr>
        <w:t xml:space="preserve"> in </w:t>
      </w:r>
      <w:proofErr w:type="spellStart"/>
      <w:r w:rsidRPr="007431E6">
        <w:rPr>
          <w:rFonts w:cstheme="minorHAnsi"/>
        </w:rPr>
        <w:t>Rstudio</w:t>
      </w:r>
      <w:proofErr w:type="spellEnd"/>
      <w:r w:rsidRPr="007431E6">
        <w:rPr>
          <w:rFonts w:cstheme="minorHAnsi"/>
        </w:rPr>
        <w:t xml:space="preserve"> (version 1.1.463). Quality control of clean sequencing reads was performed using </w:t>
      </w:r>
      <w:proofErr w:type="spellStart"/>
      <w:r w:rsidRPr="007431E6">
        <w:rPr>
          <w:rFonts w:cstheme="minorHAnsi"/>
        </w:rPr>
        <w:t>FastQC</w:t>
      </w:r>
      <w:proofErr w:type="spellEnd"/>
      <w:r w:rsidRPr="007431E6">
        <w:rPr>
          <w:rFonts w:cstheme="minorHAnsi"/>
        </w:rPr>
        <w:t xml:space="preserve"> (</w:t>
      </w:r>
      <w:proofErr w:type="spellStart"/>
      <w:r w:rsidRPr="007431E6">
        <w:rPr>
          <w:rFonts w:cstheme="minorHAnsi"/>
        </w:rPr>
        <w:t>Babraham</w:t>
      </w:r>
      <w:proofErr w:type="spellEnd"/>
      <w:r w:rsidRPr="007431E6">
        <w:rPr>
          <w:rFonts w:cstheme="minorHAnsi"/>
        </w:rPr>
        <w:t xml:space="preserve"> Bioinformatics). Low-quality reads were removed using </w:t>
      </w:r>
      <w:proofErr w:type="spellStart"/>
      <w:r w:rsidRPr="007431E6">
        <w:rPr>
          <w:rFonts w:cstheme="minorHAnsi"/>
        </w:rPr>
        <w:t>trim_galore</w:t>
      </w:r>
      <w:proofErr w:type="spellEnd"/>
      <w:r w:rsidRPr="007431E6">
        <w:rPr>
          <w:rFonts w:cstheme="minorHAnsi"/>
        </w:rPr>
        <w:t xml:space="preserve"> (version 0.6.4). The resulting reads were aligned to the mouse genome version GRCm38.p6 from </w:t>
      </w:r>
      <w:proofErr w:type="spellStart"/>
      <w:r w:rsidRPr="007431E6">
        <w:rPr>
          <w:rFonts w:cstheme="minorHAnsi"/>
        </w:rPr>
        <w:t>GeneCode</w:t>
      </w:r>
      <w:proofErr w:type="spellEnd"/>
      <w:r w:rsidRPr="007431E6">
        <w:rPr>
          <w:rFonts w:cstheme="minorHAnsi"/>
        </w:rPr>
        <w:t xml:space="preserve"> and counted using </w:t>
      </w:r>
      <w:proofErr w:type="spellStart"/>
      <w:r w:rsidRPr="007431E6">
        <w:rPr>
          <w:rFonts w:cstheme="minorHAnsi"/>
        </w:rPr>
        <w:t>kallisto</w:t>
      </w:r>
      <w:proofErr w:type="spellEnd"/>
      <w:r w:rsidRPr="007431E6">
        <w:rPr>
          <w:rFonts w:cstheme="minorHAnsi"/>
        </w:rPr>
        <w:t xml:space="preserve"> version 0.46.1 </w:t>
      </w:r>
      <w:r w:rsidRPr="007431E6">
        <w:rPr>
          <w:rFonts w:cstheme="minorHAnsi"/>
        </w:rPr>
        <w:fldChar w:fldCharType="begin"/>
      </w:r>
      <w:r w:rsidR="00C818B0" w:rsidRPr="007431E6">
        <w:rPr>
          <w:rFonts w:cstheme="minorHAnsi"/>
        </w:rPr>
        <w:instrText xml:space="preserve"> ADDIN ZOTERO_ITEM CSL_CITATION {"citationID":"AsPILefL","properties":{"formattedCitation":"(8)","plainCitation":"(8)","noteIndex":0},"citationItems":[{"id":461,"uris":["http://zotero.org/users/5941559/items/CV72LVNY"],"uri":["http://zotero.org/users/5941559/items/CV72LVNY"],"itemData":{"id":461,"type":"article-journal","abstract":"We present kallisto, an RNA-seq quantification program that is two orders of magnitude faster than previous approaches and achieves similar accuracy. Kallisto pseudoaligns reads to a reference, producing a list of transcripts that are compatible with each read while avoiding alignment of individual bases. We use kallisto to analyze 30 million unaligned paired-end RNA-seq reads in &lt;10 min on a standard laptop computer. This removes a major computational bottleneck in RNA-seq analysis.","container-title":"Nature Biotechnology","DOI":"10.1038/nbt.3519","ISSN":"1546-1696","issue":"5","journalAbbreviation":"Nat Biotechnol","language":"eng","note":"PMID: 27043002","page":"525-527","source":"PubMed","title":"Near-optimal probabilistic RNA-seq quantification","volume":"34","author":[{"family":"Bray","given":"Nicolas L."},{"family":"Pimentel","given":"Harold"},{"family":"Melsted","given":"Páll"},{"family":"Pachter","given":"Lior"}],"issued":{"date-parts":[["2016",5]]}}}],"schema":"https://github.com/citation-style-language/schema/raw/master/csl-citation.json"} </w:instrText>
      </w:r>
      <w:r w:rsidRPr="007431E6">
        <w:rPr>
          <w:rFonts w:cstheme="minorHAnsi"/>
        </w:rPr>
        <w:fldChar w:fldCharType="separate"/>
      </w:r>
      <w:r w:rsidR="00C818B0" w:rsidRPr="007431E6">
        <w:rPr>
          <w:rFonts w:cstheme="minorHAnsi"/>
        </w:rPr>
        <w:t>(8)</w:t>
      </w:r>
      <w:r w:rsidRPr="007431E6">
        <w:rPr>
          <w:rFonts w:cstheme="minorHAnsi"/>
        </w:rPr>
        <w:fldChar w:fldCharType="end"/>
      </w:r>
      <w:r w:rsidRPr="007431E6">
        <w:rPr>
          <w:rFonts w:cstheme="minorHAnsi"/>
        </w:rPr>
        <w:t>. The count data was transformed to log2-counts per million (</w:t>
      </w:r>
      <w:proofErr w:type="spellStart"/>
      <w:r w:rsidRPr="007431E6">
        <w:rPr>
          <w:rFonts w:cstheme="minorHAnsi"/>
        </w:rPr>
        <w:t>logCPM</w:t>
      </w:r>
      <w:proofErr w:type="spellEnd"/>
      <w:r w:rsidRPr="007431E6">
        <w:rPr>
          <w:rFonts w:cstheme="minorHAnsi"/>
        </w:rPr>
        <w:t xml:space="preserve">) using the </w:t>
      </w:r>
      <w:proofErr w:type="spellStart"/>
      <w:r w:rsidRPr="007431E6">
        <w:rPr>
          <w:rFonts w:cstheme="minorHAnsi"/>
        </w:rPr>
        <w:t>voom</w:t>
      </w:r>
      <w:proofErr w:type="spellEnd"/>
      <w:r w:rsidRPr="007431E6">
        <w:rPr>
          <w:rFonts w:cstheme="minorHAnsi"/>
        </w:rPr>
        <w:t xml:space="preserve">-function from the </w:t>
      </w:r>
      <w:proofErr w:type="spellStart"/>
      <w:r w:rsidRPr="007431E6">
        <w:rPr>
          <w:rFonts w:cstheme="minorHAnsi"/>
        </w:rPr>
        <w:t>limma</w:t>
      </w:r>
      <w:proofErr w:type="spellEnd"/>
      <w:r w:rsidRPr="007431E6">
        <w:rPr>
          <w:rFonts w:cstheme="minorHAnsi"/>
        </w:rPr>
        <w:t xml:space="preserve"> package </w:t>
      </w:r>
      <w:r w:rsidRPr="007431E6">
        <w:rPr>
          <w:rFonts w:cstheme="minorHAnsi"/>
        </w:rPr>
        <w:fldChar w:fldCharType="begin"/>
      </w:r>
      <w:r w:rsidR="00C818B0" w:rsidRPr="007431E6">
        <w:rPr>
          <w:rFonts w:cstheme="minorHAnsi"/>
        </w:rPr>
        <w:instrText xml:space="preserve"> ADDIN ZOTERO_ITEM CSL_CITATION {"citationID":"vbE9uzqT","properties":{"formattedCitation":"(9)","plainCitation":"(9)","noteIndex":0},"citationItems":[{"id":300,"uris":["http://zotero.org/users/5941559/items/H3WAK5IY"],"uri":["http://zotero.org/users/5941559/items/H3WAK5IY"],"itemData":{"id":300,"type":"article-journal","abstract":"limma is an R/Bioconductor software package that provides an integrated solution for analysing data from gene expression experiments. It contains rich features for handling complex experimental designs and for information borrowing to overcome the problem of small sample sizes. Over the past decade, limma has been a popular choice for gene discovery through differential expression analyses of microarray and high-throughput PCR data. The package contains particularly strong facilities for reading, normalizing and exploring such data. Recently, the capabilities of limma have been significantly expanded in two important directions. First, the package can now perform both differential expression and differential splicing analyses of RNA sequencing (RNA-seq) data. All the downstream analysis tools previously restricted to microarray data are now available for RNA-seq as well. These capabilities allow users to analyse both RNA-seq and microarray data with very similar pipelines. Second, the package is now able to go past the traditional gene-wise expression analyses in a variety of ways, analysing expression profiles in terms of co-regulated sets of genes or in terms of higher-order expression signatures. This provides enhanced possibilities for biological interpretation of gene expression differences. This article reviews the philosophy and design of the limma package, summarizing both new and historical features, with an emphasis on recent enhancements and features that have not been previously described.","container-title":"Nucleic Acids Res","DOI":"10.1093/nar/gkv007","ISSN":"0305-1048","issue":"7","journalAbbreviation":"Nucleic acids research","language":"eng","note":"PMCID: PMC4402510","page":"e47","title":"limma powers differential expression analyses for RNA-sequencing and microarray studies","volume":"43","author":[{"family":"Ritchie","given":"M. E."},{"family":"Phipson","given":"B."},{"family":"Wu","given":"D."},{"family":"Hu","given":"Y."},{"family":"Law","given":"C. W."},{"family":"Shi","given":"W."},{"family":"Smyth","given":"G. K."}],"issued":{"date-parts":[["2015",4,20]]}}}],"schema":"https://github.com/citation-style-language/schema/raw/master/csl-citation.json"} </w:instrText>
      </w:r>
      <w:r w:rsidRPr="007431E6">
        <w:rPr>
          <w:rFonts w:cstheme="minorHAnsi"/>
        </w:rPr>
        <w:fldChar w:fldCharType="separate"/>
      </w:r>
      <w:r w:rsidR="00C818B0" w:rsidRPr="007431E6">
        <w:rPr>
          <w:rFonts w:cstheme="minorHAnsi"/>
        </w:rPr>
        <w:t>(9)</w:t>
      </w:r>
      <w:r w:rsidRPr="007431E6">
        <w:rPr>
          <w:rFonts w:cstheme="minorHAnsi"/>
        </w:rPr>
        <w:fldChar w:fldCharType="end"/>
      </w:r>
      <w:r w:rsidRPr="007431E6">
        <w:rPr>
          <w:rFonts w:cstheme="minorHAnsi"/>
        </w:rPr>
        <w:t xml:space="preserve">. Differential expression analysis was performed using the </w:t>
      </w:r>
      <w:proofErr w:type="spellStart"/>
      <w:r w:rsidRPr="007431E6">
        <w:rPr>
          <w:rFonts w:cstheme="minorHAnsi"/>
        </w:rPr>
        <w:t>limma</w:t>
      </w:r>
      <w:proofErr w:type="spellEnd"/>
      <w:r w:rsidRPr="007431E6">
        <w:rPr>
          <w:rFonts w:cstheme="minorHAnsi"/>
        </w:rPr>
        <w:t xml:space="preserve"> package in R. A false positive rate of α= 0.05 with FDR correction was taken as the level of significance. Volcano plots and </w:t>
      </w:r>
      <w:proofErr w:type="spellStart"/>
      <w:r w:rsidRPr="007431E6">
        <w:rPr>
          <w:rFonts w:cstheme="minorHAnsi"/>
        </w:rPr>
        <w:t>heatmaps</w:t>
      </w:r>
      <w:proofErr w:type="spellEnd"/>
      <w:r w:rsidRPr="007431E6">
        <w:rPr>
          <w:rFonts w:cstheme="minorHAnsi"/>
        </w:rPr>
        <w:t xml:space="preserve"> were created using ggplot2 package (version 2.2.1) and the </w:t>
      </w:r>
      <w:proofErr w:type="spellStart"/>
      <w:r w:rsidRPr="007431E6">
        <w:rPr>
          <w:rFonts w:cstheme="minorHAnsi"/>
        </w:rPr>
        <w:t>complexHeatmap</w:t>
      </w:r>
      <w:proofErr w:type="spellEnd"/>
      <w:r w:rsidRPr="007431E6">
        <w:rPr>
          <w:rFonts w:cstheme="minorHAnsi"/>
        </w:rPr>
        <w:t xml:space="preserve"> package (version 2.0.0) </w:t>
      </w:r>
      <w:r w:rsidRPr="007431E6">
        <w:rPr>
          <w:rFonts w:cstheme="minorHAnsi"/>
        </w:rPr>
        <w:fldChar w:fldCharType="begin"/>
      </w:r>
      <w:r w:rsidR="00C818B0" w:rsidRPr="007431E6">
        <w:rPr>
          <w:rFonts w:cstheme="minorHAnsi"/>
        </w:rPr>
        <w:instrText xml:space="preserve"> ADDIN ZOTERO_ITEM CSL_CITATION {"citationID":"JOPsDQEa","properties":{"formattedCitation":"(10)","plainCitation":"(10)","noteIndex":0},"citationItems":[{"id":460,"uris":["http://zotero.org/users/5941559/items/7T7MUPD4"],"uri":["http://zotero.org/users/5941559/items/7T7MUPD4"],"itemData":{"id":460,"type":"article-journal","abstract":"Parallel heatmaps with carefully designed annotation graphics are powerful for efficient visualization of patterns and relationships among high dimensional genomic data. Here we present the ComplexHeatmap package that provides rich functionalities for customizing heatmaps, arranging multiple parallel heatmaps and including user-defined annotation graphics. We demonstrate the power of ComplexHeatmap to easily reveal patterns and correlations among multiple sources of information with four real-world datasets.\nAVAILABILITY AND IMPLEMENTATION: The ComplexHeatmap package and documentation are freely available from the Bioconductor project: http://www.bioconductor.org/packages/devel/bioc/html/ComplexHeatmap.html\nCONTACT: m.schlesner@dkfz.de\nSUPPLEMENTARY INFORMATION: Supplementary data are available at Bioinformatics online.","container-title":"Bioinformatics (Oxford, England)","DOI":"10.1093/bioinformatics/btw313","ISSN":"1367-4811","issue":"18","journalAbbreviation":"Bioinformatics","language":"eng","note":"PMID: 27207943","page":"2847-2849","source":"PubMed","title":"Complex heatmaps reveal patterns and correlations in multidimensional genomic data","volume":"32","author":[{"family":"Gu","given":"Zuguang"},{"family":"Eils","given":"Roland"},{"family":"Schlesner","given":"Matthias"}],"issued":{"date-parts":[["2016",9,15]]}}}],"schema":"https://github.com/citation-style-language/schema/raw/master/csl-citation.json"} </w:instrText>
      </w:r>
      <w:r w:rsidRPr="007431E6">
        <w:rPr>
          <w:rFonts w:cstheme="minorHAnsi"/>
        </w:rPr>
        <w:fldChar w:fldCharType="separate"/>
      </w:r>
      <w:r w:rsidR="00C818B0" w:rsidRPr="007431E6">
        <w:rPr>
          <w:rFonts w:cstheme="minorHAnsi"/>
        </w:rPr>
        <w:t>(10)</w:t>
      </w:r>
      <w:r w:rsidRPr="007431E6">
        <w:rPr>
          <w:rFonts w:cstheme="minorHAnsi"/>
        </w:rPr>
        <w:fldChar w:fldCharType="end"/>
      </w:r>
      <w:r w:rsidRPr="007431E6">
        <w:rPr>
          <w:rFonts w:cstheme="minorHAnsi"/>
        </w:rPr>
        <w:t xml:space="preserve">. For enrichment analysis, we used the </w:t>
      </w:r>
      <w:proofErr w:type="spellStart"/>
      <w:r w:rsidRPr="007431E6">
        <w:rPr>
          <w:rFonts w:cstheme="minorHAnsi"/>
        </w:rPr>
        <w:t>fgsea</w:t>
      </w:r>
      <w:proofErr w:type="spellEnd"/>
      <w:r w:rsidRPr="007431E6">
        <w:rPr>
          <w:rFonts w:cstheme="minorHAnsi"/>
        </w:rPr>
        <w:t xml:space="preserve"> </w:t>
      </w:r>
      <w:r w:rsidRPr="007431E6">
        <w:rPr>
          <w:rFonts w:cstheme="minorHAnsi"/>
        </w:rPr>
        <w:fldChar w:fldCharType="begin"/>
      </w:r>
      <w:r w:rsidR="00C818B0" w:rsidRPr="007431E6">
        <w:rPr>
          <w:rFonts w:cstheme="minorHAnsi"/>
        </w:rPr>
        <w:instrText xml:space="preserve"> ADDIN ZOTERO_ITEM CSL_CITATION {"citationID":"LjvEi3H8","properties":{"formattedCitation":"(11)","plainCitation":"(11)","noteIndex":0},"citationItems":[{"id":459,"uris":["http://zotero.org/users/5941559/items/VAVXM4RS"],"uri":["http://zotero.org/users/5941559/items/VAVXM4RS"],"itemData":{"id":459,"type":"report","abstract":"Gene set enrichment analysis (GSEA) is an ubiquitously used tool for evaluating pathway enrichment in transcriptional data. Typical experimental design consists in comparing two conditions with several replicates using a differential gene expression test followed by preranked GSEA performed against a collection of hundreds and thousands of pathways. However, the reference implementation of this method cannot accurately estimate small P-values, which significantly limits its sensitivity due to multiple hypotheses correction procedure.\nHere we present FGSEA (Fast Gene Set Enrichment Analysis) method that is able to estimate arbitrarily low GSEA P-values with a high accuracy in a matter of minutes or even seconds. To confirm the accuracy of the method, we also developed an exact algorithm for GSEA P-values calculation for integer gene-level statistics. Using the exact algorithm as a reference we show that FGSEA is able to routinely estimate P-values up to 10−100 with a small and predictable estimation error. We systematically evaluate FGSEA on a collection of 605 datasets and show that FGSEA recovers much more statistically significant pathways compared to other implementations.\nFGSEA is open source and available as an R package in Bioconductor (http://bioconductor.org/packages/fgsea/) and on GitHub (https://github.com/ctlab/fgsea/).","language":"en","note":"Company: Cold Spring Harbor Laboratory\nDOI: 10.1101/060012\nDistributor: Cold Spring Harbor Laboratory\nLabel: Cold Spring Harbor Laboratory\nsection: New Results\ntype: article","page":"060012","source":"bioRxiv","title":"Fast gene set enrichment analysis","URL":"https://www.biorxiv.org/content/10.1101/060012v3","author":[{"family":"Korotkevich","given":"Gennady"},{"family":"Sukhov","given":"Vladimir"},{"family":"Budin","given":"Nikolay"},{"family":"Shpak","given":"Boris"},{"family":"Artyomov","given":"Maxim N."},{"family":"Sergushichev","given":"Alexey"}],"accessed":{"date-parts":[["2021",8,26]]},"issued":{"date-parts":[["2021",2,1]]}}}],"schema":"https://github.com/citation-style-language/schema/raw/master/csl-citation.json"} </w:instrText>
      </w:r>
      <w:r w:rsidRPr="007431E6">
        <w:rPr>
          <w:rFonts w:cstheme="minorHAnsi"/>
        </w:rPr>
        <w:fldChar w:fldCharType="separate"/>
      </w:r>
      <w:r w:rsidR="00C818B0" w:rsidRPr="007431E6">
        <w:rPr>
          <w:rFonts w:cstheme="minorHAnsi"/>
        </w:rPr>
        <w:t>(11)</w:t>
      </w:r>
      <w:r w:rsidRPr="007431E6">
        <w:rPr>
          <w:rFonts w:cstheme="minorHAnsi"/>
        </w:rPr>
        <w:fldChar w:fldCharType="end"/>
      </w:r>
      <w:r w:rsidRPr="007431E6">
        <w:rPr>
          <w:rFonts w:cstheme="minorHAnsi"/>
        </w:rPr>
        <w:t xml:space="preserve">, the </w:t>
      </w:r>
      <w:proofErr w:type="spellStart"/>
      <w:r w:rsidRPr="007431E6">
        <w:rPr>
          <w:rFonts w:cstheme="minorHAnsi"/>
        </w:rPr>
        <w:t>enrichmentbrowser</w:t>
      </w:r>
      <w:proofErr w:type="spellEnd"/>
      <w:r w:rsidRPr="007431E6">
        <w:rPr>
          <w:rFonts w:cstheme="minorHAnsi"/>
        </w:rPr>
        <w:t xml:space="preserve"> </w:t>
      </w:r>
      <w:r w:rsidRPr="007431E6">
        <w:rPr>
          <w:rFonts w:cstheme="minorHAnsi"/>
        </w:rPr>
        <w:fldChar w:fldCharType="begin"/>
      </w:r>
      <w:r w:rsidR="00C818B0" w:rsidRPr="007431E6">
        <w:rPr>
          <w:rFonts w:cstheme="minorHAnsi"/>
        </w:rPr>
        <w:instrText xml:space="preserve"> ADDIN ZOTERO_ITEM CSL_CITATION {"citationID":"xHWr8fjI","properties":{"formattedCitation":"(12)","plainCitation":"(12)","noteIndex":0},"citationItems":[{"id":458,"uris":["http://zotero.org/users/5941559/items/4NZMXPRP"],"uri":["http://zotero.org/users/5941559/items/4NZMXPRP"],"itemData":{"id":458,"type":"article-journal","abstract":"BACKGROUND: Enrichment analysis of gene expression data is essential to find functional groups of genes whose interplay can explain experimental observations. Numerous methods have been published that either ignore (set-based) or incorporate (network-based) known interactions between genes. However, the often subtle benefits and disadvantages of the individual methods are confusing for most biological end users and there is currently no convenient way to combine methods for an enhanced result interpretation.\nRESULTS: We present the EnrichmentBrowser package as an easily applicable software that enables (1) the application of the most frequently used set-based and network-based enrichment methods, (2) their straightforward combination, and (3) a detailed and interactive visualization and exploration of the results. The package is available from the Bioconductor repository and implements additional support for standardized expression data preprocessing, differential expression analysis, and definition of suitable input gene sets and networks.\nCONCLUSION: The EnrichmentBrowser package implements essential functionality for the enrichment analysis of gene expression data. It combines the advantages of set-based and network-based enrichment analysis in order to derive high-confidence gene sets and biological pathways that are differentially regulated in the expression data under investigation. Besides, the package facilitates the visualization and exploration of such sets and pathways.","container-title":"BMC bioinformatics","DOI":"10.1186/s12859-016-0884-1","ISSN":"1471-2105","journalAbbreviation":"BMC Bioinformatics","language":"eng","note":"PMID: 26791995\nPMCID: PMC4721010","page":"45","source":"PubMed","title":"Bioconductor's EnrichmentBrowser: seamless navigation through combined results of set- &amp; network-based enrichment analysis","title-short":"Bioconductor's EnrichmentBrowser","volume":"17","author":[{"family":"Geistlinger","given":"Ludwig"},{"family":"Csaba","given":"Gergely"},{"family":"Zimmer","given":"Ralf"}],"issued":{"date-parts":[["2016",1,20]]}}}],"schema":"https://github.com/citation-style-language/schema/raw/master/csl-citation.json"} </w:instrText>
      </w:r>
      <w:r w:rsidRPr="007431E6">
        <w:rPr>
          <w:rFonts w:cstheme="minorHAnsi"/>
        </w:rPr>
        <w:fldChar w:fldCharType="separate"/>
      </w:r>
      <w:r w:rsidR="00C818B0" w:rsidRPr="007431E6">
        <w:rPr>
          <w:rFonts w:cstheme="minorHAnsi"/>
        </w:rPr>
        <w:t>(12)</w:t>
      </w:r>
      <w:r w:rsidRPr="007431E6">
        <w:rPr>
          <w:rFonts w:cstheme="minorHAnsi"/>
        </w:rPr>
        <w:fldChar w:fldCharType="end"/>
      </w:r>
      <w:r w:rsidRPr="007431E6">
        <w:rPr>
          <w:rFonts w:cstheme="minorHAnsi"/>
        </w:rPr>
        <w:t xml:space="preserve">, and the </w:t>
      </w:r>
      <w:proofErr w:type="spellStart"/>
      <w:r w:rsidRPr="007431E6">
        <w:rPr>
          <w:rFonts w:cstheme="minorHAnsi"/>
        </w:rPr>
        <w:t>Enrichr</w:t>
      </w:r>
      <w:proofErr w:type="spellEnd"/>
      <w:r w:rsidRPr="007431E6">
        <w:rPr>
          <w:rFonts w:cstheme="minorHAnsi"/>
        </w:rPr>
        <w:t xml:space="preserve"> packages </w:t>
      </w:r>
      <w:r w:rsidRPr="007431E6">
        <w:rPr>
          <w:rFonts w:cstheme="minorHAnsi"/>
        </w:rPr>
        <w:fldChar w:fldCharType="begin"/>
      </w:r>
      <w:r w:rsidR="00C818B0" w:rsidRPr="007431E6">
        <w:rPr>
          <w:rFonts w:cstheme="minorHAnsi"/>
        </w:rPr>
        <w:instrText xml:space="preserve"> ADDIN ZOTERO_ITEM CSL_CITATION {"citationID":"OQaaVMaC","properties":{"formattedCitation":"(13)","plainCitation":"(13)","noteIndex":0},"citationItems":[{"id":463,"uris":["http://zotero.org/users/5941559/items/YXPCQNG2"],"uri":["http://zotero.org/users/5941559/items/YXPCQNG2"],"itemData":{"id":463,"type":"article-journal","abstract":"BACKGROUND: System-wide profiling of genes and proteins in mammalian cells produce lists of differentially expressed genes/proteins that need to be further analyzed for their collective functions in order to extract new knowledge. Once unbiased lists of genes or proteins are generated from such experiments, these lists are used as input for computing enrichment with existing lists created from prior knowledge organized into gene-set libraries. While many enrichment analysis tools and gene-set libraries databases have been developed, there is still room for improvement.\nRESULTS: Here, we present Enrichr, an integrative web-based and mobile software application that includes new gene-set libraries, an alternative approach to rank enriched terms, and various interactive visualization approaches to display enrichment results using the JavaScript library, Data Driven Documents (D3). The software can also be embedded into any tool that performs gene list analysis. We applied Enrichr to analyze nine cancer cell lines by comparing their enrichment signatures to the enrichment signatures of matched normal tissues. We observed a common pattern of up regulation of the polycomb group PRC2 and enrichment for the histone mark H3K27me3 in many cancer cell lines, as well as alterations in Toll-like receptor and interlukin signaling in K562 cells when compared with normal myeloid CD33+ cells. Such analyses provide global visualization of critical differences between normal tissues and cancer cell lines but can be applied to many other scenarios.\nCONCLUSIONS: Enrichr is an easy to use intuitive enrichment analysis web-based tool providing various types of visualization summaries of collective functions of gene lists. Enrichr is open source and freely available online at: http://amp.pharm.mssm.edu/Enrichr.","container-title":"BMC bioinformatics","DOI":"10.1186/1471-2105-14-128","ISSN":"1471-2105","journalAbbreviation":"BMC Bioinformatics","language":"eng","note":"PMID: 23586463\nPMCID: PMC3637064","page":"128","source":"PubMed","title":"Enrichr: interactive and collaborative HTML5 gene list enrichment analysis tool","title-short":"Enrichr","volume":"14","author":[{"family":"Chen","given":"Edward Y."},{"family":"Tan","given":"Christopher M."},{"family":"Kou","given":"Yan"},{"family":"Duan","given":"Qiaonan"},{"family":"Wang","given":"Zichen"},{"family":"Meirelles","given":"Gabriela Vaz"},{"family":"Clark","given":"Neil R."},{"family":"Ma'ayan","given":"Avi"}],"issued":{"date-parts":[["2013",4,15]]}}}],"schema":"https://github.com/citation-style-language/schema/raw/master/csl-citation.json"} </w:instrText>
      </w:r>
      <w:r w:rsidRPr="007431E6">
        <w:rPr>
          <w:rFonts w:cstheme="minorHAnsi"/>
        </w:rPr>
        <w:fldChar w:fldCharType="separate"/>
      </w:r>
      <w:r w:rsidR="00C818B0" w:rsidRPr="007431E6">
        <w:rPr>
          <w:rFonts w:cstheme="minorHAnsi"/>
        </w:rPr>
        <w:t>(13)</w:t>
      </w:r>
      <w:r w:rsidRPr="007431E6">
        <w:rPr>
          <w:rFonts w:cstheme="minorHAnsi"/>
        </w:rPr>
        <w:fldChar w:fldCharType="end"/>
      </w:r>
      <w:r w:rsidRPr="007431E6">
        <w:rPr>
          <w:rFonts w:cstheme="minorHAnsi"/>
        </w:rPr>
        <w:t>.</w:t>
      </w:r>
    </w:p>
    <w:p w14:paraId="4928A2B5" w14:textId="77777777" w:rsidR="00FE0885" w:rsidRPr="00901843" w:rsidRDefault="00FE0885" w:rsidP="00520BEE">
      <w:pPr>
        <w:pStyle w:val="Heading2"/>
      </w:pPr>
      <w:r w:rsidRPr="00901843">
        <w:t>Integration of published gene sets in bulk RNA-</w:t>
      </w:r>
      <w:proofErr w:type="spellStart"/>
      <w:r w:rsidRPr="00901843">
        <w:t>seq</w:t>
      </w:r>
      <w:proofErr w:type="spellEnd"/>
      <w:r w:rsidRPr="00901843">
        <w:t xml:space="preserve"> data from hepatic endothelial cells</w:t>
      </w:r>
    </w:p>
    <w:p w14:paraId="36F6C7D4" w14:textId="77777777" w:rsidR="00FE0885" w:rsidRDefault="00FE0885" w:rsidP="00FE0885">
      <w:pPr>
        <w:pStyle w:val="BodyText"/>
        <w:rPr>
          <w:rFonts w:cstheme="minorHAnsi"/>
        </w:rPr>
      </w:pPr>
      <w:r>
        <w:rPr>
          <w:rFonts w:cstheme="minorHAnsi"/>
        </w:rPr>
        <w:t xml:space="preserve">To decipher the differentiation of hepatic endothelial cells in </w:t>
      </w:r>
      <w:r w:rsidRPr="00901843">
        <w:rPr>
          <w:rFonts w:cstheme="minorHAnsi"/>
          <w:i/>
        </w:rPr>
        <w:t>Alk1</w:t>
      </w:r>
      <w:r w:rsidRPr="00901843">
        <w:rPr>
          <w:rFonts w:cstheme="minorHAnsi"/>
          <w:vertAlign w:val="superscript"/>
        </w:rPr>
        <w:t xml:space="preserve">HEC-KO </w:t>
      </w:r>
      <w:r>
        <w:rPr>
          <w:rFonts w:cstheme="minorHAnsi"/>
        </w:rPr>
        <w:t xml:space="preserve">mice, we used publicly available gene sets from </w:t>
      </w:r>
      <w:proofErr w:type="spellStart"/>
      <w:r>
        <w:rPr>
          <w:rFonts w:cstheme="minorHAnsi"/>
        </w:rPr>
        <w:t>Kalucka</w:t>
      </w:r>
      <w:proofErr w:type="spellEnd"/>
      <w:r>
        <w:rPr>
          <w:rFonts w:cstheme="minorHAnsi"/>
        </w:rPr>
        <w:t xml:space="preserve"> et al. </w:t>
      </w:r>
      <w:r w:rsidRPr="007431E6">
        <w:rPr>
          <w:rFonts w:cstheme="minorHAnsi"/>
        </w:rPr>
        <w:fldChar w:fldCharType="begin"/>
      </w:r>
      <w:r w:rsidRPr="007431E6">
        <w:rPr>
          <w:rFonts w:cstheme="minorHAnsi"/>
        </w:rPr>
        <w:instrText xml:space="preserve"> ADDIN ZOTERO_ITEM CSL_CITATION {"citationID":"yHs7fmjO","properties":{"formattedCitation":"(14)","plainCitation":"(14)","noteIndex":0},"citationItems":[{"id":469,"uris":["http://zotero.org/users/5941559/items/FS2H4AWC"],"uri":["http://zotero.org/users/5941559/items/FS2H4AWC"],"itemData":{"id":469,"type":"article-journal","abstract":"The heterogeneity of endothelial cells (ECs) across tissues remains incompletely inventoried. We constructed an atlas of &gt;32,000 single-EC transcriptomes from 11 mouse tissues and identified 78 EC subclusters, including Aqp7+ intestinal capillaries and angiogenic ECs in healthy tissues. ECs from brain/testis, liver/spleen, small intestine/colon, and skeletal muscle/heart pairwise expressed partially overlapping marker genes. Arterial, venous, and lymphatic ECs shared more markers in more tissues than did heterogeneous capillary ECs. ECs from different vascular beds (arteries, capillaries, veins, lymphatics) exhibited transcriptome similarity across tissues, but the tissue (rather than the vessel) type contributed to the EC heterogeneity. Metabolic transcriptome analysis revealed a similar tissue-grouping phenomenon of ECs and heterogeneous metabolic gene signatures in ECs between tissues and between vascular beds within a single tissue in a tissue-type-dependent pattern. The EC atlas taxonomy enabled identification of EC subclusters in public scRNA-seq datasets and provides a powerful discovery tool and resource value.","container-title":"Cell","DOI":"10.1016/j.cell.2020.01.015","ISSN":"1097-4172","issue":"4","journalAbbreviation":"Cell","language":"eng","note":"PMID: 32059779","page":"764-779.e20","source":"PubMed","title":"Single-Cell Transcriptome Atlas of Murine Endothelial Cells","volume":"180","author":[{"family":"Kalucka","given":"Joanna"},{"family":"Rooij","given":"Laura P. M. H.","non-dropping-particle":"de"},{"family":"Goveia","given":"Jermaine"},{"family":"Rohlenova","given":"Katerina"},{"family":"Dumas","given":"Sébastien J."},{"family":"Meta","given":"Elda"},{"family":"Conchinha","given":"Nadine V."},{"family":"Taverna","given":"Federico"},{"family":"Teuwen","given":"Laure-Anne"},{"family":"Veys","given":"Koen"},{"family":"García-Caballero","given":"Melissa"},{"family":"Khan","given":"Shawez"},{"family":"Geldhof","given":"Vincent"},{"family":"Sokol","given":"Liliana"},{"family":"Chen","given":"Rongyuan"},{"family":"Treps","given":"Lucas"},{"family":"Borri","given":"Mila"},{"family":"Zeeuw","given":"Pauline","non-dropping-particle":"de"},{"family":"Dubois","given":"Charlotte"},{"family":"Karakach","given":"Tobias K."},{"family":"Falkenberg","given":"Kim D."},{"family":"Parys","given":"Magdalena"},{"family":"Yin","given":"Xiangke"},{"family":"Vinckier","given":"Stefan"},{"family":"Du","given":"Yuxiang"},{"family":"Fenton","given":"Robert A."},{"family":"Schoonjans","given":"Luc"},{"family":"Dewerchin","given":"Mieke"},{"family":"Eelen","given":"Guy"},{"family":"Thienpont","given":"Bernard"},{"family":"Lin","given":"Lin"},{"family":"Bolund","given":"Lars"},{"family":"Li","given":"Xuri"},{"family":"Luo","given":"Yonglun"},{"family":"Carmeliet","given":"Peter"}],"issued":{"date-parts":[["2020",2,20]]}}}],"schema":"https://github.com/citation-style-language/schema/raw/master/csl-citation.json"} </w:instrText>
      </w:r>
      <w:r w:rsidRPr="007431E6">
        <w:rPr>
          <w:rFonts w:cstheme="minorHAnsi"/>
        </w:rPr>
        <w:fldChar w:fldCharType="separate"/>
      </w:r>
      <w:r w:rsidRPr="007431E6">
        <w:rPr>
          <w:rFonts w:cstheme="minorHAnsi"/>
        </w:rPr>
        <w:t>(14)</w:t>
      </w:r>
      <w:r w:rsidRPr="007431E6">
        <w:rPr>
          <w:rFonts w:cstheme="minorHAnsi"/>
        </w:rPr>
        <w:fldChar w:fldCharType="end"/>
      </w:r>
      <w:r>
        <w:rPr>
          <w:rFonts w:cstheme="minorHAnsi"/>
        </w:rPr>
        <w:t xml:space="preserve">. </w:t>
      </w:r>
      <w:proofErr w:type="spellStart"/>
      <w:r>
        <w:rPr>
          <w:rFonts w:cstheme="minorHAnsi"/>
        </w:rPr>
        <w:t>Kalucka</w:t>
      </w:r>
      <w:proofErr w:type="spellEnd"/>
      <w:r>
        <w:rPr>
          <w:rFonts w:cstheme="minorHAnsi"/>
        </w:rPr>
        <w:t xml:space="preserve"> et al. distinguished seven endothelial subpopulations (Large artery, Capillary arterial, Capillary, Capillary venous, Vein, Proliferating, and Lymphatic) generated by single-cell RNA sequencing and provide the genes defining these subpopulations on their database that is accessible online (</w:t>
      </w:r>
      <w:r w:rsidRPr="007E1A5A">
        <w:rPr>
          <w:rFonts w:cstheme="minorHAnsi"/>
        </w:rPr>
        <w:t>https://endotheliomics.shinyapps.io/ec_atlas/</w:t>
      </w:r>
      <w:r>
        <w:rPr>
          <w:rFonts w:cstheme="minorHAnsi"/>
        </w:rPr>
        <w:t xml:space="preserve"> &gt; Liver &gt; Marker set). We generated an expression </w:t>
      </w:r>
      <w:proofErr w:type="spellStart"/>
      <w:r>
        <w:rPr>
          <w:rFonts w:cstheme="minorHAnsi"/>
        </w:rPr>
        <w:t>heatmap</w:t>
      </w:r>
      <w:proofErr w:type="spellEnd"/>
      <w:r>
        <w:rPr>
          <w:rFonts w:cstheme="minorHAnsi"/>
        </w:rPr>
        <w:t xml:space="preserve"> for all significantly up- or down-regulated genes in RNA-</w:t>
      </w:r>
      <w:proofErr w:type="spellStart"/>
      <w:r>
        <w:rPr>
          <w:rFonts w:cstheme="minorHAnsi"/>
        </w:rPr>
        <w:t>seq</w:t>
      </w:r>
      <w:proofErr w:type="spellEnd"/>
      <w:r>
        <w:rPr>
          <w:rFonts w:cstheme="minorHAnsi"/>
        </w:rPr>
        <w:t xml:space="preserve"> data of </w:t>
      </w:r>
      <w:r w:rsidRPr="00901843">
        <w:rPr>
          <w:rFonts w:cstheme="minorHAnsi"/>
          <w:i/>
        </w:rPr>
        <w:t>Alk1</w:t>
      </w:r>
      <w:r w:rsidRPr="00901843">
        <w:rPr>
          <w:rFonts w:cstheme="minorHAnsi"/>
          <w:vertAlign w:val="superscript"/>
        </w:rPr>
        <w:t>HEC-KO</w:t>
      </w:r>
      <w:r>
        <w:rPr>
          <w:rFonts w:cstheme="minorHAnsi"/>
        </w:rPr>
        <w:t xml:space="preserve"> EC and extended this </w:t>
      </w:r>
      <w:proofErr w:type="spellStart"/>
      <w:r>
        <w:rPr>
          <w:rFonts w:cstheme="minorHAnsi"/>
        </w:rPr>
        <w:t>heatmap</w:t>
      </w:r>
      <w:proofErr w:type="spellEnd"/>
      <w:r>
        <w:rPr>
          <w:rFonts w:cstheme="minorHAnsi"/>
        </w:rPr>
        <w:t xml:space="preserve"> with another </w:t>
      </w:r>
      <w:proofErr w:type="spellStart"/>
      <w:r>
        <w:rPr>
          <w:rFonts w:cstheme="minorHAnsi"/>
        </w:rPr>
        <w:t>heatmap</w:t>
      </w:r>
      <w:proofErr w:type="spellEnd"/>
      <w:r>
        <w:rPr>
          <w:rFonts w:cstheme="minorHAnsi"/>
        </w:rPr>
        <w:t xml:space="preserve"> indicating whether a gene is part of a gene set from </w:t>
      </w:r>
      <w:proofErr w:type="spellStart"/>
      <w:r>
        <w:rPr>
          <w:rFonts w:cstheme="minorHAnsi"/>
        </w:rPr>
        <w:t>Kalucka</w:t>
      </w:r>
      <w:proofErr w:type="spellEnd"/>
      <w:r>
        <w:rPr>
          <w:rFonts w:cstheme="minorHAnsi"/>
        </w:rPr>
        <w:t xml:space="preserve"> et al. For each gene set, a fourfold table was considered consisting of: A1) all significantly </w:t>
      </w:r>
      <w:r w:rsidRPr="00901843">
        <w:rPr>
          <w:rFonts w:cstheme="minorHAnsi"/>
          <w:i/>
        </w:rPr>
        <w:t>up</w:t>
      </w:r>
      <w:r>
        <w:rPr>
          <w:rFonts w:cstheme="minorHAnsi"/>
        </w:rPr>
        <w:t xml:space="preserve">-regulated genes, A2) all significantly </w:t>
      </w:r>
      <w:r w:rsidRPr="00901843">
        <w:rPr>
          <w:rFonts w:cstheme="minorHAnsi"/>
          <w:i/>
        </w:rPr>
        <w:t>down</w:t>
      </w:r>
      <w:r>
        <w:rPr>
          <w:rFonts w:cstheme="minorHAnsi"/>
        </w:rPr>
        <w:t xml:space="preserve">-regulated genes, B1) significantly </w:t>
      </w:r>
      <w:r w:rsidRPr="00901843">
        <w:rPr>
          <w:rFonts w:cstheme="minorHAnsi"/>
          <w:i/>
        </w:rPr>
        <w:t>up</w:t>
      </w:r>
      <w:r>
        <w:rPr>
          <w:rFonts w:cstheme="minorHAnsi"/>
        </w:rPr>
        <w:t xml:space="preserve">-regulated genes that are part of the respective gene set, and B2) significantly </w:t>
      </w:r>
      <w:r w:rsidRPr="00901843">
        <w:rPr>
          <w:rFonts w:cstheme="minorHAnsi"/>
          <w:i/>
        </w:rPr>
        <w:t>down</w:t>
      </w:r>
      <w:r>
        <w:rPr>
          <w:rFonts w:cstheme="minorHAnsi"/>
        </w:rPr>
        <w:t>-regulated genes that are part of the respective gene set. The gene distribution within this fourfold table was analyzed using Fisher’s exact test.</w:t>
      </w:r>
    </w:p>
    <w:p w14:paraId="345CF432" w14:textId="77777777" w:rsidR="00FE0885" w:rsidRDefault="00FE0885" w:rsidP="00FE0885">
      <w:pPr>
        <w:pStyle w:val="BodyText"/>
        <w:rPr>
          <w:rFonts w:cstheme="minorHAnsi"/>
        </w:rPr>
      </w:pPr>
      <w:r>
        <w:rPr>
          <w:rFonts w:cstheme="minorHAnsi"/>
        </w:rPr>
        <w:lastRenderedPageBreak/>
        <w:t xml:space="preserve">In the same way, we used the gene sets from </w:t>
      </w:r>
      <w:r w:rsidRPr="007431E6">
        <w:rPr>
          <w:rFonts w:cstheme="minorHAnsi"/>
        </w:rPr>
        <w:t xml:space="preserve">Halpern et al. </w:t>
      </w:r>
      <w:r w:rsidRPr="007431E6">
        <w:rPr>
          <w:rFonts w:cstheme="minorHAnsi"/>
        </w:rPr>
        <w:fldChar w:fldCharType="begin"/>
      </w:r>
      <w:r w:rsidRPr="007431E6">
        <w:rPr>
          <w:rFonts w:cstheme="minorHAnsi"/>
        </w:rPr>
        <w:instrText xml:space="preserve"> ADDIN ZOTERO_ITEM CSL_CITATION {"citationID":"67oBo908","properties":{"formattedCitation":"(15)","plainCitation":"(15)","noteIndex":0},"citationItems":[{"id":540,"uris":["http://zotero.org/users/5941559/items/APAZEXCS"],"uri":["http://zotero.org/users/5941559/items/APAZEXCS"],"itemData":{"id":540,"type":"article-journal","container-title":"Nature Biotechnology","DOI":"10.1038/nbt.4231 https://www.nature.com/articles/nbt.4231#supplementary-information","page":"962","title":"Paired-cell sequencing enables spatial gene expression mapping of liver endothelial cells","volume":"36","author":[{"family":"Halpern","given":"Keren Bahar"},{"family":"Shenhav","given":"Rom"},{"family":"Massalha","given":"Hassan"},{"family":"Toth","given":"Beata"},{"family":"Egozi","given":"Adi"},{"family":"Massasa","given":"Efi E."},{"family":"Medgalia","given":"Chiara"},{"family":"David","given":"Eyal"},{"family":"Giladi","given":"Amir"},{"family":"Moor","given":"Andreas E."},{"family":"Porat","given":"Ziv"},{"family":"Amit","given":"Ido"},{"family":"Itzkovitz","given":"Shalev"}],"issued":{"date-parts":[["2018"]],"season":"17/online"}}}],"schema":"https://github.com/citation-style-language/schema/raw/master/csl-citation.json"} </w:instrText>
      </w:r>
      <w:r w:rsidRPr="007431E6">
        <w:rPr>
          <w:rFonts w:cstheme="minorHAnsi"/>
        </w:rPr>
        <w:fldChar w:fldCharType="separate"/>
      </w:r>
      <w:r w:rsidRPr="007431E6">
        <w:rPr>
          <w:rFonts w:cstheme="minorHAnsi"/>
        </w:rPr>
        <w:t>(15)</w:t>
      </w:r>
      <w:r w:rsidRPr="007431E6">
        <w:rPr>
          <w:rFonts w:cstheme="minorHAnsi"/>
        </w:rPr>
        <w:fldChar w:fldCharType="end"/>
      </w:r>
      <w:r>
        <w:rPr>
          <w:rFonts w:cstheme="minorHAnsi"/>
        </w:rPr>
        <w:t xml:space="preserve"> (</w:t>
      </w:r>
      <w:proofErr w:type="spellStart"/>
      <w:r>
        <w:rPr>
          <w:rFonts w:cstheme="minorHAnsi"/>
        </w:rPr>
        <w:t>Periportal</w:t>
      </w:r>
      <w:proofErr w:type="spellEnd"/>
      <w:r>
        <w:rPr>
          <w:rFonts w:cstheme="minorHAnsi"/>
        </w:rPr>
        <w:t xml:space="preserve">, and </w:t>
      </w:r>
      <w:proofErr w:type="spellStart"/>
      <w:r>
        <w:rPr>
          <w:rFonts w:cstheme="minorHAnsi"/>
        </w:rPr>
        <w:t>Pericentral</w:t>
      </w:r>
      <w:proofErr w:type="spellEnd"/>
      <w:r>
        <w:rPr>
          <w:rFonts w:cstheme="minorHAnsi"/>
        </w:rPr>
        <w:t>)</w:t>
      </w:r>
      <w:r w:rsidRPr="007431E6">
        <w:rPr>
          <w:rFonts w:cstheme="minorHAnsi"/>
        </w:rPr>
        <w:t xml:space="preserve"> </w:t>
      </w:r>
      <w:r>
        <w:rPr>
          <w:rFonts w:cstheme="minorHAnsi"/>
        </w:rPr>
        <w:t>that were also</w:t>
      </w:r>
      <w:r w:rsidRPr="007431E6">
        <w:rPr>
          <w:rFonts w:cstheme="minorHAnsi"/>
        </w:rPr>
        <w:t xml:space="preserve"> annotated to the significantly regulated genes in bulk-RNA-</w:t>
      </w:r>
      <w:proofErr w:type="spellStart"/>
      <w:r w:rsidRPr="007431E6">
        <w:rPr>
          <w:rFonts w:cstheme="minorHAnsi"/>
        </w:rPr>
        <w:t>seq</w:t>
      </w:r>
      <w:proofErr w:type="spellEnd"/>
      <w:r w:rsidRPr="007431E6">
        <w:rPr>
          <w:rFonts w:cstheme="minorHAnsi"/>
        </w:rPr>
        <w:t xml:space="preserve"> data from endothelial cells of </w:t>
      </w:r>
      <w:r w:rsidRPr="007431E6">
        <w:rPr>
          <w:rFonts w:cstheme="minorHAnsi"/>
          <w:i/>
          <w:iCs/>
        </w:rPr>
        <w:t>Alk1</w:t>
      </w:r>
      <w:r w:rsidRPr="007431E6">
        <w:rPr>
          <w:rFonts w:cstheme="minorHAnsi"/>
          <w:vertAlign w:val="superscript"/>
        </w:rPr>
        <w:t>HEC-KO</w:t>
      </w:r>
      <w:r w:rsidRPr="007431E6">
        <w:rPr>
          <w:rFonts w:cstheme="minorHAnsi"/>
        </w:rPr>
        <w:t xml:space="preserve"> mice. </w:t>
      </w:r>
    </w:p>
    <w:p w14:paraId="6D10F662" w14:textId="77777777" w:rsidR="00FE0885" w:rsidRPr="00CE61A8" w:rsidRDefault="00FE0885" w:rsidP="00C5745A">
      <w:pPr>
        <w:pStyle w:val="Heading2"/>
      </w:pPr>
      <w:r w:rsidRPr="00CE61A8">
        <w:t xml:space="preserve">Integration of published </w:t>
      </w:r>
      <w:r>
        <w:t>single-cell RNA-</w:t>
      </w:r>
      <w:proofErr w:type="spellStart"/>
      <w:r>
        <w:t>seq</w:t>
      </w:r>
      <w:proofErr w:type="spellEnd"/>
      <w:r>
        <w:t xml:space="preserve"> data</w:t>
      </w:r>
      <w:r w:rsidRPr="00CE61A8">
        <w:t xml:space="preserve"> in bulk RNA-</w:t>
      </w:r>
      <w:proofErr w:type="spellStart"/>
      <w:r w:rsidRPr="00CE61A8">
        <w:t>seq</w:t>
      </w:r>
      <w:proofErr w:type="spellEnd"/>
      <w:r w:rsidRPr="00CE61A8">
        <w:t xml:space="preserve"> data </w:t>
      </w:r>
      <w:r>
        <w:t>of whole liver</w:t>
      </w:r>
    </w:p>
    <w:p w14:paraId="3EC8EDBC" w14:textId="77777777" w:rsidR="00FE0885" w:rsidRDefault="00FE0885" w:rsidP="00FE0885">
      <w:pPr>
        <w:pStyle w:val="BodyText"/>
        <w:rPr>
          <w:rFonts w:cstheme="minorHAnsi"/>
        </w:rPr>
      </w:pPr>
      <w:r>
        <w:rPr>
          <w:rFonts w:cstheme="minorHAnsi"/>
        </w:rPr>
        <w:t>For our whole liver bulk RNA-</w:t>
      </w:r>
      <w:proofErr w:type="spellStart"/>
      <w:r>
        <w:rPr>
          <w:rFonts w:cstheme="minorHAnsi"/>
        </w:rPr>
        <w:t>seq</w:t>
      </w:r>
      <w:proofErr w:type="spellEnd"/>
      <w:r>
        <w:rPr>
          <w:rFonts w:cstheme="minorHAnsi"/>
        </w:rPr>
        <w:t xml:space="preserve"> data, we used another dataset from Halpern et al. </w:t>
      </w:r>
      <w:r w:rsidRPr="007431E6">
        <w:rPr>
          <w:rFonts w:cstheme="minorHAnsi"/>
        </w:rPr>
        <w:fldChar w:fldCharType="begin"/>
      </w:r>
      <w:r w:rsidRPr="007431E6">
        <w:rPr>
          <w:rFonts w:cstheme="minorHAnsi"/>
        </w:rPr>
        <w:instrText xml:space="preserve"> ADDIN ZOTERO_ITEM CSL_CITATION {"citationID":"BRwp3KrV","properties":{"formattedCitation":"(16)","plainCitation":"(16)","noteIndex":0},"citationItems":[{"id":542,"uris":["http://zotero.org/users/5941559/items/KRV4FAJM"],"uri":["http://zotero.org/users/5941559/items/KRV4FAJM"],"itemData":{"id":542,"type":"article-journal","abstract":"The mammalian liver consists of hexagon-shaped lobules that are radially polarized by blood flow and morphogens. Key liver genes have been shown to be differentially expressed along the lobule axis, a phenomenon termed zonation, but a detailed genome-wide reconstruction of this spatial division of labour has not been achieved. Here we measure the entire transcriptome of thousands of mouse liver cells and infer their lobule coordinates on the basis of a panel of zonated landmark genes, characterized with single-molecule fluorescence in situ hybridization. Using this approach, we obtain the zonation profiles of all liver genes with high spatial resolution. We find that around 50% of liver genes are significantly zonated and uncover abundant non-monotonic profiles that peak at the mid-lobule layers. These include a spatial order of bile acid biosynthesis enzymes that matches their position in the enzymatic cascade. Our approach can facilitate the reconstruction of similar spatial genomic blueprints for other mammalian organs.","container-title":"Nature","DOI":"10.1038/nature21065","ISSN":"0028-0836","issue":"7641","language":"eng","note":"PMCID: PMC5321580","page":"352-356","title":"Single-cell spatial reconstruction reveals global division of labour in the mammalian liver","volume":"542","author":[{"family":"Halpern","given":"K. B."},{"family":"Shenhav","given":"R."},{"family":"Matcovitch-Natan","given":"O."},{"family":"Toth","given":"B."},{"family":"Lemze","given":"D."},{"family":"Golan","given":"M."},{"family":"Massasa","given":"E. E."},{"family":"Baydatch","given":"S."},{"family":"Landen","given":"S."},{"family":"Moor","given":"A. E."},{"family":"Brandis","given":"A."},{"family":"Giladi","given":"A."},{"family":"Avihail","given":"A. S."},{"family":"David","given":"E."},{"family":"Amit","given":"I."},{"family":"Itzkovitz","given":"S."}],"issued":{"date-parts":[["2017",2,16]]}}}],"schema":"https://github.com/citation-style-language/schema/raw/master/csl-citation.json"} </w:instrText>
      </w:r>
      <w:r w:rsidRPr="007431E6">
        <w:rPr>
          <w:rFonts w:cstheme="minorHAnsi"/>
        </w:rPr>
        <w:fldChar w:fldCharType="separate"/>
      </w:r>
      <w:r w:rsidRPr="007431E6">
        <w:rPr>
          <w:rFonts w:cstheme="minorHAnsi"/>
        </w:rPr>
        <w:t>(16)</w:t>
      </w:r>
      <w:r w:rsidRPr="007431E6">
        <w:rPr>
          <w:rFonts w:cstheme="minorHAnsi"/>
        </w:rPr>
        <w:fldChar w:fldCharType="end"/>
      </w:r>
      <w:r>
        <w:rPr>
          <w:rFonts w:cstheme="minorHAnsi"/>
        </w:rPr>
        <w:t xml:space="preserve"> providing expression data along the liver lobule (Layer.1 = </w:t>
      </w:r>
      <w:proofErr w:type="spellStart"/>
      <w:r>
        <w:rPr>
          <w:rFonts w:cstheme="minorHAnsi"/>
        </w:rPr>
        <w:t>pericentral</w:t>
      </w:r>
      <w:proofErr w:type="spellEnd"/>
      <w:r>
        <w:rPr>
          <w:rFonts w:cstheme="minorHAnsi"/>
        </w:rPr>
        <w:t xml:space="preserve"> to Layer.9 = </w:t>
      </w:r>
      <w:proofErr w:type="spellStart"/>
      <w:r>
        <w:rPr>
          <w:rFonts w:cstheme="minorHAnsi"/>
        </w:rPr>
        <w:t>periportal</w:t>
      </w:r>
      <w:proofErr w:type="spellEnd"/>
      <w:r>
        <w:rPr>
          <w:rFonts w:cstheme="minorHAnsi"/>
        </w:rPr>
        <w:t xml:space="preserve">). In a first step, we generated an expression </w:t>
      </w:r>
      <w:proofErr w:type="spellStart"/>
      <w:r>
        <w:rPr>
          <w:rFonts w:cstheme="minorHAnsi"/>
        </w:rPr>
        <w:t>heatmap</w:t>
      </w:r>
      <w:proofErr w:type="spellEnd"/>
      <w:r>
        <w:rPr>
          <w:rFonts w:cstheme="minorHAnsi"/>
        </w:rPr>
        <w:t xml:space="preserve"> for significantly regulated genes in whole liver lysates from our </w:t>
      </w:r>
      <w:r w:rsidRPr="00901843">
        <w:rPr>
          <w:rFonts w:cstheme="minorHAnsi"/>
          <w:i/>
        </w:rPr>
        <w:t>Alk1</w:t>
      </w:r>
      <w:r w:rsidRPr="00901843">
        <w:rPr>
          <w:rFonts w:cstheme="minorHAnsi"/>
          <w:vertAlign w:val="superscript"/>
        </w:rPr>
        <w:t xml:space="preserve">HEC-KO </w:t>
      </w:r>
      <w:r>
        <w:rPr>
          <w:rFonts w:cstheme="minorHAnsi"/>
        </w:rPr>
        <w:t xml:space="preserve">mice and extended this </w:t>
      </w:r>
      <w:proofErr w:type="spellStart"/>
      <w:r>
        <w:rPr>
          <w:rFonts w:cstheme="minorHAnsi"/>
        </w:rPr>
        <w:t>heatmap</w:t>
      </w:r>
      <w:proofErr w:type="spellEnd"/>
      <w:r>
        <w:rPr>
          <w:rFonts w:cstheme="minorHAnsi"/>
        </w:rPr>
        <w:t xml:space="preserve"> with another </w:t>
      </w:r>
      <w:proofErr w:type="spellStart"/>
      <w:r>
        <w:rPr>
          <w:rFonts w:cstheme="minorHAnsi"/>
        </w:rPr>
        <w:t>heatmap</w:t>
      </w:r>
      <w:proofErr w:type="spellEnd"/>
      <w:r>
        <w:rPr>
          <w:rFonts w:cstheme="minorHAnsi"/>
        </w:rPr>
        <w:t xml:space="preserve"> showing the physiological gene expression in each layer.</w:t>
      </w:r>
      <w:r w:rsidRPr="007431E6">
        <w:rPr>
          <w:rFonts w:cstheme="minorHAnsi"/>
        </w:rPr>
        <w:t xml:space="preserve"> </w:t>
      </w:r>
    </w:p>
    <w:p w14:paraId="3D5520EF" w14:textId="48099266" w:rsidR="00FE0885" w:rsidRPr="007431E6" w:rsidRDefault="00FE0885" w:rsidP="00FE0885">
      <w:pPr>
        <w:pStyle w:val="BodyText"/>
        <w:rPr>
          <w:rFonts w:cstheme="minorHAnsi"/>
        </w:rPr>
      </w:pPr>
      <w:r>
        <w:rPr>
          <w:rFonts w:cstheme="minorHAnsi"/>
        </w:rPr>
        <w:t>In the next step, we performed gene set enrichment analysis (GSEA) for our whole liver RNA-</w:t>
      </w:r>
      <w:proofErr w:type="spellStart"/>
      <w:r>
        <w:rPr>
          <w:rFonts w:cstheme="minorHAnsi"/>
        </w:rPr>
        <w:t>seq</w:t>
      </w:r>
      <w:proofErr w:type="spellEnd"/>
      <w:r>
        <w:rPr>
          <w:rFonts w:cstheme="minorHAnsi"/>
        </w:rPr>
        <w:t xml:space="preserve"> data using the expression data from Halpern et al. </w:t>
      </w:r>
      <w:r w:rsidRPr="007431E6">
        <w:rPr>
          <w:rFonts w:cstheme="minorHAnsi"/>
        </w:rPr>
        <w:fldChar w:fldCharType="begin"/>
      </w:r>
      <w:r w:rsidRPr="007431E6">
        <w:rPr>
          <w:rFonts w:cstheme="minorHAnsi"/>
        </w:rPr>
        <w:instrText xml:space="preserve"> ADDIN ZOTERO_ITEM CSL_CITATION {"citationID":"BRwp3KrV","properties":{"formattedCitation":"(16)","plainCitation":"(16)","noteIndex":0},"citationItems":[{"id":542,"uris":["http://zotero.org/users/5941559/items/KRV4FAJM"],"uri":["http://zotero.org/users/5941559/items/KRV4FAJM"],"itemData":{"id":542,"type":"article-journal","abstract":"The mammalian liver consists of hexagon-shaped lobules that are radially polarized by blood flow and morphogens. Key liver genes have been shown to be differentially expressed along the lobule axis, a phenomenon termed zonation, but a detailed genome-wide reconstruction of this spatial division of labour has not been achieved. Here we measure the entire transcriptome of thousands of mouse liver cells and infer their lobule coordinates on the basis of a panel of zonated landmark genes, characterized with single-molecule fluorescence in situ hybridization. Using this approach, we obtain the zonation profiles of all liver genes with high spatial resolution. We find that around 50% of liver genes are significantly zonated and uncover abundant non-monotonic profiles that peak at the mid-lobule layers. These include a spatial order of bile acid biosynthesis enzymes that matches their position in the enzymatic cascade. Our approach can facilitate the reconstruction of similar spatial genomic blueprints for other mammalian organs.","container-title":"Nature","DOI":"10.1038/nature21065","ISSN":"0028-0836","issue":"7641","language":"eng","note":"PMCID: PMC5321580","page":"352-356","title":"Single-cell spatial reconstruction reveals global division of labour in the mammalian liver","volume":"542","author":[{"family":"Halpern","given":"K. B."},{"family":"Shenhav","given":"R."},{"family":"Matcovitch-Natan","given":"O."},{"family":"Toth","given":"B."},{"family":"Lemze","given":"D."},{"family":"Golan","given":"M."},{"family":"Massasa","given":"E. E."},{"family":"Baydatch","given":"S."},{"family":"Landen","given":"S."},{"family":"Moor","given":"A. E."},{"family":"Brandis","given":"A."},{"family":"Giladi","given":"A."},{"family":"Avihail","given":"A. S."},{"family":"David","given":"E."},{"family":"Amit","given":"I."},{"family":"Itzkovitz","given":"S."}],"issued":{"date-parts":[["2017",2,16]]}}}],"schema":"https://github.com/citation-style-language/schema/raw/master/csl-citation.json"} </w:instrText>
      </w:r>
      <w:r w:rsidRPr="007431E6">
        <w:rPr>
          <w:rFonts w:cstheme="minorHAnsi"/>
        </w:rPr>
        <w:fldChar w:fldCharType="separate"/>
      </w:r>
      <w:r w:rsidRPr="007431E6">
        <w:rPr>
          <w:rFonts w:cstheme="minorHAnsi"/>
        </w:rPr>
        <w:t>(16)</w:t>
      </w:r>
      <w:r w:rsidRPr="007431E6">
        <w:rPr>
          <w:rFonts w:cstheme="minorHAnsi"/>
        </w:rPr>
        <w:fldChar w:fldCharType="end"/>
      </w:r>
      <w:r>
        <w:rPr>
          <w:rFonts w:cstheme="minorHAnsi"/>
        </w:rPr>
        <w:t xml:space="preserve">. To this end, we defined </w:t>
      </w:r>
      <w:proofErr w:type="spellStart"/>
      <w:r>
        <w:rPr>
          <w:rFonts w:cstheme="minorHAnsi"/>
        </w:rPr>
        <w:t>periportal</w:t>
      </w:r>
      <w:proofErr w:type="spellEnd"/>
      <w:r>
        <w:rPr>
          <w:rFonts w:cstheme="minorHAnsi"/>
        </w:rPr>
        <w:t xml:space="preserve"> and </w:t>
      </w:r>
      <w:proofErr w:type="spellStart"/>
      <w:r>
        <w:rPr>
          <w:rFonts w:cstheme="minorHAnsi"/>
        </w:rPr>
        <w:t>pericentral</w:t>
      </w:r>
      <w:proofErr w:type="spellEnd"/>
      <w:r>
        <w:rPr>
          <w:rFonts w:cstheme="minorHAnsi"/>
        </w:rPr>
        <w:t xml:space="preserve"> gene sets filtering for genes with a q value &lt; 0.05 and a fold-change between Layer.1 and Layer.9 that is &lt; 0.5 or &gt; 2. GSEA was performed using the </w:t>
      </w:r>
      <w:proofErr w:type="spellStart"/>
      <w:r>
        <w:rPr>
          <w:rFonts w:cstheme="minorHAnsi"/>
        </w:rPr>
        <w:t>fgsea</w:t>
      </w:r>
      <w:proofErr w:type="spellEnd"/>
      <w:r>
        <w:rPr>
          <w:rFonts w:cstheme="minorHAnsi"/>
        </w:rPr>
        <w:t xml:space="preserve"> package </w:t>
      </w:r>
      <w:r w:rsidRPr="007431E6">
        <w:rPr>
          <w:rFonts w:cstheme="minorHAnsi"/>
        </w:rPr>
        <w:fldChar w:fldCharType="begin"/>
      </w:r>
      <w:r w:rsidRPr="007431E6">
        <w:rPr>
          <w:rFonts w:cstheme="minorHAnsi"/>
        </w:rPr>
        <w:instrText xml:space="preserve"> ADDIN ZOTERO_ITEM CSL_CITATION {"citationID":"LjvEi3H8","properties":{"formattedCitation":"(11)","plainCitation":"(11)","noteIndex":0},"citationItems":[{"id":459,"uris":["http://zotero.org/users/5941559/items/VAVXM4RS"],"uri":["http://zotero.org/users/5941559/items/VAVXM4RS"],"itemData":{"id":459,"type":"report","abstract":"Gene set enrichment analysis (GSEA) is an ubiquitously used tool for evaluating pathway enrichment in transcriptional data. Typical experimental design consists in comparing two conditions with several replicates using a differential gene expression test followed by preranked GSEA performed against a collection of hundreds and thousands of pathways. However, the reference implementation of this method cannot accurately estimate small P-values, which significantly limits its sensitivity due to multiple hypotheses correction procedure.\nHere we present FGSEA (Fast Gene Set Enrichment Analysis) method that is able to estimate arbitrarily low GSEA P-values with a high accuracy in a matter of minutes or even seconds. To confirm the accuracy of the method, we also developed an exact algorithm for GSEA P-values calculation for integer gene-level statistics. Using the exact algorithm as a reference we show that FGSEA is able to routinely estimate P-values up to 10−100 with a small and predictable estimation error. We systematically evaluate FGSEA on a collection of 605 datasets and show that FGSEA recovers much more statistically significant pathways compared to other implementations.\nFGSEA is open source and available as an R package in Bioconductor (http://bioconductor.org/packages/fgsea/) and on GitHub (https://github.com/ctlab/fgsea/).","language":"en","note":"Company: Cold Spring Harbor Laboratory\nDOI: 10.1101/060012\nDistributor: Cold Spring Harbor Laboratory\nLabel: Cold Spring Harbor Laboratory\nsection: New Results\ntype: article","page":"060012","source":"bioRxiv","title":"Fast gene set enrichment analysis","URL":"https://www.biorxiv.org/content/10.1101/060012v3","author":[{"family":"Korotkevich","given":"Gennady"},{"family":"Sukhov","given":"Vladimir"},{"family":"Budin","given":"Nikolay"},{"family":"Shpak","given":"Boris"},{"family":"Artyomov","given":"Maxim N."},{"family":"Sergushichev","given":"Alexey"}],"accessed":{"date-parts":[["2021",8,26]]},"issued":{"date-parts":[["2021",2,1]]}}}],"schema":"https://github.com/citation-style-language/schema/raw/master/csl-citation.json"} </w:instrText>
      </w:r>
      <w:r w:rsidRPr="007431E6">
        <w:rPr>
          <w:rFonts w:cstheme="minorHAnsi"/>
        </w:rPr>
        <w:fldChar w:fldCharType="separate"/>
      </w:r>
      <w:r w:rsidRPr="007431E6">
        <w:rPr>
          <w:rFonts w:cstheme="minorHAnsi"/>
        </w:rPr>
        <w:t>(11)</w:t>
      </w:r>
      <w:r w:rsidRPr="007431E6">
        <w:rPr>
          <w:rFonts w:cstheme="minorHAnsi"/>
        </w:rPr>
        <w:fldChar w:fldCharType="end"/>
      </w:r>
      <w:r>
        <w:rPr>
          <w:rFonts w:cstheme="minorHAnsi"/>
        </w:rPr>
        <w:t xml:space="preserve"> .</w:t>
      </w:r>
    </w:p>
    <w:p w14:paraId="3CAA1452" w14:textId="77777777" w:rsidR="00CA2EEF" w:rsidRPr="007431E6" w:rsidRDefault="00CA2EEF" w:rsidP="00CA2EEF">
      <w:pPr>
        <w:pStyle w:val="Heading2"/>
        <w:rPr>
          <w:rFonts w:cstheme="minorHAnsi"/>
        </w:rPr>
      </w:pPr>
      <w:bookmarkStart w:id="11" w:name="sec:rhnx4tzxpeb"/>
      <w:bookmarkEnd w:id="10"/>
      <w:proofErr w:type="gramStart"/>
      <w:r w:rsidRPr="007431E6">
        <w:rPr>
          <w:rFonts w:cstheme="minorHAnsi"/>
        </w:rPr>
        <w:t>qPCR</w:t>
      </w:r>
      <w:proofErr w:type="gramEnd"/>
    </w:p>
    <w:p w14:paraId="63DA750A" w14:textId="201DBD54" w:rsidR="00CA2EEF" w:rsidRPr="007431E6" w:rsidRDefault="00CA2EEF" w:rsidP="00CA2EEF">
      <w:pPr>
        <w:pStyle w:val="FirstParagraph"/>
        <w:rPr>
          <w:rFonts w:cstheme="minorHAnsi"/>
        </w:rPr>
      </w:pPr>
      <w:proofErr w:type="spellStart"/>
      <w:proofErr w:type="gramStart"/>
      <w:r w:rsidRPr="007431E6">
        <w:rPr>
          <w:rFonts w:cstheme="minorHAnsi"/>
        </w:rPr>
        <w:t>innuMIX</w:t>
      </w:r>
      <w:proofErr w:type="spellEnd"/>
      <w:proofErr w:type="gramEnd"/>
      <w:r w:rsidRPr="007431E6">
        <w:rPr>
          <w:rFonts w:cstheme="minorHAnsi"/>
        </w:rPr>
        <w:t xml:space="preserve"> qPCR </w:t>
      </w:r>
      <w:proofErr w:type="spellStart"/>
      <w:r w:rsidRPr="007431E6">
        <w:rPr>
          <w:rFonts w:cstheme="minorHAnsi"/>
        </w:rPr>
        <w:t>SyGreen</w:t>
      </w:r>
      <w:proofErr w:type="spellEnd"/>
      <w:r w:rsidRPr="007431E6">
        <w:rPr>
          <w:rFonts w:cstheme="minorHAnsi"/>
        </w:rPr>
        <w:t xml:space="preserve"> Sensitive (845-AS-1310200, </w:t>
      </w:r>
      <w:proofErr w:type="spellStart"/>
      <w:r w:rsidRPr="007431E6">
        <w:rPr>
          <w:rFonts w:cstheme="minorHAnsi"/>
        </w:rPr>
        <w:t>Analytik</w:t>
      </w:r>
      <w:proofErr w:type="spellEnd"/>
      <w:r w:rsidRPr="007431E6">
        <w:rPr>
          <w:rFonts w:cstheme="minorHAnsi"/>
        </w:rPr>
        <w:t xml:space="preserve"> Jena, Jena, Germany) was used on a </w:t>
      </w:r>
      <w:proofErr w:type="spellStart"/>
      <w:r w:rsidRPr="007431E6">
        <w:rPr>
          <w:rFonts w:cstheme="minorHAnsi"/>
        </w:rPr>
        <w:t>qTOWER</w:t>
      </w:r>
      <w:proofErr w:type="spellEnd"/>
      <w:r w:rsidRPr="007431E6">
        <w:rPr>
          <w:rFonts w:cstheme="minorHAnsi"/>
        </w:rPr>
        <w:t xml:space="preserve"> 3 G touch thermal cycler (</w:t>
      </w:r>
      <w:proofErr w:type="spellStart"/>
      <w:r w:rsidRPr="007431E6">
        <w:rPr>
          <w:rFonts w:cstheme="minorHAnsi"/>
        </w:rPr>
        <w:t>Analytik</w:t>
      </w:r>
      <w:proofErr w:type="spellEnd"/>
      <w:r w:rsidRPr="007431E6">
        <w:rPr>
          <w:rFonts w:cstheme="minorHAnsi"/>
        </w:rPr>
        <w:t xml:space="preserve"> Jena) for quantitative PCR (qPCR). </w:t>
      </w:r>
      <w:proofErr w:type="gramStart"/>
      <w:r w:rsidRPr="007431E6">
        <w:rPr>
          <w:rFonts w:cstheme="minorHAnsi"/>
        </w:rPr>
        <w:t>qPCR</w:t>
      </w:r>
      <w:proofErr w:type="gramEnd"/>
      <w:r w:rsidRPr="007431E6">
        <w:rPr>
          <w:rFonts w:cstheme="minorHAnsi"/>
        </w:rPr>
        <w:t xml:space="preserve"> primers were designed with NCBIs </w:t>
      </w:r>
      <w:proofErr w:type="spellStart"/>
      <w:r w:rsidRPr="007431E6">
        <w:rPr>
          <w:rFonts w:cstheme="minorHAnsi"/>
        </w:rPr>
        <w:t>PrimerBLAST</w:t>
      </w:r>
      <w:proofErr w:type="spellEnd"/>
      <w:r w:rsidRPr="007431E6">
        <w:rPr>
          <w:rFonts w:cstheme="minorHAnsi"/>
        </w:rPr>
        <w:t xml:space="preserve"> (https://www.ncbi.nlm.nih.gov/tools/primer-blast/). For mRNA specificity, qPCR primers were designed to span an exon-exon junction where possible. Primers were tested with no template controls, original RNA, and melt curve analysis. Primer sequences are listed in Table S</w:t>
      </w:r>
      <w:r w:rsidR="00300479">
        <w:rPr>
          <w:rFonts w:cstheme="minorHAnsi"/>
        </w:rPr>
        <w:t>4</w:t>
      </w:r>
      <w:r w:rsidRPr="007431E6">
        <w:rPr>
          <w:rFonts w:cstheme="minorHAnsi"/>
        </w:rPr>
        <w:t xml:space="preserve">. qPCR output files were analyzed in </w:t>
      </w:r>
      <w:proofErr w:type="spellStart"/>
      <w:r w:rsidRPr="007431E6">
        <w:rPr>
          <w:rFonts w:cstheme="minorHAnsi"/>
        </w:rPr>
        <w:t>qPCRsoft</w:t>
      </w:r>
      <w:proofErr w:type="spellEnd"/>
      <w:r w:rsidRPr="007431E6">
        <w:rPr>
          <w:rFonts w:cstheme="minorHAnsi"/>
        </w:rPr>
        <w:t xml:space="preserve"> 4.0.8.0 (</w:t>
      </w:r>
      <w:proofErr w:type="spellStart"/>
      <w:r w:rsidRPr="007431E6">
        <w:rPr>
          <w:rFonts w:cstheme="minorHAnsi"/>
        </w:rPr>
        <w:t>Analytik</w:t>
      </w:r>
      <w:proofErr w:type="spellEnd"/>
      <w:r w:rsidRPr="007431E6">
        <w:rPr>
          <w:rFonts w:cstheme="minorHAnsi"/>
        </w:rPr>
        <w:t xml:space="preserve"> Jena) and normalized expressions (</w:t>
      </w:r>
      <w:proofErr w:type="spellStart"/>
      <w:r w:rsidRPr="007431E6">
        <w:rPr>
          <w:rFonts w:cstheme="minorHAnsi"/>
        </w:rPr>
        <w:t>ddCt</w:t>
      </w:r>
      <w:proofErr w:type="spellEnd"/>
      <w:r w:rsidRPr="007431E6">
        <w:rPr>
          <w:rFonts w:cstheme="minorHAnsi"/>
        </w:rPr>
        <w:t xml:space="preserve"> algorithm) were calculated using the reference genes </w:t>
      </w:r>
      <w:proofErr w:type="spellStart"/>
      <w:r w:rsidRPr="007431E6">
        <w:rPr>
          <w:rFonts w:cstheme="minorHAnsi"/>
          <w:i/>
          <w:iCs/>
        </w:rPr>
        <w:t>Gak</w:t>
      </w:r>
      <w:proofErr w:type="spellEnd"/>
      <w:r w:rsidRPr="007431E6">
        <w:rPr>
          <w:rFonts w:cstheme="minorHAnsi"/>
        </w:rPr>
        <w:t xml:space="preserve">, </w:t>
      </w:r>
      <w:r w:rsidRPr="007431E6">
        <w:rPr>
          <w:rFonts w:cstheme="minorHAnsi"/>
          <w:i/>
          <w:iCs/>
        </w:rPr>
        <w:t>Mrpl46</w:t>
      </w:r>
      <w:r w:rsidRPr="007431E6">
        <w:rPr>
          <w:rFonts w:cstheme="minorHAnsi"/>
        </w:rPr>
        <w:t xml:space="preserve">, and </w:t>
      </w:r>
      <w:r w:rsidRPr="007431E6">
        <w:rPr>
          <w:rFonts w:cstheme="minorHAnsi"/>
          <w:i/>
          <w:iCs/>
        </w:rPr>
        <w:t xml:space="preserve">Srp72 </w:t>
      </w:r>
      <w:r w:rsidRPr="007431E6">
        <w:rPr>
          <w:rFonts w:cstheme="minorHAnsi"/>
          <w:i/>
          <w:iCs/>
        </w:rPr>
        <w:fldChar w:fldCharType="begin"/>
      </w:r>
      <w:r w:rsidR="00C818B0" w:rsidRPr="007431E6">
        <w:rPr>
          <w:rFonts w:cstheme="minorHAnsi"/>
          <w:i/>
          <w:iCs/>
        </w:rPr>
        <w:instrText xml:space="preserve"> ADDIN ZOTERO_ITEM CSL_CITATION {"citationID":"YFIz2k2L","properties":{"formattedCitation":"(17)","plainCitation":"(17)","noteIndex":0},"citationItems":[{"id":455,"uris":["http://zotero.org/users/5941559/items/6IBSD6JQ"],"uri":["http://zotero.org/users/5941559/items/6IBSD6JQ"],"itemData":{"id":455,"type":"article-journal","abstract":"BACKGROUND: RT-qPCR is a sensitive and increasingly used method for gene expression quantification. To normalize RT-qPCR measurements between samples, most laboratories use endogenous reference genes as internal controls. There is increasing evidence, however, that the expression of commonly used reference genes can vary significantly in certain contexts.\nRESULTS: Using the Genevestigator database of normalized and well-annotated microarray experiments, we describe the expression stability characteristics of the transciptomes of several organisms. The results show that a) no genes are universally stable, b) most commonly used reference genes yield very high transcript abundances as compared to the entire transcriptome, and c) for each biological context a subset of stable genes exists that has smaller variance than commonly used reference genes or genes that were selected for their stability across all conditions.\nCONCLUSION: We therefore propose the normalization of RT-qPCR data using reference genes that are specifically chosen for the conditions under study. RefGenes is a community tool developed for that purpose. Validation RT-qPCR experiments across several organisms showed that the candidates proposed by RefGenes generally outperformed commonly used reference genes. RefGenes is available within Genevestigator at http://www.genevestigator.com.","container-title":"BMC genomics","DOI":"10.1186/1471-2164-12-156","ISSN":"1471-2164","journalAbbreviation":"BMC Genomics","language":"eng","note":"PMID: 21418615\nPMCID: PMC3072958","page":"156","source":"PubMed","title":"RefGenes: identification of reliable and condition specific reference genes for RT-qPCR data normalization","title-short":"RefGenes","volume":"12","author":[{"family":"Hruz","given":"Tomas"},{"family":"Wyss","given":"Markus"},{"family":"Docquier","given":"Mylene"},{"family":"Pfaffl","given":"Michael W."},{"family":"Masanetz","given":"Sabine"},{"family":"Borghi","given":"Lorenzo"},{"family":"Verbrugghe","given":"Phebe"},{"family":"Kalaydjieva","given":"Luba"},{"family":"Bleuler","given":"Stefan"},{"family":"Laule","given":"Oliver"},{"family":"Descombes","given":"Patrick"},{"family":"Gruissem","given":"Wilhelm"},{"family":"Zimmermann","given":"Philip"}],"issued":{"date-parts":[["2011",3,21]]}}}],"schema":"https://github.com/citation-style-language/schema/raw/master/csl-citation.json"} </w:instrText>
      </w:r>
      <w:r w:rsidRPr="007431E6">
        <w:rPr>
          <w:rFonts w:cstheme="minorHAnsi"/>
          <w:i/>
          <w:iCs/>
        </w:rPr>
        <w:fldChar w:fldCharType="separate"/>
      </w:r>
      <w:r w:rsidR="00C818B0" w:rsidRPr="007431E6">
        <w:rPr>
          <w:rFonts w:cstheme="minorHAnsi"/>
        </w:rPr>
        <w:t>(17)</w:t>
      </w:r>
      <w:r w:rsidRPr="007431E6">
        <w:rPr>
          <w:rFonts w:cstheme="minorHAnsi"/>
          <w:i/>
          <w:iCs/>
        </w:rPr>
        <w:fldChar w:fldCharType="end"/>
      </w:r>
      <w:r w:rsidRPr="007431E6">
        <w:rPr>
          <w:rFonts w:cstheme="minorHAnsi"/>
        </w:rPr>
        <w:t>.</w:t>
      </w:r>
    </w:p>
    <w:p w14:paraId="4EC8E603" w14:textId="77777777" w:rsidR="00CA2EEF" w:rsidRPr="007431E6" w:rsidRDefault="00CA2EEF" w:rsidP="00CA2EEF">
      <w:pPr>
        <w:pStyle w:val="Heading2"/>
        <w:rPr>
          <w:rFonts w:cstheme="minorHAnsi"/>
        </w:rPr>
      </w:pPr>
      <w:bookmarkStart w:id="12" w:name="sec:wkzgcbyji2a"/>
      <w:bookmarkEnd w:id="11"/>
      <w:r w:rsidRPr="007431E6">
        <w:rPr>
          <w:rFonts w:cstheme="minorHAnsi"/>
        </w:rPr>
        <w:lastRenderedPageBreak/>
        <w:t>In-situ-hybridization</w:t>
      </w:r>
    </w:p>
    <w:p w14:paraId="0C2CD1B7" w14:textId="2FF4F444" w:rsidR="00CA2EEF" w:rsidRPr="007431E6" w:rsidRDefault="00CA2EEF" w:rsidP="00CA2EEF">
      <w:pPr>
        <w:pStyle w:val="FirstParagraph"/>
        <w:rPr>
          <w:rFonts w:cstheme="minorHAnsi"/>
        </w:rPr>
      </w:pPr>
      <w:r w:rsidRPr="007431E6">
        <w:rPr>
          <w:rFonts w:cstheme="minorHAnsi"/>
        </w:rPr>
        <w:t xml:space="preserve">For RNA in situ hybridization (ISH), we used </w:t>
      </w:r>
      <w:proofErr w:type="spellStart"/>
      <w:r w:rsidRPr="007431E6">
        <w:rPr>
          <w:rFonts w:cstheme="minorHAnsi"/>
        </w:rPr>
        <w:t>RNAscope</w:t>
      </w:r>
      <w:proofErr w:type="spellEnd"/>
      <w:r w:rsidRPr="007431E6">
        <w:rPr>
          <w:rFonts w:cstheme="minorHAnsi"/>
        </w:rPr>
        <w:t xml:space="preserve"> 2.5 HD Red (322350, Advanced Cell Diagnostics) on FFPE tissue sections (3 </w:t>
      </w:r>
      <w:proofErr w:type="spellStart"/>
      <w:r w:rsidRPr="007431E6">
        <w:rPr>
          <w:rFonts w:cstheme="minorHAnsi"/>
        </w:rPr>
        <w:t>μm</w:t>
      </w:r>
      <w:proofErr w:type="spellEnd"/>
      <w:r w:rsidRPr="007431E6">
        <w:rPr>
          <w:rFonts w:cstheme="minorHAnsi"/>
        </w:rPr>
        <w:t>) according to the manufacturer’s protocols. ISH probes are listed in Table S</w:t>
      </w:r>
      <w:r w:rsidR="00300479">
        <w:rPr>
          <w:rFonts w:cstheme="minorHAnsi"/>
        </w:rPr>
        <w:t>5</w:t>
      </w:r>
      <w:r w:rsidRPr="007431E6">
        <w:rPr>
          <w:rFonts w:cstheme="minorHAnsi"/>
        </w:rPr>
        <w:t>.</w:t>
      </w:r>
    </w:p>
    <w:bookmarkEnd w:id="12"/>
    <w:p w14:paraId="2E761E0B" w14:textId="77777777" w:rsidR="00CA2EEF" w:rsidRPr="007431E6" w:rsidRDefault="00CA2EEF" w:rsidP="00CA2EEF">
      <w:pPr>
        <w:pStyle w:val="Heading2"/>
        <w:rPr>
          <w:rFonts w:cstheme="minorHAnsi"/>
        </w:rPr>
      </w:pPr>
      <w:r w:rsidRPr="007431E6">
        <w:rPr>
          <w:rFonts w:cstheme="minorHAnsi"/>
        </w:rPr>
        <w:t>Enzyme-linked Immunosorbent Assay (ELISA)</w:t>
      </w:r>
    </w:p>
    <w:p w14:paraId="046B4732" w14:textId="7B0AA527" w:rsidR="00CA2EEF" w:rsidRDefault="00CA2EEF" w:rsidP="00CA2EEF">
      <w:pPr>
        <w:pStyle w:val="FirstParagraph"/>
        <w:rPr>
          <w:rFonts w:cstheme="minorHAnsi"/>
        </w:rPr>
      </w:pPr>
      <w:r w:rsidRPr="007431E6">
        <w:rPr>
          <w:rFonts w:cstheme="minorHAnsi"/>
        </w:rPr>
        <w:t xml:space="preserve">Serum was analyzed using the placenta growth factor isoform 2 (PlGF-2) </w:t>
      </w:r>
      <w:proofErr w:type="spellStart"/>
      <w:r w:rsidRPr="007431E6">
        <w:rPr>
          <w:rFonts w:cstheme="minorHAnsi"/>
        </w:rPr>
        <w:t>Quantikine</w:t>
      </w:r>
      <w:proofErr w:type="spellEnd"/>
      <w:r w:rsidRPr="007431E6">
        <w:rPr>
          <w:rFonts w:cstheme="minorHAnsi"/>
        </w:rPr>
        <w:t xml:space="preserve"> ELISA Kit (MP200, R&amp;D Systems) according to the manufacturer’s instructions. In mice, PlGF-2 is the single isoform that is encoded by the </w:t>
      </w:r>
      <w:proofErr w:type="spellStart"/>
      <w:r w:rsidRPr="007431E6">
        <w:rPr>
          <w:rFonts w:cstheme="minorHAnsi"/>
          <w:i/>
        </w:rPr>
        <w:t>Pgf</w:t>
      </w:r>
      <w:proofErr w:type="spellEnd"/>
      <w:r w:rsidRPr="007431E6">
        <w:rPr>
          <w:rFonts w:cstheme="minorHAnsi"/>
        </w:rPr>
        <w:t xml:space="preserve"> gene </w:t>
      </w:r>
      <w:r w:rsidRPr="007431E6">
        <w:rPr>
          <w:rFonts w:cstheme="minorHAnsi"/>
        </w:rPr>
        <w:fldChar w:fldCharType="begin"/>
      </w:r>
      <w:r w:rsidR="00C818B0" w:rsidRPr="007431E6">
        <w:rPr>
          <w:rFonts w:cstheme="minorHAnsi"/>
        </w:rPr>
        <w:instrText xml:space="preserve"> ADDIN ZOTERO_ITEM CSL_CITATION {"citationID":"VjT7LDAf","properties":{"formattedCitation":"(18)","plainCitation":"(18)","noteIndex":0},"citationItems":[{"id":2097,"uris":["http://zotero.org/users/5941559/items/CYSC8QEW"],"uri":["http://zotero.org/users/5941559/items/CYSC8QEW"],"itemData":{"id":2097,"type":"article-journal","abstract":"Angiogenesis is a complex biological phenomenon crucial for a correct embryonic development and for post-natal growth. In adult life, it is a tightly regulated process confined to the uterus and ovary during the different phases of the menstrual cycle and to the heart and skeletal muscles after prolonged and sustained physical exercise. Conversly, angiogenesis is one of the major pathological changes associated with several complex diseases like cancer, atherosclerosis, arthritis, diabetic retinopathy and age-related macular degeneration. Among the several molecular players involved in angiogenesis, some members of VEGF family, VEGF-A, VEGF-B and placenta growth factor (PlGF), and the related receptors VEGF receptor 1 (VEGFR-1, also known as Flt-1) and VEGF receptor 2 (VEGFR-2, also known as Flk-1 in mice and KDR in human) have a decisive role. In this review, we describe the discovery and molecular characteristics of PlGF, and discuss the biological role of this growth factor in physiological and pathological conditions.","container-title":"Experimental &amp; Molecular Medicine","DOI":"10.3858/emm.2012.44.1.025","ISSN":"1226-3613","issue":"1","journalAbbreviation":"Exp Mol Med","note":"PMID: 22228176\nPMCID: PMC3277892","page":"1-9","source":"PubMed Central","title":"The discovery of placenta growth factor and its biological activity","volume":"44","author":[{"family":"De Falco","given":"Sandro"}],"issued":{"date-parts":[["2012",1,31]]}}}],"schema":"https://github.com/citation-style-language/schema/raw/master/csl-citation.json"} </w:instrText>
      </w:r>
      <w:r w:rsidRPr="007431E6">
        <w:rPr>
          <w:rFonts w:cstheme="minorHAnsi"/>
        </w:rPr>
        <w:fldChar w:fldCharType="separate"/>
      </w:r>
      <w:r w:rsidR="00C818B0" w:rsidRPr="007431E6">
        <w:rPr>
          <w:rFonts w:cstheme="minorHAnsi"/>
        </w:rPr>
        <w:t>(18)</w:t>
      </w:r>
      <w:r w:rsidRPr="007431E6">
        <w:rPr>
          <w:rFonts w:cstheme="minorHAnsi"/>
        </w:rPr>
        <w:fldChar w:fldCharType="end"/>
      </w:r>
      <w:r w:rsidRPr="007431E6">
        <w:rPr>
          <w:rFonts w:cstheme="minorHAnsi"/>
        </w:rPr>
        <w:t>. Optical densities were detected with an Infinite 200 plate reader (</w:t>
      </w:r>
      <w:proofErr w:type="spellStart"/>
      <w:r w:rsidRPr="007431E6">
        <w:rPr>
          <w:rFonts w:cstheme="minorHAnsi"/>
        </w:rPr>
        <w:t>Tecan</w:t>
      </w:r>
      <w:proofErr w:type="spellEnd"/>
      <w:r w:rsidRPr="007431E6">
        <w:rPr>
          <w:rFonts w:cstheme="minorHAnsi"/>
        </w:rPr>
        <w:t xml:space="preserve"> Group) set to 450 nm and a wavelength correction set to 540 nm.</w:t>
      </w:r>
    </w:p>
    <w:p w14:paraId="4D6FA76F" w14:textId="77777777" w:rsidR="002E1CF0" w:rsidRPr="00EB0EE2" w:rsidRDefault="002E1CF0" w:rsidP="002E1CF0">
      <w:pPr>
        <w:pStyle w:val="BodyText"/>
        <w:rPr>
          <w:b/>
        </w:rPr>
      </w:pPr>
      <w:r w:rsidRPr="00EB0EE2">
        <w:rPr>
          <w:b/>
          <w:i/>
        </w:rPr>
        <w:t>In vitro</w:t>
      </w:r>
      <w:r w:rsidRPr="00EB0EE2">
        <w:rPr>
          <w:b/>
        </w:rPr>
        <w:t xml:space="preserve"> stimulation of LSEC</w:t>
      </w:r>
    </w:p>
    <w:p w14:paraId="626EBDAE" w14:textId="445DE546" w:rsidR="002E1CF0" w:rsidRDefault="002E1CF0">
      <w:pPr>
        <w:pStyle w:val="BodyText"/>
      </w:pPr>
      <w:r>
        <w:t>For stimulation of primary LSEC with BMP-9</w:t>
      </w:r>
      <w:r w:rsidR="00A8587D">
        <w:t xml:space="preserve"> (</w:t>
      </w:r>
      <w:r w:rsidR="00A8587D" w:rsidRPr="00A8587D">
        <w:t>5566-BP-010</w:t>
      </w:r>
      <w:r w:rsidR="00A8587D">
        <w:t>, R&amp;D Systems</w:t>
      </w:r>
      <w:r w:rsidR="00A8587D" w:rsidRPr="00A8587D">
        <w:t>)</w:t>
      </w:r>
      <w:r>
        <w:t xml:space="preserve">, BMP-10 </w:t>
      </w:r>
      <w:r w:rsidR="00A8587D" w:rsidRPr="00A8587D">
        <w:t>(6038-BP-025</w:t>
      </w:r>
      <w:r w:rsidR="00A8587D">
        <w:t>, R&amp;D Systems</w:t>
      </w:r>
      <w:r w:rsidR="00A8587D" w:rsidRPr="00A8587D">
        <w:t>)</w:t>
      </w:r>
      <w:proofErr w:type="gramStart"/>
      <w:r w:rsidR="006C1EE1">
        <w:t xml:space="preserve">, </w:t>
      </w:r>
      <w:r>
        <w:t xml:space="preserve"> ALK</w:t>
      </w:r>
      <w:proofErr w:type="gramEnd"/>
      <w:r>
        <w:t>-1 Fc</w:t>
      </w:r>
      <w:r w:rsidR="00A8587D">
        <w:t xml:space="preserve"> </w:t>
      </w:r>
      <w:r w:rsidR="00A8587D" w:rsidRPr="00A8587D">
        <w:t>(770-MA-100</w:t>
      </w:r>
      <w:r w:rsidR="00A8587D">
        <w:t>, R&amp;D Systems</w:t>
      </w:r>
      <w:r w:rsidR="00A8587D" w:rsidRPr="00A8587D">
        <w:t>)</w:t>
      </w:r>
      <w:r w:rsidR="00232647">
        <w:t>, TGF-</w:t>
      </w:r>
      <w:r w:rsidR="00232647">
        <w:rPr>
          <w:rFonts w:cstheme="minorHAnsi"/>
        </w:rPr>
        <w:t>β1 (</w:t>
      </w:r>
      <w:r w:rsidR="00232647" w:rsidRPr="00232647">
        <w:rPr>
          <w:rFonts w:cstheme="minorHAnsi"/>
        </w:rPr>
        <w:t>100-21C</w:t>
      </w:r>
      <w:r w:rsidR="00232647">
        <w:rPr>
          <w:rFonts w:cstheme="minorHAnsi"/>
        </w:rPr>
        <w:t xml:space="preserve">, </w:t>
      </w:r>
      <w:proofErr w:type="spellStart"/>
      <w:r w:rsidR="00232647">
        <w:rPr>
          <w:rFonts w:cstheme="minorHAnsi"/>
        </w:rPr>
        <w:t>PeproTech</w:t>
      </w:r>
      <w:proofErr w:type="spellEnd"/>
      <w:r w:rsidR="00232647">
        <w:rPr>
          <w:rFonts w:cstheme="minorHAnsi"/>
        </w:rPr>
        <w:t>) or inhibition of ID’s using AGX51 (</w:t>
      </w:r>
      <w:r w:rsidR="00232647" w:rsidRPr="00232647">
        <w:rPr>
          <w:rFonts w:cstheme="minorHAnsi"/>
        </w:rPr>
        <w:t>HY129241-5mg</w:t>
      </w:r>
      <w:r w:rsidR="00232647">
        <w:rPr>
          <w:rFonts w:cstheme="minorHAnsi"/>
        </w:rPr>
        <w:t xml:space="preserve">, </w:t>
      </w:r>
      <w:proofErr w:type="spellStart"/>
      <w:r w:rsidR="00232647" w:rsidRPr="00232647">
        <w:rPr>
          <w:rFonts w:cstheme="minorHAnsi"/>
        </w:rPr>
        <w:t>Hycultec</w:t>
      </w:r>
      <w:proofErr w:type="spellEnd"/>
      <w:r w:rsidR="00232647">
        <w:rPr>
          <w:rFonts w:cstheme="minorHAnsi"/>
        </w:rPr>
        <w:t>)</w:t>
      </w:r>
      <w:r>
        <w:t xml:space="preserve"> </w:t>
      </w:r>
      <w:r w:rsidRPr="00EB0EE2">
        <w:rPr>
          <w:i/>
        </w:rPr>
        <w:t>in vitro</w:t>
      </w:r>
      <w:r>
        <w:t>, first</w:t>
      </w:r>
      <w:r w:rsidR="008836DF">
        <w:t>,</w:t>
      </w:r>
      <w:r>
        <w:t xml:space="preserve"> LSEC of wildtype mice were isolated as described above. After isolation</w:t>
      </w:r>
      <w:r w:rsidR="00E57FFD">
        <w:t>,</w:t>
      </w:r>
      <w:r>
        <w:t xml:space="preserve"> </w:t>
      </w:r>
      <w:r w:rsidRPr="00AC18C1">
        <w:t>cells were washed once in PBS and 1.5 x</w:t>
      </w:r>
      <w:r>
        <w:t xml:space="preserve"> </w:t>
      </w:r>
      <w:r w:rsidRPr="00AC18C1">
        <w:t>10</w:t>
      </w:r>
      <w:r w:rsidRPr="00AC18C1">
        <w:rPr>
          <w:vertAlign w:val="superscript"/>
        </w:rPr>
        <w:t>6</w:t>
      </w:r>
      <w:r w:rsidRPr="00AC18C1">
        <w:t xml:space="preserve"> cells/well were </w:t>
      </w:r>
      <w:r w:rsidR="00E57FFD">
        <w:t>seeded</w:t>
      </w:r>
      <w:r w:rsidRPr="00AC18C1">
        <w:t xml:space="preserve"> in Collagen IV coated 6-well plate</w:t>
      </w:r>
      <w:r w:rsidR="00E57FFD">
        <w:t>s</w:t>
      </w:r>
      <w:r w:rsidR="00A8587D">
        <w:t xml:space="preserve"> (</w:t>
      </w:r>
      <w:r w:rsidR="00A8587D" w:rsidRPr="00A8587D">
        <w:t>354428</w:t>
      </w:r>
      <w:r w:rsidR="00A8587D">
        <w:t xml:space="preserve">, </w:t>
      </w:r>
      <w:proofErr w:type="spellStart"/>
      <w:r w:rsidR="00A8587D" w:rsidRPr="00A8587D">
        <w:t>neoLab</w:t>
      </w:r>
      <w:proofErr w:type="spellEnd"/>
      <w:r w:rsidR="00A8587D" w:rsidRPr="00A8587D">
        <w:t xml:space="preserve"> </w:t>
      </w:r>
      <w:proofErr w:type="spellStart"/>
      <w:r w:rsidR="00A8587D" w:rsidRPr="00A8587D">
        <w:t>Migge</w:t>
      </w:r>
      <w:proofErr w:type="spellEnd"/>
      <w:r w:rsidR="00A8587D">
        <w:t>)</w:t>
      </w:r>
      <w:r w:rsidRPr="00AC18C1">
        <w:t xml:space="preserve"> at 37</w:t>
      </w:r>
      <w:r w:rsidR="00EB16BB">
        <w:t> </w:t>
      </w:r>
      <w:r w:rsidRPr="00AC18C1">
        <w:t>°C and 5 % CO</w:t>
      </w:r>
      <w:r w:rsidRPr="00B2204C">
        <w:rPr>
          <w:vertAlign w:val="subscript"/>
        </w:rPr>
        <w:t>2</w:t>
      </w:r>
      <w:r>
        <w:t xml:space="preserve"> </w:t>
      </w:r>
      <w:r w:rsidRPr="00AC18C1">
        <w:t xml:space="preserve">in pre-warmed </w:t>
      </w:r>
      <w:r>
        <w:t>h</w:t>
      </w:r>
      <w:r w:rsidRPr="00AC18C1">
        <w:t xml:space="preserve">igh </w:t>
      </w:r>
      <w:r>
        <w:t>g</w:t>
      </w:r>
      <w:r w:rsidRPr="00AC18C1">
        <w:t xml:space="preserve">lucose DMEM with </w:t>
      </w:r>
      <w:proofErr w:type="spellStart"/>
      <w:r w:rsidRPr="00AC18C1">
        <w:t>GlutaMAX</w:t>
      </w:r>
      <w:proofErr w:type="spellEnd"/>
      <w:r w:rsidRPr="00AC18C1">
        <w:t>™</w:t>
      </w:r>
      <w:r w:rsidR="00B8644B">
        <w:t xml:space="preserve"> (</w:t>
      </w:r>
      <w:r w:rsidR="00E359AC" w:rsidRPr="00B8644B">
        <w:t>61965059</w:t>
      </w:r>
      <w:r w:rsidR="00E359AC">
        <w:t xml:space="preserve">, </w:t>
      </w:r>
      <w:r w:rsidR="00B8644B" w:rsidRPr="00B8644B">
        <w:t>Life Technologies</w:t>
      </w:r>
      <w:r w:rsidR="00B8644B">
        <w:t>)</w:t>
      </w:r>
      <w:r w:rsidR="00E57FFD">
        <w:t>. For the first 24</w:t>
      </w:r>
      <w:r w:rsidR="00EB16BB">
        <w:t> h,</w:t>
      </w:r>
      <w:r w:rsidR="00E57FFD">
        <w:t xml:space="preserve"> c</w:t>
      </w:r>
      <w:r w:rsidRPr="00AC18C1">
        <w:t xml:space="preserve">ulture </w:t>
      </w:r>
      <w:r>
        <w:t>m</w:t>
      </w:r>
      <w:r w:rsidRPr="00AC18C1">
        <w:t>edium</w:t>
      </w:r>
      <w:r>
        <w:t xml:space="preserve"> </w:t>
      </w:r>
      <w:r w:rsidR="00E57FFD">
        <w:t xml:space="preserve">was </w:t>
      </w:r>
      <w:r w:rsidRPr="00AC18C1">
        <w:t>supplemented with 10</w:t>
      </w:r>
      <w:r>
        <w:t> </w:t>
      </w:r>
      <w:r w:rsidRPr="00AC18C1">
        <w:t>%</w:t>
      </w:r>
      <w:r>
        <w:t> </w:t>
      </w:r>
      <w:r w:rsidR="00A8587D">
        <w:t>fetal bovine serum (FBS)</w:t>
      </w:r>
      <w:r w:rsidR="00A8587D" w:rsidRPr="00A8587D">
        <w:t xml:space="preserve"> </w:t>
      </w:r>
      <w:r w:rsidR="00A8587D">
        <w:t>(</w:t>
      </w:r>
      <w:r w:rsidR="00A8587D" w:rsidRPr="00A8587D">
        <w:t>10270106</w:t>
      </w:r>
      <w:r w:rsidR="00A8587D">
        <w:t xml:space="preserve">, </w:t>
      </w:r>
      <w:r w:rsidR="00A8587D" w:rsidRPr="00A8587D">
        <w:t>Life Technologies</w:t>
      </w:r>
      <w:r w:rsidR="00A8587D">
        <w:t>)</w:t>
      </w:r>
      <w:r>
        <w:t>,</w:t>
      </w:r>
      <w:r w:rsidRPr="00AC18C1">
        <w:t xml:space="preserve"> 1 % </w:t>
      </w:r>
      <w:r w:rsidR="00A8587D" w:rsidRPr="00A8587D">
        <w:t>Penicillin-Streptomycin</w:t>
      </w:r>
      <w:r w:rsidR="00A8587D">
        <w:t xml:space="preserve"> (</w:t>
      </w:r>
      <w:r w:rsidR="00A8587D" w:rsidRPr="00A8587D">
        <w:t>15140122</w:t>
      </w:r>
      <w:r w:rsidR="00A8587D">
        <w:t xml:space="preserve">, </w:t>
      </w:r>
      <w:proofErr w:type="spellStart"/>
      <w:r w:rsidR="00A8587D" w:rsidRPr="00A8587D">
        <w:t>Thermo</w:t>
      </w:r>
      <w:proofErr w:type="spellEnd"/>
      <w:r w:rsidR="00A8587D" w:rsidRPr="00A8587D">
        <w:t xml:space="preserve"> Fisher Scientific</w:t>
      </w:r>
      <w:r w:rsidR="00A8587D">
        <w:t>)</w:t>
      </w:r>
      <w:r w:rsidR="00874F39">
        <w:t>,</w:t>
      </w:r>
      <w:r w:rsidRPr="00AC18C1">
        <w:t xml:space="preserve"> and </w:t>
      </w:r>
      <w:r w:rsidR="00EB16BB">
        <w:t xml:space="preserve">either </w:t>
      </w:r>
      <w:r>
        <w:t>no stimulant,</w:t>
      </w:r>
      <w:r w:rsidR="00A35DD7">
        <w:t xml:space="preserve"> DMSO,</w:t>
      </w:r>
      <w:r>
        <w:t xml:space="preserve"> BMP-9</w:t>
      </w:r>
      <w:r w:rsidR="000F49ED">
        <w:t xml:space="preserve"> (</w:t>
      </w:r>
      <w:r w:rsidR="00962C76" w:rsidRPr="00962C76">
        <w:t>10 ng/mL</w:t>
      </w:r>
      <w:r w:rsidR="00962C76">
        <w:t>)</w:t>
      </w:r>
      <w:r>
        <w:t>, BMP-10</w:t>
      </w:r>
      <w:r w:rsidR="00962C76">
        <w:t xml:space="preserve"> (90</w:t>
      </w:r>
      <w:r w:rsidR="00962C76" w:rsidRPr="00962C76">
        <w:t xml:space="preserve"> ng/mL</w:t>
      </w:r>
      <w:r w:rsidR="00962C76">
        <w:t>)</w:t>
      </w:r>
      <w:r w:rsidR="00E57FFD">
        <w:t>,</w:t>
      </w:r>
      <w:r>
        <w:t xml:space="preserve"> ALK-1 Fc</w:t>
      </w:r>
      <w:r w:rsidR="00962C76">
        <w:t xml:space="preserve"> (</w:t>
      </w:r>
      <w:r w:rsidR="00962C76" w:rsidRPr="00962C76">
        <w:t>200 ng/mL</w:t>
      </w:r>
      <w:r w:rsidR="00962C76">
        <w:t>)</w:t>
      </w:r>
      <w:r w:rsidR="00232647">
        <w:t>, TGF-</w:t>
      </w:r>
      <w:r w:rsidR="00232647">
        <w:rPr>
          <w:rFonts w:cstheme="minorHAnsi"/>
        </w:rPr>
        <w:t>β1 (</w:t>
      </w:r>
      <w:proofErr w:type="gramStart"/>
      <w:r w:rsidR="00232647">
        <w:rPr>
          <w:rFonts w:cstheme="minorHAnsi"/>
        </w:rPr>
        <w:t>5</w:t>
      </w:r>
      <w:proofErr w:type="gramEnd"/>
      <w:r w:rsidR="00232647">
        <w:rPr>
          <w:rFonts w:cstheme="minorHAnsi"/>
        </w:rPr>
        <w:t xml:space="preserve"> ng/mL)</w:t>
      </w:r>
      <w:r w:rsidR="00A35DD7">
        <w:rPr>
          <w:rFonts w:cstheme="minorHAnsi"/>
        </w:rPr>
        <w:t xml:space="preserve"> or BMP-9 and AGX51 (10 µM)</w:t>
      </w:r>
      <w:r w:rsidRPr="00AC18C1">
        <w:t>.</w:t>
      </w:r>
      <w:r>
        <w:t xml:space="preserve"> After 24 h</w:t>
      </w:r>
      <w:r w:rsidR="007F7826">
        <w:t>,</w:t>
      </w:r>
      <w:r>
        <w:t xml:space="preserve"> the</w:t>
      </w:r>
      <w:r w:rsidR="001861CA">
        <w:t xml:space="preserve"> culture</w:t>
      </w:r>
      <w:r>
        <w:t xml:space="preserve"> medium was </w:t>
      </w:r>
      <w:r w:rsidR="00C6230A">
        <w:t xml:space="preserve">replaced </w:t>
      </w:r>
      <w:r>
        <w:t xml:space="preserve">completely and the cells were stimulated for another 24 h in starvation medium </w:t>
      </w:r>
      <w:r w:rsidR="003837E8">
        <w:t>(0</w:t>
      </w:r>
      <w:proofErr w:type="gramStart"/>
      <w:r w:rsidR="003837E8">
        <w:t>,5</w:t>
      </w:r>
      <w:proofErr w:type="gramEnd"/>
      <w:r w:rsidR="003837E8">
        <w:t xml:space="preserve"> % FBS) </w:t>
      </w:r>
      <w:r>
        <w:t>containing</w:t>
      </w:r>
      <w:r w:rsidR="003837E8">
        <w:t xml:space="preserve"> the</w:t>
      </w:r>
      <w:r w:rsidR="001E4775">
        <w:t xml:space="preserve"> same</w:t>
      </w:r>
      <w:r w:rsidR="003837E8">
        <w:t xml:space="preserve"> above-mentioned stimulants</w:t>
      </w:r>
      <w:r>
        <w:t xml:space="preserve">. </w:t>
      </w:r>
      <w:proofErr w:type="gramStart"/>
      <w:r>
        <w:t>48 h</w:t>
      </w:r>
      <w:r w:rsidR="007F7826">
        <w:t xml:space="preserve"> after seeding</w:t>
      </w:r>
      <w:r w:rsidR="00E57FFD">
        <w:t>,</w:t>
      </w:r>
      <w:r>
        <w:t xml:space="preserve"> the cells were washed twice with PBS and </w:t>
      </w:r>
      <w:r w:rsidR="00CF4EE1">
        <w:t xml:space="preserve">cell </w:t>
      </w:r>
      <w:r w:rsidRPr="00695CBD">
        <w:t>lysis buffer was added</w:t>
      </w:r>
      <w:r>
        <w:t xml:space="preserve"> using </w:t>
      </w:r>
      <w:r w:rsidRPr="00695CBD">
        <w:t xml:space="preserve">the </w:t>
      </w:r>
      <w:proofErr w:type="spellStart"/>
      <w:r w:rsidRPr="00695CBD">
        <w:t>innuPREP</w:t>
      </w:r>
      <w:proofErr w:type="spellEnd"/>
      <w:r w:rsidRPr="00695CBD">
        <w:t xml:space="preserve"> RNA Mini Kit 2.0 (845-KS-2040250, </w:t>
      </w:r>
      <w:proofErr w:type="spellStart"/>
      <w:r w:rsidRPr="00695CBD">
        <w:t>Analytik</w:t>
      </w:r>
      <w:proofErr w:type="spellEnd"/>
      <w:r w:rsidRPr="00695CBD">
        <w:t xml:space="preserve"> Jena)</w:t>
      </w:r>
      <w:r>
        <w:t>.</w:t>
      </w:r>
      <w:proofErr w:type="gramEnd"/>
      <w:r>
        <w:t xml:space="preserve"> T</w:t>
      </w:r>
      <w:r w:rsidRPr="00695CBD">
        <w:t>he adherent cells were detached using a cell scraper and transferred to a reaction tube</w:t>
      </w:r>
      <w:r>
        <w:t xml:space="preserve"> followed by RNA isolation</w:t>
      </w:r>
      <w:r w:rsidR="00CF4EE1">
        <w:t xml:space="preserve"> according to the manufacturer’s protocol.</w:t>
      </w:r>
    </w:p>
    <w:p w14:paraId="3638C4DF" w14:textId="4AE63B03" w:rsidR="003F368E" w:rsidRDefault="003F368E" w:rsidP="003F368E">
      <w:pPr>
        <w:pStyle w:val="Heading2"/>
      </w:pPr>
      <w:r>
        <w:lastRenderedPageBreak/>
        <w:t xml:space="preserve">Genetic </w:t>
      </w:r>
      <w:r w:rsidR="00F80D15">
        <w:t>analysis</w:t>
      </w:r>
      <w:r>
        <w:t xml:space="preserve"> of human HHT samples</w:t>
      </w:r>
    </w:p>
    <w:p w14:paraId="3101DCC2" w14:textId="4AD571B4" w:rsidR="003F368E" w:rsidRPr="003F368E" w:rsidRDefault="003F368E" w:rsidP="00520BEE">
      <w:r>
        <w:t xml:space="preserve">Genetic </w:t>
      </w:r>
      <w:r w:rsidR="00F80D15">
        <w:t>analysis</w:t>
      </w:r>
      <w:r w:rsidR="003159D6">
        <w:t xml:space="preserve"> of human HHT samples</w:t>
      </w:r>
      <w:r>
        <w:t xml:space="preserve"> was in accordance with the </w:t>
      </w:r>
      <w:r w:rsidRPr="003F368E">
        <w:t>approval by the local ethics committee (</w:t>
      </w:r>
      <w:proofErr w:type="spellStart"/>
      <w:r w:rsidRPr="003F368E">
        <w:t>Ethik-Kommission</w:t>
      </w:r>
      <w:proofErr w:type="spellEnd"/>
      <w:r w:rsidRPr="003F368E">
        <w:t xml:space="preserve"> der </w:t>
      </w:r>
      <w:proofErr w:type="spellStart"/>
      <w:r w:rsidRPr="003F368E">
        <w:t>Landesärztekammer</w:t>
      </w:r>
      <w:proofErr w:type="spellEnd"/>
      <w:r w:rsidRPr="003F368E">
        <w:t xml:space="preserve"> </w:t>
      </w:r>
      <w:proofErr w:type="spellStart"/>
      <w:r w:rsidRPr="003F368E">
        <w:t>Rheinland</w:t>
      </w:r>
      <w:proofErr w:type="spellEnd"/>
      <w:r w:rsidRPr="003F368E">
        <w:t>-Pfalz, 837.146.17 (10980), as well as addendum 2018-13857_1 and 2021-16239 to BKS).</w:t>
      </w:r>
      <w:r>
        <w:t xml:space="preserve"> Investigation was done </w:t>
      </w:r>
      <w:r w:rsidR="007374EA">
        <w:t xml:space="preserve">commercially </w:t>
      </w:r>
      <w:r>
        <w:t xml:space="preserve">by </w:t>
      </w:r>
      <w:r w:rsidRPr="003F368E">
        <w:t xml:space="preserve">SYNLAB MVZ </w:t>
      </w:r>
      <w:proofErr w:type="spellStart"/>
      <w:r w:rsidRPr="003F368E">
        <w:t>Humangenetik</w:t>
      </w:r>
      <w:proofErr w:type="spellEnd"/>
      <w:r w:rsidRPr="003F368E">
        <w:t xml:space="preserve"> Mannheim</w:t>
      </w:r>
      <w:r>
        <w:t>, Germany</w:t>
      </w:r>
      <w:r w:rsidR="007E2C79">
        <w:t>, using t</w:t>
      </w:r>
      <w:r w:rsidR="004604A4">
        <w:t>he</w:t>
      </w:r>
      <w:r w:rsidR="007C6359">
        <w:t xml:space="preserve"> HHT</w:t>
      </w:r>
      <w:r w:rsidR="004604A4">
        <w:t xml:space="preserve"> panel ID155.01</w:t>
      </w:r>
      <w:r w:rsidR="007E2C79">
        <w:t>.</w:t>
      </w:r>
    </w:p>
    <w:p w14:paraId="584F180A" w14:textId="6D5A2660" w:rsidR="005270C7" w:rsidRPr="007431E6" w:rsidRDefault="005270C7">
      <w:pPr>
        <w:spacing w:line="259" w:lineRule="auto"/>
        <w:rPr>
          <w:rFonts w:cstheme="minorHAnsi"/>
        </w:rPr>
      </w:pPr>
      <w:r w:rsidRPr="007431E6">
        <w:rPr>
          <w:rFonts w:cstheme="minorHAnsi"/>
        </w:rPr>
        <w:br w:type="page"/>
      </w:r>
    </w:p>
    <w:p w14:paraId="536CE7F8" w14:textId="6DEA50CB" w:rsidR="005270C7" w:rsidRPr="007431E6" w:rsidRDefault="005270C7" w:rsidP="005270C7">
      <w:pPr>
        <w:keepNext/>
        <w:keepLines/>
        <w:spacing w:before="80" w:after="80"/>
        <w:outlineLvl w:val="0"/>
        <w:rPr>
          <w:rFonts w:eastAsia="Times New Roman" w:cstheme="minorHAnsi"/>
          <w:b/>
          <w:sz w:val="32"/>
          <w:szCs w:val="36"/>
        </w:rPr>
      </w:pPr>
      <w:r w:rsidRPr="007431E6">
        <w:rPr>
          <w:rFonts w:eastAsia="Times New Roman" w:cstheme="minorHAnsi"/>
          <w:b/>
          <w:sz w:val="32"/>
          <w:szCs w:val="36"/>
        </w:rPr>
        <w:lastRenderedPageBreak/>
        <w:t>Supplementary Figures</w:t>
      </w:r>
    </w:p>
    <w:p w14:paraId="367F1C8C" w14:textId="4261CBBC" w:rsidR="005270C7" w:rsidRPr="007431E6" w:rsidRDefault="002D289D" w:rsidP="005270C7">
      <w:pPr>
        <w:pStyle w:val="BodyText"/>
        <w:rPr>
          <w:rFonts w:cstheme="minorHAnsi"/>
        </w:rPr>
      </w:pPr>
      <w:r>
        <w:rPr>
          <w:rFonts w:cstheme="minorHAnsi"/>
          <w:noProof/>
          <w:lang w:val="en-IN" w:eastAsia="en-IN"/>
        </w:rPr>
        <w:drawing>
          <wp:inline distT="0" distB="0" distL="0" distR="0" wp14:anchorId="5EF68043" wp14:editId="2D3BA232">
            <wp:extent cx="5727700" cy="571068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8818"/>
                    <a:stretch/>
                  </pic:blipFill>
                  <pic:spPr bwMode="auto">
                    <a:xfrm>
                      <a:off x="0" y="0"/>
                      <a:ext cx="5727700" cy="5710686"/>
                    </a:xfrm>
                    <a:prstGeom prst="rect">
                      <a:avLst/>
                    </a:prstGeom>
                    <a:noFill/>
                    <a:ln>
                      <a:noFill/>
                    </a:ln>
                    <a:extLst>
                      <a:ext uri="{53640926-AAD7-44D8-BBD7-CCE9431645EC}">
                        <a14:shadowObscured xmlns:a14="http://schemas.microsoft.com/office/drawing/2010/main"/>
                      </a:ext>
                    </a:extLst>
                  </pic:spPr>
                </pic:pic>
              </a:graphicData>
            </a:graphic>
          </wp:inline>
        </w:drawing>
      </w:r>
    </w:p>
    <w:p w14:paraId="58CC2FD6" w14:textId="128A4B4A" w:rsidR="005270C7" w:rsidRPr="007431E6" w:rsidRDefault="005270C7" w:rsidP="005270C7">
      <w:pPr>
        <w:pStyle w:val="BodyText"/>
        <w:rPr>
          <w:rFonts w:cstheme="minorHAnsi"/>
        </w:rPr>
      </w:pPr>
      <w:r w:rsidRPr="00103CFB">
        <w:rPr>
          <w:rFonts w:cstheme="minorHAnsi"/>
          <w:b/>
          <w:bCs/>
        </w:rPr>
        <w:t xml:space="preserve">Figure S1. Portal vein and hepatic artery vessel diameters are unchanged in </w:t>
      </w:r>
      <w:r w:rsidRPr="00103CFB">
        <w:rPr>
          <w:rFonts w:cstheme="minorHAnsi"/>
          <w:b/>
          <w:bCs/>
          <w:i/>
          <w:iCs/>
        </w:rPr>
        <w:t>Alk1</w:t>
      </w:r>
      <w:r w:rsidRPr="00103CFB">
        <w:rPr>
          <w:rFonts w:cstheme="minorHAnsi"/>
          <w:b/>
          <w:bCs/>
          <w:vertAlign w:val="superscript"/>
        </w:rPr>
        <w:t>HEC-KO</w:t>
      </w:r>
      <w:r w:rsidRPr="00103CFB">
        <w:rPr>
          <w:rFonts w:cstheme="minorHAnsi"/>
          <w:b/>
        </w:rPr>
        <w:t xml:space="preserve"> mice. </w:t>
      </w:r>
      <w:r w:rsidRPr="00103CFB">
        <w:rPr>
          <w:rFonts w:cstheme="minorHAnsi"/>
        </w:rPr>
        <w:t xml:space="preserve">(A) Kaplan-Meier curve for the survival of </w:t>
      </w:r>
      <w:r w:rsidRPr="00103CFB">
        <w:rPr>
          <w:rFonts w:cstheme="minorHAnsi"/>
          <w:i/>
          <w:iCs/>
        </w:rPr>
        <w:t>Alk1</w:t>
      </w:r>
      <w:r w:rsidRPr="00103CFB">
        <w:rPr>
          <w:rFonts w:cstheme="minorHAnsi"/>
          <w:vertAlign w:val="superscript"/>
        </w:rPr>
        <w:t>HEC-KO</w:t>
      </w:r>
      <w:r w:rsidRPr="00103CFB">
        <w:rPr>
          <w:rFonts w:cstheme="minorHAnsi"/>
        </w:rPr>
        <w:t xml:space="preserve"> and control mice (n ≥ 9). (B) Diameter of hepatic artery using computed tomography (CT) (n = 5). </w:t>
      </w:r>
      <w:r w:rsidR="00FE7BD7" w:rsidRPr="00520BEE">
        <w:rPr>
          <w:rFonts w:cstheme="minorHAnsi"/>
        </w:rPr>
        <w:t xml:space="preserve">(C) Diameter of portal vein using sonography (n ≥ 5). </w:t>
      </w:r>
      <w:r w:rsidRPr="00103CFB">
        <w:rPr>
          <w:rFonts w:cstheme="minorHAnsi"/>
        </w:rPr>
        <w:t>(</w:t>
      </w:r>
      <w:r w:rsidR="00FE7BD7" w:rsidRPr="00520BEE">
        <w:rPr>
          <w:rFonts w:cstheme="minorHAnsi"/>
        </w:rPr>
        <w:t>D</w:t>
      </w:r>
      <w:r w:rsidRPr="00103CFB">
        <w:rPr>
          <w:rFonts w:cstheme="minorHAnsi"/>
        </w:rPr>
        <w:t>) Diameters of portal vein branches using CT (n = 5).</w:t>
      </w:r>
      <w:r w:rsidR="002D289D">
        <w:rPr>
          <w:rFonts w:cstheme="minorHAnsi"/>
        </w:rPr>
        <w:t xml:space="preserve"> (E) Flow velocity of portal vein using </w:t>
      </w:r>
      <w:r w:rsidR="006F6D05" w:rsidRPr="006F6D05">
        <w:rPr>
          <w:rFonts w:cstheme="minorHAnsi"/>
        </w:rPr>
        <w:t>Doppler ultrasonography</w:t>
      </w:r>
      <w:r w:rsidR="004D537B">
        <w:rPr>
          <w:rFonts w:cstheme="minorHAnsi"/>
        </w:rPr>
        <w:t xml:space="preserve"> </w:t>
      </w:r>
      <w:r w:rsidR="004D537B" w:rsidRPr="00C4107F">
        <w:rPr>
          <w:rFonts w:cstheme="minorHAnsi"/>
        </w:rPr>
        <w:t>(n ≥ 5)</w:t>
      </w:r>
      <w:r w:rsidR="002D289D">
        <w:rPr>
          <w:rFonts w:cstheme="minorHAnsi"/>
        </w:rPr>
        <w:t>.</w:t>
      </w:r>
      <w:r w:rsidRPr="00103CFB">
        <w:rPr>
          <w:rFonts w:cstheme="minorHAnsi"/>
        </w:rPr>
        <w:t xml:space="preserve"> </w:t>
      </w:r>
      <w:proofErr w:type="gramStart"/>
      <w:r w:rsidRPr="00103CFB">
        <w:rPr>
          <w:rFonts w:cstheme="minorHAnsi"/>
        </w:rPr>
        <w:t>(A) Log-rank test; (B-</w:t>
      </w:r>
      <w:r w:rsidR="00E81CA7">
        <w:rPr>
          <w:rFonts w:cstheme="minorHAnsi"/>
        </w:rPr>
        <w:t>E</w:t>
      </w:r>
      <w:r w:rsidRPr="00103CFB">
        <w:rPr>
          <w:rFonts w:cstheme="minorHAnsi"/>
        </w:rPr>
        <w:t>) Mann–Whitney U test.</w:t>
      </w:r>
      <w:proofErr w:type="gramEnd"/>
      <w:r w:rsidRPr="00103CFB">
        <w:rPr>
          <w:rFonts w:cstheme="minorHAnsi"/>
        </w:rPr>
        <w:t xml:space="preserve"> * </w:t>
      </w:r>
      <w:proofErr w:type="gramStart"/>
      <w:r w:rsidRPr="00103CFB">
        <w:rPr>
          <w:rFonts w:cstheme="minorHAnsi"/>
        </w:rPr>
        <w:t>p</w:t>
      </w:r>
      <w:proofErr w:type="gramEnd"/>
      <w:r w:rsidRPr="00103CFB">
        <w:rPr>
          <w:rFonts w:cstheme="minorHAnsi"/>
        </w:rPr>
        <w:t xml:space="preserve"> &lt; 0.05.</w:t>
      </w:r>
    </w:p>
    <w:p w14:paraId="64E2169B" w14:textId="79759D12" w:rsidR="005270C7" w:rsidRPr="007431E6" w:rsidRDefault="005270C7">
      <w:pPr>
        <w:spacing w:line="259" w:lineRule="auto"/>
        <w:rPr>
          <w:rFonts w:cstheme="minorHAnsi"/>
        </w:rPr>
      </w:pPr>
      <w:r w:rsidRPr="007431E6">
        <w:rPr>
          <w:rFonts w:cstheme="minorHAnsi"/>
        </w:rPr>
        <w:br w:type="page"/>
      </w:r>
    </w:p>
    <w:p w14:paraId="298233BC" w14:textId="719951AC" w:rsidR="005270C7" w:rsidRPr="007431E6" w:rsidRDefault="005270C7" w:rsidP="005270C7">
      <w:pPr>
        <w:pStyle w:val="Compact"/>
        <w:rPr>
          <w:rFonts w:cstheme="minorHAnsi"/>
        </w:rPr>
      </w:pPr>
      <w:r w:rsidRPr="007431E6">
        <w:rPr>
          <w:rFonts w:cstheme="minorHAnsi"/>
          <w:noProof/>
          <w:lang w:val="en-IN" w:eastAsia="en-IN"/>
        </w:rPr>
        <w:lastRenderedPageBreak/>
        <w:drawing>
          <wp:inline distT="0" distB="0" distL="0" distR="0" wp14:anchorId="5B510E47" wp14:editId="1B0FE71F">
            <wp:extent cx="5724525" cy="45243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35" b="24501"/>
                    <a:stretch/>
                  </pic:blipFill>
                  <pic:spPr bwMode="auto">
                    <a:xfrm>
                      <a:off x="0" y="0"/>
                      <a:ext cx="5724525" cy="4524375"/>
                    </a:xfrm>
                    <a:prstGeom prst="rect">
                      <a:avLst/>
                    </a:prstGeom>
                    <a:noFill/>
                    <a:ln>
                      <a:noFill/>
                    </a:ln>
                    <a:extLst>
                      <a:ext uri="{53640926-AAD7-44D8-BBD7-CCE9431645EC}">
                        <a14:shadowObscured xmlns:a14="http://schemas.microsoft.com/office/drawing/2010/main"/>
                      </a:ext>
                    </a:extLst>
                  </pic:spPr>
                </pic:pic>
              </a:graphicData>
            </a:graphic>
          </wp:inline>
        </w:drawing>
      </w:r>
    </w:p>
    <w:p w14:paraId="1ABE1EF1" w14:textId="77777777" w:rsidR="005270C7" w:rsidRPr="007431E6" w:rsidRDefault="005270C7" w:rsidP="005270C7">
      <w:pPr>
        <w:pStyle w:val="FirstParagraph"/>
        <w:rPr>
          <w:rFonts w:cstheme="minorHAnsi"/>
        </w:rPr>
      </w:pPr>
      <w:r w:rsidRPr="007431E6">
        <w:rPr>
          <w:rFonts w:cstheme="minorHAnsi"/>
          <w:b/>
          <w:bCs/>
        </w:rPr>
        <w:t xml:space="preserve">Figure S2. Duplex ultrasonography of livers indicates increased vessel density in </w:t>
      </w:r>
      <w:r w:rsidRPr="007431E6">
        <w:rPr>
          <w:rFonts w:cstheme="minorHAnsi"/>
          <w:b/>
          <w:bCs/>
          <w:i/>
          <w:iCs/>
        </w:rPr>
        <w:t xml:space="preserve">Alk1 </w:t>
      </w:r>
      <w:r w:rsidRPr="007431E6">
        <w:rPr>
          <w:rFonts w:cstheme="minorHAnsi"/>
          <w:b/>
          <w:bCs/>
        </w:rPr>
        <w:t xml:space="preserve">deficient mice. </w:t>
      </w:r>
      <w:r w:rsidRPr="007431E6">
        <w:rPr>
          <w:rFonts w:cstheme="minorHAnsi"/>
        </w:rPr>
        <w:t>Images of duplex ultrasonography of the liver (n = 4).</w:t>
      </w:r>
    </w:p>
    <w:p w14:paraId="599EBA8E" w14:textId="77777777" w:rsidR="005270C7" w:rsidRPr="007431E6" w:rsidRDefault="005270C7">
      <w:pPr>
        <w:spacing w:line="259" w:lineRule="auto"/>
        <w:rPr>
          <w:rFonts w:cstheme="minorHAnsi"/>
        </w:rPr>
      </w:pPr>
    </w:p>
    <w:p w14:paraId="2DEE6D17" w14:textId="4C224430" w:rsidR="005270C7" w:rsidRPr="007431E6" w:rsidRDefault="005270C7">
      <w:pPr>
        <w:spacing w:line="259" w:lineRule="auto"/>
        <w:rPr>
          <w:rFonts w:cstheme="minorHAnsi"/>
        </w:rPr>
      </w:pPr>
      <w:r w:rsidRPr="007431E6">
        <w:rPr>
          <w:rFonts w:cstheme="minorHAnsi"/>
        </w:rPr>
        <w:br w:type="page"/>
      </w:r>
    </w:p>
    <w:p w14:paraId="43F78C37" w14:textId="7A398E86" w:rsidR="005270C7" w:rsidRPr="007431E6" w:rsidRDefault="00A6711E" w:rsidP="005270C7">
      <w:pPr>
        <w:pStyle w:val="Compact"/>
        <w:rPr>
          <w:rFonts w:cstheme="minorHAnsi"/>
        </w:rPr>
      </w:pPr>
      <w:r>
        <w:rPr>
          <w:rFonts w:cstheme="minorHAnsi"/>
          <w:noProof/>
          <w:lang w:val="en-IN" w:eastAsia="en-IN"/>
        </w:rPr>
        <w:lastRenderedPageBreak/>
        <w:drawing>
          <wp:inline distT="0" distB="0" distL="0" distR="0" wp14:anchorId="5AEAACE6" wp14:editId="61BED526">
            <wp:extent cx="5724525" cy="52250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01" b="16869"/>
                    <a:stretch/>
                  </pic:blipFill>
                  <pic:spPr bwMode="auto">
                    <a:xfrm>
                      <a:off x="0" y="0"/>
                      <a:ext cx="5732479" cy="5232350"/>
                    </a:xfrm>
                    <a:prstGeom prst="rect">
                      <a:avLst/>
                    </a:prstGeom>
                    <a:noFill/>
                    <a:ln>
                      <a:noFill/>
                    </a:ln>
                    <a:extLst>
                      <a:ext uri="{53640926-AAD7-44D8-BBD7-CCE9431645EC}">
                        <a14:shadowObscured xmlns:a14="http://schemas.microsoft.com/office/drawing/2010/main"/>
                      </a:ext>
                    </a:extLst>
                  </pic:spPr>
                </pic:pic>
              </a:graphicData>
            </a:graphic>
          </wp:inline>
        </w:drawing>
      </w:r>
    </w:p>
    <w:p w14:paraId="375D3E60" w14:textId="63D473C6" w:rsidR="002A4F4D" w:rsidRDefault="00A6711E" w:rsidP="00A6711E">
      <w:pPr>
        <w:pStyle w:val="FirstParagraph"/>
        <w:rPr>
          <w:rFonts w:cstheme="minorHAnsi"/>
        </w:rPr>
      </w:pPr>
      <w:r w:rsidRPr="007431E6">
        <w:rPr>
          <w:rFonts w:cstheme="minorHAnsi"/>
          <w:b/>
          <w:bCs/>
        </w:rPr>
        <w:t xml:space="preserve">Figure S3. Echocardiography reveals a compensated right heart overload in </w:t>
      </w:r>
      <w:r w:rsidRPr="007431E6">
        <w:rPr>
          <w:rFonts w:cstheme="minorHAnsi"/>
          <w:b/>
          <w:bCs/>
          <w:i/>
          <w:iCs/>
        </w:rPr>
        <w:t>Alk1</w:t>
      </w:r>
      <w:r w:rsidRPr="007431E6">
        <w:rPr>
          <w:rFonts w:cstheme="minorHAnsi"/>
          <w:b/>
          <w:bCs/>
          <w:vertAlign w:val="superscript"/>
        </w:rPr>
        <w:t>HEC-KO</w:t>
      </w:r>
      <w:r w:rsidRPr="007431E6">
        <w:rPr>
          <w:rFonts w:cstheme="minorHAnsi"/>
          <w:b/>
        </w:rPr>
        <w:t xml:space="preserve"> mice.</w:t>
      </w:r>
      <w:r>
        <w:rPr>
          <w:rFonts w:cstheme="minorHAnsi"/>
          <w:b/>
        </w:rPr>
        <w:t xml:space="preserve"> </w:t>
      </w:r>
      <w:r w:rsidRPr="007431E6">
        <w:rPr>
          <w:rFonts w:cstheme="minorHAnsi"/>
        </w:rPr>
        <w:t xml:space="preserve">(A) Echocardiography of the right ventricle using the parasternal long axis view (n ≥ 4). (B-C) </w:t>
      </w:r>
      <w:proofErr w:type="gramStart"/>
      <w:r w:rsidRPr="007431E6">
        <w:rPr>
          <w:rFonts w:cstheme="minorHAnsi"/>
        </w:rPr>
        <w:t>Area measurements for the right ventricle in the systolic (B) (n ≥ 4) and diastolic (C) (n ≥ 4) phases.</w:t>
      </w:r>
      <w:proofErr w:type="gramEnd"/>
      <w:r w:rsidRPr="007431E6">
        <w:rPr>
          <w:rFonts w:cstheme="minorHAnsi"/>
        </w:rPr>
        <w:t xml:space="preserve"> (D) Fractional area changes of the right ventricle during systolic and diastolic phases (i.e. ejection fraction) (n ≥ 4). (E) Echocardiography of the left ventricle using the parasternal long axis view (n ≥ 5). (F-G) </w:t>
      </w:r>
      <w:proofErr w:type="gramStart"/>
      <w:r w:rsidRPr="007431E6">
        <w:rPr>
          <w:rFonts w:cstheme="minorHAnsi"/>
        </w:rPr>
        <w:t>Area measurements for the left ventricle in the systolic (F) (n ≥ 5) and diastolic (G) (n ≥ 5) phases.</w:t>
      </w:r>
      <w:proofErr w:type="gramEnd"/>
      <w:r w:rsidRPr="007431E6">
        <w:rPr>
          <w:rFonts w:cstheme="minorHAnsi"/>
        </w:rPr>
        <w:t xml:space="preserve"> (H) Fractional area changes of the left ventricle during systolic and diastolic phases (i.e. ejection fraction) (n ≥ 5). (J) Comparison of the heart rate (n ≥ 5). </w:t>
      </w:r>
      <w:proofErr w:type="gramStart"/>
      <w:r w:rsidRPr="007431E6">
        <w:rPr>
          <w:rFonts w:cstheme="minorHAnsi"/>
        </w:rPr>
        <w:t>RV, right ventricle; LV, left ventricle.</w:t>
      </w:r>
      <w:proofErr w:type="gramEnd"/>
      <w:r w:rsidRPr="007431E6">
        <w:rPr>
          <w:rFonts w:cstheme="minorHAnsi"/>
        </w:rPr>
        <w:t xml:space="preserve"> (B-D, F-J) </w:t>
      </w:r>
      <w:proofErr w:type="gramStart"/>
      <w:r w:rsidRPr="007431E6">
        <w:rPr>
          <w:rFonts w:cstheme="minorHAnsi"/>
        </w:rPr>
        <w:t>Welch’s t test.</w:t>
      </w:r>
      <w:proofErr w:type="gramEnd"/>
      <w:r w:rsidRPr="007431E6">
        <w:rPr>
          <w:rFonts w:cstheme="minorHAnsi"/>
        </w:rPr>
        <w:t xml:space="preserve"> ** </w:t>
      </w:r>
      <w:proofErr w:type="gramStart"/>
      <w:r w:rsidRPr="007431E6">
        <w:rPr>
          <w:rFonts w:cstheme="minorHAnsi"/>
        </w:rPr>
        <w:t>p</w:t>
      </w:r>
      <w:proofErr w:type="gramEnd"/>
      <w:r w:rsidRPr="007431E6">
        <w:rPr>
          <w:rFonts w:cstheme="minorHAnsi"/>
        </w:rPr>
        <w:t xml:space="preserve"> &lt; 0.01.</w:t>
      </w:r>
    </w:p>
    <w:p w14:paraId="686A6A23" w14:textId="77777777" w:rsidR="002A4F4D" w:rsidRDefault="002A4F4D">
      <w:pPr>
        <w:spacing w:line="259" w:lineRule="auto"/>
        <w:rPr>
          <w:rFonts w:cstheme="minorHAnsi"/>
        </w:rPr>
      </w:pPr>
      <w:r>
        <w:rPr>
          <w:rFonts w:cstheme="minorHAnsi"/>
        </w:rPr>
        <w:br w:type="page"/>
      </w:r>
    </w:p>
    <w:p w14:paraId="6CE3377C" w14:textId="21B6BE57" w:rsidR="002A4F4D" w:rsidRDefault="00566627" w:rsidP="00520BEE">
      <w:pPr>
        <w:pStyle w:val="FirstParagraph"/>
        <w:jc w:val="center"/>
        <w:rPr>
          <w:rFonts w:cstheme="minorHAnsi"/>
        </w:rPr>
      </w:pPr>
      <w:r>
        <w:rPr>
          <w:rFonts w:cstheme="minorHAnsi"/>
          <w:noProof/>
          <w:lang w:val="en-IN" w:eastAsia="en-IN"/>
        </w:rPr>
        <w:lastRenderedPageBreak/>
        <w:drawing>
          <wp:inline distT="0" distB="0" distL="0" distR="0" wp14:anchorId="572DBC22" wp14:editId="4841ADB3">
            <wp:extent cx="4552950" cy="591122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83" t="5270" r="20300" b="17237"/>
                    <a:stretch/>
                  </pic:blipFill>
                  <pic:spPr bwMode="auto">
                    <a:xfrm>
                      <a:off x="0" y="0"/>
                      <a:ext cx="4556176" cy="5915418"/>
                    </a:xfrm>
                    <a:prstGeom prst="rect">
                      <a:avLst/>
                    </a:prstGeom>
                    <a:noFill/>
                    <a:ln>
                      <a:noFill/>
                    </a:ln>
                    <a:extLst>
                      <a:ext uri="{53640926-AAD7-44D8-BBD7-CCE9431645EC}">
                        <a14:shadowObscured xmlns:a14="http://schemas.microsoft.com/office/drawing/2010/main"/>
                      </a:ext>
                    </a:extLst>
                  </pic:spPr>
                </pic:pic>
              </a:graphicData>
            </a:graphic>
          </wp:inline>
        </w:drawing>
      </w:r>
    </w:p>
    <w:p w14:paraId="2F4D2601" w14:textId="539AAA80" w:rsidR="002D38DE" w:rsidRDefault="0084307C">
      <w:pPr>
        <w:spacing w:line="259" w:lineRule="auto"/>
        <w:rPr>
          <w:rFonts w:cstheme="minorHAnsi"/>
        </w:rPr>
      </w:pPr>
      <w:r w:rsidRPr="007431E6">
        <w:rPr>
          <w:rFonts w:cstheme="minorHAnsi"/>
          <w:b/>
          <w:bCs/>
        </w:rPr>
        <w:t>Figure S</w:t>
      </w:r>
      <w:r>
        <w:rPr>
          <w:rFonts w:cstheme="minorHAnsi"/>
          <w:b/>
          <w:bCs/>
        </w:rPr>
        <w:t>4</w:t>
      </w:r>
      <w:r w:rsidRPr="007431E6">
        <w:rPr>
          <w:rFonts w:cstheme="minorHAnsi"/>
          <w:b/>
          <w:bCs/>
        </w:rPr>
        <w:t>.</w:t>
      </w:r>
      <w:r>
        <w:rPr>
          <w:rFonts w:cstheme="minorHAnsi"/>
          <w:b/>
          <w:bCs/>
        </w:rPr>
        <w:t xml:space="preserve"> </w:t>
      </w:r>
      <w:proofErr w:type="gramStart"/>
      <w:r w:rsidR="00825396">
        <w:rPr>
          <w:rFonts w:cstheme="minorHAnsi"/>
          <w:b/>
          <w:bCs/>
        </w:rPr>
        <w:t xml:space="preserve">Liver macroscopy and basic histology of one and six months old </w:t>
      </w:r>
      <w:r w:rsidR="00825396" w:rsidRPr="00520BEE">
        <w:rPr>
          <w:rFonts w:cstheme="minorHAnsi"/>
          <w:b/>
          <w:bCs/>
          <w:i/>
        </w:rPr>
        <w:t>Alk1</w:t>
      </w:r>
      <w:r w:rsidR="00825396" w:rsidRPr="00520BEE">
        <w:rPr>
          <w:rFonts w:cstheme="minorHAnsi"/>
          <w:b/>
          <w:bCs/>
          <w:vertAlign w:val="superscript"/>
        </w:rPr>
        <w:t xml:space="preserve">HEC-KO </w:t>
      </w:r>
      <w:r w:rsidR="00825396">
        <w:rPr>
          <w:rFonts w:cstheme="minorHAnsi"/>
          <w:b/>
          <w:bCs/>
        </w:rPr>
        <w:t>mice</w:t>
      </w:r>
      <w:r w:rsidR="0087175B">
        <w:rPr>
          <w:rFonts w:cstheme="minorHAnsi"/>
          <w:b/>
          <w:bCs/>
        </w:rPr>
        <w:t>.</w:t>
      </w:r>
      <w:proofErr w:type="gramEnd"/>
      <w:r w:rsidR="00825396">
        <w:rPr>
          <w:rFonts w:cstheme="minorHAnsi"/>
          <w:b/>
          <w:bCs/>
        </w:rPr>
        <w:t xml:space="preserve"> </w:t>
      </w:r>
      <w:r w:rsidRPr="007431E6">
        <w:rPr>
          <w:rFonts w:cstheme="minorHAnsi"/>
        </w:rPr>
        <w:t>(A</w:t>
      </w:r>
      <w:r w:rsidR="0087175B">
        <w:rPr>
          <w:rFonts w:cstheme="minorHAnsi"/>
        </w:rPr>
        <w:t>-B</w:t>
      </w:r>
      <w:r w:rsidRPr="007431E6">
        <w:rPr>
          <w:rFonts w:cstheme="minorHAnsi"/>
        </w:rPr>
        <w:t xml:space="preserve">) </w:t>
      </w:r>
      <w:r w:rsidR="00AB106F">
        <w:rPr>
          <w:rFonts w:cstheme="minorHAnsi"/>
        </w:rPr>
        <w:t>M</w:t>
      </w:r>
      <w:r w:rsidR="002D38DE">
        <w:rPr>
          <w:rFonts w:cstheme="minorHAnsi"/>
        </w:rPr>
        <w:t xml:space="preserve">acroscopic liver, H&amp;E, and Sirius Red staining for </w:t>
      </w:r>
      <w:r w:rsidR="0087175B">
        <w:rPr>
          <w:rFonts w:cstheme="minorHAnsi"/>
        </w:rPr>
        <w:t xml:space="preserve">(A) </w:t>
      </w:r>
      <w:r w:rsidR="002D38DE">
        <w:rPr>
          <w:rFonts w:cstheme="minorHAnsi"/>
        </w:rPr>
        <w:t xml:space="preserve">one </w:t>
      </w:r>
      <w:r w:rsidR="0087175B">
        <w:rPr>
          <w:rFonts w:cstheme="minorHAnsi"/>
        </w:rPr>
        <w:t xml:space="preserve">and (B) six </w:t>
      </w:r>
      <w:r w:rsidR="002D38DE">
        <w:rPr>
          <w:rFonts w:cstheme="minorHAnsi"/>
        </w:rPr>
        <w:t>months old mice</w:t>
      </w:r>
      <w:r w:rsidR="000F0413">
        <w:rPr>
          <w:rFonts w:cstheme="minorHAnsi"/>
        </w:rPr>
        <w:t xml:space="preserve"> (n ≥ </w:t>
      </w:r>
      <w:r w:rsidR="00E378E7">
        <w:rPr>
          <w:rFonts w:cstheme="minorHAnsi"/>
        </w:rPr>
        <w:t>4</w:t>
      </w:r>
      <w:r w:rsidR="000F0413">
        <w:rPr>
          <w:rFonts w:cstheme="minorHAnsi"/>
        </w:rPr>
        <w:t>)</w:t>
      </w:r>
      <w:r w:rsidR="008E5AC0">
        <w:rPr>
          <w:rFonts w:cstheme="minorHAnsi"/>
        </w:rPr>
        <w:t>.</w:t>
      </w:r>
      <w:r w:rsidR="002D38DE">
        <w:rPr>
          <w:rFonts w:cstheme="minorHAnsi"/>
        </w:rPr>
        <w:t xml:space="preserve"> Scale bars: 100 µm.</w:t>
      </w:r>
    </w:p>
    <w:p w14:paraId="02E3D90A" w14:textId="538EFB57" w:rsidR="002A4F4D" w:rsidRDefault="002A4F4D">
      <w:pPr>
        <w:spacing w:line="259" w:lineRule="auto"/>
        <w:rPr>
          <w:rFonts w:cstheme="minorHAnsi"/>
        </w:rPr>
      </w:pPr>
      <w:r>
        <w:rPr>
          <w:rFonts w:cstheme="minorHAnsi"/>
        </w:rPr>
        <w:br w:type="page"/>
      </w:r>
    </w:p>
    <w:p w14:paraId="1A7E28F1" w14:textId="601719D8" w:rsidR="00A6711E" w:rsidRDefault="000F3212" w:rsidP="00520BEE">
      <w:pPr>
        <w:pStyle w:val="FirstParagraph"/>
        <w:jc w:val="center"/>
        <w:rPr>
          <w:rFonts w:cstheme="minorHAnsi"/>
        </w:rPr>
      </w:pPr>
      <w:r>
        <w:rPr>
          <w:rFonts w:cstheme="minorHAnsi"/>
          <w:noProof/>
          <w:lang w:val="en-IN" w:eastAsia="en-IN"/>
        </w:rPr>
        <w:lastRenderedPageBreak/>
        <w:drawing>
          <wp:inline distT="0" distB="0" distL="0" distR="0" wp14:anchorId="5794E45F" wp14:editId="2D556ADE">
            <wp:extent cx="6480000" cy="754433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746"/>
                    <a:stretch/>
                  </pic:blipFill>
                  <pic:spPr bwMode="auto">
                    <a:xfrm>
                      <a:off x="0" y="0"/>
                      <a:ext cx="6480000" cy="7544336"/>
                    </a:xfrm>
                    <a:prstGeom prst="rect">
                      <a:avLst/>
                    </a:prstGeom>
                    <a:noFill/>
                    <a:ln>
                      <a:noFill/>
                    </a:ln>
                    <a:extLst>
                      <a:ext uri="{53640926-AAD7-44D8-BBD7-CCE9431645EC}">
                        <a14:shadowObscured xmlns:a14="http://schemas.microsoft.com/office/drawing/2010/main"/>
                      </a:ext>
                    </a:extLst>
                  </pic:spPr>
                </pic:pic>
              </a:graphicData>
            </a:graphic>
          </wp:inline>
        </w:drawing>
      </w:r>
    </w:p>
    <w:p w14:paraId="6F9C3936" w14:textId="073F5445" w:rsidR="00B47EE6" w:rsidRDefault="00AB106F" w:rsidP="00B47EE6">
      <w:pPr>
        <w:pStyle w:val="FirstParagraph"/>
        <w:rPr>
          <w:rFonts w:cstheme="minorHAnsi"/>
        </w:rPr>
      </w:pPr>
      <w:r w:rsidRPr="00CB390C">
        <w:rPr>
          <w:rFonts w:cstheme="minorHAnsi"/>
          <w:b/>
          <w:bCs/>
        </w:rPr>
        <w:t>Figure S</w:t>
      </w:r>
      <w:r w:rsidR="00450E70" w:rsidRPr="00CB390C">
        <w:rPr>
          <w:rFonts w:cstheme="minorHAnsi"/>
          <w:b/>
          <w:bCs/>
        </w:rPr>
        <w:t>5</w:t>
      </w:r>
      <w:r w:rsidRPr="00CB390C">
        <w:rPr>
          <w:rFonts w:cstheme="minorHAnsi"/>
          <w:b/>
          <w:bCs/>
        </w:rPr>
        <w:t xml:space="preserve">. </w:t>
      </w:r>
      <w:r w:rsidR="00AB1A3E" w:rsidRPr="00CB390C">
        <w:rPr>
          <w:rFonts w:cstheme="minorHAnsi"/>
          <w:b/>
          <w:bCs/>
        </w:rPr>
        <w:t xml:space="preserve">Hepatic endothelial </w:t>
      </w:r>
      <w:r w:rsidR="00450E70" w:rsidRPr="00CB390C">
        <w:rPr>
          <w:rFonts w:cstheme="minorHAnsi"/>
          <w:b/>
          <w:bCs/>
          <w:i/>
        </w:rPr>
        <w:t>Alk1</w:t>
      </w:r>
      <w:r w:rsidR="00450E70" w:rsidRPr="00CB390C">
        <w:rPr>
          <w:rFonts w:cstheme="minorHAnsi"/>
          <w:b/>
          <w:bCs/>
        </w:rPr>
        <w:t xml:space="preserve"> deficiency </w:t>
      </w:r>
      <w:r w:rsidR="00AB1A3E" w:rsidRPr="00CB390C">
        <w:rPr>
          <w:rFonts w:eastAsia="Times New Roman" w:cstheme="minorHAnsi"/>
          <w:b/>
        </w:rPr>
        <w:t xml:space="preserve">increases sinusoidal </w:t>
      </w:r>
      <w:r w:rsidR="00484276" w:rsidRPr="00CB390C">
        <w:rPr>
          <w:rFonts w:eastAsia="Times New Roman" w:cstheme="minorHAnsi"/>
          <w:b/>
        </w:rPr>
        <w:t xml:space="preserve">deposition of extracellular matrix proteins </w:t>
      </w:r>
      <w:r w:rsidR="00AB1A3E" w:rsidRPr="00CB390C">
        <w:rPr>
          <w:rFonts w:eastAsia="Times New Roman" w:cstheme="minorHAnsi"/>
          <w:b/>
        </w:rPr>
        <w:t xml:space="preserve">LAMC1 and </w:t>
      </w:r>
      <w:r w:rsidR="00D108CE" w:rsidRPr="00CB390C">
        <w:rPr>
          <w:rFonts w:eastAsia="Times New Roman" w:cstheme="minorHAnsi"/>
          <w:b/>
        </w:rPr>
        <w:t>COL18A1 but</w:t>
      </w:r>
      <w:r w:rsidR="00AB1A3E" w:rsidRPr="00CB390C">
        <w:rPr>
          <w:rFonts w:eastAsia="Times New Roman" w:cstheme="minorHAnsi"/>
          <w:b/>
        </w:rPr>
        <w:t xml:space="preserve"> does not lead to </w:t>
      </w:r>
      <w:r w:rsidR="00484276" w:rsidRPr="00CB390C">
        <w:rPr>
          <w:rFonts w:eastAsia="Times New Roman" w:cstheme="minorHAnsi"/>
          <w:b/>
        </w:rPr>
        <w:t xml:space="preserve">fully developed sinusoidal </w:t>
      </w:r>
      <w:proofErr w:type="spellStart"/>
      <w:r w:rsidR="00484276" w:rsidRPr="00CB390C">
        <w:rPr>
          <w:rFonts w:eastAsia="Times New Roman" w:cstheme="minorHAnsi"/>
          <w:b/>
        </w:rPr>
        <w:t>capillarization</w:t>
      </w:r>
      <w:proofErr w:type="spellEnd"/>
      <w:r w:rsidR="00484276" w:rsidRPr="00CB390C">
        <w:rPr>
          <w:rFonts w:eastAsia="Times New Roman" w:cstheme="minorHAnsi"/>
          <w:b/>
        </w:rPr>
        <w:t xml:space="preserve"> or </w:t>
      </w:r>
      <w:r w:rsidR="00AB1A3E" w:rsidRPr="00CB390C">
        <w:rPr>
          <w:rFonts w:eastAsia="Times New Roman" w:cstheme="minorHAnsi"/>
          <w:b/>
        </w:rPr>
        <w:t>significant liver fibrosis</w:t>
      </w:r>
      <w:r w:rsidRPr="00CB390C">
        <w:rPr>
          <w:rFonts w:cstheme="minorHAnsi"/>
          <w:b/>
          <w:bCs/>
        </w:rPr>
        <w:t xml:space="preserve">. </w:t>
      </w:r>
      <w:r w:rsidRPr="00CB390C">
        <w:rPr>
          <w:rFonts w:cstheme="minorHAnsi"/>
        </w:rPr>
        <w:t>(</w:t>
      </w:r>
      <w:r w:rsidRPr="007431E6">
        <w:rPr>
          <w:rFonts w:cstheme="minorHAnsi"/>
        </w:rPr>
        <w:t>A</w:t>
      </w:r>
      <w:r w:rsidR="00B47EE6">
        <w:rPr>
          <w:rFonts w:cstheme="minorHAnsi"/>
        </w:rPr>
        <w:t>-B</w:t>
      </w:r>
      <w:r w:rsidRPr="007431E6">
        <w:rPr>
          <w:rFonts w:cstheme="minorHAnsi"/>
        </w:rPr>
        <w:t>)</w:t>
      </w:r>
      <w:r w:rsidR="00B47EE6">
        <w:rPr>
          <w:rFonts w:cstheme="minorHAnsi"/>
        </w:rPr>
        <w:t> </w:t>
      </w:r>
      <w:proofErr w:type="gramStart"/>
      <w:r w:rsidR="008A45C2">
        <w:rPr>
          <w:rFonts w:cstheme="minorHAnsi"/>
        </w:rPr>
        <w:t>Immunohistochemistry</w:t>
      </w:r>
      <w:r w:rsidR="00B47EE6">
        <w:rPr>
          <w:rFonts w:cstheme="minorHAnsi"/>
        </w:rPr>
        <w:t xml:space="preserve"> and quantification</w:t>
      </w:r>
      <w:r w:rsidR="008A45C2">
        <w:rPr>
          <w:rFonts w:cstheme="minorHAnsi"/>
        </w:rPr>
        <w:t xml:space="preserve"> for Collagen</w:t>
      </w:r>
      <w:r w:rsidR="00AE5958">
        <w:rPr>
          <w:rFonts w:cstheme="minorHAnsi"/>
        </w:rPr>
        <w:t> </w:t>
      </w:r>
      <w:r w:rsidR="008A45C2">
        <w:rPr>
          <w:rFonts w:cstheme="minorHAnsi"/>
        </w:rPr>
        <w:t>4 and Laminin</w:t>
      </w:r>
      <w:r w:rsidR="00AE5958">
        <w:rPr>
          <w:rFonts w:cstheme="minorHAnsi"/>
        </w:rPr>
        <w:t> </w:t>
      </w:r>
      <w:r w:rsidR="008A45C2">
        <w:rPr>
          <w:rFonts w:cstheme="minorHAnsi"/>
        </w:rPr>
        <w:t>y</w:t>
      </w:r>
      <w:r w:rsidR="00D71E27">
        <w:rPr>
          <w:rFonts w:cstheme="minorHAnsi"/>
        </w:rPr>
        <w:t>1</w:t>
      </w:r>
      <w:r w:rsidR="008F448F">
        <w:rPr>
          <w:rFonts w:cstheme="minorHAnsi"/>
        </w:rPr>
        <w:t xml:space="preserve"> of livers</w:t>
      </w:r>
      <w:r w:rsidR="0001413F">
        <w:rPr>
          <w:rFonts w:cstheme="minorHAnsi"/>
        </w:rPr>
        <w:t xml:space="preserve"> (n</w:t>
      </w:r>
      <w:r w:rsidR="00CD6597">
        <w:rPr>
          <w:rFonts w:cstheme="minorHAnsi"/>
        </w:rPr>
        <w:t xml:space="preserve"> </w:t>
      </w:r>
      <w:r w:rsidR="00B47EE6">
        <w:rPr>
          <w:rFonts w:cstheme="minorHAnsi"/>
        </w:rPr>
        <w:t>≥</w:t>
      </w:r>
      <w:r w:rsidR="00CD6597">
        <w:rPr>
          <w:rFonts w:cstheme="minorHAnsi"/>
        </w:rPr>
        <w:t xml:space="preserve"> </w:t>
      </w:r>
      <w:r w:rsidR="00B47EE6">
        <w:rPr>
          <w:rFonts w:cstheme="minorHAnsi"/>
        </w:rPr>
        <w:t>4</w:t>
      </w:r>
      <w:r w:rsidR="00CD6597">
        <w:rPr>
          <w:rFonts w:cstheme="minorHAnsi"/>
        </w:rPr>
        <w:t>)</w:t>
      </w:r>
      <w:r w:rsidR="008A45C2">
        <w:rPr>
          <w:rFonts w:cstheme="minorHAnsi"/>
        </w:rPr>
        <w:t>.</w:t>
      </w:r>
      <w:proofErr w:type="gramEnd"/>
      <w:r w:rsidR="008A45C2">
        <w:rPr>
          <w:rFonts w:cstheme="minorHAnsi"/>
        </w:rPr>
        <w:t xml:space="preserve"> </w:t>
      </w:r>
      <w:r w:rsidR="008F448F">
        <w:rPr>
          <w:rFonts w:cstheme="minorHAnsi"/>
        </w:rPr>
        <w:t>(</w:t>
      </w:r>
      <w:r w:rsidR="00B47EE6">
        <w:rPr>
          <w:rFonts w:cstheme="minorHAnsi"/>
        </w:rPr>
        <w:t>C-D</w:t>
      </w:r>
      <w:r w:rsidR="008F448F">
        <w:rPr>
          <w:rFonts w:cstheme="minorHAnsi"/>
        </w:rPr>
        <w:t>)</w:t>
      </w:r>
      <w:r w:rsidR="00B47EE6">
        <w:rPr>
          <w:rFonts w:cstheme="minorHAnsi"/>
        </w:rPr>
        <w:t> </w:t>
      </w:r>
      <w:r w:rsidR="008F448F">
        <w:rPr>
          <w:rFonts w:cstheme="minorHAnsi"/>
        </w:rPr>
        <w:t xml:space="preserve">Immunofluorescence for </w:t>
      </w:r>
      <w:r w:rsidR="008F448F">
        <w:rPr>
          <w:rFonts w:cstheme="minorHAnsi"/>
        </w:rPr>
        <w:lastRenderedPageBreak/>
        <w:t>Collagen</w:t>
      </w:r>
      <w:r w:rsidR="00AE5958">
        <w:rPr>
          <w:rFonts w:cstheme="minorHAnsi"/>
        </w:rPr>
        <w:t> </w:t>
      </w:r>
      <w:r w:rsidR="008F448F">
        <w:rPr>
          <w:rFonts w:cstheme="minorHAnsi"/>
        </w:rPr>
        <w:t xml:space="preserve">18 and </w:t>
      </w:r>
      <w:proofErr w:type="spellStart"/>
      <w:r w:rsidR="008F448F">
        <w:rPr>
          <w:rFonts w:cstheme="minorHAnsi"/>
        </w:rPr>
        <w:t>Endomucin</w:t>
      </w:r>
      <w:proofErr w:type="spellEnd"/>
      <w:r w:rsidR="008F448F">
        <w:rPr>
          <w:rFonts w:cstheme="minorHAnsi"/>
        </w:rPr>
        <w:t xml:space="preserve"> of livers</w:t>
      </w:r>
      <w:r w:rsidR="00B47EE6">
        <w:rPr>
          <w:rFonts w:cstheme="minorHAnsi"/>
        </w:rPr>
        <w:t xml:space="preserve"> and quantification for Collagen 18</w:t>
      </w:r>
      <w:r w:rsidR="00CD6597">
        <w:rPr>
          <w:rFonts w:cstheme="minorHAnsi"/>
        </w:rPr>
        <w:t xml:space="preserve"> </w:t>
      </w:r>
      <w:r w:rsidR="00B47EE6">
        <w:rPr>
          <w:rFonts w:cstheme="minorHAnsi"/>
        </w:rPr>
        <w:t>(n ≥ 4</w:t>
      </w:r>
      <w:proofErr w:type="gramStart"/>
      <w:r w:rsidR="00B47EE6">
        <w:rPr>
          <w:rFonts w:cstheme="minorHAnsi"/>
        </w:rPr>
        <w:t>)</w:t>
      </w:r>
      <w:r w:rsidR="00B47EE6" w:rsidDel="00B47EE6">
        <w:rPr>
          <w:rFonts w:cstheme="minorHAnsi"/>
        </w:rPr>
        <w:t xml:space="preserve"> </w:t>
      </w:r>
      <w:r w:rsidR="008F448F">
        <w:rPr>
          <w:rFonts w:cstheme="minorHAnsi"/>
        </w:rPr>
        <w:t>.</w:t>
      </w:r>
      <w:proofErr w:type="gramEnd"/>
      <w:r w:rsidR="00B47EE6">
        <w:rPr>
          <w:rFonts w:cstheme="minorHAnsi"/>
        </w:rPr>
        <w:t xml:space="preserve"> (E) Electron microscopy of livers. Arrows indicate gaps between endothelial cells. Arrowheads indicate extracellular matrix bundles. Scale bars: 100 µm. (B, D) Welch’s t test. </w:t>
      </w:r>
      <w:r w:rsidR="00B47EE6" w:rsidRPr="007431E6">
        <w:rPr>
          <w:rFonts w:cstheme="minorHAnsi"/>
        </w:rPr>
        <w:t xml:space="preserve">* </w:t>
      </w:r>
      <w:proofErr w:type="gramStart"/>
      <w:r w:rsidR="00B47EE6" w:rsidRPr="007431E6">
        <w:rPr>
          <w:rFonts w:cstheme="minorHAnsi"/>
        </w:rPr>
        <w:t>p</w:t>
      </w:r>
      <w:proofErr w:type="gramEnd"/>
      <w:r w:rsidR="00B47EE6" w:rsidRPr="007431E6">
        <w:rPr>
          <w:rFonts w:cstheme="minorHAnsi"/>
        </w:rPr>
        <w:t xml:space="preserve"> &lt; 0.0</w:t>
      </w:r>
      <w:r w:rsidR="00B47EE6">
        <w:rPr>
          <w:rFonts w:cstheme="minorHAnsi"/>
        </w:rPr>
        <w:t>5;</w:t>
      </w:r>
      <w:r>
        <w:rPr>
          <w:rFonts w:cstheme="minorHAnsi"/>
        </w:rPr>
        <w:t xml:space="preserve"> </w:t>
      </w:r>
      <w:r w:rsidR="00B47EE6" w:rsidRPr="007431E6">
        <w:rPr>
          <w:rFonts w:cstheme="minorHAnsi"/>
        </w:rPr>
        <w:t>** p &lt; 0.01</w:t>
      </w:r>
      <w:r w:rsidR="00B47EE6">
        <w:rPr>
          <w:rFonts w:cstheme="minorHAnsi"/>
        </w:rPr>
        <w:t>; **** p &lt; 0.0001</w:t>
      </w:r>
      <w:r w:rsidR="00B47EE6" w:rsidRPr="007431E6">
        <w:rPr>
          <w:rFonts w:cstheme="minorHAnsi"/>
        </w:rPr>
        <w:t>.</w:t>
      </w:r>
      <w:r w:rsidR="00B47EE6">
        <w:rPr>
          <w:rFonts w:cstheme="minorHAnsi"/>
        </w:rPr>
        <w:t xml:space="preserve"> </w:t>
      </w:r>
    </w:p>
    <w:p w14:paraId="5C12DD4F" w14:textId="2C3AD8FF" w:rsidR="000F3212" w:rsidRDefault="000F3212">
      <w:pPr>
        <w:spacing w:line="259" w:lineRule="auto"/>
        <w:rPr>
          <w:rFonts w:cstheme="minorHAnsi"/>
        </w:rPr>
      </w:pPr>
      <w:r>
        <w:rPr>
          <w:rFonts w:cstheme="minorHAnsi"/>
        </w:rPr>
        <w:br w:type="page"/>
      </w:r>
    </w:p>
    <w:p w14:paraId="54B18FDE" w14:textId="1ABA00ED" w:rsidR="00E16F10" w:rsidRDefault="00E16F10">
      <w:pPr>
        <w:spacing w:line="259" w:lineRule="auto"/>
        <w:rPr>
          <w:rFonts w:cstheme="minorHAnsi"/>
        </w:rPr>
      </w:pPr>
      <w:r>
        <w:rPr>
          <w:rFonts w:cstheme="minorHAnsi"/>
          <w:noProof/>
          <w:lang w:val="en-IN" w:eastAsia="en-IN"/>
        </w:rPr>
        <w:lastRenderedPageBreak/>
        <w:drawing>
          <wp:inline distT="0" distB="0" distL="0" distR="0" wp14:anchorId="68B8B1AB" wp14:editId="5E7E4C8B">
            <wp:extent cx="5724525" cy="60293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88" b="5840"/>
                    <a:stretch/>
                  </pic:blipFill>
                  <pic:spPr bwMode="auto">
                    <a:xfrm>
                      <a:off x="0" y="0"/>
                      <a:ext cx="5724525" cy="6029325"/>
                    </a:xfrm>
                    <a:prstGeom prst="rect">
                      <a:avLst/>
                    </a:prstGeom>
                    <a:noFill/>
                    <a:ln>
                      <a:noFill/>
                    </a:ln>
                    <a:extLst>
                      <a:ext uri="{53640926-AAD7-44D8-BBD7-CCE9431645EC}">
                        <a14:shadowObscured xmlns:a14="http://schemas.microsoft.com/office/drawing/2010/main"/>
                      </a:ext>
                    </a:extLst>
                  </pic:spPr>
                </pic:pic>
              </a:graphicData>
            </a:graphic>
          </wp:inline>
        </w:drawing>
      </w:r>
    </w:p>
    <w:p w14:paraId="7706E56E" w14:textId="06E0ED4D" w:rsidR="002A4F4D" w:rsidRDefault="00E16F10" w:rsidP="00E16F10">
      <w:pPr>
        <w:pStyle w:val="FirstParagraph"/>
        <w:rPr>
          <w:rFonts w:cstheme="minorHAnsi"/>
        </w:rPr>
      </w:pPr>
      <w:r w:rsidRPr="007431E6">
        <w:rPr>
          <w:rFonts w:cstheme="minorHAnsi"/>
          <w:b/>
          <w:bCs/>
        </w:rPr>
        <w:t>Figure S</w:t>
      </w:r>
      <w:r w:rsidR="000F3212">
        <w:rPr>
          <w:rFonts w:cstheme="minorHAnsi"/>
          <w:b/>
          <w:bCs/>
        </w:rPr>
        <w:t>6</w:t>
      </w:r>
      <w:r w:rsidRPr="007431E6">
        <w:rPr>
          <w:rFonts w:cstheme="minorHAnsi"/>
          <w:b/>
          <w:bCs/>
        </w:rPr>
        <w:t xml:space="preserve">. </w:t>
      </w:r>
      <w:r w:rsidRPr="007431E6">
        <w:rPr>
          <w:rFonts w:cstheme="minorHAnsi"/>
          <w:b/>
          <w:bCs/>
          <w:i/>
          <w:iCs/>
        </w:rPr>
        <w:t xml:space="preserve">Acvrl1 </w:t>
      </w:r>
      <w:r w:rsidRPr="007431E6">
        <w:rPr>
          <w:rFonts w:cstheme="minorHAnsi"/>
          <w:b/>
          <w:bCs/>
        </w:rPr>
        <w:t xml:space="preserve">is successfully recombined in hepatic endothelial cells of </w:t>
      </w:r>
      <w:r w:rsidRPr="007431E6">
        <w:rPr>
          <w:rFonts w:cstheme="minorHAnsi"/>
          <w:b/>
          <w:bCs/>
          <w:i/>
          <w:iCs/>
        </w:rPr>
        <w:t>Alk1</w:t>
      </w:r>
      <w:r w:rsidRPr="007431E6">
        <w:rPr>
          <w:rFonts w:cstheme="minorHAnsi"/>
          <w:b/>
          <w:bCs/>
          <w:vertAlign w:val="superscript"/>
        </w:rPr>
        <w:t>HEC-KO</w:t>
      </w:r>
      <w:r w:rsidRPr="007431E6">
        <w:rPr>
          <w:rFonts w:cstheme="minorHAnsi"/>
          <w:b/>
        </w:rPr>
        <w:t xml:space="preserve"> mice.</w:t>
      </w:r>
      <w:r>
        <w:rPr>
          <w:rFonts w:cstheme="minorHAnsi"/>
          <w:b/>
        </w:rPr>
        <w:t xml:space="preserve"> </w:t>
      </w:r>
      <w:r w:rsidRPr="007431E6">
        <w:rPr>
          <w:rFonts w:cstheme="minorHAnsi"/>
        </w:rPr>
        <w:t xml:space="preserve">(A) Hierarchical clustering for principal </w:t>
      </w:r>
      <w:r w:rsidR="000D6ECD" w:rsidRPr="007431E6">
        <w:rPr>
          <w:rFonts w:cstheme="minorHAnsi"/>
        </w:rPr>
        <w:t>components</w:t>
      </w:r>
      <w:r w:rsidRPr="007431E6">
        <w:rPr>
          <w:rFonts w:cstheme="minorHAnsi"/>
        </w:rPr>
        <w:t xml:space="preserve"> of RNA sequencing data from isolated hepatic endothelial cells (n = 5). (B) Gene tracks for isolated hepatic endothelial RNA samples at the </w:t>
      </w:r>
      <w:r w:rsidRPr="007431E6">
        <w:rPr>
          <w:rFonts w:cstheme="minorHAnsi"/>
          <w:i/>
          <w:iCs/>
        </w:rPr>
        <w:t xml:space="preserve">Acvrl1 </w:t>
      </w:r>
      <w:r w:rsidRPr="007431E6">
        <w:rPr>
          <w:rFonts w:cstheme="minorHAnsi"/>
        </w:rPr>
        <w:t xml:space="preserve">gene (alias </w:t>
      </w:r>
      <w:r w:rsidRPr="007431E6">
        <w:rPr>
          <w:rFonts w:cstheme="minorHAnsi"/>
          <w:i/>
          <w:iCs/>
        </w:rPr>
        <w:t>Alk1</w:t>
      </w:r>
      <w:r w:rsidRPr="007431E6">
        <w:rPr>
          <w:rFonts w:cstheme="minorHAnsi"/>
        </w:rPr>
        <w:t xml:space="preserve">) with annotation for Exons 4-6 that are flanked by </w:t>
      </w:r>
      <w:proofErr w:type="spellStart"/>
      <w:r w:rsidRPr="007431E6">
        <w:rPr>
          <w:rFonts w:cstheme="minorHAnsi"/>
        </w:rPr>
        <w:t>loxP</w:t>
      </w:r>
      <w:proofErr w:type="spellEnd"/>
      <w:r w:rsidRPr="007431E6">
        <w:rPr>
          <w:rFonts w:cstheme="minorHAnsi"/>
        </w:rPr>
        <w:t xml:space="preserve"> sites (n = 5). (C) Quantification for the</w:t>
      </w:r>
      <w:r w:rsidR="003A53BC">
        <w:rPr>
          <w:rFonts w:cstheme="minorHAnsi"/>
        </w:rPr>
        <w:t xml:space="preserve"> </w:t>
      </w:r>
      <w:r w:rsidR="003A53BC" w:rsidRPr="003A53BC">
        <w:rPr>
          <w:rFonts w:cstheme="minorHAnsi"/>
          <w:i/>
        </w:rPr>
        <w:t>Acvrl1</w:t>
      </w:r>
      <w:r w:rsidR="003A53BC">
        <w:rPr>
          <w:rFonts w:cstheme="minorHAnsi"/>
        </w:rPr>
        <w:t xml:space="preserve"> gene</w:t>
      </w:r>
      <w:r w:rsidRPr="007431E6">
        <w:rPr>
          <w:rFonts w:cstheme="minorHAnsi"/>
        </w:rPr>
        <w:t xml:space="preserve"> reads </w:t>
      </w:r>
      <w:r w:rsidR="003A53BC">
        <w:rPr>
          <w:rFonts w:cstheme="minorHAnsi"/>
        </w:rPr>
        <w:t>mapped to</w:t>
      </w:r>
      <w:r w:rsidRPr="007431E6">
        <w:rPr>
          <w:rFonts w:cstheme="minorHAnsi"/>
        </w:rPr>
        <w:t xml:space="preserve"> </w:t>
      </w:r>
      <w:r w:rsidR="003A53BC">
        <w:rPr>
          <w:rFonts w:cstheme="minorHAnsi"/>
        </w:rPr>
        <w:t xml:space="preserve">the </w:t>
      </w:r>
      <w:r w:rsidRPr="007431E6">
        <w:rPr>
          <w:rFonts w:cstheme="minorHAnsi"/>
        </w:rPr>
        <w:t xml:space="preserve">exons 4-6 </w:t>
      </w:r>
      <w:r w:rsidR="003A53BC">
        <w:rPr>
          <w:rFonts w:cstheme="minorHAnsi"/>
        </w:rPr>
        <w:t>or to the region outside</w:t>
      </w:r>
      <w:r w:rsidRPr="007431E6">
        <w:rPr>
          <w:rFonts w:cstheme="minorHAnsi"/>
        </w:rPr>
        <w:t xml:space="preserve"> exons 4-6 (n = 5). (C) Welch’s t test. ** </w:t>
      </w:r>
      <w:proofErr w:type="gramStart"/>
      <w:r w:rsidRPr="007431E6">
        <w:rPr>
          <w:rFonts w:cstheme="minorHAnsi"/>
        </w:rPr>
        <w:t>p</w:t>
      </w:r>
      <w:proofErr w:type="gramEnd"/>
      <w:r w:rsidRPr="007431E6">
        <w:rPr>
          <w:rFonts w:cstheme="minorHAnsi"/>
        </w:rPr>
        <w:t xml:space="preserve"> &lt; 0.01; *** p &lt; 0.001.</w:t>
      </w:r>
    </w:p>
    <w:p w14:paraId="2BBC4C88" w14:textId="77777777" w:rsidR="002A4F4D" w:rsidRDefault="002A4F4D">
      <w:pPr>
        <w:spacing w:line="259" w:lineRule="auto"/>
        <w:rPr>
          <w:rFonts w:cstheme="minorHAnsi"/>
        </w:rPr>
      </w:pPr>
      <w:r>
        <w:rPr>
          <w:rFonts w:cstheme="minorHAnsi"/>
        </w:rPr>
        <w:br w:type="page"/>
      </w:r>
    </w:p>
    <w:p w14:paraId="71465B6E" w14:textId="2E294B05" w:rsidR="002A4F4D" w:rsidRDefault="000F3212" w:rsidP="002A4F4D">
      <w:pPr>
        <w:pStyle w:val="BodyText"/>
      </w:pPr>
      <w:r>
        <w:rPr>
          <w:noProof/>
          <w:lang w:val="en-IN" w:eastAsia="en-IN"/>
        </w:rPr>
        <w:lastRenderedPageBreak/>
        <w:drawing>
          <wp:inline distT="0" distB="0" distL="0" distR="0" wp14:anchorId="1CFDEC2C" wp14:editId="6627D6AF">
            <wp:extent cx="5734050" cy="7524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07" b="2969"/>
                    <a:stretch/>
                  </pic:blipFill>
                  <pic:spPr bwMode="auto">
                    <a:xfrm>
                      <a:off x="0" y="0"/>
                      <a:ext cx="5734050" cy="7524750"/>
                    </a:xfrm>
                    <a:prstGeom prst="rect">
                      <a:avLst/>
                    </a:prstGeom>
                    <a:noFill/>
                    <a:ln>
                      <a:noFill/>
                    </a:ln>
                    <a:extLst>
                      <a:ext uri="{53640926-AAD7-44D8-BBD7-CCE9431645EC}">
                        <a14:shadowObscured xmlns:a14="http://schemas.microsoft.com/office/drawing/2010/main"/>
                      </a:ext>
                    </a:extLst>
                  </pic:spPr>
                </pic:pic>
              </a:graphicData>
            </a:graphic>
          </wp:inline>
        </w:drawing>
      </w:r>
    </w:p>
    <w:p w14:paraId="012FDA3C" w14:textId="24F31A82" w:rsidR="000F3212" w:rsidRDefault="00787C7F">
      <w:pPr>
        <w:spacing w:line="259" w:lineRule="auto"/>
      </w:pPr>
      <w:r w:rsidRPr="007431E6">
        <w:rPr>
          <w:rFonts w:cstheme="minorHAnsi"/>
          <w:b/>
          <w:bCs/>
        </w:rPr>
        <w:t>Figure S</w:t>
      </w:r>
      <w:r w:rsidR="00CE5421">
        <w:rPr>
          <w:rFonts w:cstheme="minorHAnsi"/>
          <w:b/>
          <w:bCs/>
        </w:rPr>
        <w:t>7</w:t>
      </w:r>
      <w:r w:rsidRPr="007431E6">
        <w:rPr>
          <w:rFonts w:cstheme="minorHAnsi"/>
          <w:b/>
          <w:bCs/>
        </w:rPr>
        <w:t>.</w:t>
      </w:r>
      <w:r>
        <w:rPr>
          <w:rFonts w:cstheme="minorHAnsi"/>
          <w:b/>
          <w:bCs/>
        </w:rPr>
        <w:t xml:space="preserve"> </w:t>
      </w:r>
      <w:proofErr w:type="gramStart"/>
      <w:r w:rsidRPr="00520BEE">
        <w:rPr>
          <w:rFonts w:cstheme="minorHAnsi"/>
          <w:b/>
          <w:bCs/>
        </w:rPr>
        <w:t>Increased expression of tip cell markers</w:t>
      </w:r>
      <w:r>
        <w:rPr>
          <w:rFonts w:cstheme="minorHAnsi"/>
          <w:b/>
          <w:bCs/>
          <w:i/>
        </w:rPr>
        <w:t xml:space="preserve"> </w:t>
      </w:r>
      <w:proofErr w:type="spellStart"/>
      <w:r>
        <w:rPr>
          <w:rFonts w:cstheme="minorHAnsi"/>
          <w:b/>
          <w:bCs/>
          <w:i/>
        </w:rPr>
        <w:t>Apln</w:t>
      </w:r>
      <w:proofErr w:type="spellEnd"/>
      <w:r>
        <w:rPr>
          <w:rFonts w:cstheme="minorHAnsi"/>
          <w:b/>
          <w:bCs/>
          <w:i/>
        </w:rPr>
        <w:t xml:space="preserve"> </w:t>
      </w:r>
      <w:r w:rsidRPr="00520BEE">
        <w:rPr>
          <w:rFonts w:cstheme="minorHAnsi"/>
          <w:b/>
          <w:bCs/>
        </w:rPr>
        <w:t>and</w:t>
      </w:r>
      <w:r>
        <w:rPr>
          <w:rFonts w:cstheme="minorHAnsi"/>
          <w:b/>
          <w:bCs/>
          <w:i/>
        </w:rPr>
        <w:t xml:space="preserve"> Esm1 </w:t>
      </w:r>
      <w:r w:rsidRPr="00520BEE">
        <w:rPr>
          <w:rFonts w:cstheme="minorHAnsi"/>
          <w:b/>
          <w:bCs/>
        </w:rPr>
        <w:t>in</w:t>
      </w:r>
      <w:r>
        <w:rPr>
          <w:rFonts w:cstheme="minorHAnsi"/>
          <w:b/>
          <w:bCs/>
          <w:i/>
        </w:rPr>
        <w:t xml:space="preserve"> Alk1</w:t>
      </w:r>
      <w:r w:rsidRPr="00520BEE">
        <w:rPr>
          <w:rFonts w:cstheme="minorHAnsi"/>
          <w:b/>
          <w:bCs/>
          <w:vertAlign w:val="superscript"/>
        </w:rPr>
        <w:t>HEC-KO</w:t>
      </w:r>
      <w:r w:rsidRPr="00520BEE">
        <w:rPr>
          <w:rFonts w:cstheme="minorHAnsi"/>
          <w:b/>
          <w:bCs/>
        </w:rPr>
        <w:t xml:space="preserve"> mice.</w:t>
      </w:r>
      <w:proofErr w:type="gramEnd"/>
      <w:r w:rsidRPr="00CE5421">
        <w:rPr>
          <w:rFonts w:cstheme="minorHAnsi"/>
          <w:b/>
          <w:bCs/>
        </w:rPr>
        <w:t xml:space="preserve"> </w:t>
      </w:r>
      <w:r w:rsidRPr="007431E6">
        <w:rPr>
          <w:rFonts w:cstheme="minorHAnsi"/>
        </w:rPr>
        <w:t xml:space="preserve">(A) </w:t>
      </w:r>
      <w:r w:rsidR="00E4401C">
        <w:rPr>
          <w:rFonts w:cstheme="minorHAnsi"/>
        </w:rPr>
        <w:t xml:space="preserve">FISH for </w:t>
      </w:r>
      <w:proofErr w:type="spellStart"/>
      <w:r w:rsidR="00E4401C" w:rsidRPr="00520BEE">
        <w:rPr>
          <w:rFonts w:cstheme="minorHAnsi"/>
          <w:i/>
        </w:rPr>
        <w:t>Apln</w:t>
      </w:r>
      <w:proofErr w:type="spellEnd"/>
      <w:r w:rsidR="00E4401C">
        <w:rPr>
          <w:rFonts w:cstheme="minorHAnsi"/>
        </w:rPr>
        <w:t xml:space="preserve"> and </w:t>
      </w:r>
      <w:r w:rsidR="00E4401C" w:rsidRPr="00520BEE">
        <w:rPr>
          <w:rFonts w:cstheme="minorHAnsi"/>
          <w:i/>
        </w:rPr>
        <w:t>Cdh5</w:t>
      </w:r>
      <w:r w:rsidR="00E4401C">
        <w:rPr>
          <w:rFonts w:cstheme="minorHAnsi"/>
        </w:rPr>
        <w:t xml:space="preserve"> of livers (n = 5). </w:t>
      </w:r>
      <w:r w:rsidR="00E4401C" w:rsidRPr="007431E6">
        <w:rPr>
          <w:rFonts w:cstheme="minorHAnsi"/>
        </w:rPr>
        <w:t>(</w:t>
      </w:r>
      <w:r w:rsidR="00E4401C">
        <w:rPr>
          <w:rFonts w:cstheme="minorHAnsi"/>
        </w:rPr>
        <w:t>B</w:t>
      </w:r>
      <w:r w:rsidR="00E4401C" w:rsidRPr="007431E6">
        <w:rPr>
          <w:rFonts w:cstheme="minorHAnsi"/>
        </w:rPr>
        <w:t xml:space="preserve">) </w:t>
      </w:r>
      <w:r w:rsidR="00E4401C">
        <w:rPr>
          <w:rFonts w:cstheme="minorHAnsi"/>
        </w:rPr>
        <w:t xml:space="preserve">FISH for </w:t>
      </w:r>
      <w:r w:rsidR="00E4401C" w:rsidRPr="00520BEE">
        <w:rPr>
          <w:rFonts w:cstheme="minorHAnsi"/>
          <w:i/>
        </w:rPr>
        <w:t>Esm1</w:t>
      </w:r>
      <w:r w:rsidR="00E4401C">
        <w:rPr>
          <w:rFonts w:cstheme="minorHAnsi"/>
        </w:rPr>
        <w:t xml:space="preserve"> and </w:t>
      </w:r>
      <w:r w:rsidR="00E4401C" w:rsidRPr="00520BEE">
        <w:rPr>
          <w:rFonts w:cstheme="minorHAnsi"/>
          <w:i/>
        </w:rPr>
        <w:t>Cdh5</w:t>
      </w:r>
      <w:r w:rsidR="00E4401C">
        <w:rPr>
          <w:rFonts w:cstheme="minorHAnsi"/>
        </w:rPr>
        <w:t xml:space="preserve"> of livers (n = 5). (C) </w:t>
      </w:r>
      <w:proofErr w:type="gramStart"/>
      <w:r w:rsidR="00E4401C">
        <w:rPr>
          <w:rFonts w:cstheme="minorHAnsi"/>
        </w:rPr>
        <w:t>qPCR</w:t>
      </w:r>
      <w:proofErr w:type="gramEnd"/>
      <w:r w:rsidR="00E4401C">
        <w:rPr>
          <w:rFonts w:cstheme="minorHAnsi"/>
        </w:rPr>
        <w:t xml:space="preserve"> of isolated hepatic endothelial cells for </w:t>
      </w:r>
      <w:proofErr w:type="spellStart"/>
      <w:r w:rsidR="00E4401C" w:rsidRPr="00520BEE">
        <w:rPr>
          <w:rFonts w:cstheme="minorHAnsi"/>
          <w:i/>
        </w:rPr>
        <w:t>Apln</w:t>
      </w:r>
      <w:proofErr w:type="spellEnd"/>
      <w:r w:rsidR="00E4401C">
        <w:rPr>
          <w:rFonts w:cstheme="minorHAnsi"/>
        </w:rPr>
        <w:t xml:space="preserve"> and </w:t>
      </w:r>
      <w:r w:rsidR="00E4401C" w:rsidRPr="00520BEE">
        <w:rPr>
          <w:rFonts w:cstheme="minorHAnsi"/>
          <w:i/>
        </w:rPr>
        <w:t>Esm1</w:t>
      </w:r>
      <w:r w:rsidR="00E4401C">
        <w:rPr>
          <w:rFonts w:cstheme="minorHAnsi"/>
        </w:rPr>
        <w:t xml:space="preserve">. Scale bars: 100 µm. (C) </w:t>
      </w:r>
      <w:r w:rsidR="00E4401C" w:rsidRPr="00C4107F">
        <w:rPr>
          <w:rFonts w:cstheme="minorHAnsi"/>
        </w:rPr>
        <w:t>Mann–Whitney U</w:t>
      </w:r>
      <w:r w:rsidR="00E4401C">
        <w:rPr>
          <w:rFonts w:cstheme="minorHAnsi"/>
        </w:rPr>
        <w:t> </w:t>
      </w:r>
      <w:r w:rsidR="00E4401C" w:rsidRPr="00C4107F">
        <w:rPr>
          <w:rFonts w:cstheme="minorHAnsi"/>
        </w:rPr>
        <w:t>test. *</w:t>
      </w:r>
      <w:r w:rsidR="00E4401C">
        <w:rPr>
          <w:rFonts w:cstheme="minorHAnsi"/>
        </w:rPr>
        <w:t>* </w:t>
      </w:r>
      <w:proofErr w:type="gramStart"/>
      <w:r w:rsidR="00E4401C" w:rsidRPr="00C4107F">
        <w:rPr>
          <w:rFonts w:cstheme="minorHAnsi"/>
        </w:rPr>
        <w:t>p</w:t>
      </w:r>
      <w:proofErr w:type="gramEnd"/>
      <w:r w:rsidR="00E4401C">
        <w:rPr>
          <w:rFonts w:cstheme="minorHAnsi"/>
        </w:rPr>
        <w:t> </w:t>
      </w:r>
      <w:r w:rsidR="00E4401C" w:rsidRPr="00C4107F">
        <w:rPr>
          <w:rFonts w:cstheme="minorHAnsi"/>
        </w:rPr>
        <w:t>&lt;</w:t>
      </w:r>
      <w:r w:rsidR="00E4401C">
        <w:rPr>
          <w:rFonts w:cstheme="minorHAnsi"/>
        </w:rPr>
        <w:t> </w:t>
      </w:r>
      <w:r w:rsidR="00E4401C" w:rsidRPr="00C4107F">
        <w:rPr>
          <w:rFonts w:cstheme="minorHAnsi"/>
        </w:rPr>
        <w:t>0.0</w:t>
      </w:r>
      <w:r w:rsidR="00E4401C">
        <w:rPr>
          <w:rFonts w:cstheme="minorHAnsi"/>
        </w:rPr>
        <w:t>1</w:t>
      </w:r>
      <w:r w:rsidR="00E4401C" w:rsidRPr="00C4107F">
        <w:rPr>
          <w:rFonts w:cstheme="minorHAnsi"/>
        </w:rPr>
        <w:t>.</w:t>
      </w:r>
      <w:r w:rsidR="00E4401C">
        <w:rPr>
          <w:rFonts w:cstheme="minorHAnsi"/>
        </w:rPr>
        <w:t xml:space="preserve"> </w:t>
      </w:r>
      <w:r w:rsidR="000F3212">
        <w:br w:type="page"/>
      </w:r>
    </w:p>
    <w:p w14:paraId="0E7AAEC1" w14:textId="1CCAF6DD" w:rsidR="000F3212" w:rsidRPr="00520BEE" w:rsidRDefault="000F3212" w:rsidP="00520BEE">
      <w:pPr>
        <w:pStyle w:val="BodyText"/>
      </w:pPr>
      <w:r>
        <w:rPr>
          <w:noProof/>
          <w:lang w:val="en-IN" w:eastAsia="en-IN"/>
        </w:rPr>
        <w:lastRenderedPageBreak/>
        <w:drawing>
          <wp:inline distT="0" distB="0" distL="0" distR="0" wp14:anchorId="60EDE626" wp14:editId="1000832E">
            <wp:extent cx="5724525" cy="37814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17" b="39030"/>
                    <a:stretch/>
                  </pic:blipFill>
                  <pic:spPr bwMode="auto">
                    <a:xfrm>
                      <a:off x="0" y="0"/>
                      <a:ext cx="5724525"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1731D110" w14:textId="11EEA4F6" w:rsidR="001049D1" w:rsidRDefault="004B2A69" w:rsidP="001049D1">
      <w:pPr>
        <w:pStyle w:val="FirstParagraph"/>
      </w:pPr>
      <w:r w:rsidRPr="007431E6">
        <w:rPr>
          <w:rFonts w:cstheme="minorHAnsi"/>
          <w:b/>
          <w:bCs/>
        </w:rPr>
        <w:t>Figure S</w:t>
      </w:r>
      <w:r w:rsidR="00530D62">
        <w:rPr>
          <w:rFonts w:cstheme="minorHAnsi"/>
          <w:b/>
          <w:bCs/>
        </w:rPr>
        <w:t>8</w:t>
      </w:r>
      <w:r w:rsidRPr="007431E6">
        <w:rPr>
          <w:rFonts w:cstheme="minorHAnsi"/>
          <w:b/>
          <w:bCs/>
        </w:rPr>
        <w:t>.</w:t>
      </w:r>
      <w:r>
        <w:rPr>
          <w:rFonts w:cstheme="minorHAnsi"/>
          <w:b/>
          <w:bCs/>
        </w:rPr>
        <w:t xml:space="preserve"> </w:t>
      </w:r>
      <w:proofErr w:type="spellStart"/>
      <w:r w:rsidR="005728C3">
        <w:rPr>
          <w:rFonts w:cstheme="minorHAnsi"/>
          <w:b/>
          <w:bCs/>
        </w:rPr>
        <w:t>Angiocrine</w:t>
      </w:r>
      <w:proofErr w:type="spellEnd"/>
      <w:r w:rsidR="005728C3">
        <w:rPr>
          <w:rFonts w:cstheme="minorHAnsi"/>
          <w:b/>
          <w:bCs/>
        </w:rPr>
        <w:t xml:space="preserve"> factors are dysregulated</w:t>
      </w:r>
      <w:r>
        <w:rPr>
          <w:rFonts w:cstheme="minorHAnsi"/>
          <w:b/>
          <w:bCs/>
          <w:i/>
        </w:rPr>
        <w:t xml:space="preserve"> </w:t>
      </w:r>
      <w:r w:rsidRPr="00C4107F">
        <w:rPr>
          <w:rFonts w:cstheme="minorHAnsi"/>
          <w:b/>
          <w:bCs/>
        </w:rPr>
        <w:t>in</w:t>
      </w:r>
      <w:r>
        <w:rPr>
          <w:rFonts w:cstheme="minorHAnsi"/>
          <w:b/>
          <w:bCs/>
          <w:i/>
        </w:rPr>
        <w:t xml:space="preserve"> Alk1</w:t>
      </w:r>
      <w:r w:rsidRPr="00C4107F">
        <w:rPr>
          <w:rFonts w:cstheme="minorHAnsi"/>
          <w:b/>
          <w:bCs/>
          <w:vertAlign w:val="superscript"/>
        </w:rPr>
        <w:t>HEC-KO</w:t>
      </w:r>
      <w:r w:rsidRPr="00C4107F">
        <w:rPr>
          <w:rFonts w:cstheme="minorHAnsi"/>
          <w:b/>
          <w:bCs/>
        </w:rPr>
        <w:t xml:space="preserve"> mice. </w:t>
      </w:r>
      <w:r w:rsidRPr="007431E6">
        <w:rPr>
          <w:rFonts w:cstheme="minorHAnsi"/>
        </w:rPr>
        <w:t>(A)</w:t>
      </w:r>
      <w:r w:rsidR="002A7679" w:rsidRPr="002A7679">
        <w:rPr>
          <w:rFonts w:cstheme="minorHAnsi"/>
        </w:rPr>
        <w:t xml:space="preserve"> In-situ hybridization and quantification for </w:t>
      </w:r>
      <w:r w:rsidR="002A7679" w:rsidRPr="00520BEE">
        <w:rPr>
          <w:rFonts w:cstheme="minorHAnsi"/>
          <w:i/>
        </w:rPr>
        <w:t>Bmp2</w:t>
      </w:r>
      <w:r w:rsidR="002A7679" w:rsidRPr="002A7679">
        <w:rPr>
          <w:rFonts w:cstheme="minorHAnsi"/>
        </w:rPr>
        <w:t xml:space="preserve"> and </w:t>
      </w:r>
      <w:proofErr w:type="spellStart"/>
      <w:r w:rsidR="002A7679" w:rsidRPr="00520BEE">
        <w:rPr>
          <w:rFonts w:cstheme="minorHAnsi"/>
          <w:i/>
        </w:rPr>
        <w:t>Hgf</w:t>
      </w:r>
      <w:proofErr w:type="spellEnd"/>
      <w:r w:rsidR="002A7679" w:rsidRPr="002A7679">
        <w:rPr>
          <w:rFonts w:cstheme="minorHAnsi"/>
        </w:rPr>
        <w:t xml:space="preserve"> in livers (n = 6). </w:t>
      </w:r>
      <w:r w:rsidR="001049D1">
        <w:t>(B) Quantification of in-situ hybridizations</w:t>
      </w:r>
      <w:r>
        <w:t xml:space="preserve"> for </w:t>
      </w:r>
      <w:r w:rsidRPr="00520BEE">
        <w:rPr>
          <w:i/>
        </w:rPr>
        <w:t>Wnt2</w:t>
      </w:r>
      <w:r>
        <w:t xml:space="preserve">, </w:t>
      </w:r>
      <w:r w:rsidRPr="00520BEE">
        <w:rPr>
          <w:i/>
        </w:rPr>
        <w:t>Wnt9b</w:t>
      </w:r>
      <w:r>
        <w:t xml:space="preserve">, and </w:t>
      </w:r>
      <w:r w:rsidRPr="00520BEE">
        <w:rPr>
          <w:i/>
        </w:rPr>
        <w:t>Rspo3</w:t>
      </w:r>
      <w:r w:rsidR="001049D1">
        <w:t xml:space="preserve"> in </w:t>
      </w:r>
      <w:r>
        <w:t>Figure 6 C</w:t>
      </w:r>
      <w:r w:rsidR="001049D1">
        <w:t xml:space="preserve"> (n ≥ 4).</w:t>
      </w:r>
      <w:r w:rsidR="00707927">
        <w:t xml:space="preserve"> </w:t>
      </w:r>
      <w:r w:rsidR="00707927">
        <w:rPr>
          <w:rFonts w:cstheme="minorHAnsi"/>
        </w:rPr>
        <w:t>Scale bars: 100 µm.</w:t>
      </w:r>
      <w:r w:rsidR="001049D1">
        <w:t xml:space="preserve"> </w:t>
      </w:r>
      <w:r w:rsidR="000C0EEC" w:rsidRPr="000C0EEC">
        <w:t>(</w:t>
      </w:r>
      <w:r w:rsidR="004B324C">
        <w:t>B</w:t>
      </w:r>
      <w:r w:rsidR="000C0EEC" w:rsidRPr="000C0EEC">
        <w:t>) Mann–Whitney U test. *</w:t>
      </w:r>
      <w:r w:rsidR="004B324C">
        <w:t> </w:t>
      </w:r>
      <w:proofErr w:type="gramStart"/>
      <w:r w:rsidR="000C0EEC" w:rsidRPr="000C0EEC">
        <w:t>p</w:t>
      </w:r>
      <w:proofErr w:type="gramEnd"/>
      <w:r w:rsidR="004B324C">
        <w:t> </w:t>
      </w:r>
      <w:r w:rsidR="000C0EEC" w:rsidRPr="000C0EEC">
        <w:t>&lt;</w:t>
      </w:r>
      <w:r w:rsidR="004B324C">
        <w:t> </w:t>
      </w:r>
      <w:r w:rsidR="000C0EEC" w:rsidRPr="000C0EEC">
        <w:t>0.05</w:t>
      </w:r>
      <w:r w:rsidR="000C0EEC">
        <w:t>.</w:t>
      </w:r>
    </w:p>
    <w:p w14:paraId="0DCD4737" w14:textId="77777777" w:rsidR="001049D1" w:rsidRDefault="001049D1">
      <w:pPr>
        <w:spacing w:line="259" w:lineRule="auto"/>
        <w:rPr>
          <w:rFonts w:cstheme="minorHAnsi"/>
        </w:rPr>
      </w:pPr>
    </w:p>
    <w:p w14:paraId="131CAE24" w14:textId="0B171460" w:rsidR="00A6711E" w:rsidRDefault="00A6711E">
      <w:pPr>
        <w:spacing w:line="259" w:lineRule="auto"/>
        <w:rPr>
          <w:rFonts w:cstheme="minorHAnsi"/>
        </w:rPr>
      </w:pPr>
      <w:r>
        <w:rPr>
          <w:rFonts w:cstheme="minorHAnsi"/>
        </w:rPr>
        <w:br w:type="page"/>
      </w:r>
    </w:p>
    <w:p w14:paraId="0F756405" w14:textId="5EC2A17B" w:rsidR="000F3212" w:rsidRDefault="000F3212">
      <w:pPr>
        <w:spacing w:line="259" w:lineRule="auto"/>
        <w:rPr>
          <w:rFonts w:cstheme="minorHAnsi"/>
        </w:rPr>
      </w:pPr>
      <w:r>
        <w:rPr>
          <w:rFonts w:cstheme="minorHAnsi"/>
          <w:noProof/>
          <w:lang w:val="en-IN" w:eastAsia="en-IN"/>
        </w:rPr>
        <w:lastRenderedPageBreak/>
        <w:drawing>
          <wp:inline distT="0" distB="0" distL="0" distR="0" wp14:anchorId="54D8A18B" wp14:editId="1CD91DCC">
            <wp:extent cx="5705475" cy="754411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06" b="2257"/>
                    <a:stretch/>
                  </pic:blipFill>
                  <pic:spPr bwMode="auto">
                    <a:xfrm>
                      <a:off x="0" y="0"/>
                      <a:ext cx="5734695" cy="7582753"/>
                    </a:xfrm>
                    <a:prstGeom prst="rect">
                      <a:avLst/>
                    </a:prstGeom>
                    <a:noFill/>
                    <a:ln>
                      <a:noFill/>
                    </a:ln>
                    <a:extLst>
                      <a:ext uri="{53640926-AAD7-44D8-BBD7-CCE9431645EC}">
                        <a14:shadowObscured xmlns:a14="http://schemas.microsoft.com/office/drawing/2010/main"/>
                      </a:ext>
                    </a:extLst>
                  </pic:spPr>
                </pic:pic>
              </a:graphicData>
            </a:graphic>
          </wp:inline>
        </w:drawing>
      </w:r>
    </w:p>
    <w:p w14:paraId="06C9DDC1" w14:textId="2B89155D" w:rsidR="00154A3E" w:rsidRPr="007431E6" w:rsidRDefault="00154A3E" w:rsidP="00154A3E">
      <w:pPr>
        <w:pStyle w:val="FirstParagraph"/>
        <w:rPr>
          <w:rFonts w:cstheme="minorHAnsi"/>
        </w:rPr>
      </w:pPr>
      <w:r w:rsidRPr="00520BEE">
        <w:rPr>
          <w:rFonts w:cstheme="minorHAnsi"/>
          <w:b/>
          <w:bCs/>
        </w:rPr>
        <w:t>Figure S</w:t>
      </w:r>
      <w:r w:rsidR="009E5F78" w:rsidRPr="00520BEE">
        <w:rPr>
          <w:rFonts w:cstheme="minorHAnsi"/>
          <w:b/>
          <w:bCs/>
        </w:rPr>
        <w:t>9</w:t>
      </w:r>
      <w:r w:rsidRPr="00520BEE">
        <w:rPr>
          <w:rFonts w:cstheme="minorHAnsi"/>
          <w:b/>
          <w:bCs/>
        </w:rPr>
        <w:t xml:space="preserve">. Loss of endothelial </w:t>
      </w:r>
      <w:r w:rsidRPr="00520BEE">
        <w:rPr>
          <w:rFonts w:cstheme="minorHAnsi"/>
          <w:b/>
          <w:bCs/>
          <w:i/>
          <w:iCs/>
        </w:rPr>
        <w:t xml:space="preserve">Alk1 </w:t>
      </w:r>
      <w:r w:rsidRPr="00520BEE">
        <w:rPr>
          <w:rFonts w:cstheme="minorHAnsi"/>
          <w:b/>
          <w:bCs/>
        </w:rPr>
        <w:t xml:space="preserve">disrupts hepatic metabolic zonation. </w:t>
      </w:r>
      <w:r w:rsidRPr="00520BEE">
        <w:rPr>
          <w:rFonts w:cstheme="minorHAnsi"/>
        </w:rPr>
        <w:t>(A)</w:t>
      </w:r>
      <w:r w:rsidR="00CC5D47">
        <w:rPr>
          <w:rFonts w:cstheme="minorHAnsi"/>
        </w:rPr>
        <w:t xml:space="preserve"> </w:t>
      </w:r>
      <w:r w:rsidR="00CC5D47" w:rsidRPr="00CC5D47">
        <w:rPr>
          <w:rFonts w:cstheme="minorHAnsi"/>
        </w:rPr>
        <w:t>Immunofluorescence and quantification for RHBG (n = 4).</w:t>
      </w:r>
      <w:r w:rsidR="00CC5D47">
        <w:rPr>
          <w:rFonts w:cstheme="minorHAnsi"/>
        </w:rPr>
        <w:t xml:space="preserve"> (B) Immunohistochemistry and quantification for GLS2 and HAL (n = 5). (C-D) </w:t>
      </w:r>
      <w:proofErr w:type="gramStart"/>
      <w:r w:rsidR="00CC5D47">
        <w:rPr>
          <w:rFonts w:cstheme="minorHAnsi"/>
        </w:rPr>
        <w:t>Immunofluorescence of livers for GS, LYVE1, and EMCN at the age of (C) one or (D) six months.</w:t>
      </w:r>
      <w:proofErr w:type="gramEnd"/>
      <w:r w:rsidR="00CC5D47">
        <w:rPr>
          <w:rFonts w:cstheme="minorHAnsi"/>
        </w:rPr>
        <w:t xml:space="preserve"> (E) </w:t>
      </w:r>
      <w:r w:rsidR="00CC5D47" w:rsidRPr="00CC5D47">
        <w:rPr>
          <w:rFonts w:cstheme="minorHAnsi"/>
        </w:rPr>
        <w:t xml:space="preserve">Hierarchical clustering for principal </w:t>
      </w:r>
      <w:r w:rsidR="00CC5D47" w:rsidRPr="00CC5D47">
        <w:rPr>
          <w:rFonts w:cstheme="minorHAnsi"/>
        </w:rPr>
        <w:lastRenderedPageBreak/>
        <w:t>components of RNA sequencing data from whole liver lysates (n = 5).</w:t>
      </w:r>
      <w:r w:rsidR="00CC5D47">
        <w:rPr>
          <w:rFonts w:cstheme="minorHAnsi"/>
        </w:rPr>
        <w:t xml:space="preserve"> </w:t>
      </w:r>
      <w:r w:rsidR="00CC5D47" w:rsidRPr="00CC5D47">
        <w:rPr>
          <w:rFonts w:cstheme="minorHAnsi"/>
        </w:rPr>
        <w:t>Scale bars: 100</w:t>
      </w:r>
      <w:r w:rsidR="00CC5D47">
        <w:rPr>
          <w:rFonts w:cstheme="minorHAnsi"/>
        </w:rPr>
        <w:t> </w:t>
      </w:r>
      <w:r w:rsidR="00CC5D47" w:rsidRPr="00CC5D47">
        <w:rPr>
          <w:rFonts w:cstheme="minorHAnsi"/>
        </w:rPr>
        <w:t>µm.</w:t>
      </w:r>
      <w:r w:rsidR="00A4446B">
        <w:rPr>
          <w:rFonts w:cstheme="minorHAnsi"/>
        </w:rPr>
        <w:t xml:space="preserve"> </w:t>
      </w:r>
      <w:r w:rsidR="00A4446B" w:rsidRPr="00C4107F">
        <w:rPr>
          <w:rFonts w:cstheme="minorHAnsi"/>
        </w:rPr>
        <w:t>(</w:t>
      </w:r>
      <w:r w:rsidR="00A4446B">
        <w:rPr>
          <w:rFonts w:cstheme="minorHAnsi"/>
        </w:rPr>
        <w:t>A</w:t>
      </w:r>
      <w:r w:rsidR="00A4446B" w:rsidRPr="00C4107F">
        <w:rPr>
          <w:rFonts w:cstheme="minorHAnsi"/>
        </w:rPr>
        <w:t>) Welch’s t test</w:t>
      </w:r>
      <w:r w:rsidR="00A4446B">
        <w:rPr>
          <w:rFonts w:cstheme="minorHAnsi"/>
        </w:rPr>
        <w:t>; (B)</w:t>
      </w:r>
      <w:r w:rsidR="00CC5D47">
        <w:rPr>
          <w:rFonts w:cstheme="minorHAnsi"/>
        </w:rPr>
        <w:t xml:space="preserve"> </w:t>
      </w:r>
      <w:r w:rsidRPr="00520BEE">
        <w:rPr>
          <w:rFonts w:cstheme="minorHAnsi"/>
        </w:rPr>
        <w:t>Mann–Whitney U test</w:t>
      </w:r>
      <w:r w:rsidR="00A4446B">
        <w:rPr>
          <w:rFonts w:cstheme="minorHAnsi"/>
        </w:rPr>
        <w:t xml:space="preserve">. </w:t>
      </w:r>
      <w:r w:rsidRPr="00520BEE">
        <w:rPr>
          <w:rFonts w:cstheme="minorHAnsi"/>
        </w:rPr>
        <w:t>*</w:t>
      </w:r>
      <w:r w:rsidR="00A4446B">
        <w:rPr>
          <w:rFonts w:cstheme="minorHAnsi"/>
        </w:rPr>
        <w:t> </w:t>
      </w:r>
      <w:proofErr w:type="gramStart"/>
      <w:r w:rsidRPr="00520BEE">
        <w:rPr>
          <w:rFonts w:cstheme="minorHAnsi"/>
        </w:rPr>
        <w:t>p</w:t>
      </w:r>
      <w:proofErr w:type="gramEnd"/>
      <w:r w:rsidR="00A4446B">
        <w:rPr>
          <w:rFonts w:cstheme="minorHAnsi"/>
        </w:rPr>
        <w:t> </w:t>
      </w:r>
      <w:r w:rsidRPr="00520BEE">
        <w:rPr>
          <w:rFonts w:cstheme="minorHAnsi"/>
        </w:rPr>
        <w:t>&lt;</w:t>
      </w:r>
      <w:r w:rsidR="00A4446B">
        <w:rPr>
          <w:rFonts w:cstheme="minorHAnsi"/>
        </w:rPr>
        <w:t> </w:t>
      </w:r>
      <w:r w:rsidRPr="00520BEE">
        <w:rPr>
          <w:rFonts w:cstheme="minorHAnsi"/>
        </w:rPr>
        <w:t>0.05; **</w:t>
      </w:r>
      <w:r w:rsidR="00A4446B">
        <w:rPr>
          <w:rFonts w:cstheme="minorHAnsi"/>
        </w:rPr>
        <w:t> </w:t>
      </w:r>
      <w:r w:rsidRPr="00520BEE">
        <w:rPr>
          <w:rFonts w:cstheme="minorHAnsi"/>
        </w:rPr>
        <w:t>p</w:t>
      </w:r>
      <w:r w:rsidR="00A4446B">
        <w:rPr>
          <w:rFonts w:cstheme="minorHAnsi"/>
        </w:rPr>
        <w:t> </w:t>
      </w:r>
      <w:r w:rsidRPr="00520BEE">
        <w:rPr>
          <w:rFonts w:cstheme="minorHAnsi"/>
        </w:rPr>
        <w:t>&lt;</w:t>
      </w:r>
      <w:r w:rsidR="00A4446B">
        <w:rPr>
          <w:rFonts w:cstheme="minorHAnsi"/>
        </w:rPr>
        <w:t> </w:t>
      </w:r>
      <w:r w:rsidRPr="00520BEE">
        <w:rPr>
          <w:rFonts w:cstheme="minorHAnsi"/>
        </w:rPr>
        <w:t>0.01.</w:t>
      </w:r>
    </w:p>
    <w:p w14:paraId="017F6369" w14:textId="3AC30F1A" w:rsidR="005270C7" w:rsidRPr="007431E6" w:rsidRDefault="005270C7" w:rsidP="00662018">
      <w:pPr>
        <w:pStyle w:val="Compact"/>
        <w:spacing w:before="100" w:after="100"/>
        <w:rPr>
          <w:rFonts w:cstheme="minorHAnsi"/>
        </w:rPr>
      </w:pPr>
    </w:p>
    <w:p w14:paraId="530490E2" w14:textId="565D8521" w:rsidR="007070B4" w:rsidRDefault="007070B4" w:rsidP="00CA2EEF">
      <w:pPr>
        <w:rPr>
          <w:rFonts w:cstheme="minorHAnsi"/>
        </w:rPr>
        <w:sectPr w:rsidR="007070B4">
          <w:headerReference w:type="default" r:id="rId17"/>
          <w:pgSz w:w="11906" w:h="16838"/>
          <w:pgMar w:top="1440" w:right="1440" w:bottom="1440" w:left="1440" w:header="708" w:footer="708" w:gutter="0"/>
          <w:cols w:space="708"/>
          <w:docGrid w:linePitch="360"/>
        </w:sectPr>
      </w:pPr>
    </w:p>
    <w:p w14:paraId="2296E94F" w14:textId="368A42AD" w:rsidR="007070B4" w:rsidRDefault="007070B4" w:rsidP="00CA2EEF">
      <w:pPr>
        <w:rPr>
          <w:rFonts w:cstheme="minorHAnsi"/>
        </w:rPr>
      </w:pPr>
      <w:r>
        <w:rPr>
          <w:rFonts w:cstheme="minorHAnsi"/>
        </w:rPr>
        <w:lastRenderedPageBreak/>
        <w:t xml:space="preserve">Table S1. </w:t>
      </w:r>
      <w:proofErr w:type="gramStart"/>
      <w:r>
        <w:rPr>
          <w:rFonts w:cstheme="minorHAnsi"/>
        </w:rPr>
        <w:t>Plasma values.</w:t>
      </w:r>
      <w:proofErr w:type="gramEnd"/>
    </w:p>
    <w:tbl>
      <w:tblPr>
        <w:tblW w:w="15520" w:type="dxa"/>
        <w:tblLook w:val="04A0" w:firstRow="1" w:lastRow="0" w:firstColumn="1" w:lastColumn="0" w:noHBand="0" w:noVBand="1"/>
      </w:tblPr>
      <w:tblGrid>
        <w:gridCol w:w="3040"/>
        <w:gridCol w:w="2100"/>
        <w:gridCol w:w="1460"/>
        <w:gridCol w:w="1320"/>
        <w:gridCol w:w="740"/>
        <w:gridCol w:w="1720"/>
        <w:gridCol w:w="1340"/>
        <w:gridCol w:w="1300"/>
        <w:gridCol w:w="680"/>
        <w:gridCol w:w="1820"/>
      </w:tblGrid>
      <w:tr w:rsidR="007070B4" w:rsidRPr="003232D1" w14:paraId="7B8878D8" w14:textId="77777777" w:rsidTr="00232647">
        <w:trPr>
          <w:trHeight w:val="420"/>
        </w:trPr>
        <w:tc>
          <w:tcPr>
            <w:tcW w:w="3040" w:type="dxa"/>
            <w:tcBorders>
              <w:top w:val="nil"/>
              <w:left w:val="nil"/>
              <w:bottom w:val="nil"/>
              <w:right w:val="nil"/>
            </w:tcBorders>
            <w:shd w:val="clear" w:color="auto" w:fill="auto"/>
            <w:noWrap/>
            <w:vAlign w:val="bottom"/>
            <w:hideMark/>
          </w:tcPr>
          <w:p w14:paraId="0F44C5B8" w14:textId="77777777" w:rsidR="007070B4" w:rsidRPr="003232D1" w:rsidRDefault="007070B4" w:rsidP="00232647">
            <w:pPr>
              <w:spacing w:after="0" w:line="240" w:lineRule="auto"/>
              <w:rPr>
                <w:rFonts w:ascii="Calibri" w:eastAsia="Times New Roman" w:hAnsi="Calibri" w:cs="Calibri"/>
                <w:b/>
                <w:bCs/>
                <w:color w:val="000000"/>
                <w:sz w:val="32"/>
                <w:szCs w:val="32"/>
              </w:rPr>
            </w:pPr>
            <w:r w:rsidRPr="003232D1">
              <w:rPr>
                <w:rFonts w:ascii="Calibri" w:eastAsia="Times New Roman" w:hAnsi="Calibri" w:cs="Calibri"/>
                <w:b/>
                <w:bCs/>
                <w:color w:val="000000"/>
                <w:sz w:val="32"/>
                <w:szCs w:val="32"/>
              </w:rPr>
              <w:t>Females, 3 months</w:t>
            </w:r>
          </w:p>
        </w:tc>
        <w:tc>
          <w:tcPr>
            <w:tcW w:w="2100" w:type="dxa"/>
            <w:tcBorders>
              <w:top w:val="nil"/>
              <w:left w:val="nil"/>
              <w:bottom w:val="nil"/>
              <w:right w:val="nil"/>
            </w:tcBorders>
            <w:shd w:val="clear" w:color="auto" w:fill="auto"/>
            <w:noWrap/>
            <w:vAlign w:val="bottom"/>
            <w:hideMark/>
          </w:tcPr>
          <w:p w14:paraId="5C61E69A" w14:textId="77777777" w:rsidR="007070B4" w:rsidRPr="003232D1" w:rsidRDefault="007070B4" w:rsidP="00232647">
            <w:pPr>
              <w:spacing w:after="0" w:line="240" w:lineRule="auto"/>
              <w:rPr>
                <w:rFonts w:ascii="Calibri" w:eastAsia="Times New Roman" w:hAnsi="Calibri" w:cs="Calibri"/>
                <w:b/>
                <w:bCs/>
                <w:color w:val="000000"/>
                <w:sz w:val="32"/>
                <w:szCs w:val="32"/>
              </w:rPr>
            </w:pPr>
          </w:p>
        </w:tc>
        <w:tc>
          <w:tcPr>
            <w:tcW w:w="1460" w:type="dxa"/>
            <w:tcBorders>
              <w:top w:val="nil"/>
              <w:left w:val="nil"/>
              <w:bottom w:val="nil"/>
              <w:right w:val="nil"/>
            </w:tcBorders>
            <w:shd w:val="clear" w:color="auto" w:fill="auto"/>
            <w:noWrap/>
            <w:vAlign w:val="bottom"/>
            <w:hideMark/>
          </w:tcPr>
          <w:p w14:paraId="32D89C14"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AE887F4"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05B46992"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720" w:type="dxa"/>
            <w:tcBorders>
              <w:top w:val="nil"/>
              <w:left w:val="nil"/>
              <w:bottom w:val="nil"/>
              <w:right w:val="nil"/>
            </w:tcBorders>
            <w:shd w:val="clear" w:color="auto" w:fill="auto"/>
            <w:noWrap/>
            <w:vAlign w:val="bottom"/>
            <w:hideMark/>
          </w:tcPr>
          <w:p w14:paraId="7542B5EA"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B49D4D6"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A76CEE9"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3AECB130"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14:paraId="255651AF" w14:textId="77777777" w:rsidR="007070B4" w:rsidRPr="003232D1" w:rsidRDefault="007070B4" w:rsidP="00232647">
            <w:pPr>
              <w:spacing w:after="0" w:line="240" w:lineRule="auto"/>
              <w:rPr>
                <w:rFonts w:ascii="Times New Roman" w:eastAsia="Times New Roman" w:hAnsi="Times New Roman" w:cs="Times New Roman"/>
                <w:sz w:val="20"/>
                <w:szCs w:val="20"/>
              </w:rPr>
            </w:pPr>
          </w:p>
        </w:tc>
      </w:tr>
      <w:tr w:rsidR="007070B4" w:rsidRPr="003232D1" w14:paraId="1E0899CB" w14:textId="77777777" w:rsidTr="00232647">
        <w:trPr>
          <w:trHeight w:val="300"/>
        </w:trPr>
        <w:tc>
          <w:tcPr>
            <w:tcW w:w="3040" w:type="dxa"/>
            <w:tcBorders>
              <w:top w:val="nil"/>
              <w:left w:val="nil"/>
              <w:bottom w:val="nil"/>
              <w:right w:val="nil"/>
            </w:tcBorders>
            <w:shd w:val="clear" w:color="auto" w:fill="auto"/>
            <w:noWrap/>
            <w:vAlign w:val="bottom"/>
            <w:hideMark/>
          </w:tcPr>
          <w:p w14:paraId="3D90E13E"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56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1DDB37"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Control</w:t>
            </w:r>
          </w:p>
        </w:tc>
        <w:tc>
          <w:tcPr>
            <w:tcW w:w="50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66FC90F"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Alk1-HEC-KO</w:t>
            </w:r>
          </w:p>
        </w:tc>
        <w:tc>
          <w:tcPr>
            <w:tcW w:w="1820" w:type="dxa"/>
            <w:tcBorders>
              <w:top w:val="nil"/>
              <w:left w:val="nil"/>
              <w:bottom w:val="nil"/>
              <w:right w:val="nil"/>
            </w:tcBorders>
            <w:shd w:val="clear" w:color="auto" w:fill="auto"/>
            <w:noWrap/>
            <w:vAlign w:val="bottom"/>
            <w:hideMark/>
          </w:tcPr>
          <w:p w14:paraId="69813CDB" w14:textId="77777777" w:rsidR="007070B4" w:rsidRPr="003232D1" w:rsidRDefault="007070B4" w:rsidP="00232647">
            <w:pPr>
              <w:spacing w:after="0" w:line="240" w:lineRule="auto"/>
              <w:jc w:val="center"/>
              <w:rPr>
                <w:rFonts w:ascii="Calibri" w:eastAsia="Times New Roman" w:hAnsi="Calibri" w:cs="Calibri"/>
                <w:b/>
                <w:bCs/>
                <w:color w:val="000000"/>
              </w:rPr>
            </w:pPr>
          </w:p>
        </w:tc>
      </w:tr>
      <w:tr w:rsidR="007070B4" w:rsidRPr="003232D1" w14:paraId="655980A4" w14:textId="77777777" w:rsidTr="00232647">
        <w:trPr>
          <w:trHeight w:val="300"/>
        </w:trPr>
        <w:tc>
          <w:tcPr>
            <w:tcW w:w="3040" w:type="dxa"/>
            <w:tcBorders>
              <w:top w:val="nil"/>
              <w:left w:val="nil"/>
              <w:bottom w:val="single" w:sz="4" w:space="0" w:color="auto"/>
              <w:right w:val="single" w:sz="4" w:space="0" w:color="auto"/>
            </w:tcBorders>
            <w:shd w:val="clear" w:color="auto" w:fill="auto"/>
            <w:noWrap/>
            <w:vAlign w:val="bottom"/>
            <w:hideMark/>
          </w:tcPr>
          <w:p w14:paraId="4B00BA5E"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 </w:t>
            </w:r>
          </w:p>
        </w:tc>
        <w:tc>
          <w:tcPr>
            <w:tcW w:w="2100" w:type="dxa"/>
            <w:tcBorders>
              <w:top w:val="nil"/>
              <w:left w:val="nil"/>
              <w:bottom w:val="single" w:sz="4" w:space="0" w:color="auto"/>
              <w:right w:val="nil"/>
            </w:tcBorders>
            <w:shd w:val="clear" w:color="auto" w:fill="auto"/>
            <w:noWrap/>
            <w:vAlign w:val="bottom"/>
            <w:hideMark/>
          </w:tcPr>
          <w:p w14:paraId="75FA75C5"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Mean</w:t>
            </w:r>
          </w:p>
        </w:tc>
        <w:tc>
          <w:tcPr>
            <w:tcW w:w="1460" w:type="dxa"/>
            <w:tcBorders>
              <w:top w:val="nil"/>
              <w:left w:val="nil"/>
              <w:bottom w:val="single" w:sz="4" w:space="0" w:color="auto"/>
              <w:right w:val="nil"/>
            </w:tcBorders>
            <w:shd w:val="clear" w:color="auto" w:fill="auto"/>
            <w:noWrap/>
            <w:vAlign w:val="bottom"/>
            <w:hideMark/>
          </w:tcPr>
          <w:p w14:paraId="24850DAA"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Min.</w:t>
            </w:r>
          </w:p>
        </w:tc>
        <w:tc>
          <w:tcPr>
            <w:tcW w:w="1320" w:type="dxa"/>
            <w:tcBorders>
              <w:top w:val="nil"/>
              <w:left w:val="nil"/>
              <w:bottom w:val="single" w:sz="4" w:space="0" w:color="auto"/>
              <w:right w:val="nil"/>
            </w:tcBorders>
            <w:shd w:val="clear" w:color="auto" w:fill="auto"/>
            <w:noWrap/>
            <w:vAlign w:val="bottom"/>
            <w:hideMark/>
          </w:tcPr>
          <w:p w14:paraId="1F69F96B"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Max.</w:t>
            </w:r>
          </w:p>
        </w:tc>
        <w:tc>
          <w:tcPr>
            <w:tcW w:w="740" w:type="dxa"/>
            <w:tcBorders>
              <w:top w:val="nil"/>
              <w:left w:val="nil"/>
              <w:bottom w:val="single" w:sz="4" w:space="0" w:color="auto"/>
              <w:right w:val="nil"/>
            </w:tcBorders>
            <w:shd w:val="clear" w:color="auto" w:fill="auto"/>
            <w:noWrap/>
            <w:vAlign w:val="bottom"/>
            <w:hideMark/>
          </w:tcPr>
          <w:p w14:paraId="3F923C5D"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N</w:t>
            </w:r>
          </w:p>
        </w:tc>
        <w:tc>
          <w:tcPr>
            <w:tcW w:w="1720" w:type="dxa"/>
            <w:tcBorders>
              <w:top w:val="nil"/>
              <w:left w:val="single" w:sz="4" w:space="0" w:color="auto"/>
              <w:bottom w:val="single" w:sz="4" w:space="0" w:color="auto"/>
              <w:right w:val="nil"/>
            </w:tcBorders>
            <w:shd w:val="clear" w:color="auto" w:fill="auto"/>
            <w:noWrap/>
            <w:vAlign w:val="bottom"/>
            <w:hideMark/>
          </w:tcPr>
          <w:p w14:paraId="682281FE"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Mean</w:t>
            </w:r>
          </w:p>
        </w:tc>
        <w:tc>
          <w:tcPr>
            <w:tcW w:w="1340" w:type="dxa"/>
            <w:tcBorders>
              <w:top w:val="nil"/>
              <w:left w:val="nil"/>
              <w:bottom w:val="single" w:sz="4" w:space="0" w:color="auto"/>
              <w:right w:val="nil"/>
            </w:tcBorders>
            <w:shd w:val="clear" w:color="auto" w:fill="auto"/>
            <w:noWrap/>
            <w:vAlign w:val="bottom"/>
            <w:hideMark/>
          </w:tcPr>
          <w:p w14:paraId="0EE1CEAF"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Min.</w:t>
            </w:r>
          </w:p>
        </w:tc>
        <w:tc>
          <w:tcPr>
            <w:tcW w:w="1300" w:type="dxa"/>
            <w:tcBorders>
              <w:top w:val="nil"/>
              <w:left w:val="nil"/>
              <w:bottom w:val="single" w:sz="4" w:space="0" w:color="auto"/>
              <w:right w:val="nil"/>
            </w:tcBorders>
            <w:shd w:val="clear" w:color="auto" w:fill="auto"/>
            <w:noWrap/>
            <w:vAlign w:val="bottom"/>
            <w:hideMark/>
          </w:tcPr>
          <w:p w14:paraId="07C2C826"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Max.</w:t>
            </w:r>
          </w:p>
        </w:tc>
        <w:tc>
          <w:tcPr>
            <w:tcW w:w="680" w:type="dxa"/>
            <w:tcBorders>
              <w:top w:val="nil"/>
              <w:left w:val="nil"/>
              <w:bottom w:val="single" w:sz="4" w:space="0" w:color="auto"/>
              <w:right w:val="single" w:sz="4" w:space="0" w:color="auto"/>
            </w:tcBorders>
            <w:shd w:val="clear" w:color="auto" w:fill="auto"/>
            <w:noWrap/>
            <w:vAlign w:val="bottom"/>
            <w:hideMark/>
          </w:tcPr>
          <w:p w14:paraId="56851299"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N</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A276BA5"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i/>
                <w:iCs/>
                <w:color w:val="000000"/>
              </w:rPr>
              <w:t>p</w:t>
            </w:r>
            <w:r w:rsidRPr="003232D1">
              <w:rPr>
                <w:rFonts w:ascii="Calibri" w:eastAsia="Times New Roman" w:hAnsi="Calibri" w:cs="Calibri"/>
                <w:b/>
                <w:bCs/>
                <w:color w:val="000000"/>
              </w:rPr>
              <w:t xml:space="preserve"> (t test)</w:t>
            </w:r>
          </w:p>
        </w:tc>
      </w:tr>
      <w:tr w:rsidR="007070B4" w:rsidRPr="003232D1" w14:paraId="36BD4879"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35A8FC67"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Body weight (g)</w:t>
            </w:r>
          </w:p>
        </w:tc>
        <w:tc>
          <w:tcPr>
            <w:tcW w:w="2100" w:type="dxa"/>
            <w:tcBorders>
              <w:top w:val="nil"/>
              <w:left w:val="nil"/>
              <w:bottom w:val="nil"/>
              <w:right w:val="nil"/>
            </w:tcBorders>
            <w:shd w:val="clear" w:color="auto" w:fill="auto"/>
            <w:noWrap/>
            <w:vAlign w:val="bottom"/>
            <w:hideMark/>
          </w:tcPr>
          <w:p w14:paraId="2EE7D9A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21.97</w:t>
            </w:r>
          </w:p>
        </w:tc>
        <w:tc>
          <w:tcPr>
            <w:tcW w:w="1460" w:type="dxa"/>
            <w:tcBorders>
              <w:top w:val="nil"/>
              <w:left w:val="nil"/>
              <w:bottom w:val="nil"/>
              <w:right w:val="nil"/>
            </w:tcBorders>
            <w:shd w:val="clear" w:color="auto" w:fill="auto"/>
            <w:noWrap/>
            <w:vAlign w:val="bottom"/>
            <w:hideMark/>
          </w:tcPr>
          <w:p w14:paraId="0F96AF0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19.76</w:t>
            </w:r>
          </w:p>
        </w:tc>
        <w:tc>
          <w:tcPr>
            <w:tcW w:w="1320" w:type="dxa"/>
            <w:tcBorders>
              <w:top w:val="nil"/>
              <w:left w:val="nil"/>
              <w:bottom w:val="nil"/>
              <w:right w:val="nil"/>
            </w:tcBorders>
            <w:shd w:val="clear" w:color="auto" w:fill="auto"/>
            <w:noWrap/>
            <w:vAlign w:val="bottom"/>
            <w:hideMark/>
          </w:tcPr>
          <w:p w14:paraId="22C51F3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23.16</w:t>
            </w:r>
          </w:p>
        </w:tc>
        <w:tc>
          <w:tcPr>
            <w:tcW w:w="740" w:type="dxa"/>
            <w:tcBorders>
              <w:top w:val="nil"/>
              <w:left w:val="nil"/>
              <w:bottom w:val="nil"/>
              <w:right w:val="nil"/>
            </w:tcBorders>
            <w:shd w:val="clear" w:color="auto" w:fill="auto"/>
            <w:noWrap/>
            <w:vAlign w:val="bottom"/>
            <w:hideMark/>
          </w:tcPr>
          <w:p w14:paraId="7F4C71D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32B89A5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21.10</w:t>
            </w:r>
          </w:p>
        </w:tc>
        <w:tc>
          <w:tcPr>
            <w:tcW w:w="1340" w:type="dxa"/>
            <w:tcBorders>
              <w:top w:val="nil"/>
              <w:left w:val="nil"/>
              <w:bottom w:val="nil"/>
              <w:right w:val="nil"/>
            </w:tcBorders>
            <w:shd w:val="clear" w:color="auto" w:fill="auto"/>
            <w:noWrap/>
            <w:vAlign w:val="bottom"/>
            <w:hideMark/>
          </w:tcPr>
          <w:p w14:paraId="6F0646B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20.14</w:t>
            </w:r>
          </w:p>
        </w:tc>
        <w:tc>
          <w:tcPr>
            <w:tcW w:w="1300" w:type="dxa"/>
            <w:tcBorders>
              <w:top w:val="nil"/>
              <w:left w:val="nil"/>
              <w:bottom w:val="nil"/>
              <w:right w:val="nil"/>
            </w:tcBorders>
            <w:shd w:val="clear" w:color="auto" w:fill="auto"/>
            <w:noWrap/>
            <w:vAlign w:val="bottom"/>
            <w:hideMark/>
          </w:tcPr>
          <w:p w14:paraId="5ED4848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22.36</w:t>
            </w:r>
          </w:p>
        </w:tc>
        <w:tc>
          <w:tcPr>
            <w:tcW w:w="680" w:type="dxa"/>
            <w:tcBorders>
              <w:top w:val="nil"/>
              <w:left w:val="nil"/>
              <w:bottom w:val="nil"/>
              <w:right w:val="single" w:sz="4" w:space="0" w:color="auto"/>
            </w:tcBorders>
            <w:shd w:val="clear" w:color="auto" w:fill="auto"/>
            <w:noWrap/>
            <w:vAlign w:val="bottom"/>
            <w:hideMark/>
          </w:tcPr>
          <w:p w14:paraId="19EDB83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4FC0E92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2278A6F0"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1692127E"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Liver weight (g)</w:t>
            </w:r>
          </w:p>
        </w:tc>
        <w:tc>
          <w:tcPr>
            <w:tcW w:w="2100" w:type="dxa"/>
            <w:tcBorders>
              <w:top w:val="nil"/>
              <w:left w:val="nil"/>
              <w:bottom w:val="nil"/>
              <w:right w:val="nil"/>
            </w:tcBorders>
            <w:shd w:val="clear" w:color="auto" w:fill="auto"/>
            <w:noWrap/>
            <w:vAlign w:val="bottom"/>
            <w:hideMark/>
          </w:tcPr>
          <w:p w14:paraId="7CDC18A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1.08</w:t>
            </w:r>
          </w:p>
        </w:tc>
        <w:tc>
          <w:tcPr>
            <w:tcW w:w="1460" w:type="dxa"/>
            <w:tcBorders>
              <w:top w:val="nil"/>
              <w:left w:val="nil"/>
              <w:bottom w:val="nil"/>
              <w:right w:val="nil"/>
            </w:tcBorders>
            <w:shd w:val="clear" w:color="auto" w:fill="auto"/>
            <w:noWrap/>
            <w:vAlign w:val="bottom"/>
            <w:hideMark/>
          </w:tcPr>
          <w:p w14:paraId="22AAB74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0.96</w:t>
            </w:r>
          </w:p>
        </w:tc>
        <w:tc>
          <w:tcPr>
            <w:tcW w:w="1320" w:type="dxa"/>
            <w:tcBorders>
              <w:top w:val="nil"/>
              <w:left w:val="nil"/>
              <w:bottom w:val="nil"/>
              <w:right w:val="nil"/>
            </w:tcBorders>
            <w:shd w:val="clear" w:color="auto" w:fill="auto"/>
            <w:noWrap/>
            <w:vAlign w:val="bottom"/>
            <w:hideMark/>
          </w:tcPr>
          <w:p w14:paraId="0A46EFE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1.17</w:t>
            </w:r>
          </w:p>
        </w:tc>
        <w:tc>
          <w:tcPr>
            <w:tcW w:w="740" w:type="dxa"/>
            <w:tcBorders>
              <w:top w:val="nil"/>
              <w:left w:val="nil"/>
              <w:bottom w:val="nil"/>
              <w:right w:val="nil"/>
            </w:tcBorders>
            <w:shd w:val="clear" w:color="auto" w:fill="auto"/>
            <w:noWrap/>
            <w:vAlign w:val="bottom"/>
            <w:hideMark/>
          </w:tcPr>
          <w:p w14:paraId="5E6E05B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3DDF5D4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1.00</w:t>
            </w:r>
          </w:p>
        </w:tc>
        <w:tc>
          <w:tcPr>
            <w:tcW w:w="1340" w:type="dxa"/>
            <w:tcBorders>
              <w:top w:val="nil"/>
              <w:left w:val="nil"/>
              <w:bottom w:val="nil"/>
              <w:right w:val="nil"/>
            </w:tcBorders>
            <w:shd w:val="clear" w:color="auto" w:fill="auto"/>
            <w:noWrap/>
            <w:vAlign w:val="bottom"/>
            <w:hideMark/>
          </w:tcPr>
          <w:p w14:paraId="3D0983E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0.90</w:t>
            </w:r>
          </w:p>
        </w:tc>
        <w:tc>
          <w:tcPr>
            <w:tcW w:w="1300" w:type="dxa"/>
            <w:tcBorders>
              <w:top w:val="nil"/>
              <w:left w:val="nil"/>
              <w:bottom w:val="nil"/>
              <w:right w:val="nil"/>
            </w:tcBorders>
            <w:shd w:val="clear" w:color="auto" w:fill="auto"/>
            <w:noWrap/>
            <w:vAlign w:val="bottom"/>
            <w:hideMark/>
          </w:tcPr>
          <w:p w14:paraId="3115B6A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1.15</w:t>
            </w:r>
          </w:p>
        </w:tc>
        <w:tc>
          <w:tcPr>
            <w:tcW w:w="680" w:type="dxa"/>
            <w:tcBorders>
              <w:top w:val="nil"/>
              <w:left w:val="nil"/>
              <w:bottom w:val="nil"/>
              <w:right w:val="single" w:sz="4" w:space="0" w:color="auto"/>
            </w:tcBorders>
            <w:shd w:val="clear" w:color="auto" w:fill="auto"/>
            <w:noWrap/>
            <w:vAlign w:val="bottom"/>
            <w:hideMark/>
          </w:tcPr>
          <w:p w14:paraId="290C923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6252EDC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5563449B"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09A90F25"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Liver/body weight ratio</w:t>
            </w:r>
          </w:p>
        </w:tc>
        <w:tc>
          <w:tcPr>
            <w:tcW w:w="2100" w:type="dxa"/>
            <w:tcBorders>
              <w:top w:val="nil"/>
              <w:left w:val="nil"/>
              <w:bottom w:val="nil"/>
              <w:right w:val="nil"/>
            </w:tcBorders>
            <w:shd w:val="clear" w:color="auto" w:fill="auto"/>
            <w:noWrap/>
            <w:vAlign w:val="bottom"/>
            <w:hideMark/>
          </w:tcPr>
          <w:p w14:paraId="35B6BCA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0.0492</w:t>
            </w:r>
          </w:p>
        </w:tc>
        <w:tc>
          <w:tcPr>
            <w:tcW w:w="1460" w:type="dxa"/>
            <w:tcBorders>
              <w:top w:val="nil"/>
              <w:left w:val="nil"/>
              <w:bottom w:val="nil"/>
              <w:right w:val="nil"/>
            </w:tcBorders>
            <w:shd w:val="clear" w:color="auto" w:fill="auto"/>
            <w:noWrap/>
            <w:vAlign w:val="bottom"/>
            <w:hideMark/>
          </w:tcPr>
          <w:p w14:paraId="3E6F638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0.0424</w:t>
            </w:r>
          </w:p>
        </w:tc>
        <w:tc>
          <w:tcPr>
            <w:tcW w:w="1320" w:type="dxa"/>
            <w:tcBorders>
              <w:top w:val="nil"/>
              <w:left w:val="nil"/>
              <w:bottom w:val="nil"/>
              <w:right w:val="nil"/>
            </w:tcBorders>
            <w:shd w:val="clear" w:color="auto" w:fill="auto"/>
            <w:noWrap/>
            <w:vAlign w:val="bottom"/>
            <w:hideMark/>
          </w:tcPr>
          <w:p w14:paraId="524AE3C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0.0576</w:t>
            </w:r>
          </w:p>
        </w:tc>
        <w:tc>
          <w:tcPr>
            <w:tcW w:w="740" w:type="dxa"/>
            <w:tcBorders>
              <w:top w:val="nil"/>
              <w:left w:val="nil"/>
              <w:bottom w:val="nil"/>
              <w:right w:val="nil"/>
            </w:tcBorders>
            <w:shd w:val="clear" w:color="auto" w:fill="auto"/>
            <w:noWrap/>
            <w:vAlign w:val="bottom"/>
            <w:hideMark/>
          </w:tcPr>
          <w:p w14:paraId="1E101A3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6AC96A5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0.0474</w:t>
            </w:r>
          </w:p>
        </w:tc>
        <w:tc>
          <w:tcPr>
            <w:tcW w:w="1340" w:type="dxa"/>
            <w:tcBorders>
              <w:top w:val="nil"/>
              <w:left w:val="nil"/>
              <w:bottom w:val="nil"/>
              <w:right w:val="nil"/>
            </w:tcBorders>
            <w:shd w:val="clear" w:color="auto" w:fill="auto"/>
            <w:noWrap/>
            <w:vAlign w:val="bottom"/>
            <w:hideMark/>
          </w:tcPr>
          <w:p w14:paraId="4C009F2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0.0431</w:t>
            </w:r>
          </w:p>
        </w:tc>
        <w:tc>
          <w:tcPr>
            <w:tcW w:w="1300" w:type="dxa"/>
            <w:tcBorders>
              <w:top w:val="nil"/>
              <w:left w:val="nil"/>
              <w:bottom w:val="nil"/>
              <w:right w:val="nil"/>
            </w:tcBorders>
            <w:shd w:val="clear" w:color="auto" w:fill="auto"/>
            <w:noWrap/>
            <w:vAlign w:val="bottom"/>
            <w:hideMark/>
          </w:tcPr>
          <w:p w14:paraId="4EE7AE5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0.0539</w:t>
            </w:r>
          </w:p>
        </w:tc>
        <w:tc>
          <w:tcPr>
            <w:tcW w:w="680" w:type="dxa"/>
            <w:tcBorders>
              <w:top w:val="nil"/>
              <w:left w:val="nil"/>
              <w:bottom w:val="nil"/>
              <w:right w:val="single" w:sz="4" w:space="0" w:color="auto"/>
            </w:tcBorders>
            <w:shd w:val="clear" w:color="auto" w:fill="auto"/>
            <w:noWrap/>
            <w:vAlign w:val="bottom"/>
            <w:hideMark/>
          </w:tcPr>
          <w:p w14:paraId="2918C28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35ECB83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517C23A6"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5C4BE478"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Heart weight (g)</w:t>
            </w:r>
          </w:p>
        </w:tc>
        <w:tc>
          <w:tcPr>
            <w:tcW w:w="2100" w:type="dxa"/>
            <w:tcBorders>
              <w:top w:val="nil"/>
              <w:left w:val="nil"/>
              <w:bottom w:val="nil"/>
              <w:right w:val="nil"/>
            </w:tcBorders>
            <w:shd w:val="clear" w:color="auto" w:fill="auto"/>
            <w:noWrap/>
            <w:vAlign w:val="bottom"/>
            <w:hideMark/>
          </w:tcPr>
          <w:p w14:paraId="6688BA9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0.13</w:t>
            </w:r>
          </w:p>
        </w:tc>
        <w:tc>
          <w:tcPr>
            <w:tcW w:w="1460" w:type="dxa"/>
            <w:tcBorders>
              <w:top w:val="nil"/>
              <w:left w:val="nil"/>
              <w:bottom w:val="nil"/>
              <w:right w:val="nil"/>
            </w:tcBorders>
            <w:shd w:val="clear" w:color="auto" w:fill="auto"/>
            <w:noWrap/>
            <w:vAlign w:val="bottom"/>
            <w:hideMark/>
          </w:tcPr>
          <w:p w14:paraId="266B1B6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0.10</w:t>
            </w:r>
          </w:p>
        </w:tc>
        <w:tc>
          <w:tcPr>
            <w:tcW w:w="1320" w:type="dxa"/>
            <w:tcBorders>
              <w:top w:val="nil"/>
              <w:left w:val="nil"/>
              <w:bottom w:val="nil"/>
              <w:right w:val="nil"/>
            </w:tcBorders>
            <w:shd w:val="clear" w:color="auto" w:fill="auto"/>
            <w:noWrap/>
            <w:vAlign w:val="bottom"/>
            <w:hideMark/>
          </w:tcPr>
          <w:p w14:paraId="760640F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0.18</w:t>
            </w:r>
          </w:p>
        </w:tc>
        <w:tc>
          <w:tcPr>
            <w:tcW w:w="740" w:type="dxa"/>
            <w:tcBorders>
              <w:top w:val="nil"/>
              <w:left w:val="nil"/>
              <w:bottom w:val="nil"/>
              <w:right w:val="nil"/>
            </w:tcBorders>
            <w:shd w:val="clear" w:color="auto" w:fill="auto"/>
            <w:noWrap/>
            <w:vAlign w:val="bottom"/>
            <w:hideMark/>
          </w:tcPr>
          <w:p w14:paraId="68F8013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0D52F2E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0.13</w:t>
            </w:r>
          </w:p>
        </w:tc>
        <w:tc>
          <w:tcPr>
            <w:tcW w:w="1340" w:type="dxa"/>
            <w:tcBorders>
              <w:top w:val="nil"/>
              <w:left w:val="nil"/>
              <w:bottom w:val="nil"/>
              <w:right w:val="nil"/>
            </w:tcBorders>
            <w:shd w:val="clear" w:color="auto" w:fill="auto"/>
            <w:noWrap/>
            <w:vAlign w:val="bottom"/>
            <w:hideMark/>
          </w:tcPr>
          <w:p w14:paraId="423D0E3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0.11</w:t>
            </w:r>
          </w:p>
        </w:tc>
        <w:tc>
          <w:tcPr>
            <w:tcW w:w="1300" w:type="dxa"/>
            <w:tcBorders>
              <w:top w:val="nil"/>
              <w:left w:val="nil"/>
              <w:bottom w:val="nil"/>
              <w:right w:val="nil"/>
            </w:tcBorders>
            <w:shd w:val="clear" w:color="auto" w:fill="auto"/>
            <w:noWrap/>
            <w:vAlign w:val="bottom"/>
            <w:hideMark/>
          </w:tcPr>
          <w:p w14:paraId="3B57115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0.16</w:t>
            </w:r>
          </w:p>
        </w:tc>
        <w:tc>
          <w:tcPr>
            <w:tcW w:w="680" w:type="dxa"/>
            <w:tcBorders>
              <w:top w:val="nil"/>
              <w:left w:val="nil"/>
              <w:bottom w:val="nil"/>
              <w:right w:val="single" w:sz="4" w:space="0" w:color="auto"/>
            </w:tcBorders>
            <w:shd w:val="clear" w:color="auto" w:fill="auto"/>
            <w:noWrap/>
            <w:vAlign w:val="bottom"/>
            <w:hideMark/>
          </w:tcPr>
          <w:p w14:paraId="1641541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6344624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3EAF8AA8"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227084ED"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Heart/body weight ratio</w:t>
            </w:r>
          </w:p>
        </w:tc>
        <w:tc>
          <w:tcPr>
            <w:tcW w:w="2100" w:type="dxa"/>
            <w:tcBorders>
              <w:top w:val="nil"/>
              <w:left w:val="nil"/>
              <w:bottom w:val="nil"/>
              <w:right w:val="nil"/>
            </w:tcBorders>
            <w:shd w:val="clear" w:color="auto" w:fill="auto"/>
            <w:noWrap/>
            <w:vAlign w:val="bottom"/>
            <w:hideMark/>
          </w:tcPr>
          <w:p w14:paraId="51A847F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0.0060</w:t>
            </w:r>
          </w:p>
        </w:tc>
        <w:tc>
          <w:tcPr>
            <w:tcW w:w="1460" w:type="dxa"/>
            <w:tcBorders>
              <w:top w:val="nil"/>
              <w:left w:val="nil"/>
              <w:bottom w:val="nil"/>
              <w:right w:val="nil"/>
            </w:tcBorders>
            <w:shd w:val="clear" w:color="auto" w:fill="auto"/>
            <w:noWrap/>
            <w:vAlign w:val="bottom"/>
            <w:hideMark/>
          </w:tcPr>
          <w:p w14:paraId="3FDDE70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0.0047</w:t>
            </w:r>
          </w:p>
        </w:tc>
        <w:tc>
          <w:tcPr>
            <w:tcW w:w="1320" w:type="dxa"/>
            <w:tcBorders>
              <w:top w:val="nil"/>
              <w:left w:val="nil"/>
              <w:bottom w:val="nil"/>
              <w:right w:val="nil"/>
            </w:tcBorders>
            <w:shd w:val="clear" w:color="auto" w:fill="auto"/>
            <w:noWrap/>
            <w:vAlign w:val="bottom"/>
            <w:hideMark/>
          </w:tcPr>
          <w:p w14:paraId="3EF60ED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0.0078</w:t>
            </w:r>
          </w:p>
        </w:tc>
        <w:tc>
          <w:tcPr>
            <w:tcW w:w="740" w:type="dxa"/>
            <w:tcBorders>
              <w:top w:val="nil"/>
              <w:left w:val="nil"/>
              <w:bottom w:val="nil"/>
              <w:right w:val="nil"/>
            </w:tcBorders>
            <w:shd w:val="clear" w:color="auto" w:fill="auto"/>
            <w:noWrap/>
            <w:vAlign w:val="bottom"/>
            <w:hideMark/>
          </w:tcPr>
          <w:p w14:paraId="00A4AA5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4826DF8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0.0061</w:t>
            </w:r>
          </w:p>
        </w:tc>
        <w:tc>
          <w:tcPr>
            <w:tcW w:w="1340" w:type="dxa"/>
            <w:tcBorders>
              <w:top w:val="nil"/>
              <w:left w:val="nil"/>
              <w:bottom w:val="nil"/>
              <w:right w:val="nil"/>
            </w:tcBorders>
            <w:shd w:val="clear" w:color="auto" w:fill="auto"/>
            <w:noWrap/>
            <w:vAlign w:val="bottom"/>
            <w:hideMark/>
          </w:tcPr>
          <w:p w14:paraId="165B4DA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0.0054</w:t>
            </w:r>
          </w:p>
        </w:tc>
        <w:tc>
          <w:tcPr>
            <w:tcW w:w="1300" w:type="dxa"/>
            <w:tcBorders>
              <w:top w:val="nil"/>
              <w:left w:val="nil"/>
              <w:bottom w:val="nil"/>
              <w:right w:val="nil"/>
            </w:tcBorders>
            <w:shd w:val="clear" w:color="auto" w:fill="auto"/>
            <w:noWrap/>
            <w:vAlign w:val="bottom"/>
            <w:hideMark/>
          </w:tcPr>
          <w:p w14:paraId="47BE3F9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0.0070</w:t>
            </w:r>
          </w:p>
        </w:tc>
        <w:tc>
          <w:tcPr>
            <w:tcW w:w="680" w:type="dxa"/>
            <w:tcBorders>
              <w:top w:val="nil"/>
              <w:left w:val="nil"/>
              <w:bottom w:val="nil"/>
              <w:right w:val="single" w:sz="4" w:space="0" w:color="auto"/>
            </w:tcBorders>
            <w:shd w:val="clear" w:color="auto" w:fill="auto"/>
            <w:noWrap/>
            <w:vAlign w:val="bottom"/>
            <w:hideMark/>
          </w:tcPr>
          <w:p w14:paraId="689AEB8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1A4AB28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5B0B6406"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6F672FE9"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Spleen weight (g)</w:t>
            </w:r>
          </w:p>
        </w:tc>
        <w:tc>
          <w:tcPr>
            <w:tcW w:w="2100" w:type="dxa"/>
            <w:tcBorders>
              <w:top w:val="nil"/>
              <w:left w:val="nil"/>
              <w:bottom w:val="nil"/>
              <w:right w:val="nil"/>
            </w:tcBorders>
            <w:shd w:val="clear" w:color="auto" w:fill="auto"/>
            <w:noWrap/>
            <w:vAlign w:val="bottom"/>
            <w:hideMark/>
          </w:tcPr>
          <w:p w14:paraId="64A5F88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0.08</w:t>
            </w:r>
          </w:p>
        </w:tc>
        <w:tc>
          <w:tcPr>
            <w:tcW w:w="1460" w:type="dxa"/>
            <w:tcBorders>
              <w:top w:val="nil"/>
              <w:left w:val="nil"/>
              <w:bottom w:val="nil"/>
              <w:right w:val="nil"/>
            </w:tcBorders>
            <w:shd w:val="clear" w:color="auto" w:fill="auto"/>
            <w:noWrap/>
            <w:vAlign w:val="bottom"/>
            <w:hideMark/>
          </w:tcPr>
          <w:p w14:paraId="4E3C28A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0.07</w:t>
            </w:r>
          </w:p>
        </w:tc>
        <w:tc>
          <w:tcPr>
            <w:tcW w:w="1320" w:type="dxa"/>
            <w:tcBorders>
              <w:top w:val="nil"/>
              <w:left w:val="nil"/>
              <w:bottom w:val="nil"/>
              <w:right w:val="nil"/>
            </w:tcBorders>
            <w:shd w:val="clear" w:color="auto" w:fill="auto"/>
            <w:noWrap/>
            <w:vAlign w:val="bottom"/>
            <w:hideMark/>
          </w:tcPr>
          <w:p w14:paraId="74F1B30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0.10</w:t>
            </w:r>
          </w:p>
        </w:tc>
        <w:tc>
          <w:tcPr>
            <w:tcW w:w="740" w:type="dxa"/>
            <w:tcBorders>
              <w:top w:val="nil"/>
              <w:left w:val="nil"/>
              <w:bottom w:val="nil"/>
              <w:right w:val="nil"/>
            </w:tcBorders>
            <w:shd w:val="clear" w:color="auto" w:fill="auto"/>
            <w:noWrap/>
            <w:vAlign w:val="bottom"/>
            <w:hideMark/>
          </w:tcPr>
          <w:p w14:paraId="776D7A7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3DFF20B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0.13</w:t>
            </w:r>
          </w:p>
        </w:tc>
        <w:tc>
          <w:tcPr>
            <w:tcW w:w="1340" w:type="dxa"/>
            <w:tcBorders>
              <w:top w:val="nil"/>
              <w:left w:val="nil"/>
              <w:bottom w:val="nil"/>
              <w:right w:val="nil"/>
            </w:tcBorders>
            <w:shd w:val="clear" w:color="auto" w:fill="auto"/>
            <w:noWrap/>
            <w:vAlign w:val="bottom"/>
            <w:hideMark/>
          </w:tcPr>
          <w:p w14:paraId="7F97A47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0.10</w:t>
            </w:r>
          </w:p>
        </w:tc>
        <w:tc>
          <w:tcPr>
            <w:tcW w:w="1300" w:type="dxa"/>
            <w:tcBorders>
              <w:top w:val="nil"/>
              <w:left w:val="nil"/>
              <w:bottom w:val="nil"/>
              <w:right w:val="nil"/>
            </w:tcBorders>
            <w:shd w:val="clear" w:color="auto" w:fill="auto"/>
            <w:noWrap/>
            <w:vAlign w:val="bottom"/>
            <w:hideMark/>
          </w:tcPr>
          <w:p w14:paraId="778E213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0.17</w:t>
            </w:r>
          </w:p>
        </w:tc>
        <w:tc>
          <w:tcPr>
            <w:tcW w:w="680" w:type="dxa"/>
            <w:tcBorders>
              <w:top w:val="nil"/>
              <w:left w:val="nil"/>
              <w:bottom w:val="nil"/>
              <w:right w:val="single" w:sz="4" w:space="0" w:color="auto"/>
            </w:tcBorders>
            <w:shd w:val="clear" w:color="auto" w:fill="auto"/>
            <w:noWrap/>
            <w:vAlign w:val="bottom"/>
            <w:hideMark/>
          </w:tcPr>
          <w:p w14:paraId="229DBBC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1838EDE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0.013</w:t>
            </w:r>
          </w:p>
        </w:tc>
      </w:tr>
      <w:tr w:rsidR="007070B4" w:rsidRPr="003232D1" w14:paraId="7EBC8724"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5F09215B"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Spleen/body weight ratio</w:t>
            </w:r>
          </w:p>
        </w:tc>
        <w:tc>
          <w:tcPr>
            <w:tcW w:w="2100" w:type="dxa"/>
            <w:tcBorders>
              <w:top w:val="nil"/>
              <w:left w:val="nil"/>
              <w:bottom w:val="nil"/>
              <w:right w:val="nil"/>
            </w:tcBorders>
            <w:shd w:val="clear" w:color="auto" w:fill="auto"/>
            <w:noWrap/>
            <w:vAlign w:val="bottom"/>
            <w:hideMark/>
          </w:tcPr>
          <w:p w14:paraId="7C517E7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0.0038</w:t>
            </w:r>
          </w:p>
        </w:tc>
        <w:tc>
          <w:tcPr>
            <w:tcW w:w="1460" w:type="dxa"/>
            <w:tcBorders>
              <w:top w:val="nil"/>
              <w:left w:val="nil"/>
              <w:bottom w:val="nil"/>
              <w:right w:val="nil"/>
            </w:tcBorders>
            <w:shd w:val="clear" w:color="auto" w:fill="auto"/>
            <w:noWrap/>
            <w:vAlign w:val="bottom"/>
            <w:hideMark/>
          </w:tcPr>
          <w:p w14:paraId="5D6D965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0.0033</w:t>
            </w:r>
          </w:p>
        </w:tc>
        <w:tc>
          <w:tcPr>
            <w:tcW w:w="1320" w:type="dxa"/>
            <w:tcBorders>
              <w:top w:val="nil"/>
              <w:left w:val="nil"/>
              <w:bottom w:val="nil"/>
              <w:right w:val="nil"/>
            </w:tcBorders>
            <w:shd w:val="clear" w:color="auto" w:fill="auto"/>
            <w:noWrap/>
            <w:vAlign w:val="bottom"/>
            <w:hideMark/>
          </w:tcPr>
          <w:p w14:paraId="502D4BD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0.0044</w:t>
            </w:r>
          </w:p>
        </w:tc>
        <w:tc>
          <w:tcPr>
            <w:tcW w:w="740" w:type="dxa"/>
            <w:tcBorders>
              <w:top w:val="nil"/>
              <w:left w:val="nil"/>
              <w:bottom w:val="nil"/>
              <w:right w:val="nil"/>
            </w:tcBorders>
            <w:shd w:val="clear" w:color="auto" w:fill="auto"/>
            <w:noWrap/>
            <w:vAlign w:val="bottom"/>
            <w:hideMark/>
          </w:tcPr>
          <w:p w14:paraId="74C4495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293E18D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0.0062</w:t>
            </w:r>
          </w:p>
        </w:tc>
        <w:tc>
          <w:tcPr>
            <w:tcW w:w="1340" w:type="dxa"/>
            <w:tcBorders>
              <w:top w:val="nil"/>
              <w:left w:val="nil"/>
              <w:bottom w:val="nil"/>
              <w:right w:val="nil"/>
            </w:tcBorders>
            <w:shd w:val="clear" w:color="auto" w:fill="auto"/>
            <w:noWrap/>
            <w:vAlign w:val="bottom"/>
            <w:hideMark/>
          </w:tcPr>
          <w:p w14:paraId="4E4CF88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0.0048</w:t>
            </w:r>
          </w:p>
        </w:tc>
        <w:tc>
          <w:tcPr>
            <w:tcW w:w="1300" w:type="dxa"/>
            <w:tcBorders>
              <w:top w:val="nil"/>
              <w:left w:val="nil"/>
              <w:bottom w:val="nil"/>
              <w:right w:val="nil"/>
            </w:tcBorders>
            <w:shd w:val="clear" w:color="auto" w:fill="auto"/>
            <w:noWrap/>
            <w:vAlign w:val="bottom"/>
            <w:hideMark/>
          </w:tcPr>
          <w:p w14:paraId="79E6505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0.0074</w:t>
            </w:r>
          </w:p>
        </w:tc>
        <w:tc>
          <w:tcPr>
            <w:tcW w:w="680" w:type="dxa"/>
            <w:tcBorders>
              <w:top w:val="nil"/>
              <w:left w:val="nil"/>
              <w:bottom w:val="nil"/>
              <w:right w:val="single" w:sz="4" w:space="0" w:color="auto"/>
            </w:tcBorders>
            <w:shd w:val="clear" w:color="auto" w:fill="auto"/>
            <w:noWrap/>
            <w:vAlign w:val="bottom"/>
            <w:hideMark/>
          </w:tcPr>
          <w:p w14:paraId="13A6086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639C502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0.0053</w:t>
            </w:r>
          </w:p>
        </w:tc>
      </w:tr>
      <w:tr w:rsidR="007070B4" w:rsidRPr="003232D1" w14:paraId="424429D9"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21996425"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ALT (U/L)</w:t>
            </w:r>
          </w:p>
        </w:tc>
        <w:tc>
          <w:tcPr>
            <w:tcW w:w="2100" w:type="dxa"/>
            <w:tcBorders>
              <w:top w:val="nil"/>
              <w:left w:val="nil"/>
              <w:bottom w:val="nil"/>
              <w:right w:val="nil"/>
            </w:tcBorders>
            <w:shd w:val="clear" w:color="auto" w:fill="auto"/>
            <w:noWrap/>
            <w:vAlign w:val="bottom"/>
            <w:hideMark/>
          </w:tcPr>
          <w:p w14:paraId="14A3A0D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19.43</w:t>
            </w:r>
          </w:p>
        </w:tc>
        <w:tc>
          <w:tcPr>
            <w:tcW w:w="1460" w:type="dxa"/>
            <w:tcBorders>
              <w:top w:val="nil"/>
              <w:left w:val="nil"/>
              <w:bottom w:val="nil"/>
              <w:right w:val="nil"/>
            </w:tcBorders>
            <w:shd w:val="clear" w:color="auto" w:fill="auto"/>
            <w:noWrap/>
            <w:vAlign w:val="bottom"/>
            <w:hideMark/>
          </w:tcPr>
          <w:p w14:paraId="645EBAF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15.00</w:t>
            </w:r>
          </w:p>
        </w:tc>
        <w:tc>
          <w:tcPr>
            <w:tcW w:w="1320" w:type="dxa"/>
            <w:tcBorders>
              <w:top w:val="nil"/>
              <w:left w:val="nil"/>
              <w:bottom w:val="nil"/>
              <w:right w:val="nil"/>
            </w:tcBorders>
            <w:shd w:val="clear" w:color="auto" w:fill="auto"/>
            <w:noWrap/>
            <w:vAlign w:val="bottom"/>
            <w:hideMark/>
          </w:tcPr>
          <w:p w14:paraId="2138560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24.00</w:t>
            </w:r>
          </w:p>
        </w:tc>
        <w:tc>
          <w:tcPr>
            <w:tcW w:w="740" w:type="dxa"/>
            <w:tcBorders>
              <w:top w:val="nil"/>
              <w:left w:val="nil"/>
              <w:bottom w:val="nil"/>
              <w:right w:val="nil"/>
            </w:tcBorders>
            <w:shd w:val="clear" w:color="auto" w:fill="auto"/>
            <w:noWrap/>
            <w:vAlign w:val="bottom"/>
            <w:hideMark/>
          </w:tcPr>
          <w:p w14:paraId="0949F7E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75B8482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21.40</w:t>
            </w:r>
          </w:p>
        </w:tc>
        <w:tc>
          <w:tcPr>
            <w:tcW w:w="1340" w:type="dxa"/>
            <w:tcBorders>
              <w:top w:val="nil"/>
              <w:left w:val="nil"/>
              <w:bottom w:val="nil"/>
              <w:right w:val="nil"/>
            </w:tcBorders>
            <w:shd w:val="clear" w:color="auto" w:fill="auto"/>
            <w:noWrap/>
            <w:vAlign w:val="bottom"/>
            <w:hideMark/>
          </w:tcPr>
          <w:p w14:paraId="39B6292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19.00</w:t>
            </w:r>
          </w:p>
        </w:tc>
        <w:tc>
          <w:tcPr>
            <w:tcW w:w="1300" w:type="dxa"/>
            <w:tcBorders>
              <w:top w:val="nil"/>
              <w:left w:val="nil"/>
              <w:bottom w:val="nil"/>
              <w:right w:val="nil"/>
            </w:tcBorders>
            <w:shd w:val="clear" w:color="auto" w:fill="auto"/>
            <w:noWrap/>
            <w:vAlign w:val="bottom"/>
            <w:hideMark/>
          </w:tcPr>
          <w:p w14:paraId="1C55EDE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25.00</w:t>
            </w:r>
          </w:p>
        </w:tc>
        <w:tc>
          <w:tcPr>
            <w:tcW w:w="680" w:type="dxa"/>
            <w:tcBorders>
              <w:top w:val="nil"/>
              <w:left w:val="nil"/>
              <w:bottom w:val="nil"/>
              <w:right w:val="single" w:sz="4" w:space="0" w:color="auto"/>
            </w:tcBorders>
            <w:shd w:val="clear" w:color="auto" w:fill="auto"/>
            <w:noWrap/>
            <w:vAlign w:val="bottom"/>
            <w:hideMark/>
          </w:tcPr>
          <w:p w14:paraId="2795636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2912689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6F87232C"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4C06495D"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AST (U/L)</w:t>
            </w:r>
          </w:p>
        </w:tc>
        <w:tc>
          <w:tcPr>
            <w:tcW w:w="2100" w:type="dxa"/>
            <w:tcBorders>
              <w:top w:val="nil"/>
              <w:left w:val="nil"/>
              <w:bottom w:val="nil"/>
              <w:right w:val="nil"/>
            </w:tcBorders>
            <w:shd w:val="clear" w:color="auto" w:fill="auto"/>
            <w:noWrap/>
            <w:vAlign w:val="bottom"/>
            <w:hideMark/>
          </w:tcPr>
          <w:p w14:paraId="2839655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41.57</w:t>
            </w:r>
          </w:p>
        </w:tc>
        <w:tc>
          <w:tcPr>
            <w:tcW w:w="1460" w:type="dxa"/>
            <w:tcBorders>
              <w:top w:val="nil"/>
              <w:left w:val="nil"/>
              <w:bottom w:val="nil"/>
              <w:right w:val="nil"/>
            </w:tcBorders>
            <w:shd w:val="clear" w:color="auto" w:fill="auto"/>
            <w:noWrap/>
            <w:vAlign w:val="bottom"/>
            <w:hideMark/>
          </w:tcPr>
          <w:p w14:paraId="3CF11A9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33.00</w:t>
            </w:r>
          </w:p>
        </w:tc>
        <w:tc>
          <w:tcPr>
            <w:tcW w:w="1320" w:type="dxa"/>
            <w:tcBorders>
              <w:top w:val="nil"/>
              <w:left w:val="nil"/>
              <w:bottom w:val="nil"/>
              <w:right w:val="nil"/>
            </w:tcBorders>
            <w:shd w:val="clear" w:color="auto" w:fill="auto"/>
            <w:noWrap/>
            <w:vAlign w:val="bottom"/>
            <w:hideMark/>
          </w:tcPr>
          <w:p w14:paraId="0896BD6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53.00</w:t>
            </w:r>
          </w:p>
        </w:tc>
        <w:tc>
          <w:tcPr>
            <w:tcW w:w="740" w:type="dxa"/>
            <w:tcBorders>
              <w:top w:val="nil"/>
              <w:left w:val="nil"/>
              <w:bottom w:val="nil"/>
              <w:right w:val="nil"/>
            </w:tcBorders>
            <w:shd w:val="clear" w:color="auto" w:fill="auto"/>
            <w:noWrap/>
            <w:vAlign w:val="bottom"/>
            <w:hideMark/>
          </w:tcPr>
          <w:p w14:paraId="19EBB22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021EC82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54.20</w:t>
            </w:r>
          </w:p>
        </w:tc>
        <w:tc>
          <w:tcPr>
            <w:tcW w:w="1340" w:type="dxa"/>
            <w:tcBorders>
              <w:top w:val="nil"/>
              <w:left w:val="nil"/>
              <w:bottom w:val="nil"/>
              <w:right w:val="nil"/>
            </w:tcBorders>
            <w:shd w:val="clear" w:color="auto" w:fill="auto"/>
            <w:noWrap/>
            <w:vAlign w:val="bottom"/>
            <w:hideMark/>
          </w:tcPr>
          <w:p w14:paraId="71F06FC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51.00</w:t>
            </w:r>
          </w:p>
        </w:tc>
        <w:tc>
          <w:tcPr>
            <w:tcW w:w="1300" w:type="dxa"/>
            <w:tcBorders>
              <w:top w:val="nil"/>
              <w:left w:val="nil"/>
              <w:bottom w:val="nil"/>
              <w:right w:val="nil"/>
            </w:tcBorders>
            <w:shd w:val="clear" w:color="auto" w:fill="auto"/>
            <w:noWrap/>
            <w:vAlign w:val="bottom"/>
            <w:hideMark/>
          </w:tcPr>
          <w:p w14:paraId="2FFD24A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59.00</w:t>
            </w:r>
          </w:p>
        </w:tc>
        <w:tc>
          <w:tcPr>
            <w:tcW w:w="680" w:type="dxa"/>
            <w:tcBorders>
              <w:top w:val="nil"/>
              <w:left w:val="nil"/>
              <w:bottom w:val="nil"/>
              <w:right w:val="single" w:sz="4" w:space="0" w:color="auto"/>
            </w:tcBorders>
            <w:shd w:val="clear" w:color="auto" w:fill="auto"/>
            <w:noWrap/>
            <w:vAlign w:val="bottom"/>
            <w:hideMark/>
          </w:tcPr>
          <w:p w14:paraId="1D74C35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23758BF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0.0046</w:t>
            </w:r>
          </w:p>
        </w:tc>
      </w:tr>
      <w:tr w:rsidR="007070B4" w:rsidRPr="003232D1" w14:paraId="5EAC196C"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2E5D41C7"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GLDH (U/L)</w:t>
            </w:r>
          </w:p>
        </w:tc>
        <w:tc>
          <w:tcPr>
            <w:tcW w:w="2100" w:type="dxa"/>
            <w:tcBorders>
              <w:top w:val="nil"/>
              <w:left w:val="nil"/>
              <w:bottom w:val="nil"/>
              <w:right w:val="nil"/>
            </w:tcBorders>
            <w:shd w:val="clear" w:color="auto" w:fill="auto"/>
            <w:noWrap/>
            <w:vAlign w:val="bottom"/>
            <w:hideMark/>
          </w:tcPr>
          <w:p w14:paraId="4AB12D4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7.05</w:t>
            </w:r>
          </w:p>
        </w:tc>
        <w:tc>
          <w:tcPr>
            <w:tcW w:w="1460" w:type="dxa"/>
            <w:tcBorders>
              <w:top w:val="nil"/>
              <w:left w:val="nil"/>
              <w:bottom w:val="nil"/>
              <w:right w:val="nil"/>
            </w:tcBorders>
            <w:shd w:val="clear" w:color="auto" w:fill="auto"/>
            <w:noWrap/>
            <w:vAlign w:val="bottom"/>
            <w:hideMark/>
          </w:tcPr>
          <w:p w14:paraId="0A221F2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5.20</w:t>
            </w:r>
          </w:p>
        </w:tc>
        <w:tc>
          <w:tcPr>
            <w:tcW w:w="1320" w:type="dxa"/>
            <w:tcBorders>
              <w:top w:val="nil"/>
              <w:left w:val="nil"/>
              <w:bottom w:val="nil"/>
              <w:right w:val="nil"/>
            </w:tcBorders>
            <w:shd w:val="clear" w:color="auto" w:fill="auto"/>
            <w:noWrap/>
            <w:vAlign w:val="bottom"/>
            <w:hideMark/>
          </w:tcPr>
          <w:p w14:paraId="5A11333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9.67</w:t>
            </w:r>
          </w:p>
        </w:tc>
        <w:tc>
          <w:tcPr>
            <w:tcW w:w="740" w:type="dxa"/>
            <w:tcBorders>
              <w:top w:val="nil"/>
              <w:left w:val="nil"/>
              <w:bottom w:val="nil"/>
              <w:right w:val="nil"/>
            </w:tcBorders>
            <w:shd w:val="clear" w:color="auto" w:fill="auto"/>
            <w:noWrap/>
            <w:vAlign w:val="bottom"/>
            <w:hideMark/>
          </w:tcPr>
          <w:p w14:paraId="60E7ADD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3304BC3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6.53</w:t>
            </w:r>
          </w:p>
        </w:tc>
        <w:tc>
          <w:tcPr>
            <w:tcW w:w="1340" w:type="dxa"/>
            <w:tcBorders>
              <w:top w:val="nil"/>
              <w:left w:val="nil"/>
              <w:bottom w:val="nil"/>
              <w:right w:val="nil"/>
            </w:tcBorders>
            <w:shd w:val="clear" w:color="auto" w:fill="auto"/>
            <w:noWrap/>
            <w:vAlign w:val="bottom"/>
            <w:hideMark/>
          </w:tcPr>
          <w:p w14:paraId="57B4684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3.61</w:t>
            </w:r>
          </w:p>
        </w:tc>
        <w:tc>
          <w:tcPr>
            <w:tcW w:w="1300" w:type="dxa"/>
            <w:tcBorders>
              <w:top w:val="nil"/>
              <w:left w:val="nil"/>
              <w:bottom w:val="nil"/>
              <w:right w:val="nil"/>
            </w:tcBorders>
            <w:shd w:val="clear" w:color="auto" w:fill="auto"/>
            <w:noWrap/>
            <w:vAlign w:val="bottom"/>
            <w:hideMark/>
          </w:tcPr>
          <w:p w14:paraId="3F11931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8.28</w:t>
            </w:r>
          </w:p>
        </w:tc>
        <w:tc>
          <w:tcPr>
            <w:tcW w:w="680" w:type="dxa"/>
            <w:tcBorders>
              <w:top w:val="nil"/>
              <w:left w:val="nil"/>
              <w:bottom w:val="nil"/>
              <w:right w:val="single" w:sz="4" w:space="0" w:color="auto"/>
            </w:tcBorders>
            <w:shd w:val="clear" w:color="auto" w:fill="auto"/>
            <w:noWrap/>
            <w:vAlign w:val="bottom"/>
            <w:hideMark/>
          </w:tcPr>
          <w:p w14:paraId="204563C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2112860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2404E9E1"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0B583980" w14:textId="77777777" w:rsidR="007070B4" w:rsidRPr="003232D1" w:rsidRDefault="007070B4" w:rsidP="00232647">
            <w:pPr>
              <w:spacing w:after="0" w:line="240" w:lineRule="auto"/>
              <w:rPr>
                <w:rFonts w:ascii="Calibri" w:eastAsia="Times New Roman" w:hAnsi="Calibri" w:cs="Calibri"/>
                <w:color w:val="000000"/>
              </w:rPr>
            </w:pPr>
            <w:proofErr w:type="spellStart"/>
            <w:r w:rsidRPr="003232D1">
              <w:rPr>
                <w:rFonts w:ascii="Calibri" w:eastAsia="Times New Roman" w:hAnsi="Calibri" w:cs="Calibri"/>
                <w:color w:val="000000"/>
              </w:rPr>
              <w:t>ChE</w:t>
            </w:r>
            <w:proofErr w:type="spellEnd"/>
            <w:r w:rsidRPr="003232D1">
              <w:rPr>
                <w:rFonts w:ascii="Calibri" w:eastAsia="Times New Roman" w:hAnsi="Calibri" w:cs="Calibri"/>
                <w:color w:val="000000"/>
              </w:rPr>
              <w:t xml:space="preserve"> (U/L)</w:t>
            </w:r>
          </w:p>
        </w:tc>
        <w:tc>
          <w:tcPr>
            <w:tcW w:w="2100" w:type="dxa"/>
            <w:tcBorders>
              <w:top w:val="nil"/>
              <w:left w:val="nil"/>
              <w:bottom w:val="nil"/>
              <w:right w:val="nil"/>
            </w:tcBorders>
            <w:shd w:val="clear" w:color="auto" w:fill="auto"/>
            <w:noWrap/>
            <w:vAlign w:val="bottom"/>
            <w:hideMark/>
          </w:tcPr>
          <w:p w14:paraId="52A2A13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6290.17</w:t>
            </w:r>
          </w:p>
        </w:tc>
        <w:tc>
          <w:tcPr>
            <w:tcW w:w="1460" w:type="dxa"/>
            <w:tcBorders>
              <w:top w:val="nil"/>
              <w:left w:val="nil"/>
              <w:bottom w:val="nil"/>
              <w:right w:val="nil"/>
            </w:tcBorders>
            <w:shd w:val="clear" w:color="auto" w:fill="auto"/>
            <w:noWrap/>
            <w:vAlign w:val="bottom"/>
            <w:hideMark/>
          </w:tcPr>
          <w:p w14:paraId="441094C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5646.00</w:t>
            </w:r>
          </w:p>
        </w:tc>
        <w:tc>
          <w:tcPr>
            <w:tcW w:w="1320" w:type="dxa"/>
            <w:tcBorders>
              <w:top w:val="nil"/>
              <w:left w:val="nil"/>
              <w:bottom w:val="nil"/>
              <w:right w:val="nil"/>
            </w:tcBorders>
            <w:shd w:val="clear" w:color="auto" w:fill="auto"/>
            <w:noWrap/>
            <w:vAlign w:val="bottom"/>
            <w:hideMark/>
          </w:tcPr>
          <w:p w14:paraId="4B28542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6974.00</w:t>
            </w:r>
          </w:p>
        </w:tc>
        <w:tc>
          <w:tcPr>
            <w:tcW w:w="740" w:type="dxa"/>
            <w:tcBorders>
              <w:top w:val="nil"/>
              <w:left w:val="nil"/>
              <w:bottom w:val="nil"/>
              <w:right w:val="nil"/>
            </w:tcBorders>
            <w:shd w:val="clear" w:color="auto" w:fill="auto"/>
            <w:noWrap/>
            <w:vAlign w:val="bottom"/>
            <w:hideMark/>
          </w:tcPr>
          <w:p w14:paraId="65326A4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720" w:type="dxa"/>
            <w:tcBorders>
              <w:top w:val="nil"/>
              <w:left w:val="single" w:sz="4" w:space="0" w:color="auto"/>
              <w:bottom w:val="nil"/>
              <w:right w:val="nil"/>
            </w:tcBorders>
            <w:shd w:val="clear" w:color="auto" w:fill="auto"/>
            <w:noWrap/>
            <w:vAlign w:val="bottom"/>
            <w:hideMark/>
          </w:tcPr>
          <w:p w14:paraId="5A23685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5921.50</w:t>
            </w:r>
          </w:p>
        </w:tc>
        <w:tc>
          <w:tcPr>
            <w:tcW w:w="1340" w:type="dxa"/>
            <w:tcBorders>
              <w:top w:val="nil"/>
              <w:left w:val="nil"/>
              <w:bottom w:val="nil"/>
              <w:right w:val="nil"/>
            </w:tcBorders>
            <w:shd w:val="clear" w:color="auto" w:fill="auto"/>
            <w:noWrap/>
            <w:vAlign w:val="bottom"/>
            <w:hideMark/>
          </w:tcPr>
          <w:p w14:paraId="1B6720A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5844.00</w:t>
            </w:r>
          </w:p>
        </w:tc>
        <w:tc>
          <w:tcPr>
            <w:tcW w:w="1300" w:type="dxa"/>
            <w:tcBorders>
              <w:top w:val="nil"/>
              <w:left w:val="nil"/>
              <w:bottom w:val="nil"/>
              <w:right w:val="nil"/>
            </w:tcBorders>
            <w:shd w:val="clear" w:color="auto" w:fill="auto"/>
            <w:noWrap/>
            <w:vAlign w:val="bottom"/>
            <w:hideMark/>
          </w:tcPr>
          <w:p w14:paraId="5E5BBBD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5999.00</w:t>
            </w:r>
          </w:p>
        </w:tc>
        <w:tc>
          <w:tcPr>
            <w:tcW w:w="680" w:type="dxa"/>
            <w:tcBorders>
              <w:top w:val="nil"/>
              <w:left w:val="nil"/>
              <w:bottom w:val="nil"/>
              <w:right w:val="single" w:sz="4" w:space="0" w:color="auto"/>
            </w:tcBorders>
            <w:shd w:val="clear" w:color="auto" w:fill="auto"/>
            <w:noWrap/>
            <w:vAlign w:val="bottom"/>
            <w:hideMark/>
          </w:tcPr>
          <w:p w14:paraId="0041406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w:t>
            </w:r>
          </w:p>
        </w:tc>
        <w:tc>
          <w:tcPr>
            <w:tcW w:w="1820" w:type="dxa"/>
            <w:tcBorders>
              <w:top w:val="nil"/>
              <w:left w:val="nil"/>
              <w:bottom w:val="nil"/>
              <w:right w:val="single" w:sz="4" w:space="0" w:color="auto"/>
            </w:tcBorders>
            <w:shd w:val="clear" w:color="auto" w:fill="auto"/>
            <w:noWrap/>
            <w:vAlign w:val="bottom"/>
            <w:hideMark/>
          </w:tcPr>
          <w:p w14:paraId="624FA1F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52FE8A42"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6B8D359A"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Bilirubin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234E3F1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1460" w:type="dxa"/>
            <w:tcBorders>
              <w:top w:val="nil"/>
              <w:left w:val="nil"/>
              <w:bottom w:val="nil"/>
              <w:right w:val="nil"/>
            </w:tcBorders>
            <w:shd w:val="clear" w:color="auto" w:fill="auto"/>
            <w:noWrap/>
            <w:vAlign w:val="bottom"/>
            <w:hideMark/>
          </w:tcPr>
          <w:p w14:paraId="0BD84A9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1320" w:type="dxa"/>
            <w:tcBorders>
              <w:top w:val="nil"/>
              <w:left w:val="nil"/>
              <w:bottom w:val="nil"/>
              <w:right w:val="nil"/>
            </w:tcBorders>
            <w:shd w:val="clear" w:color="auto" w:fill="auto"/>
            <w:noWrap/>
            <w:vAlign w:val="bottom"/>
            <w:hideMark/>
          </w:tcPr>
          <w:p w14:paraId="03B1B9B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740" w:type="dxa"/>
            <w:tcBorders>
              <w:top w:val="nil"/>
              <w:left w:val="nil"/>
              <w:bottom w:val="nil"/>
              <w:right w:val="nil"/>
            </w:tcBorders>
            <w:shd w:val="clear" w:color="auto" w:fill="auto"/>
            <w:noWrap/>
            <w:vAlign w:val="bottom"/>
            <w:hideMark/>
          </w:tcPr>
          <w:p w14:paraId="542EE39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720" w:type="dxa"/>
            <w:tcBorders>
              <w:top w:val="nil"/>
              <w:left w:val="single" w:sz="4" w:space="0" w:color="auto"/>
              <w:bottom w:val="nil"/>
              <w:right w:val="nil"/>
            </w:tcBorders>
            <w:shd w:val="clear" w:color="auto" w:fill="auto"/>
            <w:noWrap/>
            <w:vAlign w:val="bottom"/>
            <w:hideMark/>
          </w:tcPr>
          <w:p w14:paraId="25DF167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1340" w:type="dxa"/>
            <w:tcBorders>
              <w:top w:val="nil"/>
              <w:left w:val="nil"/>
              <w:bottom w:val="nil"/>
              <w:right w:val="nil"/>
            </w:tcBorders>
            <w:shd w:val="clear" w:color="auto" w:fill="auto"/>
            <w:noWrap/>
            <w:vAlign w:val="bottom"/>
            <w:hideMark/>
          </w:tcPr>
          <w:p w14:paraId="7A6CB20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1300" w:type="dxa"/>
            <w:tcBorders>
              <w:top w:val="nil"/>
              <w:left w:val="nil"/>
              <w:bottom w:val="nil"/>
              <w:right w:val="nil"/>
            </w:tcBorders>
            <w:shd w:val="clear" w:color="auto" w:fill="auto"/>
            <w:noWrap/>
            <w:vAlign w:val="bottom"/>
            <w:hideMark/>
          </w:tcPr>
          <w:p w14:paraId="36F7CE7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0.16</w:t>
            </w:r>
          </w:p>
        </w:tc>
        <w:tc>
          <w:tcPr>
            <w:tcW w:w="680" w:type="dxa"/>
            <w:tcBorders>
              <w:top w:val="nil"/>
              <w:left w:val="nil"/>
              <w:bottom w:val="nil"/>
              <w:right w:val="single" w:sz="4" w:space="0" w:color="auto"/>
            </w:tcBorders>
            <w:shd w:val="clear" w:color="auto" w:fill="auto"/>
            <w:noWrap/>
            <w:vAlign w:val="bottom"/>
            <w:hideMark/>
          </w:tcPr>
          <w:p w14:paraId="5BB80C4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w:t>
            </w:r>
          </w:p>
        </w:tc>
        <w:tc>
          <w:tcPr>
            <w:tcW w:w="1820" w:type="dxa"/>
            <w:tcBorders>
              <w:top w:val="nil"/>
              <w:left w:val="nil"/>
              <w:bottom w:val="nil"/>
              <w:right w:val="single" w:sz="4" w:space="0" w:color="auto"/>
            </w:tcBorders>
            <w:shd w:val="clear" w:color="auto" w:fill="auto"/>
            <w:noWrap/>
            <w:vAlign w:val="bottom"/>
            <w:hideMark/>
          </w:tcPr>
          <w:p w14:paraId="3EBC25A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4AD2769B"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0A0ADE19"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Urea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5DF7099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48.8</w:t>
            </w:r>
          </w:p>
        </w:tc>
        <w:tc>
          <w:tcPr>
            <w:tcW w:w="1460" w:type="dxa"/>
            <w:tcBorders>
              <w:top w:val="nil"/>
              <w:left w:val="nil"/>
              <w:bottom w:val="nil"/>
              <w:right w:val="nil"/>
            </w:tcBorders>
            <w:shd w:val="clear" w:color="auto" w:fill="auto"/>
            <w:noWrap/>
            <w:vAlign w:val="bottom"/>
            <w:hideMark/>
          </w:tcPr>
          <w:p w14:paraId="6937117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35.60</w:t>
            </w:r>
          </w:p>
        </w:tc>
        <w:tc>
          <w:tcPr>
            <w:tcW w:w="1320" w:type="dxa"/>
            <w:tcBorders>
              <w:top w:val="nil"/>
              <w:left w:val="nil"/>
              <w:bottom w:val="nil"/>
              <w:right w:val="nil"/>
            </w:tcBorders>
            <w:shd w:val="clear" w:color="auto" w:fill="auto"/>
            <w:noWrap/>
            <w:vAlign w:val="bottom"/>
            <w:hideMark/>
          </w:tcPr>
          <w:p w14:paraId="00A6AE0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60.60</w:t>
            </w:r>
          </w:p>
        </w:tc>
        <w:tc>
          <w:tcPr>
            <w:tcW w:w="740" w:type="dxa"/>
            <w:tcBorders>
              <w:top w:val="nil"/>
              <w:left w:val="nil"/>
              <w:bottom w:val="nil"/>
              <w:right w:val="nil"/>
            </w:tcBorders>
            <w:shd w:val="clear" w:color="auto" w:fill="auto"/>
            <w:noWrap/>
            <w:vAlign w:val="bottom"/>
            <w:hideMark/>
          </w:tcPr>
          <w:p w14:paraId="156EC5D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55A8A2A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47.28</w:t>
            </w:r>
          </w:p>
        </w:tc>
        <w:tc>
          <w:tcPr>
            <w:tcW w:w="1340" w:type="dxa"/>
            <w:tcBorders>
              <w:top w:val="nil"/>
              <w:left w:val="nil"/>
              <w:bottom w:val="nil"/>
              <w:right w:val="nil"/>
            </w:tcBorders>
            <w:shd w:val="clear" w:color="auto" w:fill="auto"/>
            <w:noWrap/>
            <w:vAlign w:val="bottom"/>
            <w:hideMark/>
          </w:tcPr>
          <w:p w14:paraId="41747B9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37.50</w:t>
            </w:r>
          </w:p>
        </w:tc>
        <w:tc>
          <w:tcPr>
            <w:tcW w:w="1300" w:type="dxa"/>
            <w:tcBorders>
              <w:top w:val="nil"/>
              <w:left w:val="nil"/>
              <w:bottom w:val="nil"/>
              <w:right w:val="nil"/>
            </w:tcBorders>
            <w:shd w:val="clear" w:color="auto" w:fill="auto"/>
            <w:noWrap/>
            <w:vAlign w:val="bottom"/>
            <w:hideMark/>
          </w:tcPr>
          <w:p w14:paraId="2CB6BB6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56.10</w:t>
            </w:r>
          </w:p>
        </w:tc>
        <w:tc>
          <w:tcPr>
            <w:tcW w:w="680" w:type="dxa"/>
            <w:tcBorders>
              <w:top w:val="nil"/>
              <w:left w:val="nil"/>
              <w:bottom w:val="nil"/>
              <w:right w:val="single" w:sz="4" w:space="0" w:color="auto"/>
            </w:tcBorders>
            <w:shd w:val="clear" w:color="auto" w:fill="auto"/>
            <w:noWrap/>
            <w:vAlign w:val="bottom"/>
            <w:hideMark/>
          </w:tcPr>
          <w:p w14:paraId="794147C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586C38F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28AF5C06"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071D0376"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Creatinine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7F1A6F9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0.10</w:t>
            </w:r>
          </w:p>
        </w:tc>
        <w:tc>
          <w:tcPr>
            <w:tcW w:w="1460" w:type="dxa"/>
            <w:tcBorders>
              <w:top w:val="nil"/>
              <w:left w:val="nil"/>
              <w:bottom w:val="nil"/>
              <w:right w:val="nil"/>
            </w:tcBorders>
            <w:shd w:val="clear" w:color="auto" w:fill="auto"/>
            <w:noWrap/>
            <w:vAlign w:val="bottom"/>
            <w:hideMark/>
          </w:tcPr>
          <w:p w14:paraId="3438477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0.07</w:t>
            </w:r>
          </w:p>
        </w:tc>
        <w:tc>
          <w:tcPr>
            <w:tcW w:w="1320" w:type="dxa"/>
            <w:tcBorders>
              <w:top w:val="nil"/>
              <w:left w:val="nil"/>
              <w:bottom w:val="nil"/>
              <w:right w:val="nil"/>
            </w:tcBorders>
            <w:shd w:val="clear" w:color="auto" w:fill="auto"/>
            <w:noWrap/>
            <w:vAlign w:val="bottom"/>
            <w:hideMark/>
          </w:tcPr>
          <w:p w14:paraId="6E1A052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740" w:type="dxa"/>
            <w:tcBorders>
              <w:top w:val="nil"/>
              <w:left w:val="nil"/>
              <w:bottom w:val="nil"/>
              <w:right w:val="nil"/>
            </w:tcBorders>
            <w:shd w:val="clear" w:color="auto" w:fill="auto"/>
            <w:noWrap/>
            <w:vAlign w:val="bottom"/>
            <w:hideMark/>
          </w:tcPr>
          <w:p w14:paraId="77459FF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451669B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0.12</w:t>
            </w:r>
          </w:p>
        </w:tc>
        <w:tc>
          <w:tcPr>
            <w:tcW w:w="1340" w:type="dxa"/>
            <w:tcBorders>
              <w:top w:val="nil"/>
              <w:left w:val="nil"/>
              <w:bottom w:val="nil"/>
              <w:right w:val="nil"/>
            </w:tcBorders>
            <w:shd w:val="clear" w:color="auto" w:fill="auto"/>
            <w:noWrap/>
            <w:vAlign w:val="bottom"/>
            <w:hideMark/>
          </w:tcPr>
          <w:p w14:paraId="07E2B17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0.08</w:t>
            </w:r>
          </w:p>
        </w:tc>
        <w:tc>
          <w:tcPr>
            <w:tcW w:w="1300" w:type="dxa"/>
            <w:tcBorders>
              <w:top w:val="nil"/>
              <w:left w:val="nil"/>
              <w:bottom w:val="nil"/>
              <w:right w:val="nil"/>
            </w:tcBorders>
            <w:shd w:val="clear" w:color="auto" w:fill="auto"/>
            <w:noWrap/>
            <w:vAlign w:val="bottom"/>
            <w:hideMark/>
          </w:tcPr>
          <w:p w14:paraId="1EBE816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680" w:type="dxa"/>
            <w:tcBorders>
              <w:top w:val="nil"/>
              <w:left w:val="nil"/>
              <w:bottom w:val="nil"/>
              <w:right w:val="single" w:sz="4" w:space="0" w:color="auto"/>
            </w:tcBorders>
            <w:shd w:val="clear" w:color="auto" w:fill="auto"/>
            <w:noWrap/>
            <w:vAlign w:val="bottom"/>
            <w:hideMark/>
          </w:tcPr>
          <w:p w14:paraId="0D7783E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w:t>
            </w:r>
          </w:p>
        </w:tc>
        <w:tc>
          <w:tcPr>
            <w:tcW w:w="1820" w:type="dxa"/>
            <w:tcBorders>
              <w:top w:val="nil"/>
              <w:left w:val="nil"/>
              <w:bottom w:val="nil"/>
              <w:right w:val="single" w:sz="4" w:space="0" w:color="auto"/>
            </w:tcBorders>
            <w:shd w:val="clear" w:color="auto" w:fill="auto"/>
            <w:noWrap/>
            <w:vAlign w:val="bottom"/>
            <w:hideMark/>
          </w:tcPr>
          <w:p w14:paraId="3D0CA1F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05BCE5F6"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6A6A2858"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Glucose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059AB3D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295.14</w:t>
            </w:r>
          </w:p>
        </w:tc>
        <w:tc>
          <w:tcPr>
            <w:tcW w:w="1460" w:type="dxa"/>
            <w:tcBorders>
              <w:top w:val="nil"/>
              <w:left w:val="nil"/>
              <w:bottom w:val="nil"/>
              <w:right w:val="nil"/>
            </w:tcBorders>
            <w:shd w:val="clear" w:color="auto" w:fill="auto"/>
            <w:noWrap/>
            <w:vAlign w:val="bottom"/>
            <w:hideMark/>
          </w:tcPr>
          <w:p w14:paraId="1AF1892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253.00</w:t>
            </w:r>
          </w:p>
        </w:tc>
        <w:tc>
          <w:tcPr>
            <w:tcW w:w="1320" w:type="dxa"/>
            <w:tcBorders>
              <w:top w:val="nil"/>
              <w:left w:val="nil"/>
              <w:bottom w:val="nil"/>
              <w:right w:val="nil"/>
            </w:tcBorders>
            <w:shd w:val="clear" w:color="auto" w:fill="auto"/>
            <w:noWrap/>
            <w:vAlign w:val="bottom"/>
            <w:hideMark/>
          </w:tcPr>
          <w:p w14:paraId="3F27A5C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355.00</w:t>
            </w:r>
          </w:p>
        </w:tc>
        <w:tc>
          <w:tcPr>
            <w:tcW w:w="740" w:type="dxa"/>
            <w:tcBorders>
              <w:top w:val="nil"/>
              <w:left w:val="nil"/>
              <w:bottom w:val="nil"/>
              <w:right w:val="nil"/>
            </w:tcBorders>
            <w:shd w:val="clear" w:color="auto" w:fill="auto"/>
            <w:noWrap/>
            <w:vAlign w:val="bottom"/>
            <w:hideMark/>
          </w:tcPr>
          <w:p w14:paraId="6F0F08B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2ECD933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270.80</w:t>
            </w:r>
          </w:p>
        </w:tc>
        <w:tc>
          <w:tcPr>
            <w:tcW w:w="1340" w:type="dxa"/>
            <w:tcBorders>
              <w:top w:val="nil"/>
              <w:left w:val="nil"/>
              <w:bottom w:val="nil"/>
              <w:right w:val="nil"/>
            </w:tcBorders>
            <w:shd w:val="clear" w:color="auto" w:fill="auto"/>
            <w:noWrap/>
            <w:vAlign w:val="bottom"/>
            <w:hideMark/>
          </w:tcPr>
          <w:p w14:paraId="1F959D3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233.00</w:t>
            </w:r>
          </w:p>
        </w:tc>
        <w:tc>
          <w:tcPr>
            <w:tcW w:w="1300" w:type="dxa"/>
            <w:tcBorders>
              <w:top w:val="nil"/>
              <w:left w:val="nil"/>
              <w:bottom w:val="nil"/>
              <w:right w:val="nil"/>
            </w:tcBorders>
            <w:shd w:val="clear" w:color="auto" w:fill="auto"/>
            <w:noWrap/>
            <w:vAlign w:val="bottom"/>
            <w:hideMark/>
          </w:tcPr>
          <w:p w14:paraId="49BE1B7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292.00</w:t>
            </w:r>
          </w:p>
        </w:tc>
        <w:tc>
          <w:tcPr>
            <w:tcW w:w="680" w:type="dxa"/>
            <w:tcBorders>
              <w:top w:val="nil"/>
              <w:left w:val="nil"/>
              <w:bottom w:val="nil"/>
              <w:right w:val="single" w:sz="4" w:space="0" w:color="auto"/>
            </w:tcBorders>
            <w:shd w:val="clear" w:color="auto" w:fill="auto"/>
            <w:noWrap/>
            <w:vAlign w:val="bottom"/>
            <w:hideMark/>
          </w:tcPr>
          <w:p w14:paraId="1D30195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5949F80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230A19FA"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3ACEB16F"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Protein (mg/mL)</w:t>
            </w:r>
          </w:p>
        </w:tc>
        <w:tc>
          <w:tcPr>
            <w:tcW w:w="2100" w:type="dxa"/>
            <w:tcBorders>
              <w:top w:val="nil"/>
              <w:left w:val="nil"/>
              <w:bottom w:val="nil"/>
              <w:right w:val="nil"/>
            </w:tcBorders>
            <w:shd w:val="clear" w:color="auto" w:fill="auto"/>
            <w:noWrap/>
            <w:vAlign w:val="bottom"/>
            <w:hideMark/>
          </w:tcPr>
          <w:p w14:paraId="2679C97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47.94</w:t>
            </w:r>
          </w:p>
        </w:tc>
        <w:tc>
          <w:tcPr>
            <w:tcW w:w="1460" w:type="dxa"/>
            <w:tcBorders>
              <w:top w:val="nil"/>
              <w:left w:val="nil"/>
              <w:bottom w:val="nil"/>
              <w:right w:val="nil"/>
            </w:tcBorders>
            <w:shd w:val="clear" w:color="auto" w:fill="auto"/>
            <w:noWrap/>
            <w:vAlign w:val="bottom"/>
            <w:hideMark/>
          </w:tcPr>
          <w:p w14:paraId="2932A16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45.30</w:t>
            </w:r>
          </w:p>
        </w:tc>
        <w:tc>
          <w:tcPr>
            <w:tcW w:w="1320" w:type="dxa"/>
            <w:tcBorders>
              <w:top w:val="nil"/>
              <w:left w:val="nil"/>
              <w:bottom w:val="nil"/>
              <w:right w:val="nil"/>
            </w:tcBorders>
            <w:shd w:val="clear" w:color="auto" w:fill="auto"/>
            <w:noWrap/>
            <w:vAlign w:val="bottom"/>
            <w:hideMark/>
          </w:tcPr>
          <w:p w14:paraId="1667286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50.00</w:t>
            </w:r>
          </w:p>
        </w:tc>
        <w:tc>
          <w:tcPr>
            <w:tcW w:w="740" w:type="dxa"/>
            <w:tcBorders>
              <w:top w:val="nil"/>
              <w:left w:val="nil"/>
              <w:bottom w:val="nil"/>
              <w:right w:val="nil"/>
            </w:tcBorders>
            <w:shd w:val="clear" w:color="auto" w:fill="auto"/>
            <w:noWrap/>
            <w:vAlign w:val="bottom"/>
            <w:hideMark/>
          </w:tcPr>
          <w:p w14:paraId="0E863A3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4E74CD7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45.14</w:t>
            </w:r>
          </w:p>
        </w:tc>
        <w:tc>
          <w:tcPr>
            <w:tcW w:w="1340" w:type="dxa"/>
            <w:tcBorders>
              <w:top w:val="nil"/>
              <w:left w:val="nil"/>
              <w:bottom w:val="nil"/>
              <w:right w:val="nil"/>
            </w:tcBorders>
            <w:shd w:val="clear" w:color="auto" w:fill="auto"/>
            <w:noWrap/>
            <w:vAlign w:val="bottom"/>
            <w:hideMark/>
          </w:tcPr>
          <w:p w14:paraId="71FB148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43.00</w:t>
            </w:r>
          </w:p>
        </w:tc>
        <w:tc>
          <w:tcPr>
            <w:tcW w:w="1300" w:type="dxa"/>
            <w:tcBorders>
              <w:top w:val="nil"/>
              <w:left w:val="nil"/>
              <w:bottom w:val="nil"/>
              <w:right w:val="nil"/>
            </w:tcBorders>
            <w:shd w:val="clear" w:color="auto" w:fill="auto"/>
            <w:noWrap/>
            <w:vAlign w:val="bottom"/>
            <w:hideMark/>
          </w:tcPr>
          <w:p w14:paraId="484ECDF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47.40</w:t>
            </w:r>
          </w:p>
        </w:tc>
        <w:tc>
          <w:tcPr>
            <w:tcW w:w="680" w:type="dxa"/>
            <w:tcBorders>
              <w:top w:val="nil"/>
              <w:left w:val="nil"/>
              <w:bottom w:val="nil"/>
              <w:right w:val="single" w:sz="4" w:space="0" w:color="auto"/>
            </w:tcBorders>
            <w:shd w:val="clear" w:color="auto" w:fill="auto"/>
            <w:noWrap/>
            <w:vAlign w:val="bottom"/>
            <w:hideMark/>
          </w:tcPr>
          <w:p w14:paraId="1240579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496E2EE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0.0307</w:t>
            </w:r>
          </w:p>
        </w:tc>
      </w:tr>
      <w:tr w:rsidR="007070B4" w:rsidRPr="003232D1" w14:paraId="0D83B201"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55935F4A"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Cholesterol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11BB811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65.57</w:t>
            </w:r>
          </w:p>
        </w:tc>
        <w:tc>
          <w:tcPr>
            <w:tcW w:w="1460" w:type="dxa"/>
            <w:tcBorders>
              <w:top w:val="nil"/>
              <w:left w:val="nil"/>
              <w:bottom w:val="nil"/>
              <w:right w:val="nil"/>
            </w:tcBorders>
            <w:shd w:val="clear" w:color="auto" w:fill="auto"/>
            <w:noWrap/>
            <w:vAlign w:val="bottom"/>
            <w:hideMark/>
          </w:tcPr>
          <w:p w14:paraId="6152FAD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49.00</w:t>
            </w:r>
          </w:p>
        </w:tc>
        <w:tc>
          <w:tcPr>
            <w:tcW w:w="1320" w:type="dxa"/>
            <w:tcBorders>
              <w:top w:val="nil"/>
              <w:left w:val="nil"/>
              <w:bottom w:val="nil"/>
              <w:right w:val="nil"/>
            </w:tcBorders>
            <w:shd w:val="clear" w:color="auto" w:fill="auto"/>
            <w:noWrap/>
            <w:vAlign w:val="bottom"/>
            <w:hideMark/>
          </w:tcPr>
          <w:p w14:paraId="476E9EA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83.00</w:t>
            </w:r>
          </w:p>
        </w:tc>
        <w:tc>
          <w:tcPr>
            <w:tcW w:w="740" w:type="dxa"/>
            <w:tcBorders>
              <w:top w:val="nil"/>
              <w:left w:val="nil"/>
              <w:bottom w:val="nil"/>
              <w:right w:val="nil"/>
            </w:tcBorders>
            <w:shd w:val="clear" w:color="auto" w:fill="auto"/>
            <w:noWrap/>
            <w:vAlign w:val="bottom"/>
            <w:hideMark/>
          </w:tcPr>
          <w:p w14:paraId="79C9CA4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4D62F76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58.00</w:t>
            </w:r>
          </w:p>
        </w:tc>
        <w:tc>
          <w:tcPr>
            <w:tcW w:w="1340" w:type="dxa"/>
            <w:tcBorders>
              <w:top w:val="nil"/>
              <w:left w:val="nil"/>
              <w:bottom w:val="nil"/>
              <w:right w:val="nil"/>
            </w:tcBorders>
            <w:shd w:val="clear" w:color="auto" w:fill="auto"/>
            <w:noWrap/>
            <w:vAlign w:val="bottom"/>
            <w:hideMark/>
          </w:tcPr>
          <w:p w14:paraId="68BA78B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53.00</w:t>
            </w:r>
          </w:p>
        </w:tc>
        <w:tc>
          <w:tcPr>
            <w:tcW w:w="1300" w:type="dxa"/>
            <w:tcBorders>
              <w:top w:val="nil"/>
              <w:left w:val="nil"/>
              <w:bottom w:val="nil"/>
              <w:right w:val="nil"/>
            </w:tcBorders>
            <w:shd w:val="clear" w:color="auto" w:fill="auto"/>
            <w:noWrap/>
            <w:vAlign w:val="bottom"/>
            <w:hideMark/>
          </w:tcPr>
          <w:p w14:paraId="54B520A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64.00</w:t>
            </w:r>
          </w:p>
        </w:tc>
        <w:tc>
          <w:tcPr>
            <w:tcW w:w="680" w:type="dxa"/>
            <w:tcBorders>
              <w:top w:val="nil"/>
              <w:left w:val="nil"/>
              <w:bottom w:val="nil"/>
              <w:right w:val="single" w:sz="4" w:space="0" w:color="auto"/>
            </w:tcBorders>
            <w:shd w:val="clear" w:color="auto" w:fill="auto"/>
            <w:noWrap/>
            <w:vAlign w:val="bottom"/>
            <w:hideMark/>
          </w:tcPr>
          <w:p w14:paraId="43B368C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54C7BBF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3217C406"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105082B8"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Triglycerides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7BB382B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83.43</w:t>
            </w:r>
          </w:p>
        </w:tc>
        <w:tc>
          <w:tcPr>
            <w:tcW w:w="1460" w:type="dxa"/>
            <w:tcBorders>
              <w:top w:val="nil"/>
              <w:left w:val="nil"/>
              <w:bottom w:val="nil"/>
              <w:right w:val="nil"/>
            </w:tcBorders>
            <w:shd w:val="clear" w:color="auto" w:fill="auto"/>
            <w:noWrap/>
            <w:vAlign w:val="bottom"/>
            <w:hideMark/>
          </w:tcPr>
          <w:p w14:paraId="30AA975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49.00</w:t>
            </w:r>
          </w:p>
        </w:tc>
        <w:tc>
          <w:tcPr>
            <w:tcW w:w="1320" w:type="dxa"/>
            <w:tcBorders>
              <w:top w:val="nil"/>
              <w:left w:val="nil"/>
              <w:bottom w:val="nil"/>
              <w:right w:val="nil"/>
            </w:tcBorders>
            <w:shd w:val="clear" w:color="auto" w:fill="auto"/>
            <w:noWrap/>
            <w:vAlign w:val="bottom"/>
            <w:hideMark/>
          </w:tcPr>
          <w:p w14:paraId="1B7C13E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111.00</w:t>
            </w:r>
          </w:p>
        </w:tc>
        <w:tc>
          <w:tcPr>
            <w:tcW w:w="740" w:type="dxa"/>
            <w:tcBorders>
              <w:top w:val="nil"/>
              <w:left w:val="nil"/>
              <w:bottom w:val="nil"/>
              <w:right w:val="nil"/>
            </w:tcBorders>
            <w:shd w:val="clear" w:color="auto" w:fill="auto"/>
            <w:noWrap/>
            <w:vAlign w:val="bottom"/>
            <w:hideMark/>
          </w:tcPr>
          <w:p w14:paraId="0214937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6A68CF3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56.80</w:t>
            </w:r>
          </w:p>
        </w:tc>
        <w:tc>
          <w:tcPr>
            <w:tcW w:w="1340" w:type="dxa"/>
            <w:tcBorders>
              <w:top w:val="nil"/>
              <w:left w:val="nil"/>
              <w:bottom w:val="nil"/>
              <w:right w:val="nil"/>
            </w:tcBorders>
            <w:shd w:val="clear" w:color="auto" w:fill="auto"/>
            <w:noWrap/>
            <w:vAlign w:val="bottom"/>
            <w:hideMark/>
          </w:tcPr>
          <w:p w14:paraId="51E2F65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39.00</w:t>
            </w:r>
          </w:p>
        </w:tc>
        <w:tc>
          <w:tcPr>
            <w:tcW w:w="1300" w:type="dxa"/>
            <w:tcBorders>
              <w:top w:val="nil"/>
              <w:left w:val="nil"/>
              <w:bottom w:val="nil"/>
              <w:right w:val="nil"/>
            </w:tcBorders>
            <w:shd w:val="clear" w:color="auto" w:fill="auto"/>
            <w:noWrap/>
            <w:vAlign w:val="bottom"/>
            <w:hideMark/>
          </w:tcPr>
          <w:p w14:paraId="0B10FAF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71.00</w:t>
            </w:r>
          </w:p>
        </w:tc>
        <w:tc>
          <w:tcPr>
            <w:tcW w:w="680" w:type="dxa"/>
            <w:tcBorders>
              <w:top w:val="nil"/>
              <w:left w:val="nil"/>
              <w:bottom w:val="nil"/>
              <w:right w:val="single" w:sz="4" w:space="0" w:color="auto"/>
            </w:tcBorders>
            <w:shd w:val="clear" w:color="auto" w:fill="auto"/>
            <w:noWrap/>
            <w:vAlign w:val="bottom"/>
            <w:hideMark/>
          </w:tcPr>
          <w:p w14:paraId="25779DC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78ECDE4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0.0373</w:t>
            </w:r>
          </w:p>
        </w:tc>
      </w:tr>
      <w:tr w:rsidR="007070B4" w:rsidRPr="003232D1" w14:paraId="2C1B96AD"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54C7F49E"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Natrium (</w:t>
            </w:r>
            <w:proofErr w:type="spellStart"/>
            <w:r w:rsidRPr="003232D1">
              <w:rPr>
                <w:rFonts w:ascii="Calibri" w:eastAsia="Times New Roman" w:hAnsi="Calibri" w:cs="Calibri"/>
                <w:color w:val="000000"/>
              </w:rPr>
              <w:t>mmol</w:t>
            </w:r>
            <w:proofErr w:type="spellEnd"/>
            <w:r w:rsidRPr="003232D1">
              <w:rPr>
                <w:rFonts w:ascii="Calibri" w:eastAsia="Times New Roman" w:hAnsi="Calibri" w:cs="Calibri"/>
                <w:color w:val="000000"/>
              </w:rPr>
              <w:t>/L)</w:t>
            </w:r>
          </w:p>
        </w:tc>
        <w:tc>
          <w:tcPr>
            <w:tcW w:w="2100" w:type="dxa"/>
            <w:tcBorders>
              <w:top w:val="nil"/>
              <w:left w:val="nil"/>
              <w:bottom w:val="nil"/>
              <w:right w:val="nil"/>
            </w:tcBorders>
            <w:shd w:val="clear" w:color="auto" w:fill="auto"/>
            <w:noWrap/>
            <w:vAlign w:val="bottom"/>
            <w:hideMark/>
          </w:tcPr>
          <w:p w14:paraId="1600347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146.57</w:t>
            </w:r>
          </w:p>
        </w:tc>
        <w:tc>
          <w:tcPr>
            <w:tcW w:w="1460" w:type="dxa"/>
            <w:tcBorders>
              <w:top w:val="nil"/>
              <w:left w:val="nil"/>
              <w:bottom w:val="nil"/>
              <w:right w:val="nil"/>
            </w:tcBorders>
            <w:shd w:val="clear" w:color="auto" w:fill="auto"/>
            <w:noWrap/>
            <w:vAlign w:val="bottom"/>
            <w:hideMark/>
          </w:tcPr>
          <w:p w14:paraId="20E924E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144.00</w:t>
            </w:r>
          </w:p>
        </w:tc>
        <w:tc>
          <w:tcPr>
            <w:tcW w:w="1320" w:type="dxa"/>
            <w:tcBorders>
              <w:top w:val="nil"/>
              <w:left w:val="nil"/>
              <w:bottom w:val="nil"/>
              <w:right w:val="nil"/>
            </w:tcBorders>
            <w:shd w:val="clear" w:color="auto" w:fill="auto"/>
            <w:noWrap/>
            <w:vAlign w:val="bottom"/>
            <w:hideMark/>
          </w:tcPr>
          <w:p w14:paraId="2B3A695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152.00</w:t>
            </w:r>
          </w:p>
        </w:tc>
        <w:tc>
          <w:tcPr>
            <w:tcW w:w="740" w:type="dxa"/>
            <w:tcBorders>
              <w:top w:val="nil"/>
              <w:left w:val="nil"/>
              <w:bottom w:val="nil"/>
              <w:right w:val="nil"/>
            </w:tcBorders>
            <w:shd w:val="clear" w:color="auto" w:fill="auto"/>
            <w:noWrap/>
            <w:vAlign w:val="bottom"/>
            <w:hideMark/>
          </w:tcPr>
          <w:p w14:paraId="7AE744B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1544A0E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149.40</w:t>
            </w:r>
          </w:p>
        </w:tc>
        <w:tc>
          <w:tcPr>
            <w:tcW w:w="1340" w:type="dxa"/>
            <w:tcBorders>
              <w:top w:val="nil"/>
              <w:left w:val="nil"/>
              <w:bottom w:val="nil"/>
              <w:right w:val="nil"/>
            </w:tcBorders>
            <w:shd w:val="clear" w:color="auto" w:fill="auto"/>
            <w:noWrap/>
            <w:vAlign w:val="bottom"/>
            <w:hideMark/>
          </w:tcPr>
          <w:p w14:paraId="04DCEE2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145.00</w:t>
            </w:r>
          </w:p>
        </w:tc>
        <w:tc>
          <w:tcPr>
            <w:tcW w:w="1300" w:type="dxa"/>
            <w:tcBorders>
              <w:top w:val="nil"/>
              <w:left w:val="nil"/>
              <w:bottom w:val="nil"/>
              <w:right w:val="nil"/>
            </w:tcBorders>
            <w:shd w:val="clear" w:color="auto" w:fill="auto"/>
            <w:noWrap/>
            <w:vAlign w:val="bottom"/>
            <w:hideMark/>
          </w:tcPr>
          <w:p w14:paraId="2AA7E3F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152.00</w:t>
            </w:r>
          </w:p>
        </w:tc>
        <w:tc>
          <w:tcPr>
            <w:tcW w:w="680" w:type="dxa"/>
            <w:tcBorders>
              <w:top w:val="nil"/>
              <w:left w:val="nil"/>
              <w:bottom w:val="nil"/>
              <w:right w:val="single" w:sz="4" w:space="0" w:color="auto"/>
            </w:tcBorders>
            <w:shd w:val="clear" w:color="auto" w:fill="auto"/>
            <w:noWrap/>
            <w:vAlign w:val="bottom"/>
            <w:hideMark/>
          </w:tcPr>
          <w:p w14:paraId="05E075B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0F11775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7AE1FCEF"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3970376D" w14:textId="77777777" w:rsidR="007070B4" w:rsidRPr="003232D1" w:rsidRDefault="007070B4" w:rsidP="00232647">
            <w:pPr>
              <w:spacing w:after="0" w:line="240" w:lineRule="auto"/>
              <w:rPr>
                <w:rFonts w:ascii="Calibri" w:eastAsia="Times New Roman" w:hAnsi="Calibri" w:cs="Calibri"/>
                <w:color w:val="000000"/>
              </w:rPr>
            </w:pPr>
            <w:proofErr w:type="spellStart"/>
            <w:r w:rsidRPr="003232D1">
              <w:rPr>
                <w:rFonts w:ascii="Calibri" w:eastAsia="Times New Roman" w:hAnsi="Calibri" w:cs="Calibri"/>
                <w:color w:val="000000"/>
              </w:rPr>
              <w:t>Kalium</w:t>
            </w:r>
            <w:proofErr w:type="spellEnd"/>
            <w:r w:rsidRPr="003232D1">
              <w:rPr>
                <w:rFonts w:ascii="Calibri" w:eastAsia="Times New Roman" w:hAnsi="Calibri" w:cs="Calibri"/>
                <w:color w:val="000000"/>
              </w:rPr>
              <w:t xml:space="preserve"> (</w:t>
            </w:r>
            <w:proofErr w:type="spellStart"/>
            <w:r w:rsidRPr="003232D1">
              <w:rPr>
                <w:rFonts w:ascii="Calibri" w:eastAsia="Times New Roman" w:hAnsi="Calibri" w:cs="Calibri"/>
                <w:color w:val="000000"/>
              </w:rPr>
              <w:t>mmol</w:t>
            </w:r>
            <w:proofErr w:type="spellEnd"/>
            <w:r w:rsidRPr="003232D1">
              <w:rPr>
                <w:rFonts w:ascii="Calibri" w:eastAsia="Times New Roman" w:hAnsi="Calibri" w:cs="Calibri"/>
                <w:color w:val="000000"/>
              </w:rPr>
              <w:t>/L)</w:t>
            </w:r>
          </w:p>
        </w:tc>
        <w:tc>
          <w:tcPr>
            <w:tcW w:w="2100" w:type="dxa"/>
            <w:tcBorders>
              <w:top w:val="nil"/>
              <w:left w:val="nil"/>
              <w:bottom w:val="nil"/>
              <w:right w:val="nil"/>
            </w:tcBorders>
            <w:shd w:val="clear" w:color="auto" w:fill="auto"/>
            <w:noWrap/>
            <w:vAlign w:val="bottom"/>
            <w:hideMark/>
          </w:tcPr>
          <w:p w14:paraId="210B1C8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4.23</w:t>
            </w:r>
          </w:p>
        </w:tc>
        <w:tc>
          <w:tcPr>
            <w:tcW w:w="1460" w:type="dxa"/>
            <w:tcBorders>
              <w:top w:val="nil"/>
              <w:left w:val="nil"/>
              <w:bottom w:val="nil"/>
              <w:right w:val="nil"/>
            </w:tcBorders>
            <w:shd w:val="clear" w:color="auto" w:fill="auto"/>
            <w:noWrap/>
            <w:vAlign w:val="bottom"/>
            <w:hideMark/>
          </w:tcPr>
          <w:p w14:paraId="4251346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3.97</w:t>
            </w:r>
          </w:p>
        </w:tc>
        <w:tc>
          <w:tcPr>
            <w:tcW w:w="1320" w:type="dxa"/>
            <w:tcBorders>
              <w:top w:val="nil"/>
              <w:left w:val="nil"/>
              <w:bottom w:val="nil"/>
              <w:right w:val="nil"/>
            </w:tcBorders>
            <w:shd w:val="clear" w:color="auto" w:fill="auto"/>
            <w:noWrap/>
            <w:vAlign w:val="bottom"/>
            <w:hideMark/>
          </w:tcPr>
          <w:p w14:paraId="40549F2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4.87</w:t>
            </w:r>
          </w:p>
        </w:tc>
        <w:tc>
          <w:tcPr>
            <w:tcW w:w="740" w:type="dxa"/>
            <w:tcBorders>
              <w:top w:val="nil"/>
              <w:left w:val="nil"/>
              <w:bottom w:val="nil"/>
              <w:right w:val="nil"/>
            </w:tcBorders>
            <w:shd w:val="clear" w:color="auto" w:fill="auto"/>
            <w:noWrap/>
            <w:vAlign w:val="bottom"/>
            <w:hideMark/>
          </w:tcPr>
          <w:p w14:paraId="096A4A1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nil"/>
              <w:right w:val="nil"/>
            </w:tcBorders>
            <w:shd w:val="clear" w:color="auto" w:fill="auto"/>
            <w:noWrap/>
            <w:vAlign w:val="bottom"/>
            <w:hideMark/>
          </w:tcPr>
          <w:p w14:paraId="4DA8898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4.38</w:t>
            </w:r>
          </w:p>
        </w:tc>
        <w:tc>
          <w:tcPr>
            <w:tcW w:w="1340" w:type="dxa"/>
            <w:tcBorders>
              <w:top w:val="nil"/>
              <w:left w:val="nil"/>
              <w:bottom w:val="nil"/>
              <w:right w:val="nil"/>
            </w:tcBorders>
            <w:shd w:val="clear" w:color="auto" w:fill="auto"/>
            <w:noWrap/>
            <w:vAlign w:val="bottom"/>
            <w:hideMark/>
          </w:tcPr>
          <w:p w14:paraId="55AFE21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3.83</w:t>
            </w:r>
          </w:p>
        </w:tc>
        <w:tc>
          <w:tcPr>
            <w:tcW w:w="1300" w:type="dxa"/>
            <w:tcBorders>
              <w:top w:val="nil"/>
              <w:left w:val="nil"/>
              <w:bottom w:val="nil"/>
              <w:right w:val="nil"/>
            </w:tcBorders>
            <w:shd w:val="clear" w:color="auto" w:fill="auto"/>
            <w:noWrap/>
            <w:vAlign w:val="bottom"/>
            <w:hideMark/>
          </w:tcPr>
          <w:p w14:paraId="5781907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5.13</w:t>
            </w:r>
          </w:p>
        </w:tc>
        <w:tc>
          <w:tcPr>
            <w:tcW w:w="680" w:type="dxa"/>
            <w:tcBorders>
              <w:top w:val="nil"/>
              <w:left w:val="nil"/>
              <w:bottom w:val="nil"/>
              <w:right w:val="single" w:sz="4" w:space="0" w:color="auto"/>
            </w:tcBorders>
            <w:shd w:val="clear" w:color="auto" w:fill="auto"/>
            <w:noWrap/>
            <w:vAlign w:val="bottom"/>
            <w:hideMark/>
          </w:tcPr>
          <w:p w14:paraId="208F94E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3F4FFE7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33A3EC19" w14:textId="77777777" w:rsidTr="00232647">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AB157A2"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Calcium (</w:t>
            </w:r>
            <w:proofErr w:type="spellStart"/>
            <w:r w:rsidRPr="003232D1">
              <w:rPr>
                <w:rFonts w:ascii="Calibri" w:eastAsia="Times New Roman" w:hAnsi="Calibri" w:cs="Calibri"/>
                <w:color w:val="000000"/>
              </w:rPr>
              <w:t>mmol</w:t>
            </w:r>
            <w:proofErr w:type="spellEnd"/>
            <w:r w:rsidRPr="003232D1">
              <w:rPr>
                <w:rFonts w:ascii="Calibri" w:eastAsia="Times New Roman" w:hAnsi="Calibri" w:cs="Calibri"/>
                <w:color w:val="000000"/>
              </w:rPr>
              <w:t>/L)</w:t>
            </w:r>
          </w:p>
        </w:tc>
        <w:tc>
          <w:tcPr>
            <w:tcW w:w="2100" w:type="dxa"/>
            <w:tcBorders>
              <w:top w:val="nil"/>
              <w:left w:val="nil"/>
              <w:bottom w:val="single" w:sz="4" w:space="0" w:color="auto"/>
              <w:right w:val="nil"/>
            </w:tcBorders>
            <w:shd w:val="clear" w:color="auto" w:fill="auto"/>
            <w:noWrap/>
            <w:vAlign w:val="bottom"/>
            <w:hideMark/>
          </w:tcPr>
          <w:p w14:paraId="107BB09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2.20</w:t>
            </w:r>
          </w:p>
        </w:tc>
        <w:tc>
          <w:tcPr>
            <w:tcW w:w="1460" w:type="dxa"/>
            <w:tcBorders>
              <w:top w:val="nil"/>
              <w:left w:val="nil"/>
              <w:bottom w:val="single" w:sz="4" w:space="0" w:color="auto"/>
              <w:right w:val="nil"/>
            </w:tcBorders>
            <w:shd w:val="clear" w:color="auto" w:fill="auto"/>
            <w:noWrap/>
            <w:vAlign w:val="bottom"/>
            <w:hideMark/>
          </w:tcPr>
          <w:p w14:paraId="7432DA1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2.07</w:t>
            </w:r>
          </w:p>
        </w:tc>
        <w:tc>
          <w:tcPr>
            <w:tcW w:w="1320" w:type="dxa"/>
            <w:tcBorders>
              <w:top w:val="nil"/>
              <w:left w:val="nil"/>
              <w:bottom w:val="single" w:sz="4" w:space="0" w:color="auto"/>
              <w:right w:val="nil"/>
            </w:tcBorders>
            <w:shd w:val="clear" w:color="auto" w:fill="auto"/>
            <w:noWrap/>
            <w:vAlign w:val="bottom"/>
            <w:hideMark/>
          </w:tcPr>
          <w:p w14:paraId="5DE6600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2.29</w:t>
            </w:r>
          </w:p>
        </w:tc>
        <w:tc>
          <w:tcPr>
            <w:tcW w:w="740" w:type="dxa"/>
            <w:tcBorders>
              <w:top w:val="nil"/>
              <w:left w:val="nil"/>
              <w:bottom w:val="single" w:sz="4" w:space="0" w:color="auto"/>
              <w:right w:val="nil"/>
            </w:tcBorders>
            <w:shd w:val="clear" w:color="auto" w:fill="auto"/>
            <w:noWrap/>
            <w:vAlign w:val="bottom"/>
            <w:hideMark/>
          </w:tcPr>
          <w:p w14:paraId="69FED01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w:t>
            </w:r>
          </w:p>
        </w:tc>
        <w:tc>
          <w:tcPr>
            <w:tcW w:w="1720" w:type="dxa"/>
            <w:tcBorders>
              <w:top w:val="nil"/>
              <w:left w:val="single" w:sz="4" w:space="0" w:color="auto"/>
              <w:bottom w:val="single" w:sz="4" w:space="0" w:color="auto"/>
              <w:right w:val="nil"/>
            </w:tcBorders>
            <w:shd w:val="clear" w:color="auto" w:fill="auto"/>
            <w:noWrap/>
            <w:vAlign w:val="bottom"/>
            <w:hideMark/>
          </w:tcPr>
          <w:p w14:paraId="6F831E7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2.30</w:t>
            </w:r>
          </w:p>
        </w:tc>
        <w:tc>
          <w:tcPr>
            <w:tcW w:w="1340" w:type="dxa"/>
            <w:tcBorders>
              <w:top w:val="nil"/>
              <w:left w:val="nil"/>
              <w:bottom w:val="single" w:sz="4" w:space="0" w:color="auto"/>
              <w:right w:val="nil"/>
            </w:tcBorders>
            <w:shd w:val="clear" w:color="auto" w:fill="auto"/>
            <w:noWrap/>
            <w:vAlign w:val="bottom"/>
            <w:hideMark/>
          </w:tcPr>
          <w:p w14:paraId="14346F9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2.24</w:t>
            </w:r>
          </w:p>
        </w:tc>
        <w:tc>
          <w:tcPr>
            <w:tcW w:w="1300" w:type="dxa"/>
            <w:tcBorders>
              <w:top w:val="nil"/>
              <w:left w:val="nil"/>
              <w:bottom w:val="single" w:sz="4" w:space="0" w:color="auto"/>
              <w:right w:val="nil"/>
            </w:tcBorders>
            <w:shd w:val="clear" w:color="auto" w:fill="auto"/>
            <w:noWrap/>
            <w:vAlign w:val="bottom"/>
            <w:hideMark/>
          </w:tcPr>
          <w:p w14:paraId="3AAA65F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2.41</w:t>
            </w:r>
          </w:p>
        </w:tc>
        <w:tc>
          <w:tcPr>
            <w:tcW w:w="680" w:type="dxa"/>
            <w:tcBorders>
              <w:top w:val="nil"/>
              <w:left w:val="nil"/>
              <w:bottom w:val="single" w:sz="4" w:space="0" w:color="auto"/>
              <w:right w:val="single" w:sz="4" w:space="0" w:color="auto"/>
            </w:tcBorders>
            <w:shd w:val="clear" w:color="auto" w:fill="auto"/>
            <w:noWrap/>
            <w:vAlign w:val="bottom"/>
            <w:hideMark/>
          </w:tcPr>
          <w:p w14:paraId="3615F08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w:t>
            </w:r>
          </w:p>
        </w:tc>
        <w:tc>
          <w:tcPr>
            <w:tcW w:w="1820" w:type="dxa"/>
            <w:tcBorders>
              <w:top w:val="nil"/>
              <w:left w:val="nil"/>
              <w:bottom w:val="single" w:sz="4" w:space="0" w:color="auto"/>
              <w:right w:val="single" w:sz="4" w:space="0" w:color="auto"/>
            </w:tcBorders>
            <w:shd w:val="clear" w:color="auto" w:fill="auto"/>
            <w:noWrap/>
            <w:vAlign w:val="bottom"/>
            <w:hideMark/>
          </w:tcPr>
          <w:p w14:paraId="02B9F97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3236650D" w14:textId="77777777" w:rsidTr="00232647">
        <w:trPr>
          <w:trHeight w:val="300"/>
        </w:trPr>
        <w:tc>
          <w:tcPr>
            <w:tcW w:w="3040" w:type="dxa"/>
            <w:tcBorders>
              <w:top w:val="nil"/>
              <w:left w:val="nil"/>
              <w:bottom w:val="nil"/>
              <w:right w:val="nil"/>
            </w:tcBorders>
            <w:shd w:val="clear" w:color="auto" w:fill="auto"/>
            <w:noWrap/>
            <w:vAlign w:val="bottom"/>
            <w:hideMark/>
          </w:tcPr>
          <w:p w14:paraId="32A558D2" w14:textId="77777777" w:rsidR="007070B4" w:rsidRPr="003232D1" w:rsidRDefault="007070B4" w:rsidP="00232647">
            <w:pPr>
              <w:spacing w:after="0" w:line="240" w:lineRule="auto"/>
              <w:jc w:val="center"/>
              <w:rPr>
                <w:rFonts w:ascii="Calibri" w:eastAsia="Times New Roman" w:hAnsi="Calibri" w:cs="Calibri"/>
                <w:color w:val="000000"/>
              </w:rPr>
            </w:pPr>
          </w:p>
        </w:tc>
        <w:tc>
          <w:tcPr>
            <w:tcW w:w="2100" w:type="dxa"/>
            <w:tcBorders>
              <w:top w:val="nil"/>
              <w:left w:val="nil"/>
              <w:bottom w:val="nil"/>
              <w:right w:val="nil"/>
            </w:tcBorders>
            <w:shd w:val="clear" w:color="auto" w:fill="auto"/>
            <w:noWrap/>
            <w:vAlign w:val="bottom"/>
            <w:hideMark/>
          </w:tcPr>
          <w:p w14:paraId="0C4D43B0"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B2A70C9"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6358B2F"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7F2984CE"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720" w:type="dxa"/>
            <w:tcBorders>
              <w:top w:val="nil"/>
              <w:left w:val="nil"/>
              <w:bottom w:val="nil"/>
              <w:right w:val="nil"/>
            </w:tcBorders>
            <w:shd w:val="clear" w:color="auto" w:fill="auto"/>
            <w:noWrap/>
            <w:vAlign w:val="bottom"/>
            <w:hideMark/>
          </w:tcPr>
          <w:p w14:paraId="76D8C10D"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7473176A"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E563BE9"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4D4543F8"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14:paraId="754D5157" w14:textId="77777777" w:rsidR="007070B4" w:rsidRPr="003232D1" w:rsidRDefault="007070B4" w:rsidP="00232647">
            <w:pPr>
              <w:spacing w:after="0" w:line="240" w:lineRule="auto"/>
              <w:rPr>
                <w:rFonts w:ascii="Times New Roman" w:eastAsia="Times New Roman" w:hAnsi="Times New Roman" w:cs="Times New Roman"/>
                <w:sz w:val="20"/>
                <w:szCs w:val="20"/>
              </w:rPr>
            </w:pPr>
          </w:p>
        </w:tc>
      </w:tr>
    </w:tbl>
    <w:p w14:paraId="1056DFBA" w14:textId="1095600F" w:rsidR="007070B4" w:rsidRDefault="007070B4">
      <w:pPr>
        <w:spacing w:line="259" w:lineRule="auto"/>
        <w:rPr>
          <w:rFonts w:cstheme="minorHAnsi"/>
        </w:rPr>
      </w:pPr>
      <w:r>
        <w:rPr>
          <w:rFonts w:cstheme="minorHAnsi"/>
        </w:rPr>
        <w:br w:type="page"/>
      </w:r>
    </w:p>
    <w:p w14:paraId="5A4B2FBE" w14:textId="7F03ABA3" w:rsidR="007070B4" w:rsidRDefault="007070B4" w:rsidP="007070B4">
      <w:pPr>
        <w:rPr>
          <w:rFonts w:cstheme="minorHAnsi"/>
        </w:rPr>
      </w:pPr>
      <w:r>
        <w:rPr>
          <w:rFonts w:cstheme="minorHAnsi"/>
        </w:rPr>
        <w:lastRenderedPageBreak/>
        <w:t>Table S1. Plasma values (continued).</w:t>
      </w:r>
    </w:p>
    <w:tbl>
      <w:tblPr>
        <w:tblW w:w="15520" w:type="dxa"/>
        <w:tblLook w:val="04A0" w:firstRow="1" w:lastRow="0" w:firstColumn="1" w:lastColumn="0" w:noHBand="0" w:noVBand="1"/>
      </w:tblPr>
      <w:tblGrid>
        <w:gridCol w:w="3040"/>
        <w:gridCol w:w="2100"/>
        <w:gridCol w:w="1460"/>
        <w:gridCol w:w="1320"/>
        <w:gridCol w:w="740"/>
        <w:gridCol w:w="1720"/>
        <w:gridCol w:w="1340"/>
        <w:gridCol w:w="1300"/>
        <w:gridCol w:w="680"/>
        <w:gridCol w:w="1820"/>
      </w:tblGrid>
      <w:tr w:rsidR="007070B4" w:rsidRPr="003232D1" w14:paraId="0D17A486" w14:textId="77777777" w:rsidTr="00232647">
        <w:trPr>
          <w:trHeight w:val="300"/>
        </w:trPr>
        <w:tc>
          <w:tcPr>
            <w:tcW w:w="3040" w:type="dxa"/>
            <w:tcBorders>
              <w:top w:val="nil"/>
              <w:left w:val="nil"/>
              <w:bottom w:val="nil"/>
              <w:right w:val="nil"/>
            </w:tcBorders>
            <w:shd w:val="clear" w:color="auto" w:fill="auto"/>
            <w:noWrap/>
            <w:vAlign w:val="bottom"/>
            <w:hideMark/>
          </w:tcPr>
          <w:p w14:paraId="7E22F339"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2100" w:type="dxa"/>
            <w:tcBorders>
              <w:top w:val="nil"/>
              <w:left w:val="nil"/>
              <w:bottom w:val="nil"/>
              <w:right w:val="nil"/>
            </w:tcBorders>
            <w:shd w:val="clear" w:color="auto" w:fill="auto"/>
            <w:noWrap/>
            <w:vAlign w:val="bottom"/>
            <w:hideMark/>
          </w:tcPr>
          <w:p w14:paraId="1DD9BBBC"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4503CFAC"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E42D20D"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24810B06"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720" w:type="dxa"/>
            <w:tcBorders>
              <w:top w:val="nil"/>
              <w:left w:val="nil"/>
              <w:bottom w:val="nil"/>
              <w:right w:val="nil"/>
            </w:tcBorders>
            <w:shd w:val="clear" w:color="auto" w:fill="auto"/>
            <w:noWrap/>
            <w:vAlign w:val="bottom"/>
            <w:hideMark/>
          </w:tcPr>
          <w:p w14:paraId="0590B7E8"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BEBE0C7"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31AED30"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7B0A1B6F"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14:paraId="4DCB58BA" w14:textId="77777777" w:rsidR="007070B4" w:rsidRPr="003232D1" w:rsidRDefault="007070B4" w:rsidP="00232647">
            <w:pPr>
              <w:spacing w:after="0" w:line="240" w:lineRule="auto"/>
              <w:rPr>
                <w:rFonts w:ascii="Times New Roman" w:eastAsia="Times New Roman" w:hAnsi="Times New Roman" w:cs="Times New Roman"/>
                <w:sz w:val="20"/>
                <w:szCs w:val="20"/>
              </w:rPr>
            </w:pPr>
          </w:p>
        </w:tc>
      </w:tr>
      <w:tr w:rsidR="007070B4" w:rsidRPr="003232D1" w14:paraId="7DC0E752" w14:textId="77777777" w:rsidTr="00232647">
        <w:trPr>
          <w:trHeight w:val="420"/>
        </w:trPr>
        <w:tc>
          <w:tcPr>
            <w:tcW w:w="3040" w:type="dxa"/>
            <w:tcBorders>
              <w:top w:val="nil"/>
              <w:left w:val="nil"/>
              <w:bottom w:val="nil"/>
              <w:right w:val="nil"/>
            </w:tcBorders>
            <w:shd w:val="clear" w:color="auto" w:fill="auto"/>
            <w:noWrap/>
            <w:vAlign w:val="bottom"/>
            <w:hideMark/>
          </w:tcPr>
          <w:p w14:paraId="5F0F710F" w14:textId="77777777" w:rsidR="007070B4" w:rsidRPr="003232D1" w:rsidRDefault="007070B4" w:rsidP="00232647">
            <w:pPr>
              <w:spacing w:after="0" w:line="240" w:lineRule="auto"/>
              <w:rPr>
                <w:rFonts w:ascii="Calibri" w:eastAsia="Times New Roman" w:hAnsi="Calibri" w:cs="Calibri"/>
                <w:b/>
                <w:bCs/>
                <w:color w:val="000000"/>
                <w:sz w:val="32"/>
                <w:szCs w:val="32"/>
              </w:rPr>
            </w:pPr>
            <w:r w:rsidRPr="003232D1">
              <w:rPr>
                <w:rFonts w:ascii="Calibri" w:eastAsia="Times New Roman" w:hAnsi="Calibri" w:cs="Calibri"/>
                <w:b/>
                <w:bCs/>
                <w:color w:val="000000"/>
                <w:sz w:val="32"/>
                <w:szCs w:val="32"/>
              </w:rPr>
              <w:t>Males, 3 months</w:t>
            </w:r>
          </w:p>
        </w:tc>
        <w:tc>
          <w:tcPr>
            <w:tcW w:w="2100" w:type="dxa"/>
            <w:tcBorders>
              <w:top w:val="nil"/>
              <w:left w:val="nil"/>
              <w:bottom w:val="nil"/>
              <w:right w:val="nil"/>
            </w:tcBorders>
            <w:shd w:val="clear" w:color="auto" w:fill="auto"/>
            <w:noWrap/>
            <w:vAlign w:val="bottom"/>
            <w:hideMark/>
          </w:tcPr>
          <w:p w14:paraId="6E71381E" w14:textId="77777777" w:rsidR="007070B4" w:rsidRPr="003232D1" w:rsidRDefault="007070B4" w:rsidP="00232647">
            <w:pPr>
              <w:spacing w:after="0" w:line="240" w:lineRule="auto"/>
              <w:rPr>
                <w:rFonts w:ascii="Calibri" w:eastAsia="Times New Roman" w:hAnsi="Calibri" w:cs="Calibri"/>
                <w:b/>
                <w:bCs/>
                <w:color w:val="000000"/>
                <w:sz w:val="32"/>
                <w:szCs w:val="32"/>
              </w:rPr>
            </w:pPr>
          </w:p>
        </w:tc>
        <w:tc>
          <w:tcPr>
            <w:tcW w:w="1460" w:type="dxa"/>
            <w:tcBorders>
              <w:top w:val="nil"/>
              <w:left w:val="nil"/>
              <w:bottom w:val="nil"/>
              <w:right w:val="nil"/>
            </w:tcBorders>
            <w:shd w:val="clear" w:color="auto" w:fill="auto"/>
            <w:noWrap/>
            <w:vAlign w:val="bottom"/>
            <w:hideMark/>
          </w:tcPr>
          <w:p w14:paraId="0882D7C7"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E9CB0F5"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bottom"/>
            <w:hideMark/>
          </w:tcPr>
          <w:p w14:paraId="7C3D5B4D"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720" w:type="dxa"/>
            <w:tcBorders>
              <w:top w:val="nil"/>
              <w:left w:val="nil"/>
              <w:bottom w:val="nil"/>
              <w:right w:val="nil"/>
            </w:tcBorders>
            <w:shd w:val="clear" w:color="auto" w:fill="auto"/>
            <w:noWrap/>
            <w:vAlign w:val="bottom"/>
            <w:hideMark/>
          </w:tcPr>
          <w:p w14:paraId="58E490EF"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5398F352"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DBB6A1B"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09E25512"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14:paraId="4AE63D0D" w14:textId="77777777" w:rsidR="007070B4" w:rsidRPr="003232D1" w:rsidRDefault="007070B4" w:rsidP="00232647">
            <w:pPr>
              <w:spacing w:after="0" w:line="240" w:lineRule="auto"/>
              <w:rPr>
                <w:rFonts w:ascii="Times New Roman" w:eastAsia="Times New Roman" w:hAnsi="Times New Roman" w:cs="Times New Roman"/>
                <w:sz w:val="20"/>
                <w:szCs w:val="20"/>
              </w:rPr>
            </w:pPr>
          </w:p>
        </w:tc>
      </w:tr>
      <w:tr w:rsidR="007070B4" w:rsidRPr="003232D1" w14:paraId="2795CCFC" w14:textId="77777777" w:rsidTr="00232647">
        <w:trPr>
          <w:trHeight w:val="420"/>
        </w:trPr>
        <w:tc>
          <w:tcPr>
            <w:tcW w:w="3040" w:type="dxa"/>
            <w:tcBorders>
              <w:top w:val="nil"/>
              <w:left w:val="nil"/>
              <w:bottom w:val="nil"/>
              <w:right w:val="nil"/>
            </w:tcBorders>
            <w:shd w:val="clear" w:color="auto" w:fill="auto"/>
            <w:noWrap/>
            <w:vAlign w:val="bottom"/>
            <w:hideMark/>
          </w:tcPr>
          <w:p w14:paraId="6C773F8E"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56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CE13B6"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Control</w:t>
            </w:r>
          </w:p>
        </w:tc>
        <w:tc>
          <w:tcPr>
            <w:tcW w:w="50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DD700F6"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Alk1-HEC-KO</w:t>
            </w:r>
          </w:p>
        </w:tc>
        <w:tc>
          <w:tcPr>
            <w:tcW w:w="1820" w:type="dxa"/>
            <w:tcBorders>
              <w:top w:val="nil"/>
              <w:left w:val="nil"/>
              <w:bottom w:val="nil"/>
              <w:right w:val="nil"/>
            </w:tcBorders>
            <w:shd w:val="clear" w:color="auto" w:fill="auto"/>
            <w:noWrap/>
            <w:vAlign w:val="bottom"/>
            <w:hideMark/>
          </w:tcPr>
          <w:p w14:paraId="7C4CC105" w14:textId="77777777" w:rsidR="007070B4" w:rsidRPr="003232D1" w:rsidRDefault="007070B4" w:rsidP="00232647">
            <w:pPr>
              <w:spacing w:after="0" w:line="240" w:lineRule="auto"/>
              <w:jc w:val="center"/>
              <w:rPr>
                <w:rFonts w:ascii="Calibri" w:eastAsia="Times New Roman" w:hAnsi="Calibri" w:cs="Calibri"/>
                <w:b/>
                <w:bCs/>
                <w:color w:val="000000"/>
              </w:rPr>
            </w:pPr>
          </w:p>
        </w:tc>
      </w:tr>
      <w:tr w:rsidR="007070B4" w:rsidRPr="003232D1" w14:paraId="69A1AFB1" w14:textId="77777777" w:rsidTr="00232647">
        <w:trPr>
          <w:trHeight w:val="300"/>
        </w:trPr>
        <w:tc>
          <w:tcPr>
            <w:tcW w:w="3040" w:type="dxa"/>
            <w:tcBorders>
              <w:top w:val="nil"/>
              <w:left w:val="nil"/>
              <w:bottom w:val="nil"/>
              <w:right w:val="nil"/>
            </w:tcBorders>
            <w:shd w:val="clear" w:color="auto" w:fill="auto"/>
            <w:noWrap/>
            <w:vAlign w:val="bottom"/>
            <w:hideMark/>
          </w:tcPr>
          <w:p w14:paraId="38E5B63D" w14:textId="77777777" w:rsidR="007070B4" w:rsidRPr="003232D1" w:rsidRDefault="007070B4" w:rsidP="00232647">
            <w:pPr>
              <w:spacing w:after="0" w:line="240" w:lineRule="auto"/>
              <w:rPr>
                <w:rFonts w:ascii="Times New Roman" w:eastAsia="Times New Roman" w:hAnsi="Times New Roman" w:cs="Times New Roman"/>
                <w:sz w:val="20"/>
                <w:szCs w:val="20"/>
              </w:rPr>
            </w:pPr>
          </w:p>
        </w:tc>
        <w:tc>
          <w:tcPr>
            <w:tcW w:w="2100" w:type="dxa"/>
            <w:tcBorders>
              <w:top w:val="nil"/>
              <w:left w:val="single" w:sz="4" w:space="0" w:color="auto"/>
              <w:bottom w:val="single" w:sz="4" w:space="0" w:color="auto"/>
              <w:right w:val="nil"/>
            </w:tcBorders>
            <w:shd w:val="clear" w:color="auto" w:fill="auto"/>
            <w:noWrap/>
            <w:vAlign w:val="bottom"/>
            <w:hideMark/>
          </w:tcPr>
          <w:p w14:paraId="5F8D2211"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Mean</w:t>
            </w:r>
          </w:p>
        </w:tc>
        <w:tc>
          <w:tcPr>
            <w:tcW w:w="1460" w:type="dxa"/>
            <w:tcBorders>
              <w:top w:val="nil"/>
              <w:left w:val="nil"/>
              <w:bottom w:val="nil"/>
              <w:right w:val="nil"/>
            </w:tcBorders>
            <w:shd w:val="clear" w:color="auto" w:fill="auto"/>
            <w:noWrap/>
            <w:vAlign w:val="bottom"/>
            <w:hideMark/>
          </w:tcPr>
          <w:p w14:paraId="4460D332"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Min.</w:t>
            </w:r>
          </w:p>
        </w:tc>
        <w:tc>
          <w:tcPr>
            <w:tcW w:w="1320" w:type="dxa"/>
            <w:tcBorders>
              <w:top w:val="nil"/>
              <w:left w:val="nil"/>
              <w:bottom w:val="nil"/>
              <w:right w:val="nil"/>
            </w:tcBorders>
            <w:shd w:val="clear" w:color="auto" w:fill="auto"/>
            <w:noWrap/>
            <w:vAlign w:val="bottom"/>
            <w:hideMark/>
          </w:tcPr>
          <w:p w14:paraId="51930A04"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Max.</w:t>
            </w:r>
          </w:p>
        </w:tc>
        <w:tc>
          <w:tcPr>
            <w:tcW w:w="740" w:type="dxa"/>
            <w:tcBorders>
              <w:top w:val="nil"/>
              <w:left w:val="nil"/>
              <w:bottom w:val="nil"/>
              <w:right w:val="single" w:sz="4" w:space="0" w:color="auto"/>
            </w:tcBorders>
            <w:shd w:val="clear" w:color="auto" w:fill="auto"/>
            <w:noWrap/>
            <w:vAlign w:val="bottom"/>
            <w:hideMark/>
          </w:tcPr>
          <w:p w14:paraId="10F42807"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N</w:t>
            </w:r>
          </w:p>
        </w:tc>
        <w:tc>
          <w:tcPr>
            <w:tcW w:w="1720" w:type="dxa"/>
            <w:tcBorders>
              <w:top w:val="nil"/>
              <w:left w:val="nil"/>
              <w:bottom w:val="single" w:sz="4" w:space="0" w:color="auto"/>
              <w:right w:val="nil"/>
            </w:tcBorders>
            <w:shd w:val="clear" w:color="auto" w:fill="auto"/>
            <w:noWrap/>
            <w:vAlign w:val="bottom"/>
            <w:hideMark/>
          </w:tcPr>
          <w:p w14:paraId="01B04F97"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Mean</w:t>
            </w:r>
          </w:p>
        </w:tc>
        <w:tc>
          <w:tcPr>
            <w:tcW w:w="1340" w:type="dxa"/>
            <w:tcBorders>
              <w:top w:val="nil"/>
              <w:left w:val="nil"/>
              <w:bottom w:val="nil"/>
              <w:right w:val="nil"/>
            </w:tcBorders>
            <w:shd w:val="clear" w:color="auto" w:fill="auto"/>
            <w:noWrap/>
            <w:vAlign w:val="bottom"/>
            <w:hideMark/>
          </w:tcPr>
          <w:p w14:paraId="63EA0C6D"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Min.</w:t>
            </w:r>
          </w:p>
        </w:tc>
        <w:tc>
          <w:tcPr>
            <w:tcW w:w="1300" w:type="dxa"/>
            <w:tcBorders>
              <w:top w:val="nil"/>
              <w:left w:val="nil"/>
              <w:bottom w:val="nil"/>
              <w:right w:val="nil"/>
            </w:tcBorders>
            <w:shd w:val="clear" w:color="auto" w:fill="auto"/>
            <w:noWrap/>
            <w:vAlign w:val="bottom"/>
            <w:hideMark/>
          </w:tcPr>
          <w:p w14:paraId="24EB90C3"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Max.</w:t>
            </w:r>
          </w:p>
        </w:tc>
        <w:tc>
          <w:tcPr>
            <w:tcW w:w="680" w:type="dxa"/>
            <w:tcBorders>
              <w:top w:val="nil"/>
              <w:left w:val="nil"/>
              <w:bottom w:val="nil"/>
              <w:right w:val="single" w:sz="4" w:space="0" w:color="auto"/>
            </w:tcBorders>
            <w:shd w:val="clear" w:color="auto" w:fill="auto"/>
            <w:noWrap/>
            <w:vAlign w:val="bottom"/>
            <w:hideMark/>
          </w:tcPr>
          <w:p w14:paraId="7C1D472D"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color w:val="000000"/>
              </w:rPr>
              <w:t>N</w:t>
            </w:r>
          </w:p>
        </w:tc>
        <w:tc>
          <w:tcPr>
            <w:tcW w:w="1820" w:type="dxa"/>
            <w:tcBorders>
              <w:top w:val="single" w:sz="4" w:space="0" w:color="auto"/>
              <w:left w:val="nil"/>
              <w:bottom w:val="nil"/>
              <w:right w:val="single" w:sz="4" w:space="0" w:color="auto"/>
            </w:tcBorders>
            <w:shd w:val="clear" w:color="auto" w:fill="auto"/>
            <w:noWrap/>
            <w:vAlign w:val="bottom"/>
            <w:hideMark/>
          </w:tcPr>
          <w:p w14:paraId="0A408E59" w14:textId="77777777" w:rsidR="007070B4" w:rsidRPr="003232D1" w:rsidRDefault="007070B4" w:rsidP="00232647">
            <w:pPr>
              <w:spacing w:after="0" w:line="240" w:lineRule="auto"/>
              <w:jc w:val="center"/>
              <w:rPr>
                <w:rFonts w:ascii="Calibri" w:eastAsia="Times New Roman" w:hAnsi="Calibri" w:cs="Calibri"/>
                <w:b/>
                <w:bCs/>
                <w:color w:val="000000"/>
              </w:rPr>
            </w:pPr>
            <w:r w:rsidRPr="003232D1">
              <w:rPr>
                <w:rFonts w:ascii="Calibri" w:eastAsia="Times New Roman" w:hAnsi="Calibri" w:cs="Calibri"/>
                <w:b/>
                <w:bCs/>
                <w:i/>
                <w:iCs/>
                <w:color w:val="000000"/>
              </w:rPr>
              <w:t>p</w:t>
            </w:r>
            <w:r w:rsidRPr="003232D1">
              <w:rPr>
                <w:rFonts w:ascii="Calibri" w:eastAsia="Times New Roman" w:hAnsi="Calibri" w:cs="Calibri"/>
                <w:b/>
                <w:bCs/>
                <w:color w:val="000000"/>
              </w:rPr>
              <w:t xml:space="preserve"> (t test)</w:t>
            </w:r>
          </w:p>
        </w:tc>
      </w:tr>
      <w:tr w:rsidR="007070B4" w:rsidRPr="003232D1" w14:paraId="407D9654" w14:textId="77777777" w:rsidTr="00232647">
        <w:trPr>
          <w:trHeight w:val="300"/>
        </w:trPr>
        <w:tc>
          <w:tcPr>
            <w:tcW w:w="3040" w:type="dxa"/>
            <w:tcBorders>
              <w:top w:val="single" w:sz="4" w:space="0" w:color="auto"/>
              <w:left w:val="single" w:sz="4" w:space="0" w:color="auto"/>
              <w:bottom w:val="nil"/>
              <w:right w:val="single" w:sz="4" w:space="0" w:color="auto"/>
            </w:tcBorders>
            <w:shd w:val="clear" w:color="auto" w:fill="auto"/>
            <w:noWrap/>
            <w:vAlign w:val="bottom"/>
            <w:hideMark/>
          </w:tcPr>
          <w:p w14:paraId="7ADDFE73"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Body weight (g)</w:t>
            </w:r>
          </w:p>
        </w:tc>
        <w:tc>
          <w:tcPr>
            <w:tcW w:w="2100" w:type="dxa"/>
            <w:tcBorders>
              <w:top w:val="nil"/>
              <w:left w:val="nil"/>
              <w:bottom w:val="nil"/>
              <w:right w:val="nil"/>
            </w:tcBorders>
            <w:shd w:val="clear" w:color="auto" w:fill="auto"/>
            <w:noWrap/>
            <w:vAlign w:val="bottom"/>
            <w:hideMark/>
          </w:tcPr>
          <w:p w14:paraId="31778A3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26.87</w:t>
            </w:r>
          </w:p>
        </w:tc>
        <w:tc>
          <w:tcPr>
            <w:tcW w:w="1460" w:type="dxa"/>
            <w:tcBorders>
              <w:top w:val="single" w:sz="4" w:space="0" w:color="auto"/>
              <w:left w:val="nil"/>
              <w:bottom w:val="nil"/>
              <w:right w:val="nil"/>
            </w:tcBorders>
            <w:shd w:val="clear" w:color="auto" w:fill="auto"/>
            <w:noWrap/>
            <w:vAlign w:val="bottom"/>
            <w:hideMark/>
          </w:tcPr>
          <w:p w14:paraId="51FE7DB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24.53</w:t>
            </w:r>
          </w:p>
        </w:tc>
        <w:tc>
          <w:tcPr>
            <w:tcW w:w="1320" w:type="dxa"/>
            <w:tcBorders>
              <w:top w:val="single" w:sz="4" w:space="0" w:color="auto"/>
              <w:left w:val="nil"/>
              <w:bottom w:val="nil"/>
              <w:right w:val="nil"/>
            </w:tcBorders>
            <w:shd w:val="clear" w:color="auto" w:fill="auto"/>
            <w:noWrap/>
            <w:vAlign w:val="bottom"/>
            <w:hideMark/>
          </w:tcPr>
          <w:p w14:paraId="2B2949C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29.62</w:t>
            </w:r>
          </w:p>
        </w:tc>
        <w:tc>
          <w:tcPr>
            <w:tcW w:w="740" w:type="dxa"/>
            <w:tcBorders>
              <w:top w:val="single" w:sz="4" w:space="0" w:color="auto"/>
              <w:left w:val="nil"/>
              <w:bottom w:val="nil"/>
              <w:right w:val="single" w:sz="4" w:space="0" w:color="auto"/>
            </w:tcBorders>
            <w:shd w:val="clear" w:color="auto" w:fill="auto"/>
            <w:noWrap/>
            <w:vAlign w:val="bottom"/>
            <w:hideMark/>
          </w:tcPr>
          <w:p w14:paraId="6A00BDB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397A446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27.02</w:t>
            </w:r>
          </w:p>
        </w:tc>
        <w:tc>
          <w:tcPr>
            <w:tcW w:w="1340" w:type="dxa"/>
            <w:tcBorders>
              <w:top w:val="single" w:sz="4" w:space="0" w:color="auto"/>
              <w:left w:val="nil"/>
              <w:bottom w:val="nil"/>
              <w:right w:val="nil"/>
            </w:tcBorders>
            <w:shd w:val="clear" w:color="auto" w:fill="auto"/>
            <w:noWrap/>
            <w:vAlign w:val="bottom"/>
            <w:hideMark/>
          </w:tcPr>
          <w:p w14:paraId="229F357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23.20</w:t>
            </w:r>
          </w:p>
        </w:tc>
        <w:tc>
          <w:tcPr>
            <w:tcW w:w="1300" w:type="dxa"/>
            <w:tcBorders>
              <w:top w:val="single" w:sz="4" w:space="0" w:color="auto"/>
              <w:left w:val="nil"/>
              <w:bottom w:val="nil"/>
              <w:right w:val="nil"/>
            </w:tcBorders>
            <w:shd w:val="clear" w:color="auto" w:fill="auto"/>
            <w:noWrap/>
            <w:vAlign w:val="bottom"/>
            <w:hideMark/>
          </w:tcPr>
          <w:p w14:paraId="50D27DA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30.30</w:t>
            </w:r>
          </w:p>
        </w:tc>
        <w:tc>
          <w:tcPr>
            <w:tcW w:w="680" w:type="dxa"/>
            <w:tcBorders>
              <w:top w:val="single" w:sz="4" w:space="0" w:color="auto"/>
              <w:left w:val="nil"/>
              <w:bottom w:val="nil"/>
              <w:right w:val="single" w:sz="4" w:space="0" w:color="auto"/>
            </w:tcBorders>
            <w:shd w:val="clear" w:color="auto" w:fill="auto"/>
            <w:noWrap/>
            <w:vAlign w:val="bottom"/>
            <w:hideMark/>
          </w:tcPr>
          <w:p w14:paraId="362B59B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single" w:sz="4" w:space="0" w:color="auto"/>
              <w:left w:val="nil"/>
              <w:bottom w:val="nil"/>
              <w:right w:val="single" w:sz="4" w:space="0" w:color="auto"/>
            </w:tcBorders>
            <w:shd w:val="clear" w:color="auto" w:fill="auto"/>
            <w:noWrap/>
            <w:vAlign w:val="bottom"/>
            <w:hideMark/>
          </w:tcPr>
          <w:p w14:paraId="381CB5F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66ED5D66"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2CFCE6F0"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Liver weight (g)</w:t>
            </w:r>
          </w:p>
        </w:tc>
        <w:tc>
          <w:tcPr>
            <w:tcW w:w="2100" w:type="dxa"/>
            <w:tcBorders>
              <w:top w:val="nil"/>
              <w:left w:val="nil"/>
              <w:bottom w:val="nil"/>
              <w:right w:val="nil"/>
            </w:tcBorders>
            <w:shd w:val="clear" w:color="auto" w:fill="auto"/>
            <w:noWrap/>
            <w:vAlign w:val="bottom"/>
            <w:hideMark/>
          </w:tcPr>
          <w:p w14:paraId="7D34578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1.21</w:t>
            </w:r>
          </w:p>
        </w:tc>
        <w:tc>
          <w:tcPr>
            <w:tcW w:w="1460" w:type="dxa"/>
            <w:tcBorders>
              <w:top w:val="nil"/>
              <w:left w:val="nil"/>
              <w:bottom w:val="nil"/>
              <w:right w:val="nil"/>
            </w:tcBorders>
            <w:shd w:val="clear" w:color="auto" w:fill="auto"/>
            <w:noWrap/>
            <w:vAlign w:val="bottom"/>
            <w:hideMark/>
          </w:tcPr>
          <w:p w14:paraId="5C0EEE2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0.97</w:t>
            </w:r>
          </w:p>
        </w:tc>
        <w:tc>
          <w:tcPr>
            <w:tcW w:w="1320" w:type="dxa"/>
            <w:tcBorders>
              <w:top w:val="nil"/>
              <w:left w:val="nil"/>
              <w:bottom w:val="nil"/>
              <w:right w:val="nil"/>
            </w:tcBorders>
            <w:shd w:val="clear" w:color="auto" w:fill="auto"/>
            <w:noWrap/>
            <w:vAlign w:val="bottom"/>
            <w:hideMark/>
          </w:tcPr>
          <w:p w14:paraId="43D2F77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1.38</w:t>
            </w:r>
          </w:p>
        </w:tc>
        <w:tc>
          <w:tcPr>
            <w:tcW w:w="740" w:type="dxa"/>
            <w:tcBorders>
              <w:top w:val="nil"/>
              <w:left w:val="nil"/>
              <w:bottom w:val="nil"/>
              <w:right w:val="single" w:sz="4" w:space="0" w:color="auto"/>
            </w:tcBorders>
            <w:shd w:val="clear" w:color="auto" w:fill="auto"/>
            <w:noWrap/>
            <w:vAlign w:val="bottom"/>
            <w:hideMark/>
          </w:tcPr>
          <w:p w14:paraId="0F6BFA3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3C6A674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1.28</w:t>
            </w:r>
          </w:p>
        </w:tc>
        <w:tc>
          <w:tcPr>
            <w:tcW w:w="1340" w:type="dxa"/>
            <w:tcBorders>
              <w:top w:val="nil"/>
              <w:left w:val="nil"/>
              <w:bottom w:val="nil"/>
              <w:right w:val="nil"/>
            </w:tcBorders>
            <w:shd w:val="clear" w:color="auto" w:fill="auto"/>
            <w:noWrap/>
            <w:vAlign w:val="bottom"/>
            <w:hideMark/>
          </w:tcPr>
          <w:p w14:paraId="5909903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1.03</w:t>
            </w:r>
          </w:p>
        </w:tc>
        <w:tc>
          <w:tcPr>
            <w:tcW w:w="1300" w:type="dxa"/>
            <w:tcBorders>
              <w:top w:val="nil"/>
              <w:left w:val="nil"/>
              <w:bottom w:val="nil"/>
              <w:right w:val="nil"/>
            </w:tcBorders>
            <w:shd w:val="clear" w:color="auto" w:fill="auto"/>
            <w:noWrap/>
            <w:vAlign w:val="bottom"/>
            <w:hideMark/>
          </w:tcPr>
          <w:p w14:paraId="5EEF9F3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1.53</w:t>
            </w:r>
          </w:p>
        </w:tc>
        <w:tc>
          <w:tcPr>
            <w:tcW w:w="680" w:type="dxa"/>
            <w:tcBorders>
              <w:top w:val="nil"/>
              <w:left w:val="nil"/>
              <w:bottom w:val="nil"/>
              <w:right w:val="single" w:sz="4" w:space="0" w:color="auto"/>
            </w:tcBorders>
            <w:shd w:val="clear" w:color="auto" w:fill="auto"/>
            <w:noWrap/>
            <w:vAlign w:val="bottom"/>
            <w:hideMark/>
          </w:tcPr>
          <w:p w14:paraId="29BC1B7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30772C5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3A838B07"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3B24F0B1"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Liver/body weight ratio</w:t>
            </w:r>
          </w:p>
        </w:tc>
        <w:tc>
          <w:tcPr>
            <w:tcW w:w="2100" w:type="dxa"/>
            <w:tcBorders>
              <w:top w:val="nil"/>
              <w:left w:val="nil"/>
              <w:bottom w:val="nil"/>
              <w:right w:val="nil"/>
            </w:tcBorders>
            <w:shd w:val="clear" w:color="auto" w:fill="auto"/>
            <w:noWrap/>
            <w:vAlign w:val="bottom"/>
            <w:hideMark/>
          </w:tcPr>
          <w:p w14:paraId="1332799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0.0451</w:t>
            </w:r>
          </w:p>
        </w:tc>
        <w:tc>
          <w:tcPr>
            <w:tcW w:w="1460" w:type="dxa"/>
            <w:tcBorders>
              <w:top w:val="nil"/>
              <w:left w:val="nil"/>
              <w:bottom w:val="nil"/>
              <w:right w:val="nil"/>
            </w:tcBorders>
            <w:shd w:val="clear" w:color="auto" w:fill="auto"/>
            <w:noWrap/>
            <w:vAlign w:val="bottom"/>
            <w:hideMark/>
          </w:tcPr>
          <w:p w14:paraId="126F4DA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0.0381</w:t>
            </w:r>
          </w:p>
        </w:tc>
        <w:tc>
          <w:tcPr>
            <w:tcW w:w="1320" w:type="dxa"/>
            <w:tcBorders>
              <w:top w:val="nil"/>
              <w:left w:val="nil"/>
              <w:bottom w:val="nil"/>
              <w:right w:val="nil"/>
            </w:tcBorders>
            <w:shd w:val="clear" w:color="auto" w:fill="auto"/>
            <w:noWrap/>
            <w:vAlign w:val="bottom"/>
            <w:hideMark/>
          </w:tcPr>
          <w:p w14:paraId="5303CC0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0.0502</w:t>
            </w:r>
          </w:p>
        </w:tc>
        <w:tc>
          <w:tcPr>
            <w:tcW w:w="740" w:type="dxa"/>
            <w:tcBorders>
              <w:top w:val="nil"/>
              <w:left w:val="nil"/>
              <w:bottom w:val="nil"/>
              <w:right w:val="single" w:sz="4" w:space="0" w:color="auto"/>
            </w:tcBorders>
            <w:shd w:val="clear" w:color="auto" w:fill="auto"/>
            <w:noWrap/>
            <w:vAlign w:val="bottom"/>
            <w:hideMark/>
          </w:tcPr>
          <w:p w14:paraId="53B7DF4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4FFD3E0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0.0473</w:t>
            </w:r>
          </w:p>
        </w:tc>
        <w:tc>
          <w:tcPr>
            <w:tcW w:w="1340" w:type="dxa"/>
            <w:tcBorders>
              <w:top w:val="nil"/>
              <w:left w:val="nil"/>
              <w:bottom w:val="nil"/>
              <w:right w:val="nil"/>
            </w:tcBorders>
            <w:shd w:val="clear" w:color="auto" w:fill="auto"/>
            <w:noWrap/>
            <w:vAlign w:val="bottom"/>
            <w:hideMark/>
          </w:tcPr>
          <w:p w14:paraId="41412B7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0.0422</w:t>
            </w:r>
          </w:p>
        </w:tc>
        <w:tc>
          <w:tcPr>
            <w:tcW w:w="1300" w:type="dxa"/>
            <w:tcBorders>
              <w:top w:val="nil"/>
              <w:left w:val="nil"/>
              <w:bottom w:val="nil"/>
              <w:right w:val="nil"/>
            </w:tcBorders>
            <w:shd w:val="clear" w:color="auto" w:fill="auto"/>
            <w:noWrap/>
            <w:vAlign w:val="bottom"/>
            <w:hideMark/>
          </w:tcPr>
          <w:p w14:paraId="7C2E6D4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0.0506</w:t>
            </w:r>
          </w:p>
        </w:tc>
        <w:tc>
          <w:tcPr>
            <w:tcW w:w="680" w:type="dxa"/>
            <w:tcBorders>
              <w:top w:val="nil"/>
              <w:left w:val="nil"/>
              <w:bottom w:val="nil"/>
              <w:right w:val="single" w:sz="4" w:space="0" w:color="auto"/>
            </w:tcBorders>
            <w:shd w:val="clear" w:color="auto" w:fill="auto"/>
            <w:noWrap/>
            <w:vAlign w:val="bottom"/>
            <w:hideMark/>
          </w:tcPr>
          <w:p w14:paraId="1C22CA8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7DBF99F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6B277CFF"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637958CB"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Heart weight (g)</w:t>
            </w:r>
          </w:p>
        </w:tc>
        <w:tc>
          <w:tcPr>
            <w:tcW w:w="2100" w:type="dxa"/>
            <w:tcBorders>
              <w:top w:val="nil"/>
              <w:left w:val="nil"/>
              <w:bottom w:val="nil"/>
              <w:right w:val="nil"/>
            </w:tcBorders>
            <w:shd w:val="clear" w:color="auto" w:fill="auto"/>
            <w:noWrap/>
            <w:vAlign w:val="bottom"/>
            <w:hideMark/>
          </w:tcPr>
          <w:p w14:paraId="4150480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0.16</w:t>
            </w:r>
          </w:p>
        </w:tc>
        <w:tc>
          <w:tcPr>
            <w:tcW w:w="1460" w:type="dxa"/>
            <w:tcBorders>
              <w:top w:val="nil"/>
              <w:left w:val="nil"/>
              <w:bottom w:val="nil"/>
              <w:right w:val="nil"/>
            </w:tcBorders>
            <w:shd w:val="clear" w:color="auto" w:fill="auto"/>
            <w:noWrap/>
            <w:vAlign w:val="bottom"/>
            <w:hideMark/>
          </w:tcPr>
          <w:p w14:paraId="3FE7033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0.12</w:t>
            </w:r>
          </w:p>
        </w:tc>
        <w:tc>
          <w:tcPr>
            <w:tcW w:w="1320" w:type="dxa"/>
            <w:tcBorders>
              <w:top w:val="nil"/>
              <w:left w:val="nil"/>
              <w:bottom w:val="nil"/>
              <w:right w:val="nil"/>
            </w:tcBorders>
            <w:shd w:val="clear" w:color="auto" w:fill="auto"/>
            <w:noWrap/>
            <w:vAlign w:val="bottom"/>
            <w:hideMark/>
          </w:tcPr>
          <w:p w14:paraId="1C72247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0.22</w:t>
            </w:r>
          </w:p>
        </w:tc>
        <w:tc>
          <w:tcPr>
            <w:tcW w:w="740" w:type="dxa"/>
            <w:tcBorders>
              <w:top w:val="nil"/>
              <w:left w:val="nil"/>
              <w:bottom w:val="nil"/>
              <w:right w:val="single" w:sz="4" w:space="0" w:color="auto"/>
            </w:tcBorders>
            <w:shd w:val="clear" w:color="auto" w:fill="auto"/>
            <w:noWrap/>
            <w:vAlign w:val="bottom"/>
            <w:hideMark/>
          </w:tcPr>
          <w:p w14:paraId="61ED2BB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62B2E07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0.19</w:t>
            </w:r>
          </w:p>
        </w:tc>
        <w:tc>
          <w:tcPr>
            <w:tcW w:w="1340" w:type="dxa"/>
            <w:tcBorders>
              <w:top w:val="nil"/>
              <w:left w:val="nil"/>
              <w:bottom w:val="nil"/>
              <w:right w:val="nil"/>
            </w:tcBorders>
            <w:shd w:val="clear" w:color="auto" w:fill="auto"/>
            <w:noWrap/>
            <w:vAlign w:val="bottom"/>
            <w:hideMark/>
          </w:tcPr>
          <w:p w14:paraId="035974D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1300" w:type="dxa"/>
            <w:tcBorders>
              <w:top w:val="nil"/>
              <w:left w:val="nil"/>
              <w:bottom w:val="nil"/>
              <w:right w:val="nil"/>
            </w:tcBorders>
            <w:shd w:val="clear" w:color="auto" w:fill="auto"/>
            <w:noWrap/>
            <w:vAlign w:val="bottom"/>
            <w:hideMark/>
          </w:tcPr>
          <w:p w14:paraId="19E5415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0.27</w:t>
            </w:r>
          </w:p>
        </w:tc>
        <w:tc>
          <w:tcPr>
            <w:tcW w:w="680" w:type="dxa"/>
            <w:tcBorders>
              <w:top w:val="nil"/>
              <w:left w:val="nil"/>
              <w:bottom w:val="nil"/>
              <w:right w:val="single" w:sz="4" w:space="0" w:color="auto"/>
            </w:tcBorders>
            <w:shd w:val="clear" w:color="auto" w:fill="auto"/>
            <w:noWrap/>
            <w:vAlign w:val="bottom"/>
            <w:hideMark/>
          </w:tcPr>
          <w:p w14:paraId="0B09690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030ED5A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710B49A1"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64F34337"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Heart/body weight ratio</w:t>
            </w:r>
          </w:p>
        </w:tc>
        <w:tc>
          <w:tcPr>
            <w:tcW w:w="2100" w:type="dxa"/>
            <w:tcBorders>
              <w:top w:val="nil"/>
              <w:left w:val="nil"/>
              <w:bottom w:val="nil"/>
              <w:right w:val="nil"/>
            </w:tcBorders>
            <w:shd w:val="clear" w:color="auto" w:fill="auto"/>
            <w:noWrap/>
            <w:vAlign w:val="bottom"/>
            <w:hideMark/>
          </w:tcPr>
          <w:p w14:paraId="63667A3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0.0061</w:t>
            </w:r>
          </w:p>
        </w:tc>
        <w:tc>
          <w:tcPr>
            <w:tcW w:w="1460" w:type="dxa"/>
            <w:tcBorders>
              <w:top w:val="nil"/>
              <w:left w:val="nil"/>
              <w:bottom w:val="nil"/>
              <w:right w:val="nil"/>
            </w:tcBorders>
            <w:shd w:val="clear" w:color="auto" w:fill="auto"/>
            <w:noWrap/>
            <w:vAlign w:val="bottom"/>
            <w:hideMark/>
          </w:tcPr>
          <w:p w14:paraId="6D6B2C4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0.0049</w:t>
            </w:r>
          </w:p>
        </w:tc>
        <w:tc>
          <w:tcPr>
            <w:tcW w:w="1320" w:type="dxa"/>
            <w:tcBorders>
              <w:top w:val="nil"/>
              <w:left w:val="nil"/>
              <w:bottom w:val="nil"/>
              <w:right w:val="nil"/>
            </w:tcBorders>
            <w:shd w:val="clear" w:color="auto" w:fill="auto"/>
            <w:noWrap/>
            <w:vAlign w:val="bottom"/>
            <w:hideMark/>
          </w:tcPr>
          <w:p w14:paraId="438F792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0.0080</w:t>
            </w:r>
          </w:p>
        </w:tc>
        <w:tc>
          <w:tcPr>
            <w:tcW w:w="740" w:type="dxa"/>
            <w:tcBorders>
              <w:top w:val="nil"/>
              <w:left w:val="nil"/>
              <w:bottom w:val="nil"/>
              <w:right w:val="single" w:sz="4" w:space="0" w:color="auto"/>
            </w:tcBorders>
            <w:shd w:val="clear" w:color="auto" w:fill="auto"/>
            <w:noWrap/>
            <w:vAlign w:val="bottom"/>
            <w:hideMark/>
          </w:tcPr>
          <w:p w14:paraId="7227149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604E061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0.0071</w:t>
            </w:r>
          </w:p>
        </w:tc>
        <w:tc>
          <w:tcPr>
            <w:tcW w:w="1340" w:type="dxa"/>
            <w:tcBorders>
              <w:top w:val="nil"/>
              <w:left w:val="nil"/>
              <w:bottom w:val="nil"/>
              <w:right w:val="nil"/>
            </w:tcBorders>
            <w:shd w:val="clear" w:color="auto" w:fill="auto"/>
            <w:noWrap/>
            <w:vAlign w:val="bottom"/>
            <w:hideMark/>
          </w:tcPr>
          <w:p w14:paraId="2C4CE91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0.0054</w:t>
            </w:r>
          </w:p>
        </w:tc>
        <w:tc>
          <w:tcPr>
            <w:tcW w:w="1300" w:type="dxa"/>
            <w:tcBorders>
              <w:top w:val="nil"/>
              <w:left w:val="nil"/>
              <w:bottom w:val="nil"/>
              <w:right w:val="nil"/>
            </w:tcBorders>
            <w:shd w:val="clear" w:color="auto" w:fill="auto"/>
            <w:noWrap/>
            <w:vAlign w:val="bottom"/>
            <w:hideMark/>
          </w:tcPr>
          <w:p w14:paraId="1D96E27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0.0090</w:t>
            </w:r>
          </w:p>
        </w:tc>
        <w:tc>
          <w:tcPr>
            <w:tcW w:w="680" w:type="dxa"/>
            <w:tcBorders>
              <w:top w:val="nil"/>
              <w:left w:val="nil"/>
              <w:bottom w:val="nil"/>
              <w:right w:val="single" w:sz="4" w:space="0" w:color="auto"/>
            </w:tcBorders>
            <w:shd w:val="clear" w:color="auto" w:fill="auto"/>
            <w:noWrap/>
            <w:vAlign w:val="bottom"/>
            <w:hideMark/>
          </w:tcPr>
          <w:p w14:paraId="4079965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13885AA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7B1C727E"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59149AD3"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Spleen weight (g)</w:t>
            </w:r>
          </w:p>
        </w:tc>
        <w:tc>
          <w:tcPr>
            <w:tcW w:w="2100" w:type="dxa"/>
            <w:tcBorders>
              <w:top w:val="nil"/>
              <w:left w:val="nil"/>
              <w:bottom w:val="nil"/>
              <w:right w:val="nil"/>
            </w:tcBorders>
            <w:shd w:val="clear" w:color="auto" w:fill="auto"/>
            <w:noWrap/>
            <w:vAlign w:val="bottom"/>
            <w:hideMark/>
          </w:tcPr>
          <w:p w14:paraId="06847BE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0.08</w:t>
            </w:r>
          </w:p>
        </w:tc>
        <w:tc>
          <w:tcPr>
            <w:tcW w:w="1460" w:type="dxa"/>
            <w:tcBorders>
              <w:top w:val="nil"/>
              <w:left w:val="nil"/>
              <w:bottom w:val="nil"/>
              <w:right w:val="nil"/>
            </w:tcBorders>
            <w:shd w:val="clear" w:color="auto" w:fill="auto"/>
            <w:noWrap/>
            <w:vAlign w:val="bottom"/>
            <w:hideMark/>
          </w:tcPr>
          <w:p w14:paraId="2391177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0.07</w:t>
            </w:r>
          </w:p>
        </w:tc>
        <w:tc>
          <w:tcPr>
            <w:tcW w:w="1320" w:type="dxa"/>
            <w:tcBorders>
              <w:top w:val="nil"/>
              <w:left w:val="nil"/>
              <w:bottom w:val="nil"/>
              <w:right w:val="nil"/>
            </w:tcBorders>
            <w:shd w:val="clear" w:color="auto" w:fill="auto"/>
            <w:noWrap/>
            <w:vAlign w:val="bottom"/>
            <w:hideMark/>
          </w:tcPr>
          <w:p w14:paraId="103D267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0.12</w:t>
            </w:r>
          </w:p>
        </w:tc>
        <w:tc>
          <w:tcPr>
            <w:tcW w:w="740" w:type="dxa"/>
            <w:tcBorders>
              <w:top w:val="nil"/>
              <w:left w:val="nil"/>
              <w:bottom w:val="nil"/>
              <w:right w:val="single" w:sz="4" w:space="0" w:color="auto"/>
            </w:tcBorders>
            <w:shd w:val="clear" w:color="auto" w:fill="auto"/>
            <w:noWrap/>
            <w:vAlign w:val="bottom"/>
            <w:hideMark/>
          </w:tcPr>
          <w:p w14:paraId="14F86F1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19CB1F2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0.11</w:t>
            </w:r>
          </w:p>
        </w:tc>
        <w:tc>
          <w:tcPr>
            <w:tcW w:w="1340" w:type="dxa"/>
            <w:tcBorders>
              <w:top w:val="nil"/>
              <w:left w:val="nil"/>
              <w:bottom w:val="nil"/>
              <w:right w:val="nil"/>
            </w:tcBorders>
            <w:shd w:val="clear" w:color="auto" w:fill="auto"/>
            <w:noWrap/>
            <w:vAlign w:val="bottom"/>
            <w:hideMark/>
          </w:tcPr>
          <w:p w14:paraId="2077B5F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0.09</w:t>
            </w:r>
          </w:p>
        </w:tc>
        <w:tc>
          <w:tcPr>
            <w:tcW w:w="1300" w:type="dxa"/>
            <w:tcBorders>
              <w:top w:val="nil"/>
              <w:left w:val="nil"/>
              <w:bottom w:val="nil"/>
              <w:right w:val="nil"/>
            </w:tcBorders>
            <w:shd w:val="clear" w:color="auto" w:fill="auto"/>
            <w:noWrap/>
            <w:vAlign w:val="bottom"/>
            <w:hideMark/>
          </w:tcPr>
          <w:p w14:paraId="2B8BF26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0.17</w:t>
            </w:r>
          </w:p>
        </w:tc>
        <w:tc>
          <w:tcPr>
            <w:tcW w:w="680" w:type="dxa"/>
            <w:tcBorders>
              <w:top w:val="nil"/>
              <w:left w:val="nil"/>
              <w:bottom w:val="nil"/>
              <w:right w:val="single" w:sz="4" w:space="0" w:color="auto"/>
            </w:tcBorders>
            <w:shd w:val="clear" w:color="auto" w:fill="auto"/>
            <w:noWrap/>
            <w:vAlign w:val="bottom"/>
            <w:hideMark/>
          </w:tcPr>
          <w:p w14:paraId="32DE81E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1D2A4EC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0.042</w:t>
            </w:r>
          </w:p>
        </w:tc>
      </w:tr>
      <w:tr w:rsidR="007070B4" w:rsidRPr="003232D1" w14:paraId="66092789"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0D613BF2"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Spleen/body weight ratio</w:t>
            </w:r>
          </w:p>
        </w:tc>
        <w:tc>
          <w:tcPr>
            <w:tcW w:w="2100" w:type="dxa"/>
            <w:tcBorders>
              <w:top w:val="nil"/>
              <w:left w:val="nil"/>
              <w:bottom w:val="nil"/>
              <w:right w:val="nil"/>
            </w:tcBorders>
            <w:shd w:val="clear" w:color="auto" w:fill="auto"/>
            <w:noWrap/>
            <w:vAlign w:val="bottom"/>
            <w:hideMark/>
          </w:tcPr>
          <w:p w14:paraId="6645633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0.0030</w:t>
            </w:r>
          </w:p>
        </w:tc>
        <w:tc>
          <w:tcPr>
            <w:tcW w:w="1460" w:type="dxa"/>
            <w:tcBorders>
              <w:top w:val="nil"/>
              <w:left w:val="nil"/>
              <w:bottom w:val="nil"/>
              <w:right w:val="nil"/>
            </w:tcBorders>
            <w:shd w:val="clear" w:color="auto" w:fill="auto"/>
            <w:noWrap/>
            <w:vAlign w:val="bottom"/>
            <w:hideMark/>
          </w:tcPr>
          <w:p w14:paraId="0EFD216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0.0023</w:t>
            </w:r>
          </w:p>
        </w:tc>
        <w:tc>
          <w:tcPr>
            <w:tcW w:w="1320" w:type="dxa"/>
            <w:tcBorders>
              <w:top w:val="nil"/>
              <w:left w:val="nil"/>
              <w:bottom w:val="nil"/>
              <w:right w:val="nil"/>
            </w:tcBorders>
            <w:shd w:val="clear" w:color="auto" w:fill="auto"/>
            <w:noWrap/>
            <w:vAlign w:val="bottom"/>
            <w:hideMark/>
          </w:tcPr>
          <w:p w14:paraId="1FF865F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0.0044</w:t>
            </w:r>
          </w:p>
        </w:tc>
        <w:tc>
          <w:tcPr>
            <w:tcW w:w="740" w:type="dxa"/>
            <w:tcBorders>
              <w:top w:val="nil"/>
              <w:left w:val="nil"/>
              <w:bottom w:val="nil"/>
              <w:right w:val="single" w:sz="4" w:space="0" w:color="auto"/>
            </w:tcBorders>
            <w:shd w:val="clear" w:color="auto" w:fill="auto"/>
            <w:noWrap/>
            <w:vAlign w:val="bottom"/>
            <w:hideMark/>
          </w:tcPr>
          <w:p w14:paraId="176D330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534BCCD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0.0042</w:t>
            </w:r>
          </w:p>
        </w:tc>
        <w:tc>
          <w:tcPr>
            <w:tcW w:w="1340" w:type="dxa"/>
            <w:tcBorders>
              <w:top w:val="nil"/>
              <w:left w:val="nil"/>
              <w:bottom w:val="nil"/>
              <w:right w:val="nil"/>
            </w:tcBorders>
            <w:shd w:val="clear" w:color="auto" w:fill="auto"/>
            <w:noWrap/>
            <w:vAlign w:val="bottom"/>
            <w:hideMark/>
          </w:tcPr>
          <w:p w14:paraId="1DFE358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0.0031</w:t>
            </w:r>
          </w:p>
        </w:tc>
        <w:tc>
          <w:tcPr>
            <w:tcW w:w="1300" w:type="dxa"/>
            <w:tcBorders>
              <w:top w:val="nil"/>
              <w:left w:val="nil"/>
              <w:bottom w:val="nil"/>
              <w:right w:val="nil"/>
            </w:tcBorders>
            <w:shd w:val="clear" w:color="auto" w:fill="auto"/>
            <w:noWrap/>
            <w:vAlign w:val="bottom"/>
            <w:hideMark/>
          </w:tcPr>
          <w:p w14:paraId="3C57C18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0.0057</w:t>
            </w:r>
          </w:p>
        </w:tc>
        <w:tc>
          <w:tcPr>
            <w:tcW w:w="680" w:type="dxa"/>
            <w:tcBorders>
              <w:top w:val="nil"/>
              <w:left w:val="nil"/>
              <w:bottom w:val="nil"/>
              <w:right w:val="single" w:sz="4" w:space="0" w:color="auto"/>
            </w:tcBorders>
            <w:shd w:val="clear" w:color="auto" w:fill="auto"/>
            <w:noWrap/>
            <w:vAlign w:val="bottom"/>
            <w:hideMark/>
          </w:tcPr>
          <w:p w14:paraId="0DA810D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039AD5C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0.0158</w:t>
            </w:r>
          </w:p>
        </w:tc>
      </w:tr>
      <w:tr w:rsidR="007070B4" w:rsidRPr="003232D1" w14:paraId="3E80940D"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083E9B99"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ALT (U/L)</w:t>
            </w:r>
          </w:p>
        </w:tc>
        <w:tc>
          <w:tcPr>
            <w:tcW w:w="2100" w:type="dxa"/>
            <w:tcBorders>
              <w:top w:val="nil"/>
              <w:left w:val="nil"/>
              <w:bottom w:val="nil"/>
              <w:right w:val="nil"/>
            </w:tcBorders>
            <w:shd w:val="clear" w:color="auto" w:fill="auto"/>
            <w:noWrap/>
            <w:vAlign w:val="bottom"/>
            <w:hideMark/>
          </w:tcPr>
          <w:p w14:paraId="64E3F47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29.27</w:t>
            </w:r>
          </w:p>
        </w:tc>
        <w:tc>
          <w:tcPr>
            <w:tcW w:w="1460" w:type="dxa"/>
            <w:tcBorders>
              <w:top w:val="nil"/>
              <w:left w:val="nil"/>
              <w:bottom w:val="nil"/>
              <w:right w:val="nil"/>
            </w:tcBorders>
            <w:shd w:val="clear" w:color="auto" w:fill="auto"/>
            <w:noWrap/>
            <w:vAlign w:val="bottom"/>
            <w:hideMark/>
          </w:tcPr>
          <w:p w14:paraId="1826D97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20.00</w:t>
            </w:r>
          </w:p>
        </w:tc>
        <w:tc>
          <w:tcPr>
            <w:tcW w:w="1320" w:type="dxa"/>
            <w:tcBorders>
              <w:top w:val="nil"/>
              <w:left w:val="nil"/>
              <w:bottom w:val="nil"/>
              <w:right w:val="nil"/>
            </w:tcBorders>
            <w:shd w:val="clear" w:color="auto" w:fill="auto"/>
            <w:noWrap/>
            <w:vAlign w:val="bottom"/>
            <w:hideMark/>
          </w:tcPr>
          <w:p w14:paraId="2572833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52.00</w:t>
            </w:r>
          </w:p>
        </w:tc>
        <w:tc>
          <w:tcPr>
            <w:tcW w:w="740" w:type="dxa"/>
            <w:tcBorders>
              <w:top w:val="nil"/>
              <w:left w:val="nil"/>
              <w:bottom w:val="nil"/>
              <w:right w:val="single" w:sz="4" w:space="0" w:color="auto"/>
            </w:tcBorders>
            <w:shd w:val="clear" w:color="auto" w:fill="auto"/>
            <w:noWrap/>
            <w:vAlign w:val="bottom"/>
            <w:hideMark/>
          </w:tcPr>
          <w:p w14:paraId="35201FD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2C72F6B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25.33</w:t>
            </w:r>
          </w:p>
        </w:tc>
        <w:tc>
          <w:tcPr>
            <w:tcW w:w="1340" w:type="dxa"/>
            <w:tcBorders>
              <w:top w:val="nil"/>
              <w:left w:val="nil"/>
              <w:bottom w:val="nil"/>
              <w:right w:val="nil"/>
            </w:tcBorders>
            <w:shd w:val="clear" w:color="auto" w:fill="auto"/>
            <w:noWrap/>
            <w:vAlign w:val="bottom"/>
            <w:hideMark/>
          </w:tcPr>
          <w:p w14:paraId="516FA25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18.00</w:t>
            </w:r>
          </w:p>
        </w:tc>
        <w:tc>
          <w:tcPr>
            <w:tcW w:w="1300" w:type="dxa"/>
            <w:tcBorders>
              <w:top w:val="nil"/>
              <w:left w:val="nil"/>
              <w:bottom w:val="nil"/>
              <w:right w:val="nil"/>
            </w:tcBorders>
            <w:shd w:val="clear" w:color="auto" w:fill="auto"/>
            <w:noWrap/>
            <w:vAlign w:val="bottom"/>
            <w:hideMark/>
          </w:tcPr>
          <w:p w14:paraId="42B4F2D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42.00</w:t>
            </w:r>
          </w:p>
        </w:tc>
        <w:tc>
          <w:tcPr>
            <w:tcW w:w="680" w:type="dxa"/>
            <w:tcBorders>
              <w:top w:val="nil"/>
              <w:left w:val="nil"/>
              <w:bottom w:val="nil"/>
              <w:right w:val="single" w:sz="4" w:space="0" w:color="auto"/>
            </w:tcBorders>
            <w:shd w:val="clear" w:color="auto" w:fill="auto"/>
            <w:noWrap/>
            <w:vAlign w:val="bottom"/>
            <w:hideMark/>
          </w:tcPr>
          <w:p w14:paraId="32D45A1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17915BE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4A94520F"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65BC8159"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AST (U/L)</w:t>
            </w:r>
          </w:p>
        </w:tc>
        <w:tc>
          <w:tcPr>
            <w:tcW w:w="2100" w:type="dxa"/>
            <w:tcBorders>
              <w:top w:val="nil"/>
              <w:left w:val="nil"/>
              <w:bottom w:val="nil"/>
              <w:right w:val="nil"/>
            </w:tcBorders>
            <w:shd w:val="clear" w:color="auto" w:fill="auto"/>
            <w:noWrap/>
            <w:vAlign w:val="bottom"/>
            <w:hideMark/>
          </w:tcPr>
          <w:p w14:paraId="0BBB303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59.91</w:t>
            </w:r>
          </w:p>
        </w:tc>
        <w:tc>
          <w:tcPr>
            <w:tcW w:w="1460" w:type="dxa"/>
            <w:tcBorders>
              <w:top w:val="nil"/>
              <w:left w:val="nil"/>
              <w:bottom w:val="nil"/>
              <w:right w:val="nil"/>
            </w:tcBorders>
            <w:shd w:val="clear" w:color="auto" w:fill="auto"/>
            <w:noWrap/>
            <w:vAlign w:val="bottom"/>
            <w:hideMark/>
          </w:tcPr>
          <w:p w14:paraId="2736662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32.00</w:t>
            </w:r>
          </w:p>
        </w:tc>
        <w:tc>
          <w:tcPr>
            <w:tcW w:w="1320" w:type="dxa"/>
            <w:tcBorders>
              <w:top w:val="nil"/>
              <w:left w:val="nil"/>
              <w:bottom w:val="nil"/>
              <w:right w:val="nil"/>
            </w:tcBorders>
            <w:shd w:val="clear" w:color="auto" w:fill="auto"/>
            <w:noWrap/>
            <w:vAlign w:val="bottom"/>
            <w:hideMark/>
          </w:tcPr>
          <w:p w14:paraId="6CF8F54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181.00</w:t>
            </w:r>
          </w:p>
        </w:tc>
        <w:tc>
          <w:tcPr>
            <w:tcW w:w="740" w:type="dxa"/>
            <w:tcBorders>
              <w:top w:val="nil"/>
              <w:left w:val="nil"/>
              <w:bottom w:val="nil"/>
              <w:right w:val="single" w:sz="4" w:space="0" w:color="auto"/>
            </w:tcBorders>
            <w:shd w:val="clear" w:color="auto" w:fill="auto"/>
            <w:noWrap/>
            <w:vAlign w:val="bottom"/>
            <w:hideMark/>
          </w:tcPr>
          <w:p w14:paraId="25E57C5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6FE07C4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51.50</w:t>
            </w:r>
          </w:p>
        </w:tc>
        <w:tc>
          <w:tcPr>
            <w:tcW w:w="1340" w:type="dxa"/>
            <w:tcBorders>
              <w:top w:val="nil"/>
              <w:left w:val="nil"/>
              <w:bottom w:val="nil"/>
              <w:right w:val="nil"/>
            </w:tcBorders>
            <w:shd w:val="clear" w:color="auto" w:fill="auto"/>
            <w:noWrap/>
            <w:vAlign w:val="bottom"/>
            <w:hideMark/>
          </w:tcPr>
          <w:p w14:paraId="120DC6F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34.00</w:t>
            </w:r>
          </w:p>
        </w:tc>
        <w:tc>
          <w:tcPr>
            <w:tcW w:w="1300" w:type="dxa"/>
            <w:tcBorders>
              <w:top w:val="nil"/>
              <w:left w:val="nil"/>
              <w:bottom w:val="nil"/>
              <w:right w:val="nil"/>
            </w:tcBorders>
            <w:shd w:val="clear" w:color="auto" w:fill="auto"/>
            <w:noWrap/>
            <w:vAlign w:val="bottom"/>
            <w:hideMark/>
          </w:tcPr>
          <w:p w14:paraId="359659F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82.00</w:t>
            </w:r>
          </w:p>
        </w:tc>
        <w:tc>
          <w:tcPr>
            <w:tcW w:w="680" w:type="dxa"/>
            <w:tcBorders>
              <w:top w:val="nil"/>
              <w:left w:val="nil"/>
              <w:bottom w:val="nil"/>
              <w:right w:val="single" w:sz="4" w:space="0" w:color="auto"/>
            </w:tcBorders>
            <w:shd w:val="clear" w:color="auto" w:fill="auto"/>
            <w:noWrap/>
            <w:vAlign w:val="bottom"/>
            <w:hideMark/>
          </w:tcPr>
          <w:p w14:paraId="6406B5C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70781A4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1F4E7CDD"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371CDB7F"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GLDH (U/L)</w:t>
            </w:r>
          </w:p>
        </w:tc>
        <w:tc>
          <w:tcPr>
            <w:tcW w:w="2100" w:type="dxa"/>
            <w:tcBorders>
              <w:top w:val="nil"/>
              <w:left w:val="nil"/>
              <w:bottom w:val="nil"/>
              <w:right w:val="nil"/>
            </w:tcBorders>
            <w:shd w:val="clear" w:color="auto" w:fill="auto"/>
            <w:noWrap/>
            <w:vAlign w:val="bottom"/>
            <w:hideMark/>
          </w:tcPr>
          <w:p w14:paraId="691D6D0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19.04</w:t>
            </w:r>
          </w:p>
        </w:tc>
        <w:tc>
          <w:tcPr>
            <w:tcW w:w="1460" w:type="dxa"/>
            <w:tcBorders>
              <w:top w:val="nil"/>
              <w:left w:val="nil"/>
              <w:bottom w:val="nil"/>
              <w:right w:val="nil"/>
            </w:tcBorders>
            <w:shd w:val="clear" w:color="auto" w:fill="auto"/>
            <w:noWrap/>
            <w:vAlign w:val="bottom"/>
            <w:hideMark/>
          </w:tcPr>
          <w:p w14:paraId="28EB9F5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5.89</w:t>
            </w:r>
          </w:p>
        </w:tc>
        <w:tc>
          <w:tcPr>
            <w:tcW w:w="1320" w:type="dxa"/>
            <w:tcBorders>
              <w:top w:val="nil"/>
              <w:left w:val="nil"/>
              <w:bottom w:val="nil"/>
              <w:right w:val="nil"/>
            </w:tcBorders>
            <w:shd w:val="clear" w:color="auto" w:fill="auto"/>
            <w:noWrap/>
            <w:vAlign w:val="bottom"/>
            <w:hideMark/>
          </w:tcPr>
          <w:p w14:paraId="724CE6F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67.99</w:t>
            </w:r>
          </w:p>
        </w:tc>
        <w:tc>
          <w:tcPr>
            <w:tcW w:w="740" w:type="dxa"/>
            <w:tcBorders>
              <w:top w:val="nil"/>
              <w:left w:val="nil"/>
              <w:bottom w:val="nil"/>
              <w:right w:val="single" w:sz="4" w:space="0" w:color="auto"/>
            </w:tcBorders>
            <w:shd w:val="clear" w:color="auto" w:fill="auto"/>
            <w:noWrap/>
            <w:vAlign w:val="bottom"/>
            <w:hideMark/>
          </w:tcPr>
          <w:p w14:paraId="0B4525B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76C58A5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13.10</w:t>
            </w:r>
          </w:p>
        </w:tc>
        <w:tc>
          <w:tcPr>
            <w:tcW w:w="1340" w:type="dxa"/>
            <w:tcBorders>
              <w:top w:val="nil"/>
              <w:left w:val="nil"/>
              <w:bottom w:val="nil"/>
              <w:right w:val="nil"/>
            </w:tcBorders>
            <w:shd w:val="clear" w:color="auto" w:fill="auto"/>
            <w:noWrap/>
            <w:vAlign w:val="bottom"/>
            <w:hideMark/>
          </w:tcPr>
          <w:p w14:paraId="13582A4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5.36</w:t>
            </w:r>
          </w:p>
        </w:tc>
        <w:tc>
          <w:tcPr>
            <w:tcW w:w="1300" w:type="dxa"/>
            <w:tcBorders>
              <w:top w:val="nil"/>
              <w:left w:val="nil"/>
              <w:bottom w:val="nil"/>
              <w:right w:val="nil"/>
            </w:tcBorders>
            <w:shd w:val="clear" w:color="auto" w:fill="auto"/>
            <w:noWrap/>
            <w:vAlign w:val="bottom"/>
            <w:hideMark/>
          </w:tcPr>
          <w:p w14:paraId="385AD28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25.80</w:t>
            </w:r>
          </w:p>
        </w:tc>
        <w:tc>
          <w:tcPr>
            <w:tcW w:w="680" w:type="dxa"/>
            <w:tcBorders>
              <w:top w:val="nil"/>
              <w:left w:val="nil"/>
              <w:bottom w:val="nil"/>
              <w:right w:val="single" w:sz="4" w:space="0" w:color="auto"/>
            </w:tcBorders>
            <w:shd w:val="clear" w:color="auto" w:fill="auto"/>
            <w:noWrap/>
            <w:vAlign w:val="bottom"/>
            <w:hideMark/>
          </w:tcPr>
          <w:p w14:paraId="0F4ADAF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45BDD98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4E775A64"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2118F0F2" w14:textId="77777777" w:rsidR="007070B4" w:rsidRPr="003232D1" w:rsidRDefault="007070B4" w:rsidP="00232647">
            <w:pPr>
              <w:spacing w:after="0" w:line="240" w:lineRule="auto"/>
              <w:rPr>
                <w:rFonts w:ascii="Calibri" w:eastAsia="Times New Roman" w:hAnsi="Calibri" w:cs="Calibri"/>
                <w:color w:val="000000"/>
              </w:rPr>
            </w:pPr>
            <w:proofErr w:type="spellStart"/>
            <w:r w:rsidRPr="003232D1">
              <w:rPr>
                <w:rFonts w:ascii="Calibri" w:eastAsia="Times New Roman" w:hAnsi="Calibri" w:cs="Calibri"/>
                <w:color w:val="000000"/>
              </w:rPr>
              <w:t>ChE</w:t>
            </w:r>
            <w:proofErr w:type="spellEnd"/>
            <w:r w:rsidRPr="003232D1">
              <w:rPr>
                <w:rFonts w:ascii="Calibri" w:eastAsia="Times New Roman" w:hAnsi="Calibri" w:cs="Calibri"/>
                <w:color w:val="000000"/>
              </w:rPr>
              <w:t xml:space="preserve"> (U/L)</w:t>
            </w:r>
          </w:p>
        </w:tc>
        <w:tc>
          <w:tcPr>
            <w:tcW w:w="2100" w:type="dxa"/>
            <w:tcBorders>
              <w:top w:val="nil"/>
              <w:left w:val="nil"/>
              <w:bottom w:val="nil"/>
              <w:right w:val="nil"/>
            </w:tcBorders>
            <w:shd w:val="clear" w:color="auto" w:fill="auto"/>
            <w:noWrap/>
            <w:vAlign w:val="bottom"/>
            <w:hideMark/>
          </w:tcPr>
          <w:p w14:paraId="54E0326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4904.50</w:t>
            </w:r>
          </w:p>
        </w:tc>
        <w:tc>
          <w:tcPr>
            <w:tcW w:w="1460" w:type="dxa"/>
            <w:tcBorders>
              <w:top w:val="nil"/>
              <w:left w:val="nil"/>
              <w:bottom w:val="nil"/>
              <w:right w:val="nil"/>
            </w:tcBorders>
            <w:shd w:val="clear" w:color="auto" w:fill="auto"/>
            <w:noWrap/>
            <w:vAlign w:val="bottom"/>
            <w:hideMark/>
          </w:tcPr>
          <w:p w14:paraId="37FA85F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4226.00</w:t>
            </w:r>
          </w:p>
        </w:tc>
        <w:tc>
          <w:tcPr>
            <w:tcW w:w="1320" w:type="dxa"/>
            <w:tcBorders>
              <w:top w:val="nil"/>
              <w:left w:val="nil"/>
              <w:bottom w:val="nil"/>
              <w:right w:val="nil"/>
            </w:tcBorders>
            <w:shd w:val="clear" w:color="auto" w:fill="auto"/>
            <w:noWrap/>
            <w:vAlign w:val="bottom"/>
            <w:hideMark/>
          </w:tcPr>
          <w:p w14:paraId="20F31C5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6425.00</w:t>
            </w:r>
          </w:p>
        </w:tc>
        <w:tc>
          <w:tcPr>
            <w:tcW w:w="740" w:type="dxa"/>
            <w:tcBorders>
              <w:top w:val="nil"/>
              <w:left w:val="nil"/>
              <w:bottom w:val="nil"/>
              <w:right w:val="single" w:sz="4" w:space="0" w:color="auto"/>
            </w:tcBorders>
            <w:shd w:val="clear" w:color="auto" w:fill="auto"/>
            <w:noWrap/>
            <w:vAlign w:val="bottom"/>
            <w:hideMark/>
          </w:tcPr>
          <w:p w14:paraId="29922E5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w:t>
            </w:r>
          </w:p>
        </w:tc>
        <w:tc>
          <w:tcPr>
            <w:tcW w:w="1720" w:type="dxa"/>
            <w:tcBorders>
              <w:top w:val="nil"/>
              <w:left w:val="nil"/>
              <w:bottom w:val="nil"/>
              <w:right w:val="nil"/>
            </w:tcBorders>
            <w:shd w:val="clear" w:color="auto" w:fill="auto"/>
            <w:noWrap/>
            <w:vAlign w:val="bottom"/>
            <w:hideMark/>
          </w:tcPr>
          <w:p w14:paraId="68095E9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4737.20</w:t>
            </w:r>
          </w:p>
        </w:tc>
        <w:tc>
          <w:tcPr>
            <w:tcW w:w="1340" w:type="dxa"/>
            <w:tcBorders>
              <w:top w:val="nil"/>
              <w:left w:val="nil"/>
              <w:bottom w:val="nil"/>
              <w:right w:val="nil"/>
            </w:tcBorders>
            <w:shd w:val="clear" w:color="auto" w:fill="auto"/>
            <w:noWrap/>
            <w:vAlign w:val="bottom"/>
            <w:hideMark/>
          </w:tcPr>
          <w:p w14:paraId="4A7E47D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4066.00</w:t>
            </w:r>
          </w:p>
        </w:tc>
        <w:tc>
          <w:tcPr>
            <w:tcW w:w="1300" w:type="dxa"/>
            <w:tcBorders>
              <w:top w:val="nil"/>
              <w:left w:val="nil"/>
              <w:bottom w:val="nil"/>
              <w:right w:val="nil"/>
            </w:tcBorders>
            <w:shd w:val="clear" w:color="auto" w:fill="auto"/>
            <w:noWrap/>
            <w:vAlign w:val="bottom"/>
            <w:hideMark/>
          </w:tcPr>
          <w:p w14:paraId="699677B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5581.00</w:t>
            </w:r>
          </w:p>
        </w:tc>
        <w:tc>
          <w:tcPr>
            <w:tcW w:w="680" w:type="dxa"/>
            <w:tcBorders>
              <w:top w:val="nil"/>
              <w:left w:val="nil"/>
              <w:bottom w:val="nil"/>
              <w:right w:val="single" w:sz="4" w:space="0" w:color="auto"/>
            </w:tcBorders>
            <w:shd w:val="clear" w:color="auto" w:fill="auto"/>
            <w:noWrap/>
            <w:vAlign w:val="bottom"/>
            <w:hideMark/>
          </w:tcPr>
          <w:p w14:paraId="4C7B904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3B5BDE9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4C671338"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53D37AC1"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Bilirubin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7319227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1460" w:type="dxa"/>
            <w:tcBorders>
              <w:top w:val="nil"/>
              <w:left w:val="nil"/>
              <w:bottom w:val="nil"/>
              <w:right w:val="nil"/>
            </w:tcBorders>
            <w:shd w:val="clear" w:color="auto" w:fill="auto"/>
            <w:noWrap/>
            <w:vAlign w:val="bottom"/>
            <w:hideMark/>
          </w:tcPr>
          <w:p w14:paraId="264B2B3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1320" w:type="dxa"/>
            <w:tcBorders>
              <w:top w:val="nil"/>
              <w:left w:val="nil"/>
              <w:bottom w:val="nil"/>
              <w:right w:val="nil"/>
            </w:tcBorders>
            <w:shd w:val="clear" w:color="auto" w:fill="auto"/>
            <w:noWrap/>
            <w:vAlign w:val="bottom"/>
            <w:hideMark/>
          </w:tcPr>
          <w:p w14:paraId="2CC5684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740" w:type="dxa"/>
            <w:tcBorders>
              <w:top w:val="nil"/>
              <w:left w:val="nil"/>
              <w:bottom w:val="nil"/>
              <w:right w:val="single" w:sz="4" w:space="0" w:color="auto"/>
            </w:tcBorders>
            <w:shd w:val="clear" w:color="auto" w:fill="auto"/>
            <w:noWrap/>
            <w:vAlign w:val="bottom"/>
            <w:hideMark/>
          </w:tcPr>
          <w:p w14:paraId="2C3EEF7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w:t>
            </w:r>
          </w:p>
        </w:tc>
        <w:tc>
          <w:tcPr>
            <w:tcW w:w="1720" w:type="dxa"/>
            <w:tcBorders>
              <w:top w:val="nil"/>
              <w:left w:val="nil"/>
              <w:bottom w:val="nil"/>
              <w:right w:val="nil"/>
            </w:tcBorders>
            <w:shd w:val="clear" w:color="auto" w:fill="auto"/>
            <w:noWrap/>
            <w:vAlign w:val="bottom"/>
            <w:hideMark/>
          </w:tcPr>
          <w:p w14:paraId="0576A45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1340" w:type="dxa"/>
            <w:tcBorders>
              <w:top w:val="nil"/>
              <w:left w:val="nil"/>
              <w:bottom w:val="nil"/>
              <w:right w:val="nil"/>
            </w:tcBorders>
            <w:shd w:val="clear" w:color="auto" w:fill="auto"/>
            <w:noWrap/>
            <w:vAlign w:val="bottom"/>
            <w:hideMark/>
          </w:tcPr>
          <w:p w14:paraId="338B893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1300" w:type="dxa"/>
            <w:tcBorders>
              <w:top w:val="nil"/>
              <w:left w:val="nil"/>
              <w:bottom w:val="nil"/>
              <w:right w:val="nil"/>
            </w:tcBorders>
            <w:shd w:val="clear" w:color="auto" w:fill="auto"/>
            <w:noWrap/>
            <w:vAlign w:val="bottom"/>
            <w:hideMark/>
          </w:tcPr>
          <w:p w14:paraId="0B1B637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0.15</w:t>
            </w:r>
          </w:p>
        </w:tc>
        <w:tc>
          <w:tcPr>
            <w:tcW w:w="680" w:type="dxa"/>
            <w:tcBorders>
              <w:top w:val="nil"/>
              <w:left w:val="nil"/>
              <w:bottom w:val="nil"/>
              <w:right w:val="single" w:sz="4" w:space="0" w:color="auto"/>
            </w:tcBorders>
            <w:shd w:val="clear" w:color="auto" w:fill="auto"/>
            <w:noWrap/>
            <w:vAlign w:val="bottom"/>
            <w:hideMark/>
          </w:tcPr>
          <w:p w14:paraId="34C2877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25D3E0E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1DF8E7CE"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2959325F"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Urea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5DEE36F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47.86</w:t>
            </w:r>
          </w:p>
        </w:tc>
        <w:tc>
          <w:tcPr>
            <w:tcW w:w="1460" w:type="dxa"/>
            <w:tcBorders>
              <w:top w:val="nil"/>
              <w:left w:val="nil"/>
              <w:bottom w:val="nil"/>
              <w:right w:val="nil"/>
            </w:tcBorders>
            <w:shd w:val="clear" w:color="auto" w:fill="auto"/>
            <w:noWrap/>
            <w:vAlign w:val="bottom"/>
            <w:hideMark/>
          </w:tcPr>
          <w:p w14:paraId="16C03E8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35.60</w:t>
            </w:r>
          </w:p>
        </w:tc>
        <w:tc>
          <w:tcPr>
            <w:tcW w:w="1320" w:type="dxa"/>
            <w:tcBorders>
              <w:top w:val="nil"/>
              <w:left w:val="nil"/>
              <w:bottom w:val="nil"/>
              <w:right w:val="nil"/>
            </w:tcBorders>
            <w:shd w:val="clear" w:color="auto" w:fill="auto"/>
            <w:noWrap/>
            <w:vAlign w:val="bottom"/>
            <w:hideMark/>
          </w:tcPr>
          <w:p w14:paraId="682BD13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61.60</w:t>
            </w:r>
          </w:p>
        </w:tc>
        <w:tc>
          <w:tcPr>
            <w:tcW w:w="740" w:type="dxa"/>
            <w:tcBorders>
              <w:top w:val="nil"/>
              <w:left w:val="nil"/>
              <w:bottom w:val="nil"/>
              <w:right w:val="single" w:sz="4" w:space="0" w:color="auto"/>
            </w:tcBorders>
            <w:shd w:val="clear" w:color="auto" w:fill="auto"/>
            <w:noWrap/>
            <w:vAlign w:val="bottom"/>
            <w:hideMark/>
          </w:tcPr>
          <w:p w14:paraId="7405A40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10</w:t>
            </w:r>
          </w:p>
        </w:tc>
        <w:tc>
          <w:tcPr>
            <w:tcW w:w="1720" w:type="dxa"/>
            <w:tcBorders>
              <w:top w:val="nil"/>
              <w:left w:val="nil"/>
              <w:bottom w:val="nil"/>
              <w:right w:val="nil"/>
            </w:tcBorders>
            <w:shd w:val="clear" w:color="auto" w:fill="auto"/>
            <w:noWrap/>
            <w:vAlign w:val="bottom"/>
            <w:hideMark/>
          </w:tcPr>
          <w:p w14:paraId="1771E50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55.58</w:t>
            </w:r>
          </w:p>
        </w:tc>
        <w:tc>
          <w:tcPr>
            <w:tcW w:w="1340" w:type="dxa"/>
            <w:tcBorders>
              <w:top w:val="nil"/>
              <w:left w:val="nil"/>
              <w:bottom w:val="nil"/>
              <w:right w:val="nil"/>
            </w:tcBorders>
            <w:shd w:val="clear" w:color="auto" w:fill="auto"/>
            <w:noWrap/>
            <w:vAlign w:val="bottom"/>
            <w:hideMark/>
          </w:tcPr>
          <w:p w14:paraId="076CF52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47.00</w:t>
            </w:r>
          </w:p>
        </w:tc>
        <w:tc>
          <w:tcPr>
            <w:tcW w:w="1300" w:type="dxa"/>
            <w:tcBorders>
              <w:top w:val="nil"/>
              <w:left w:val="nil"/>
              <w:bottom w:val="nil"/>
              <w:right w:val="nil"/>
            </w:tcBorders>
            <w:shd w:val="clear" w:color="auto" w:fill="auto"/>
            <w:noWrap/>
            <w:vAlign w:val="bottom"/>
            <w:hideMark/>
          </w:tcPr>
          <w:p w14:paraId="7A065D7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72.90</w:t>
            </w:r>
          </w:p>
        </w:tc>
        <w:tc>
          <w:tcPr>
            <w:tcW w:w="680" w:type="dxa"/>
            <w:tcBorders>
              <w:top w:val="nil"/>
              <w:left w:val="nil"/>
              <w:bottom w:val="nil"/>
              <w:right w:val="single" w:sz="4" w:space="0" w:color="auto"/>
            </w:tcBorders>
            <w:shd w:val="clear" w:color="auto" w:fill="auto"/>
            <w:noWrap/>
            <w:vAlign w:val="bottom"/>
            <w:hideMark/>
          </w:tcPr>
          <w:p w14:paraId="613C9F2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6DB398C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61E9AE47"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70E197AF"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Creatinine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19850A3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0.16</w:t>
            </w:r>
          </w:p>
        </w:tc>
        <w:tc>
          <w:tcPr>
            <w:tcW w:w="1460" w:type="dxa"/>
            <w:tcBorders>
              <w:top w:val="nil"/>
              <w:left w:val="nil"/>
              <w:bottom w:val="nil"/>
              <w:right w:val="nil"/>
            </w:tcBorders>
            <w:shd w:val="clear" w:color="auto" w:fill="auto"/>
            <w:noWrap/>
            <w:vAlign w:val="bottom"/>
            <w:hideMark/>
          </w:tcPr>
          <w:p w14:paraId="1FE59A5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0.07</w:t>
            </w:r>
          </w:p>
        </w:tc>
        <w:tc>
          <w:tcPr>
            <w:tcW w:w="1320" w:type="dxa"/>
            <w:tcBorders>
              <w:top w:val="nil"/>
              <w:left w:val="nil"/>
              <w:bottom w:val="nil"/>
              <w:right w:val="nil"/>
            </w:tcBorders>
            <w:shd w:val="clear" w:color="auto" w:fill="auto"/>
            <w:noWrap/>
            <w:vAlign w:val="bottom"/>
            <w:hideMark/>
          </w:tcPr>
          <w:p w14:paraId="465F354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0.29</w:t>
            </w:r>
          </w:p>
        </w:tc>
        <w:tc>
          <w:tcPr>
            <w:tcW w:w="740" w:type="dxa"/>
            <w:tcBorders>
              <w:top w:val="nil"/>
              <w:left w:val="nil"/>
              <w:bottom w:val="nil"/>
              <w:right w:val="single" w:sz="4" w:space="0" w:color="auto"/>
            </w:tcBorders>
            <w:shd w:val="clear" w:color="auto" w:fill="auto"/>
            <w:noWrap/>
            <w:vAlign w:val="bottom"/>
            <w:hideMark/>
          </w:tcPr>
          <w:p w14:paraId="4D8BC2AD"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10</w:t>
            </w:r>
          </w:p>
        </w:tc>
        <w:tc>
          <w:tcPr>
            <w:tcW w:w="1720" w:type="dxa"/>
            <w:tcBorders>
              <w:top w:val="nil"/>
              <w:left w:val="nil"/>
              <w:bottom w:val="nil"/>
              <w:right w:val="nil"/>
            </w:tcBorders>
            <w:shd w:val="clear" w:color="auto" w:fill="auto"/>
            <w:noWrap/>
            <w:vAlign w:val="bottom"/>
            <w:hideMark/>
          </w:tcPr>
          <w:p w14:paraId="05B8578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0.20</w:t>
            </w:r>
          </w:p>
        </w:tc>
        <w:tc>
          <w:tcPr>
            <w:tcW w:w="1340" w:type="dxa"/>
            <w:tcBorders>
              <w:top w:val="nil"/>
              <w:left w:val="nil"/>
              <w:bottom w:val="nil"/>
              <w:right w:val="nil"/>
            </w:tcBorders>
            <w:shd w:val="clear" w:color="auto" w:fill="auto"/>
            <w:noWrap/>
            <w:vAlign w:val="bottom"/>
            <w:hideMark/>
          </w:tcPr>
          <w:p w14:paraId="0C032A2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0.07</w:t>
            </w:r>
          </w:p>
        </w:tc>
        <w:tc>
          <w:tcPr>
            <w:tcW w:w="1300" w:type="dxa"/>
            <w:tcBorders>
              <w:top w:val="nil"/>
              <w:left w:val="nil"/>
              <w:bottom w:val="nil"/>
              <w:right w:val="nil"/>
            </w:tcBorders>
            <w:shd w:val="clear" w:color="auto" w:fill="auto"/>
            <w:noWrap/>
            <w:vAlign w:val="bottom"/>
            <w:hideMark/>
          </w:tcPr>
          <w:p w14:paraId="70756FB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0.35</w:t>
            </w:r>
          </w:p>
        </w:tc>
        <w:tc>
          <w:tcPr>
            <w:tcW w:w="680" w:type="dxa"/>
            <w:tcBorders>
              <w:top w:val="nil"/>
              <w:left w:val="nil"/>
              <w:bottom w:val="nil"/>
              <w:right w:val="single" w:sz="4" w:space="0" w:color="auto"/>
            </w:tcBorders>
            <w:shd w:val="clear" w:color="auto" w:fill="auto"/>
            <w:noWrap/>
            <w:vAlign w:val="bottom"/>
            <w:hideMark/>
          </w:tcPr>
          <w:p w14:paraId="644B8CE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4168860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13116AB4"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5CCFB26F"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Glucose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26FD219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315.64</w:t>
            </w:r>
          </w:p>
        </w:tc>
        <w:tc>
          <w:tcPr>
            <w:tcW w:w="1460" w:type="dxa"/>
            <w:tcBorders>
              <w:top w:val="nil"/>
              <w:left w:val="nil"/>
              <w:bottom w:val="nil"/>
              <w:right w:val="nil"/>
            </w:tcBorders>
            <w:shd w:val="clear" w:color="auto" w:fill="auto"/>
            <w:noWrap/>
            <w:vAlign w:val="bottom"/>
            <w:hideMark/>
          </w:tcPr>
          <w:p w14:paraId="57FE92D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213.00</w:t>
            </w:r>
          </w:p>
        </w:tc>
        <w:tc>
          <w:tcPr>
            <w:tcW w:w="1320" w:type="dxa"/>
            <w:tcBorders>
              <w:top w:val="nil"/>
              <w:left w:val="nil"/>
              <w:bottom w:val="nil"/>
              <w:right w:val="nil"/>
            </w:tcBorders>
            <w:shd w:val="clear" w:color="auto" w:fill="auto"/>
            <w:noWrap/>
            <w:vAlign w:val="bottom"/>
            <w:hideMark/>
          </w:tcPr>
          <w:p w14:paraId="5C534A8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380.00</w:t>
            </w:r>
          </w:p>
        </w:tc>
        <w:tc>
          <w:tcPr>
            <w:tcW w:w="740" w:type="dxa"/>
            <w:tcBorders>
              <w:top w:val="nil"/>
              <w:left w:val="nil"/>
              <w:bottom w:val="nil"/>
              <w:right w:val="single" w:sz="4" w:space="0" w:color="auto"/>
            </w:tcBorders>
            <w:shd w:val="clear" w:color="auto" w:fill="auto"/>
            <w:noWrap/>
            <w:vAlign w:val="bottom"/>
            <w:hideMark/>
          </w:tcPr>
          <w:p w14:paraId="025EAE0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05480B7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292.67</w:t>
            </w:r>
          </w:p>
        </w:tc>
        <w:tc>
          <w:tcPr>
            <w:tcW w:w="1340" w:type="dxa"/>
            <w:tcBorders>
              <w:top w:val="nil"/>
              <w:left w:val="nil"/>
              <w:bottom w:val="nil"/>
              <w:right w:val="nil"/>
            </w:tcBorders>
            <w:shd w:val="clear" w:color="auto" w:fill="auto"/>
            <w:noWrap/>
            <w:vAlign w:val="bottom"/>
            <w:hideMark/>
          </w:tcPr>
          <w:p w14:paraId="37ED309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231.00</w:t>
            </w:r>
          </w:p>
        </w:tc>
        <w:tc>
          <w:tcPr>
            <w:tcW w:w="1300" w:type="dxa"/>
            <w:tcBorders>
              <w:top w:val="nil"/>
              <w:left w:val="nil"/>
              <w:bottom w:val="nil"/>
              <w:right w:val="nil"/>
            </w:tcBorders>
            <w:shd w:val="clear" w:color="auto" w:fill="auto"/>
            <w:noWrap/>
            <w:vAlign w:val="bottom"/>
            <w:hideMark/>
          </w:tcPr>
          <w:p w14:paraId="216E2FE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342.00</w:t>
            </w:r>
          </w:p>
        </w:tc>
        <w:tc>
          <w:tcPr>
            <w:tcW w:w="680" w:type="dxa"/>
            <w:tcBorders>
              <w:top w:val="nil"/>
              <w:left w:val="nil"/>
              <w:bottom w:val="nil"/>
              <w:right w:val="single" w:sz="4" w:space="0" w:color="auto"/>
            </w:tcBorders>
            <w:shd w:val="clear" w:color="auto" w:fill="auto"/>
            <w:noWrap/>
            <w:vAlign w:val="bottom"/>
            <w:hideMark/>
          </w:tcPr>
          <w:p w14:paraId="1B312CD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48918E6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121E4154"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1E3727FA"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Protein (mg/mL)</w:t>
            </w:r>
          </w:p>
        </w:tc>
        <w:tc>
          <w:tcPr>
            <w:tcW w:w="2100" w:type="dxa"/>
            <w:tcBorders>
              <w:top w:val="nil"/>
              <w:left w:val="nil"/>
              <w:bottom w:val="nil"/>
              <w:right w:val="nil"/>
            </w:tcBorders>
            <w:shd w:val="clear" w:color="auto" w:fill="auto"/>
            <w:noWrap/>
            <w:vAlign w:val="bottom"/>
            <w:hideMark/>
          </w:tcPr>
          <w:p w14:paraId="4505583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48.25</w:t>
            </w:r>
          </w:p>
        </w:tc>
        <w:tc>
          <w:tcPr>
            <w:tcW w:w="1460" w:type="dxa"/>
            <w:tcBorders>
              <w:top w:val="nil"/>
              <w:left w:val="nil"/>
              <w:bottom w:val="nil"/>
              <w:right w:val="nil"/>
            </w:tcBorders>
            <w:shd w:val="clear" w:color="auto" w:fill="auto"/>
            <w:noWrap/>
            <w:vAlign w:val="bottom"/>
            <w:hideMark/>
          </w:tcPr>
          <w:p w14:paraId="7916313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43.80</w:t>
            </w:r>
          </w:p>
        </w:tc>
        <w:tc>
          <w:tcPr>
            <w:tcW w:w="1320" w:type="dxa"/>
            <w:tcBorders>
              <w:top w:val="nil"/>
              <w:left w:val="nil"/>
              <w:bottom w:val="nil"/>
              <w:right w:val="nil"/>
            </w:tcBorders>
            <w:shd w:val="clear" w:color="auto" w:fill="auto"/>
            <w:noWrap/>
            <w:vAlign w:val="bottom"/>
            <w:hideMark/>
          </w:tcPr>
          <w:p w14:paraId="636BC34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53.90</w:t>
            </w:r>
          </w:p>
        </w:tc>
        <w:tc>
          <w:tcPr>
            <w:tcW w:w="740" w:type="dxa"/>
            <w:tcBorders>
              <w:top w:val="nil"/>
              <w:left w:val="nil"/>
              <w:bottom w:val="nil"/>
              <w:right w:val="single" w:sz="4" w:space="0" w:color="auto"/>
            </w:tcBorders>
            <w:shd w:val="clear" w:color="auto" w:fill="auto"/>
            <w:noWrap/>
            <w:vAlign w:val="bottom"/>
            <w:hideMark/>
          </w:tcPr>
          <w:p w14:paraId="382F7DF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w:t>
            </w:r>
          </w:p>
        </w:tc>
        <w:tc>
          <w:tcPr>
            <w:tcW w:w="1720" w:type="dxa"/>
            <w:tcBorders>
              <w:top w:val="nil"/>
              <w:left w:val="nil"/>
              <w:bottom w:val="nil"/>
              <w:right w:val="nil"/>
            </w:tcBorders>
            <w:shd w:val="clear" w:color="auto" w:fill="auto"/>
            <w:noWrap/>
            <w:vAlign w:val="bottom"/>
            <w:hideMark/>
          </w:tcPr>
          <w:p w14:paraId="1101552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48.65</w:t>
            </w:r>
          </w:p>
        </w:tc>
        <w:tc>
          <w:tcPr>
            <w:tcW w:w="1340" w:type="dxa"/>
            <w:tcBorders>
              <w:top w:val="nil"/>
              <w:left w:val="nil"/>
              <w:bottom w:val="nil"/>
              <w:right w:val="nil"/>
            </w:tcBorders>
            <w:shd w:val="clear" w:color="auto" w:fill="auto"/>
            <w:noWrap/>
            <w:vAlign w:val="bottom"/>
            <w:hideMark/>
          </w:tcPr>
          <w:p w14:paraId="7B2BEDB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45.00</w:t>
            </w:r>
          </w:p>
        </w:tc>
        <w:tc>
          <w:tcPr>
            <w:tcW w:w="1300" w:type="dxa"/>
            <w:tcBorders>
              <w:top w:val="nil"/>
              <w:left w:val="nil"/>
              <w:bottom w:val="nil"/>
              <w:right w:val="nil"/>
            </w:tcBorders>
            <w:shd w:val="clear" w:color="auto" w:fill="auto"/>
            <w:noWrap/>
            <w:vAlign w:val="bottom"/>
            <w:hideMark/>
          </w:tcPr>
          <w:p w14:paraId="5F4B62B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53.80</w:t>
            </w:r>
          </w:p>
        </w:tc>
        <w:tc>
          <w:tcPr>
            <w:tcW w:w="680" w:type="dxa"/>
            <w:tcBorders>
              <w:top w:val="nil"/>
              <w:left w:val="nil"/>
              <w:bottom w:val="nil"/>
              <w:right w:val="single" w:sz="4" w:space="0" w:color="auto"/>
            </w:tcBorders>
            <w:shd w:val="clear" w:color="auto" w:fill="auto"/>
            <w:noWrap/>
            <w:vAlign w:val="bottom"/>
            <w:hideMark/>
          </w:tcPr>
          <w:p w14:paraId="6A15F8A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67F08B5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01BD7D99"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2DBCFA40"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Cholesterol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45D92EB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80.25</w:t>
            </w:r>
          </w:p>
        </w:tc>
        <w:tc>
          <w:tcPr>
            <w:tcW w:w="1460" w:type="dxa"/>
            <w:tcBorders>
              <w:top w:val="nil"/>
              <w:left w:val="nil"/>
              <w:bottom w:val="nil"/>
              <w:right w:val="nil"/>
            </w:tcBorders>
            <w:shd w:val="clear" w:color="auto" w:fill="auto"/>
            <w:noWrap/>
            <w:vAlign w:val="bottom"/>
            <w:hideMark/>
          </w:tcPr>
          <w:p w14:paraId="37E1BE3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58.00</w:t>
            </w:r>
          </w:p>
        </w:tc>
        <w:tc>
          <w:tcPr>
            <w:tcW w:w="1320" w:type="dxa"/>
            <w:tcBorders>
              <w:top w:val="nil"/>
              <w:left w:val="nil"/>
              <w:bottom w:val="nil"/>
              <w:right w:val="nil"/>
            </w:tcBorders>
            <w:shd w:val="clear" w:color="auto" w:fill="auto"/>
            <w:noWrap/>
            <w:vAlign w:val="bottom"/>
            <w:hideMark/>
          </w:tcPr>
          <w:p w14:paraId="6A4AB2AB"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91.00</w:t>
            </w:r>
          </w:p>
        </w:tc>
        <w:tc>
          <w:tcPr>
            <w:tcW w:w="740" w:type="dxa"/>
            <w:tcBorders>
              <w:top w:val="nil"/>
              <w:left w:val="nil"/>
              <w:bottom w:val="nil"/>
              <w:right w:val="single" w:sz="4" w:space="0" w:color="auto"/>
            </w:tcBorders>
            <w:shd w:val="clear" w:color="auto" w:fill="auto"/>
            <w:noWrap/>
            <w:vAlign w:val="bottom"/>
            <w:hideMark/>
          </w:tcPr>
          <w:p w14:paraId="4EB54BE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w:t>
            </w:r>
          </w:p>
        </w:tc>
        <w:tc>
          <w:tcPr>
            <w:tcW w:w="1720" w:type="dxa"/>
            <w:tcBorders>
              <w:top w:val="nil"/>
              <w:left w:val="nil"/>
              <w:bottom w:val="nil"/>
              <w:right w:val="nil"/>
            </w:tcBorders>
            <w:shd w:val="clear" w:color="auto" w:fill="auto"/>
            <w:noWrap/>
            <w:vAlign w:val="bottom"/>
            <w:hideMark/>
          </w:tcPr>
          <w:p w14:paraId="1C2D811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88.20</w:t>
            </w:r>
          </w:p>
        </w:tc>
        <w:tc>
          <w:tcPr>
            <w:tcW w:w="1340" w:type="dxa"/>
            <w:tcBorders>
              <w:top w:val="nil"/>
              <w:left w:val="nil"/>
              <w:bottom w:val="nil"/>
              <w:right w:val="nil"/>
            </w:tcBorders>
            <w:shd w:val="clear" w:color="auto" w:fill="auto"/>
            <w:noWrap/>
            <w:vAlign w:val="bottom"/>
            <w:hideMark/>
          </w:tcPr>
          <w:p w14:paraId="18BEDEC0"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79.00</w:t>
            </w:r>
          </w:p>
        </w:tc>
        <w:tc>
          <w:tcPr>
            <w:tcW w:w="1300" w:type="dxa"/>
            <w:tcBorders>
              <w:top w:val="nil"/>
              <w:left w:val="nil"/>
              <w:bottom w:val="nil"/>
              <w:right w:val="nil"/>
            </w:tcBorders>
            <w:shd w:val="clear" w:color="auto" w:fill="auto"/>
            <w:noWrap/>
            <w:vAlign w:val="bottom"/>
            <w:hideMark/>
          </w:tcPr>
          <w:p w14:paraId="6D741B7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114.00</w:t>
            </w:r>
          </w:p>
        </w:tc>
        <w:tc>
          <w:tcPr>
            <w:tcW w:w="680" w:type="dxa"/>
            <w:tcBorders>
              <w:top w:val="nil"/>
              <w:left w:val="nil"/>
              <w:bottom w:val="nil"/>
              <w:right w:val="single" w:sz="4" w:space="0" w:color="auto"/>
            </w:tcBorders>
            <w:shd w:val="clear" w:color="auto" w:fill="auto"/>
            <w:noWrap/>
            <w:vAlign w:val="bottom"/>
            <w:hideMark/>
          </w:tcPr>
          <w:p w14:paraId="1A4F0C3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nil"/>
              <w:right w:val="single" w:sz="4" w:space="0" w:color="auto"/>
            </w:tcBorders>
            <w:shd w:val="clear" w:color="auto" w:fill="auto"/>
            <w:noWrap/>
            <w:vAlign w:val="bottom"/>
            <w:hideMark/>
          </w:tcPr>
          <w:p w14:paraId="659434E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3928DEA0"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5D881299"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Triglycerides (mg/</w:t>
            </w:r>
            <w:proofErr w:type="spellStart"/>
            <w:r w:rsidRPr="003232D1">
              <w:rPr>
                <w:rFonts w:ascii="Calibri" w:eastAsia="Times New Roman" w:hAnsi="Calibri" w:cs="Calibri"/>
                <w:color w:val="000000"/>
              </w:rPr>
              <w:t>dL</w:t>
            </w:r>
            <w:proofErr w:type="spellEnd"/>
            <w:r w:rsidRPr="003232D1">
              <w:rPr>
                <w:rFonts w:ascii="Calibri" w:eastAsia="Times New Roman" w:hAnsi="Calibri" w:cs="Calibri"/>
                <w:color w:val="000000"/>
              </w:rPr>
              <w:t>)</w:t>
            </w:r>
          </w:p>
        </w:tc>
        <w:tc>
          <w:tcPr>
            <w:tcW w:w="2100" w:type="dxa"/>
            <w:tcBorders>
              <w:top w:val="nil"/>
              <w:left w:val="nil"/>
              <w:bottom w:val="nil"/>
              <w:right w:val="nil"/>
            </w:tcBorders>
            <w:shd w:val="clear" w:color="auto" w:fill="auto"/>
            <w:noWrap/>
            <w:vAlign w:val="bottom"/>
            <w:hideMark/>
          </w:tcPr>
          <w:p w14:paraId="483E646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83.67</w:t>
            </w:r>
          </w:p>
        </w:tc>
        <w:tc>
          <w:tcPr>
            <w:tcW w:w="1460" w:type="dxa"/>
            <w:tcBorders>
              <w:top w:val="nil"/>
              <w:left w:val="nil"/>
              <w:bottom w:val="nil"/>
              <w:right w:val="nil"/>
            </w:tcBorders>
            <w:shd w:val="clear" w:color="auto" w:fill="auto"/>
            <w:noWrap/>
            <w:vAlign w:val="bottom"/>
            <w:hideMark/>
          </w:tcPr>
          <w:p w14:paraId="1C9DC431"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50.00</w:t>
            </w:r>
          </w:p>
        </w:tc>
        <w:tc>
          <w:tcPr>
            <w:tcW w:w="1320" w:type="dxa"/>
            <w:tcBorders>
              <w:top w:val="nil"/>
              <w:left w:val="nil"/>
              <w:bottom w:val="nil"/>
              <w:right w:val="nil"/>
            </w:tcBorders>
            <w:shd w:val="clear" w:color="auto" w:fill="auto"/>
            <w:noWrap/>
            <w:vAlign w:val="bottom"/>
            <w:hideMark/>
          </w:tcPr>
          <w:p w14:paraId="6B7C554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133.00</w:t>
            </w:r>
          </w:p>
        </w:tc>
        <w:tc>
          <w:tcPr>
            <w:tcW w:w="740" w:type="dxa"/>
            <w:tcBorders>
              <w:top w:val="nil"/>
              <w:left w:val="nil"/>
              <w:bottom w:val="nil"/>
              <w:right w:val="single" w:sz="4" w:space="0" w:color="auto"/>
            </w:tcBorders>
            <w:shd w:val="clear" w:color="auto" w:fill="auto"/>
            <w:noWrap/>
            <w:vAlign w:val="bottom"/>
            <w:hideMark/>
          </w:tcPr>
          <w:p w14:paraId="1BE1727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9</w:t>
            </w:r>
          </w:p>
        </w:tc>
        <w:tc>
          <w:tcPr>
            <w:tcW w:w="1720" w:type="dxa"/>
            <w:tcBorders>
              <w:top w:val="nil"/>
              <w:left w:val="nil"/>
              <w:bottom w:val="nil"/>
              <w:right w:val="nil"/>
            </w:tcBorders>
            <w:shd w:val="clear" w:color="auto" w:fill="auto"/>
            <w:noWrap/>
            <w:vAlign w:val="bottom"/>
            <w:hideMark/>
          </w:tcPr>
          <w:p w14:paraId="32F0427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81.00</w:t>
            </w:r>
          </w:p>
        </w:tc>
        <w:tc>
          <w:tcPr>
            <w:tcW w:w="1340" w:type="dxa"/>
            <w:tcBorders>
              <w:top w:val="nil"/>
              <w:left w:val="nil"/>
              <w:bottom w:val="nil"/>
              <w:right w:val="nil"/>
            </w:tcBorders>
            <w:shd w:val="clear" w:color="auto" w:fill="auto"/>
            <w:noWrap/>
            <w:vAlign w:val="bottom"/>
            <w:hideMark/>
          </w:tcPr>
          <w:p w14:paraId="46330B9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69.00</w:t>
            </w:r>
          </w:p>
        </w:tc>
        <w:tc>
          <w:tcPr>
            <w:tcW w:w="1300" w:type="dxa"/>
            <w:tcBorders>
              <w:top w:val="nil"/>
              <w:left w:val="nil"/>
              <w:bottom w:val="nil"/>
              <w:right w:val="nil"/>
            </w:tcBorders>
            <w:shd w:val="clear" w:color="auto" w:fill="auto"/>
            <w:noWrap/>
            <w:vAlign w:val="bottom"/>
            <w:hideMark/>
          </w:tcPr>
          <w:p w14:paraId="2F50DF2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104.00</w:t>
            </w:r>
          </w:p>
        </w:tc>
        <w:tc>
          <w:tcPr>
            <w:tcW w:w="680" w:type="dxa"/>
            <w:tcBorders>
              <w:top w:val="nil"/>
              <w:left w:val="nil"/>
              <w:bottom w:val="nil"/>
              <w:right w:val="single" w:sz="4" w:space="0" w:color="auto"/>
            </w:tcBorders>
            <w:shd w:val="clear" w:color="auto" w:fill="auto"/>
            <w:noWrap/>
            <w:vAlign w:val="bottom"/>
            <w:hideMark/>
          </w:tcPr>
          <w:p w14:paraId="4C8D843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6C16939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00903EC6"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6FF160C9"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Natrium (</w:t>
            </w:r>
            <w:proofErr w:type="spellStart"/>
            <w:r w:rsidRPr="003232D1">
              <w:rPr>
                <w:rFonts w:ascii="Calibri" w:eastAsia="Times New Roman" w:hAnsi="Calibri" w:cs="Calibri"/>
                <w:color w:val="000000"/>
              </w:rPr>
              <w:t>mmol</w:t>
            </w:r>
            <w:proofErr w:type="spellEnd"/>
            <w:r w:rsidRPr="003232D1">
              <w:rPr>
                <w:rFonts w:ascii="Calibri" w:eastAsia="Times New Roman" w:hAnsi="Calibri" w:cs="Calibri"/>
                <w:color w:val="000000"/>
              </w:rPr>
              <w:t>/L)</w:t>
            </w:r>
          </w:p>
        </w:tc>
        <w:tc>
          <w:tcPr>
            <w:tcW w:w="2100" w:type="dxa"/>
            <w:tcBorders>
              <w:top w:val="nil"/>
              <w:left w:val="nil"/>
              <w:bottom w:val="nil"/>
              <w:right w:val="nil"/>
            </w:tcBorders>
            <w:shd w:val="clear" w:color="auto" w:fill="auto"/>
            <w:noWrap/>
            <w:vAlign w:val="bottom"/>
            <w:hideMark/>
          </w:tcPr>
          <w:p w14:paraId="1A1AF5D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151.10</w:t>
            </w:r>
          </w:p>
        </w:tc>
        <w:tc>
          <w:tcPr>
            <w:tcW w:w="1460" w:type="dxa"/>
            <w:tcBorders>
              <w:top w:val="nil"/>
              <w:left w:val="nil"/>
              <w:bottom w:val="nil"/>
              <w:right w:val="nil"/>
            </w:tcBorders>
            <w:shd w:val="clear" w:color="auto" w:fill="auto"/>
            <w:noWrap/>
            <w:vAlign w:val="bottom"/>
            <w:hideMark/>
          </w:tcPr>
          <w:p w14:paraId="1756AFB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145.00</w:t>
            </w:r>
          </w:p>
        </w:tc>
        <w:tc>
          <w:tcPr>
            <w:tcW w:w="1320" w:type="dxa"/>
            <w:tcBorders>
              <w:top w:val="nil"/>
              <w:left w:val="nil"/>
              <w:bottom w:val="nil"/>
              <w:right w:val="nil"/>
            </w:tcBorders>
            <w:shd w:val="clear" w:color="auto" w:fill="auto"/>
            <w:noWrap/>
            <w:vAlign w:val="bottom"/>
            <w:hideMark/>
          </w:tcPr>
          <w:p w14:paraId="739F110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160.00</w:t>
            </w:r>
          </w:p>
        </w:tc>
        <w:tc>
          <w:tcPr>
            <w:tcW w:w="740" w:type="dxa"/>
            <w:tcBorders>
              <w:top w:val="nil"/>
              <w:left w:val="nil"/>
              <w:bottom w:val="nil"/>
              <w:right w:val="single" w:sz="4" w:space="0" w:color="auto"/>
            </w:tcBorders>
            <w:shd w:val="clear" w:color="auto" w:fill="auto"/>
            <w:noWrap/>
            <w:vAlign w:val="bottom"/>
            <w:hideMark/>
          </w:tcPr>
          <w:p w14:paraId="385D6A2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10</w:t>
            </w:r>
          </w:p>
        </w:tc>
        <w:tc>
          <w:tcPr>
            <w:tcW w:w="1720" w:type="dxa"/>
            <w:tcBorders>
              <w:top w:val="nil"/>
              <w:left w:val="nil"/>
              <w:bottom w:val="nil"/>
              <w:right w:val="nil"/>
            </w:tcBorders>
            <w:shd w:val="clear" w:color="auto" w:fill="auto"/>
            <w:noWrap/>
            <w:vAlign w:val="bottom"/>
            <w:hideMark/>
          </w:tcPr>
          <w:p w14:paraId="72BE129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150.00</w:t>
            </w:r>
          </w:p>
        </w:tc>
        <w:tc>
          <w:tcPr>
            <w:tcW w:w="1340" w:type="dxa"/>
            <w:tcBorders>
              <w:top w:val="nil"/>
              <w:left w:val="nil"/>
              <w:bottom w:val="nil"/>
              <w:right w:val="nil"/>
            </w:tcBorders>
            <w:shd w:val="clear" w:color="auto" w:fill="auto"/>
            <w:noWrap/>
            <w:vAlign w:val="bottom"/>
            <w:hideMark/>
          </w:tcPr>
          <w:p w14:paraId="00DBFC1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146.00</w:t>
            </w:r>
          </w:p>
        </w:tc>
        <w:tc>
          <w:tcPr>
            <w:tcW w:w="1300" w:type="dxa"/>
            <w:tcBorders>
              <w:top w:val="nil"/>
              <w:left w:val="nil"/>
              <w:bottom w:val="nil"/>
              <w:right w:val="nil"/>
            </w:tcBorders>
            <w:shd w:val="clear" w:color="auto" w:fill="auto"/>
            <w:noWrap/>
            <w:vAlign w:val="bottom"/>
            <w:hideMark/>
          </w:tcPr>
          <w:p w14:paraId="12626136"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158.00</w:t>
            </w:r>
          </w:p>
        </w:tc>
        <w:tc>
          <w:tcPr>
            <w:tcW w:w="680" w:type="dxa"/>
            <w:tcBorders>
              <w:top w:val="nil"/>
              <w:left w:val="nil"/>
              <w:bottom w:val="nil"/>
              <w:right w:val="single" w:sz="4" w:space="0" w:color="auto"/>
            </w:tcBorders>
            <w:shd w:val="clear" w:color="auto" w:fill="auto"/>
            <w:noWrap/>
            <w:vAlign w:val="bottom"/>
            <w:hideMark/>
          </w:tcPr>
          <w:p w14:paraId="6338153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7992674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5B592F6E" w14:textId="77777777" w:rsidTr="00232647">
        <w:trPr>
          <w:trHeight w:val="300"/>
        </w:trPr>
        <w:tc>
          <w:tcPr>
            <w:tcW w:w="3040" w:type="dxa"/>
            <w:tcBorders>
              <w:top w:val="nil"/>
              <w:left w:val="single" w:sz="4" w:space="0" w:color="auto"/>
              <w:bottom w:val="nil"/>
              <w:right w:val="single" w:sz="4" w:space="0" w:color="auto"/>
            </w:tcBorders>
            <w:shd w:val="clear" w:color="auto" w:fill="auto"/>
            <w:noWrap/>
            <w:vAlign w:val="bottom"/>
            <w:hideMark/>
          </w:tcPr>
          <w:p w14:paraId="38C4E5B5" w14:textId="77777777" w:rsidR="007070B4" w:rsidRPr="003232D1" w:rsidRDefault="007070B4" w:rsidP="00232647">
            <w:pPr>
              <w:spacing w:after="0" w:line="240" w:lineRule="auto"/>
              <w:rPr>
                <w:rFonts w:ascii="Calibri" w:eastAsia="Times New Roman" w:hAnsi="Calibri" w:cs="Calibri"/>
                <w:color w:val="000000"/>
              </w:rPr>
            </w:pPr>
            <w:proofErr w:type="spellStart"/>
            <w:r w:rsidRPr="003232D1">
              <w:rPr>
                <w:rFonts w:ascii="Calibri" w:eastAsia="Times New Roman" w:hAnsi="Calibri" w:cs="Calibri"/>
                <w:color w:val="000000"/>
              </w:rPr>
              <w:t>Kalium</w:t>
            </w:r>
            <w:proofErr w:type="spellEnd"/>
            <w:r w:rsidRPr="003232D1">
              <w:rPr>
                <w:rFonts w:ascii="Calibri" w:eastAsia="Times New Roman" w:hAnsi="Calibri" w:cs="Calibri"/>
                <w:color w:val="000000"/>
              </w:rPr>
              <w:t xml:space="preserve"> (</w:t>
            </w:r>
            <w:proofErr w:type="spellStart"/>
            <w:r w:rsidRPr="003232D1">
              <w:rPr>
                <w:rFonts w:ascii="Calibri" w:eastAsia="Times New Roman" w:hAnsi="Calibri" w:cs="Calibri"/>
                <w:color w:val="000000"/>
              </w:rPr>
              <w:t>mmol</w:t>
            </w:r>
            <w:proofErr w:type="spellEnd"/>
            <w:r w:rsidRPr="003232D1">
              <w:rPr>
                <w:rFonts w:ascii="Calibri" w:eastAsia="Times New Roman" w:hAnsi="Calibri" w:cs="Calibri"/>
                <w:color w:val="000000"/>
              </w:rPr>
              <w:t>/L)</w:t>
            </w:r>
          </w:p>
        </w:tc>
        <w:tc>
          <w:tcPr>
            <w:tcW w:w="2100" w:type="dxa"/>
            <w:tcBorders>
              <w:top w:val="nil"/>
              <w:left w:val="nil"/>
              <w:bottom w:val="nil"/>
              <w:right w:val="nil"/>
            </w:tcBorders>
            <w:shd w:val="clear" w:color="auto" w:fill="auto"/>
            <w:noWrap/>
            <w:vAlign w:val="bottom"/>
            <w:hideMark/>
          </w:tcPr>
          <w:p w14:paraId="74AD17E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4.46</w:t>
            </w:r>
          </w:p>
        </w:tc>
        <w:tc>
          <w:tcPr>
            <w:tcW w:w="1460" w:type="dxa"/>
            <w:tcBorders>
              <w:top w:val="nil"/>
              <w:left w:val="nil"/>
              <w:bottom w:val="nil"/>
              <w:right w:val="nil"/>
            </w:tcBorders>
            <w:shd w:val="clear" w:color="auto" w:fill="auto"/>
            <w:noWrap/>
            <w:vAlign w:val="bottom"/>
            <w:hideMark/>
          </w:tcPr>
          <w:p w14:paraId="2F7C268F"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3.67</w:t>
            </w:r>
          </w:p>
        </w:tc>
        <w:tc>
          <w:tcPr>
            <w:tcW w:w="1320" w:type="dxa"/>
            <w:tcBorders>
              <w:top w:val="nil"/>
              <w:left w:val="nil"/>
              <w:bottom w:val="nil"/>
              <w:right w:val="nil"/>
            </w:tcBorders>
            <w:shd w:val="clear" w:color="auto" w:fill="auto"/>
            <w:noWrap/>
            <w:vAlign w:val="bottom"/>
            <w:hideMark/>
          </w:tcPr>
          <w:p w14:paraId="48E003C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5.12</w:t>
            </w:r>
          </w:p>
        </w:tc>
        <w:tc>
          <w:tcPr>
            <w:tcW w:w="740" w:type="dxa"/>
            <w:tcBorders>
              <w:top w:val="nil"/>
              <w:left w:val="nil"/>
              <w:bottom w:val="nil"/>
              <w:right w:val="single" w:sz="4" w:space="0" w:color="auto"/>
            </w:tcBorders>
            <w:shd w:val="clear" w:color="auto" w:fill="auto"/>
            <w:noWrap/>
            <w:vAlign w:val="bottom"/>
            <w:hideMark/>
          </w:tcPr>
          <w:p w14:paraId="54FED71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10</w:t>
            </w:r>
          </w:p>
        </w:tc>
        <w:tc>
          <w:tcPr>
            <w:tcW w:w="1720" w:type="dxa"/>
            <w:tcBorders>
              <w:top w:val="nil"/>
              <w:left w:val="nil"/>
              <w:bottom w:val="nil"/>
              <w:right w:val="nil"/>
            </w:tcBorders>
            <w:shd w:val="clear" w:color="auto" w:fill="auto"/>
            <w:noWrap/>
            <w:vAlign w:val="bottom"/>
            <w:hideMark/>
          </w:tcPr>
          <w:p w14:paraId="4F8E84B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4.25</w:t>
            </w:r>
          </w:p>
        </w:tc>
        <w:tc>
          <w:tcPr>
            <w:tcW w:w="1340" w:type="dxa"/>
            <w:tcBorders>
              <w:top w:val="nil"/>
              <w:left w:val="nil"/>
              <w:bottom w:val="nil"/>
              <w:right w:val="nil"/>
            </w:tcBorders>
            <w:shd w:val="clear" w:color="auto" w:fill="auto"/>
            <w:noWrap/>
            <w:vAlign w:val="bottom"/>
            <w:hideMark/>
          </w:tcPr>
          <w:p w14:paraId="298647E2"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3.86</w:t>
            </w:r>
          </w:p>
        </w:tc>
        <w:tc>
          <w:tcPr>
            <w:tcW w:w="1300" w:type="dxa"/>
            <w:tcBorders>
              <w:top w:val="nil"/>
              <w:left w:val="nil"/>
              <w:bottom w:val="nil"/>
              <w:right w:val="nil"/>
            </w:tcBorders>
            <w:shd w:val="clear" w:color="auto" w:fill="auto"/>
            <w:noWrap/>
            <w:vAlign w:val="bottom"/>
            <w:hideMark/>
          </w:tcPr>
          <w:p w14:paraId="1F80760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4.65</w:t>
            </w:r>
          </w:p>
        </w:tc>
        <w:tc>
          <w:tcPr>
            <w:tcW w:w="680" w:type="dxa"/>
            <w:tcBorders>
              <w:top w:val="nil"/>
              <w:left w:val="nil"/>
              <w:bottom w:val="nil"/>
              <w:right w:val="single" w:sz="4" w:space="0" w:color="auto"/>
            </w:tcBorders>
            <w:shd w:val="clear" w:color="auto" w:fill="auto"/>
            <w:noWrap/>
            <w:vAlign w:val="bottom"/>
            <w:hideMark/>
          </w:tcPr>
          <w:p w14:paraId="1E3DBF7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6</w:t>
            </w:r>
          </w:p>
        </w:tc>
        <w:tc>
          <w:tcPr>
            <w:tcW w:w="1820" w:type="dxa"/>
            <w:tcBorders>
              <w:top w:val="nil"/>
              <w:left w:val="nil"/>
              <w:bottom w:val="nil"/>
              <w:right w:val="single" w:sz="4" w:space="0" w:color="auto"/>
            </w:tcBorders>
            <w:shd w:val="clear" w:color="auto" w:fill="auto"/>
            <w:noWrap/>
            <w:vAlign w:val="bottom"/>
            <w:hideMark/>
          </w:tcPr>
          <w:p w14:paraId="41E723E7"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r w:rsidR="007070B4" w:rsidRPr="003232D1" w14:paraId="112CD26C" w14:textId="77777777" w:rsidTr="00232647">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77D78FD" w14:textId="77777777" w:rsidR="007070B4" w:rsidRPr="003232D1" w:rsidRDefault="007070B4" w:rsidP="00232647">
            <w:pPr>
              <w:spacing w:after="0" w:line="240" w:lineRule="auto"/>
              <w:rPr>
                <w:rFonts w:ascii="Calibri" w:eastAsia="Times New Roman" w:hAnsi="Calibri" w:cs="Calibri"/>
                <w:color w:val="000000"/>
              </w:rPr>
            </w:pPr>
            <w:r w:rsidRPr="003232D1">
              <w:rPr>
                <w:rFonts w:ascii="Calibri" w:eastAsia="Times New Roman" w:hAnsi="Calibri" w:cs="Calibri"/>
                <w:color w:val="000000"/>
              </w:rPr>
              <w:t>Calcium (</w:t>
            </w:r>
            <w:proofErr w:type="spellStart"/>
            <w:r w:rsidRPr="003232D1">
              <w:rPr>
                <w:rFonts w:ascii="Calibri" w:eastAsia="Times New Roman" w:hAnsi="Calibri" w:cs="Calibri"/>
                <w:color w:val="000000"/>
              </w:rPr>
              <w:t>mmol</w:t>
            </w:r>
            <w:proofErr w:type="spellEnd"/>
            <w:r w:rsidRPr="003232D1">
              <w:rPr>
                <w:rFonts w:ascii="Calibri" w:eastAsia="Times New Roman" w:hAnsi="Calibri" w:cs="Calibri"/>
                <w:color w:val="000000"/>
              </w:rPr>
              <w:t>/L)</w:t>
            </w:r>
          </w:p>
        </w:tc>
        <w:tc>
          <w:tcPr>
            <w:tcW w:w="2100" w:type="dxa"/>
            <w:tcBorders>
              <w:top w:val="nil"/>
              <w:left w:val="nil"/>
              <w:bottom w:val="single" w:sz="4" w:space="0" w:color="auto"/>
              <w:right w:val="nil"/>
            </w:tcBorders>
            <w:shd w:val="clear" w:color="auto" w:fill="auto"/>
            <w:noWrap/>
            <w:vAlign w:val="bottom"/>
            <w:hideMark/>
          </w:tcPr>
          <w:p w14:paraId="73973635"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2.32</w:t>
            </w:r>
          </w:p>
        </w:tc>
        <w:tc>
          <w:tcPr>
            <w:tcW w:w="1460" w:type="dxa"/>
            <w:tcBorders>
              <w:top w:val="nil"/>
              <w:left w:val="nil"/>
              <w:bottom w:val="single" w:sz="4" w:space="0" w:color="auto"/>
              <w:right w:val="nil"/>
            </w:tcBorders>
            <w:shd w:val="clear" w:color="auto" w:fill="auto"/>
            <w:noWrap/>
            <w:vAlign w:val="bottom"/>
            <w:hideMark/>
          </w:tcPr>
          <w:p w14:paraId="0B078738"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2.22</w:t>
            </w:r>
          </w:p>
        </w:tc>
        <w:tc>
          <w:tcPr>
            <w:tcW w:w="1320" w:type="dxa"/>
            <w:tcBorders>
              <w:top w:val="nil"/>
              <w:left w:val="nil"/>
              <w:bottom w:val="single" w:sz="4" w:space="0" w:color="auto"/>
              <w:right w:val="nil"/>
            </w:tcBorders>
            <w:shd w:val="clear" w:color="auto" w:fill="auto"/>
            <w:noWrap/>
            <w:vAlign w:val="bottom"/>
            <w:hideMark/>
          </w:tcPr>
          <w:p w14:paraId="3ADB1B7A"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2.46</w:t>
            </w:r>
          </w:p>
        </w:tc>
        <w:tc>
          <w:tcPr>
            <w:tcW w:w="740" w:type="dxa"/>
            <w:tcBorders>
              <w:top w:val="nil"/>
              <w:left w:val="nil"/>
              <w:bottom w:val="single" w:sz="4" w:space="0" w:color="auto"/>
              <w:right w:val="single" w:sz="4" w:space="0" w:color="auto"/>
            </w:tcBorders>
            <w:shd w:val="clear" w:color="auto" w:fill="auto"/>
            <w:noWrap/>
            <w:vAlign w:val="bottom"/>
            <w:hideMark/>
          </w:tcPr>
          <w:p w14:paraId="02B9F0A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8</w:t>
            </w:r>
          </w:p>
        </w:tc>
        <w:tc>
          <w:tcPr>
            <w:tcW w:w="1720" w:type="dxa"/>
            <w:tcBorders>
              <w:top w:val="nil"/>
              <w:left w:val="nil"/>
              <w:bottom w:val="single" w:sz="4" w:space="0" w:color="auto"/>
              <w:right w:val="nil"/>
            </w:tcBorders>
            <w:shd w:val="clear" w:color="auto" w:fill="auto"/>
            <w:noWrap/>
            <w:vAlign w:val="bottom"/>
            <w:hideMark/>
          </w:tcPr>
          <w:p w14:paraId="32516479"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2.32</w:t>
            </w:r>
          </w:p>
        </w:tc>
        <w:tc>
          <w:tcPr>
            <w:tcW w:w="1340" w:type="dxa"/>
            <w:tcBorders>
              <w:top w:val="nil"/>
              <w:left w:val="nil"/>
              <w:bottom w:val="single" w:sz="4" w:space="0" w:color="auto"/>
              <w:right w:val="nil"/>
            </w:tcBorders>
            <w:shd w:val="clear" w:color="auto" w:fill="auto"/>
            <w:noWrap/>
            <w:vAlign w:val="bottom"/>
            <w:hideMark/>
          </w:tcPr>
          <w:p w14:paraId="778845D4"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2.16</w:t>
            </w:r>
          </w:p>
        </w:tc>
        <w:tc>
          <w:tcPr>
            <w:tcW w:w="1300" w:type="dxa"/>
            <w:tcBorders>
              <w:top w:val="nil"/>
              <w:left w:val="nil"/>
              <w:bottom w:val="single" w:sz="4" w:space="0" w:color="auto"/>
              <w:right w:val="nil"/>
            </w:tcBorders>
            <w:shd w:val="clear" w:color="auto" w:fill="auto"/>
            <w:noWrap/>
            <w:vAlign w:val="bottom"/>
            <w:hideMark/>
          </w:tcPr>
          <w:p w14:paraId="41EBDEFC"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2.47</w:t>
            </w:r>
          </w:p>
        </w:tc>
        <w:tc>
          <w:tcPr>
            <w:tcW w:w="680" w:type="dxa"/>
            <w:tcBorders>
              <w:top w:val="nil"/>
              <w:left w:val="nil"/>
              <w:bottom w:val="single" w:sz="4" w:space="0" w:color="auto"/>
              <w:right w:val="single" w:sz="4" w:space="0" w:color="auto"/>
            </w:tcBorders>
            <w:shd w:val="clear" w:color="auto" w:fill="auto"/>
            <w:noWrap/>
            <w:vAlign w:val="bottom"/>
            <w:hideMark/>
          </w:tcPr>
          <w:p w14:paraId="10D644E3"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5</w:t>
            </w:r>
          </w:p>
        </w:tc>
        <w:tc>
          <w:tcPr>
            <w:tcW w:w="1820" w:type="dxa"/>
            <w:tcBorders>
              <w:top w:val="nil"/>
              <w:left w:val="nil"/>
              <w:bottom w:val="single" w:sz="4" w:space="0" w:color="auto"/>
              <w:right w:val="single" w:sz="4" w:space="0" w:color="auto"/>
            </w:tcBorders>
            <w:shd w:val="clear" w:color="auto" w:fill="auto"/>
            <w:noWrap/>
            <w:vAlign w:val="bottom"/>
            <w:hideMark/>
          </w:tcPr>
          <w:p w14:paraId="071D7C0E" w14:textId="77777777" w:rsidR="007070B4" w:rsidRPr="003232D1" w:rsidRDefault="007070B4" w:rsidP="00232647">
            <w:pPr>
              <w:spacing w:after="0" w:line="240" w:lineRule="auto"/>
              <w:jc w:val="center"/>
              <w:rPr>
                <w:rFonts w:ascii="Calibri" w:eastAsia="Times New Roman" w:hAnsi="Calibri" w:cs="Calibri"/>
                <w:color w:val="000000"/>
              </w:rPr>
            </w:pPr>
            <w:r w:rsidRPr="003232D1">
              <w:rPr>
                <w:rFonts w:ascii="Calibri" w:eastAsia="Times New Roman" w:hAnsi="Calibri" w:cs="Calibri"/>
                <w:color w:val="000000"/>
              </w:rPr>
              <w:t>ns</w:t>
            </w:r>
          </w:p>
        </w:tc>
      </w:tr>
    </w:tbl>
    <w:p w14:paraId="5F45685C" w14:textId="2C5F33C7" w:rsidR="00080338" w:rsidRDefault="00080338" w:rsidP="00CA2EEF">
      <w:pPr>
        <w:rPr>
          <w:rFonts w:cstheme="minorHAnsi"/>
        </w:rPr>
      </w:pPr>
    </w:p>
    <w:p w14:paraId="5B522CC3" w14:textId="77777777" w:rsidR="00080338" w:rsidRDefault="00080338">
      <w:pPr>
        <w:spacing w:line="259" w:lineRule="auto"/>
        <w:rPr>
          <w:rFonts w:cstheme="minorHAnsi"/>
        </w:rPr>
      </w:pPr>
      <w:r>
        <w:rPr>
          <w:rFonts w:cstheme="minorHAnsi"/>
        </w:rPr>
        <w:br w:type="page"/>
      </w:r>
    </w:p>
    <w:p w14:paraId="6C1BA3DC" w14:textId="39559FA4" w:rsidR="00080338" w:rsidRDefault="00080338" w:rsidP="00080338">
      <w:pPr>
        <w:rPr>
          <w:rFonts w:cstheme="minorHAnsi"/>
        </w:rPr>
      </w:pPr>
      <w:r>
        <w:rPr>
          <w:rFonts w:cstheme="minorHAnsi"/>
        </w:rPr>
        <w:lastRenderedPageBreak/>
        <w:t xml:space="preserve">Table S2. </w:t>
      </w:r>
      <w:proofErr w:type="gramStart"/>
      <w:r>
        <w:rPr>
          <w:rFonts w:cstheme="minorHAnsi"/>
        </w:rPr>
        <w:t>Genetic analysis of HHT samples.</w:t>
      </w:r>
      <w:proofErr w:type="gramEnd"/>
    </w:p>
    <w:tbl>
      <w:tblPr>
        <w:tblW w:w="15398" w:type="dxa"/>
        <w:tblLook w:val="04A0" w:firstRow="1" w:lastRow="0" w:firstColumn="1" w:lastColumn="0" w:noHBand="0" w:noVBand="1"/>
      </w:tblPr>
      <w:tblGrid>
        <w:gridCol w:w="1343"/>
        <w:gridCol w:w="1009"/>
        <w:gridCol w:w="1303"/>
        <w:gridCol w:w="3101"/>
        <w:gridCol w:w="1689"/>
        <w:gridCol w:w="2901"/>
        <w:gridCol w:w="1247"/>
        <w:gridCol w:w="2805"/>
      </w:tblGrid>
      <w:tr w:rsidR="00080338" w:rsidRPr="007A7FC6" w14:paraId="72BA4737" w14:textId="77777777" w:rsidTr="00232647">
        <w:trPr>
          <w:trHeight w:val="300"/>
        </w:trPr>
        <w:tc>
          <w:tcPr>
            <w:tcW w:w="1343" w:type="dxa"/>
            <w:tcBorders>
              <w:top w:val="single" w:sz="4" w:space="0" w:color="000000"/>
              <w:left w:val="nil"/>
              <w:bottom w:val="single" w:sz="4" w:space="0" w:color="000000"/>
              <w:right w:val="nil"/>
            </w:tcBorders>
            <w:shd w:val="clear" w:color="auto" w:fill="auto"/>
            <w:noWrap/>
            <w:vAlign w:val="bottom"/>
            <w:hideMark/>
          </w:tcPr>
          <w:p w14:paraId="4953D34B" w14:textId="77777777" w:rsidR="00080338" w:rsidRPr="007A7FC6" w:rsidRDefault="00080338" w:rsidP="00232647">
            <w:pPr>
              <w:spacing w:after="0" w:line="240" w:lineRule="auto"/>
              <w:jc w:val="center"/>
              <w:rPr>
                <w:rFonts w:ascii="Calibri" w:eastAsia="Times New Roman" w:hAnsi="Calibri" w:cs="Calibri"/>
                <w:b/>
                <w:bCs/>
                <w:color w:val="000000"/>
                <w:sz w:val="18"/>
              </w:rPr>
            </w:pPr>
            <w:r w:rsidRPr="007A7FC6">
              <w:rPr>
                <w:rFonts w:ascii="Calibri" w:eastAsia="Times New Roman" w:hAnsi="Calibri" w:cs="Calibri"/>
                <w:b/>
                <w:bCs/>
                <w:color w:val="000000"/>
                <w:sz w:val="18"/>
              </w:rPr>
              <w:t>Patient #</w:t>
            </w:r>
          </w:p>
        </w:tc>
        <w:tc>
          <w:tcPr>
            <w:tcW w:w="1009" w:type="dxa"/>
            <w:tcBorders>
              <w:top w:val="single" w:sz="4" w:space="0" w:color="000000"/>
              <w:left w:val="nil"/>
              <w:bottom w:val="single" w:sz="4" w:space="0" w:color="000000"/>
              <w:right w:val="nil"/>
            </w:tcBorders>
            <w:shd w:val="clear" w:color="auto" w:fill="auto"/>
            <w:noWrap/>
            <w:vAlign w:val="bottom"/>
            <w:hideMark/>
          </w:tcPr>
          <w:p w14:paraId="2FDDCCB3" w14:textId="77777777" w:rsidR="00080338" w:rsidRPr="007A7FC6" w:rsidRDefault="00080338" w:rsidP="00232647">
            <w:pPr>
              <w:spacing w:after="0" w:line="240" w:lineRule="auto"/>
              <w:jc w:val="center"/>
              <w:rPr>
                <w:rFonts w:ascii="Calibri" w:eastAsia="Times New Roman" w:hAnsi="Calibri" w:cs="Calibri"/>
                <w:b/>
                <w:bCs/>
                <w:color w:val="000000"/>
                <w:sz w:val="18"/>
              </w:rPr>
            </w:pPr>
            <w:r w:rsidRPr="007A7FC6">
              <w:rPr>
                <w:rFonts w:ascii="Calibri" w:eastAsia="Times New Roman" w:hAnsi="Calibri" w:cs="Calibri"/>
                <w:b/>
                <w:bCs/>
                <w:color w:val="000000"/>
                <w:sz w:val="18"/>
              </w:rPr>
              <w:t>Sample #</w:t>
            </w:r>
          </w:p>
        </w:tc>
        <w:tc>
          <w:tcPr>
            <w:tcW w:w="1303" w:type="dxa"/>
            <w:tcBorders>
              <w:top w:val="single" w:sz="4" w:space="0" w:color="000000"/>
              <w:left w:val="nil"/>
              <w:bottom w:val="single" w:sz="4" w:space="0" w:color="000000"/>
              <w:right w:val="nil"/>
            </w:tcBorders>
            <w:shd w:val="clear" w:color="auto" w:fill="auto"/>
            <w:noWrap/>
            <w:vAlign w:val="bottom"/>
            <w:hideMark/>
          </w:tcPr>
          <w:p w14:paraId="6B02AA71" w14:textId="77777777" w:rsidR="00080338" w:rsidRPr="007A7FC6" w:rsidRDefault="00080338" w:rsidP="00232647">
            <w:pPr>
              <w:spacing w:after="0" w:line="240" w:lineRule="auto"/>
              <w:jc w:val="center"/>
              <w:rPr>
                <w:rFonts w:ascii="Calibri" w:eastAsia="Times New Roman" w:hAnsi="Calibri" w:cs="Calibri"/>
                <w:b/>
                <w:bCs/>
                <w:color w:val="000000"/>
                <w:sz w:val="18"/>
              </w:rPr>
            </w:pPr>
            <w:r w:rsidRPr="007A7FC6">
              <w:rPr>
                <w:rFonts w:ascii="Calibri" w:eastAsia="Times New Roman" w:hAnsi="Calibri" w:cs="Calibri"/>
                <w:b/>
                <w:bCs/>
                <w:color w:val="000000"/>
                <w:sz w:val="18"/>
              </w:rPr>
              <w:t>Gene</w:t>
            </w:r>
          </w:p>
        </w:tc>
        <w:tc>
          <w:tcPr>
            <w:tcW w:w="3101" w:type="dxa"/>
            <w:tcBorders>
              <w:top w:val="single" w:sz="4" w:space="0" w:color="000000"/>
              <w:left w:val="nil"/>
              <w:bottom w:val="single" w:sz="4" w:space="0" w:color="000000"/>
              <w:right w:val="nil"/>
            </w:tcBorders>
            <w:shd w:val="clear" w:color="auto" w:fill="auto"/>
            <w:noWrap/>
            <w:vAlign w:val="bottom"/>
            <w:hideMark/>
          </w:tcPr>
          <w:p w14:paraId="6051B2D3" w14:textId="77777777" w:rsidR="00080338" w:rsidRPr="007A7FC6" w:rsidRDefault="00080338" w:rsidP="00232647">
            <w:pPr>
              <w:spacing w:after="0" w:line="240" w:lineRule="auto"/>
              <w:rPr>
                <w:rFonts w:ascii="Calibri" w:eastAsia="Times New Roman" w:hAnsi="Calibri" w:cs="Calibri"/>
                <w:b/>
                <w:bCs/>
                <w:color w:val="000000"/>
                <w:sz w:val="18"/>
              </w:rPr>
            </w:pPr>
            <w:r w:rsidRPr="007A7FC6">
              <w:rPr>
                <w:rFonts w:ascii="Calibri" w:eastAsia="Times New Roman" w:hAnsi="Calibri" w:cs="Calibri"/>
                <w:b/>
                <w:bCs/>
                <w:color w:val="000000"/>
                <w:sz w:val="18"/>
              </w:rPr>
              <w:t>Variant</w:t>
            </w:r>
          </w:p>
        </w:tc>
        <w:tc>
          <w:tcPr>
            <w:tcW w:w="1689" w:type="dxa"/>
            <w:tcBorders>
              <w:top w:val="single" w:sz="4" w:space="0" w:color="000000"/>
              <w:left w:val="nil"/>
              <w:bottom w:val="single" w:sz="4" w:space="0" w:color="000000"/>
              <w:right w:val="nil"/>
            </w:tcBorders>
            <w:shd w:val="clear" w:color="auto" w:fill="auto"/>
            <w:noWrap/>
            <w:vAlign w:val="bottom"/>
            <w:hideMark/>
          </w:tcPr>
          <w:p w14:paraId="39463992" w14:textId="77777777" w:rsidR="00080338" w:rsidRPr="007A7FC6" w:rsidRDefault="00080338" w:rsidP="00232647">
            <w:pPr>
              <w:spacing w:after="0" w:line="240" w:lineRule="auto"/>
              <w:jc w:val="center"/>
              <w:rPr>
                <w:rFonts w:ascii="Calibri" w:eastAsia="Times New Roman" w:hAnsi="Calibri" w:cs="Calibri"/>
                <w:b/>
                <w:bCs/>
                <w:color w:val="000000"/>
                <w:sz w:val="18"/>
              </w:rPr>
            </w:pPr>
            <w:r w:rsidRPr="007A7FC6">
              <w:rPr>
                <w:rFonts w:ascii="Calibri" w:eastAsia="Times New Roman" w:hAnsi="Calibri" w:cs="Calibri"/>
                <w:b/>
                <w:bCs/>
                <w:color w:val="000000"/>
                <w:sz w:val="18"/>
              </w:rPr>
              <w:t>Allele frequency</w:t>
            </w:r>
          </w:p>
        </w:tc>
        <w:tc>
          <w:tcPr>
            <w:tcW w:w="2901" w:type="dxa"/>
            <w:tcBorders>
              <w:top w:val="single" w:sz="4" w:space="0" w:color="000000"/>
              <w:left w:val="nil"/>
              <w:bottom w:val="single" w:sz="4" w:space="0" w:color="000000"/>
              <w:right w:val="nil"/>
            </w:tcBorders>
            <w:shd w:val="clear" w:color="auto" w:fill="auto"/>
            <w:noWrap/>
            <w:vAlign w:val="bottom"/>
            <w:hideMark/>
          </w:tcPr>
          <w:p w14:paraId="561B659D" w14:textId="77777777" w:rsidR="00080338" w:rsidRPr="007A7FC6" w:rsidRDefault="00080338" w:rsidP="00232647">
            <w:pPr>
              <w:spacing w:after="0" w:line="240" w:lineRule="auto"/>
              <w:rPr>
                <w:rFonts w:ascii="Calibri" w:eastAsia="Times New Roman" w:hAnsi="Calibri" w:cs="Calibri"/>
                <w:b/>
                <w:bCs/>
                <w:color w:val="000000"/>
                <w:sz w:val="18"/>
              </w:rPr>
            </w:pPr>
            <w:r w:rsidRPr="007A7FC6">
              <w:rPr>
                <w:rFonts w:ascii="Calibri" w:eastAsia="Times New Roman" w:hAnsi="Calibri" w:cs="Calibri"/>
                <w:b/>
                <w:bCs/>
                <w:color w:val="000000"/>
                <w:sz w:val="18"/>
              </w:rPr>
              <w:t>Function</w:t>
            </w:r>
          </w:p>
        </w:tc>
        <w:tc>
          <w:tcPr>
            <w:tcW w:w="1247" w:type="dxa"/>
            <w:tcBorders>
              <w:top w:val="single" w:sz="4" w:space="0" w:color="000000"/>
              <w:left w:val="nil"/>
              <w:bottom w:val="single" w:sz="4" w:space="0" w:color="000000"/>
              <w:right w:val="nil"/>
            </w:tcBorders>
            <w:shd w:val="clear" w:color="auto" w:fill="auto"/>
            <w:noWrap/>
            <w:vAlign w:val="bottom"/>
            <w:hideMark/>
          </w:tcPr>
          <w:p w14:paraId="74160E20" w14:textId="77777777" w:rsidR="00080338" w:rsidRPr="007A7FC6" w:rsidRDefault="00080338" w:rsidP="00232647">
            <w:pPr>
              <w:spacing w:after="0" w:line="240" w:lineRule="auto"/>
              <w:rPr>
                <w:rFonts w:ascii="Calibri" w:eastAsia="Times New Roman" w:hAnsi="Calibri" w:cs="Calibri"/>
                <w:b/>
                <w:bCs/>
                <w:color w:val="000000"/>
                <w:sz w:val="18"/>
              </w:rPr>
            </w:pPr>
            <w:r w:rsidRPr="007A7FC6">
              <w:rPr>
                <w:rFonts w:ascii="Calibri" w:eastAsia="Times New Roman" w:hAnsi="Calibri" w:cs="Calibri"/>
                <w:b/>
                <w:bCs/>
                <w:color w:val="000000"/>
                <w:sz w:val="18"/>
              </w:rPr>
              <w:t>Impact</w:t>
            </w:r>
          </w:p>
        </w:tc>
        <w:tc>
          <w:tcPr>
            <w:tcW w:w="2805" w:type="dxa"/>
            <w:tcBorders>
              <w:top w:val="single" w:sz="4" w:space="0" w:color="000000"/>
              <w:left w:val="nil"/>
              <w:bottom w:val="single" w:sz="4" w:space="0" w:color="000000"/>
              <w:right w:val="nil"/>
            </w:tcBorders>
            <w:shd w:val="clear" w:color="auto" w:fill="auto"/>
            <w:noWrap/>
            <w:vAlign w:val="bottom"/>
            <w:hideMark/>
          </w:tcPr>
          <w:p w14:paraId="0D28D684" w14:textId="77777777" w:rsidR="00080338" w:rsidRPr="007A7FC6" w:rsidRDefault="00080338" w:rsidP="00232647">
            <w:pPr>
              <w:spacing w:after="0" w:line="240" w:lineRule="auto"/>
              <w:rPr>
                <w:rFonts w:ascii="Calibri" w:eastAsia="Times New Roman" w:hAnsi="Calibri" w:cs="Calibri"/>
                <w:b/>
                <w:bCs/>
                <w:color w:val="000000"/>
                <w:sz w:val="18"/>
              </w:rPr>
            </w:pPr>
            <w:r w:rsidRPr="007A7FC6">
              <w:rPr>
                <w:rFonts w:ascii="Calibri" w:eastAsia="Times New Roman" w:hAnsi="Calibri" w:cs="Calibri"/>
                <w:b/>
                <w:bCs/>
                <w:color w:val="000000"/>
                <w:sz w:val="18"/>
              </w:rPr>
              <w:t>Clinical significance</w:t>
            </w:r>
          </w:p>
        </w:tc>
      </w:tr>
      <w:tr w:rsidR="00080338" w:rsidRPr="007A7FC6" w14:paraId="31D06F9A" w14:textId="77777777" w:rsidTr="00232647">
        <w:trPr>
          <w:trHeight w:val="737"/>
        </w:trPr>
        <w:tc>
          <w:tcPr>
            <w:tcW w:w="1343" w:type="dxa"/>
            <w:tcBorders>
              <w:top w:val="nil"/>
              <w:left w:val="nil"/>
              <w:bottom w:val="nil"/>
              <w:right w:val="nil"/>
            </w:tcBorders>
            <w:shd w:val="clear" w:color="D9D9D9" w:fill="D9D9D9"/>
            <w:vAlign w:val="center"/>
            <w:hideMark/>
          </w:tcPr>
          <w:p w14:paraId="6F4AEAD6"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1</w:t>
            </w:r>
          </w:p>
        </w:tc>
        <w:tc>
          <w:tcPr>
            <w:tcW w:w="1009" w:type="dxa"/>
            <w:tcBorders>
              <w:top w:val="nil"/>
              <w:left w:val="nil"/>
              <w:bottom w:val="nil"/>
              <w:right w:val="nil"/>
            </w:tcBorders>
            <w:shd w:val="clear" w:color="D9D9D9" w:fill="D9D9D9"/>
            <w:vAlign w:val="center"/>
            <w:hideMark/>
          </w:tcPr>
          <w:p w14:paraId="281FF646"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w:t>
            </w:r>
          </w:p>
        </w:tc>
        <w:tc>
          <w:tcPr>
            <w:tcW w:w="1303" w:type="dxa"/>
            <w:tcBorders>
              <w:top w:val="nil"/>
              <w:left w:val="nil"/>
              <w:bottom w:val="nil"/>
              <w:right w:val="nil"/>
            </w:tcBorders>
            <w:shd w:val="clear" w:color="D9D9D9" w:fill="D9D9D9"/>
            <w:vAlign w:val="center"/>
            <w:hideMark/>
          </w:tcPr>
          <w:p w14:paraId="6D37AFDF"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EPHB4</w:t>
            </w:r>
          </w:p>
        </w:tc>
        <w:tc>
          <w:tcPr>
            <w:tcW w:w="3101" w:type="dxa"/>
            <w:tcBorders>
              <w:top w:val="nil"/>
              <w:left w:val="nil"/>
              <w:bottom w:val="nil"/>
              <w:right w:val="nil"/>
            </w:tcBorders>
            <w:shd w:val="clear" w:color="D9D9D9" w:fill="D9D9D9"/>
            <w:vAlign w:val="center"/>
            <w:hideMark/>
          </w:tcPr>
          <w:p w14:paraId="0C62F30E" w14:textId="77777777" w:rsidR="00080338" w:rsidRPr="00D108CE" w:rsidRDefault="00080338" w:rsidP="00232647">
            <w:pPr>
              <w:spacing w:after="0" w:line="240" w:lineRule="auto"/>
              <w:rPr>
                <w:rFonts w:ascii="Calibri" w:eastAsia="Times New Roman" w:hAnsi="Calibri" w:cs="Calibri"/>
                <w:color w:val="000000"/>
                <w:sz w:val="18"/>
                <w:lang w:val="fr-FR"/>
              </w:rPr>
            </w:pPr>
            <w:r w:rsidRPr="00D108CE">
              <w:rPr>
                <w:rFonts w:ascii="Calibri" w:eastAsia="Times New Roman" w:hAnsi="Calibri" w:cs="Calibri"/>
                <w:color w:val="000000"/>
                <w:sz w:val="18"/>
                <w:lang w:val="fr-FR"/>
              </w:rPr>
              <w:t>NC_000007.13:g.100424588C&gt;T</w:t>
            </w:r>
            <w:r w:rsidRPr="00D108CE">
              <w:rPr>
                <w:rFonts w:ascii="Calibri" w:eastAsia="Times New Roman" w:hAnsi="Calibri" w:cs="Calibri"/>
                <w:color w:val="000000"/>
                <w:sz w:val="18"/>
                <w:lang w:val="fr-FR"/>
              </w:rPr>
              <w:br/>
              <w:t>NM_004444.5:c.52+13G&gt;A</w:t>
            </w:r>
            <w:r w:rsidRPr="00D108CE">
              <w:rPr>
                <w:rFonts w:ascii="Calibri" w:eastAsia="Times New Roman" w:hAnsi="Calibri" w:cs="Calibri"/>
                <w:color w:val="000000"/>
                <w:sz w:val="18"/>
                <w:lang w:val="fr-FR"/>
              </w:rPr>
              <w:br/>
              <w:t>p</w:t>
            </w:r>
            <w:proofErr w:type="gramStart"/>
            <w:r w:rsidRPr="00D108CE">
              <w:rPr>
                <w:rFonts w:ascii="Calibri" w:eastAsia="Times New Roman" w:hAnsi="Calibri" w:cs="Calibri"/>
                <w:color w:val="000000"/>
                <w:sz w:val="18"/>
                <w:lang w:val="fr-FR"/>
              </w:rPr>
              <w:t>.(</w:t>
            </w:r>
            <w:proofErr w:type="gramEnd"/>
            <w:r w:rsidRPr="00D108CE">
              <w:rPr>
                <w:rFonts w:ascii="Calibri" w:eastAsia="Times New Roman" w:hAnsi="Calibri" w:cs="Calibri"/>
                <w:color w:val="000000"/>
                <w:sz w:val="18"/>
                <w:lang w:val="fr-FR"/>
              </w:rPr>
              <w:t>=)</w:t>
            </w:r>
          </w:p>
        </w:tc>
        <w:tc>
          <w:tcPr>
            <w:tcW w:w="1689" w:type="dxa"/>
            <w:tcBorders>
              <w:top w:val="nil"/>
              <w:left w:val="nil"/>
              <w:bottom w:val="nil"/>
              <w:right w:val="nil"/>
            </w:tcBorders>
            <w:shd w:val="clear" w:color="D9D9D9" w:fill="D9D9D9"/>
            <w:vAlign w:val="center"/>
            <w:hideMark/>
          </w:tcPr>
          <w:p w14:paraId="4B130912"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0.17</w:t>
            </w:r>
          </w:p>
        </w:tc>
        <w:tc>
          <w:tcPr>
            <w:tcW w:w="2901" w:type="dxa"/>
            <w:tcBorders>
              <w:top w:val="nil"/>
              <w:left w:val="nil"/>
              <w:bottom w:val="nil"/>
              <w:right w:val="nil"/>
            </w:tcBorders>
            <w:shd w:val="clear" w:color="D9D9D9" w:fill="D9D9D9"/>
            <w:vAlign w:val="center"/>
            <w:hideMark/>
          </w:tcPr>
          <w:p w14:paraId="344FDF17"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nil"/>
              <w:right w:val="nil"/>
            </w:tcBorders>
            <w:shd w:val="clear" w:color="D9D9D9" w:fill="D9D9D9"/>
            <w:vAlign w:val="center"/>
            <w:hideMark/>
          </w:tcPr>
          <w:p w14:paraId="772E503E"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LOW</w:t>
            </w:r>
          </w:p>
        </w:tc>
        <w:tc>
          <w:tcPr>
            <w:tcW w:w="2805" w:type="dxa"/>
            <w:tcBorders>
              <w:top w:val="nil"/>
              <w:left w:val="nil"/>
              <w:bottom w:val="nil"/>
              <w:right w:val="nil"/>
            </w:tcBorders>
            <w:shd w:val="clear" w:color="D9D9D9" w:fill="D9D9D9"/>
            <w:vAlign w:val="center"/>
            <w:hideMark/>
          </w:tcPr>
          <w:p w14:paraId="46C94106"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Likely benign</w:t>
            </w:r>
          </w:p>
        </w:tc>
      </w:tr>
      <w:tr w:rsidR="00080338" w:rsidRPr="007A7FC6" w14:paraId="54FBCE05" w14:textId="77777777" w:rsidTr="00232647">
        <w:trPr>
          <w:trHeight w:val="737"/>
        </w:trPr>
        <w:tc>
          <w:tcPr>
            <w:tcW w:w="1343" w:type="dxa"/>
            <w:tcBorders>
              <w:top w:val="nil"/>
              <w:left w:val="nil"/>
              <w:bottom w:val="nil"/>
              <w:right w:val="nil"/>
            </w:tcBorders>
            <w:shd w:val="clear" w:color="auto" w:fill="auto"/>
            <w:vAlign w:val="center"/>
            <w:hideMark/>
          </w:tcPr>
          <w:p w14:paraId="24563A6B"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1</w:t>
            </w:r>
          </w:p>
        </w:tc>
        <w:tc>
          <w:tcPr>
            <w:tcW w:w="1009" w:type="dxa"/>
            <w:tcBorders>
              <w:top w:val="nil"/>
              <w:left w:val="nil"/>
              <w:bottom w:val="nil"/>
              <w:right w:val="nil"/>
            </w:tcBorders>
            <w:shd w:val="clear" w:color="auto" w:fill="auto"/>
            <w:vAlign w:val="center"/>
            <w:hideMark/>
          </w:tcPr>
          <w:p w14:paraId="1B0BDBB0"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w:t>
            </w:r>
          </w:p>
        </w:tc>
        <w:tc>
          <w:tcPr>
            <w:tcW w:w="1303" w:type="dxa"/>
            <w:tcBorders>
              <w:top w:val="nil"/>
              <w:left w:val="nil"/>
              <w:bottom w:val="nil"/>
              <w:right w:val="nil"/>
            </w:tcBorders>
            <w:shd w:val="clear" w:color="auto" w:fill="auto"/>
            <w:vAlign w:val="center"/>
            <w:hideMark/>
          </w:tcPr>
          <w:p w14:paraId="30F7A6FC"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ENG</w:t>
            </w:r>
          </w:p>
        </w:tc>
        <w:tc>
          <w:tcPr>
            <w:tcW w:w="3101" w:type="dxa"/>
            <w:tcBorders>
              <w:top w:val="nil"/>
              <w:left w:val="nil"/>
              <w:bottom w:val="nil"/>
              <w:right w:val="nil"/>
            </w:tcBorders>
            <w:shd w:val="clear" w:color="auto" w:fill="auto"/>
            <w:vAlign w:val="center"/>
            <w:hideMark/>
          </w:tcPr>
          <w:p w14:paraId="27CDE64B" w14:textId="77777777" w:rsidR="00080338" w:rsidRPr="00D108CE" w:rsidRDefault="00080338" w:rsidP="00232647">
            <w:pPr>
              <w:spacing w:after="0" w:line="240" w:lineRule="auto"/>
              <w:rPr>
                <w:rFonts w:ascii="Calibri" w:eastAsia="Times New Roman" w:hAnsi="Calibri" w:cs="Calibri"/>
                <w:color w:val="000000"/>
                <w:sz w:val="18"/>
                <w:lang w:val="fr-FR"/>
              </w:rPr>
            </w:pPr>
            <w:r w:rsidRPr="00D108CE">
              <w:rPr>
                <w:rFonts w:ascii="Calibri" w:eastAsia="Times New Roman" w:hAnsi="Calibri" w:cs="Calibri"/>
                <w:color w:val="000000"/>
                <w:sz w:val="18"/>
                <w:lang w:val="fr-FR"/>
              </w:rPr>
              <w:t>NC_000009.11:g.130605542G&gt;A</w:t>
            </w:r>
            <w:r w:rsidRPr="00D108CE">
              <w:rPr>
                <w:rFonts w:ascii="Calibri" w:eastAsia="Times New Roman" w:hAnsi="Calibri" w:cs="Calibri"/>
                <w:color w:val="000000"/>
                <w:sz w:val="18"/>
                <w:lang w:val="fr-FR"/>
              </w:rPr>
              <w:br/>
              <w:t>NM_000118.3:c.68-18C&gt;T</w:t>
            </w:r>
            <w:r w:rsidRPr="00D108CE">
              <w:rPr>
                <w:rFonts w:ascii="Calibri" w:eastAsia="Times New Roman" w:hAnsi="Calibri" w:cs="Calibri"/>
                <w:color w:val="000000"/>
                <w:sz w:val="18"/>
                <w:lang w:val="fr-FR"/>
              </w:rPr>
              <w:br/>
              <w:t>p</w:t>
            </w:r>
            <w:proofErr w:type="gramStart"/>
            <w:r w:rsidRPr="00D108CE">
              <w:rPr>
                <w:rFonts w:ascii="Calibri" w:eastAsia="Times New Roman" w:hAnsi="Calibri" w:cs="Calibri"/>
                <w:color w:val="000000"/>
                <w:sz w:val="18"/>
                <w:lang w:val="fr-FR"/>
              </w:rPr>
              <w:t>.(</w:t>
            </w:r>
            <w:proofErr w:type="gramEnd"/>
            <w:r w:rsidRPr="00D108CE">
              <w:rPr>
                <w:rFonts w:ascii="Calibri" w:eastAsia="Times New Roman" w:hAnsi="Calibri" w:cs="Calibri"/>
                <w:color w:val="000000"/>
                <w:sz w:val="18"/>
                <w:lang w:val="fr-FR"/>
              </w:rPr>
              <w:t>=)</w:t>
            </w:r>
          </w:p>
        </w:tc>
        <w:tc>
          <w:tcPr>
            <w:tcW w:w="1689" w:type="dxa"/>
            <w:tcBorders>
              <w:top w:val="nil"/>
              <w:left w:val="nil"/>
              <w:bottom w:val="nil"/>
              <w:right w:val="nil"/>
            </w:tcBorders>
            <w:shd w:val="clear" w:color="auto" w:fill="auto"/>
            <w:vAlign w:val="center"/>
            <w:hideMark/>
          </w:tcPr>
          <w:p w14:paraId="21088F6F"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0.25</w:t>
            </w:r>
          </w:p>
        </w:tc>
        <w:tc>
          <w:tcPr>
            <w:tcW w:w="2901" w:type="dxa"/>
            <w:tcBorders>
              <w:top w:val="nil"/>
              <w:left w:val="nil"/>
              <w:bottom w:val="nil"/>
              <w:right w:val="nil"/>
            </w:tcBorders>
            <w:shd w:val="clear" w:color="auto" w:fill="auto"/>
            <w:vAlign w:val="center"/>
            <w:hideMark/>
          </w:tcPr>
          <w:p w14:paraId="6073540A"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nil"/>
              <w:right w:val="nil"/>
            </w:tcBorders>
            <w:shd w:val="clear" w:color="auto" w:fill="auto"/>
            <w:vAlign w:val="center"/>
            <w:hideMark/>
          </w:tcPr>
          <w:p w14:paraId="436BDEBF"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LOW</w:t>
            </w:r>
          </w:p>
        </w:tc>
        <w:tc>
          <w:tcPr>
            <w:tcW w:w="2805" w:type="dxa"/>
            <w:tcBorders>
              <w:top w:val="nil"/>
              <w:left w:val="nil"/>
              <w:bottom w:val="nil"/>
              <w:right w:val="nil"/>
            </w:tcBorders>
            <w:shd w:val="clear" w:color="auto" w:fill="auto"/>
            <w:vAlign w:val="center"/>
            <w:hideMark/>
          </w:tcPr>
          <w:p w14:paraId="1C4D1A6F"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Likely benign</w:t>
            </w:r>
          </w:p>
        </w:tc>
      </w:tr>
      <w:tr w:rsidR="00080338" w:rsidRPr="007A7FC6" w14:paraId="6082E73B" w14:textId="77777777" w:rsidTr="00232647">
        <w:trPr>
          <w:trHeight w:val="737"/>
        </w:trPr>
        <w:tc>
          <w:tcPr>
            <w:tcW w:w="1343" w:type="dxa"/>
            <w:tcBorders>
              <w:top w:val="nil"/>
              <w:left w:val="nil"/>
              <w:bottom w:val="nil"/>
              <w:right w:val="nil"/>
            </w:tcBorders>
            <w:shd w:val="clear" w:color="D9D9D9" w:fill="D9D9D9"/>
            <w:vAlign w:val="center"/>
            <w:hideMark/>
          </w:tcPr>
          <w:p w14:paraId="5B1B6A69"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1</w:t>
            </w:r>
          </w:p>
        </w:tc>
        <w:tc>
          <w:tcPr>
            <w:tcW w:w="1009" w:type="dxa"/>
            <w:tcBorders>
              <w:top w:val="nil"/>
              <w:left w:val="nil"/>
              <w:bottom w:val="nil"/>
              <w:right w:val="nil"/>
            </w:tcBorders>
            <w:shd w:val="clear" w:color="D9D9D9" w:fill="D9D9D9"/>
            <w:vAlign w:val="center"/>
            <w:hideMark/>
          </w:tcPr>
          <w:p w14:paraId="45CE1AC2"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B</w:t>
            </w:r>
          </w:p>
        </w:tc>
        <w:tc>
          <w:tcPr>
            <w:tcW w:w="1303" w:type="dxa"/>
            <w:tcBorders>
              <w:top w:val="nil"/>
              <w:left w:val="nil"/>
              <w:bottom w:val="nil"/>
              <w:right w:val="nil"/>
            </w:tcBorders>
            <w:shd w:val="clear" w:color="D9D9D9" w:fill="D9D9D9"/>
            <w:vAlign w:val="center"/>
            <w:hideMark/>
          </w:tcPr>
          <w:p w14:paraId="0EE54B70"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ACVRL1</w:t>
            </w:r>
          </w:p>
        </w:tc>
        <w:tc>
          <w:tcPr>
            <w:tcW w:w="3101" w:type="dxa"/>
            <w:tcBorders>
              <w:top w:val="nil"/>
              <w:left w:val="nil"/>
              <w:bottom w:val="nil"/>
              <w:right w:val="nil"/>
            </w:tcBorders>
            <w:shd w:val="clear" w:color="D9D9D9" w:fill="D9D9D9"/>
            <w:vAlign w:val="center"/>
            <w:hideMark/>
          </w:tcPr>
          <w:p w14:paraId="0D8BBBB1" w14:textId="77777777" w:rsidR="00080338" w:rsidRPr="00080338" w:rsidRDefault="00080338" w:rsidP="00232647">
            <w:pPr>
              <w:spacing w:after="0" w:line="240" w:lineRule="auto"/>
              <w:rPr>
                <w:rFonts w:ascii="Calibri" w:eastAsia="Times New Roman" w:hAnsi="Calibri" w:cs="Calibri"/>
                <w:color w:val="000000"/>
                <w:sz w:val="18"/>
                <w:lang w:val="de-DE"/>
              </w:rPr>
            </w:pPr>
            <w:r w:rsidRPr="00C5745A">
              <w:rPr>
                <w:rFonts w:ascii="Calibri" w:eastAsia="Times New Roman" w:hAnsi="Calibri" w:cs="Calibri"/>
                <w:color w:val="000000"/>
                <w:sz w:val="18"/>
                <w:lang w:val="de-DE"/>
              </w:rPr>
              <w:t>NC_000012.11:g.52310034C&gt;T</w:t>
            </w:r>
            <w:r w:rsidRPr="00C5745A">
              <w:rPr>
                <w:rFonts w:ascii="Calibri" w:eastAsia="Times New Roman" w:hAnsi="Calibri" w:cs="Calibri"/>
                <w:color w:val="000000"/>
                <w:sz w:val="18"/>
                <w:lang w:val="de-DE"/>
              </w:rPr>
              <w:br/>
              <w:t>NM_000020.3:c.1246+17C&gt;T</w:t>
            </w:r>
            <w:r w:rsidRPr="00C5745A">
              <w:rPr>
                <w:rFonts w:ascii="Calibri" w:eastAsia="Times New Roman" w:hAnsi="Calibri" w:cs="Calibri"/>
                <w:color w:val="000000"/>
                <w:sz w:val="18"/>
                <w:lang w:val="de-DE"/>
              </w:rPr>
              <w:br/>
              <w:t>p.(=)</w:t>
            </w:r>
          </w:p>
        </w:tc>
        <w:tc>
          <w:tcPr>
            <w:tcW w:w="1689" w:type="dxa"/>
            <w:tcBorders>
              <w:top w:val="nil"/>
              <w:left w:val="nil"/>
              <w:bottom w:val="nil"/>
              <w:right w:val="nil"/>
            </w:tcBorders>
            <w:shd w:val="clear" w:color="D9D9D9" w:fill="D9D9D9"/>
            <w:vAlign w:val="center"/>
            <w:hideMark/>
          </w:tcPr>
          <w:p w14:paraId="44AC2B06"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0.33</w:t>
            </w:r>
          </w:p>
        </w:tc>
        <w:tc>
          <w:tcPr>
            <w:tcW w:w="2901" w:type="dxa"/>
            <w:tcBorders>
              <w:top w:val="nil"/>
              <w:left w:val="nil"/>
              <w:bottom w:val="nil"/>
              <w:right w:val="nil"/>
            </w:tcBorders>
            <w:shd w:val="clear" w:color="D9D9D9" w:fill="D9D9D9"/>
            <w:vAlign w:val="center"/>
            <w:hideMark/>
          </w:tcPr>
          <w:p w14:paraId="1BFB6816"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nil"/>
              <w:right w:val="nil"/>
            </w:tcBorders>
            <w:shd w:val="clear" w:color="D9D9D9" w:fill="D9D9D9"/>
            <w:vAlign w:val="center"/>
            <w:hideMark/>
          </w:tcPr>
          <w:p w14:paraId="16D4E4D8"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LOW</w:t>
            </w:r>
          </w:p>
        </w:tc>
        <w:tc>
          <w:tcPr>
            <w:tcW w:w="2805" w:type="dxa"/>
            <w:tcBorders>
              <w:top w:val="nil"/>
              <w:left w:val="nil"/>
              <w:bottom w:val="nil"/>
              <w:right w:val="nil"/>
            </w:tcBorders>
            <w:shd w:val="clear" w:color="D9D9D9" w:fill="D9D9D9"/>
            <w:vAlign w:val="center"/>
            <w:hideMark/>
          </w:tcPr>
          <w:p w14:paraId="005BE593"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Likely benign</w:t>
            </w:r>
          </w:p>
        </w:tc>
      </w:tr>
      <w:tr w:rsidR="00080338" w:rsidRPr="007A7FC6" w14:paraId="5BD6CB1C" w14:textId="77777777" w:rsidTr="00232647">
        <w:trPr>
          <w:trHeight w:val="737"/>
        </w:trPr>
        <w:tc>
          <w:tcPr>
            <w:tcW w:w="1343" w:type="dxa"/>
            <w:tcBorders>
              <w:top w:val="nil"/>
              <w:left w:val="nil"/>
              <w:bottom w:val="nil"/>
              <w:right w:val="nil"/>
            </w:tcBorders>
            <w:shd w:val="clear" w:color="auto" w:fill="auto"/>
            <w:vAlign w:val="center"/>
            <w:hideMark/>
          </w:tcPr>
          <w:p w14:paraId="18EDB06F"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1</w:t>
            </w:r>
          </w:p>
        </w:tc>
        <w:tc>
          <w:tcPr>
            <w:tcW w:w="1009" w:type="dxa"/>
            <w:tcBorders>
              <w:top w:val="nil"/>
              <w:left w:val="nil"/>
              <w:bottom w:val="nil"/>
              <w:right w:val="nil"/>
            </w:tcBorders>
            <w:shd w:val="clear" w:color="auto" w:fill="auto"/>
            <w:vAlign w:val="center"/>
            <w:hideMark/>
          </w:tcPr>
          <w:p w14:paraId="719646B2"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B</w:t>
            </w:r>
          </w:p>
        </w:tc>
        <w:tc>
          <w:tcPr>
            <w:tcW w:w="1303" w:type="dxa"/>
            <w:tcBorders>
              <w:top w:val="nil"/>
              <w:left w:val="nil"/>
              <w:bottom w:val="nil"/>
              <w:right w:val="nil"/>
            </w:tcBorders>
            <w:shd w:val="clear" w:color="auto" w:fill="auto"/>
            <w:vAlign w:val="center"/>
            <w:hideMark/>
          </w:tcPr>
          <w:p w14:paraId="2D231998"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ACVRL1</w:t>
            </w:r>
          </w:p>
        </w:tc>
        <w:tc>
          <w:tcPr>
            <w:tcW w:w="3101" w:type="dxa"/>
            <w:tcBorders>
              <w:top w:val="nil"/>
              <w:left w:val="nil"/>
              <w:bottom w:val="nil"/>
              <w:right w:val="nil"/>
            </w:tcBorders>
            <w:shd w:val="clear" w:color="auto" w:fill="auto"/>
            <w:vAlign w:val="center"/>
            <w:hideMark/>
          </w:tcPr>
          <w:p w14:paraId="3699AAAB" w14:textId="77777777" w:rsidR="00080338" w:rsidRPr="00080338" w:rsidRDefault="00080338" w:rsidP="00232647">
            <w:pPr>
              <w:spacing w:after="0" w:line="240" w:lineRule="auto"/>
              <w:rPr>
                <w:rFonts w:ascii="Calibri" w:eastAsia="Times New Roman" w:hAnsi="Calibri" w:cs="Calibri"/>
                <w:color w:val="000000"/>
                <w:sz w:val="18"/>
                <w:lang w:val="de-DE"/>
              </w:rPr>
            </w:pPr>
            <w:r w:rsidRPr="00C5745A">
              <w:rPr>
                <w:rFonts w:ascii="Calibri" w:eastAsia="Times New Roman" w:hAnsi="Calibri" w:cs="Calibri"/>
                <w:color w:val="000000"/>
                <w:sz w:val="18"/>
                <w:lang w:val="de-DE"/>
              </w:rPr>
              <w:t>NC_000012.11:g.52310027C&gt;T</w:t>
            </w:r>
            <w:r w:rsidRPr="00C5745A">
              <w:rPr>
                <w:rFonts w:ascii="Calibri" w:eastAsia="Times New Roman" w:hAnsi="Calibri" w:cs="Calibri"/>
                <w:color w:val="000000"/>
                <w:sz w:val="18"/>
                <w:lang w:val="de-DE"/>
              </w:rPr>
              <w:br/>
              <w:t>NM_000020.3:c.1246+10C&gt;T</w:t>
            </w:r>
            <w:r w:rsidRPr="00C5745A">
              <w:rPr>
                <w:rFonts w:ascii="Calibri" w:eastAsia="Times New Roman" w:hAnsi="Calibri" w:cs="Calibri"/>
                <w:color w:val="000000"/>
                <w:sz w:val="18"/>
                <w:lang w:val="de-DE"/>
              </w:rPr>
              <w:br/>
              <w:t>p.(=)</w:t>
            </w:r>
          </w:p>
        </w:tc>
        <w:tc>
          <w:tcPr>
            <w:tcW w:w="1689" w:type="dxa"/>
            <w:tcBorders>
              <w:top w:val="nil"/>
              <w:left w:val="nil"/>
              <w:bottom w:val="nil"/>
              <w:right w:val="nil"/>
            </w:tcBorders>
            <w:shd w:val="clear" w:color="auto" w:fill="auto"/>
            <w:vAlign w:val="center"/>
            <w:hideMark/>
          </w:tcPr>
          <w:p w14:paraId="403542C7"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0.4</w:t>
            </w:r>
          </w:p>
        </w:tc>
        <w:tc>
          <w:tcPr>
            <w:tcW w:w="2901" w:type="dxa"/>
            <w:tcBorders>
              <w:top w:val="nil"/>
              <w:left w:val="nil"/>
              <w:bottom w:val="nil"/>
              <w:right w:val="nil"/>
            </w:tcBorders>
            <w:shd w:val="clear" w:color="auto" w:fill="auto"/>
            <w:vAlign w:val="center"/>
            <w:hideMark/>
          </w:tcPr>
          <w:p w14:paraId="564FB245"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nil"/>
              <w:right w:val="nil"/>
            </w:tcBorders>
            <w:shd w:val="clear" w:color="auto" w:fill="auto"/>
            <w:vAlign w:val="center"/>
            <w:hideMark/>
          </w:tcPr>
          <w:p w14:paraId="4A76E313"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LOW</w:t>
            </w:r>
          </w:p>
        </w:tc>
        <w:tc>
          <w:tcPr>
            <w:tcW w:w="2805" w:type="dxa"/>
            <w:tcBorders>
              <w:top w:val="nil"/>
              <w:left w:val="nil"/>
              <w:bottom w:val="nil"/>
              <w:right w:val="nil"/>
            </w:tcBorders>
            <w:shd w:val="clear" w:color="auto" w:fill="auto"/>
            <w:vAlign w:val="center"/>
            <w:hideMark/>
          </w:tcPr>
          <w:p w14:paraId="4DF219DB"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Likely benign</w:t>
            </w:r>
          </w:p>
        </w:tc>
      </w:tr>
      <w:tr w:rsidR="00080338" w:rsidRPr="007A7FC6" w14:paraId="56E00E77" w14:textId="77777777" w:rsidTr="00232647">
        <w:trPr>
          <w:trHeight w:val="737"/>
        </w:trPr>
        <w:tc>
          <w:tcPr>
            <w:tcW w:w="1343" w:type="dxa"/>
            <w:tcBorders>
              <w:top w:val="nil"/>
              <w:left w:val="nil"/>
              <w:bottom w:val="nil"/>
              <w:right w:val="nil"/>
            </w:tcBorders>
            <w:shd w:val="clear" w:color="D9D9D9" w:fill="D9D9D9"/>
            <w:vAlign w:val="center"/>
            <w:hideMark/>
          </w:tcPr>
          <w:p w14:paraId="5A3AE83B"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1</w:t>
            </w:r>
          </w:p>
        </w:tc>
        <w:tc>
          <w:tcPr>
            <w:tcW w:w="1009" w:type="dxa"/>
            <w:tcBorders>
              <w:top w:val="nil"/>
              <w:left w:val="nil"/>
              <w:bottom w:val="nil"/>
              <w:right w:val="nil"/>
            </w:tcBorders>
            <w:shd w:val="clear" w:color="D9D9D9" w:fill="D9D9D9"/>
            <w:vAlign w:val="center"/>
            <w:hideMark/>
          </w:tcPr>
          <w:p w14:paraId="20EC1154"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B</w:t>
            </w:r>
          </w:p>
        </w:tc>
        <w:tc>
          <w:tcPr>
            <w:tcW w:w="1303" w:type="dxa"/>
            <w:tcBorders>
              <w:top w:val="nil"/>
              <w:left w:val="nil"/>
              <w:bottom w:val="nil"/>
              <w:right w:val="nil"/>
            </w:tcBorders>
            <w:shd w:val="clear" w:color="D9D9D9" w:fill="D9D9D9"/>
            <w:vAlign w:val="center"/>
            <w:hideMark/>
          </w:tcPr>
          <w:p w14:paraId="1B617A97"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ACVRL1</w:t>
            </w:r>
          </w:p>
        </w:tc>
        <w:tc>
          <w:tcPr>
            <w:tcW w:w="3101" w:type="dxa"/>
            <w:tcBorders>
              <w:top w:val="nil"/>
              <w:left w:val="nil"/>
              <w:bottom w:val="nil"/>
              <w:right w:val="nil"/>
            </w:tcBorders>
            <w:shd w:val="clear" w:color="D9D9D9" w:fill="D9D9D9"/>
            <w:vAlign w:val="center"/>
            <w:hideMark/>
          </w:tcPr>
          <w:p w14:paraId="05A8B9BE"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NC_000012.11:g.52306333G&gt;A</w:t>
            </w:r>
            <w:r w:rsidRPr="007A7FC6">
              <w:rPr>
                <w:rFonts w:ascii="Calibri" w:eastAsia="Times New Roman" w:hAnsi="Calibri" w:cs="Calibri"/>
                <w:color w:val="000000"/>
                <w:sz w:val="18"/>
              </w:rPr>
              <w:br/>
              <w:t>NM_000020.3:c.61+14G&gt;A</w:t>
            </w:r>
            <w:r w:rsidRPr="007A7FC6">
              <w:rPr>
                <w:rFonts w:ascii="Calibri" w:eastAsia="Times New Roman" w:hAnsi="Calibri" w:cs="Calibri"/>
                <w:color w:val="000000"/>
                <w:sz w:val="18"/>
              </w:rPr>
              <w:br/>
              <w:t>p.(=)</w:t>
            </w:r>
          </w:p>
        </w:tc>
        <w:tc>
          <w:tcPr>
            <w:tcW w:w="1689" w:type="dxa"/>
            <w:tcBorders>
              <w:top w:val="nil"/>
              <w:left w:val="nil"/>
              <w:bottom w:val="nil"/>
              <w:right w:val="nil"/>
            </w:tcBorders>
            <w:shd w:val="clear" w:color="D9D9D9" w:fill="D9D9D9"/>
            <w:vAlign w:val="center"/>
            <w:hideMark/>
          </w:tcPr>
          <w:p w14:paraId="34EA5B0E"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0.16</w:t>
            </w:r>
          </w:p>
        </w:tc>
        <w:tc>
          <w:tcPr>
            <w:tcW w:w="2901" w:type="dxa"/>
            <w:tcBorders>
              <w:top w:val="nil"/>
              <w:left w:val="nil"/>
              <w:bottom w:val="nil"/>
              <w:right w:val="nil"/>
            </w:tcBorders>
            <w:shd w:val="clear" w:color="D9D9D9" w:fill="D9D9D9"/>
            <w:vAlign w:val="center"/>
            <w:hideMark/>
          </w:tcPr>
          <w:p w14:paraId="1DB4084C"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nil"/>
              <w:right w:val="nil"/>
            </w:tcBorders>
            <w:shd w:val="clear" w:color="D9D9D9" w:fill="D9D9D9"/>
            <w:vAlign w:val="center"/>
            <w:hideMark/>
          </w:tcPr>
          <w:p w14:paraId="1EAF07C7"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LOW</w:t>
            </w:r>
          </w:p>
        </w:tc>
        <w:tc>
          <w:tcPr>
            <w:tcW w:w="2805" w:type="dxa"/>
            <w:tcBorders>
              <w:top w:val="nil"/>
              <w:left w:val="nil"/>
              <w:bottom w:val="nil"/>
              <w:right w:val="nil"/>
            </w:tcBorders>
            <w:shd w:val="clear" w:color="D9D9D9" w:fill="D9D9D9"/>
            <w:vAlign w:val="center"/>
            <w:hideMark/>
          </w:tcPr>
          <w:p w14:paraId="3BCA31AA"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Likely benign</w:t>
            </w:r>
          </w:p>
        </w:tc>
      </w:tr>
      <w:tr w:rsidR="00080338" w:rsidRPr="007A7FC6" w14:paraId="2C898C7D" w14:textId="77777777" w:rsidTr="00232647">
        <w:trPr>
          <w:trHeight w:val="737"/>
        </w:trPr>
        <w:tc>
          <w:tcPr>
            <w:tcW w:w="1343" w:type="dxa"/>
            <w:tcBorders>
              <w:top w:val="nil"/>
              <w:left w:val="nil"/>
              <w:bottom w:val="nil"/>
              <w:right w:val="nil"/>
            </w:tcBorders>
            <w:shd w:val="clear" w:color="auto" w:fill="auto"/>
            <w:vAlign w:val="center"/>
            <w:hideMark/>
          </w:tcPr>
          <w:p w14:paraId="6C97BE8C"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1</w:t>
            </w:r>
          </w:p>
        </w:tc>
        <w:tc>
          <w:tcPr>
            <w:tcW w:w="1009" w:type="dxa"/>
            <w:tcBorders>
              <w:top w:val="nil"/>
              <w:left w:val="nil"/>
              <w:bottom w:val="nil"/>
              <w:right w:val="nil"/>
            </w:tcBorders>
            <w:shd w:val="clear" w:color="auto" w:fill="auto"/>
            <w:vAlign w:val="center"/>
            <w:hideMark/>
          </w:tcPr>
          <w:p w14:paraId="14760077"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B</w:t>
            </w:r>
          </w:p>
        </w:tc>
        <w:tc>
          <w:tcPr>
            <w:tcW w:w="1303" w:type="dxa"/>
            <w:tcBorders>
              <w:top w:val="nil"/>
              <w:left w:val="nil"/>
              <w:bottom w:val="nil"/>
              <w:right w:val="nil"/>
            </w:tcBorders>
            <w:shd w:val="clear" w:color="auto" w:fill="auto"/>
            <w:vAlign w:val="center"/>
            <w:hideMark/>
          </w:tcPr>
          <w:p w14:paraId="0DFC9599"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ENG</w:t>
            </w:r>
          </w:p>
        </w:tc>
        <w:tc>
          <w:tcPr>
            <w:tcW w:w="3101" w:type="dxa"/>
            <w:tcBorders>
              <w:top w:val="nil"/>
              <w:left w:val="nil"/>
              <w:bottom w:val="nil"/>
              <w:right w:val="nil"/>
            </w:tcBorders>
            <w:shd w:val="clear" w:color="auto" w:fill="auto"/>
            <w:vAlign w:val="center"/>
            <w:hideMark/>
          </w:tcPr>
          <w:p w14:paraId="2E03C32F" w14:textId="77777777" w:rsidR="00080338" w:rsidRPr="00D108CE" w:rsidRDefault="00080338" w:rsidP="00232647">
            <w:pPr>
              <w:spacing w:after="0" w:line="240" w:lineRule="auto"/>
              <w:rPr>
                <w:rFonts w:ascii="Calibri" w:eastAsia="Times New Roman" w:hAnsi="Calibri" w:cs="Calibri"/>
                <w:color w:val="000000"/>
                <w:sz w:val="18"/>
                <w:lang w:val="fr-FR"/>
              </w:rPr>
            </w:pPr>
            <w:r w:rsidRPr="00D108CE">
              <w:rPr>
                <w:rFonts w:ascii="Calibri" w:eastAsia="Times New Roman" w:hAnsi="Calibri" w:cs="Calibri"/>
                <w:color w:val="000000"/>
                <w:sz w:val="18"/>
                <w:lang w:val="fr-FR"/>
              </w:rPr>
              <w:t>NC_000009.11:g.130587067A&gt;C</w:t>
            </w:r>
            <w:r w:rsidRPr="00D108CE">
              <w:rPr>
                <w:rFonts w:ascii="Calibri" w:eastAsia="Times New Roman" w:hAnsi="Calibri" w:cs="Calibri"/>
                <w:color w:val="000000"/>
                <w:sz w:val="18"/>
                <w:lang w:val="fr-FR"/>
              </w:rPr>
              <w:br/>
              <w:t>NM_000118.3:c.991+12T&gt;G</w:t>
            </w:r>
            <w:r w:rsidRPr="00D108CE">
              <w:rPr>
                <w:rFonts w:ascii="Calibri" w:eastAsia="Times New Roman" w:hAnsi="Calibri" w:cs="Calibri"/>
                <w:color w:val="000000"/>
                <w:sz w:val="18"/>
                <w:lang w:val="fr-FR"/>
              </w:rPr>
              <w:br/>
              <w:t>p</w:t>
            </w:r>
            <w:proofErr w:type="gramStart"/>
            <w:r w:rsidRPr="00D108CE">
              <w:rPr>
                <w:rFonts w:ascii="Calibri" w:eastAsia="Times New Roman" w:hAnsi="Calibri" w:cs="Calibri"/>
                <w:color w:val="000000"/>
                <w:sz w:val="18"/>
                <w:lang w:val="fr-FR"/>
              </w:rPr>
              <w:t>.(</w:t>
            </w:r>
            <w:proofErr w:type="gramEnd"/>
            <w:r w:rsidRPr="00D108CE">
              <w:rPr>
                <w:rFonts w:ascii="Calibri" w:eastAsia="Times New Roman" w:hAnsi="Calibri" w:cs="Calibri"/>
                <w:color w:val="000000"/>
                <w:sz w:val="18"/>
                <w:lang w:val="fr-FR"/>
              </w:rPr>
              <w:t>=)</w:t>
            </w:r>
          </w:p>
        </w:tc>
        <w:tc>
          <w:tcPr>
            <w:tcW w:w="1689" w:type="dxa"/>
            <w:tcBorders>
              <w:top w:val="nil"/>
              <w:left w:val="nil"/>
              <w:bottom w:val="nil"/>
              <w:right w:val="nil"/>
            </w:tcBorders>
            <w:shd w:val="clear" w:color="auto" w:fill="auto"/>
            <w:vAlign w:val="center"/>
            <w:hideMark/>
          </w:tcPr>
          <w:p w14:paraId="6163A92E"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0.13</w:t>
            </w:r>
          </w:p>
        </w:tc>
        <w:tc>
          <w:tcPr>
            <w:tcW w:w="2901" w:type="dxa"/>
            <w:tcBorders>
              <w:top w:val="nil"/>
              <w:left w:val="nil"/>
              <w:bottom w:val="nil"/>
              <w:right w:val="nil"/>
            </w:tcBorders>
            <w:shd w:val="clear" w:color="auto" w:fill="auto"/>
            <w:vAlign w:val="center"/>
            <w:hideMark/>
          </w:tcPr>
          <w:p w14:paraId="475E3203"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nil"/>
              <w:right w:val="nil"/>
            </w:tcBorders>
            <w:shd w:val="clear" w:color="auto" w:fill="auto"/>
            <w:vAlign w:val="center"/>
            <w:hideMark/>
          </w:tcPr>
          <w:p w14:paraId="03B170F0"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LOW</w:t>
            </w:r>
          </w:p>
        </w:tc>
        <w:tc>
          <w:tcPr>
            <w:tcW w:w="2805" w:type="dxa"/>
            <w:tcBorders>
              <w:top w:val="nil"/>
              <w:left w:val="nil"/>
              <w:bottom w:val="nil"/>
              <w:right w:val="nil"/>
            </w:tcBorders>
            <w:shd w:val="clear" w:color="auto" w:fill="auto"/>
            <w:vAlign w:val="center"/>
            <w:hideMark/>
          </w:tcPr>
          <w:p w14:paraId="4946647B"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Likely benign</w:t>
            </w:r>
          </w:p>
        </w:tc>
      </w:tr>
      <w:tr w:rsidR="00080338" w:rsidRPr="007A7FC6" w14:paraId="1CC46472" w14:textId="77777777" w:rsidTr="00232647">
        <w:trPr>
          <w:trHeight w:val="737"/>
        </w:trPr>
        <w:tc>
          <w:tcPr>
            <w:tcW w:w="1343" w:type="dxa"/>
            <w:tcBorders>
              <w:top w:val="nil"/>
              <w:left w:val="nil"/>
              <w:bottom w:val="nil"/>
              <w:right w:val="nil"/>
            </w:tcBorders>
            <w:shd w:val="clear" w:color="D9D9D9" w:fill="D9D9D9"/>
            <w:vAlign w:val="center"/>
            <w:hideMark/>
          </w:tcPr>
          <w:p w14:paraId="33DF6E07"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1</w:t>
            </w:r>
          </w:p>
        </w:tc>
        <w:tc>
          <w:tcPr>
            <w:tcW w:w="1009" w:type="dxa"/>
            <w:tcBorders>
              <w:top w:val="nil"/>
              <w:left w:val="nil"/>
              <w:bottom w:val="nil"/>
              <w:right w:val="nil"/>
            </w:tcBorders>
            <w:shd w:val="clear" w:color="D9D9D9" w:fill="D9D9D9"/>
            <w:vAlign w:val="center"/>
            <w:hideMark/>
          </w:tcPr>
          <w:p w14:paraId="1D8CDB7C"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B</w:t>
            </w:r>
          </w:p>
        </w:tc>
        <w:tc>
          <w:tcPr>
            <w:tcW w:w="1303" w:type="dxa"/>
            <w:tcBorders>
              <w:top w:val="nil"/>
              <w:left w:val="nil"/>
              <w:bottom w:val="nil"/>
              <w:right w:val="nil"/>
            </w:tcBorders>
            <w:shd w:val="clear" w:color="D9D9D9" w:fill="D9D9D9"/>
            <w:vAlign w:val="center"/>
            <w:hideMark/>
          </w:tcPr>
          <w:p w14:paraId="3FCCEED3"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ENG</w:t>
            </w:r>
          </w:p>
        </w:tc>
        <w:tc>
          <w:tcPr>
            <w:tcW w:w="3101" w:type="dxa"/>
            <w:tcBorders>
              <w:top w:val="nil"/>
              <w:left w:val="nil"/>
              <w:bottom w:val="nil"/>
              <w:right w:val="nil"/>
            </w:tcBorders>
            <w:shd w:val="clear" w:color="D9D9D9" w:fill="D9D9D9"/>
            <w:vAlign w:val="center"/>
            <w:hideMark/>
          </w:tcPr>
          <w:p w14:paraId="33F2F922"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NC_000009.11:g.130587061C&gt;G</w:t>
            </w:r>
            <w:r w:rsidRPr="007A7FC6">
              <w:rPr>
                <w:rFonts w:ascii="Calibri" w:eastAsia="Times New Roman" w:hAnsi="Calibri" w:cs="Calibri"/>
                <w:color w:val="000000"/>
                <w:sz w:val="18"/>
              </w:rPr>
              <w:br/>
              <w:t>NM_000118.3:c.991+18G&gt;C</w:t>
            </w:r>
            <w:r w:rsidRPr="007A7FC6">
              <w:rPr>
                <w:rFonts w:ascii="Calibri" w:eastAsia="Times New Roman" w:hAnsi="Calibri" w:cs="Calibri"/>
                <w:color w:val="000000"/>
                <w:sz w:val="18"/>
              </w:rPr>
              <w:br/>
              <w:t>p.(=)</w:t>
            </w:r>
          </w:p>
        </w:tc>
        <w:tc>
          <w:tcPr>
            <w:tcW w:w="1689" w:type="dxa"/>
            <w:tcBorders>
              <w:top w:val="nil"/>
              <w:left w:val="nil"/>
              <w:bottom w:val="nil"/>
              <w:right w:val="nil"/>
            </w:tcBorders>
            <w:shd w:val="clear" w:color="D9D9D9" w:fill="D9D9D9"/>
            <w:vAlign w:val="center"/>
            <w:hideMark/>
          </w:tcPr>
          <w:p w14:paraId="0B4C5716"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0.14</w:t>
            </w:r>
          </w:p>
        </w:tc>
        <w:tc>
          <w:tcPr>
            <w:tcW w:w="2901" w:type="dxa"/>
            <w:tcBorders>
              <w:top w:val="nil"/>
              <w:left w:val="nil"/>
              <w:bottom w:val="nil"/>
              <w:right w:val="nil"/>
            </w:tcBorders>
            <w:shd w:val="clear" w:color="D9D9D9" w:fill="D9D9D9"/>
            <w:vAlign w:val="center"/>
            <w:hideMark/>
          </w:tcPr>
          <w:p w14:paraId="0AB59048"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nil"/>
              <w:right w:val="nil"/>
            </w:tcBorders>
            <w:shd w:val="clear" w:color="D9D9D9" w:fill="D9D9D9"/>
            <w:vAlign w:val="center"/>
            <w:hideMark/>
          </w:tcPr>
          <w:p w14:paraId="726CD0DA"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LOW</w:t>
            </w:r>
          </w:p>
        </w:tc>
        <w:tc>
          <w:tcPr>
            <w:tcW w:w="2805" w:type="dxa"/>
            <w:tcBorders>
              <w:top w:val="nil"/>
              <w:left w:val="nil"/>
              <w:bottom w:val="nil"/>
              <w:right w:val="nil"/>
            </w:tcBorders>
            <w:shd w:val="clear" w:color="D9D9D9" w:fill="D9D9D9"/>
            <w:vAlign w:val="center"/>
            <w:hideMark/>
          </w:tcPr>
          <w:p w14:paraId="53952BF6"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Likely benign</w:t>
            </w:r>
          </w:p>
        </w:tc>
      </w:tr>
      <w:tr w:rsidR="00080338" w:rsidRPr="007A7FC6" w14:paraId="019B10C7" w14:textId="77777777" w:rsidTr="00232647">
        <w:trPr>
          <w:trHeight w:val="737"/>
        </w:trPr>
        <w:tc>
          <w:tcPr>
            <w:tcW w:w="1343" w:type="dxa"/>
            <w:tcBorders>
              <w:top w:val="nil"/>
              <w:left w:val="nil"/>
              <w:bottom w:val="nil"/>
              <w:right w:val="nil"/>
            </w:tcBorders>
            <w:shd w:val="clear" w:color="auto" w:fill="auto"/>
            <w:vAlign w:val="center"/>
            <w:hideMark/>
          </w:tcPr>
          <w:p w14:paraId="354E285B"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2</w:t>
            </w:r>
          </w:p>
        </w:tc>
        <w:tc>
          <w:tcPr>
            <w:tcW w:w="1009" w:type="dxa"/>
            <w:tcBorders>
              <w:top w:val="nil"/>
              <w:left w:val="nil"/>
              <w:bottom w:val="nil"/>
              <w:right w:val="nil"/>
            </w:tcBorders>
            <w:shd w:val="clear" w:color="auto" w:fill="auto"/>
            <w:vAlign w:val="center"/>
            <w:hideMark/>
          </w:tcPr>
          <w:p w14:paraId="126EF4B7"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w:t>
            </w:r>
          </w:p>
        </w:tc>
        <w:tc>
          <w:tcPr>
            <w:tcW w:w="1303" w:type="dxa"/>
            <w:tcBorders>
              <w:top w:val="nil"/>
              <w:left w:val="nil"/>
              <w:bottom w:val="nil"/>
              <w:right w:val="nil"/>
            </w:tcBorders>
            <w:shd w:val="clear" w:color="auto" w:fill="auto"/>
            <w:vAlign w:val="center"/>
            <w:hideMark/>
          </w:tcPr>
          <w:p w14:paraId="45AED929"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ACVRL1</w:t>
            </w:r>
          </w:p>
        </w:tc>
        <w:tc>
          <w:tcPr>
            <w:tcW w:w="3101" w:type="dxa"/>
            <w:tcBorders>
              <w:top w:val="nil"/>
              <w:left w:val="nil"/>
              <w:bottom w:val="nil"/>
              <w:right w:val="nil"/>
            </w:tcBorders>
            <w:shd w:val="clear" w:color="auto" w:fill="auto"/>
            <w:vAlign w:val="center"/>
            <w:hideMark/>
          </w:tcPr>
          <w:p w14:paraId="5FCDDB13"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NC_000012.11:g.52306961G&gt;C</w:t>
            </w:r>
            <w:r w:rsidRPr="007A7FC6">
              <w:rPr>
                <w:rFonts w:ascii="Calibri" w:eastAsia="Times New Roman" w:hAnsi="Calibri" w:cs="Calibri"/>
                <w:color w:val="000000"/>
                <w:sz w:val="18"/>
              </w:rPr>
              <w:br/>
              <w:t>NM_000020.3:c.140G&gt;C</w:t>
            </w:r>
            <w:r w:rsidRPr="007A7FC6">
              <w:rPr>
                <w:rFonts w:ascii="Calibri" w:eastAsia="Times New Roman" w:hAnsi="Calibri" w:cs="Calibri"/>
                <w:color w:val="000000"/>
                <w:sz w:val="18"/>
              </w:rPr>
              <w:br/>
              <w:t>p.(Arg47Pro)</w:t>
            </w:r>
          </w:p>
        </w:tc>
        <w:tc>
          <w:tcPr>
            <w:tcW w:w="1689" w:type="dxa"/>
            <w:tcBorders>
              <w:top w:val="nil"/>
              <w:left w:val="nil"/>
              <w:bottom w:val="nil"/>
              <w:right w:val="nil"/>
            </w:tcBorders>
            <w:shd w:val="clear" w:color="auto" w:fill="auto"/>
            <w:vAlign w:val="center"/>
            <w:hideMark/>
          </w:tcPr>
          <w:p w14:paraId="775A584B"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0.35</w:t>
            </w:r>
          </w:p>
        </w:tc>
        <w:tc>
          <w:tcPr>
            <w:tcW w:w="2901" w:type="dxa"/>
            <w:tcBorders>
              <w:top w:val="nil"/>
              <w:left w:val="nil"/>
              <w:bottom w:val="nil"/>
              <w:right w:val="nil"/>
            </w:tcBorders>
            <w:shd w:val="clear" w:color="auto" w:fill="auto"/>
            <w:vAlign w:val="center"/>
            <w:hideMark/>
          </w:tcPr>
          <w:p w14:paraId="5FFA20C4"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missense_variant</w:t>
            </w:r>
            <w:proofErr w:type="spellEnd"/>
          </w:p>
        </w:tc>
        <w:tc>
          <w:tcPr>
            <w:tcW w:w="1247" w:type="dxa"/>
            <w:tcBorders>
              <w:top w:val="nil"/>
              <w:left w:val="nil"/>
              <w:bottom w:val="nil"/>
              <w:right w:val="nil"/>
            </w:tcBorders>
            <w:shd w:val="clear" w:color="auto" w:fill="auto"/>
            <w:vAlign w:val="center"/>
            <w:hideMark/>
          </w:tcPr>
          <w:p w14:paraId="19C7F239"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MODERATE</w:t>
            </w:r>
          </w:p>
        </w:tc>
        <w:tc>
          <w:tcPr>
            <w:tcW w:w="2805" w:type="dxa"/>
            <w:tcBorders>
              <w:top w:val="nil"/>
              <w:left w:val="nil"/>
              <w:bottom w:val="nil"/>
              <w:right w:val="nil"/>
            </w:tcBorders>
            <w:shd w:val="clear" w:color="auto" w:fill="auto"/>
            <w:vAlign w:val="center"/>
            <w:hideMark/>
          </w:tcPr>
          <w:p w14:paraId="26A42137"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Pathogenic</w:t>
            </w:r>
          </w:p>
        </w:tc>
      </w:tr>
      <w:tr w:rsidR="00080338" w:rsidRPr="007A7FC6" w14:paraId="30872673" w14:textId="77777777" w:rsidTr="00232647">
        <w:trPr>
          <w:trHeight w:val="737"/>
        </w:trPr>
        <w:tc>
          <w:tcPr>
            <w:tcW w:w="1343" w:type="dxa"/>
            <w:tcBorders>
              <w:top w:val="nil"/>
              <w:left w:val="nil"/>
              <w:bottom w:val="nil"/>
              <w:right w:val="nil"/>
            </w:tcBorders>
            <w:shd w:val="clear" w:color="D9D9D9" w:fill="D9D9D9"/>
            <w:vAlign w:val="center"/>
            <w:hideMark/>
          </w:tcPr>
          <w:p w14:paraId="34DF54F2"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3</w:t>
            </w:r>
          </w:p>
        </w:tc>
        <w:tc>
          <w:tcPr>
            <w:tcW w:w="1009" w:type="dxa"/>
            <w:tcBorders>
              <w:top w:val="nil"/>
              <w:left w:val="nil"/>
              <w:bottom w:val="nil"/>
              <w:right w:val="nil"/>
            </w:tcBorders>
            <w:shd w:val="clear" w:color="D9D9D9" w:fill="D9D9D9"/>
            <w:vAlign w:val="center"/>
            <w:hideMark/>
          </w:tcPr>
          <w:p w14:paraId="76CA99A9"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w:t>
            </w:r>
          </w:p>
        </w:tc>
        <w:tc>
          <w:tcPr>
            <w:tcW w:w="1303" w:type="dxa"/>
            <w:tcBorders>
              <w:top w:val="nil"/>
              <w:left w:val="nil"/>
              <w:bottom w:val="nil"/>
              <w:right w:val="nil"/>
            </w:tcBorders>
            <w:shd w:val="clear" w:color="D9D9D9" w:fill="D9D9D9"/>
            <w:vAlign w:val="center"/>
            <w:hideMark/>
          </w:tcPr>
          <w:p w14:paraId="5575D441"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ACVRL1</w:t>
            </w:r>
          </w:p>
        </w:tc>
        <w:tc>
          <w:tcPr>
            <w:tcW w:w="3101" w:type="dxa"/>
            <w:tcBorders>
              <w:top w:val="nil"/>
              <w:left w:val="nil"/>
              <w:bottom w:val="nil"/>
              <w:right w:val="nil"/>
            </w:tcBorders>
            <w:shd w:val="clear" w:color="D9D9D9" w:fill="D9D9D9"/>
            <w:vAlign w:val="center"/>
            <w:hideMark/>
          </w:tcPr>
          <w:p w14:paraId="245C9A68"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NC_000012.11:g.52308372A&gt;C</w:t>
            </w:r>
            <w:r w:rsidRPr="007A7FC6">
              <w:rPr>
                <w:rFonts w:ascii="Calibri" w:eastAsia="Times New Roman" w:hAnsi="Calibri" w:cs="Calibri"/>
                <w:color w:val="000000"/>
                <w:sz w:val="18"/>
              </w:rPr>
              <w:br/>
              <w:t>NM_000020.3:c.772+3A&gt;C</w:t>
            </w:r>
            <w:r w:rsidRPr="007A7FC6">
              <w:rPr>
                <w:rFonts w:ascii="Calibri" w:eastAsia="Times New Roman" w:hAnsi="Calibri" w:cs="Calibri"/>
                <w:color w:val="000000"/>
                <w:sz w:val="18"/>
              </w:rPr>
              <w:br/>
              <w:t>p.?</w:t>
            </w:r>
          </w:p>
        </w:tc>
        <w:tc>
          <w:tcPr>
            <w:tcW w:w="1689" w:type="dxa"/>
            <w:tcBorders>
              <w:top w:val="nil"/>
              <w:left w:val="nil"/>
              <w:bottom w:val="nil"/>
              <w:right w:val="nil"/>
            </w:tcBorders>
            <w:shd w:val="clear" w:color="D9D9D9" w:fill="D9D9D9"/>
            <w:vAlign w:val="center"/>
            <w:hideMark/>
          </w:tcPr>
          <w:p w14:paraId="0F9C44A0"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0.55</w:t>
            </w:r>
          </w:p>
        </w:tc>
        <w:tc>
          <w:tcPr>
            <w:tcW w:w="2901" w:type="dxa"/>
            <w:tcBorders>
              <w:top w:val="nil"/>
              <w:left w:val="nil"/>
              <w:bottom w:val="nil"/>
              <w:right w:val="nil"/>
            </w:tcBorders>
            <w:shd w:val="clear" w:color="D9D9D9" w:fill="D9D9D9"/>
            <w:vAlign w:val="center"/>
            <w:hideMark/>
          </w:tcPr>
          <w:p w14:paraId="7901747B"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splice_region_variant</w:t>
            </w:r>
            <w:proofErr w:type="spellEnd"/>
            <w:r w:rsidRPr="007A7FC6">
              <w:rPr>
                <w:rFonts w:ascii="Calibri" w:eastAsia="Times New Roman" w:hAnsi="Calibri" w:cs="Calibri"/>
                <w:color w:val="000000"/>
                <w:sz w:val="18"/>
              </w:rPr>
              <w:t xml:space="preserve">, </w:t>
            </w: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nil"/>
              <w:right w:val="nil"/>
            </w:tcBorders>
            <w:shd w:val="clear" w:color="D9D9D9" w:fill="D9D9D9"/>
            <w:vAlign w:val="center"/>
            <w:hideMark/>
          </w:tcPr>
          <w:p w14:paraId="47DE8207"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MODERATE</w:t>
            </w:r>
          </w:p>
        </w:tc>
        <w:tc>
          <w:tcPr>
            <w:tcW w:w="2805" w:type="dxa"/>
            <w:tcBorders>
              <w:top w:val="nil"/>
              <w:left w:val="nil"/>
              <w:bottom w:val="nil"/>
              <w:right w:val="nil"/>
            </w:tcBorders>
            <w:shd w:val="clear" w:color="D9D9D9" w:fill="D9D9D9"/>
            <w:vAlign w:val="center"/>
            <w:hideMark/>
          </w:tcPr>
          <w:p w14:paraId="3E2F1D63"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Uncertain significance</w:t>
            </w:r>
          </w:p>
        </w:tc>
      </w:tr>
      <w:tr w:rsidR="00080338" w:rsidRPr="007A7FC6" w14:paraId="41DEB0C9" w14:textId="77777777" w:rsidTr="00232647">
        <w:trPr>
          <w:trHeight w:val="737"/>
        </w:trPr>
        <w:tc>
          <w:tcPr>
            <w:tcW w:w="1343" w:type="dxa"/>
            <w:tcBorders>
              <w:top w:val="nil"/>
              <w:left w:val="nil"/>
              <w:bottom w:val="nil"/>
              <w:right w:val="nil"/>
            </w:tcBorders>
            <w:shd w:val="clear" w:color="auto" w:fill="auto"/>
            <w:vAlign w:val="center"/>
            <w:hideMark/>
          </w:tcPr>
          <w:p w14:paraId="4BDAC831"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4</w:t>
            </w:r>
          </w:p>
        </w:tc>
        <w:tc>
          <w:tcPr>
            <w:tcW w:w="1009" w:type="dxa"/>
            <w:tcBorders>
              <w:top w:val="nil"/>
              <w:left w:val="nil"/>
              <w:bottom w:val="nil"/>
              <w:right w:val="nil"/>
            </w:tcBorders>
            <w:shd w:val="clear" w:color="auto" w:fill="auto"/>
            <w:vAlign w:val="center"/>
            <w:hideMark/>
          </w:tcPr>
          <w:p w14:paraId="233EE568"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w:t>
            </w:r>
          </w:p>
        </w:tc>
        <w:tc>
          <w:tcPr>
            <w:tcW w:w="1303" w:type="dxa"/>
            <w:tcBorders>
              <w:top w:val="nil"/>
              <w:left w:val="nil"/>
              <w:bottom w:val="nil"/>
              <w:right w:val="nil"/>
            </w:tcBorders>
            <w:shd w:val="clear" w:color="auto" w:fill="auto"/>
            <w:vAlign w:val="center"/>
            <w:hideMark/>
          </w:tcPr>
          <w:p w14:paraId="3EF385F2"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ACVRL1</w:t>
            </w:r>
          </w:p>
        </w:tc>
        <w:tc>
          <w:tcPr>
            <w:tcW w:w="3101" w:type="dxa"/>
            <w:tcBorders>
              <w:top w:val="nil"/>
              <w:left w:val="nil"/>
              <w:bottom w:val="nil"/>
              <w:right w:val="nil"/>
            </w:tcBorders>
            <w:shd w:val="clear" w:color="auto" w:fill="auto"/>
            <w:vAlign w:val="center"/>
            <w:hideMark/>
          </w:tcPr>
          <w:p w14:paraId="1F66737A"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NC_000012.11:g.52314541A&gt;G</w:t>
            </w:r>
            <w:r w:rsidRPr="007A7FC6">
              <w:rPr>
                <w:rFonts w:ascii="Calibri" w:eastAsia="Times New Roman" w:hAnsi="Calibri" w:cs="Calibri"/>
                <w:color w:val="000000"/>
                <w:sz w:val="18"/>
              </w:rPr>
              <w:br/>
              <w:t>NM_000020.3:c.1378-2A&gt;G</w:t>
            </w:r>
            <w:r w:rsidRPr="007A7FC6">
              <w:rPr>
                <w:rFonts w:ascii="Calibri" w:eastAsia="Times New Roman" w:hAnsi="Calibri" w:cs="Calibri"/>
                <w:color w:val="000000"/>
                <w:sz w:val="18"/>
              </w:rPr>
              <w:br/>
              <w:t>p.?</w:t>
            </w:r>
          </w:p>
        </w:tc>
        <w:tc>
          <w:tcPr>
            <w:tcW w:w="1689" w:type="dxa"/>
            <w:tcBorders>
              <w:top w:val="nil"/>
              <w:left w:val="nil"/>
              <w:bottom w:val="nil"/>
              <w:right w:val="nil"/>
            </w:tcBorders>
            <w:shd w:val="clear" w:color="auto" w:fill="auto"/>
            <w:vAlign w:val="center"/>
            <w:hideMark/>
          </w:tcPr>
          <w:p w14:paraId="3868CBA3"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0.47</w:t>
            </w:r>
          </w:p>
        </w:tc>
        <w:tc>
          <w:tcPr>
            <w:tcW w:w="2901" w:type="dxa"/>
            <w:tcBorders>
              <w:top w:val="nil"/>
              <w:left w:val="nil"/>
              <w:bottom w:val="nil"/>
              <w:right w:val="nil"/>
            </w:tcBorders>
            <w:shd w:val="clear" w:color="auto" w:fill="auto"/>
            <w:vAlign w:val="center"/>
            <w:hideMark/>
          </w:tcPr>
          <w:p w14:paraId="27590E86"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splice_acceptor_variant</w:t>
            </w:r>
            <w:proofErr w:type="spellEnd"/>
            <w:r w:rsidRPr="007A7FC6">
              <w:rPr>
                <w:rFonts w:ascii="Calibri" w:eastAsia="Times New Roman" w:hAnsi="Calibri" w:cs="Calibri"/>
                <w:color w:val="000000"/>
                <w:sz w:val="18"/>
              </w:rPr>
              <w:t xml:space="preserve">, </w:t>
            </w: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nil"/>
              <w:right w:val="nil"/>
            </w:tcBorders>
            <w:shd w:val="clear" w:color="auto" w:fill="auto"/>
            <w:vAlign w:val="center"/>
            <w:hideMark/>
          </w:tcPr>
          <w:p w14:paraId="1E8EEA25"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HIGH</w:t>
            </w:r>
          </w:p>
        </w:tc>
        <w:tc>
          <w:tcPr>
            <w:tcW w:w="2805" w:type="dxa"/>
            <w:tcBorders>
              <w:top w:val="nil"/>
              <w:left w:val="nil"/>
              <w:bottom w:val="nil"/>
              <w:right w:val="nil"/>
            </w:tcBorders>
            <w:shd w:val="clear" w:color="auto" w:fill="auto"/>
            <w:vAlign w:val="center"/>
            <w:hideMark/>
          </w:tcPr>
          <w:p w14:paraId="6BB96182"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Pathogenic</w:t>
            </w:r>
          </w:p>
        </w:tc>
      </w:tr>
      <w:tr w:rsidR="00080338" w:rsidRPr="007A7FC6" w14:paraId="24AF6FE6" w14:textId="77777777" w:rsidTr="00232647">
        <w:trPr>
          <w:trHeight w:val="737"/>
        </w:trPr>
        <w:tc>
          <w:tcPr>
            <w:tcW w:w="1343" w:type="dxa"/>
            <w:tcBorders>
              <w:top w:val="nil"/>
              <w:left w:val="nil"/>
              <w:bottom w:val="single" w:sz="4" w:space="0" w:color="000000"/>
              <w:right w:val="nil"/>
            </w:tcBorders>
            <w:shd w:val="clear" w:color="D9D9D9" w:fill="D9D9D9"/>
            <w:vAlign w:val="center"/>
            <w:hideMark/>
          </w:tcPr>
          <w:p w14:paraId="1730F2E7"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4</w:t>
            </w:r>
          </w:p>
        </w:tc>
        <w:tc>
          <w:tcPr>
            <w:tcW w:w="1009" w:type="dxa"/>
            <w:tcBorders>
              <w:top w:val="nil"/>
              <w:left w:val="nil"/>
              <w:bottom w:val="single" w:sz="4" w:space="0" w:color="000000"/>
              <w:right w:val="nil"/>
            </w:tcBorders>
            <w:shd w:val="clear" w:color="D9D9D9" w:fill="D9D9D9"/>
            <w:vAlign w:val="center"/>
            <w:hideMark/>
          </w:tcPr>
          <w:p w14:paraId="4BE34043"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B</w:t>
            </w:r>
          </w:p>
        </w:tc>
        <w:tc>
          <w:tcPr>
            <w:tcW w:w="1303" w:type="dxa"/>
            <w:tcBorders>
              <w:top w:val="nil"/>
              <w:left w:val="nil"/>
              <w:bottom w:val="single" w:sz="4" w:space="0" w:color="000000"/>
              <w:right w:val="nil"/>
            </w:tcBorders>
            <w:shd w:val="clear" w:color="D9D9D9" w:fill="D9D9D9"/>
            <w:vAlign w:val="center"/>
            <w:hideMark/>
          </w:tcPr>
          <w:p w14:paraId="68253AF4"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ACVRL1</w:t>
            </w:r>
          </w:p>
        </w:tc>
        <w:tc>
          <w:tcPr>
            <w:tcW w:w="3101" w:type="dxa"/>
            <w:tcBorders>
              <w:top w:val="nil"/>
              <w:left w:val="nil"/>
              <w:bottom w:val="single" w:sz="4" w:space="0" w:color="000000"/>
              <w:right w:val="nil"/>
            </w:tcBorders>
            <w:shd w:val="clear" w:color="D9D9D9" w:fill="D9D9D9"/>
            <w:vAlign w:val="center"/>
            <w:hideMark/>
          </w:tcPr>
          <w:p w14:paraId="7753A311"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NC_000012.11:g.52314541A&gt;G</w:t>
            </w:r>
            <w:r w:rsidRPr="007A7FC6">
              <w:rPr>
                <w:rFonts w:ascii="Calibri" w:eastAsia="Times New Roman" w:hAnsi="Calibri" w:cs="Calibri"/>
                <w:color w:val="000000"/>
                <w:sz w:val="18"/>
              </w:rPr>
              <w:br/>
              <w:t>NM_000020.3:c.1378-2A&gt;G</w:t>
            </w:r>
            <w:r w:rsidRPr="007A7FC6">
              <w:rPr>
                <w:rFonts w:ascii="Calibri" w:eastAsia="Times New Roman" w:hAnsi="Calibri" w:cs="Calibri"/>
                <w:color w:val="000000"/>
                <w:sz w:val="18"/>
              </w:rPr>
              <w:br/>
              <w:t>p.?</w:t>
            </w:r>
          </w:p>
        </w:tc>
        <w:tc>
          <w:tcPr>
            <w:tcW w:w="1689" w:type="dxa"/>
            <w:tcBorders>
              <w:top w:val="nil"/>
              <w:left w:val="nil"/>
              <w:bottom w:val="single" w:sz="4" w:space="0" w:color="000000"/>
              <w:right w:val="nil"/>
            </w:tcBorders>
            <w:shd w:val="clear" w:color="D9D9D9" w:fill="D9D9D9"/>
            <w:vAlign w:val="center"/>
            <w:hideMark/>
          </w:tcPr>
          <w:p w14:paraId="5EA3A9C0" w14:textId="77777777" w:rsidR="00080338" w:rsidRPr="007A7FC6" w:rsidRDefault="00080338" w:rsidP="00232647">
            <w:pPr>
              <w:spacing w:after="0" w:line="240" w:lineRule="auto"/>
              <w:jc w:val="center"/>
              <w:rPr>
                <w:rFonts w:ascii="Calibri" w:eastAsia="Times New Roman" w:hAnsi="Calibri" w:cs="Calibri"/>
                <w:color w:val="000000"/>
                <w:sz w:val="18"/>
              </w:rPr>
            </w:pPr>
            <w:r w:rsidRPr="007A7FC6">
              <w:rPr>
                <w:rFonts w:ascii="Calibri" w:eastAsia="Times New Roman" w:hAnsi="Calibri" w:cs="Calibri"/>
                <w:color w:val="000000"/>
                <w:sz w:val="18"/>
              </w:rPr>
              <w:t>0.44</w:t>
            </w:r>
          </w:p>
        </w:tc>
        <w:tc>
          <w:tcPr>
            <w:tcW w:w="2901" w:type="dxa"/>
            <w:tcBorders>
              <w:top w:val="nil"/>
              <w:left w:val="nil"/>
              <w:bottom w:val="single" w:sz="4" w:space="0" w:color="000000"/>
              <w:right w:val="nil"/>
            </w:tcBorders>
            <w:shd w:val="clear" w:color="D9D9D9" w:fill="D9D9D9"/>
            <w:vAlign w:val="center"/>
            <w:hideMark/>
          </w:tcPr>
          <w:p w14:paraId="47B41E37" w14:textId="77777777" w:rsidR="00080338" w:rsidRPr="007A7FC6" w:rsidRDefault="00080338" w:rsidP="00232647">
            <w:pPr>
              <w:spacing w:after="0" w:line="240" w:lineRule="auto"/>
              <w:rPr>
                <w:rFonts w:ascii="Calibri" w:eastAsia="Times New Roman" w:hAnsi="Calibri" w:cs="Calibri"/>
                <w:color w:val="000000"/>
                <w:sz w:val="18"/>
              </w:rPr>
            </w:pPr>
            <w:proofErr w:type="spellStart"/>
            <w:r w:rsidRPr="007A7FC6">
              <w:rPr>
                <w:rFonts w:ascii="Calibri" w:eastAsia="Times New Roman" w:hAnsi="Calibri" w:cs="Calibri"/>
                <w:color w:val="000000"/>
                <w:sz w:val="18"/>
              </w:rPr>
              <w:t>splice_acceptor_variant</w:t>
            </w:r>
            <w:proofErr w:type="spellEnd"/>
            <w:r w:rsidRPr="007A7FC6">
              <w:rPr>
                <w:rFonts w:ascii="Calibri" w:eastAsia="Times New Roman" w:hAnsi="Calibri" w:cs="Calibri"/>
                <w:color w:val="000000"/>
                <w:sz w:val="18"/>
              </w:rPr>
              <w:t xml:space="preserve">, </w:t>
            </w:r>
            <w:proofErr w:type="spellStart"/>
            <w:r w:rsidRPr="007A7FC6">
              <w:rPr>
                <w:rFonts w:ascii="Calibri" w:eastAsia="Times New Roman" w:hAnsi="Calibri" w:cs="Calibri"/>
                <w:color w:val="000000"/>
                <w:sz w:val="18"/>
              </w:rPr>
              <w:t>coding_transcript_intron_variant</w:t>
            </w:r>
            <w:proofErr w:type="spellEnd"/>
          </w:p>
        </w:tc>
        <w:tc>
          <w:tcPr>
            <w:tcW w:w="1247" w:type="dxa"/>
            <w:tcBorders>
              <w:top w:val="nil"/>
              <w:left w:val="nil"/>
              <w:bottom w:val="single" w:sz="4" w:space="0" w:color="000000"/>
              <w:right w:val="nil"/>
            </w:tcBorders>
            <w:shd w:val="clear" w:color="D9D9D9" w:fill="D9D9D9"/>
            <w:vAlign w:val="center"/>
            <w:hideMark/>
          </w:tcPr>
          <w:p w14:paraId="63F7FA4C"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HIGH</w:t>
            </w:r>
          </w:p>
        </w:tc>
        <w:tc>
          <w:tcPr>
            <w:tcW w:w="2805" w:type="dxa"/>
            <w:tcBorders>
              <w:top w:val="nil"/>
              <w:left w:val="nil"/>
              <w:bottom w:val="single" w:sz="4" w:space="0" w:color="000000"/>
              <w:right w:val="nil"/>
            </w:tcBorders>
            <w:shd w:val="clear" w:color="D9D9D9" w:fill="D9D9D9"/>
            <w:vAlign w:val="center"/>
            <w:hideMark/>
          </w:tcPr>
          <w:p w14:paraId="3B4A190A" w14:textId="77777777" w:rsidR="00080338" w:rsidRPr="007A7FC6" w:rsidRDefault="00080338" w:rsidP="00232647">
            <w:pPr>
              <w:spacing w:after="0" w:line="240" w:lineRule="auto"/>
              <w:rPr>
                <w:rFonts w:ascii="Calibri" w:eastAsia="Times New Roman" w:hAnsi="Calibri" w:cs="Calibri"/>
                <w:color w:val="000000"/>
                <w:sz w:val="18"/>
              </w:rPr>
            </w:pPr>
            <w:r w:rsidRPr="007A7FC6">
              <w:rPr>
                <w:rFonts w:ascii="Calibri" w:eastAsia="Times New Roman" w:hAnsi="Calibri" w:cs="Calibri"/>
                <w:color w:val="000000"/>
                <w:sz w:val="18"/>
              </w:rPr>
              <w:t>Pathogenic</w:t>
            </w:r>
          </w:p>
        </w:tc>
      </w:tr>
    </w:tbl>
    <w:p w14:paraId="638B64AE" w14:textId="77777777" w:rsidR="004D0A90" w:rsidRDefault="004D0A90">
      <w:pPr>
        <w:spacing w:line="259" w:lineRule="auto"/>
        <w:rPr>
          <w:rFonts w:cstheme="minorHAnsi"/>
        </w:rPr>
      </w:pPr>
      <w:r>
        <w:rPr>
          <w:rFonts w:cstheme="minorHAnsi"/>
        </w:rPr>
        <w:br w:type="page"/>
      </w:r>
    </w:p>
    <w:p w14:paraId="3E1E64FF" w14:textId="497DC49A" w:rsidR="00CA2EEF" w:rsidRDefault="004D0A90" w:rsidP="00CA2EEF">
      <w:pPr>
        <w:rPr>
          <w:rFonts w:cstheme="minorHAnsi"/>
        </w:rPr>
      </w:pPr>
      <w:r>
        <w:rPr>
          <w:rFonts w:cstheme="minorHAnsi"/>
        </w:rPr>
        <w:lastRenderedPageBreak/>
        <w:t xml:space="preserve">Table S3. </w:t>
      </w:r>
      <w:proofErr w:type="gramStart"/>
      <w:r>
        <w:rPr>
          <w:rFonts w:cstheme="minorHAnsi"/>
        </w:rPr>
        <w:t>Antibodies.</w:t>
      </w:r>
      <w:proofErr w:type="gramEnd"/>
    </w:p>
    <w:tbl>
      <w:tblPr>
        <w:tblW w:w="15398" w:type="dxa"/>
        <w:tblLook w:val="04A0" w:firstRow="1" w:lastRow="0" w:firstColumn="1" w:lastColumn="0" w:noHBand="0" w:noVBand="1"/>
      </w:tblPr>
      <w:tblGrid>
        <w:gridCol w:w="3544"/>
        <w:gridCol w:w="2126"/>
        <w:gridCol w:w="2977"/>
        <w:gridCol w:w="1823"/>
        <w:gridCol w:w="1899"/>
        <w:gridCol w:w="3029"/>
      </w:tblGrid>
      <w:tr w:rsidR="004D0A90" w:rsidRPr="006C78E2" w14:paraId="42A6C792" w14:textId="77777777" w:rsidTr="00232647">
        <w:trPr>
          <w:trHeight w:val="300"/>
        </w:trPr>
        <w:tc>
          <w:tcPr>
            <w:tcW w:w="3544" w:type="dxa"/>
            <w:tcBorders>
              <w:top w:val="single" w:sz="4" w:space="0" w:color="000000"/>
              <w:left w:val="nil"/>
              <w:bottom w:val="single" w:sz="4" w:space="0" w:color="000000"/>
              <w:right w:val="nil"/>
            </w:tcBorders>
            <w:shd w:val="clear" w:color="auto" w:fill="auto"/>
            <w:noWrap/>
            <w:vAlign w:val="bottom"/>
            <w:hideMark/>
          </w:tcPr>
          <w:p w14:paraId="1D2A9F86" w14:textId="77777777" w:rsidR="004D0A90" w:rsidRPr="006C78E2" w:rsidRDefault="004D0A90" w:rsidP="00232647">
            <w:pPr>
              <w:spacing w:after="0" w:line="240" w:lineRule="auto"/>
              <w:rPr>
                <w:rFonts w:ascii="Calibri" w:eastAsia="Times New Roman" w:hAnsi="Calibri" w:cs="Calibri"/>
                <w:b/>
                <w:bCs/>
              </w:rPr>
            </w:pPr>
            <w:r w:rsidRPr="006C78E2">
              <w:rPr>
                <w:rFonts w:ascii="Calibri" w:eastAsia="Times New Roman" w:hAnsi="Calibri" w:cs="Calibri"/>
                <w:b/>
                <w:bCs/>
              </w:rPr>
              <w:t>Target</w:t>
            </w:r>
          </w:p>
        </w:tc>
        <w:tc>
          <w:tcPr>
            <w:tcW w:w="2126" w:type="dxa"/>
            <w:tcBorders>
              <w:top w:val="single" w:sz="4" w:space="0" w:color="000000"/>
              <w:left w:val="nil"/>
              <w:bottom w:val="single" w:sz="4" w:space="0" w:color="000000"/>
              <w:right w:val="nil"/>
            </w:tcBorders>
            <w:shd w:val="clear" w:color="auto" w:fill="auto"/>
            <w:noWrap/>
            <w:vAlign w:val="bottom"/>
            <w:hideMark/>
          </w:tcPr>
          <w:p w14:paraId="07369BE8" w14:textId="77777777" w:rsidR="004D0A90" w:rsidRPr="006C78E2" w:rsidRDefault="004D0A90" w:rsidP="00232647">
            <w:pPr>
              <w:spacing w:after="0" w:line="240" w:lineRule="auto"/>
              <w:rPr>
                <w:rFonts w:ascii="Calibri" w:eastAsia="Times New Roman" w:hAnsi="Calibri" w:cs="Calibri"/>
                <w:b/>
                <w:bCs/>
              </w:rPr>
            </w:pPr>
            <w:r w:rsidRPr="006C78E2">
              <w:rPr>
                <w:rFonts w:ascii="Calibri" w:eastAsia="Times New Roman" w:hAnsi="Calibri" w:cs="Calibri"/>
                <w:b/>
                <w:bCs/>
              </w:rPr>
              <w:t>Research Resource Identifier (RRID)</w:t>
            </w:r>
          </w:p>
        </w:tc>
        <w:tc>
          <w:tcPr>
            <w:tcW w:w="2977" w:type="dxa"/>
            <w:tcBorders>
              <w:top w:val="single" w:sz="4" w:space="0" w:color="000000"/>
              <w:left w:val="nil"/>
              <w:bottom w:val="single" w:sz="4" w:space="0" w:color="000000"/>
              <w:right w:val="nil"/>
            </w:tcBorders>
            <w:shd w:val="clear" w:color="auto" w:fill="auto"/>
            <w:noWrap/>
            <w:vAlign w:val="bottom"/>
            <w:hideMark/>
          </w:tcPr>
          <w:p w14:paraId="5507C24C" w14:textId="77777777" w:rsidR="004D0A90" w:rsidRPr="006C78E2" w:rsidRDefault="004D0A90" w:rsidP="00232647">
            <w:pPr>
              <w:spacing w:after="0" w:line="240" w:lineRule="auto"/>
              <w:rPr>
                <w:rFonts w:ascii="Calibri" w:eastAsia="Times New Roman" w:hAnsi="Calibri" w:cs="Calibri"/>
                <w:b/>
                <w:bCs/>
              </w:rPr>
            </w:pPr>
            <w:r w:rsidRPr="006C78E2">
              <w:rPr>
                <w:rFonts w:ascii="Calibri" w:eastAsia="Times New Roman" w:hAnsi="Calibri" w:cs="Calibri"/>
                <w:b/>
                <w:bCs/>
              </w:rPr>
              <w:t>Supplier</w:t>
            </w:r>
          </w:p>
        </w:tc>
        <w:tc>
          <w:tcPr>
            <w:tcW w:w="1823" w:type="dxa"/>
            <w:tcBorders>
              <w:top w:val="single" w:sz="4" w:space="0" w:color="000000"/>
              <w:left w:val="nil"/>
              <w:bottom w:val="single" w:sz="4" w:space="0" w:color="000000"/>
              <w:right w:val="nil"/>
            </w:tcBorders>
            <w:shd w:val="clear" w:color="auto" w:fill="auto"/>
            <w:noWrap/>
            <w:vAlign w:val="bottom"/>
            <w:hideMark/>
          </w:tcPr>
          <w:p w14:paraId="25B5C9D8" w14:textId="77777777" w:rsidR="004D0A90" w:rsidRPr="006C78E2" w:rsidRDefault="004D0A90" w:rsidP="00232647">
            <w:pPr>
              <w:spacing w:after="0" w:line="240" w:lineRule="auto"/>
              <w:rPr>
                <w:rFonts w:ascii="Calibri" w:eastAsia="Times New Roman" w:hAnsi="Calibri" w:cs="Calibri"/>
                <w:b/>
                <w:bCs/>
              </w:rPr>
            </w:pPr>
            <w:r w:rsidRPr="006C78E2">
              <w:rPr>
                <w:rFonts w:ascii="Calibri" w:eastAsia="Times New Roman" w:hAnsi="Calibri" w:cs="Calibri"/>
                <w:b/>
                <w:bCs/>
              </w:rPr>
              <w:t xml:space="preserve">Cat </w:t>
            </w:r>
            <w:proofErr w:type="spellStart"/>
            <w:r w:rsidRPr="006C78E2">
              <w:rPr>
                <w:rFonts w:ascii="Calibri" w:eastAsia="Times New Roman" w:hAnsi="Calibri" w:cs="Calibri"/>
                <w:b/>
                <w:bCs/>
              </w:rPr>
              <w:t>Num</w:t>
            </w:r>
            <w:proofErr w:type="spellEnd"/>
          </w:p>
        </w:tc>
        <w:tc>
          <w:tcPr>
            <w:tcW w:w="1899" w:type="dxa"/>
            <w:tcBorders>
              <w:top w:val="single" w:sz="4" w:space="0" w:color="000000"/>
              <w:left w:val="nil"/>
              <w:bottom w:val="single" w:sz="4" w:space="0" w:color="000000"/>
              <w:right w:val="nil"/>
            </w:tcBorders>
            <w:shd w:val="clear" w:color="auto" w:fill="auto"/>
            <w:noWrap/>
            <w:vAlign w:val="bottom"/>
            <w:hideMark/>
          </w:tcPr>
          <w:p w14:paraId="4A0D38BD" w14:textId="77777777" w:rsidR="004D0A90" w:rsidRPr="006C78E2" w:rsidRDefault="004D0A90" w:rsidP="00232647">
            <w:pPr>
              <w:spacing w:after="0" w:line="240" w:lineRule="auto"/>
              <w:rPr>
                <w:rFonts w:ascii="Calibri" w:eastAsia="Times New Roman" w:hAnsi="Calibri" w:cs="Calibri"/>
                <w:b/>
                <w:bCs/>
              </w:rPr>
            </w:pPr>
            <w:r w:rsidRPr="006C78E2">
              <w:rPr>
                <w:rFonts w:ascii="Calibri" w:eastAsia="Times New Roman" w:hAnsi="Calibri" w:cs="Calibri"/>
                <w:b/>
                <w:bCs/>
              </w:rPr>
              <w:t>Clone ID</w:t>
            </w:r>
          </w:p>
        </w:tc>
        <w:tc>
          <w:tcPr>
            <w:tcW w:w="3029" w:type="dxa"/>
            <w:tcBorders>
              <w:top w:val="single" w:sz="4" w:space="0" w:color="000000"/>
              <w:left w:val="nil"/>
              <w:bottom w:val="single" w:sz="4" w:space="0" w:color="000000"/>
              <w:right w:val="nil"/>
            </w:tcBorders>
            <w:shd w:val="clear" w:color="auto" w:fill="auto"/>
            <w:noWrap/>
            <w:vAlign w:val="bottom"/>
            <w:hideMark/>
          </w:tcPr>
          <w:p w14:paraId="78467942" w14:textId="77777777" w:rsidR="004D0A90" w:rsidRPr="006C78E2" w:rsidRDefault="004D0A90" w:rsidP="00232647">
            <w:pPr>
              <w:spacing w:after="0" w:line="240" w:lineRule="auto"/>
              <w:rPr>
                <w:rFonts w:ascii="Calibri" w:eastAsia="Times New Roman" w:hAnsi="Calibri" w:cs="Calibri"/>
                <w:b/>
                <w:bCs/>
              </w:rPr>
            </w:pPr>
            <w:r w:rsidRPr="006C78E2">
              <w:rPr>
                <w:rFonts w:ascii="Calibri" w:eastAsia="Times New Roman" w:hAnsi="Calibri" w:cs="Calibri"/>
                <w:b/>
                <w:bCs/>
              </w:rPr>
              <w:t>Host Organism</w:t>
            </w:r>
          </w:p>
        </w:tc>
      </w:tr>
      <w:tr w:rsidR="004D0A90" w:rsidRPr="006C78E2" w14:paraId="5C417366" w14:textId="77777777" w:rsidTr="00232647">
        <w:trPr>
          <w:trHeight w:val="300"/>
        </w:trPr>
        <w:tc>
          <w:tcPr>
            <w:tcW w:w="3544" w:type="dxa"/>
            <w:tcBorders>
              <w:top w:val="nil"/>
              <w:left w:val="nil"/>
              <w:bottom w:val="nil"/>
              <w:right w:val="nil"/>
            </w:tcBorders>
            <w:shd w:val="clear" w:color="D9D9D9" w:fill="D9D9D9"/>
            <w:noWrap/>
            <w:vAlign w:val="bottom"/>
            <w:hideMark/>
          </w:tcPr>
          <w:p w14:paraId="134309C7" w14:textId="77777777" w:rsidR="004D0A90" w:rsidRPr="006C78E2" w:rsidRDefault="004D0A90" w:rsidP="00232647">
            <w:pPr>
              <w:spacing w:after="0" w:line="240" w:lineRule="auto"/>
              <w:rPr>
                <w:rFonts w:ascii="Calibri" w:eastAsia="Times New Roman" w:hAnsi="Calibri" w:cs="Calibri"/>
              </w:rPr>
            </w:pPr>
            <w:proofErr w:type="spellStart"/>
            <w:r w:rsidRPr="006C78E2">
              <w:rPr>
                <w:rFonts w:ascii="Calibri" w:eastAsia="Times New Roman" w:hAnsi="Calibri" w:cs="Calibri"/>
              </w:rPr>
              <w:t>Endomucin</w:t>
            </w:r>
            <w:proofErr w:type="spellEnd"/>
            <w:r w:rsidRPr="006C78E2">
              <w:rPr>
                <w:rFonts w:ascii="Calibri" w:eastAsia="Times New Roman" w:hAnsi="Calibri" w:cs="Calibri"/>
              </w:rPr>
              <w:t xml:space="preserve"> mouse</w:t>
            </w:r>
          </w:p>
        </w:tc>
        <w:tc>
          <w:tcPr>
            <w:tcW w:w="2126" w:type="dxa"/>
            <w:tcBorders>
              <w:top w:val="nil"/>
              <w:left w:val="nil"/>
              <w:bottom w:val="nil"/>
              <w:right w:val="nil"/>
            </w:tcBorders>
            <w:shd w:val="clear" w:color="D9D9D9" w:fill="D9D9D9"/>
            <w:noWrap/>
            <w:vAlign w:val="bottom"/>
            <w:hideMark/>
          </w:tcPr>
          <w:p w14:paraId="0DDAD3B0"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AB_891529</w:t>
            </w:r>
          </w:p>
        </w:tc>
        <w:tc>
          <w:tcPr>
            <w:tcW w:w="2977" w:type="dxa"/>
            <w:tcBorders>
              <w:top w:val="nil"/>
              <w:left w:val="nil"/>
              <w:bottom w:val="nil"/>
              <w:right w:val="nil"/>
            </w:tcBorders>
            <w:shd w:val="clear" w:color="D9D9D9" w:fill="D9D9D9"/>
            <w:noWrap/>
            <w:vAlign w:val="bottom"/>
            <w:hideMark/>
          </w:tcPr>
          <w:p w14:paraId="1EF7C9DA" w14:textId="77777777" w:rsidR="004D0A90" w:rsidRPr="006C78E2" w:rsidRDefault="004D0A90" w:rsidP="00232647">
            <w:pPr>
              <w:spacing w:after="0" w:line="240" w:lineRule="auto"/>
              <w:rPr>
                <w:rFonts w:ascii="Calibri" w:eastAsia="Times New Roman" w:hAnsi="Calibri" w:cs="Calibri"/>
              </w:rPr>
            </w:pPr>
            <w:proofErr w:type="spellStart"/>
            <w:r w:rsidRPr="006C78E2">
              <w:rPr>
                <w:rFonts w:ascii="Calibri" w:eastAsia="Times New Roman" w:hAnsi="Calibri" w:cs="Calibri"/>
              </w:rPr>
              <w:t>Thermo</w:t>
            </w:r>
            <w:proofErr w:type="spellEnd"/>
            <w:r w:rsidRPr="006C78E2">
              <w:rPr>
                <w:rFonts w:ascii="Calibri" w:eastAsia="Times New Roman" w:hAnsi="Calibri" w:cs="Calibri"/>
              </w:rPr>
              <w:t xml:space="preserve"> Fisher Scientific</w:t>
            </w:r>
          </w:p>
        </w:tc>
        <w:tc>
          <w:tcPr>
            <w:tcW w:w="1823" w:type="dxa"/>
            <w:tcBorders>
              <w:top w:val="nil"/>
              <w:left w:val="nil"/>
              <w:bottom w:val="nil"/>
              <w:right w:val="nil"/>
            </w:tcBorders>
            <w:shd w:val="clear" w:color="D9D9D9" w:fill="D9D9D9"/>
            <w:noWrap/>
            <w:vAlign w:val="bottom"/>
            <w:hideMark/>
          </w:tcPr>
          <w:p w14:paraId="23076B8A"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14-5851-81</w:t>
            </w:r>
          </w:p>
        </w:tc>
        <w:tc>
          <w:tcPr>
            <w:tcW w:w="1899" w:type="dxa"/>
            <w:tcBorders>
              <w:top w:val="nil"/>
              <w:left w:val="nil"/>
              <w:bottom w:val="nil"/>
              <w:right w:val="nil"/>
            </w:tcBorders>
            <w:shd w:val="clear" w:color="D9D9D9" w:fill="D9D9D9"/>
            <w:noWrap/>
            <w:vAlign w:val="bottom"/>
            <w:hideMark/>
          </w:tcPr>
          <w:p w14:paraId="6EB56193"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Clone eBioV.7C7 (V.7C7)</w:t>
            </w:r>
          </w:p>
        </w:tc>
        <w:tc>
          <w:tcPr>
            <w:tcW w:w="3029" w:type="dxa"/>
            <w:tcBorders>
              <w:top w:val="nil"/>
              <w:left w:val="nil"/>
              <w:bottom w:val="nil"/>
              <w:right w:val="nil"/>
            </w:tcBorders>
            <w:shd w:val="clear" w:color="D9D9D9" w:fill="D9D9D9"/>
            <w:noWrap/>
            <w:vAlign w:val="bottom"/>
            <w:hideMark/>
          </w:tcPr>
          <w:p w14:paraId="3F6D3971"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Rat</w:t>
            </w:r>
          </w:p>
        </w:tc>
      </w:tr>
      <w:tr w:rsidR="004D0A90" w:rsidRPr="006C78E2" w14:paraId="78DCB5C3" w14:textId="77777777" w:rsidTr="00232647">
        <w:trPr>
          <w:trHeight w:val="300"/>
        </w:trPr>
        <w:tc>
          <w:tcPr>
            <w:tcW w:w="3544" w:type="dxa"/>
            <w:tcBorders>
              <w:top w:val="nil"/>
              <w:left w:val="nil"/>
              <w:bottom w:val="nil"/>
              <w:right w:val="nil"/>
            </w:tcBorders>
            <w:shd w:val="clear" w:color="auto" w:fill="auto"/>
            <w:noWrap/>
            <w:vAlign w:val="bottom"/>
            <w:hideMark/>
          </w:tcPr>
          <w:p w14:paraId="55F4F79B" w14:textId="77777777" w:rsidR="004D0A90" w:rsidRPr="006C78E2" w:rsidRDefault="004D0A90" w:rsidP="00232647">
            <w:pPr>
              <w:spacing w:after="0" w:line="240" w:lineRule="auto"/>
              <w:rPr>
                <w:rFonts w:ascii="Calibri" w:eastAsia="Times New Roman" w:hAnsi="Calibri" w:cs="Calibri"/>
              </w:rPr>
            </w:pPr>
            <w:proofErr w:type="spellStart"/>
            <w:r w:rsidRPr="006C78E2">
              <w:rPr>
                <w:rFonts w:ascii="Calibri" w:eastAsia="Times New Roman" w:hAnsi="Calibri" w:cs="Calibri"/>
              </w:rPr>
              <w:t>Endoglin</w:t>
            </w:r>
            <w:proofErr w:type="spellEnd"/>
            <w:r w:rsidRPr="006C78E2">
              <w:rPr>
                <w:rFonts w:ascii="Calibri" w:eastAsia="Times New Roman" w:hAnsi="Calibri" w:cs="Calibri"/>
              </w:rPr>
              <w:t>/CD105 mouse</w:t>
            </w:r>
          </w:p>
        </w:tc>
        <w:tc>
          <w:tcPr>
            <w:tcW w:w="2126" w:type="dxa"/>
            <w:tcBorders>
              <w:top w:val="nil"/>
              <w:left w:val="nil"/>
              <w:bottom w:val="nil"/>
              <w:right w:val="nil"/>
            </w:tcBorders>
            <w:shd w:val="clear" w:color="auto" w:fill="auto"/>
            <w:noWrap/>
            <w:vAlign w:val="bottom"/>
            <w:hideMark/>
          </w:tcPr>
          <w:p w14:paraId="31CBD033"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AB_354735</w:t>
            </w:r>
          </w:p>
        </w:tc>
        <w:tc>
          <w:tcPr>
            <w:tcW w:w="2977" w:type="dxa"/>
            <w:tcBorders>
              <w:top w:val="nil"/>
              <w:left w:val="nil"/>
              <w:bottom w:val="nil"/>
              <w:right w:val="nil"/>
            </w:tcBorders>
            <w:shd w:val="clear" w:color="auto" w:fill="auto"/>
            <w:noWrap/>
            <w:vAlign w:val="bottom"/>
            <w:hideMark/>
          </w:tcPr>
          <w:p w14:paraId="72FEF4AA"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 and D Systems</w:t>
            </w:r>
          </w:p>
        </w:tc>
        <w:tc>
          <w:tcPr>
            <w:tcW w:w="1823" w:type="dxa"/>
            <w:tcBorders>
              <w:top w:val="nil"/>
              <w:left w:val="nil"/>
              <w:bottom w:val="nil"/>
              <w:right w:val="nil"/>
            </w:tcBorders>
            <w:shd w:val="clear" w:color="auto" w:fill="auto"/>
            <w:noWrap/>
            <w:vAlign w:val="bottom"/>
            <w:hideMark/>
          </w:tcPr>
          <w:p w14:paraId="39FD0A2E"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AF1320</w:t>
            </w:r>
          </w:p>
        </w:tc>
        <w:tc>
          <w:tcPr>
            <w:tcW w:w="1899" w:type="dxa"/>
            <w:tcBorders>
              <w:top w:val="nil"/>
              <w:left w:val="nil"/>
              <w:bottom w:val="nil"/>
              <w:right w:val="nil"/>
            </w:tcBorders>
            <w:shd w:val="clear" w:color="auto" w:fill="auto"/>
            <w:noWrap/>
            <w:vAlign w:val="bottom"/>
            <w:hideMark/>
          </w:tcPr>
          <w:p w14:paraId="3B7C5A4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auto" w:fill="auto"/>
            <w:noWrap/>
            <w:vAlign w:val="bottom"/>
            <w:hideMark/>
          </w:tcPr>
          <w:p w14:paraId="2C9F5DC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Goat</w:t>
            </w:r>
          </w:p>
        </w:tc>
      </w:tr>
      <w:tr w:rsidR="004D0A90" w:rsidRPr="006C78E2" w14:paraId="3223837B" w14:textId="77777777" w:rsidTr="00232647">
        <w:trPr>
          <w:trHeight w:val="300"/>
        </w:trPr>
        <w:tc>
          <w:tcPr>
            <w:tcW w:w="3544" w:type="dxa"/>
            <w:tcBorders>
              <w:top w:val="nil"/>
              <w:left w:val="nil"/>
              <w:bottom w:val="nil"/>
              <w:right w:val="nil"/>
            </w:tcBorders>
            <w:shd w:val="clear" w:color="D9D9D9" w:fill="D9D9D9"/>
            <w:noWrap/>
            <w:vAlign w:val="bottom"/>
            <w:hideMark/>
          </w:tcPr>
          <w:p w14:paraId="4635F55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LYVE-1 mouse</w:t>
            </w:r>
          </w:p>
        </w:tc>
        <w:tc>
          <w:tcPr>
            <w:tcW w:w="2126" w:type="dxa"/>
            <w:tcBorders>
              <w:top w:val="nil"/>
              <w:left w:val="nil"/>
              <w:bottom w:val="nil"/>
              <w:right w:val="nil"/>
            </w:tcBorders>
            <w:shd w:val="clear" w:color="D9D9D9" w:fill="D9D9D9"/>
            <w:noWrap/>
            <w:vAlign w:val="bottom"/>
            <w:hideMark/>
          </w:tcPr>
          <w:p w14:paraId="1F1131D1"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AB_2297188</w:t>
            </w:r>
          </w:p>
        </w:tc>
        <w:tc>
          <w:tcPr>
            <w:tcW w:w="2977" w:type="dxa"/>
            <w:tcBorders>
              <w:top w:val="nil"/>
              <w:left w:val="nil"/>
              <w:bottom w:val="nil"/>
              <w:right w:val="nil"/>
            </w:tcBorders>
            <w:shd w:val="clear" w:color="D9D9D9" w:fill="D9D9D9"/>
            <w:noWrap/>
            <w:vAlign w:val="bottom"/>
            <w:hideMark/>
          </w:tcPr>
          <w:p w14:paraId="71B0EF65"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 and D Systems</w:t>
            </w:r>
          </w:p>
        </w:tc>
        <w:tc>
          <w:tcPr>
            <w:tcW w:w="1823" w:type="dxa"/>
            <w:tcBorders>
              <w:top w:val="nil"/>
              <w:left w:val="nil"/>
              <w:bottom w:val="nil"/>
              <w:right w:val="nil"/>
            </w:tcBorders>
            <w:shd w:val="clear" w:color="D9D9D9" w:fill="D9D9D9"/>
            <w:noWrap/>
            <w:vAlign w:val="bottom"/>
            <w:hideMark/>
          </w:tcPr>
          <w:p w14:paraId="2BDCF90B"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AF2125</w:t>
            </w:r>
          </w:p>
        </w:tc>
        <w:tc>
          <w:tcPr>
            <w:tcW w:w="1899" w:type="dxa"/>
            <w:tcBorders>
              <w:top w:val="nil"/>
              <w:left w:val="nil"/>
              <w:bottom w:val="nil"/>
              <w:right w:val="nil"/>
            </w:tcBorders>
            <w:shd w:val="clear" w:color="D9D9D9" w:fill="D9D9D9"/>
            <w:noWrap/>
            <w:vAlign w:val="bottom"/>
            <w:hideMark/>
          </w:tcPr>
          <w:p w14:paraId="574ADE81"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D9D9D9" w:fill="D9D9D9"/>
            <w:noWrap/>
            <w:vAlign w:val="bottom"/>
            <w:hideMark/>
          </w:tcPr>
          <w:p w14:paraId="6E46EDF3"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Goat</w:t>
            </w:r>
          </w:p>
        </w:tc>
      </w:tr>
      <w:tr w:rsidR="004D0A90" w:rsidRPr="006C78E2" w14:paraId="5B4DFBED" w14:textId="77777777" w:rsidTr="00232647">
        <w:trPr>
          <w:trHeight w:val="300"/>
        </w:trPr>
        <w:tc>
          <w:tcPr>
            <w:tcW w:w="3544" w:type="dxa"/>
            <w:tcBorders>
              <w:top w:val="nil"/>
              <w:left w:val="nil"/>
              <w:bottom w:val="nil"/>
              <w:right w:val="nil"/>
            </w:tcBorders>
            <w:shd w:val="clear" w:color="auto" w:fill="auto"/>
            <w:noWrap/>
            <w:vAlign w:val="bottom"/>
            <w:hideMark/>
          </w:tcPr>
          <w:p w14:paraId="1777D76F"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CD31/PECAM-1 epitope: aa 18-590 mouse</w:t>
            </w:r>
          </w:p>
        </w:tc>
        <w:tc>
          <w:tcPr>
            <w:tcW w:w="2126" w:type="dxa"/>
            <w:tcBorders>
              <w:top w:val="nil"/>
              <w:left w:val="nil"/>
              <w:bottom w:val="nil"/>
              <w:right w:val="nil"/>
            </w:tcBorders>
            <w:shd w:val="clear" w:color="auto" w:fill="auto"/>
            <w:noWrap/>
            <w:vAlign w:val="bottom"/>
            <w:hideMark/>
          </w:tcPr>
          <w:p w14:paraId="6B907751"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AB_2161028</w:t>
            </w:r>
          </w:p>
        </w:tc>
        <w:tc>
          <w:tcPr>
            <w:tcW w:w="2977" w:type="dxa"/>
            <w:tcBorders>
              <w:top w:val="nil"/>
              <w:left w:val="nil"/>
              <w:bottom w:val="nil"/>
              <w:right w:val="nil"/>
            </w:tcBorders>
            <w:shd w:val="clear" w:color="auto" w:fill="auto"/>
            <w:noWrap/>
            <w:vAlign w:val="bottom"/>
            <w:hideMark/>
          </w:tcPr>
          <w:p w14:paraId="203E4EE5"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 and D Systems</w:t>
            </w:r>
          </w:p>
        </w:tc>
        <w:tc>
          <w:tcPr>
            <w:tcW w:w="1823" w:type="dxa"/>
            <w:tcBorders>
              <w:top w:val="nil"/>
              <w:left w:val="nil"/>
              <w:bottom w:val="nil"/>
              <w:right w:val="nil"/>
            </w:tcBorders>
            <w:shd w:val="clear" w:color="auto" w:fill="auto"/>
            <w:noWrap/>
            <w:vAlign w:val="bottom"/>
            <w:hideMark/>
          </w:tcPr>
          <w:p w14:paraId="11657366"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AF3628</w:t>
            </w:r>
          </w:p>
        </w:tc>
        <w:tc>
          <w:tcPr>
            <w:tcW w:w="1899" w:type="dxa"/>
            <w:tcBorders>
              <w:top w:val="nil"/>
              <w:left w:val="nil"/>
              <w:bottom w:val="nil"/>
              <w:right w:val="nil"/>
            </w:tcBorders>
            <w:shd w:val="clear" w:color="auto" w:fill="auto"/>
            <w:noWrap/>
            <w:vAlign w:val="bottom"/>
            <w:hideMark/>
          </w:tcPr>
          <w:p w14:paraId="7C08B91D"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auto" w:fill="auto"/>
            <w:noWrap/>
            <w:vAlign w:val="bottom"/>
            <w:hideMark/>
          </w:tcPr>
          <w:p w14:paraId="75B27C0D"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Goat</w:t>
            </w:r>
          </w:p>
        </w:tc>
      </w:tr>
      <w:tr w:rsidR="004D0A90" w:rsidRPr="006C78E2" w14:paraId="1522F515" w14:textId="77777777" w:rsidTr="00232647">
        <w:trPr>
          <w:trHeight w:val="300"/>
        </w:trPr>
        <w:tc>
          <w:tcPr>
            <w:tcW w:w="3544" w:type="dxa"/>
            <w:tcBorders>
              <w:top w:val="nil"/>
              <w:left w:val="nil"/>
              <w:bottom w:val="nil"/>
              <w:right w:val="nil"/>
            </w:tcBorders>
            <w:shd w:val="clear" w:color="D9D9D9" w:fill="D9D9D9"/>
            <w:noWrap/>
            <w:vAlign w:val="bottom"/>
            <w:hideMark/>
          </w:tcPr>
          <w:p w14:paraId="59C6A104"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ACTA2 mouse</w:t>
            </w:r>
          </w:p>
        </w:tc>
        <w:tc>
          <w:tcPr>
            <w:tcW w:w="2126" w:type="dxa"/>
            <w:tcBorders>
              <w:top w:val="nil"/>
              <w:left w:val="nil"/>
              <w:bottom w:val="nil"/>
              <w:right w:val="nil"/>
            </w:tcBorders>
            <w:shd w:val="clear" w:color="D9D9D9" w:fill="D9D9D9"/>
            <w:noWrap/>
            <w:vAlign w:val="bottom"/>
            <w:hideMark/>
          </w:tcPr>
          <w:p w14:paraId="341C0233"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AB_2223021</w:t>
            </w:r>
          </w:p>
        </w:tc>
        <w:tc>
          <w:tcPr>
            <w:tcW w:w="2977" w:type="dxa"/>
            <w:tcBorders>
              <w:top w:val="nil"/>
              <w:left w:val="nil"/>
              <w:bottom w:val="nil"/>
              <w:right w:val="nil"/>
            </w:tcBorders>
            <w:shd w:val="clear" w:color="D9D9D9" w:fill="D9D9D9"/>
            <w:noWrap/>
            <w:vAlign w:val="bottom"/>
            <w:hideMark/>
          </w:tcPr>
          <w:p w14:paraId="318D4003" w14:textId="77777777" w:rsidR="004D0A90" w:rsidRPr="006C78E2" w:rsidRDefault="004D0A90" w:rsidP="00232647">
            <w:pPr>
              <w:spacing w:after="0" w:line="240" w:lineRule="auto"/>
              <w:rPr>
                <w:rFonts w:ascii="Calibri" w:eastAsia="Times New Roman" w:hAnsi="Calibri" w:cs="Calibri"/>
              </w:rPr>
            </w:pPr>
            <w:proofErr w:type="spellStart"/>
            <w:r w:rsidRPr="006C78E2">
              <w:rPr>
                <w:rFonts w:ascii="Calibri" w:eastAsia="Times New Roman" w:hAnsi="Calibri" w:cs="Calibri"/>
              </w:rPr>
              <w:t>Abcam</w:t>
            </w:r>
            <w:proofErr w:type="spellEnd"/>
          </w:p>
        </w:tc>
        <w:tc>
          <w:tcPr>
            <w:tcW w:w="1823" w:type="dxa"/>
            <w:tcBorders>
              <w:top w:val="nil"/>
              <w:left w:val="nil"/>
              <w:bottom w:val="nil"/>
              <w:right w:val="nil"/>
            </w:tcBorders>
            <w:shd w:val="clear" w:color="D9D9D9" w:fill="D9D9D9"/>
            <w:noWrap/>
            <w:vAlign w:val="bottom"/>
            <w:hideMark/>
          </w:tcPr>
          <w:p w14:paraId="12DD72A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ab5694</w:t>
            </w:r>
          </w:p>
        </w:tc>
        <w:tc>
          <w:tcPr>
            <w:tcW w:w="1899" w:type="dxa"/>
            <w:tcBorders>
              <w:top w:val="nil"/>
              <w:left w:val="nil"/>
              <w:bottom w:val="nil"/>
              <w:right w:val="nil"/>
            </w:tcBorders>
            <w:shd w:val="clear" w:color="D9D9D9" w:fill="D9D9D9"/>
            <w:noWrap/>
            <w:vAlign w:val="bottom"/>
            <w:hideMark/>
          </w:tcPr>
          <w:p w14:paraId="54836586"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D9D9D9" w:fill="D9D9D9"/>
            <w:noWrap/>
            <w:vAlign w:val="bottom"/>
            <w:hideMark/>
          </w:tcPr>
          <w:p w14:paraId="4FDABA1E"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Rabbit</w:t>
            </w:r>
          </w:p>
        </w:tc>
      </w:tr>
      <w:tr w:rsidR="004D0A90" w:rsidRPr="006C78E2" w14:paraId="0023E09E" w14:textId="77777777" w:rsidTr="00232647">
        <w:trPr>
          <w:trHeight w:val="300"/>
        </w:trPr>
        <w:tc>
          <w:tcPr>
            <w:tcW w:w="3544" w:type="dxa"/>
            <w:tcBorders>
              <w:top w:val="nil"/>
              <w:left w:val="nil"/>
              <w:bottom w:val="nil"/>
              <w:right w:val="nil"/>
            </w:tcBorders>
            <w:shd w:val="clear" w:color="auto" w:fill="auto"/>
            <w:noWrap/>
            <w:vAlign w:val="bottom"/>
            <w:hideMark/>
          </w:tcPr>
          <w:p w14:paraId="7920D47B"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 xml:space="preserve">Glutamine </w:t>
            </w:r>
            <w:proofErr w:type="spellStart"/>
            <w:r w:rsidRPr="006C78E2">
              <w:rPr>
                <w:rFonts w:ascii="Calibri" w:eastAsia="Times New Roman" w:hAnsi="Calibri" w:cs="Calibri"/>
              </w:rPr>
              <w:t>Synthetase</w:t>
            </w:r>
            <w:proofErr w:type="spellEnd"/>
            <w:r w:rsidRPr="006C78E2">
              <w:rPr>
                <w:rFonts w:ascii="Calibri" w:eastAsia="Times New Roman" w:hAnsi="Calibri" w:cs="Calibri"/>
              </w:rPr>
              <w:t xml:space="preserve"> mouse, human</w:t>
            </w:r>
          </w:p>
        </w:tc>
        <w:tc>
          <w:tcPr>
            <w:tcW w:w="2126" w:type="dxa"/>
            <w:tcBorders>
              <w:top w:val="nil"/>
              <w:left w:val="nil"/>
              <w:bottom w:val="nil"/>
              <w:right w:val="nil"/>
            </w:tcBorders>
            <w:shd w:val="clear" w:color="auto" w:fill="auto"/>
            <w:noWrap/>
            <w:vAlign w:val="bottom"/>
            <w:hideMark/>
          </w:tcPr>
          <w:p w14:paraId="7B84792D"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AB_259853</w:t>
            </w:r>
          </w:p>
        </w:tc>
        <w:tc>
          <w:tcPr>
            <w:tcW w:w="2977" w:type="dxa"/>
            <w:tcBorders>
              <w:top w:val="nil"/>
              <w:left w:val="nil"/>
              <w:bottom w:val="nil"/>
              <w:right w:val="nil"/>
            </w:tcBorders>
            <w:shd w:val="clear" w:color="auto" w:fill="auto"/>
            <w:noWrap/>
            <w:vAlign w:val="bottom"/>
            <w:hideMark/>
          </w:tcPr>
          <w:p w14:paraId="2429B55A"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Sigma-Aldrich</w:t>
            </w:r>
          </w:p>
        </w:tc>
        <w:tc>
          <w:tcPr>
            <w:tcW w:w="1823" w:type="dxa"/>
            <w:tcBorders>
              <w:top w:val="nil"/>
              <w:left w:val="nil"/>
              <w:bottom w:val="nil"/>
              <w:right w:val="nil"/>
            </w:tcBorders>
            <w:shd w:val="clear" w:color="auto" w:fill="auto"/>
            <w:noWrap/>
            <w:vAlign w:val="bottom"/>
            <w:hideMark/>
          </w:tcPr>
          <w:p w14:paraId="6F1EF6DD"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G2781</w:t>
            </w:r>
          </w:p>
        </w:tc>
        <w:tc>
          <w:tcPr>
            <w:tcW w:w="1899" w:type="dxa"/>
            <w:tcBorders>
              <w:top w:val="nil"/>
              <w:left w:val="nil"/>
              <w:bottom w:val="nil"/>
              <w:right w:val="nil"/>
            </w:tcBorders>
            <w:shd w:val="clear" w:color="auto" w:fill="auto"/>
            <w:noWrap/>
            <w:vAlign w:val="bottom"/>
            <w:hideMark/>
          </w:tcPr>
          <w:p w14:paraId="11F16CD5"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auto" w:fill="auto"/>
            <w:noWrap/>
            <w:vAlign w:val="bottom"/>
            <w:hideMark/>
          </w:tcPr>
          <w:p w14:paraId="75E8D44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Rabbit</w:t>
            </w:r>
          </w:p>
        </w:tc>
      </w:tr>
      <w:tr w:rsidR="004D0A90" w:rsidRPr="006C78E2" w14:paraId="3824391A" w14:textId="77777777" w:rsidTr="00232647">
        <w:trPr>
          <w:trHeight w:val="300"/>
        </w:trPr>
        <w:tc>
          <w:tcPr>
            <w:tcW w:w="3544" w:type="dxa"/>
            <w:tcBorders>
              <w:top w:val="nil"/>
              <w:left w:val="nil"/>
              <w:bottom w:val="nil"/>
              <w:right w:val="nil"/>
            </w:tcBorders>
            <w:shd w:val="clear" w:color="D9D9D9" w:fill="D9D9D9"/>
            <w:noWrap/>
            <w:vAlign w:val="bottom"/>
            <w:hideMark/>
          </w:tcPr>
          <w:p w14:paraId="7B6CAB97"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ARG1 mouse</w:t>
            </w:r>
          </w:p>
        </w:tc>
        <w:tc>
          <w:tcPr>
            <w:tcW w:w="2126" w:type="dxa"/>
            <w:tcBorders>
              <w:top w:val="nil"/>
              <w:left w:val="nil"/>
              <w:bottom w:val="nil"/>
              <w:right w:val="nil"/>
            </w:tcBorders>
            <w:shd w:val="clear" w:color="D9D9D9" w:fill="D9D9D9"/>
            <w:noWrap/>
            <w:vAlign w:val="bottom"/>
            <w:hideMark/>
          </w:tcPr>
          <w:p w14:paraId="12FFC7C8"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AB_2800207</w:t>
            </w:r>
          </w:p>
        </w:tc>
        <w:tc>
          <w:tcPr>
            <w:tcW w:w="2977" w:type="dxa"/>
            <w:tcBorders>
              <w:top w:val="nil"/>
              <w:left w:val="nil"/>
              <w:bottom w:val="nil"/>
              <w:right w:val="nil"/>
            </w:tcBorders>
            <w:shd w:val="clear" w:color="D9D9D9" w:fill="D9D9D9"/>
            <w:noWrap/>
            <w:vAlign w:val="bottom"/>
            <w:hideMark/>
          </w:tcPr>
          <w:p w14:paraId="799FF22F"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Cell Signaling Technology</w:t>
            </w:r>
          </w:p>
        </w:tc>
        <w:tc>
          <w:tcPr>
            <w:tcW w:w="1823" w:type="dxa"/>
            <w:tcBorders>
              <w:top w:val="nil"/>
              <w:left w:val="nil"/>
              <w:bottom w:val="nil"/>
              <w:right w:val="nil"/>
            </w:tcBorders>
            <w:shd w:val="clear" w:color="D9D9D9" w:fill="D9D9D9"/>
            <w:noWrap/>
            <w:vAlign w:val="bottom"/>
            <w:hideMark/>
          </w:tcPr>
          <w:p w14:paraId="081AED90"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93668</w:t>
            </w:r>
          </w:p>
        </w:tc>
        <w:tc>
          <w:tcPr>
            <w:tcW w:w="1899" w:type="dxa"/>
            <w:tcBorders>
              <w:top w:val="nil"/>
              <w:left w:val="nil"/>
              <w:bottom w:val="nil"/>
              <w:right w:val="nil"/>
            </w:tcBorders>
            <w:shd w:val="clear" w:color="D9D9D9" w:fill="D9D9D9"/>
            <w:noWrap/>
            <w:vAlign w:val="bottom"/>
            <w:hideMark/>
          </w:tcPr>
          <w:p w14:paraId="0C1863CA"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Clone D4E3M™</w:t>
            </w:r>
          </w:p>
        </w:tc>
        <w:tc>
          <w:tcPr>
            <w:tcW w:w="3029" w:type="dxa"/>
            <w:tcBorders>
              <w:top w:val="nil"/>
              <w:left w:val="nil"/>
              <w:bottom w:val="nil"/>
              <w:right w:val="nil"/>
            </w:tcBorders>
            <w:shd w:val="clear" w:color="D9D9D9" w:fill="D9D9D9"/>
            <w:noWrap/>
            <w:vAlign w:val="bottom"/>
            <w:hideMark/>
          </w:tcPr>
          <w:p w14:paraId="1EB8F1E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Rabbit</w:t>
            </w:r>
          </w:p>
        </w:tc>
      </w:tr>
      <w:tr w:rsidR="004D0A90" w:rsidRPr="006C78E2" w14:paraId="64037A53" w14:textId="77777777" w:rsidTr="00232647">
        <w:trPr>
          <w:trHeight w:val="300"/>
        </w:trPr>
        <w:tc>
          <w:tcPr>
            <w:tcW w:w="3544" w:type="dxa"/>
            <w:tcBorders>
              <w:top w:val="nil"/>
              <w:left w:val="nil"/>
              <w:bottom w:val="nil"/>
              <w:right w:val="nil"/>
            </w:tcBorders>
            <w:shd w:val="clear" w:color="auto" w:fill="auto"/>
            <w:noWrap/>
            <w:vAlign w:val="bottom"/>
            <w:hideMark/>
          </w:tcPr>
          <w:p w14:paraId="60AF77A8"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Fc gamma RII/CD32 human</w:t>
            </w:r>
          </w:p>
        </w:tc>
        <w:tc>
          <w:tcPr>
            <w:tcW w:w="2126" w:type="dxa"/>
            <w:tcBorders>
              <w:top w:val="nil"/>
              <w:left w:val="nil"/>
              <w:bottom w:val="nil"/>
              <w:right w:val="nil"/>
            </w:tcBorders>
            <w:shd w:val="clear" w:color="auto" w:fill="auto"/>
            <w:noWrap/>
            <w:vAlign w:val="bottom"/>
            <w:hideMark/>
          </w:tcPr>
          <w:p w14:paraId="468E405F"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AB_354737</w:t>
            </w:r>
          </w:p>
        </w:tc>
        <w:tc>
          <w:tcPr>
            <w:tcW w:w="2977" w:type="dxa"/>
            <w:tcBorders>
              <w:top w:val="nil"/>
              <w:left w:val="nil"/>
              <w:bottom w:val="nil"/>
              <w:right w:val="nil"/>
            </w:tcBorders>
            <w:shd w:val="clear" w:color="auto" w:fill="auto"/>
            <w:noWrap/>
            <w:vAlign w:val="bottom"/>
            <w:hideMark/>
          </w:tcPr>
          <w:p w14:paraId="5A485C45"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 and D Systems</w:t>
            </w:r>
          </w:p>
        </w:tc>
        <w:tc>
          <w:tcPr>
            <w:tcW w:w="1823" w:type="dxa"/>
            <w:tcBorders>
              <w:top w:val="nil"/>
              <w:left w:val="nil"/>
              <w:bottom w:val="nil"/>
              <w:right w:val="nil"/>
            </w:tcBorders>
            <w:shd w:val="clear" w:color="auto" w:fill="auto"/>
            <w:noWrap/>
            <w:vAlign w:val="bottom"/>
            <w:hideMark/>
          </w:tcPr>
          <w:p w14:paraId="2508A227"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AF1330</w:t>
            </w:r>
          </w:p>
        </w:tc>
        <w:tc>
          <w:tcPr>
            <w:tcW w:w="1899" w:type="dxa"/>
            <w:tcBorders>
              <w:top w:val="nil"/>
              <w:left w:val="nil"/>
              <w:bottom w:val="nil"/>
              <w:right w:val="nil"/>
            </w:tcBorders>
            <w:shd w:val="clear" w:color="auto" w:fill="auto"/>
            <w:noWrap/>
            <w:vAlign w:val="bottom"/>
            <w:hideMark/>
          </w:tcPr>
          <w:p w14:paraId="574178E6"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auto" w:fill="auto"/>
            <w:noWrap/>
            <w:vAlign w:val="bottom"/>
            <w:hideMark/>
          </w:tcPr>
          <w:p w14:paraId="05C7FB61"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Goat</w:t>
            </w:r>
          </w:p>
        </w:tc>
      </w:tr>
      <w:tr w:rsidR="004D0A90" w:rsidRPr="006C78E2" w14:paraId="73E6346B" w14:textId="77777777" w:rsidTr="00232647">
        <w:trPr>
          <w:trHeight w:val="300"/>
        </w:trPr>
        <w:tc>
          <w:tcPr>
            <w:tcW w:w="3544" w:type="dxa"/>
            <w:tcBorders>
              <w:top w:val="nil"/>
              <w:left w:val="nil"/>
              <w:bottom w:val="nil"/>
              <w:right w:val="nil"/>
            </w:tcBorders>
            <w:shd w:val="clear" w:color="D9D9D9" w:fill="D9D9D9"/>
            <w:noWrap/>
            <w:vAlign w:val="bottom"/>
            <w:hideMark/>
          </w:tcPr>
          <w:p w14:paraId="7478A3EE"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CD34 Monoclonal Antibody (QBEND/10)</w:t>
            </w:r>
          </w:p>
        </w:tc>
        <w:tc>
          <w:tcPr>
            <w:tcW w:w="2126" w:type="dxa"/>
            <w:tcBorders>
              <w:top w:val="nil"/>
              <w:left w:val="nil"/>
              <w:bottom w:val="nil"/>
              <w:right w:val="nil"/>
            </w:tcBorders>
            <w:shd w:val="clear" w:color="D9D9D9" w:fill="D9D9D9"/>
            <w:noWrap/>
            <w:vAlign w:val="bottom"/>
            <w:hideMark/>
          </w:tcPr>
          <w:p w14:paraId="5335E33C"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AB_11156010</w:t>
            </w:r>
          </w:p>
        </w:tc>
        <w:tc>
          <w:tcPr>
            <w:tcW w:w="2977" w:type="dxa"/>
            <w:tcBorders>
              <w:top w:val="nil"/>
              <w:left w:val="nil"/>
              <w:bottom w:val="nil"/>
              <w:right w:val="nil"/>
            </w:tcBorders>
            <w:shd w:val="clear" w:color="D9D9D9" w:fill="D9D9D9"/>
            <w:noWrap/>
            <w:vAlign w:val="bottom"/>
            <w:hideMark/>
          </w:tcPr>
          <w:p w14:paraId="555B65B6" w14:textId="77777777" w:rsidR="004D0A90" w:rsidRPr="006C78E2" w:rsidRDefault="004D0A90" w:rsidP="00232647">
            <w:pPr>
              <w:spacing w:after="0" w:line="240" w:lineRule="auto"/>
              <w:rPr>
                <w:rFonts w:ascii="Calibri" w:eastAsia="Times New Roman" w:hAnsi="Calibri" w:cs="Calibri"/>
              </w:rPr>
            </w:pPr>
            <w:proofErr w:type="spellStart"/>
            <w:r w:rsidRPr="006C78E2">
              <w:rPr>
                <w:rFonts w:ascii="Calibri" w:eastAsia="Times New Roman" w:hAnsi="Calibri" w:cs="Calibri"/>
              </w:rPr>
              <w:t>Thermo</w:t>
            </w:r>
            <w:proofErr w:type="spellEnd"/>
            <w:r w:rsidRPr="006C78E2">
              <w:rPr>
                <w:rFonts w:ascii="Calibri" w:eastAsia="Times New Roman" w:hAnsi="Calibri" w:cs="Calibri"/>
              </w:rPr>
              <w:t xml:space="preserve"> Fisher Scientific</w:t>
            </w:r>
          </w:p>
        </w:tc>
        <w:tc>
          <w:tcPr>
            <w:tcW w:w="1823" w:type="dxa"/>
            <w:tcBorders>
              <w:top w:val="nil"/>
              <w:left w:val="nil"/>
              <w:bottom w:val="nil"/>
              <w:right w:val="nil"/>
            </w:tcBorders>
            <w:shd w:val="clear" w:color="D9D9D9" w:fill="D9D9D9"/>
            <w:noWrap/>
            <w:vAlign w:val="bottom"/>
            <w:hideMark/>
          </w:tcPr>
          <w:p w14:paraId="2E59ED0E"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MA-1-10202</w:t>
            </w:r>
          </w:p>
        </w:tc>
        <w:tc>
          <w:tcPr>
            <w:tcW w:w="1899" w:type="dxa"/>
            <w:tcBorders>
              <w:top w:val="nil"/>
              <w:left w:val="nil"/>
              <w:bottom w:val="nil"/>
              <w:right w:val="nil"/>
            </w:tcBorders>
            <w:shd w:val="clear" w:color="D9D9D9" w:fill="D9D9D9"/>
            <w:noWrap/>
            <w:vAlign w:val="bottom"/>
            <w:hideMark/>
          </w:tcPr>
          <w:p w14:paraId="4AE8082E"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Clone QBEND/10</w:t>
            </w:r>
          </w:p>
        </w:tc>
        <w:tc>
          <w:tcPr>
            <w:tcW w:w="3029" w:type="dxa"/>
            <w:tcBorders>
              <w:top w:val="nil"/>
              <w:left w:val="nil"/>
              <w:bottom w:val="nil"/>
              <w:right w:val="nil"/>
            </w:tcBorders>
            <w:shd w:val="clear" w:color="D9D9D9" w:fill="D9D9D9"/>
            <w:noWrap/>
            <w:vAlign w:val="bottom"/>
            <w:hideMark/>
          </w:tcPr>
          <w:p w14:paraId="428E9B3C"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Mouse</w:t>
            </w:r>
          </w:p>
        </w:tc>
      </w:tr>
      <w:tr w:rsidR="004D0A90" w:rsidRPr="006C78E2" w14:paraId="524E7571" w14:textId="77777777" w:rsidTr="00232647">
        <w:trPr>
          <w:trHeight w:val="300"/>
        </w:trPr>
        <w:tc>
          <w:tcPr>
            <w:tcW w:w="3544" w:type="dxa"/>
            <w:tcBorders>
              <w:top w:val="nil"/>
              <w:left w:val="nil"/>
              <w:bottom w:val="nil"/>
              <w:right w:val="nil"/>
            </w:tcBorders>
            <w:shd w:val="clear" w:color="auto" w:fill="auto"/>
            <w:noWrap/>
            <w:vAlign w:val="bottom"/>
            <w:hideMark/>
          </w:tcPr>
          <w:p w14:paraId="6175F517"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RHBG mouse</w:t>
            </w:r>
          </w:p>
        </w:tc>
        <w:tc>
          <w:tcPr>
            <w:tcW w:w="2126" w:type="dxa"/>
            <w:tcBorders>
              <w:top w:val="nil"/>
              <w:left w:val="nil"/>
              <w:bottom w:val="nil"/>
              <w:right w:val="nil"/>
            </w:tcBorders>
            <w:shd w:val="clear" w:color="auto" w:fill="auto"/>
            <w:noWrap/>
            <w:vAlign w:val="bottom"/>
            <w:hideMark/>
          </w:tcPr>
          <w:p w14:paraId="054855E4"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AB_10990341</w:t>
            </w:r>
          </w:p>
        </w:tc>
        <w:tc>
          <w:tcPr>
            <w:tcW w:w="2977" w:type="dxa"/>
            <w:tcBorders>
              <w:top w:val="nil"/>
              <w:left w:val="nil"/>
              <w:bottom w:val="nil"/>
              <w:right w:val="nil"/>
            </w:tcBorders>
            <w:shd w:val="clear" w:color="auto" w:fill="auto"/>
            <w:noWrap/>
            <w:vAlign w:val="bottom"/>
            <w:hideMark/>
          </w:tcPr>
          <w:p w14:paraId="4313B9D6" w14:textId="77777777" w:rsidR="004D0A90" w:rsidRPr="006C78E2" w:rsidRDefault="004D0A90" w:rsidP="00232647">
            <w:pPr>
              <w:spacing w:after="0" w:line="240" w:lineRule="auto"/>
              <w:rPr>
                <w:rFonts w:ascii="Calibri" w:eastAsia="Times New Roman" w:hAnsi="Calibri" w:cs="Calibri"/>
              </w:rPr>
            </w:pPr>
            <w:proofErr w:type="spellStart"/>
            <w:r w:rsidRPr="006C78E2">
              <w:rPr>
                <w:rFonts w:ascii="Calibri" w:eastAsia="Times New Roman" w:hAnsi="Calibri" w:cs="Calibri"/>
              </w:rPr>
              <w:t>Thermo</w:t>
            </w:r>
            <w:proofErr w:type="spellEnd"/>
            <w:r w:rsidRPr="006C78E2">
              <w:rPr>
                <w:rFonts w:ascii="Calibri" w:eastAsia="Times New Roman" w:hAnsi="Calibri" w:cs="Calibri"/>
              </w:rPr>
              <w:t xml:space="preserve"> Fisher Scientific</w:t>
            </w:r>
          </w:p>
        </w:tc>
        <w:tc>
          <w:tcPr>
            <w:tcW w:w="1823" w:type="dxa"/>
            <w:tcBorders>
              <w:top w:val="nil"/>
              <w:left w:val="nil"/>
              <w:bottom w:val="nil"/>
              <w:right w:val="nil"/>
            </w:tcBorders>
            <w:shd w:val="clear" w:color="auto" w:fill="auto"/>
            <w:noWrap/>
            <w:vAlign w:val="bottom"/>
            <w:hideMark/>
          </w:tcPr>
          <w:p w14:paraId="66CD0E7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PA5-19369</w:t>
            </w:r>
          </w:p>
        </w:tc>
        <w:tc>
          <w:tcPr>
            <w:tcW w:w="1899" w:type="dxa"/>
            <w:tcBorders>
              <w:top w:val="nil"/>
              <w:left w:val="nil"/>
              <w:bottom w:val="nil"/>
              <w:right w:val="nil"/>
            </w:tcBorders>
            <w:shd w:val="clear" w:color="auto" w:fill="auto"/>
            <w:noWrap/>
            <w:vAlign w:val="bottom"/>
            <w:hideMark/>
          </w:tcPr>
          <w:p w14:paraId="63B02519"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auto" w:fill="auto"/>
            <w:noWrap/>
            <w:vAlign w:val="bottom"/>
            <w:hideMark/>
          </w:tcPr>
          <w:p w14:paraId="778C095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Goat</w:t>
            </w:r>
          </w:p>
        </w:tc>
      </w:tr>
      <w:tr w:rsidR="004D0A90" w:rsidRPr="006C78E2" w14:paraId="7FCA73C5" w14:textId="77777777" w:rsidTr="00232647">
        <w:trPr>
          <w:trHeight w:val="300"/>
        </w:trPr>
        <w:tc>
          <w:tcPr>
            <w:tcW w:w="3544" w:type="dxa"/>
            <w:tcBorders>
              <w:top w:val="nil"/>
              <w:left w:val="nil"/>
              <w:bottom w:val="nil"/>
              <w:right w:val="nil"/>
            </w:tcBorders>
            <w:shd w:val="clear" w:color="D9D9D9" w:fill="D9D9D9"/>
            <w:noWrap/>
            <w:vAlign w:val="bottom"/>
            <w:hideMark/>
          </w:tcPr>
          <w:p w14:paraId="26FC443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Laminin beta-2/gamma-1 Monoclonal Antibody (A5)</w:t>
            </w:r>
          </w:p>
        </w:tc>
        <w:tc>
          <w:tcPr>
            <w:tcW w:w="2126" w:type="dxa"/>
            <w:tcBorders>
              <w:top w:val="nil"/>
              <w:left w:val="nil"/>
              <w:bottom w:val="nil"/>
              <w:right w:val="nil"/>
            </w:tcBorders>
            <w:shd w:val="clear" w:color="D9D9D9" w:fill="D9D9D9"/>
            <w:noWrap/>
            <w:vAlign w:val="bottom"/>
            <w:hideMark/>
          </w:tcPr>
          <w:p w14:paraId="36D10B54"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AB_559896</w:t>
            </w:r>
          </w:p>
        </w:tc>
        <w:tc>
          <w:tcPr>
            <w:tcW w:w="2977" w:type="dxa"/>
            <w:tcBorders>
              <w:top w:val="nil"/>
              <w:left w:val="nil"/>
              <w:bottom w:val="nil"/>
              <w:right w:val="nil"/>
            </w:tcBorders>
            <w:shd w:val="clear" w:color="D9D9D9" w:fill="D9D9D9"/>
            <w:noWrap/>
            <w:vAlign w:val="bottom"/>
            <w:hideMark/>
          </w:tcPr>
          <w:p w14:paraId="0CAC7534" w14:textId="77777777" w:rsidR="004D0A90" w:rsidRPr="006C78E2" w:rsidRDefault="004D0A90" w:rsidP="00232647">
            <w:pPr>
              <w:spacing w:after="0" w:line="240" w:lineRule="auto"/>
              <w:rPr>
                <w:rFonts w:ascii="Calibri" w:eastAsia="Times New Roman" w:hAnsi="Calibri" w:cs="Calibri"/>
              </w:rPr>
            </w:pPr>
            <w:proofErr w:type="spellStart"/>
            <w:r w:rsidRPr="006C78E2">
              <w:rPr>
                <w:rFonts w:ascii="Calibri" w:eastAsia="Times New Roman" w:hAnsi="Calibri" w:cs="Calibri"/>
              </w:rPr>
              <w:t>Thermo</w:t>
            </w:r>
            <w:proofErr w:type="spellEnd"/>
            <w:r w:rsidRPr="006C78E2">
              <w:rPr>
                <w:rFonts w:ascii="Calibri" w:eastAsia="Times New Roman" w:hAnsi="Calibri" w:cs="Calibri"/>
              </w:rPr>
              <w:t xml:space="preserve"> Fisher Scientific</w:t>
            </w:r>
          </w:p>
        </w:tc>
        <w:tc>
          <w:tcPr>
            <w:tcW w:w="1823" w:type="dxa"/>
            <w:tcBorders>
              <w:top w:val="nil"/>
              <w:left w:val="nil"/>
              <w:bottom w:val="nil"/>
              <w:right w:val="nil"/>
            </w:tcBorders>
            <w:shd w:val="clear" w:color="D9D9D9" w:fill="D9D9D9"/>
            <w:noWrap/>
            <w:vAlign w:val="bottom"/>
            <w:hideMark/>
          </w:tcPr>
          <w:p w14:paraId="4F18FDA4"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MA1-06100</w:t>
            </w:r>
          </w:p>
        </w:tc>
        <w:tc>
          <w:tcPr>
            <w:tcW w:w="1899" w:type="dxa"/>
            <w:tcBorders>
              <w:top w:val="nil"/>
              <w:left w:val="nil"/>
              <w:bottom w:val="nil"/>
              <w:right w:val="nil"/>
            </w:tcBorders>
            <w:shd w:val="clear" w:color="D9D9D9" w:fill="D9D9D9"/>
            <w:noWrap/>
            <w:vAlign w:val="bottom"/>
            <w:hideMark/>
          </w:tcPr>
          <w:p w14:paraId="0CC76DCC"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Clone A5</w:t>
            </w:r>
          </w:p>
        </w:tc>
        <w:tc>
          <w:tcPr>
            <w:tcW w:w="3029" w:type="dxa"/>
            <w:tcBorders>
              <w:top w:val="nil"/>
              <w:left w:val="nil"/>
              <w:bottom w:val="nil"/>
              <w:right w:val="nil"/>
            </w:tcBorders>
            <w:shd w:val="clear" w:color="D9D9D9" w:fill="D9D9D9"/>
            <w:noWrap/>
            <w:vAlign w:val="bottom"/>
            <w:hideMark/>
          </w:tcPr>
          <w:p w14:paraId="59CBF031"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Rat</w:t>
            </w:r>
          </w:p>
        </w:tc>
      </w:tr>
      <w:tr w:rsidR="004D0A90" w:rsidRPr="006C78E2" w14:paraId="547D4340" w14:textId="77777777" w:rsidTr="00232647">
        <w:trPr>
          <w:trHeight w:val="300"/>
        </w:trPr>
        <w:tc>
          <w:tcPr>
            <w:tcW w:w="3544" w:type="dxa"/>
            <w:tcBorders>
              <w:top w:val="nil"/>
              <w:left w:val="nil"/>
              <w:bottom w:val="nil"/>
              <w:right w:val="nil"/>
            </w:tcBorders>
            <w:shd w:val="clear" w:color="auto" w:fill="auto"/>
            <w:noWrap/>
            <w:vAlign w:val="bottom"/>
            <w:hideMark/>
          </w:tcPr>
          <w:p w14:paraId="14C842F5"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 xml:space="preserve">Mouse </w:t>
            </w:r>
            <w:proofErr w:type="spellStart"/>
            <w:r w:rsidRPr="006C78E2">
              <w:rPr>
                <w:rFonts w:ascii="Calibri" w:eastAsia="Times New Roman" w:hAnsi="Calibri" w:cs="Calibri"/>
              </w:rPr>
              <w:t>Endostatin</w:t>
            </w:r>
            <w:proofErr w:type="spellEnd"/>
            <w:r w:rsidRPr="006C78E2">
              <w:rPr>
                <w:rFonts w:ascii="Calibri" w:eastAsia="Times New Roman" w:hAnsi="Calibri" w:cs="Calibri"/>
              </w:rPr>
              <w:t xml:space="preserve"> Antibody (Col18A1)</w:t>
            </w:r>
          </w:p>
        </w:tc>
        <w:tc>
          <w:tcPr>
            <w:tcW w:w="2126" w:type="dxa"/>
            <w:tcBorders>
              <w:top w:val="nil"/>
              <w:left w:val="nil"/>
              <w:bottom w:val="nil"/>
              <w:right w:val="nil"/>
            </w:tcBorders>
            <w:shd w:val="clear" w:color="auto" w:fill="auto"/>
            <w:noWrap/>
            <w:vAlign w:val="bottom"/>
            <w:hideMark/>
          </w:tcPr>
          <w:p w14:paraId="61BD642E"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AB_2081736</w:t>
            </w:r>
          </w:p>
        </w:tc>
        <w:tc>
          <w:tcPr>
            <w:tcW w:w="2977" w:type="dxa"/>
            <w:tcBorders>
              <w:top w:val="nil"/>
              <w:left w:val="nil"/>
              <w:bottom w:val="nil"/>
              <w:right w:val="nil"/>
            </w:tcBorders>
            <w:shd w:val="clear" w:color="auto" w:fill="auto"/>
            <w:noWrap/>
            <w:vAlign w:val="bottom"/>
            <w:hideMark/>
          </w:tcPr>
          <w:p w14:paraId="39B914E0"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 and D Systems</w:t>
            </w:r>
          </w:p>
        </w:tc>
        <w:tc>
          <w:tcPr>
            <w:tcW w:w="1823" w:type="dxa"/>
            <w:tcBorders>
              <w:top w:val="nil"/>
              <w:left w:val="nil"/>
              <w:bottom w:val="nil"/>
              <w:right w:val="nil"/>
            </w:tcBorders>
            <w:shd w:val="clear" w:color="auto" w:fill="auto"/>
            <w:noWrap/>
            <w:vAlign w:val="bottom"/>
            <w:hideMark/>
          </w:tcPr>
          <w:p w14:paraId="0C6298E4"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AF570</w:t>
            </w:r>
          </w:p>
        </w:tc>
        <w:tc>
          <w:tcPr>
            <w:tcW w:w="1899" w:type="dxa"/>
            <w:tcBorders>
              <w:top w:val="nil"/>
              <w:left w:val="nil"/>
              <w:bottom w:val="nil"/>
              <w:right w:val="nil"/>
            </w:tcBorders>
            <w:shd w:val="clear" w:color="auto" w:fill="auto"/>
            <w:noWrap/>
            <w:vAlign w:val="bottom"/>
            <w:hideMark/>
          </w:tcPr>
          <w:p w14:paraId="3D900931"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auto" w:fill="auto"/>
            <w:noWrap/>
            <w:vAlign w:val="bottom"/>
            <w:hideMark/>
          </w:tcPr>
          <w:p w14:paraId="59BD76A3"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goat</w:t>
            </w:r>
          </w:p>
        </w:tc>
      </w:tr>
      <w:tr w:rsidR="004D0A90" w:rsidRPr="006C78E2" w14:paraId="5550C190" w14:textId="77777777" w:rsidTr="00232647">
        <w:trPr>
          <w:trHeight w:val="300"/>
        </w:trPr>
        <w:tc>
          <w:tcPr>
            <w:tcW w:w="3544" w:type="dxa"/>
            <w:tcBorders>
              <w:top w:val="nil"/>
              <w:left w:val="nil"/>
              <w:bottom w:val="nil"/>
              <w:right w:val="nil"/>
            </w:tcBorders>
            <w:shd w:val="clear" w:color="D9D9D9" w:fill="D9D9D9"/>
            <w:noWrap/>
            <w:vAlign w:val="bottom"/>
            <w:hideMark/>
          </w:tcPr>
          <w:p w14:paraId="6489C7A3"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 xml:space="preserve">Glutamine </w:t>
            </w:r>
            <w:proofErr w:type="spellStart"/>
            <w:r w:rsidRPr="006C78E2">
              <w:rPr>
                <w:rFonts w:ascii="Calibri" w:eastAsia="Times New Roman" w:hAnsi="Calibri" w:cs="Calibri"/>
              </w:rPr>
              <w:t>Synthetase</w:t>
            </w:r>
            <w:proofErr w:type="spellEnd"/>
            <w:r w:rsidRPr="006C78E2">
              <w:rPr>
                <w:rFonts w:ascii="Calibri" w:eastAsia="Times New Roman" w:hAnsi="Calibri" w:cs="Calibri"/>
              </w:rPr>
              <w:t xml:space="preserve"> mouse, human</w:t>
            </w:r>
          </w:p>
        </w:tc>
        <w:tc>
          <w:tcPr>
            <w:tcW w:w="2126" w:type="dxa"/>
            <w:tcBorders>
              <w:top w:val="nil"/>
              <w:left w:val="nil"/>
              <w:bottom w:val="nil"/>
              <w:right w:val="nil"/>
            </w:tcBorders>
            <w:shd w:val="clear" w:color="D9D9D9" w:fill="D9D9D9"/>
            <w:noWrap/>
            <w:vAlign w:val="bottom"/>
            <w:hideMark/>
          </w:tcPr>
          <w:p w14:paraId="14BCACCE"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AB_2620128</w:t>
            </w:r>
          </w:p>
        </w:tc>
        <w:tc>
          <w:tcPr>
            <w:tcW w:w="2977" w:type="dxa"/>
            <w:tcBorders>
              <w:top w:val="nil"/>
              <w:left w:val="nil"/>
              <w:bottom w:val="nil"/>
              <w:right w:val="nil"/>
            </w:tcBorders>
            <w:shd w:val="clear" w:color="D9D9D9" w:fill="D9D9D9"/>
            <w:noWrap/>
            <w:vAlign w:val="bottom"/>
            <w:hideMark/>
          </w:tcPr>
          <w:p w14:paraId="253E2697"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Synaptic Systems</w:t>
            </w:r>
          </w:p>
        </w:tc>
        <w:tc>
          <w:tcPr>
            <w:tcW w:w="1823" w:type="dxa"/>
            <w:tcBorders>
              <w:top w:val="nil"/>
              <w:left w:val="nil"/>
              <w:bottom w:val="nil"/>
              <w:right w:val="nil"/>
            </w:tcBorders>
            <w:shd w:val="clear" w:color="D9D9D9" w:fill="D9D9D9"/>
            <w:noWrap/>
            <w:vAlign w:val="bottom"/>
            <w:hideMark/>
          </w:tcPr>
          <w:p w14:paraId="5C5B3AD5"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367 005</w:t>
            </w:r>
          </w:p>
        </w:tc>
        <w:tc>
          <w:tcPr>
            <w:tcW w:w="1899" w:type="dxa"/>
            <w:tcBorders>
              <w:top w:val="nil"/>
              <w:left w:val="nil"/>
              <w:bottom w:val="nil"/>
              <w:right w:val="nil"/>
            </w:tcBorders>
            <w:shd w:val="clear" w:color="D9D9D9" w:fill="D9D9D9"/>
            <w:noWrap/>
            <w:vAlign w:val="bottom"/>
            <w:hideMark/>
          </w:tcPr>
          <w:p w14:paraId="32ECDE43"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D9D9D9" w:fill="D9D9D9"/>
            <w:noWrap/>
            <w:vAlign w:val="bottom"/>
            <w:hideMark/>
          </w:tcPr>
          <w:p w14:paraId="441784DC"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guinea pig</w:t>
            </w:r>
          </w:p>
        </w:tc>
      </w:tr>
      <w:tr w:rsidR="004D0A90" w:rsidRPr="006C78E2" w14:paraId="77A9BFB4" w14:textId="77777777" w:rsidTr="00232647">
        <w:trPr>
          <w:trHeight w:val="300"/>
        </w:trPr>
        <w:tc>
          <w:tcPr>
            <w:tcW w:w="3544" w:type="dxa"/>
            <w:tcBorders>
              <w:top w:val="nil"/>
              <w:left w:val="nil"/>
              <w:bottom w:val="nil"/>
              <w:right w:val="nil"/>
            </w:tcBorders>
            <w:shd w:val="clear" w:color="auto" w:fill="auto"/>
            <w:noWrap/>
            <w:vAlign w:val="bottom"/>
            <w:hideMark/>
          </w:tcPr>
          <w:p w14:paraId="161EA2C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 xml:space="preserve">GLS2 antibody </w:t>
            </w:r>
          </w:p>
        </w:tc>
        <w:tc>
          <w:tcPr>
            <w:tcW w:w="2126" w:type="dxa"/>
            <w:tcBorders>
              <w:top w:val="nil"/>
              <w:left w:val="nil"/>
              <w:bottom w:val="nil"/>
              <w:right w:val="nil"/>
            </w:tcBorders>
            <w:shd w:val="clear" w:color="auto" w:fill="auto"/>
            <w:noWrap/>
            <w:vAlign w:val="bottom"/>
            <w:hideMark/>
          </w:tcPr>
          <w:p w14:paraId="3056A01A"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AB_10866157</w:t>
            </w:r>
          </w:p>
        </w:tc>
        <w:tc>
          <w:tcPr>
            <w:tcW w:w="2977" w:type="dxa"/>
            <w:tcBorders>
              <w:top w:val="nil"/>
              <w:left w:val="nil"/>
              <w:bottom w:val="nil"/>
              <w:right w:val="nil"/>
            </w:tcBorders>
            <w:shd w:val="clear" w:color="auto" w:fill="auto"/>
            <w:noWrap/>
            <w:vAlign w:val="bottom"/>
            <w:hideMark/>
          </w:tcPr>
          <w:p w14:paraId="0648E50F" w14:textId="77777777" w:rsidR="004D0A90" w:rsidRPr="006C78E2" w:rsidRDefault="004D0A90" w:rsidP="00232647">
            <w:pPr>
              <w:spacing w:after="0" w:line="240" w:lineRule="auto"/>
              <w:rPr>
                <w:rFonts w:ascii="Calibri" w:eastAsia="Times New Roman" w:hAnsi="Calibri" w:cs="Calibri"/>
              </w:rPr>
            </w:pPr>
            <w:proofErr w:type="spellStart"/>
            <w:r w:rsidRPr="006C78E2">
              <w:rPr>
                <w:rFonts w:ascii="Calibri" w:eastAsia="Times New Roman" w:hAnsi="Calibri" w:cs="Calibri"/>
              </w:rPr>
              <w:t>Abcam</w:t>
            </w:r>
            <w:proofErr w:type="spellEnd"/>
          </w:p>
        </w:tc>
        <w:tc>
          <w:tcPr>
            <w:tcW w:w="1823" w:type="dxa"/>
            <w:tcBorders>
              <w:top w:val="nil"/>
              <w:left w:val="nil"/>
              <w:bottom w:val="nil"/>
              <w:right w:val="nil"/>
            </w:tcBorders>
            <w:shd w:val="clear" w:color="auto" w:fill="auto"/>
            <w:noWrap/>
            <w:vAlign w:val="bottom"/>
            <w:hideMark/>
          </w:tcPr>
          <w:p w14:paraId="35881B3C"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ab113509</w:t>
            </w:r>
          </w:p>
        </w:tc>
        <w:tc>
          <w:tcPr>
            <w:tcW w:w="1899" w:type="dxa"/>
            <w:tcBorders>
              <w:top w:val="nil"/>
              <w:left w:val="nil"/>
              <w:bottom w:val="nil"/>
              <w:right w:val="nil"/>
            </w:tcBorders>
            <w:shd w:val="clear" w:color="auto" w:fill="auto"/>
            <w:noWrap/>
            <w:vAlign w:val="bottom"/>
            <w:hideMark/>
          </w:tcPr>
          <w:p w14:paraId="41899BC6"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auto" w:fill="auto"/>
            <w:noWrap/>
            <w:vAlign w:val="bottom"/>
            <w:hideMark/>
          </w:tcPr>
          <w:p w14:paraId="5729BFA3"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rabbit</w:t>
            </w:r>
          </w:p>
        </w:tc>
      </w:tr>
      <w:tr w:rsidR="004D0A90" w:rsidRPr="006C78E2" w14:paraId="506DEC3D" w14:textId="77777777" w:rsidTr="00232647">
        <w:trPr>
          <w:trHeight w:val="300"/>
        </w:trPr>
        <w:tc>
          <w:tcPr>
            <w:tcW w:w="3544" w:type="dxa"/>
            <w:tcBorders>
              <w:top w:val="nil"/>
              <w:left w:val="nil"/>
              <w:bottom w:val="nil"/>
              <w:right w:val="nil"/>
            </w:tcBorders>
            <w:shd w:val="clear" w:color="D9D9D9" w:fill="D9D9D9"/>
            <w:noWrap/>
            <w:vAlign w:val="bottom"/>
            <w:hideMark/>
          </w:tcPr>
          <w:p w14:paraId="462C676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HAL antibody</w:t>
            </w:r>
          </w:p>
        </w:tc>
        <w:tc>
          <w:tcPr>
            <w:tcW w:w="2126" w:type="dxa"/>
            <w:tcBorders>
              <w:top w:val="nil"/>
              <w:left w:val="nil"/>
              <w:bottom w:val="nil"/>
              <w:right w:val="nil"/>
            </w:tcBorders>
            <w:shd w:val="clear" w:color="D9D9D9" w:fill="D9D9D9"/>
            <w:noWrap/>
            <w:vAlign w:val="bottom"/>
            <w:hideMark/>
          </w:tcPr>
          <w:p w14:paraId="3086F258"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AB_1850484</w:t>
            </w:r>
          </w:p>
        </w:tc>
        <w:tc>
          <w:tcPr>
            <w:tcW w:w="2977" w:type="dxa"/>
            <w:tcBorders>
              <w:top w:val="nil"/>
              <w:left w:val="nil"/>
              <w:bottom w:val="nil"/>
              <w:right w:val="nil"/>
            </w:tcBorders>
            <w:shd w:val="clear" w:color="D9D9D9" w:fill="D9D9D9"/>
            <w:noWrap/>
            <w:vAlign w:val="bottom"/>
            <w:hideMark/>
          </w:tcPr>
          <w:p w14:paraId="440BE858"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Sigma-Aldrich</w:t>
            </w:r>
          </w:p>
        </w:tc>
        <w:tc>
          <w:tcPr>
            <w:tcW w:w="1823" w:type="dxa"/>
            <w:tcBorders>
              <w:top w:val="nil"/>
              <w:left w:val="nil"/>
              <w:bottom w:val="nil"/>
              <w:right w:val="nil"/>
            </w:tcBorders>
            <w:shd w:val="clear" w:color="D9D9D9" w:fill="D9D9D9"/>
            <w:noWrap/>
            <w:vAlign w:val="bottom"/>
            <w:hideMark/>
          </w:tcPr>
          <w:p w14:paraId="17DD51A9"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AV45694</w:t>
            </w:r>
          </w:p>
        </w:tc>
        <w:tc>
          <w:tcPr>
            <w:tcW w:w="1899" w:type="dxa"/>
            <w:tcBorders>
              <w:top w:val="nil"/>
              <w:left w:val="nil"/>
              <w:bottom w:val="nil"/>
              <w:right w:val="nil"/>
            </w:tcBorders>
            <w:shd w:val="clear" w:color="D9D9D9" w:fill="D9D9D9"/>
            <w:noWrap/>
            <w:vAlign w:val="bottom"/>
            <w:hideMark/>
          </w:tcPr>
          <w:p w14:paraId="2092842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D9D9D9" w:fill="D9D9D9"/>
            <w:noWrap/>
            <w:vAlign w:val="bottom"/>
            <w:hideMark/>
          </w:tcPr>
          <w:p w14:paraId="2FE3C79F"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rabbit</w:t>
            </w:r>
          </w:p>
        </w:tc>
      </w:tr>
      <w:tr w:rsidR="004D0A90" w:rsidRPr="006C78E2" w14:paraId="7892A3B9" w14:textId="77777777" w:rsidTr="00232647">
        <w:trPr>
          <w:trHeight w:val="300"/>
        </w:trPr>
        <w:tc>
          <w:tcPr>
            <w:tcW w:w="3544" w:type="dxa"/>
            <w:tcBorders>
              <w:top w:val="nil"/>
              <w:left w:val="nil"/>
              <w:bottom w:val="nil"/>
              <w:right w:val="nil"/>
            </w:tcBorders>
            <w:shd w:val="clear" w:color="auto" w:fill="auto"/>
            <w:noWrap/>
            <w:vAlign w:val="bottom"/>
            <w:hideMark/>
          </w:tcPr>
          <w:p w14:paraId="240CB2F5"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Collagen IV antibody</w:t>
            </w:r>
          </w:p>
        </w:tc>
        <w:tc>
          <w:tcPr>
            <w:tcW w:w="2126" w:type="dxa"/>
            <w:tcBorders>
              <w:top w:val="nil"/>
              <w:left w:val="nil"/>
              <w:bottom w:val="nil"/>
              <w:right w:val="nil"/>
            </w:tcBorders>
            <w:shd w:val="clear" w:color="auto" w:fill="auto"/>
            <w:noWrap/>
            <w:vAlign w:val="bottom"/>
            <w:hideMark/>
          </w:tcPr>
          <w:p w14:paraId="163A2FD5"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AB_789360</w:t>
            </w:r>
          </w:p>
        </w:tc>
        <w:tc>
          <w:tcPr>
            <w:tcW w:w="2977" w:type="dxa"/>
            <w:tcBorders>
              <w:top w:val="nil"/>
              <w:left w:val="nil"/>
              <w:bottom w:val="nil"/>
              <w:right w:val="nil"/>
            </w:tcBorders>
            <w:shd w:val="clear" w:color="auto" w:fill="auto"/>
            <w:noWrap/>
            <w:vAlign w:val="bottom"/>
            <w:hideMark/>
          </w:tcPr>
          <w:p w14:paraId="5149B527"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Novus</w:t>
            </w:r>
          </w:p>
        </w:tc>
        <w:tc>
          <w:tcPr>
            <w:tcW w:w="1823" w:type="dxa"/>
            <w:tcBorders>
              <w:top w:val="nil"/>
              <w:left w:val="nil"/>
              <w:bottom w:val="nil"/>
              <w:right w:val="nil"/>
            </w:tcBorders>
            <w:shd w:val="clear" w:color="auto" w:fill="auto"/>
            <w:noWrap/>
            <w:vAlign w:val="bottom"/>
            <w:hideMark/>
          </w:tcPr>
          <w:p w14:paraId="13B76A8B"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NB120-6586</w:t>
            </w:r>
          </w:p>
        </w:tc>
        <w:tc>
          <w:tcPr>
            <w:tcW w:w="1899" w:type="dxa"/>
            <w:tcBorders>
              <w:top w:val="nil"/>
              <w:left w:val="nil"/>
              <w:bottom w:val="nil"/>
              <w:right w:val="nil"/>
            </w:tcBorders>
            <w:shd w:val="clear" w:color="auto" w:fill="auto"/>
            <w:noWrap/>
            <w:vAlign w:val="bottom"/>
            <w:hideMark/>
          </w:tcPr>
          <w:p w14:paraId="7E7F1402"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nil"/>
              <w:right w:val="nil"/>
            </w:tcBorders>
            <w:shd w:val="clear" w:color="auto" w:fill="auto"/>
            <w:noWrap/>
            <w:vAlign w:val="bottom"/>
            <w:hideMark/>
          </w:tcPr>
          <w:p w14:paraId="6C2F95CC"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rabbit</w:t>
            </w:r>
          </w:p>
        </w:tc>
      </w:tr>
      <w:tr w:rsidR="004D0A90" w:rsidRPr="006C78E2" w14:paraId="420D1606" w14:textId="77777777" w:rsidTr="00232647">
        <w:trPr>
          <w:trHeight w:val="300"/>
        </w:trPr>
        <w:tc>
          <w:tcPr>
            <w:tcW w:w="3544" w:type="dxa"/>
            <w:tcBorders>
              <w:top w:val="nil"/>
              <w:left w:val="nil"/>
              <w:bottom w:val="single" w:sz="4" w:space="0" w:color="000000"/>
              <w:right w:val="nil"/>
            </w:tcBorders>
            <w:shd w:val="clear" w:color="D9D9D9" w:fill="D9D9D9"/>
            <w:noWrap/>
            <w:vAlign w:val="bottom"/>
            <w:hideMark/>
          </w:tcPr>
          <w:p w14:paraId="2C9FF0B6"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PRND polyclonal antibody</w:t>
            </w:r>
          </w:p>
        </w:tc>
        <w:tc>
          <w:tcPr>
            <w:tcW w:w="2126" w:type="dxa"/>
            <w:tcBorders>
              <w:top w:val="nil"/>
              <w:left w:val="nil"/>
              <w:bottom w:val="single" w:sz="4" w:space="0" w:color="000000"/>
              <w:right w:val="nil"/>
            </w:tcBorders>
            <w:shd w:val="clear" w:color="D9D9D9" w:fill="D9D9D9"/>
            <w:noWrap/>
            <w:vAlign w:val="bottom"/>
            <w:hideMark/>
          </w:tcPr>
          <w:p w14:paraId="0EE23D61"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AB_2678450</w:t>
            </w:r>
          </w:p>
        </w:tc>
        <w:tc>
          <w:tcPr>
            <w:tcW w:w="2977" w:type="dxa"/>
            <w:tcBorders>
              <w:top w:val="nil"/>
              <w:left w:val="nil"/>
              <w:bottom w:val="single" w:sz="4" w:space="0" w:color="000000"/>
              <w:right w:val="nil"/>
            </w:tcBorders>
            <w:shd w:val="clear" w:color="D9D9D9" w:fill="D9D9D9"/>
            <w:noWrap/>
            <w:vAlign w:val="bottom"/>
            <w:hideMark/>
          </w:tcPr>
          <w:p w14:paraId="18595BC0"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Atlas Antibodies</w:t>
            </w:r>
          </w:p>
        </w:tc>
        <w:tc>
          <w:tcPr>
            <w:tcW w:w="1823" w:type="dxa"/>
            <w:tcBorders>
              <w:top w:val="nil"/>
              <w:left w:val="nil"/>
              <w:bottom w:val="single" w:sz="4" w:space="0" w:color="000000"/>
              <w:right w:val="nil"/>
            </w:tcBorders>
            <w:shd w:val="clear" w:color="D9D9D9" w:fill="D9D9D9"/>
            <w:noWrap/>
            <w:vAlign w:val="bottom"/>
            <w:hideMark/>
          </w:tcPr>
          <w:p w14:paraId="3721A05A"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HPA043373</w:t>
            </w:r>
          </w:p>
        </w:tc>
        <w:tc>
          <w:tcPr>
            <w:tcW w:w="1899" w:type="dxa"/>
            <w:tcBorders>
              <w:top w:val="nil"/>
              <w:left w:val="nil"/>
              <w:bottom w:val="single" w:sz="4" w:space="0" w:color="000000"/>
              <w:right w:val="nil"/>
            </w:tcBorders>
            <w:shd w:val="clear" w:color="D9D9D9" w:fill="D9D9D9"/>
            <w:noWrap/>
            <w:vAlign w:val="bottom"/>
            <w:hideMark/>
          </w:tcPr>
          <w:p w14:paraId="2011811A"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NA</w:t>
            </w:r>
          </w:p>
        </w:tc>
        <w:tc>
          <w:tcPr>
            <w:tcW w:w="3029" w:type="dxa"/>
            <w:tcBorders>
              <w:top w:val="nil"/>
              <w:left w:val="nil"/>
              <w:bottom w:val="single" w:sz="4" w:space="0" w:color="000000"/>
              <w:right w:val="nil"/>
            </w:tcBorders>
            <w:shd w:val="clear" w:color="D9D9D9" w:fill="D9D9D9"/>
            <w:noWrap/>
            <w:vAlign w:val="bottom"/>
            <w:hideMark/>
          </w:tcPr>
          <w:p w14:paraId="5A928535" w14:textId="77777777" w:rsidR="004D0A90" w:rsidRPr="006C78E2" w:rsidRDefault="004D0A90" w:rsidP="00232647">
            <w:pPr>
              <w:spacing w:after="0" w:line="240" w:lineRule="auto"/>
              <w:rPr>
                <w:rFonts w:ascii="Calibri" w:eastAsia="Times New Roman" w:hAnsi="Calibri" w:cs="Calibri"/>
              </w:rPr>
            </w:pPr>
            <w:r w:rsidRPr="006C78E2">
              <w:rPr>
                <w:rFonts w:ascii="Calibri" w:eastAsia="Times New Roman" w:hAnsi="Calibri" w:cs="Calibri"/>
              </w:rPr>
              <w:t>rabbit</w:t>
            </w:r>
          </w:p>
        </w:tc>
      </w:tr>
    </w:tbl>
    <w:p w14:paraId="27F5033C" w14:textId="77777777" w:rsidR="00B82882" w:rsidRDefault="00B82882" w:rsidP="00CA2EEF">
      <w:pPr>
        <w:rPr>
          <w:rFonts w:cstheme="minorHAnsi"/>
        </w:rPr>
        <w:sectPr w:rsidR="00B82882" w:rsidSect="007070B4">
          <w:pgSz w:w="16838" w:h="11906" w:orient="landscape"/>
          <w:pgMar w:top="720" w:right="720" w:bottom="720" w:left="720" w:header="708" w:footer="708" w:gutter="0"/>
          <w:cols w:space="708"/>
          <w:docGrid w:linePitch="360"/>
        </w:sectPr>
      </w:pPr>
    </w:p>
    <w:p w14:paraId="0E0CD3EB" w14:textId="3EAAFC5B" w:rsidR="004D0A90" w:rsidRDefault="00B82882" w:rsidP="00CA2EEF">
      <w:pPr>
        <w:rPr>
          <w:rFonts w:cstheme="minorHAnsi"/>
        </w:rPr>
      </w:pPr>
      <w:r>
        <w:rPr>
          <w:rFonts w:cstheme="minorHAnsi"/>
        </w:rPr>
        <w:lastRenderedPageBreak/>
        <w:t xml:space="preserve">Table S4. </w:t>
      </w:r>
      <w:proofErr w:type="gramStart"/>
      <w:r>
        <w:rPr>
          <w:rFonts w:cstheme="minorHAnsi"/>
        </w:rPr>
        <w:t>Primers.</w:t>
      </w:r>
      <w:proofErr w:type="gramEnd"/>
    </w:p>
    <w:tbl>
      <w:tblPr>
        <w:tblW w:w="8800" w:type="dxa"/>
        <w:tblLook w:val="04A0" w:firstRow="1" w:lastRow="0" w:firstColumn="1" w:lastColumn="0" w:noHBand="0" w:noVBand="1"/>
      </w:tblPr>
      <w:tblGrid>
        <w:gridCol w:w="2640"/>
        <w:gridCol w:w="3543"/>
        <w:gridCol w:w="2660"/>
      </w:tblGrid>
      <w:tr w:rsidR="00B82882" w:rsidRPr="00B82882" w14:paraId="243B6B17" w14:textId="77777777" w:rsidTr="00232647">
        <w:trPr>
          <w:trHeight w:val="300"/>
        </w:trPr>
        <w:tc>
          <w:tcPr>
            <w:tcW w:w="2640" w:type="dxa"/>
            <w:tcBorders>
              <w:top w:val="single" w:sz="4" w:space="0" w:color="000000"/>
              <w:left w:val="nil"/>
              <w:bottom w:val="single" w:sz="4" w:space="0" w:color="000000"/>
              <w:right w:val="nil"/>
            </w:tcBorders>
            <w:shd w:val="clear" w:color="auto" w:fill="auto"/>
            <w:noWrap/>
            <w:vAlign w:val="bottom"/>
            <w:hideMark/>
          </w:tcPr>
          <w:p w14:paraId="794F9A7E" w14:textId="77777777" w:rsidR="00B82882" w:rsidRPr="00B82882" w:rsidRDefault="00B82882" w:rsidP="00232647">
            <w:pPr>
              <w:spacing w:after="0" w:line="240" w:lineRule="auto"/>
              <w:rPr>
                <w:rFonts w:ascii="Calibri" w:eastAsia="Times New Roman" w:hAnsi="Calibri" w:cs="Calibri"/>
                <w:b/>
                <w:bCs/>
                <w:sz w:val="22"/>
              </w:rPr>
            </w:pPr>
            <w:r w:rsidRPr="00B82882">
              <w:rPr>
                <w:rFonts w:ascii="Calibri" w:eastAsia="Times New Roman" w:hAnsi="Calibri" w:cs="Calibri"/>
                <w:b/>
                <w:bCs/>
                <w:sz w:val="22"/>
              </w:rPr>
              <w:t>Name</w:t>
            </w:r>
          </w:p>
        </w:tc>
        <w:tc>
          <w:tcPr>
            <w:tcW w:w="3500" w:type="dxa"/>
            <w:tcBorders>
              <w:top w:val="single" w:sz="4" w:space="0" w:color="000000"/>
              <w:left w:val="nil"/>
              <w:bottom w:val="single" w:sz="4" w:space="0" w:color="000000"/>
              <w:right w:val="nil"/>
            </w:tcBorders>
            <w:shd w:val="clear" w:color="auto" w:fill="auto"/>
            <w:noWrap/>
            <w:vAlign w:val="bottom"/>
            <w:hideMark/>
          </w:tcPr>
          <w:p w14:paraId="7DE6CF1A" w14:textId="77777777" w:rsidR="00B82882" w:rsidRPr="00B82882" w:rsidRDefault="00B82882" w:rsidP="00232647">
            <w:pPr>
              <w:spacing w:after="0" w:line="240" w:lineRule="auto"/>
              <w:rPr>
                <w:rFonts w:ascii="Calibri" w:eastAsia="Times New Roman" w:hAnsi="Calibri" w:cs="Calibri"/>
                <w:b/>
                <w:bCs/>
                <w:sz w:val="22"/>
              </w:rPr>
            </w:pPr>
            <w:r w:rsidRPr="00B82882">
              <w:rPr>
                <w:rFonts w:ascii="Calibri" w:eastAsia="Times New Roman" w:hAnsi="Calibri" w:cs="Calibri"/>
                <w:b/>
                <w:bCs/>
                <w:sz w:val="22"/>
              </w:rPr>
              <w:t>Sequence</w:t>
            </w:r>
          </w:p>
        </w:tc>
        <w:tc>
          <w:tcPr>
            <w:tcW w:w="2660" w:type="dxa"/>
            <w:tcBorders>
              <w:top w:val="single" w:sz="4" w:space="0" w:color="000000"/>
              <w:left w:val="nil"/>
              <w:bottom w:val="single" w:sz="4" w:space="0" w:color="000000"/>
              <w:right w:val="nil"/>
            </w:tcBorders>
            <w:shd w:val="clear" w:color="auto" w:fill="auto"/>
            <w:noWrap/>
            <w:vAlign w:val="bottom"/>
            <w:hideMark/>
          </w:tcPr>
          <w:p w14:paraId="1AA4180D" w14:textId="77777777" w:rsidR="00B82882" w:rsidRPr="00B82882" w:rsidRDefault="00B82882" w:rsidP="00232647">
            <w:pPr>
              <w:spacing w:after="0" w:line="240" w:lineRule="auto"/>
              <w:rPr>
                <w:rFonts w:ascii="Calibri" w:eastAsia="Times New Roman" w:hAnsi="Calibri" w:cs="Calibri"/>
                <w:b/>
                <w:bCs/>
                <w:sz w:val="22"/>
              </w:rPr>
            </w:pPr>
            <w:r w:rsidRPr="00B82882">
              <w:rPr>
                <w:rFonts w:ascii="Calibri" w:eastAsia="Times New Roman" w:hAnsi="Calibri" w:cs="Calibri"/>
                <w:b/>
                <w:bCs/>
                <w:sz w:val="22"/>
              </w:rPr>
              <w:t>Supplier</w:t>
            </w:r>
          </w:p>
        </w:tc>
      </w:tr>
      <w:tr w:rsidR="00B82882" w:rsidRPr="00B82882" w14:paraId="33A36ECE" w14:textId="77777777" w:rsidTr="00232647">
        <w:trPr>
          <w:trHeight w:val="300"/>
        </w:trPr>
        <w:tc>
          <w:tcPr>
            <w:tcW w:w="2640" w:type="dxa"/>
            <w:tcBorders>
              <w:top w:val="nil"/>
              <w:left w:val="nil"/>
              <w:bottom w:val="nil"/>
              <w:right w:val="nil"/>
            </w:tcBorders>
            <w:shd w:val="clear" w:color="D9D9D9" w:fill="D9D9D9"/>
            <w:noWrap/>
            <w:vAlign w:val="bottom"/>
            <w:hideMark/>
          </w:tcPr>
          <w:p w14:paraId="168805F5"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Pgf_fw</w:t>
            </w:r>
            <w:proofErr w:type="spellEnd"/>
          </w:p>
        </w:tc>
        <w:tc>
          <w:tcPr>
            <w:tcW w:w="3500" w:type="dxa"/>
            <w:tcBorders>
              <w:top w:val="nil"/>
              <w:left w:val="nil"/>
              <w:bottom w:val="nil"/>
              <w:right w:val="nil"/>
            </w:tcBorders>
            <w:shd w:val="clear" w:color="D9D9D9" w:fill="D9D9D9"/>
            <w:noWrap/>
            <w:vAlign w:val="bottom"/>
            <w:hideMark/>
          </w:tcPr>
          <w:p w14:paraId="7B594F1C"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TCTGGAGACGACAAAGGCAG</w:t>
            </w:r>
          </w:p>
        </w:tc>
        <w:tc>
          <w:tcPr>
            <w:tcW w:w="2660" w:type="dxa"/>
            <w:tcBorders>
              <w:top w:val="nil"/>
              <w:left w:val="nil"/>
              <w:bottom w:val="nil"/>
              <w:right w:val="nil"/>
            </w:tcBorders>
            <w:shd w:val="clear" w:color="D9D9D9" w:fill="D9D9D9"/>
            <w:noWrap/>
            <w:vAlign w:val="bottom"/>
            <w:hideMark/>
          </w:tcPr>
          <w:p w14:paraId="2C3CCD79"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1A016FBA" w14:textId="77777777" w:rsidTr="00232647">
        <w:trPr>
          <w:trHeight w:val="300"/>
        </w:trPr>
        <w:tc>
          <w:tcPr>
            <w:tcW w:w="2640" w:type="dxa"/>
            <w:tcBorders>
              <w:top w:val="nil"/>
              <w:left w:val="nil"/>
              <w:bottom w:val="nil"/>
              <w:right w:val="nil"/>
            </w:tcBorders>
            <w:shd w:val="clear" w:color="auto" w:fill="auto"/>
            <w:noWrap/>
            <w:vAlign w:val="bottom"/>
            <w:hideMark/>
          </w:tcPr>
          <w:p w14:paraId="1FDE9221"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Pgf_rv</w:t>
            </w:r>
            <w:proofErr w:type="spellEnd"/>
          </w:p>
        </w:tc>
        <w:tc>
          <w:tcPr>
            <w:tcW w:w="3500" w:type="dxa"/>
            <w:tcBorders>
              <w:top w:val="nil"/>
              <w:left w:val="nil"/>
              <w:bottom w:val="nil"/>
              <w:right w:val="nil"/>
            </w:tcBorders>
            <w:shd w:val="clear" w:color="auto" w:fill="auto"/>
            <w:noWrap/>
            <w:vAlign w:val="bottom"/>
            <w:hideMark/>
          </w:tcPr>
          <w:p w14:paraId="3898C5CB"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CGGGAAATGACATCACGGGT</w:t>
            </w:r>
          </w:p>
        </w:tc>
        <w:tc>
          <w:tcPr>
            <w:tcW w:w="2660" w:type="dxa"/>
            <w:tcBorders>
              <w:top w:val="nil"/>
              <w:left w:val="nil"/>
              <w:bottom w:val="nil"/>
              <w:right w:val="nil"/>
            </w:tcBorders>
            <w:shd w:val="clear" w:color="auto" w:fill="auto"/>
            <w:noWrap/>
            <w:vAlign w:val="bottom"/>
            <w:hideMark/>
          </w:tcPr>
          <w:p w14:paraId="57E8D35D"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044788E6" w14:textId="77777777" w:rsidTr="00232647">
        <w:trPr>
          <w:trHeight w:val="300"/>
        </w:trPr>
        <w:tc>
          <w:tcPr>
            <w:tcW w:w="2640" w:type="dxa"/>
            <w:tcBorders>
              <w:top w:val="nil"/>
              <w:left w:val="nil"/>
              <w:bottom w:val="nil"/>
              <w:right w:val="nil"/>
            </w:tcBorders>
            <w:shd w:val="clear" w:color="D9D9D9" w:fill="D9D9D9"/>
            <w:noWrap/>
            <w:vAlign w:val="bottom"/>
            <w:hideMark/>
          </w:tcPr>
          <w:p w14:paraId="4427FD59"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Prnd_fw</w:t>
            </w:r>
            <w:proofErr w:type="spellEnd"/>
          </w:p>
        </w:tc>
        <w:tc>
          <w:tcPr>
            <w:tcW w:w="3500" w:type="dxa"/>
            <w:tcBorders>
              <w:top w:val="nil"/>
              <w:left w:val="nil"/>
              <w:bottom w:val="nil"/>
              <w:right w:val="nil"/>
            </w:tcBorders>
            <w:shd w:val="clear" w:color="D9D9D9" w:fill="D9D9D9"/>
            <w:noWrap/>
            <w:vAlign w:val="bottom"/>
            <w:hideMark/>
          </w:tcPr>
          <w:p w14:paraId="4D2F23CF"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CAGCCACAGAGGACTCCAG</w:t>
            </w:r>
          </w:p>
        </w:tc>
        <w:tc>
          <w:tcPr>
            <w:tcW w:w="2660" w:type="dxa"/>
            <w:tcBorders>
              <w:top w:val="nil"/>
              <w:left w:val="nil"/>
              <w:bottom w:val="nil"/>
              <w:right w:val="nil"/>
            </w:tcBorders>
            <w:shd w:val="clear" w:color="D9D9D9" w:fill="D9D9D9"/>
            <w:noWrap/>
            <w:vAlign w:val="bottom"/>
            <w:hideMark/>
          </w:tcPr>
          <w:p w14:paraId="247DAC4B"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633ED379" w14:textId="77777777" w:rsidTr="00232647">
        <w:trPr>
          <w:trHeight w:val="300"/>
        </w:trPr>
        <w:tc>
          <w:tcPr>
            <w:tcW w:w="2640" w:type="dxa"/>
            <w:tcBorders>
              <w:top w:val="nil"/>
              <w:left w:val="nil"/>
              <w:bottom w:val="nil"/>
              <w:right w:val="nil"/>
            </w:tcBorders>
            <w:shd w:val="clear" w:color="auto" w:fill="auto"/>
            <w:noWrap/>
            <w:vAlign w:val="bottom"/>
            <w:hideMark/>
          </w:tcPr>
          <w:p w14:paraId="475B9641"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Prnd_rv</w:t>
            </w:r>
            <w:proofErr w:type="spellEnd"/>
          </w:p>
        </w:tc>
        <w:tc>
          <w:tcPr>
            <w:tcW w:w="3500" w:type="dxa"/>
            <w:tcBorders>
              <w:top w:val="nil"/>
              <w:left w:val="nil"/>
              <w:bottom w:val="nil"/>
              <w:right w:val="nil"/>
            </w:tcBorders>
            <w:shd w:val="clear" w:color="auto" w:fill="auto"/>
            <w:noWrap/>
            <w:vAlign w:val="bottom"/>
            <w:hideMark/>
          </w:tcPr>
          <w:p w14:paraId="1FA00605"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AACCGATTGCACTGGGAACT</w:t>
            </w:r>
          </w:p>
        </w:tc>
        <w:tc>
          <w:tcPr>
            <w:tcW w:w="2660" w:type="dxa"/>
            <w:tcBorders>
              <w:top w:val="nil"/>
              <w:left w:val="nil"/>
              <w:bottom w:val="nil"/>
              <w:right w:val="nil"/>
            </w:tcBorders>
            <w:shd w:val="clear" w:color="auto" w:fill="auto"/>
            <w:noWrap/>
            <w:vAlign w:val="bottom"/>
            <w:hideMark/>
          </w:tcPr>
          <w:p w14:paraId="5913AF74"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5E77A0A0" w14:textId="77777777" w:rsidTr="00232647">
        <w:trPr>
          <w:trHeight w:val="300"/>
        </w:trPr>
        <w:tc>
          <w:tcPr>
            <w:tcW w:w="2640" w:type="dxa"/>
            <w:tcBorders>
              <w:top w:val="nil"/>
              <w:left w:val="nil"/>
              <w:bottom w:val="nil"/>
              <w:right w:val="nil"/>
            </w:tcBorders>
            <w:shd w:val="clear" w:color="D9D9D9" w:fill="D9D9D9"/>
            <w:noWrap/>
            <w:vAlign w:val="bottom"/>
            <w:hideMark/>
          </w:tcPr>
          <w:p w14:paraId="7C43BD18"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Mm-Wnt2_fw</w:t>
            </w:r>
          </w:p>
        </w:tc>
        <w:tc>
          <w:tcPr>
            <w:tcW w:w="3500" w:type="dxa"/>
            <w:tcBorders>
              <w:top w:val="nil"/>
              <w:left w:val="nil"/>
              <w:bottom w:val="nil"/>
              <w:right w:val="nil"/>
            </w:tcBorders>
            <w:shd w:val="clear" w:color="D9D9D9" w:fill="D9D9D9"/>
            <w:noWrap/>
            <w:vAlign w:val="bottom"/>
            <w:hideMark/>
          </w:tcPr>
          <w:p w14:paraId="4DBA3063"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GCCCTGATGAACCTTCACAAC</w:t>
            </w:r>
          </w:p>
        </w:tc>
        <w:tc>
          <w:tcPr>
            <w:tcW w:w="2660" w:type="dxa"/>
            <w:tcBorders>
              <w:top w:val="nil"/>
              <w:left w:val="nil"/>
              <w:bottom w:val="nil"/>
              <w:right w:val="nil"/>
            </w:tcBorders>
            <w:shd w:val="clear" w:color="D9D9D9" w:fill="D9D9D9"/>
            <w:noWrap/>
            <w:vAlign w:val="bottom"/>
            <w:hideMark/>
          </w:tcPr>
          <w:p w14:paraId="7ADF2ABD"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2F9DD70F" w14:textId="77777777" w:rsidTr="00232647">
        <w:trPr>
          <w:trHeight w:val="300"/>
        </w:trPr>
        <w:tc>
          <w:tcPr>
            <w:tcW w:w="2640" w:type="dxa"/>
            <w:tcBorders>
              <w:top w:val="nil"/>
              <w:left w:val="nil"/>
              <w:bottom w:val="nil"/>
              <w:right w:val="nil"/>
            </w:tcBorders>
            <w:shd w:val="clear" w:color="auto" w:fill="auto"/>
            <w:noWrap/>
            <w:vAlign w:val="bottom"/>
            <w:hideMark/>
          </w:tcPr>
          <w:p w14:paraId="2E59FFA7"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Mm-Wnt2_rv</w:t>
            </w:r>
          </w:p>
        </w:tc>
        <w:tc>
          <w:tcPr>
            <w:tcW w:w="3500" w:type="dxa"/>
            <w:tcBorders>
              <w:top w:val="nil"/>
              <w:left w:val="nil"/>
              <w:bottom w:val="nil"/>
              <w:right w:val="nil"/>
            </w:tcBorders>
            <w:shd w:val="clear" w:color="auto" w:fill="auto"/>
            <w:noWrap/>
            <w:vAlign w:val="bottom"/>
            <w:hideMark/>
          </w:tcPr>
          <w:p w14:paraId="4DB1883A"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GGAGCCACTCACACCATGAC</w:t>
            </w:r>
          </w:p>
        </w:tc>
        <w:tc>
          <w:tcPr>
            <w:tcW w:w="2660" w:type="dxa"/>
            <w:tcBorders>
              <w:top w:val="nil"/>
              <w:left w:val="nil"/>
              <w:bottom w:val="nil"/>
              <w:right w:val="nil"/>
            </w:tcBorders>
            <w:shd w:val="clear" w:color="auto" w:fill="auto"/>
            <w:noWrap/>
            <w:vAlign w:val="bottom"/>
            <w:hideMark/>
          </w:tcPr>
          <w:p w14:paraId="2EC3FBC1"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31A7C9BF" w14:textId="77777777" w:rsidTr="00232647">
        <w:trPr>
          <w:trHeight w:val="300"/>
        </w:trPr>
        <w:tc>
          <w:tcPr>
            <w:tcW w:w="2640" w:type="dxa"/>
            <w:tcBorders>
              <w:top w:val="nil"/>
              <w:left w:val="nil"/>
              <w:bottom w:val="nil"/>
              <w:right w:val="nil"/>
            </w:tcBorders>
            <w:shd w:val="clear" w:color="D9D9D9" w:fill="D9D9D9"/>
            <w:noWrap/>
            <w:vAlign w:val="bottom"/>
            <w:hideMark/>
          </w:tcPr>
          <w:p w14:paraId="555019EA"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Mm-Wnt9b_fw</w:t>
            </w:r>
          </w:p>
        </w:tc>
        <w:tc>
          <w:tcPr>
            <w:tcW w:w="3500" w:type="dxa"/>
            <w:tcBorders>
              <w:top w:val="nil"/>
              <w:left w:val="nil"/>
              <w:bottom w:val="nil"/>
              <w:right w:val="nil"/>
            </w:tcBorders>
            <w:shd w:val="clear" w:color="D9D9D9" w:fill="D9D9D9"/>
            <w:noWrap/>
            <w:vAlign w:val="bottom"/>
            <w:hideMark/>
          </w:tcPr>
          <w:p w14:paraId="7CFEFA13"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GGGCTGCTGGAATGTCAGTT</w:t>
            </w:r>
          </w:p>
        </w:tc>
        <w:tc>
          <w:tcPr>
            <w:tcW w:w="2660" w:type="dxa"/>
            <w:tcBorders>
              <w:top w:val="nil"/>
              <w:left w:val="nil"/>
              <w:bottom w:val="nil"/>
              <w:right w:val="nil"/>
            </w:tcBorders>
            <w:shd w:val="clear" w:color="D9D9D9" w:fill="D9D9D9"/>
            <w:noWrap/>
            <w:vAlign w:val="bottom"/>
            <w:hideMark/>
          </w:tcPr>
          <w:p w14:paraId="5CCCA376"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69BA600F" w14:textId="77777777" w:rsidTr="00232647">
        <w:trPr>
          <w:trHeight w:val="300"/>
        </w:trPr>
        <w:tc>
          <w:tcPr>
            <w:tcW w:w="2640" w:type="dxa"/>
            <w:tcBorders>
              <w:top w:val="nil"/>
              <w:left w:val="nil"/>
              <w:bottom w:val="nil"/>
              <w:right w:val="nil"/>
            </w:tcBorders>
            <w:shd w:val="clear" w:color="auto" w:fill="auto"/>
            <w:noWrap/>
            <w:vAlign w:val="bottom"/>
            <w:hideMark/>
          </w:tcPr>
          <w:p w14:paraId="0CF38319"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Mm-Wnt9b_rv</w:t>
            </w:r>
          </w:p>
        </w:tc>
        <w:tc>
          <w:tcPr>
            <w:tcW w:w="3500" w:type="dxa"/>
            <w:tcBorders>
              <w:top w:val="nil"/>
              <w:left w:val="nil"/>
              <w:bottom w:val="nil"/>
              <w:right w:val="nil"/>
            </w:tcBorders>
            <w:shd w:val="clear" w:color="auto" w:fill="auto"/>
            <w:noWrap/>
            <w:vAlign w:val="bottom"/>
            <w:hideMark/>
          </w:tcPr>
          <w:p w14:paraId="74F92055"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CGTCTCCTTAAAGCCTCTCTGG</w:t>
            </w:r>
          </w:p>
        </w:tc>
        <w:tc>
          <w:tcPr>
            <w:tcW w:w="2660" w:type="dxa"/>
            <w:tcBorders>
              <w:top w:val="nil"/>
              <w:left w:val="nil"/>
              <w:bottom w:val="nil"/>
              <w:right w:val="nil"/>
            </w:tcBorders>
            <w:shd w:val="clear" w:color="auto" w:fill="auto"/>
            <w:noWrap/>
            <w:vAlign w:val="bottom"/>
            <w:hideMark/>
          </w:tcPr>
          <w:p w14:paraId="145A5D4F"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111A04E8" w14:textId="77777777" w:rsidTr="00232647">
        <w:trPr>
          <w:trHeight w:val="300"/>
        </w:trPr>
        <w:tc>
          <w:tcPr>
            <w:tcW w:w="2640" w:type="dxa"/>
            <w:tcBorders>
              <w:top w:val="nil"/>
              <w:left w:val="nil"/>
              <w:bottom w:val="nil"/>
              <w:right w:val="nil"/>
            </w:tcBorders>
            <w:shd w:val="clear" w:color="D9D9D9" w:fill="D9D9D9"/>
            <w:noWrap/>
            <w:vAlign w:val="bottom"/>
            <w:hideMark/>
          </w:tcPr>
          <w:p w14:paraId="2E0420C7"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Mm-Rspo3_fw</w:t>
            </w:r>
          </w:p>
        </w:tc>
        <w:tc>
          <w:tcPr>
            <w:tcW w:w="3500" w:type="dxa"/>
            <w:tcBorders>
              <w:top w:val="nil"/>
              <w:left w:val="nil"/>
              <w:bottom w:val="nil"/>
              <w:right w:val="nil"/>
            </w:tcBorders>
            <w:shd w:val="clear" w:color="D9D9D9" w:fill="D9D9D9"/>
            <w:noWrap/>
            <w:vAlign w:val="bottom"/>
            <w:hideMark/>
          </w:tcPr>
          <w:p w14:paraId="6F6A3966"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ACACCTTGGAAAGTGCCTTGA</w:t>
            </w:r>
          </w:p>
        </w:tc>
        <w:tc>
          <w:tcPr>
            <w:tcW w:w="2660" w:type="dxa"/>
            <w:tcBorders>
              <w:top w:val="nil"/>
              <w:left w:val="nil"/>
              <w:bottom w:val="nil"/>
              <w:right w:val="nil"/>
            </w:tcBorders>
            <w:shd w:val="clear" w:color="D9D9D9" w:fill="D9D9D9"/>
            <w:noWrap/>
            <w:vAlign w:val="bottom"/>
            <w:hideMark/>
          </w:tcPr>
          <w:p w14:paraId="5928E65B"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5E7670F3" w14:textId="77777777" w:rsidTr="00232647">
        <w:trPr>
          <w:trHeight w:val="300"/>
        </w:trPr>
        <w:tc>
          <w:tcPr>
            <w:tcW w:w="2640" w:type="dxa"/>
            <w:tcBorders>
              <w:top w:val="nil"/>
              <w:left w:val="nil"/>
              <w:bottom w:val="nil"/>
              <w:right w:val="nil"/>
            </w:tcBorders>
            <w:shd w:val="clear" w:color="auto" w:fill="auto"/>
            <w:noWrap/>
            <w:vAlign w:val="bottom"/>
            <w:hideMark/>
          </w:tcPr>
          <w:p w14:paraId="2E3AF593"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Mm-Rspo3_rv</w:t>
            </w:r>
          </w:p>
        </w:tc>
        <w:tc>
          <w:tcPr>
            <w:tcW w:w="3500" w:type="dxa"/>
            <w:tcBorders>
              <w:top w:val="nil"/>
              <w:left w:val="nil"/>
              <w:bottom w:val="nil"/>
              <w:right w:val="nil"/>
            </w:tcBorders>
            <w:shd w:val="clear" w:color="auto" w:fill="auto"/>
            <w:noWrap/>
            <w:vAlign w:val="bottom"/>
            <w:hideMark/>
          </w:tcPr>
          <w:p w14:paraId="26EBD235"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TGGCCTCACAGTGTACAATAC</w:t>
            </w:r>
          </w:p>
        </w:tc>
        <w:tc>
          <w:tcPr>
            <w:tcW w:w="2660" w:type="dxa"/>
            <w:tcBorders>
              <w:top w:val="nil"/>
              <w:left w:val="nil"/>
              <w:bottom w:val="nil"/>
              <w:right w:val="nil"/>
            </w:tcBorders>
            <w:shd w:val="clear" w:color="auto" w:fill="auto"/>
            <w:noWrap/>
            <w:vAlign w:val="bottom"/>
            <w:hideMark/>
          </w:tcPr>
          <w:p w14:paraId="3FEC11DF"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2F8BEAC9" w14:textId="77777777" w:rsidTr="00232647">
        <w:trPr>
          <w:trHeight w:val="300"/>
        </w:trPr>
        <w:tc>
          <w:tcPr>
            <w:tcW w:w="2640" w:type="dxa"/>
            <w:tcBorders>
              <w:top w:val="nil"/>
              <w:left w:val="nil"/>
              <w:bottom w:val="nil"/>
              <w:right w:val="nil"/>
            </w:tcBorders>
            <w:shd w:val="clear" w:color="D9D9D9" w:fill="D9D9D9"/>
            <w:noWrap/>
            <w:vAlign w:val="bottom"/>
            <w:hideMark/>
          </w:tcPr>
          <w:p w14:paraId="00D80B6C"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iCre_fw</w:t>
            </w:r>
            <w:proofErr w:type="spellEnd"/>
          </w:p>
        </w:tc>
        <w:tc>
          <w:tcPr>
            <w:tcW w:w="3500" w:type="dxa"/>
            <w:tcBorders>
              <w:top w:val="nil"/>
              <w:left w:val="nil"/>
              <w:bottom w:val="nil"/>
              <w:right w:val="nil"/>
            </w:tcBorders>
            <w:shd w:val="clear" w:color="D9D9D9" w:fill="D9D9D9"/>
            <w:noWrap/>
            <w:vAlign w:val="bottom"/>
            <w:hideMark/>
          </w:tcPr>
          <w:p w14:paraId="7B3AEC59"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AAGCTGAACAACAGGAAATGGTTC</w:t>
            </w:r>
          </w:p>
        </w:tc>
        <w:tc>
          <w:tcPr>
            <w:tcW w:w="2660" w:type="dxa"/>
            <w:tcBorders>
              <w:top w:val="nil"/>
              <w:left w:val="nil"/>
              <w:bottom w:val="nil"/>
              <w:right w:val="nil"/>
            </w:tcBorders>
            <w:shd w:val="clear" w:color="D9D9D9" w:fill="D9D9D9"/>
            <w:noWrap/>
            <w:vAlign w:val="bottom"/>
            <w:hideMark/>
          </w:tcPr>
          <w:p w14:paraId="1E8A026E"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19C917C8" w14:textId="77777777" w:rsidTr="00232647">
        <w:trPr>
          <w:trHeight w:val="300"/>
        </w:trPr>
        <w:tc>
          <w:tcPr>
            <w:tcW w:w="2640" w:type="dxa"/>
            <w:tcBorders>
              <w:top w:val="nil"/>
              <w:left w:val="nil"/>
              <w:bottom w:val="nil"/>
              <w:right w:val="nil"/>
            </w:tcBorders>
            <w:shd w:val="clear" w:color="auto" w:fill="auto"/>
            <w:noWrap/>
            <w:vAlign w:val="bottom"/>
            <w:hideMark/>
          </w:tcPr>
          <w:p w14:paraId="25BAFD09"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iCre_rv</w:t>
            </w:r>
            <w:proofErr w:type="spellEnd"/>
          </w:p>
        </w:tc>
        <w:tc>
          <w:tcPr>
            <w:tcW w:w="3500" w:type="dxa"/>
            <w:tcBorders>
              <w:top w:val="nil"/>
              <w:left w:val="nil"/>
              <w:bottom w:val="nil"/>
              <w:right w:val="nil"/>
            </w:tcBorders>
            <w:shd w:val="clear" w:color="auto" w:fill="auto"/>
            <w:noWrap/>
            <w:vAlign w:val="bottom"/>
            <w:hideMark/>
          </w:tcPr>
          <w:p w14:paraId="1189F7D9"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GGAGATGTCCTTCACTCTGATTCT</w:t>
            </w:r>
          </w:p>
        </w:tc>
        <w:tc>
          <w:tcPr>
            <w:tcW w:w="2660" w:type="dxa"/>
            <w:tcBorders>
              <w:top w:val="nil"/>
              <w:left w:val="nil"/>
              <w:bottom w:val="nil"/>
              <w:right w:val="nil"/>
            </w:tcBorders>
            <w:shd w:val="clear" w:color="auto" w:fill="auto"/>
            <w:noWrap/>
            <w:vAlign w:val="bottom"/>
            <w:hideMark/>
          </w:tcPr>
          <w:p w14:paraId="74F5EE6F"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53C38C6D" w14:textId="77777777" w:rsidTr="00232647">
        <w:trPr>
          <w:trHeight w:val="300"/>
        </w:trPr>
        <w:tc>
          <w:tcPr>
            <w:tcW w:w="2640" w:type="dxa"/>
            <w:tcBorders>
              <w:top w:val="nil"/>
              <w:left w:val="nil"/>
              <w:bottom w:val="nil"/>
              <w:right w:val="nil"/>
            </w:tcBorders>
            <w:shd w:val="clear" w:color="D9D9D9" w:fill="D9D9D9"/>
            <w:noWrap/>
            <w:vAlign w:val="bottom"/>
            <w:hideMark/>
          </w:tcPr>
          <w:p w14:paraId="52A20615"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Mm-Acvrl1-flox_6F_#3710</w:t>
            </w:r>
          </w:p>
        </w:tc>
        <w:tc>
          <w:tcPr>
            <w:tcW w:w="3500" w:type="dxa"/>
            <w:tcBorders>
              <w:top w:val="nil"/>
              <w:left w:val="nil"/>
              <w:bottom w:val="nil"/>
              <w:right w:val="nil"/>
            </w:tcBorders>
            <w:shd w:val="clear" w:color="D9D9D9" w:fill="D9D9D9"/>
            <w:noWrap/>
            <w:vAlign w:val="bottom"/>
            <w:hideMark/>
          </w:tcPr>
          <w:p w14:paraId="2CD036D6"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CCTGGACAGCGACTGTACTAC</w:t>
            </w:r>
          </w:p>
        </w:tc>
        <w:tc>
          <w:tcPr>
            <w:tcW w:w="2660" w:type="dxa"/>
            <w:tcBorders>
              <w:top w:val="nil"/>
              <w:left w:val="nil"/>
              <w:bottom w:val="nil"/>
              <w:right w:val="nil"/>
            </w:tcBorders>
            <w:shd w:val="clear" w:color="D9D9D9" w:fill="D9D9D9"/>
            <w:noWrap/>
            <w:vAlign w:val="bottom"/>
            <w:hideMark/>
          </w:tcPr>
          <w:p w14:paraId="4AD47619"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0992CC46" w14:textId="77777777" w:rsidTr="00232647">
        <w:trPr>
          <w:trHeight w:val="300"/>
        </w:trPr>
        <w:tc>
          <w:tcPr>
            <w:tcW w:w="2640" w:type="dxa"/>
            <w:tcBorders>
              <w:top w:val="nil"/>
              <w:left w:val="nil"/>
              <w:bottom w:val="nil"/>
              <w:right w:val="nil"/>
            </w:tcBorders>
            <w:shd w:val="clear" w:color="auto" w:fill="auto"/>
            <w:noWrap/>
            <w:vAlign w:val="bottom"/>
            <w:hideMark/>
          </w:tcPr>
          <w:p w14:paraId="0FEF084B"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Mm-Acvrl1-flox_6R #3711</w:t>
            </w:r>
          </w:p>
        </w:tc>
        <w:tc>
          <w:tcPr>
            <w:tcW w:w="3500" w:type="dxa"/>
            <w:tcBorders>
              <w:top w:val="nil"/>
              <w:left w:val="nil"/>
              <w:bottom w:val="nil"/>
              <w:right w:val="nil"/>
            </w:tcBorders>
            <w:shd w:val="clear" w:color="auto" w:fill="auto"/>
            <w:noWrap/>
            <w:vAlign w:val="bottom"/>
            <w:hideMark/>
          </w:tcPr>
          <w:p w14:paraId="601DDECA"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 xml:space="preserve">GCCCCATTGCTCTCCTCAAAC </w:t>
            </w:r>
          </w:p>
        </w:tc>
        <w:tc>
          <w:tcPr>
            <w:tcW w:w="2660" w:type="dxa"/>
            <w:tcBorders>
              <w:top w:val="nil"/>
              <w:left w:val="nil"/>
              <w:bottom w:val="nil"/>
              <w:right w:val="nil"/>
            </w:tcBorders>
            <w:shd w:val="clear" w:color="auto" w:fill="auto"/>
            <w:noWrap/>
            <w:vAlign w:val="bottom"/>
            <w:hideMark/>
          </w:tcPr>
          <w:p w14:paraId="74F8D867"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4B19EF4E" w14:textId="77777777" w:rsidTr="00232647">
        <w:trPr>
          <w:trHeight w:val="300"/>
        </w:trPr>
        <w:tc>
          <w:tcPr>
            <w:tcW w:w="2640" w:type="dxa"/>
            <w:tcBorders>
              <w:top w:val="nil"/>
              <w:left w:val="nil"/>
              <w:bottom w:val="nil"/>
              <w:right w:val="nil"/>
            </w:tcBorders>
            <w:shd w:val="clear" w:color="D9D9D9" w:fill="D9D9D9"/>
            <w:noWrap/>
            <w:vAlign w:val="bottom"/>
            <w:hideMark/>
          </w:tcPr>
          <w:p w14:paraId="5FB35FC9"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Mm-Esm1-fw</w:t>
            </w:r>
          </w:p>
        </w:tc>
        <w:tc>
          <w:tcPr>
            <w:tcW w:w="3500" w:type="dxa"/>
            <w:tcBorders>
              <w:top w:val="nil"/>
              <w:left w:val="nil"/>
              <w:bottom w:val="nil"/>
              <w:right w:val="nil"/>
            </w:tcBorders>
            <w:shd w:val="clear" w:color="D9D9D9" w:fill="D9D9D9"/>
            <w:noWrap/>
            <w:vAlign w:val="bottom"/>
            <w:hideMark/>
          </w:tcPr>
          <w:p w14:paraId="7F6E915C"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TGCAAAGACTGTCCCTATGGC</w:t>
            </w:r>
          </w:p>
        </w:tc>
        <w:tc>
          <w:tcPr>
            <w:tcW w:w="2660" w:type="dxa"/>
            <w:tcBorders>
              <w:top w:val="nil"/>
              <w:left w:val="nil"/>
              <w:bottom w:val="nil"/>
              <w:right w:val="nil"/>
            </w:tcBorders>
            <w:shd w:val="clear" w:color="D9D9D9" w:fill="D9D9D9"/>
            <w:noWrap/>
            <w:vAlign w:val="bottom"/>
            <w:hideMark/>
          </w:tcPr>
          <w:p w14:paraId="4FCB737A"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0E70246E" w14:textId="77777777" w:rsidTr="00232647">
        <w:trPr>
          <w:trHeight w:val="300"/>
        </w:trPr>
        <w:tc>
          <w:tcPr>
            <w:tcW w:w="2640" w:type="dxa"/>
            <w:tcBorders>
              <w:top w:val="nil"/>
              <w:left w:val="nil"/>
              <w:bottom w:val="nil"/>
              <w:right w:val="nil"/>
            </w:tcBorders>
            <w:shd w:val="clear" w:color="auto" w:fill="auto"/>
            <w:noWrap/>
            <w:vAlign w:val="bottom"/>
            <w:hideMark/>
          </w:tcPr>
          <w:p w14:paraId="3CFE50F6"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Mm-Esm1-rv</w:t>
            </w:r>
          </w:p>
        </w:tc>
        <w:tc>
          <w:tcPr>
            <w:tcW w:w="3500" w:type="dxa"/>
            <w:tcBorders>
              <w:top w:val="nil"/>
              <w:left w:val="nil"/>
              <w:bottom w:val="nil"/>
              <w:right w:val="nil"/>
            </w:tcBorders>
            <w:shd w:val="clear" w:color="auto" w:fill="auto"/>
            <w:noWrap/>
            <w:vAlign w:val="bottom"/>
            <w:hideMark/>
          </w:tcPr>
          <w:p w14:paraId="0374CE1B"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CCATCTCCGGATGCTGAGTC</w:t>
            </w:r>
          </w:p>
        </w:tc>
        <w:tc>
          <w:tcPr>
            <w:tcW w:w="2660" w:type="dxa"/>
            <w:tcBorders>
              <w:top w:val="nil"/>
              <w:left w:val="nil"/>
              <w:bottom w:val="nil"/>
              <w:right w:val="nil"/>
            </w:tcBorders>
            <w:shd w:val="clear" w:color="auto" w:fill="auto"/>
            <w:noWrap/>
            <w:vAlign w:val="bottom"/>
            <w:hideMark/>
          </w:tcPr>
          <w:p w14:paraId="33138207"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5A167A80" w14:textId="77777777" w:rsidTr="00232647">
        <w:trPr>
          <w:trHeight w:val="300"/>
        </w:trPr>
        <w:tc>
          <w:tcPr>
            <w:tcW w:w="2640" w:type="dxa"/>
            <w:tcBorders>
              <w:top w:val="nil"/>
              <w:left w:val="nil"/>
              <w:bottom w:val="nil"/>
              <w:right w:val="nil"/>
            </w:tcBorders>
            <w:shd w:val="clear" w:color="D9D9D9" w:fill="D9D9D9"/>
            <w:noWrap/>
            <w:vAlign w:val="bottom"/>
            <w:hideMark/>
          </w:tcPr>
          <w:p w14:paraId="7F325A49"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Apln</w:t>
            </w:r>
            <w:proofErr w:type="spellEnd"/>
            <w:r w:rsidRPr="00B82882">
              <w:rPr>
                <w:rFonts w:ascii="Calibri" w:eastAsia="Times New Roman" w:hAnsi="Calibri" w:cs="Calibri"/>
                <w:sz w:val="22"/>
              </w:rPr>
              <w:t>-</w:t>
            </w:r>
            <w:proofErr w:type="spellStart"/>
            <w:r w:rsidRPr="00B82882">
              <w:rPr>
                <w:rFonts w:ascii="Calibri" w:eastAsia="Times New Roman" w:hAnsi="Calibri" w:cs="Calibri"/>
                <w:sz w:val="22"/>
              </w:rPr>
              <w:t>fw</w:t>
            </w:r>
            <w:proofErr w:type="spellEnd"/>
          </w:p>
        </w:tc>
        <w:tc>
          <w:tcPr>
            <w:tcW w:w="3500" w:type="dxa"/>
            <w:tcBorders>
              <w:top w:val="nil"/>
              <w:left w:val="nil"/>
              <w:bottom w:val="nil"/>
              <w:right w:val="nil"/>
            </w:tcBorders>
            <w:shd w:val="clear" w:color="D9D9D9" w:fill="D9D9D9"/>
            <w:noWrap/>
            <w:vAlign w:val="bottom"/>
            <w:hideMark/>
          </w:tcPr>
          <w:p w14:paraId="49BEA9EA"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TTTGTGGAGTGCCACTGATGTT</w:t>
            </w:r>
          </w:p>
        </w:tc>
        <w:tc>
          <w:tcPr>
            <w:tcW w:w="2660" w:type="dxa"/>
            <w:tcBorders>
              <w:top w:val="nil"/>
              <w:left w:val="nil"/>
              <w:bottom w:val="nil"/>
              <w:right w:val="nil"/>
            </w:tcBorders>
            <w:shd w:val="clear" w:color="D9D9D9" w:fill="D9D9D9"/>
            <w:noWrap/>
            <w:vAlign w:val="bottom"/>
            <w:hideMark/>
          </w:tcPr>
          <w:p w14:paraId="3289588A"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29F28E0C" w14:textId="77777777" w:rsidTr="00232647">
        <w:trPr>
          <w:trHeight w:val="300"/>
        </w:trPr>
        <w:tc>
          <w:tcPr>
            <w:tcW w:w="2640" w:type="dxa"/>
            <w:tcBorders>
              <w:top w:val="nil"/>
              <w:left w:val="nil"/>
              <w:bottom w:val="nil"/>
              <w:right w:val="nil"/>
            </w:tcBorders>
            <w:shd w:val="clear" w:color="auto" w:fill="auto"/>
            <w:noWrap/>
            <w:vAlign w:val="bottom"/>
            <w:hideMark/>
          </w:tcPr>
          <w:p w14:paraId="2B666E92"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Apln</w:t>
            </w:r>
            <w:proofErr w:type="spellEnd"/>
            <w:r w:rsidRPr="00B82882">
              <w:rPr>
                <w:rFonts w:ascii="Calibri" w:eastAsia="Times New Roman" w:hAnsi="Calibri" w:cs="Calibri"/>
                <w:sz w:val="22"/>
              </w:rPr>
              <w:t>-</w:t>
            </w:r>
            <w:proofErr w:type="spellStart"/>
            <w:r w:rsidRPr="00B82882">
              <w:rPr>
                <w:rFonts w:ascii="Calibri" w:eastAsia="Times New Roman" w:hAnsi="Calibri" w:cs="Calibri"/>
                <w:sz w:val="22"/>
              </w:rPr>
              <w:t>rv</w:t>
            </w:r>
            <w:proofErr w:type="spellEnd"/>
          </w:p>
        </w:tc>
        <w:tc>
          <w:tcPr>
            <w:tcW w:w="3500" w:type="dxa"/>
            <w:tcBorders>
              <w:top w:val="nil"/>
              <w:left w:val="nil"/>
              <w:bottom w:val="nil"/>
              <w:right w:val="nil"/>
            </w:tcBorders>
            <w:shd w:val="clear" w:color="auto" w:fill="auto"/>
            <w:noWrap/>
            <w:vAlign w:val="bottom"/>
            <w:hideMark/>
          </w:tcPr>
          <w:p w14:paraId="13ACAA5D"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TGGAGTAGAGAGACCGGCAC</w:t>
            </w:r>
          </w:p>
        </w:tc>
        <w:tc>
          <w:tcPr>
            <w:tcW w:w="2660" w:type="dxa"/>
            <w:tcBorders>
              <w:top w:val="nil"/>
              <w:left w:val="nil"/>
              <w:bottom w:val="nil"/>
              <w:right w:val="nil"/>
            </w:tcBorders>
            <w:shd w:val="clear" w:color="auto" w:fill="auto"/>
            <w:noWrap/>
            <w:vAlign w:val="bottom"/>
            <w:hideMark/>
          </w:tcPr>
          <w:p w14:paraId="621064A9"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443ED0C8" w14:textId="77777777" w:rsidTr="00232647">
        <w:trPr>
          <w:trHeight w:val="300"/>
        </w:trPr>
        <w:tc>
          <w:tcPr>
            <w:tcW w:w="2640" w:type="dxa"/>
            <w:tcBorders>
              <w:top w:val="nil"/>
              <w:left w:val="nil"/>
              <w:bottom w:val="nil"/>
              <w:right w:val="nil"/>
            </w:tcBorders>
            <w:shd w:val="clear" w:color="D9D9D9" w:fill="D9D9D9"/>
            <w:noWrap/>
            <w:vAlign w:val="bottom"/>
            <w:hideMark/>
          </w:tcPr>
          <w:p w14:paraId="5940365A"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Mm-Id1-fw</w:t>
            </w:r>
          </w:p>
        </w:tc>
        <w:tc>
          <w:tcPr>
            <w:tcW w:w="3500" w:type="dxa"/>
            <w:tcBorders>
              <w:top w:val="nil"/>
              <w:left w:val="nil"/>
              <w:bottom w:val="nil"/>
              <w:right w:val="nil"/>
            </w:tcBorders>
            <w:shd w:val="clear" w:color="D9D9D9" w:fill="D9D9D9"/>
            <w:noWrap/>
            <w:vAlign w:val="bottom"/>
            <w:hideMark/>
          </w:tcPr>
          <w:p w14:paraId="0F720C4A"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 xml:space="preserve"> GAACCGCAAAGTGAGCAAGG</w:t>
            </w:r>
          </w:p>
        </w:tc>
        <w:tc>
          <w:tcPr>
            <w:tcW w:w="2660" w:type="dxa"/>
            <w:tcBorders>
              <w:top w:val="nil"/>
              <w:left w:val="nil"/>
              <w:bottom w:val="nil"/>
              <w:right w:val="nil"/>
            </w:tcBorders>
            <w:shd w:val="clear" w:color="D9D9D9" w:fill="D9D9D9"/>
            <w:noWrap/>
            <w:vAlign w:val="bottom"/>
            <w:hideMark/>
          </w:tcPr>
          <w:p w14:paraId="254E3472"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64822AA9" w14:textId="77777777" w:rsidTr="00232647">
        <w:trPr>
          <w:trHeight w:val="300"/>
        </w:trPr>
        <w:tc>
          <w:tcPr>
            <w:tcW w:w="2640" w:type="dxa"/>
            <w:tcBorders>
              <w:top w:val="nil"/>
              <w:left w:val="nil"/>
              <w:bottom w:val="nil"/>
              <w:right w:val="nil"/>
            </w:tcBorders>
            <w:shd w:val="clear" w:color="auto" w:fill="auto"/>
            <w:noWrap/>
            <w:vAlign w:val="bottom"/>
            <w:hideMark/>
          </w:tcPr>
          <w:p w14:paraId="38DC5A8E"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Mm-Id1-rv</w:t>
            </w:r>
          </w:p>
        </w:tc>
        <w:tc>
          <w:tcPr>
            <w:tcW w:w="3500" w:type="dxa"/>
            <w:tcBorders>
              <w:top w:val="nil"/>
              <w:left w:val="nil"/>
              <w:bottom w:val="nil"/>
              <w:right w:val="nil"/>
            </w:tcBorders>
            <w:shd w:val="clear" w:color="auto" w:fill="auto"/>
            <w:noWrap/>
            <w:vAlign w:val="bottom"/>
            <w:hideMark/>
          </w:tcPr>
          <w:p w14:paraId="788AC184"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GGAACACATGCCGCCTCA</w:t>
            </w:r>
          </w:p>
        </w:tc>
        <w:tc>
          <w:tcPr>
            <w:tcW w:w="2660" w:type="dxa"/>
            <w:tcBorders>
              <w:top w:val="nil"/>
              <w:left w:val="nil"/>
              <w:bottom w:val="nil"/>
              <w:right w:val="nil"/>
            </w:tcBorders>
            <w:shd w:val="clear" w:color="auto" w:fill="auto"/>
            <w:noWrap/>
            <w:vAlign w:val="bottom"/>
            <w:hideMark/>
          </w:tcPr>
          <w:p w14:paraId="7E2ECD2D"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125EC05E" w14:textId="77777777" w:rsidTr="00232647">
        <w:trPr>
          <w:trHeight w:val="300"/>
        </w:trPr>
        <w:tc>
          <w:tcPr>
            <w:tcW w:w="2640" w:type="dxa"/>
            <w:tcBorders>
              <w:top w:val="nil"/>
              <w:left w:val="nil"/>
              <w:bottom w:val="nil"/>
              <w:right w:val="nil"/>
            </w:tcBorders>
            <w:shd w:val="clear" w:color="D9D9D9" w:fill="D9D9D9"/>
            <w:noWrap/>
            <w:vAlign w:val="bottom"/>
            <w:hideMark/>
          </w:tcPr>
          <w:p w14:paraId="70AB8436"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Mm-Id2-fw</w:t>
            </w:r>
          </w:p>
        </w:tc>
        <w:tc>
          <w:tcPr>
            <w:tcW w:w="3500" w:type="dxa"/>
            <w:tcBorders>
              <w:top w:val="nil"/>
              <w:left w:val="nil"/>
              <w:bottom w:val="nil"/>
              <w:right w:val="nil"/>
            </w:tcBorders>
            <w:shd w:val="clear" w:color="D9D9D9" w:fill="D9D9D9"/>
            <w:noWrap/>
            <w:vAlign w:val="bottom"/>
            <w:hideMark/>
          </w:tcPr>
          <w:p w14:paraId="7EFBFE41"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CCTGCATCACCAGAGACCTG</w:t>
            </w:r>
          </w:p>
        </w:tc>
        <w:tc>
          <w:tcPr>
            <w:tcW w:w="2660" w:type="dxa"/>
            <w:tcBorders>
              <w:top w:val="nil"/>
              <w:left w:val="nil"/>
              <w:bottom w:val="nil"/>
              <w:right w:val="nil"/>
            </w:tcBorders>
            <w:shd w:val="clear" w:color="D9D9D9" w:fill="D9D9D9"/>
            <w:noWrap/>
            <w:vAlign w:val="bottom"/>
            <w:hideMark/>
          </w:tcPr>
          <w:p w14:paraId="24560085"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69E650FA" w14:textId="77777777" w:rsidTr="00232647">
        <w:trPr>
          <w:trHeight w:val="300"/>
        </w:trPr>
        <w:tc>
          <w:tcPr>
            <w:tcW w:w="2640" w:type="dxa"/>
            <w:tcBorders>
              <w:top w:val="nil"/>
              <w:left w:val="nil"/>
              <w:bottom w:val="nil"/>
              <w:right w:val="nil"/>
            </w:tcBorders>
            <w:shd w:val="clear" w:color="auto" w:fill="auto"/>
            <w:noWrap/>
            <w:vAlign w:val="bottom"/>
            <w:hideMark/>
          </w:tcPr>
          <w:p w14:paraId="580685A7"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Mm-Id2-rv</w:t>
            </w:r>
          </w:p>
        </w:tc>
        <w:tc>
          <w:tcPr>
            <w:tcW w:w="3500" w:type="dxa"/>
            <w:tcBorders>
              <w:top w:val="nil"/>
              <w:left w:val="nil"/>
              <w:bottom w:val="nil"/>
              <w:right w:val="nil"/>
            </w:tcBorders>
            <w:shd w:val="clear" w:color="auto" w:fill="auto"/>
            <w:noWrap/>
            <w:vAlign w:val="bottom"/>
            <w:hideMark/>
          </w:tcPr>
          <w:p w14:paraId="0D4237A8"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GGGAATTCAGATGCCTGCAA</w:t>
            </w:r>
          </w:p>
        </w:tc>
        <w:tc>
          <w:tcPr>
            <w:tcW w:w="2660" w:type="dxa"/>
            <w:tcBorders>
              <w:top w:val="nil"/>
              <w:left w:val="nil"/>
              <w:bottom w:val="nil"/>
              <w:right w:val="nil"/>
            </w:tcBorders>
            <w:shd w:val="clear" w:color="auto" w:fill="auto"/>
            <w:noWrap/>
            <w:vAlign w:val="bottom"/>
            <w:hideMark/>
          </w:tcPr>
          <w:p w14:paraId="405DCF4B"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7CB30A9A" w14:textId="77777777" w:rsidTr="00232647">
        <w:trPr>
          <w:trHeight w:val="300"/>
        </w:trPr>
        <w:tc>
          <w:tcPr>
            <w:tcW w:w="2640" w:type="dxa"/>
            <w:tcBorders>
              <w:top w:val="nil"/>
              <w:left w:val="nil"/>
              <w:bottom w:val="nil"/>
              <w:right w:val="nil"/>
            </w:tcBorders>
            <w:shd w:val="clear" w:color="D9D9D9" w:fill="D9D9D9"/>
            <w:noWrap/>
            <w:vAlign w:val="bottom"/>
            <w:hideMark/>
          </w:tcPr>
          <w:p w14:paraId="43BD73C4"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Mm-Id3-fw</w:t>
            </w:r>
          </w:p>
        </w:tc>
        <w:tc>
          <w:tcPr>
            <w:tcW w:w="3500" w:type="dxa"/>
            <w:tcBorders>
              <w:top w:val="nil"/>
              <w:left w:val="nil"/>
              <w:bottom w:val="nil"/>
              <w:right w:val="nil"/>
            </w:tcBorders>
            <w:shd w:val="clear" w:color="D9D9D9" w:fill="D9D9D9"/>
            <w:noWrap/>
            <w:vAlign w:val="bottom"/>
            <w:hideMark/>
          </w:tcPr>
          <w:p w14:paraId="560F0416"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ACATGAACCACTGCTACTCGC</w:t>
            </w:r>
          </w:p>
        </w:tc>
        <w:tc>
          <w:tcPr>
            <w:tcW w:w="2660" w:type="dxa"/>
            <w:tcBorders>
              <w:top w:val="nil"/>
              <w:left w:val="nil"/>
              <w:bottom w:val="nil"/>
              <w:right w:val="nil"/>
            </w:tcBorders>
            <w:shd w:val="clear" w:color="D9D9D9" w:fill="D9D9D9"/>
            <w:noWrap/>
            <w:vAlign w:val="bottom"/>
            <w:hideMark/>
          </w:tcPr>
          <w:p w14:paraId="191CB0B0"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5FFA3550" w14:textId="77777777" w:rsidTr="00232647">
        <w:trPr>
          <w:trHeight w:val="300"/>
        </w:trPr>
        <w:tc>
          <w:tcPr>
            <w:tcW w:w="2640" w:type="dxa"/>
            <w:tcBorders>
              <w:top w:val="nil"/>
              <w:left w:val="nil"/>
              <w:bottom w:val="nil"/>
              <w:right w:val="nil"/>
            </w:tcBorders>
            <w:shd w:val="clear" w:color="auto" w:fill="auto"/>
            <w:noWrap/>
            <w:vAlign w:val="bottom"/>
            <w:hideMark/>
          </w:tcPr>
          <w:p w14:paraId="7BAABEC3"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Mm-Id3-rv</w:t>
            </w:r>
          </w:p>
        </w:tc>
        <w:tc>
          <w:tcPr>
            <w:tcW w:w="3500" w:type="dxa"/>
            <w:tcBorders>
              <w:top w:val="nil"/>
              <w:left w:val="nil"/>
              <w:bottom w:val="nil"/>
              <w:right w:val="nil"/>
            </w:tcBorders>
            <w:shd w:val="clear" w:color="auto" w:fill="auto"/>
            <w:noWrap/>
            <w:vAlign w:val="bottom"/>
            <w:hideMark/>
          </w:tcPr>
          <w:p w14:paraId="606532C1"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GTGAGCTCAGCTGTCTGGATCG</w:t>
            </w:r>
          </w:p>
        </w:tc>
        <w:tc>
          <w:tcPr>
            <w:tcW w:w="2660" w:type="dxa"/>
            <w:tcBorders>
              <w:top w:val="nil"/>
              <w:left w:val="nil"/>
              <w:bottom w:val="nil"/>
              <w:right w:val="nil"/>
            </w:tcBorders>
            <w:shd w:val="clear" w:color="auto" w:fill="auto"/>
            <w:noWrap/>
            <w:vAlign w:val="bottom"/>
            <w:hideMark/>
          </w:tcPr>
          <w:p w14:paraId="2558EFF4"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4CC149E5" w14:textId="77777777" w:rsidTr="00232647">
        <w:trPr>
          <w:trHeight w:val="300"/>
        </w:trPr>
        <w:tc>
          <w:tcPr>
            <w:tcW w:w="2640" w:type="dxa"/>
            <w:tcBorders>
              <w:top w:val="nil"/>
              <w:left w:val="nil"/>
              <w:bottom w:val="nil"/>
              <w:right w:val="nil"/>
            </w:tcBorders>
            <w:shd w:val="clear" w:color="D9D9D9" w:fill="D9D9D9"/>
            <w:noWrap/>
            <w:vAlign w:val="bottom"/>
            <w:hideMark/>
          </w:tcPr>
          <w:p w14:paraId="1CDC1774"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Gak</w:t>
            </w:r>
            <w:proofErr w:type="spellEnd"/>
            <w:r w:rsidRPr="00B82882">
              <w:rPr>
                <w:rFonts w:ascii="Calibri" w:eastAsia="Times New Roman" w:hAnsi="Calibri" w:cs="Calibri"/>
                <w:sz w:val="22"/>
              </w:rPr>
              <w:t>-</w:t>
            </w:r>
            <w:proofErr w:type="spellStart"/>
            <w:r w:rsidRPr="00B82882">
              <w:rPr>
                <w:rFonts w:ascii="Calibri" w:eastAsia="Times New Roman" w:hAnsi="Calibri" w:cs="Calibri"/>
                <w:sz w:val="22"/>
              </w:rPr>
              <w:t>fw</w:t>
            </w:r>
            <w:proofErr w:type="spellEnd"/>
          </w:p>
        </w:tc>
        <w:tc>
          <w:tcPr>
            <w:tcW w:w="3500" w:type="dxa"/>
            <w:tcBorders>
              <w:top w:val="nil"/>
              <w:left w:val="nil"/>
              <w:bottom w:val="nil"/>
              <w:right w:val="nil"/>
            </w:tcBorders>
            <w:shd w:val="clear" w:color="D9D9D9" w:fill="D9D9D9"/>
            <w:noWrap/>
            <w:vAlign w:val="bottom"/>
            <w:hideMark/>
          </w:tcPr>
          <w:p w14:paraId="427C8B5E"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CTGCCCACCAGGCATTTG</w:t>
            </w:r>
          </w:p>
        </w:tc>
        <w:tc>
          <w:tcPr>
            <w:tcW w:w="2660" w:type="dxa"/>
            <w:tcBorders>
              <w:top w:val="nil"/>
              <w:left w:val="nil"/>
              <w:bottom w:val="nil"/>
              <w:right w:val="nil"/>
            </w:tcBorders>
            <w:shd w:val="clear" w:color="D9D9D9" w:fill="D9D9D9"/>
            <w:noWrap/>
            <w:vAlign w:val="bottom"/>
            <w:hideMark/>
          </w:tcPr>
          <w:p w14:paraId="3EFB60E7"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53805ED1" w14:textId="77777777" w:rsidTr="00232647">
        <w:trPr>
          <w:trHeight w:val="300"/>
        </w:trPr>
        <w:tc>
          <w:tcPr>
            <w:tcW w:w="2640" w:type="dxa"/>
            <w:tcBorders>
              <w:top w:val="nil"/>
              <w:left w:val="nil"/>
              <w:bottom w:val="nil"/>
              <w:right w:val="nil"/>
            </w:tcBorders>
            <w:shd w:val="clear" w:color="auto" w:fill="auto"/>
            <w:noWrap/>
            <w:vAlign w:val="bottom"/>
            <w:hideMark/>
          </w:tcPr>
          <w:p w14:paraId="2E3CB713"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w:t>
            </w:r>
            <w:proofErr w:type="spellStart"/>
            <w:r w:rsidRPr="00B82882">
              <w:rPr>
                <w:rFonts w:ascii="Calibri" w:eastAsia="Times New Roman" w:hAnsi="Calibri" w:cs="Calibri"/>
                <w:sz w:val="22"/>
              </w:rPr>
              <w:t>Gak</w:t>
            </w:r>
            <w:proofErr w:type="spellEnd"/>
            <w:r w:rsidRPr="00B82882">
              <w:rPr>
                <w:rFonts w:ascii="Calibri" w:eastAsia="Times New Roman" w:hAnsi="Calibri" w:cs="Calibri"/>
                <w:sz w:val="22"/>
              </w:rPr>
              <w:t>-</w:t>
            </w:r>
            <w:proofErr w:type="spellStart"/>
            <w:r w:rsidRPr="00B82882">
              <w:rPr>
                <w:rFonts w:ascii="Calibri" w:eastAsia="Times New Roman" w:hAnsi="Calibri" w:cs="Calibri"/>
                <w:sz w:val="22"/>
              </w:rPr>
              <w:t>rv</w:t>
            </w:r>
            <w:proofErr w:type="spellEnd"/>
          </w:p>
        </w:tc>
        <w:tc>
          <w:tcPr>
            <w:tcW w:w="3500" w:type="dxa"/>
            <w:tcBorders>
              <w:top w:val="nil"/>
              <w:left w:val="nil"/>
              <w:bottom w:val="nil"/>
              <w:right w:val="nil"/>
            </w:tcBorders>
            <w:shd w:val="clear" w:color="auto" w:fill="auto"/>
            <w:noWrap/>
            <w:vAlign w:val="bottom"/>
            <w:hideMark/>
          </w:tcPr>
          <w:p w14:paraId="6A48286B"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CCATGTCACATACATATTCAATGTACCT</w:t>
            </w:r>
          </w:p>
        </w:tc>
        <w:tc>
          <w:tcPr>
            <w:tcW w:w="2660" w:type="dxa"/>
            <w:tcBorders>
              <w:top w:val="nil"/>
              <w:left w:val="nil"/>
              <w:bottom w:val="nil"/>
              <w:right w:val="nil"/>
            </w:tcBorders>
            <w:shd w:val="clear" w:color="auto" w:fill="auto"/>
            <w:noWrap/>
            <w:vAlign w:val="bottom"/>
            <w:hideMark/>
          </w:tcPr>
          <w:p w14:paraId="6D438CE0"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419CF50E" w14:textId="77777777" w:rsidTr="00232647">
        <w:trPr>
          <w:trHeight w:val="300"/>
        </w:trPr>
        <w:tc>
          <w:tcPr>
            <w:tcW w:w="2640" w:type="dxa"/>
            <w:tcBorders>
              <w:top w:val="nil"/>
              <w:left w:val="nil"/>
              <w:bottom w:val="nil"/>
              <w:right w:val="nil"/>
            </w:tcBorders>
            <w:shd w:val="clear" w:color="D9D9D9" w:fill="D9D9D9"/>
            <w:noWrap/>
            <w:vAlign w:val="bottom"/>
            <w:hideMark/>
          </w:tcPr>
          <w:p w14:paraId="7EC25210"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Mm-Mrpl46-fw</w:t>
            </w:r>
          </w:p>
        </w:tc>
        <w:tc>
          <w:tcPr>
            <w:tcW w:w="3500" w:type="dxa"/>
            <w:tcBorders>
              <w:top w:val="nil"/>
              <w:left w:val="nil"/>
              <w:bottom w:val="nil"/>
              <w:right w:val="nil"/>
            </w:tcBorders>
            <w:shd w:val="clear" w:color="D9D9D9" w:fill="D9D9D9"/>
            <w:noWrap/>
            <w:vAlign w:val="bottom"/>
            <w:hideMark/>
          </w:tcPr>
          <w:p w14:paraId="7FD31D5B"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GGGAGCAGGCATTCCTACAG</w:t>
            </w:r>
          </w:p>
        </w:tc>
        <w:tc>
          <w:tcPr>
            <w:tcW w:w="2660" w:type="dxa"/>
            <w:tcBorders>
              <w:top w:val="nil"/>
              <w:left w:val="nil"/>
              <w:bottom w:val="nil"/>
              <w:right w:val="nil"/>
            </w:tcBorders>
            <w:shd w:val="clear" w:color="D9D9D9" w:fill="D9D9D9"/>
            <w:noWrap/>
            <w:vAlign w:val="bottom"/>
            <w:hideMark/>
          </w:tcPr>
          <w:p w14:paraId="611A1B7A"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40C86F5C" w14:textId="77777777" w:rsidTr="00232647">
        <w:trPr>
          <w:trHeight w:val="300"/>
        </w:trPr>
        <w:tc>
          <w:tcPr>
            <w:tcW w:w="2640" w:type="dxa"/>
            <w:tcBorders>
              <w:top w:val="nil"/>
              <w:left w:val="nil"/>
              <w:bottom w:val="nil"/>
              <w:right w:val="nil"/>
            </w:tcBorders>
            <w:shd w:val="clear" w:color="auto" w:fill="auto"/>
            <w:noWrap/>
            <w:vAlign w:val="bottom"/>
            <w:hideMark/>
          </w:tcPr>
          <w:p w14:paraId="3D71FCD8"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Mm-Mrpl46-rv</w:t>
            </w:r>
          </w:p>
        </w:tc>
        <w:tc>
          <w:tcPr>
            <w:tcW w:w="3500" w:type="dxa"/>
            <w:tcBorders>
              <w:top w:val="nil"/>
              <w:left w:val="nil"/>
              <w:bottom w:val="nil"/>
              <w:right w:val="nil"/>
            </w:tcBorders>
            <w:shd w:val="clear" w:color="auto" w:fill="auto"/>
            <w:noWrap/>
            <w:vAlign w:val="bottom"/>
            <w:hideMark/>
          </w:tcPr>
          <w:p w14:paraId="58FDAD61"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GGTCCGGTCATTTTTTTTGTCA</w:t>
            </w:r>
          </w:p>
        </w:tc>
        <w:tc>
          <w:tcPr>
            <w:tcW w:w="2660" w:type="dxa"/>
            <w:tcBorders>
              <w:top w:val="nil"/>
              <w:left w:val="nil"/>
              <w:bottom w:val="nil"/>
              <w:right w:val="nil"/>
            </w:tcBorders>
            <w:shd w:val="clear" w:color="auto" w:fill="auto"/>
            <w:noWrap/>
            <w:vAlign w:val="bottom"/>
            <w:hideMark/>
          </w:tcPr>
          <w:p w14:paraId="16F143F3"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5E58B4B2" w14:textId="77777777" w:rsidTr="00232647">
        <w:trPr>
          <w:trHeight w:val="300"/>
        </w:trPr>
        <w:tc>
          <w:tcPr>
            <w:tcW w:w="2640" w:type="dxa"/>
            <w:tcBorders>
              <w:top w:val="nil"/>
              <w:left w:val="nil"/>
              <w:bottom w:val="nil"/>
              <w:right w:val="nil"/>
            </w:tcBorders>
            <w:shd w:val="clear" w:color="D9D9D9" w:fill="D9D9D9"/>
            <w:noWrap/>
            <w:vAlign w:val="bottom"/>
            <w:hideMark/>
          </w:tcPr>
          <w:p w14:paraId="6464EB18"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Mm-Srp72-fw</w:t>
            </w:r>
          </w:p>
        </w:tc>
        <w:tc>
          <w:tcPr>
            <w:tcW w:w="3500" w:type="dxa"/>
            <w:tcBorders>
              <w:top w:val="nil"/>
              <w:left w:val="nil"/>
              <w:bottom w:val="nil"/>
              <w:right w:val="nil"/>
            </w:tcBorders>
            <w:shd w:val="clear" w:color="D9D9D9" w:fill="D9D9D9"/>
            <w:noWrap/>
            <w:vAlign w:val="bottom"/>
            <w:hideMark/>
          </w:tcPr>
          <w:p w14:paraId="0E9BED49"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CACCCAGCAGACAGACAAACTG</w:t>
            </w:r>
          </w:p>
        </w:tc>
        <w:tc>
          <w:tcPr>
            <w:tcW w:w="2660" w:type="dxa"/>
            <w:tcBorders>
              <w:top w:val="nil"/>
              <w:left w:val="nil"/>
              <w:bottom w:val="nil"/>
              <w:right w:val="nil"/>
            </w:tcBorders>
            <w:shd w:val="clear" w:color="D9D9D9" w:fill="D9D9D9"/>
            <w:noWrap/>
            <w:vAlign w:val="bottom"/>
            <w:hideMark/>
          </w:tcPr>
          <w:p w14:paraId="0EEABCC6"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r w:rsidR="00B82882" w:rsidRPr="00B82882" w14:paraId="6A97685B" w14:textId="77777777" w:rsidTr="00232647">
        <w:trPr>
          <w:trHeight w:val="300"/>
        </w:trPr>
        <w:tc>
          <w:tcPr>
            <w:tcW w:w="2640" w:type="dxa"/>
            <w:tcBorders>
              <w:top w:val="nil"/>
              <w:left w:val="nil"/>
              <w:bottom w:val="single" w:sz="4" w:space="0" w:color="000000"/>
              <w:right w:val="nil"/>
            </w:tcBorders>
            <w:shd w:val="clear" w:color="auto" w:fill="auto"/>
            <w:noWrap/>
            <w:vAlign w:val="bottom"/>
            <w:hideMark/>
          </w:tcPr>
          <w:p w14:paraId="0C18F66C"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Mm-Srp72-rv</w:t>
            </w:r>
          </w:p>
        </w:tc>
        <w:tc>
          <w:tcPr>
            <w:tcW w:w="3500" w:type="dxa"/>
            <w:tcBorders>
              <w:top w:val="nil"/>
              <w:left w:val="nil"/>
              <w:bottom w:val="single" w:sz="4" w:space="0" w:color="000000"/>
              <w:right w:val="nil"/>
            </w:tcBorders>
            <w:shd w:val="clear" w:color="auto" w:fill="auto"/>
            <w:noWrap/>
            <w:vAlign w:val="bottom"/>
            <w:hideMark/>
          </w:tcPr>
          <w:p w14:paraId="34B233F9" w14:textId="77777777" w:rsidR="00B82882" w:rsidRPr="00B82882" w:rsidRDefault="00B82882" w:rsidP="00232647">
            <w:pPr>
              <w:spacing w:after="0" w:line="240" w:lineRule="auto"/>
              <w:rPr>
                <w:rFonts w:ascii="Calibri" w:eastAsia="Times New Roman" w:hAnsi="Calibri" w:cs="Calibri"/>
                <w:sz w:val="22"/>
              </w:rPr>
            </w:pPr>
            <w:r w:rsidRPr="00B82882">
              <w:rPr>
                <w:rFonts w:ascii="Calibri" w:eastAsia="Times New Roman" w:hAnsi="Calibri" w:cs="Calibri"/>
                <w:sz w:val="22"/>
              </w:rPr>
              <w:t>GCACTCATCGTAGCGTTCCA</w:t>
            </w:r>
          </w:p>
        </w:tc>
        <w:tc>
          <w:tcPr>
            <w:tcW w:w="2660" w:type="dxa"/>
            <w:tcBorders>
              <w:top w:val="nil"/>
              <w:left w:val="nil"/>
              <w:bottom w:val="single" w:sz="4" w:space="0" w:color="000000"/>
              <w:right w:val="nil"/>
            </w:tcBorders>
            <w:shd w:val="clear" w:color="auto" w:fill="auto"/>
            <w:noWrap/>
            <w:vAlign w:val="bottom"/>
            <w:hideMark/>
          </w:tcPr>
          <w:p w14:paraId="3380ADC7" w14:textId="77777777" w:rsidR="00B82882" w:rsidRPr="00B82882" w:rsidRDefault="00B82882" w:rsidP="00232647">
            <w:pPr>
              <w:spacing w:after="0" w:line="240" w:lineRule="auto"/>
              <w:rPr>
                <w:rFonts w:ascii="Calibri" w:eastAsia="Times New Roman" w:hAnsi="Calibri" w:cs="Calibri"/>
                <w:sz w:val="22"/>
              </w:rPr>
            </w:pPr>
            <w:proofErr w:type="spellStart"/>
            <w:r w:rsidRPr="00B82882">
              <w:rPr>
                <w:rFonts w:ascii="Calibri" w:eastAsia="Times New Roman" w:hAnsi="Calibri" w:cs="Calibri"/>
                <w:sz w:val="22"/>
              </w:rPr>
              <w:t>metabion</w:t>
            </w:r>
            <w:proofErr w:type="spellEnd"/>
            <w:r w:rsidRPr="00B82882">
              <w:rPr>
                <w:rFonts w:ascii="Calibri" w:eastAsia="Times New Roman" w:hAnsi="Calibri" w:cs="Calibri"/>
                <w:sz w:val="22"/>
              </w:rPr>
              <w:t xml:space="preserve"> international AG</w:t>
            </w:r>
          </w:p>
        </w:tc>
      </w:tr>
    </w:tbl>
    <w:p w14:paraId="2D10D1DB" w14:textId="1F84A25D" w:rsidR="00BC3282" w:rsidRDefault="00BC3282" w:rsidP="00CA2EEF">
      <w:pPr>
        <w:rPr>
          <w:rFonts w:cstheme="minorHAnsi"/>
        </w:rPr>
      </w:pPr>
      <w:r>
        <w:rPr>
          <w:rFonts w:cstheme="minorHAnsi"/>
        </w:rPr>
        <w:br w:type="page"/>
      </w:r>
    </w:p>
    <w:p w14:paraId="3E559829" w14:textId="0DC17DB8" w:rsidR="00B82882" w:rsidRDefault="00BC3282" w:rsidP="00CA2EEF">
      <w:pPr>
        <w:rPr>
          <w:rFonts w:cstheme="minorHAnsi"/>
        </w:rPr>
      </w:pPr>
      <w:r>
        <w:rPr>
          <w:rFonts w:cstheme="minorHAnsi"/>
        </w:rPr>
        <w:lastRenderedPageBreak/>
        <w:t xml:space="preserve">Table S5. </w:t>
      </w:r>
      <w:proofErr w:type="gramStart"/>
      <w:r>
        <w:rPr>
          <w:rFonts w:cstheme="minorHAnsi"/>
        </w:rPr>
        <w:t>ISH-probes.</w:t>
      </w:r>
      <w:proofErr w:type="gramEnd"/>
    </w:p>
    <w:tbl>
      <w:tblPr>
        <w:tblW w:w="6900" w:type="dxa"/>
        <w:tblLook w:val="04A0" w:firstRow="1" w:lastRow="0" w:firstColumn="1" w:lastColumn="0" w:noHBand="0" w:noVBand="1"/>
      </w:tblPr>
      <w:tblGrid>
        <w:gridCol w:w="2180"/>
        <w:gridCol w:w="2940"/>
        <w:gridCol w:w="1780"/>
      </w:tblGrid>
      <w:tr w:rsidR="00BC3282" w:rsidRPr="003A230B" w14:paraId="4E11F2AE" w14:textId="77777777" w:rsidTr="00232647">
        <w:trPr>
          <w:trHeight w:val="300"/>
        </w:trPr>
        <w:tc>
          <w:tcPr>
            <w:tcW w:w="2180" w:type="dxa"/>
            <w:tcBorders>
              <w:top w:val="single" w:sz="4" w:space="0" w:color="000000"/>
              <w:left w:val="nil"/>
              <w:bottom w:val="single" w:sz="4" w:space="0" w:color="000000"/>
              <w:right w:val="nil"/>
            </w:tcBorders>
            <w:shd w:val="clear" w:color="auto" w:fill="auto"/>
            <w:noWrap/>
            <w:vAlign w:val="bottom"/>
            <w:hideMark/>
          </w:tcPr>
          <w:p w14:paraId="755FC4EC" w14:textId="77777777" w:rsidR="00BC3282" w:rsidRPr="003A230B" w:rsidRDefault="00BC3282" w:rsidP="00232647">
            <w:pPr>
              <w:spacing w:after="0" w:line="240" w:lineRule="auto"/>
              <w:rPr>
                <w:rFonts w:ascii="Calibri" w:eastAsia="Times New Roman" w:hAnsi="Calibri" w:cs="Calibri"/>
                <w:b/>
                <w:bCs/>
              </w:rPr>
            </w:pPr>
            <w:r w:rsidRPr="003A230B">
              <w:rPr>
                <w:rFonts w:ascii="Calibri" w:eastAsia="Times New Roman" w:hAnsi="Calibri" w:cs="Calibri"/>
                <w:b/>
                <w:bCs/>
              </w:rPr>
              <w:t>Probe</w:t>
            </w:r>
          </w:p>
        </w:tc>
        <w:tc>
          <w:tcPr>
            <w:tcW w:w="2940" w:type="dxa"/>
            <w:tcBorders>
              <w:top w:val="single" w:sz="4" w:space="0" w:color="000000"/>
              <w:left w:val="nil"/>
              <w:bottom w:val="single" w:sz="4" w:space="0" w:color="000000"/>
              <w:right w:val="nil"/>
            </w:tcBorders>
            <w:shd w:val="clear" w:color="auto" w:fill="auto"/>
            <w:noWrap/>
            <w:vAlign w:val="bottom"/>
            <w:hideMark/>
          </w:tcPr>
          <w:p w14:paraId="76129B26" w14:textId="77777777" w:rsidR="00BC3282" w:rsidRPr="003A230B" w:rsidRDefault="00BC3282" w:rsidP="00232647">
            <w:pPr>
              <w:spacing w:after="0" w:line="240" w:lineRule="auto"/>
              <w:rPr>
                <w:rFonts w:ascii="Calibri" w:eastAsia="Times New Roman" w:hAnsi="Calibri" w:cs="Calibri"/>
                <w:b/>
                <w:bCs/>
              </w:rPr>
            </w:pPr>
            <w:r w:rsidRPr="003A230B">
              <w:rPr>
                <w:rFonts w:ascii="Calibri" w:eastAsia="Times New Roman" w:hAnsi="Calibri" w:cs="Calibri"/>
                <w:b/>
                <w:bCs/>
              </w:rPr>
              <w:t>Supplier</w:t>
            </w:r>
          </w:p>
        </w:tc>
        <w:tc>
          <w:tcPr>
            <w:tcW w:w="1780" w:type="dxa"/>
            <w:tcBorders>
              <w:top w:val="single" w:sz="4" w:space="0" w:color="000000"/>
              <w:left w:val="nil"/>
              <w:bottom w:val="single" w:sz="4" w:space="0" w:color="000000"/>
              <w:right w:val="nil"/>
            </w:tcBorders>
            <w:shd w:val="clear" w:color="auto" w:fill="auto"/>
            <w:noWrap/>
            <w:vAlign w:val="bottom"/>
            <w:hideMark/>
          </w:tcPr>
          <w:p w14:paraId="42D7061A" w14:textId="77777777" w:rsidR="00BC3282" w:rsidRPr="003A230B" w:rsidRDefault="00BC3282" w:rsidP="00232647">
            <w:pPr>
              <w:spacing w:after="0" w:line="240" w:lineRule="auto"/>
              <w:rPr>
                <w:rFonts w:ascii="Calibri" w:eastAsia="Times New Roman" w:hAnsi="Calibri" w:cs="Calibri"/>
                <w:b/>
                <w:bCs/>
              </w:rPr>
            </w:pPr>
            <w:r w:rsidRPr="003A230B">
              <w:rPr>
                <w:rFonts w:ascii="Calibri" w:eastAsia="Times New Roman" w:hAnsi="Calibri" w:cs="Calibri"/>
                <w:b/>
                <w:bCs/>
              </w:rPr>
              <w:t>Order No.</w:t>
            </w:r>
          </w:p>
        </w:tc>
      </w:tr>
      <w:tr w:rsidR="00BC3282" w:rsidRPr="003A230B" w14:paraId="164BF8DE" w14:textId="77777777" w:rsidTr="00232647">
        <w:trPr>
          <w:trHeight w:val="300"/>
        </w:trPr>
        <w:tc>
          <w:tcPr>
            <w:tcW w:w="2180" w:type="dxa"/>
            <w:tcBorders>
              <w:top w:val="nil"/>
              <w:left w:val="nil"/>
              <w:bottom w:val="nil"/>
              <w:right w:val="nil"/>
            </w:tcBorders>
            <w:shd w:val="clear" w:color="D9D9D9" w:fill="D9D9D9"/>
            <w:noWrap/>
            <w:vAlign w:val="bottom"/>
            <w:hideMark/>
          </w:tcPr>
          <w:p w14:paraId="2197D1E2"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w:t>
            </w:r>
            <w:proofErr w:type="spellStart"/>
            <w:r w:rsidRPr="003A230B">
              <w:rPr>
                <w:rFonts w:ascii="Calibri" w:eastAsia="Times New Roman" w:hAnsi="Calibri" w:cs="Calibri"/>
              </w:rPr>
              <w:t>Prnd</w:t>
            </w:r>
            <w:proofErr w:type="spellEnd"/>
          </w:p>
        </w:tc>
        <w:tc>
          <w:tcPr>
            <w:tcW w:w="2940" w:type="dxa"/>
            <w:tcBorders>
              <w:top w:val="nil"/>
              <w:left w:val="nil"/>
              <w:bottom w:val="nil"/>
              <w:right w:val="nil"/>
            </w:tcBorders>
            <w:shd w:val="clear" w:color="D9D9D9" w:fill="D9D9D9"/>
            <w:noWrap/>
            <w:vAlign w:val="bottom"/>
            <w:hideMark/>
          </w:tcPr>
          <w:p w14:paraId="585B8851"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D9D9D9" w:fill="D9D9D9"/>
            <w:noWrap/>
            <w:vAlign w:val="bottom"/>
            <w:hideMark/>
          </w:tcPr>
          <w:p w14:paraId="4A8974A0"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457951</w:t>
            </w:r>
          </w:p>
        </w:tc>
      </w:tr>
      <w:tr w:rsidR="00BC3282" w:rsidRPr="003A230B" w14:paraId="570B18B9" w14:textId="77777777" w:rsidTr="00232647">
        <w:trPr>
          <w:trHeight w:val="300"/>
        </w:trPr>
        <w:tc>
          <w:tcPr>
            <w:tcW w:w="2180" w:type="dxa"/>
            <w:tcBorders>
              <w:top w:val="nil"/>
              <w:left w:val="nil"/>
              <w:bottom w:val="nil"/>
              <w:right w:val="nil"/>
            </w:tcBorders>
            <w:shd w:val="clear" w:color="auto" w:fill="auto"/>
            <w:noWrap/>
            <w:vAlign w:val="bottom"/>
            <w:hideMark/>
          </w:tcPr>
          <w:p w14:paraId="7B970ED9"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w:t>
            </w:r>
            <w:proofErr w:type="spellStart"/>
            <w:r w:rsidRPr="003A230B">
              <w:rPr>
                <w:rFonts w:ascii="Calibri" w:eastAsia="Times New Roman" w:hAnsi="Calibri" w:cs="Calibri"/>
              </w:rPr>
              <w:t>Pgf</w:t>
            </w:r>
            <w:proofErr w:type="spellEnd"/>
          </w:p>
        </w:tc>
        <w:tc>
          <w:tcPr>
            <w:tcW w:w="2940" w:type="dxa"/>
            <w:tcBorders>
              <w:top w:val="nil"/>
              <w:left w:val="nil"/>
              <w:bottom w:val="nil"/>
              <w:right w:val="nil"/>
            </w:tcBorders>
            <w:shd w:val="clear" w:color="auto" w:fill="auto"/>
            <w:noWrap/>
            <w:vAlign w:val="bottom"/>
            <w:hideMark/>
          </w:tcPr>
          <w:p w14:paraId="6D218F7E"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auto" w:fill="auto"/>
            <w:noWrap/>
            <w:vAlign w:val="bottom"/>
            <w:hideMark/>
          </w:tcPr>
          <w:p w14:paraId="3B8ACDEF"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405921</w:t>
            </w:r>
          </w:p>
        </w:tc>
      </w:tr>
      <w:tr w:rsidR="00BC3282" w:rsidRPr="003A230B" w14:paraId="1E4AFEC4" w14:textId="77777777" w:rsidTr="00232647">
        <w:trPr>
          <w:trHeight w:val="300"/>
        </w:trPr>
        <w:tc>
          <w:tcPr>
            <w:tcW w:w="2180" w:type="dxa"/>
            <w:tcBorders>
              <w:top w:val="nil"/>
              <w:left w:val="nil"/>
              <w:bottom w:val="nil"/>
              <w:right w:val="nil"/>
            </w:tcBorders>
            <w:shd w:val="clear" w:color="D9D9D9" w:fill="D9D9D9"/>
            <w:noWrap/>
            <w:vAlign w:val="bottom"/>
            <w:hideMark/>
          </w:tcPr>
          <w:p w14:paraId="5FC0554F"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Mm-Wnt2</w:t>
            </w:r>
          </w:p>
        </w:tc>
        <w:tc>
          <w:tcPr>
            <w:tcW w:w="2940" w:type="dxa"/>
            <w:tcBorders>
              <w:top w:val="nil"/>
              <w:left w:val="nil"/>
              <w:bottom w:val="nil"/>
              <w:right w:val="nil"/>
            </w:tcBorders>
            <w:shd w:val="clear" w:color="D9D9D9" w:fill="D9D9D9"/>
            <w:noWrap/>
            <w:vAlign w:val="bottom"/>
            <w:hideMark/>
          </w:tcPr>
          <w:p w14:paraId="7095AB50"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D9D9D9" w:fill="D9D9D9"/>
            <w:noWrap/>
            <w:vAlign w:val="bottom"/>
            <w:hideMark/>
          </w:tcPr>
          <w:p w14:paraId="38DA0051"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313601</w:t>
            </w:r>
          </w:p>
        </w:tc>
      </w:tr>
      <w:tr w:rsidR="00BC3282" w:rsidRPr="003A230B" w14:paraId="36844298" w14:textId="77777777" w:rsidTr="00232647">
        <w:trPr>
          <w:trHeight w:val="300"/>
        </w:trPr>
        <w:tc>
          <w:tcPr>
            <w:tcW w:w="2180" w:type="dxa"/>
            <w:tcBorders>
              <w:top w:val="nil"/>
              <w:left w:val="nil"/>
              <w:bottom w:val="nil"/>
              <w:right w:val="nil"/>
            </w:tcBorders>
            <w:shd w:val="clear" w:color="auto" w:fill="auto"/>
            <w:noWrap/>
            <w:vAlign w:val="bottom"/>
            <w:hideMark/>
          </w:tcPr>
          <w:p w14:paraId="3E1C68CA"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Mm-Wnt9b</w:t>
            </w:r>
          </w:p>
        </w:tc>
        <w:tc>
          <w:tcPr>
            <w:tcW w:w="2940" w:type="dxa"/>
            <w:tcBorders>
              <w:top w:val="nil"/>
              <w:left w:val="nil"/>
              <w:bottom w:val="nil"/>
              <w:right w:val="nil"/>
            </w:tcBorders>
            <w:shd w:val="clear" w:color="auto" w:fill="auto"/>
            <w:noWrap/>
            <w:vAlign w:val="bottom"/>
            <w:hideMark/>
          </w:tcPr>
          <w:p w14:paraId="62ECE113"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auto" w:fill="auto"/>
            <w:noWrap/>
            <w:vAlign w:val="bottom"/>
            <w:hideMark/>
          </w:tcPr>
          <w:p w14:paraId="348391FC"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405091</w:t>
            </w:r>
          </w:p>
        </w:tc>
      </w:tr>
      <w:tr w:rsidR="00BC3282" w:rsidRPr="003A230B" w14:paraId="70CB6025" w14:textId="77777777" w:rsidTr="00232647">
        <w:trPr>
          <w:trHeight w:val="300"/>
        </w:trPr>
        <w:tc>
          <w:tcPr>
            <w:tcW w:w="2180" w:type="dxa"/>
            <w:tcBorders>
              <w:top w:val="nil"/>
              <w:left w:val="nil"/>
              <w:bottom w:val="nil"/>
              <w:right w:val="nil"/>
            </w:tcBorders>
            <w:shd w:val="clear" w:color="D9D9D9" w:fill="D9D9D9"/>
            <w:noWrap/>
            <w:vAlign w:val="bottom"/>
            <w:hideMark/>
          </w:tcPr>
          <w:p w14:paraId="0AFB9717"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Mm-Rspo3</w:t>
            </w:r>
          </w:p>
        </w:tc>
        <w:tc>
          <w:tcPr>
            <w:tcW w:w="2940" w:type="dxa"/>
            <w:tcBorders>
              <w:top w:val="nil"/>
              <w:left w:val="nil"/>
              <w:bottom w:val="nil"/>
              <w:right w:val="nil"/>
            </w:tcBorders>
            <w:shd w:val="clear" w:color="D9D9D9" w:fill="D9D9D9"/>
            <w:noWrap/>
            <w:vAlign w:val="bottom"/>
            <w:hideMark/>
          </w:tcPr>
          <w:p w14:paraId="70E006F9"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D9D9D9" w:fill="D9D9D9"/>
            <w:noWrap/>
            <w:vAlign w:val="bottom"/>
            <w:hideMark/>
          </w:tcPr>
          <w:p w14:paraId="5D787272"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402011</w:t>
            </w:r>
          </w:p>
        </w:tc>
      </w:tr>
      <w:tr w:rsidR="00BC3282" w:rsidRPr="003A230B" w14:paraId="263B8D7F" w14:textId="77777777" w:rsidTr="00232647">
        <w:trPr>
          <w:trHeight w:val="300"/>
        </w:trPr>
        <w:tc>
          <w:tcPr>
            <w:tcW w:w="2180" w:type="dxa"/>
            <w:tcBorders>
              <w:top w:val="nil"/>
              <w:left w:val="nil"/>
              <w:bottom w:val="nil"/>
              <w:right w:val="nil"/>
            </w:tcBorders>
            <w:shd w:val="clear" w:color="auto" w:fill="auto"/>
            <w:noWrap/>
            <w:vAlign w:val="bottom"/>
            <w:hideMark/>
          </w:tcPr>
          <w:p w14:paraId="45345863"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Mm-Bmp2-E3</w:t>
            </w:r>
          </w:p>
        </w:tc>
        <w:tc>
          <w:tcPr>
            <w:tcW w:w="2940" w:type="dxa"/>
            <w:tcBorders>
              <w:top w:val="nil"/>
              <w:left w:val="nil"/>
              <w:bottom w:val="nil"/>
              <w:right w:val="nil"/>
            </w:tcBorders>
            <w:shd w:val="clear" w:color="auto" w:fill="auto"/>
            <w:noWrap/>
            <w:vAlign w:val="bottom"/>
            <w:hideMark/>
          </w:tcPr>
          <w:p w14:paraId="042FAC01"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auto" w:fill="auto"/>
            <w:noWrap/>
            <w:vAlign w:val="bottom"/>
            <w:hideMark/>
          </w:tcPr>
          <w:p w14:paraId="33E65444"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427341</w:t>
            </w:r>
          </w:p>
        </w:tc>
      </w:tr>
      <w:tr w:rsidR="00BC3282" w:rsidRPr="003A230B" w14:paraId="0F61D404" w14:textId="77777777" w:rsidTr="00232647">
        <w:trPr>
          <w:trHeight w:val="300"/>
        </w:trPr>
        <w:tc>
          <w:tcPr>
            <w:tcW w:w="2180" w:type="dxa"/>
            <w:tcBorders>
              <w:top w:val="nil"/>
              <w:left w:val="nil"/>
              <w:bottom w:val="nil"/>
              <w:right w:val="nil"/>
            </w:tcBorders>
            <w:shd w:val="clear" w:color="D9D9D9" w:fill="D9D9D9"/>
            <w:noWrap/>
            <w:vAlign w:val="bottom"/>
            <w:hideMark/>
          </w:tcPr>
          <w:p w14:paraId="55AFFDFA"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w:t>
            </w:r>
            <w:proofErr w:type="spellStart"/>
            <w:r w:rsidRPr="003A230B">
              <w:rPr>
                <w:rFonts w:ascii="Calibri" w:eastAsia="Times New Roman" w:hAnsi="Calibri" w:cs="Calibri"/>
              </w:rPr>
              <w:t>Hgf</w:t>
            </w:r>
            <w:proofErr w:type="spellEnd"/>
          </w:p>
        </w:tc>
        <w:tc>
          <w:tcPr>
            <w:tcW w:w="2940" w:type="dxa"/>
            <w:tcBorders>
              <w:top w:val="nil"/>
              <w:left w:val="nil"/>
              <w:bottom w:val="nil"/>
              <w:right w:val="nil"/>
            </w:tcBorders>
            <w:shd w:val="clear" w:color="D9D9D9" w:fill="D9D9D9"/>
            <w:noWrap/>
            <w:vAlign w:val="bottom"/>
            <w:hideMark/>
          </w:tcPr>
          <w:p w14:paraId="5BAF4C8A"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D9D9D9" w:fill="D9D9D9"/>
            <w:noWrap/>
            <w:vAlign w:val="bottom"/>
            <w:hideMark/>
          </w:tcPr>
          <w:p w14:paraId="6F183979"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315631</w:t>
            </w:r>
          </w:p>
        </w:tc>
      </w:tr>
      <w:tr w:rsidR="00BC3282" w:rsidRPr="003A230B" w14:paraId="4B4F70E0" w14:textId="77777777" w:rsidTr="00232647">
        <w:trPr>
          <w:trHeight w:val="300"/>
        </w:trPr>
        <w:tc>
          <w:tcPr>
            <w:tcW w:w="2180" w:type="dxa"/>
            <w:tcBorders>
              <w:top w:val="nil"/>
              <w:left w:val="nil"/>
              <w:bottom w:val="nil"/>
              <w:right w:val="nil"/>
            </w:tcBorders>
            <w:shd w:val="clear" w:color="auto" w:fill="auto"/>
            <w:noWrap/>
            <w:vAlign w:val="bottom"/>
            <w:hideMark/>
          </w:tcPr>
          <w:p w14:paraId="370F5713"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Mm-Cdh5-C2</w:t>
            </w:r>
          </w:p>
        </w:tc>
        <w:tc>
          <w:tcPr>
            <w:tcW w:w="2940" w:type="dxa"/>
            <w:tcBorders>
              <w:top w:val="nil"/>
              <w:left w:val="nil"/>
              <w:bottom w:val="nil"/>
              <w:right w:val="nil"/>
            </w:tcBorders>
            <w:shd w:val="clear" w:color="auto" w:fill="auto"/>
            <w:noWrap/>
            <w:vAlign w:val="bottom"/>
            <w:hideMark/>
          </w:tcPr>
          <w:p w14:paraId="628C4187"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auto" w:fill="auto"/>
            <w:noWrap/>
            <w:vAlign w:val="bottom"/>
            <w:hideMark/>
          </w:tcPr>
          <w:p w14:paraId="39BAB8C7"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312531-C2</w:t>
            </w:r>
          </w:p>
        </w:tc>
      </w:tr>
      <w:tr w:rsidR="00BC3282" w:rsidRPr="003A230B" w14:paraId="3830A6A0" w14:textId="77777777" w:rsidTr="00232647">
        <w:trPr>
          <w:trHeight w:val="300"/>
        </w:trPr>
        <w:tc>
          <w:tcPr>
            <w:tcW w:w="2180" w:type="dxa"/>
            <w:tcBorders>
              <w:top w:val="nil"/>
              <w:left w:val="nil"/>
              <w:bottom w:val="nil"/>
              <w:right w:val="nil"/>
            </w:tcBorders>
            <w:shd w:val="clear" w:color="D9D9D9" w:fill="D9D9D9"/>
            <w:noWrap/>
            <w:vAlign w:val="bottom"/>
            <w:hideMark/>
          </w:tcPr>
          <w:p w14:paraId="41AA1F43"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Mm-Esm1_E3</w:t>
            </w:r>
          </w:p>
        </w:tc>
        <w:tc>
          <w:tcPr>
            <w:tcW w:w="2940" w:type="dxa"/>
            <w:tcBorders>
              <w:top w:val="nil"/>
              <w:left w:val="nil"/>
              <w:bottom w:val="nil"/>
              <w:right w:val="nil"/>
            </w:tcBorders>
            <w:shd w:val="clear" w:color="D9D9D9" w:fill="D9D9D9"/>
            <w:noWrap/>
            <w:vAlign w:val="bottom"/>
            <w:hideMark/>
          </w:tcPr>
          <w:p w14:paraId="367E17AB"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D9D9D9" w:fill="D9D9D9"/>
            <w:noWrap/>
            <w:vAlign w:val="bottom"/>
            <w:hideMark/>
          </w:tcPr>
          <w:p w14:paraId="1E5EDC28"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411761</w:t>
            </w:r>
          </w:p>
        </w:tc>
      </w:tr>
      <w:tr w:rsidR="00BC3282" w:rsidRPr="003A230B" w14:paraId="7B18DBC3" w14:textId="77777777" w:rsidTr="00232647">
        <w:trPr>
          <w:trHeight w:val="300"/>
        </w:trPr>
        <w:tc>
          <w:tcPr>
            <w:tcW w:w="2180" w:type="dxa"/>
            <w:tcBorders>
              <w:top w:val="nil"/>
              <w:left w:val="nil"/>
              <w:bottom w:val="nil"/>
              <w:right w:val="nil"/>
            </w:tcBorders>
            <w:shd w:val="clear" w:color="auto" w:fill="auto"/>
            <w:noWrap/>
            <w:vAlign w:val="bottom"/>
            <w:hideMark/>
          </w:tcPr>
          <w:p w14:paraId="3D751587"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Mm-</w:t>
            </w:r>
            <w:proofErr w:type="spellStart"/>
            <w:r w:rsidRPr="003A230B">
              <w:rPr>
                <w:rFonts w:ascii="Calibri" w:eastAsia="Times New Roman" w:hAnsi="Calibri" w:cs="Calibri"/>
              </w:rPr>
              <w:t>Apln</w:t>
            </w:r>
            <w:proofErr w:type="spellEnd"/>
          </w:p>
        </w:tc>
        <w:tc>
          <w:tcPr>
            <w:tcW w:w="2940" w:type="dxa"/>
            <w:tcBorders>
              <w:top w:val="nil"/>
              <w:left w:val="nil"/>
              <w:bottom w:val="nil"/>
              <w:right w:val="nil"/>
            </w:tcBorders>
            <w:shd w:val="clear" w:color="auto" w:fill="auto"/>
            <w:noWrap/>
            <w:vAlign w:val="bottom"/>
            <w:hideMark/>
          </w:tcPr>
          <w:p w14:paraId="4FC7A7DF"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auto" w:fill="auto"/>
            <w:noWrap/>
            <w:vAlign w:val="bottom"/>
            <w:hideMark/>
          </w:tcPr>
          <w:p w14:paraId="397FE8F5"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415371</w:t>
            </w:r>
          </w:p>
        </w:tc>
      </w:tr>
      <w:tr w:rsidR="00BC3282" w:rsidRPr="003A230B" w14:paraId="56A37852" w14:textId="77777777" w:rsidTr="00232647">
        <w:trPr>
          <w:trHeight w:val="300"/>
        </w:trPr>
        <w:tc>
          <w:tcPr>
            <w:tcW w:w="2180" w:type="dxa"/>
            <w:tcBorders>
              <w:top w:val="nil"/>
              <w:left w:val="nil"/>
              <w:bottom w:val="nil"/>
              <w:right w:val="nil"/>
            </w:tcBorders>
            <w:shd w:val="clear" w:color="D9D9D9" w:fill="D9D9D9"/>
            <w:noWrap/>
            <w:vAlign w:val="bottom"/>
            <w:hideMark/>
          </w:tcPr>
          <w:p w14:paraId="03B3C31A"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Hs-PGF</w:t>
            </w:r>
          </w:p>
        </w:tc>
        <w:tc>
          <w:tcPr>
            <w:tcW w:w="2940" w:type="dxa"/>
            <w:tcBorders>
              <w:top w:val="nil"/>
              <w:left w:val="nil"/>
              <w:bottom w:val="nil"/>
              <w:right w:val="nil"/>
            </w:tcBorders>
            <w:shd w:val="clear" w:color="D9D9D9" w:fill="D9D9D9"/>
            <w:noWrap/>
            <w:vAlign w:val="bottom"/>
            <w:hideMark/>
          </w:tcPr>
          <w:p w14:paraId="22506848"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nil"/>
              <w:right w:val="nil"/>
            </w:tcBorders>
            <w:shd w:val="clear" w:color="D9D9D9" w:fill="D9D9D9"/>
            <w:noWrap/>
            <w:vAlign w:val="bottom"/>
            <w:hideMark/>
          </w:tcPr>
          <w:p w14:paraId="01BD4F9A"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311771</w:t>
            </w:r>
          </w:p>
        </w:tc>
      </w:tr>
      <w:tr w:rsidR="00BC3282" w:rsidRPr="003A230B" w14:paraId="4A66230C" w14:textId="77777777" w:rsidTr="00232647">
        <w:trPr>
          <w:trHeight w:val="300"/>
        </w:trPr>
        <w:tc>
          <w:tcPr>
            <w:tcW w:w="2180" w:type="dxa"/>
            <w:tcBorders>
              <w:top w:val="nil"/>
              <w:left w:val="nil"/>
              <w:bottom w:val="single" w:sz="4" w:space="0" w:color="000000"/>
              <w:right w:val="nil"/>
            </w:tcBorders>
            <w:shd w:val="clear" w:color="auto" w:fill="auto"/>
            <w:noWrap/>
            <w:vAlign w:val="bottom"/>
            <w:hideMark/>
          </w:tcPr>
          <w:p w14:paraId="584BD687"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Hs-CDH5-C2</w:t>
            </w:r>
          </w:p>
        </w:tc>
        <w:tc>
          <w:tcPr>
            <w:tcW w:w="2940" w:type="dxa"/>
            <w:tcBorders>
              <w:top w:val="nil"/>
              <w:left w:val="nil"/>
              <w:bottom w:val="single" w:sz="4" w:space="0" w:color="000000"/>
              <w:right w:val="nil"/>
            </w:tcBorders>
            <w:shd w:val="clear" w:color="auto" w:fill="auto"/>
            <w:noWrap/>
            <w:vAlign w:val="bottom"/>
            <w:hideMark/>
          </w:tcPr>
          <w:p w14:paraId="7071E9BC" w14:textId="77777777" w:rsidR="00BC3282" w:rsidRPr="003A230B" w:rsidRDefault="00BC3282" w:rsidP="00232647">
            <w:pPr>
              <w:spacing w:after="0" w:line="240" w:lineRule="auto"/>
              <w:rPr>
                <w:rFonts w:ascii="Calibri" w:eastAsia="Times New Roman" w:hAnsi="Calibri" w:cs="Calibri"/>
              </w:rPr>
            </w:pPr>
            <w:r w:rsidRPr="003A230B">
              <w:rPr>
                <w:rFonts w:ascii="Calibri" w:eastAsia="Times New Roman" w:hAnsi="Calibri" w:cs="Calibri"/>
              </w:rPr>
              <w:t>Advanced Cell Diagnostics</w:t>
            </w:r>
          </w:p>
        </w:tc>
        <w:tc>
          <w:tcPr>
            <w:tcW w:w="1780" w:type="dxa"/>
            <w:tcBorders>
              <w:top w:val="nil"/>
              <w:left w:val="nil"/>
              <w:bottom w:val="single" w:sz="4" w:space="0" w:color="000000"/>
              <w:right w:val="nil"/>
            </w:tcBorders>
            <w:shd w:val="clear" w:color="auto" w:fill="auto"/>
            <w:noWrap/>
            <w:vAlign w:val="bottom"/>
            <w:hideMark/>
          </w:tcPr>
          <w:p w14:paraId="5D20B254" w14:textId="77777777" w:rsidR="00BC3282" w:rsidRPr="003A230B" w:rsidRDefault="00BC3282" w:rsidP="00232647">
            <w:pPr>
              <w:spacing w:after="0" w:line="240" w:lineRule="auto"/>
              <w:jc w:val="right"/>
              <w:rPr>
                <w:rFonts w:ascii="Calibri" w:eastAsia="Times New Roman" w:hAnsi="Calibri" w:cs="Calibri"/>
              </w:rPr>
            </w:pPr>
            <w:r w:rsidRPr="003A230B">
              <w:rPr>
                <w:rFonts w:ascii="Calibri" w:eastAsia="Times New Roman" w:hAnsi="Calibri" w:cs="Calibri"/>
              </w:rPr>
              <w:t>437451-C2</w:t>
            </w:r>
          </w:p>
        </w:tc>
      </w:tr>
    </w:tbl>
    <w:p w14:paraId="24A552A2" w14:textId="5CC918B4" w:rsidR="00BC3282" w:rsidRDefault="00BC3282" w:rsidP="00CA2EEF">
      <w:pPr>
        <w:rPr>
          <w:rFonts w:cstheme="minorHAnsi"/>
        </w:rPr>
      </w:pPr>
    </w:p>
    <w:p w14:paraId="41F73097" w14:textId="77777777" w:rsidR="00662018" w:rsidRDefault="00662018" w:rsidP="00CA2EEF">
      <w:pPr>
        <w:rPr>
          <w:rFonts w:cstheme="minorHAnsi"/>
        </w:rPr>
        <w:sectPr w:rsidR="00662018" w:rsidSect="00B82882">
          <w:pgSz w:w="11906" w:h="16838"/>
          <w:pgMar w:top="720" w:right="720" w:bottom="720" w:left="720" w:header="708" w:footer="708" w:gutter="0"/>
          <w:cols w:space="708"/>
          <w:docGrid w:linePitch="360"/>
        </w:sectPr>
      </w:pPr>
    </w:p>
    <w:p w14:paraId="430FDE7B" w14:textId="77777777" w:rsidR="00662018" w:rsidRPr="007431E6" w:rsidRDefault="00662018" w:rsidP="00662018">
      <w:pPr>
        <w:keepNext/>
        <w:keepLines/>
        <w:spacing w:before="80" w:after="80"/>
        <w:outlineLvl w:val="0"/>
        <w:rPr>
          <w:rFonts w:eastAsia="Times New Roman" w:cstheme="minorHAnsi"/>
          <w:b/>
          <w:sz w:val="32"/>
          <w:szCs w:val="36"/>
        </w:rPr>
      </w:pPr>
      <w:r w:rsidRPr="007431E6">
        <w:rPr>
          <w:rFonts w:eastAsia="Times New Roman" w:cstheme="minorHAnsi"/>
          <w:b/>
          <w:sz w:val="32"/>
          <w:szCs w:val="36"/>
        </w:rPr>
        <w:lastRenderedPageBreak/>
        <w:t>References</w:t>
      </w:r>
    </w:p>
    <w:p w14:paraId="52D6F56A" w14:textId="77777777" w:rsidR="00662018" w:rsidRPr="00110554" w:rsidRDefault="00662018" w:rsidP="00662018">
      <w:pPr>
        <w:pStyle w:val="Bibliography"/>
        <w:rPr>
          <w:rFonts w:ascii="Calibri" w:hAnsi="Calibri" w:cs="Calibri"/>
        </w:rPr>
      </w:pPr>
      <w:r>
        <w:rPr>
          <w:rFonts w:cstheme="minorHAnsi"/>
        </w:rPr>
        <w:fldChar w:fldCharType="begin"/>
      </w:r>
      <w:r w:rsidRPr="007E2C79">
        <w:rPr>
          <w:rFonts w:cstheme="minorHAnsi"/>
          <w:lang w:val="de-DE"/>
        </w:rPr>
        <w:instrText xml:space="preserve"> ADDIN ZOTERO_BIBL {"uncited":[],"omitted":[],"custom":[]} CSL_BIBLIOGRAPHY </w:instrText>
      </w:r>
      <w:r>
        <w:rPr>
          <w:rFonts w:cstheme="minorHAnsi"/>
        </w:rPr>
        <w:fldChar w:fldCharType="separate"/>
      </w:r>
      <w:r w:rsidRPr="007E2C79">
        <w:rPr>
          <w:rFonts w:ascii="Calibri" w:hAnsi="Calibri" w:cs="Calibri"/>
          <w:lang w:val="de-DE"/>
        </w:rPr>
        <w:t xml:space="preserve">1. </w:t>
      </w:r>
      <w:r w:rsidRPr="007E2C79">
        <w:rPr>
          <w:rFonts w:ascii="Calibri" w:hAnsi="Calibri" w:cs="Calibri"/>
          <w:lang w:val="de-DE"/>
        </w:rPr>
        <w:tab/>
        <w:t xml:space="preserve">Weyer V, Maros ME, Kronfeld A, Kirschner S, Groden C, Sommer C, et al. </w:t>
      </w:r>
      <w:r w:rsidRPr="00110554">
        <w:rPr>
          <w:rFonts w:ascii="Calibri" w:hAnsi="Calibri" w:cs="Calibri"/>
        </w:rPr>
        <w:t xml:space="preserve">Longitudinal imaging and evaluation of SAH-associated cerebral large artery vasospasm in mice using micro-CT and angiography. J Cereb Blood Flow Metab. 2020;40:2265–2277. </w:t>
      </w:r>
    </w:p>
    <w:p w14:paraId="1B91D075" w14:textId="77777777" w:rsidR="00662018" w:rsidRPr="00110554" w:rsidRDefault="00662018" w:rsidP="00662018">
      <w:pPr>
        <w:pStyle w:val="Bibliography"/>
        <w:rPr>
          <w:rFonts w:ascii="Calibri" w:hAnsi="Calibri" w:cs="Calibri"/>
        </w:rPr>
      </w:pPr>
      <w:r w:rsidRPr="00110554">
        <w:rPr>
          <w:rFonts w:ascii="Calibri" w:hAnsi="Calibri" w:cs="Calibri"/>
        </w:rPr>
        <w:t xml:space="preserve">2. </w:t>
      </w:r>
      <w:r w:rsidRPr="00110554">
        <w:rPr>
          <w:rFonts w:ascii="Calibri" w:hAnsi="Calibri" w:cs="Calibri"/>
        </w:rPr>
        <w:tab/>
        <w:t xml:space="preserve">Boll H, Nittka S, Doyon F, Neumaier M, Marx A, Kramer M, et al. Micro-CT Based Experimental Liver Imaging Using a Nanoparticulate Contrast Agent: A Longitudinal Study in Mice. PLoS One. 2011;6:e25692. </w:t>
      </w:r>
    </w:p>
    <w:p w14:paraId="43F6D007" w14:textId="77777777" w:rsidR="00662018" w:rsidRPr="00110554" w:rsidRDefault="00662018" w:rsidP="00662018">
      <w:pPr>
        <w:pStyle w:val="Bibliography"/>
        <w:rPr>
          <w:rFonts w:ascii="Calibri" w:hAnsi="Calibri" w:cs="Calibri"/>
        </w:rPr>
      </w:pPr>
      <w:r w:rsidRPr="00110554">
        <w:rPr>
          <w:rFonts w:ascii="Calibri" w:hAnsi="Calibri" w:cs="Calibri"/>
        </w:rPr>
        <w:t xml:space="preserve">3. </w:t>
      </w:r>
      <w:r w:rsidRPr="00110554">
        <w:rPr>
          <w:rFonts w:ascii="Calibri" w:hAnsi="Calibri" w:cs="Calibri"/>
        </w:rPr>
        <w:tab/>
        <w:t xml:space="preserve">Schambach SJ, Bag S, Steil V, Isaza C, Schilling L, Groden C, et al. Ultrafast high-resolution in vivo volume-CTA of mice cerebral vessels. Stroke. 2009;40:1444–1450. </w:t>
      </w:r>
    </w:p>
    <w:p w14:paraId="6E9766DF" w14:textId="77777777" w:rsidR="00662018" w:rsidRPr="00110554" w:rsidRDefault="00662018" w:rsidP="00662018">
      <w:pPr>
        <w:pStyle w:val="Bibliography"/>
        <w:rPr>
          <w:rFonts w:ascii="Calibri" w:hAnsi="Calibri" w:cs="Calibri"/>
        </w:rPr>
      </w:pPr>
      <w:r w:rsidRPr="00110554">
        <w:rPr>
          <w:rFonts w:ascii="Calibri" w:hAnsi="Calibri" w:cs="Calibri"/>
        </w:rPr>
        <w:t xml:space="preserve">4. </w:t>
      </w:r>
      <w:r w:rsidRPr="00110554">
        <w:rPr>
          <w:rFonts w:ascii="Calibri" w:hAnsi="Calibri" w:cs="Calibri"/>
        </w:rPr>
        <w:tab/>
        <w:t xml:space="preserve">Schindelin J, Arganda-Carreras I, Frise E, Kaynig V, Longair M, Pietzsch T, et al. Fiji: an open-source platform for biological-image analysis. Nature methods. 2012;9:676–82. </w:t>
      </w:r>
    </w:p>
    <w:p w14:paraId="41525A0B" w14:textId="77777777" w:rsidR="00662018" w:rsidRPr="00110554" w:rsidRDefault="00662018" w:rsidP="00662018">
      <w:pPr>
        <w:pStyle w:val="Bibliography"/>
        <w:rPr>
          <w:rFonts w:ascii="Calibri" w:hAnsi="Calibri" w:cs="Calibri"/>
          <w:lang w:val="de-DE"/>
        </w:rPr>
      </w:pPr>
      <w:r w:rsidRPr="00110554">
        <w:rPr>
          <w:rFonts w:ascii="Calibri" w:hAnsi="Calibri" w:cs="Calibri"/>
        </w:rPr>
        <w:t xml:space="preserve">5. </w:t>
      </w:r>
      <w:r w:rsidRPr="00110554">
        <w:rPr>
          <w:rFonts w:ascii="Calibri" w:hAnsi="Calibri" w:cs="Calibri"/>
        </w:rPr>
        <w:tab/>
        <w:t xml:space="preserve">Schneider CA, Rasband WS, Eliceiri KW. NIH Image to ImageJ: 25 years of image analysis. </w:t>
      </w:r>
      <w:r w:rsidRPr="00110554">
        <w:rPr>
          <w:rFonts w:ascii="Calibri" w:hAnsi="Calibri" w:cs="Calibri"/>
          <w:lang w:val="de-DE"/>
        </w:rPr>
        <w:t xml:space="preserve">Nat Methods. 2012;9:671–675. </w:t>
      </w:r>
    </w:p>
    <w:p w14:paraId="0F553A88" w14:textId="77777777" w:rsidR="00662018" w:rsidRPr="00110554" w:rsidRDefault="00662018" w:rsidP="00662018">
      <w:pPr>
        <w:pStyle w:val="Bibliography"/>
        <w:rPr>
          <w:rFonts w:ascii="Calibri" w:hAnsi="Calibri" w:cs="Calibri"/>
        </w:rPr>
      </w:pPr>
      <w:r w:rsidRPr="00110554">
        <w:rPr>
          <w:rFonts w:ascii="Calibri" w:hAnsi="Calibri" w:cs="Calibri"/>
          <w:lang w:val="de-DE"/>
        </w:rPr>
        <w:t xml:space="preserve">6. </w:t>
      </w:r>
      <w:r w:rsidRPr="00110554">
        <w:rPr>
          <w:rFonts w:ascii="Calibri" w:hAnsi="Calibri" w:cs="Calibri"/>
          <w:lang w:val="de-DE"/>
        </w:rPr>
        <w:tab/>
        <w:t xml:space="preserve">Winkler M, Staniczek T, Kürschner SW, Schmid CD, Schönhaber H, Cordero J, et al. </w:t>
      </w:r>
      <w:r w:rsidRPr="00110554">
        <w:rPr>
          <w:rFonts w:ascii="Calibri" w:hAnsi="Calibri" w:cs="Calibri"/>
        </w:rPr>
        <w:t xml:space="preserve">Endothelial GATA4 controls liver fibrosis and regeneration by preventing a pathogenic switch in angiocrine signaling. Journal of Hepatology. 2021;74:380–393. </w:t>
      </w:r>
    </w:p>
    <w:p w14:paraId="53B32169" w14:textId="77777777" w:rsidR="00662018" w:rsidRPr="00110554" w:rsidRDefault="00662018" w:rsidP="00662018">
      <w:pPr>
        <w:pStyle w:val="Bibliography"/>
        <w:rPr>
          <w:rFonts w:ascii="Calibri" w:hAnsi="Calibri" w:cs="Calibri"/>
        </w:rPr>
      </w:pPr>
      <w:r w:rsidRPr="00110554">
        <w:rPr>
          <w:rFonts w:ascii="Calibri" w:hAnsi="Calibri" w:cs="Calibri"/>
        </w:rPr>
        <w:t xml:space="preserve">7. </w:t>
      </w:r>
      <w:r w:rsidRPr="00110554">
        <w:rPr>
          <w:rFonts w:ascii="Calibri" w:hAnsi="Calibri" w:cs="Calibri"/>
        </w:rPr>
        <w:tab/>
        <w:t xml:space="preserve">H Backman TW, Girke T. systemPipeR: NGS workflow and report generation environment. BMC Bioinformatics. 2016;17:388. </w:t>
      </w:r>
    </w:p>
    <w:p w14:paraId="1A15A738" w14:textId="77777777" w:rsidR="00662018" w:rsidRPr="00110554" w:rsidRDefault="00662018" w:rsidP="00662018">
      <w:pPr>
        <w:pStyle w:val="Bibliography"/>
        <w:rPr>
          <w:rFonts w:ascii="Calibri" w:hAnsi="Calibri" w:cs="Calibri"/>
        </w:rPr>
      </w:pPr>
      <w:r w:rsidRPr="00110554">
        <w:rPr>
          <w:rFonts w:ascii="Calibri" w:hAnsi="Calibri" w:cs="Calibri"/>
        </w:rPr>
        <w:t xml:space="preserve">8. </w:t>
      </w:r>
      <w:r w:rsidRPr="00110554">
        <w:rPr>
          <w:rFonts w:ascii="Calibri" w:hAnsi="Calibri" w:cs="Calibri"/>
        </w:rPr>
        <w:tab/>
        <w:t xml:space="preserve">Bray NL, Pimentel H, Melsted P, Pachter L. Near-optimal probabilistic RNA-seq quantification. Nat Biotechnol. 2016;34:525–527. </w:t>
      </w:r>
    </w:p>
    <w:p w14:paraId="4BBCBC4D" w14:textId="77777777" w:rsidR="00662018" w:rsidRPr="00110554" w:rsidRDefault="00662018" w:rsidP="00662018">
      <w:pPr>
        <w:pStyle w:val="Bibliography"/>
        <w:rPr>
          <w:rFonts w:ascii="Calibri" w:hAnsi="Calibri" w:cs="Calibri"/>
        </w:rPr>
      </w:pPr>
      <w:r w:rsidRPr="00110554">
        <w:rPr>
          <w:rFonts w:ascii="Calibri" w:hAnsi="Calibri" w:cs="Calibri"/>
        </w:rPr>
        <w:t xml:space="preserve">9. </w:t>
      </w:r>
      <w:r w:rsidRPr="00110554">
        <w:rPr>
          <w:rFonts w:ascii="Calibri" w:hAnsi="Calibri" w:cs="Calibri"/>
        </w:rPr>
        <w:tab/>
        <w:t xml:space="preserve">Ritchie ME, Phipson B, Wu D, Hu Y, Law CW, Shi W, et al. limma powers differential expression analyses for RNA-sequencing and microarray studies. Nucleic acids research. 2015;43:e47. </w:t>
      </w:r>
    </w:p>
    <w:p w14:paraId="2290AF37" w14:textId="77777777" w:rsidR="00662018" w:rsidRPr="00110554" w:rsidRDefault="00662018" w:rsidP="00662018">
      <w:pPr>
        <w:pStyle w:val="Bibliography"/>
        <w:rPr>
          <w:rFonts w:ascii="Calibri" w:hAnsi="Calibri" w:cs="Calibri"/>
        </w:rPr>
      </w:pPr>
      <w:r w:rsidRPr="00110554">
        <w:rPr>
          <w:rFonts w:ascii="Calibri" w:hAnsi="Calibri" w:cs="Calibri"/>
        </w:rPr>
        <w:t xml:space="preserve">10. </w:t>
      </w:r>
      <w:r w:rsidRPr="00110554">
        <w:rPr>
          <w:rFonts w:ascii="Calibri" w:hAnsi="Calibri" w:cs="Calibri"/>
        </w:rPr>
        <w:tab/>
        <w:t xml:space="preserve">Gu Z, Eils R, Schlesner M. Complex heatmaps reveal patterns and correlations in multidimensional genomic data. Bioinformatics. 2016;32:2847–2849. </w:t>
      </w:r>
    </w:p>
    <w:p w14:paraId="239E9145" w14:textId="77777777" w:rsidR="00662018" w:rsidRPr="00110554" w:rsidRDefault="00662018" w:rsidP="00662018">
      <w:pPr>
        <w:pStyle w:val="Bibliography"/>
        <w:rPr>
          <w:rFonts w:ascii="Calibri" w:hAnsi="Calibri" w:cs="Calibri"/>
        </w:rPr>
      </w:pPr>
      <w:r w:rsidRPr="00110554">
        <w:rPr>
          <w:rFonts w:ascii="Calibri" w:hAnsi="Calibri" w:cs="Calibri"/>
        </w:rPr>
        <w:t xml:space="preserve">11. </w:t>
      </w:r>
      <w:r w:rsidRPr="00110554">
        <w:rPr>
          <w:rFonts w:ascii="Calibri" w:hAnsi="Calibri" w:cs="Calibri"/>
        </w:rPr>
        <w:tab/>
        <w:t>Korotkevich G, Sukhov V, Budin N, Shpak B, Artyomov MN, Sergushichev A. Fast gene set enrichment analysis [Internet]. 2021 [cited 2021 Aug 26]. Available from: https://www.biorxiv.org/content/10.1101/060012v3</w:t>
      </w:r>
    </w:p>
    <w:p w14:paraId="1537D810" w14:textId="77777777" w:rsidR="00662018" w:rsidRPr="00110554" w:rsidRDefault="00662018" w:rsidP="00662018">
      <w:pPr>
        <w:pStyle w:val="Bibliography"/>
        <w:rPr>
          <w:rFonts w:ascii="Calibri" w:hAnsi="Calibri" w:cs="Calibri"/>
        </w:rPr>
      </w:pPr>
      <w:r w:rsidRPr="00110554">
        <w:rPr>
          <w:rFonts w:ascii="Calibri" w:hAnsi="Calibri" w:cs="Calibri"/>
        </w:rPr>
        <w:t xml:space="preserve">12. </w:t>
      </w:r>
      <w:r w:rsidRPr="00110554">
        <w:rPr>
          <w:rFonts w:ascii="Calibri" w:hAnsi="Calibri" w:cs="Calibri"/>
        </w:rPr>
        <w:tab/>
        <w:t xml:space="preserve">Geistlinger L, Csaba G, Zimmer R. Bioconductor’s EnrichmentBrowser: seamless navigation through combined results of set- &amp; network-based enrichment analysis. BMC Bioinformatics. 2016;17:45. </w:t>
      </w:r>
    </w:p>
    <w:p w14:paraId="1A68A90B" w14:textId="77777777" w:rsidR="00662018" w:rsidRPr="00110554" w:rsidRDefault="00662018" w:rsidP="00662018">
      <w:pPr>
        <w:pStyle w:val="Bibliography"/>
        <w:rPr>
          <w:rFonts w:ascii="Calibri" w:hAnsi="Calibri" w:cs="Calibri"/>
        </w:rPr>
      </w:pPr>
      <w:r w:rsidRPr="00110554">
        <w:rPr>
          <w:rFonts w:ascii="Calibri" w:hAnsi="Calibri" w:cs="Calibri"/>
        </w:rPr>
        <w:t xml:space="preserve">13. </w:t>
      </w:r>
      <w:r w:rsidRPr="00110554">
        <w:rPr>
          <w:rFonts w:ascii="Calibri" w:hAnsi="Calibri" w:cs="Calibri"/>
        </w:rPr>
        <w:tab/>
        <w:t xml:space="preserve">Chen EY, Tan CM, Kou Y, Duan Q, Wang Z, Meirelles GV, et al. Enrichr: interactive and collaborative HTML5 gene list enrichment analysis tool. BMC Bioinformatics. 2013;14:128. </w:t>
      </w:r>
    </w:p>
    <w:p w14:paraId="3C29CC8F" w14:textId="77777777" w:rsidR="00662018" w:rsidRPr="00110554" w:rsidRDefault="00662018" w:rsidP="00662018">
      <w:pPr>
        <w:pStyle w:val="Bibliography"/>
        <w:rPr>
          <w:rFonts w:ascii="Calibri" w:hAnsi="Calibri" w:cs="Calibri"/>
        </w:rPr>
      </w:pPr>
      <w:r w:rsidRPr="00110554">
        <w:rPr>
          <w:rFonts w:ascii="Calibri" w:hAnsi="Calibri" w:cs="Calibri"/>
        </w:rPr>
        <w:lastRenderedPageBreak/>
        <w:t xml:space="preserve">14. </w:t>
      </w:r>
      <w:r w:rsidRPr="00110554">
        <w:rPr>
          <w:rFonts w:ascii="Calibri" w:hAnsi="Calibri" w:cs="Calibri"/>
        </w:rPr>
        <w:tab/>
        <w:t xml:space="preserve">Kalucka J, de Rooij LPMH, Goveia J, Rohlenova K, Dumas SJ, Meta E, et al. Single-Cell Transcriptome Atlas of Murine Endothelial Cells. Cell. 2020;180:764-779.e20. </w:t>
      </w:r>
    </w:p>
    <w:p w14:paraId="2A996151" w14:textId="77777777" w:rsidR="00662018" w:rsidRPr="00110554" w:rsidRDefault="00662018" w:rsidP="00662018">
      <w:pPr>
        <w:pStyle w:val="Bibliography"/>
        <w:rPr>
          <w:rFonts w:ascii="Calibri" w:hAnsi="Calibri" w:cs="Calibri"/>
        </w:rPr>
      </w:pPr>
      <w:r w:rsidRPr="00110554">
        <w:rPr>
          <w:rFonts w:ascii="Calibri" w:hAnsi="Calibri" w:cs="Calibri"/>
        </w:rPr>
        <w:t xml:space="preserve">15. </w:t>
      </w:r>
      <w:r w:rsidRPr="00110554">
        <w:rPr>
          <w:rFonts w:ascii="Calibri" w:hAnsi="Calibri" w:cs="Calibri"/>
        </w:rPr>
        <w:tab/>
        <w:t xml:space="preserve">Halpern KB, Shenhav R, Massalha H, Toth B, Egozi A, Massasa EE, et al. Paired-cell sequencing enables spatial gene expression mapping of liver endothelial cells. Nature Biotechnology. 2018;36:962. </w:t>
      </w:r>
    </w:p>
    <w:p w14:paraId="59373252" w14:textId="77777777" w:rsidR="00662018" w:rsidRPr="00110554" w:rsidRDefault="00662018" w:rsidP="00662018">
      <w:pPr>
        <w:pStyle w:val="Bibliography"/>
        <w:rPr>
          <w:rFonts w:ascii="Calibri" w:hAnsi="Calibri" w:cs="Calibri"/>
          <w:lang w:val="de-DE"/>
        </w:rPr>
      </w:pPr>
      <w:r w:rsidRPr="00110554">
        <w:rPr>
          <w:rFonts w:ascii="Calibri" w:hAnsi="Calibri" w:cs="Calibri"/>
        </w:rPr>
        <w:t xml:space="preserve">16. </w:t>
      </w:r>
      <w:r w:rsidRPr="00110554">
        <w:rPr>
          <w:rFonts w:ascii="Calibri" w:hAnsi="Calibri" w:cs="Calibri"/>
        </w:rPr>
        <w:tab/>
        <w:t xml:space="preserve">Halpern KB, Shenhav R, Matcovitch-Natan O, Toth B, Lemze D, Golan M, et al. Single-cell spatial reconstruction reveals global division of labour in the mammalian liver. </w:t>
      </w:r>
      <w:r w:rsidRPr="00110554">
        <w:rPr>
          <w:rFonts w:ascii="Calibri" w:hAnsi="Calibri" w:cs="Calibri"/>
          <w:lang w:val="de-DE"/>
        </w:rPr>
        <w:t xml:space="preserve">Nature. 2017;542:352–356. </w:t>
      </w:r>
    </w:p>
    <w:p w14:paraId="35926216" w14:textId="77777777" w:rsidR="00662018" w:rsidRPr="00110554" w:rsidRDefault="00662018" w:rsidP="00662018">
      <w:pPr>
        <w:pStyle w:val="Bibliography"/>
        <w:rPr>
          <w:rFonts w:ascii="Calibri" w:hAnsi="Calibri" w:cs="Calibri"/>
        </w:rPr>
      </w:pPr>
      <w:r w:rsidRPr="00110554">
        <w:rPr>
          <w:rFonts w:ascii="Calibri" w:hAnsi="Calibri" w:cs="Calibri"/>
          <w:lang w:val="de-DE"/>
        </w:rPr>
        <w:t xml:space="preserve">17. </w:t>
      </w:r>
      <w:r w:rsidRPr="00110554">
        <w:rPr>
          <w:rFonts w:ascii="Calibri" w:hAnsi="Calibri" w:cs="Calibri"/>
          <w:lang w:val="de-DE"/>
        </w:rPr>
        <w:tab/>
        <w:t xml:space="preserve">Hruz T, Wyss M, Docquier M, Pfaffl MW, Masanetz S, Borghi L, et al. </w:t>
      </w:r>
      <w:r w:rsidRPr="00110554">
        <w:rPr>
          <w:rFonts w:ascii="Calibri" w:hAnsi="Calibri" w:cs="Calibri"/>
        </w:rPr>
        <w:t xml:space="preserve">RefGenes: identification of reliable and condition specific reference genes for RT-qPCR data normalization. BMC Genomics. 2011;12:156. </w:t>
      </w:r>
    </w:p>
    <w:p w14:paraId="4BC9A7DB" w14:textId="77777777" w:rsidR="00662018" w:rsidRPr="00110554" w:rsidRDefault="00662018" w:rsidP="00662018">
      <w:pPr>
        <w:pStyle w:val="Bibliography"/>
        <w:rPr>
          <w:rFonts w:ascii="Calibri" w:hAnsi="Calibri" w:cs="Calibri"/>
        </w:rPr>
      </w:pPr>
      <w:r w:rsidRPr="00110554">
        <w:rPr>
          <w:rFonts w:ascii="Calibri" w:hAnsi="Calibri" w:cs="Calibri"/>
        </w:rPr>
        <w:t xml:space="preserve">18. </w:t>
      </w:r>
      <w:r w:rsidRPr="00110554">
        <w:rPr>
          <w:rFonts w:ascii="Calibri" w:hAnsi="Calibri" w:cs="Calibri"/>
        </w:rPr>
        <w:tab/>
        <w:t xml:space="preserve">De Falco S. The discovery of placenta growth factor and its biological activity. Exp Mol Med. 2012;44:1–9. </w:t>
      </w:r>
    </w:p>
    <w:p w14:paraId="29C5A9CD" w14:textId="12394970" w:rsidR="00662018" w:rsidRPr="007431E6" w:rsidRDefault="00662018" w:rsidP="00662018">
      <w:pPr>
        <w:rPr>
          <w:rFonts w:cstheme="minorHAnsi"/>
        </w:rPr>
      </w:pPr>
      <w:r>
        <w:rPr>
          <w:rFonts w:cstheme="minorHAnsi"/>
        </w:rPr>
        <w:fldChar w:fldCharType="end"/>
      </w:r>
    </w:p>
    <w:sectPr w:rsidR="00662018" w:rsidRPr="007431E6" w:rsidSect="006620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C1482" w14:textId="77777777" w:rsidR="00D41AC6" w:rsidRDefault="00D41AC6" w:rsidP="00CA2EEF">
      <w:pPr>
        <w:spacing w:after="0" w:line="240" w:lineRule="auto"/>
      </w:pPr>
      <w:r>
        <w:separator/>
      </w:r>
    </w:p>
  </w:endnote>
  <w:endnote w:type="continuationSeparator" w:id="0">
    <w:p w14:paraId="713E9CCE" w14:textId="77777777" w:rsidR="00D41AC6" w:rsidRDefault="00D41AC6" w:rsidP="00CA2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70EBF" w14:textId="77777777" w:rsidR="00D41AC6" w:rsidRDefault="00D41AC6" w:rsidP="00CA2EEF">
      <w:pPr>
        <w:spacing w:after="0" w:line="240" w:lineRule="auto"/>
      </w:pPr>
      <w:r>
        <w:separator/>
      </w:r>
    </w:p>
  </w:footnote>
  <w:footnote w:type="continuationSeparator" w:id="0">
    <w:p w14:paraId="6C818D98" w14:textId="77777777" w:rsidR="00D41AC6" w:rsidRDefault="00D41AC6" w:rsidP="00CA2E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677543"/>
      <w:docPartObj>
        <w:docPartGallery w:val="Page Numbers (Top of Page)"/>
        <w:docPartUnique/>
      </w:docPartObj>
    </w:sdtPr>
    <w:sdtEndPr/>
    <w:sdtContent>
      <w:p w14:paraId="30AD5D5D" w14:textId="1ECA5DE6" w:rsidR="00AB1A3E" w:rsidRDefault="00AB1A3E">
        <w:pPr>
          <w:pStyle w:val="Header"/>
          <w:jc w:val="right"/>
        </w:pPr>
        <w:r>
          <w:fldChar w:fldCharType="begin"/>
        </w:r>
        <w:r>
          <w:instrText>PAGE   \* MERGEFORMAT</w:instrText>
        </w:r>
        <w:r>
          <w:fldChar w:fldCharType="separate"/>
        </w:r>
        <w:r w:rsidR="00772875" w:rsidRPr="00772875">
          <w:rPr>
            <w:noProof/>
            <w:lang w:val="de-DE"/>
          </w:rPr>
          <w:t>1</w:t>
        </w:r>
        <w:r>
          <w:fldChar w:fldCharType="end"/>
        </w:r>
      </w:p>
    </w:sdtContent>
  </w:sdt>
  <w:p w14:paraId="05E393AD" w14:textId="77777777" w:rsidR="00AB1A3E" w:rsidRDefault="00AB1A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
  </w:docVars>
  <w:rsids>
    <w:rsidRoot w:val="00CA2EEF"/>
    <w:rsid w:val="0001413F"/>
    <w:rsid w:val="00021ED9"/>
    <w:rsid w:val="00047902"/>
    <w:rsid w:val="00053597"/>
    <w:rsid w:val="00080338"/>
    <w:rsid w:val="00080765"/>
    <w:rsid w:val="00081E30"/>
    <w:rsid w:val="000C0EEC"/>
    <w:rsid w:val="000D6ECD"/>
    <w:rsid w:val="000F0413"/>
    <w:rsid w:val="000F3212"/>
    <w:rsid w:val="000F49ED"/>
    <w:rsid w:val="00103CFB"/>
    <w:rsid w:val="001049D1"/>
    <w:rsid w:val="00110554"/>
    <w:rsid w:val="00113BD1"/>
    <w:rsid w:val="00116C0A"/>
    <w:rsid w:val="0012513C"/>
    <w:rsid w:val="00154A3E"/>
    <w:rsid w:val="001861CA"/>
    <w:rsid w:val="001E4775"/>
    <w:rsid w:val="00204FDB"/>
    <w:rsid w:val="00232647"/>
    <w:rsid w:val="0027434D"/>
    <w:rsid w:val="002956A1"/>
    <w:rsid w:val="002A4F4D"/>
    <w:rsid w:val="002A7679"/>
    <w:rsid w:val="002B0E2D"/>
    <w:rsid w:val="002D289D"/>
    <w:rsid w:val="002D38DE"/>
    <w:rsid w:val="002E1CF0"/>
    <w:rsid w:val="002F6651"/>
    <w:rsid w:val="002F7BF8"/>
    <w:rsid w:val="00300479"/>
    <w:rsid w:val="003159D6"/>
    <w:rsid w:val="003837E8"/>
    <w:rsid w:val="003A5071"/>
    <w:rsid w:val="003A53BC"/>
    <w:rsid w:val="003D49A2"/>
    <w:rsid w:val="003E67F0"/>
    <w:rsid w:val="003F368E"/>
    <w:rsid w:val="00411E22"/>
    <w:rsid w:val="00447517"/>
    <w:rsid w:val="00450E70"/>
    <w:rsid w:val="004604A4"/>
    <w:rsid w:val="00466B8C"/>
    <w:rsid w:val="00484276"/>
    <w:rsid w:val="00491422"/>
    <w:rsid w:val="004B2A69"/>
    <w:rsid w:val="004B324C"/>
    <w:rsid w:val="004B49F6"/>
    <w:rsid w:val="004D0A90"/>
    <w:rsid w:val="004D537B"/>
    <w:rsid w:val="00513F48"/>
    <w:rsid w:val="00520BEE"/>
    <w:rsid w:val="005216EC"/>
    <w:rsid w:val="005270C7"/>
    <w:rsid w:val="00530D62"/>
    <w:rsid w:val="00540EA0"/>
    <w:rsid w:val="0056639B"/>
    <w:rsid w:val="00566627"/>
    <w:rsid w:val="005728C3"/>
    <w:rsid w:val="00584FC8"/>
    <w:rsid w:val="005A7AE0"/>
    <w:rsid w:val="005D22BE"/>
    <w:rsid w:val="00614922"/>
    <w:rsid w:val="00662018"/>
    <w:rsid w:val="006C0DD4"/>
    <w:rsid w:val="006C1EE1"/>
    <w:rsid w:val="006F6D05"/>
    <w:rsid w:val="007070B4"/>
    <w:rsid w:val="00707927"/>
    <w:rsid w:val="007374EA"/>
    <w:rsid w:val="007431E6"/>
    <w:rsid w:val="0074464D"/>
    <w:rsid w:val="00772875"/>
    <w:rsid w:val="00787C7F"/>
    <w:rsid w:val="007A378D"/>
    <w:rsid w:val="007B55FD"/>
    <w:rsid w:val="007C6359"/>
    <w:rsid w:val="007E2C79"/>
    <w:rsid w:val="007F6F4F"/>
    <w:rsid w:val="007F7826"/>
    <w:rsid w:val="00811452"/>
    <w:rsid w:val="008212E4"/>
    <w:rsid w:val="00825396"/>
    <w:rsid w:val="0084307C"/>
    <w:rsid w:val="00856169"/>
    <w:rsid w:val="0086615C"/>
    <w:rsid w:val="0087175B"/>
    <w:rsid w:val="00874F39"/>
    <w:rsid w:val="008836DF"/>
    <w:rsid w:val="008A45C2"/>
    <w:rsid w:val="008A5D4B"/>
    <w:rsid w:val="008A6299"/>
    <w:rsid w:val="008E5AC0"/>
    <w:rsid w:val="008F1ECF"/>
    <w:rsid w:val="008F448F"/>
    <w:rsid w:val="0095116C"/>
    <w:rsid w:val="00962C76"/>
    <w:rsid w:val="009842B4"/>
    <w:rsid w:val="009A557B"/>
    <w:rsid w:val="009C1F88"/>
    <w:rsid w:val="009D59FB"/>
    <w:rsid w:val="009E5F78"/>
    <w:rsid w:val="00A35DD7"/>
    <w:rsid w:val="00A4446B"/>
    <w:rsid w:val="00A44B88"/>
    <w:rsid w:val="00A554B8"/>
    <w:rsid w:val="00A6711E"/>
    <w:rsid w:val="00A8587D"/>
    <w:rsid w:val="00AA5503"/>
    <w:rsid w:val="00AB106F"/>
    <w:rsid w:val="00AB1A3E"/>
    <w:rsid w:val="00AD197D"/>
    <w:rsid w:val="00AE451D"/>
    <w:rsid w:val="00AE5958"/>
    <w:rsid w:val="00B009EF"/>
    <w:rsid w:val="00B31B80"/>
    <w:rsid w:val="00B47EE6"/>
    <w:rsid w:val="00B71A8F"/>
    <w:rsid w:val="00B82882"/>
    <w:rsid w:val="00B8644B"/>
    <w:rsid w:val="00B92492"/>
    <w:rsid w:val="00B92709"/>
    <w:rsid w:val="00BB46D8"/>
    <w:rsid w:val="00BC3282"/>
    <w:rsid w:val="00C46B3B"/>
    <w:rsid w:val="00C5745A"/>
    <w:rsid w:val="00C6230A"/>
    <w:rsid w:val="00C77327"/>
    <w:rsid w:val="00C818B0"/>
    <w:rsid w:val="00C96A20"/>
    <w:rsid w:val="00CA2EEF"/>
    <w:rsid w:val="00CB390C"/>
    <w:rsid w:val="00CC5D47"/>
    <w:rsid w:val="00CD6597"/>
    <w:rsid w:val="00CE5421"/>
    <w:rsid w:val="00CF4EE1"/>
    <w:rsid w:val="00D108CE"/>
    <w:rsid w:val="00D327C4"/>
    <w:rsid w:val="00D41AC6"/>
    <w:rsid w:val="00D420E2"/>
    <w:rsid w:val="00D71E27"/>
    <w:rsid w:val="00E16F10"/>
    <w:rsid w:val="00E25419"/>
    <w:rsid w:val="00E359AC"/>
    <w:rsid w:val="00E378E7"/>
    <w:rsid w:val="00E4401C"/>
    <w:rsid w:val="00E57FFD"/>
    <w:rsid w:val="00E81CA7"/>
    <w:rsid w:val="00EB16BB"/>
    <w:rsid w:val="00F220D9"/>
    <w:rsid w:val="00F3323D"/>
    <w:rsid w:val="00F667A2"/>
    <w:rsid w:val="00F80D15"/>
    <w:rsid w:val="00FD148B"/>
    <w:rsid w:val="00FE0885"/>
    <w:rsid w:val="00FE7B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4D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EEF"/>
    <w:pPr>
      <w:spacing w:line="360" w:lineRule="auto"/>
    </w:pPr>
    <w:rPr>
      <w:rFonts w:eastAsiaTheme="minorEastAsia"/>
      <w:sz w:val="24"/>
      <w:szCs w:val="21"/>
      <w:lang w:val="en"/>
    </w:rPr>
  </w:style>
  <w:style w:type="paragraph" w:styleId="Heading1">
    <w:name w:val="heading 1"/>
    <w:basedOn w:val="Normal"/>
    <w:next w:val="Normal"/>
    <w:link w:val="Heading1Char"/>
    <w:uiPriority w:val="9"/>
    <w:qFormat/>
    <w:rsid w:val="00CA2E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464D"/>
    <w:pPr>
      <w:keepNext/>
      <w:keepLines/>
      <w:spacing w:before="120" w:after="0"/>
      <w:outlineLvl w:val="1"/>
    </w:pPr>
    <w:rPr>
      <w:rFonts w:eastAsiaTheme="majorEastAsia" w:cstheme="majorBidi"/>
      <w:b/>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464D"/>
    <w:rPr>
      <w:rFonts w:eastAsiaTheme="majorEastAsia" w:cstheme="majorBidi"/>
      <w:b/>
      <w:sz w:val="24"/>
      <w:szCs w:val="36"/>
      <w:lang w:val="en"/>
    </w:rPr>
  </w:style>
  <w:style w:type="paragraph" w:styleId="BodyText">
    <w:name w:val="Body Text"/>
    <w:basedOn w:val="Normal"/>
    <w:link w:val="BodyTextChar"/>
    <w:rsid w:val="00CA2EEF"/>
    <w:pPr>
      <w:spacing w:before="100" w:beforeAutospacing="1" w:after="100" w:afterAutospacing="1"/>
    </w:pPr>
  </w:style>
  <w:style w:type="character" w:customStyle="1" w:styleId="BodyTextChar">
    <w:name w:val="Body Text Char"/>
    <w:basedOn w:val="DefaultParagraphFont"/>
    <w:link w:val="BodyText"/>
    <w:rsid w:val="00CA2EEF"/>
    <w:rPr>
      <w:rFonts w:eastAsiaTheme="minorEastAsia"/>
      <w:sz w:val="24"/>
      <w:szCs w:val="21"/>
      <w:lang w:val="en"/>
    </w:rPr>
  </w:style>
  <w:style w:type="paragraph" w:customStyle="1" w:styleId="FirstParagraph">
    <w:name w:val="First Paragraph"/>
    <w:basedOn w:val="BodyText"/>
    <w:next w:val="BodyText"/>
    <w:rsid w:val="00CA2EEF"/>
  </w:style>
  <w:style w:type="character" w:styleId="CommentReference">
    <w:name w:val="annotation reference"/>
    <w:basedOn w:val="DefaultParagraphFont"/>
    <w:semiHidden/>
    <w:unhideWhenUsed/>
    <w:rsid w:val="00CA2EEF"/>
    <w:rPr>
      <w:sz w:val="16"/>
      <w:szCs w:val="16"/>
    </w:rPr>
  </w:style>
  <w:style w:type="paragraph" w:styleId="CommentText">
    <w:name w:val="annotation text"/>
    <w:basedOn w:val="Normal"/>
    <w:link w:val="CommentTextChar"/>
    <w:unhideWhenUsed/>
    <w:rsid w:val="00CA2EEF"/>
    <w:pPr>
      <w:spacing w:line="240" w:lineRule="auto"/>
    </w:pPr>
    <w:rPr>
      <w:sz w:val="20"/>
      <w:szCs w:val="20"/>
    </w:rPr>
  </w:style>
  <w:style w:type="character" w:customStyle="1" w:styleId="CommentTextChar">
    <w:name w:val="Comment Text Char"/>
    <w:basedOn w:val="DefaultParagraphFont"/>
    <w:link w:val="CommentText"/>
    <w:rsid w:val="00CA2EEF"/>
    <w:rPr>
      <w:rFonts w:eastAsiaTheme="minorEastAsia"/>
      <w:sz w:val="20"/>
      <w:szCs w:val="20"/>
      <w:lang w:val="en"/>
    </w:rPr>
  </w:style>
  <w:style w:type="character" w:customStyle="1" w:styleId="Heading1Char">
    <w:name w:val="Heading 1 Char"/>
    <w:basedOn w:val="DefaultParagraphFont"/>
    <w:link w:val="Heading1"/>
    <w:uiPriority w:val="9"/>
    <w:rsid w:val="00CA2EEF"/>
    <w:rPr>
      <w:rFonts w:asciiTheme="majorHAnsi" w:eastAsiaTheme="majorEastAsia" w:hAnsiTheme="majorHAnsi" w:cstheme="majorBidi"/>
      <w:color w:val="2F5496" w:themeColor="accent1" w:themeShade="BF"/>
      <w:sz w:val="32"/>
      <w:szCs w:val="32"/>
      <w:lang w:val="en"/>
    </w:rPr>
  </w:style>
  <w:style w:type="paragraph" w:styleId="Header">
    <w:name w:val="header"/>
    <w:basedOn w:val="Normal"/>
    <w:link w:val="HeaderChar"/>
    <w:uiPriority w:val="99"/>
    <w:unhideWhenUsed/>
    <w:rsid w:val="00CA2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EEF"/>
    <w:rPr>
      <w:rFonts w:eastAsiaTheme="minorEastAsia"/>
      <w:sz w:val="24"/>
      <w:szCs w:val="21"/>
      <w:lang w:val="en"/>
    </w:rPr>
  </w:style>
  <w:style w:type="paragraph" w:styleId="Footer">
    <w:name w:val="footer"/>
    <w:basedOn w:val="Normal"/>
    <w:link w:val="FooterChar"/>
    <w:uiPriority w:val="99"/>
    <w:unhideWhenUsed/>
    <w:rsid w:val="00CA2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EEF"/>
    <w:rPr>
      <w:rFonts w:eastAsiaTheme="minorEastAsia"/>
      <w:sz w:val="24"/>
      <w:szCs w:val="21"/>
      <w:lang w:val="en"/>
    </w:rPr>
  </w:style>
  <w:style w:type="paragraph" w:styleId="Bibliography">
    <w:name w:val="Bibliography"/>
    <w:basedOn w:val="Normal"/>
    <w:next w:val="Normal"/>
    <w:uiPriority w:val="37"/>
    <w:unhideWhenUsed/>
    <w:rsid w:val="00C818B0"/>
    <w:pPr>
      <w:tabs>
        <w:tab w:val="left" w:pos="504"/>
      </w:tabs>
      <w:spacing w:after="240" w:line="240" w:lineRule="auto"/>
      <w:ind w:left="504" w:hanging="504"/>
    </w:pPr>
  </w:style>
  <w:style w:type="paragraph" w:styleId="BalloonText">
    <w:name w:val="Balloon Text"/>
    <w:basedOn w:val="Normal"/>
    <w:link w:val="BalloonTextChar"/>
    <w:uiPriority w:val="99"/>
    <w:semiHidden/>
    <w:unhideWhenUsed/>
    <w:rsid w:val="00AA5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503"/>
    <w:rPr>
      <w:rFonts w:ascii="Segoe UI" w:eastAsiaTheme="minorEastAsia" w:hAnsi="Segoe UI" w:cs="Segoe UI"/>
      <w:sz w:val="18"/>
      <w:szCs w:val="18"/>
      <w:lang w:val="en"/>
    </w:rPr>
  </w:style>
  <w:style w:type="paragraph" w:customStyle="1" w:styleId="Compact">
    <w:name w:val="Compact"/>
    <w:basedOn w:val="BodyText"/>
    <w:rsid w:val="005270C7"/>
    <w:pPr>
      <w:spacing w:before="36" w:after="36"/>
    </w:pPr>
  </w:style>
  <w:style w:type="paragraph" w:styleId="Revision">
    <w:name w:val="Revision"/>
    <w:hidden/>
    <w:uiPriority w:val="99"/>
    <w:semiHidden/>
    <w:rsid w:val="00513F48"/>
    <w:pPr>
      <w:spacing w:after="0" w:line="240" w:lineRule="auto"/>
    </w:pPr>
    <w:rPr>
      <w:rFonts w:eastAsiaTheme="minorEastAsia"/>
      <w:sz w:val="24"/>
      <w:szCs w:val="21"/>
      <w:lang w:val="en"/>
    </w:rPr>
  </w:style>
  <w:style w:type="paragraph" w:styleId="CommentSubject">
    <w:name w:val="annotation subject"/>
    <w:basedOn w:val="CommentText"/>
    <w:next w:val="CommentText"/>
    <w:link w:val="CommentSubjectChar"/>
    <w:uiPriority w:val="99"/>
    <w:semiHidden/>
    <w:unhideWhenUsed/>
    <w:rsid w:val="0027434D"/>
    <w:rPr>
      <w:b/>
      <w:bCs/>
    </w:rPr>
  </w:style>
  <w:style w:type="character" w:customStyle="1" w:styleId="CommentSubjectChar">
    <w:name w:val="Comment Subject Char"/>
    <w:basedOn w:val="CommentTextChar"/>
    <w:link w:val="CommentSubject"/>
    <w:uiPriority w:val="99"/>
    <w:semiHidden/>
    <w:rsid w:val="0027434D"/>
    <w:rPr>
      <w:rFonts w:eastAsiaTheme="minorEastAsia"/>
      <w:b/>
      <w:bCs/>
      <w:sz w:val="20"/>
      <w:szCs w:val="20"/>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EEF"/>
    <w:pPr>
      <w:spacing w:line="360" w:lineRule="auto"/>
    </w:pPr>
    <w:rPr>
      <w:rFonts w:eastAsiaTheme="minorEastAsia"/>
      <w:sz w:val="24"/>
      <w:szCs w:val="21"/>
      <w:lang w:val="en"/>
    </w:rPr>
  </w:style>
  <w:style w:type="paragraph" w:styleId="Heading1">
    <w:name w:val="heading 1"/>
    <w:basedOn w:val="Normal"/>
    <w:next w:val="Normal"/>
    <w:link w:val="Heading1Char"/>
    <w:uiPriority w:val="9"/>
    <w:qFormat/>
    <w:rsid w:val="00CA2E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464D"/>
    <w:pPr>
      <w:keepNext/>
      <w:keepLines/>
      <w:spacing w:before="120" w:after="0"/>
      <w:outlineLvl w:val="1"/>
    </w:pPr>
    <w:rPr>
      <w:rFonts w:eastAsiaTheme="majorEastAsia" w:cstheme="majorBidi"/>
      <w:b/>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464D"/>
    <w:rPr>
      <w:rFonts w:eastAsiaTheme="majorEastAsia" w:cstheme="majorBidi"/>
      <w:b/>
      <w:sz w:val="24"/>
      <w:szCs w:val="36"/>
      <w:lang w:val="en"/>
    </w:rPr>
  </w:style>
  <w:style w:type="paragraph" w:styleId="BodyText">
    <w:name w:val="Body Text"/>
    <w:basedOn w:val="Normal"/>
    <w:link w:val="BodyTextChar"/>
    <w:rsid w:val="00CA2EEF"/>
    <w:pPr>
      <w:spacing w:before="100" w:beforeAutospacing="1" w:after="100" w:afterAutospacing="1"/>
    </w:pPr>
  </w:style>
  <w:style w:type="character" w:customStyle="1" w:styleId="BodyTextChar">
    <w:name w:val="Body Text Char"/>
    <w:basedOn w:val="DefaultParagraphFont"/>
    <w:link w:val="BodyText"/>
    <w:rsid w:val="00CA2EEF"/>
    <w:rPr>
      <w:rFonts w:eastAsiaTheme="minorEastAsia"/>
      <w:sz w:val="24"/>
      <w:szCs w:val="21"/>
      <w:lang w:val="en"/>
    </w:rPr>
  </w:style>
  <w:style w:type="paragraph" w:customStyle="1" w:styleId="FirstParagraph">
    <w:name w:val="First Paragraph"/>
    <w:basedOn w:val="BodyText"/>
    <w:next w:val="BodyText"/>
    <w:rsid w:val="00CA2EEF"/>
  </w:style>
  <w:style w:type="character" w:styleId="CommentReference">
    <w:name w:val="annotation reference"/>
    <w:basedOn w:val="DefaultParagraphFont"/>
    <w:semiHidden/>
    <w:unhideWhenUsed/>
    <w:rsid w:val="00CA2EEF"/>
    <w:rPr>
      <w:sz w:val="16"/>
      <w:szCs w:val="16"/>
    </w:rPr>
  </w:style>
  <w:style w:type="paragraph" w:styleId="CommentText">
    <w:name w:val="annotation text"/>
    <w:basedOn w:val="Normal"/>
    <w:link w:val="CommentTextChar"/>
    <w:unhideWhenUsed/>
    <w:rsid w:val="00CA2EEF"/>
    <w:pPr>
      <w:spacing w:line="240" w:lineRule="auto"/>
    </w:pPr>
    <w:rPr>
      <w:sz w:val="20"/>
      <w:szCs w:val="20"/>
    </w:rPr>
  </w:style>
  <w:style w:type="character" w:customStyle="1" w:styleId="CommentTextChar">
    <w:name w:val="Comment Text Char"/>
    <w:basedOn w:val="DefaultParagraphFont"/>
    <w:link w:val="CommentText"/>
    <w:rsid w:val="00CA2EEF"/>
    <w:rPr>
      <w:rFonts w:eastAsiaTheme="minorEastAsia"/>
      <w:sz w:val="20"/>
      <w:szCs w:val="20"/>
      <w:lang w:val="en"/>
    </w:rPr>
  </w:style>
  <w:style w:type="character" w:customStyle="1" w:styleId="Heading1Char">
    <w:name w:val="Heading 1 Char"/>
    <w:basedOn w:val="DefaultParagraphFont"/>
    <w:link w:val="Heading1"/>
    <w:uiPriority w:val="9"/>
    <w:rsid w:val="00CA2EEF"/>
    <w:rPr>
      <w:rFonts w:asciiTheme="majorHAnsi" w:eastAsiaTheme="majorEastAsia" w:hAnsiTheme="majorHAnsi" w:cstheme="majorBidi"/>
      <w:color w:val="2F5496" w:themeColor="accent1" w:themeShade="BF"/>
      <w:sz w:val="32"/>
      <w:szCs w:val="32"/>
      <w:lang w:val="en"/>
    </w:rPr>
  </w:style>
  <w:style w:type="paragraph" w:styleId="Header">
    <w:name w:val="header"/>
    <w:basedOn w:val="Normal"/>
    <w:link w:val="HeaderChar"/>
    <w:uiPriority w:val="99"/>
    <w:unhideWhenUsed/>
    <w:rsid w:val="00CA2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EEF"/>
    <w:rPr>
      <w:rFonts w:eastAsiaTheme="minorEastAsia"/>
      <w:sz w:val="24"/>
      <w:szCs w:val="21"/>
      <w:lang w:val="en"/>
    </w:rPr>
  </w:style>
  <w:style w:type="paragraph" w:styleId="Footer">
    <w:name w:val="footer"/>
    <w:basedOn w:val="Normal"/>
    <w:link w:val="FooterChar"/>
    <w:uiPriority w:val="99"/>
    <w:unhideWhenUsed/>
    <w:rsid w:val="00CA2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EEF"/>
    <w:rPr>
      <w:rFonts w:eastAsiaTheme="minorEastAsia"/>
      <w:sz w:val="24"/>
      <w:szCs w:val="21"/>
      <w:lang w:val="en"/>
    </w:rPr>
  </w:style>
  <w:style w:type="paragraph" w:styleId="Bibliography">
    <w:name w:val="Bibliography"/>
    <w:basedOn w:val="Normal"/>
    <w:next w:val="Normal"/>
    <w:uiPriority w:val="37"/>
    <w:unhideWhenUsed/>
    <w:rsid w:val="00C818B0"/>
    <w:pPr>
      <w:tabs>
        <w:tab w:val="left" w:pos="504"/>
      </w:tabs>
      <w:spacing w:after="240" w:line="240" w:lineRule="auto"/>
      <w:ind w:left="504" w:hanging="504"/>
    </w:pPr>
  </w:style>
  <w:style w:type="paragraph" w:styleId="BalloonText">
    <w:name w:val="Balloon Text"/>
    <w:basedOn w:val="Normal"/>
    <w:link w:val="BalloonTextChar"/>
    <w:uiPriority w:val="99"/>
    <w:semiHidden/>
    <w:unhideWhenUsed/>
    <w:rsid w:val="00AA5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503"/>
    <w:rPr>
      <w:rFonts w:ascii="Segoe UI" w:eastAsiaTheme="minorEastAsia" w:hAnsi="Segoe UI" w:cs="Segoe UI"/>
      <w:sz w:val="18"/>
      <w:szCs w:val="18"/>
      <w:lang w:val="en"/>
    </w:rPr>
  </w:style>
  <w:style w:type="paragraph" w:customStyle="1" w:styleId="Compact">
    <w:name w:val="Compact"/>
    <w:basedOn w:val="BodyText"/>
    <w:rsid w:val="005270C7"/>
    <w:pPr>
      <w:spacing w:before="36" w:after="36"/>
    </w:pPr>
  </w:style>
  <w:style w:type="paragraph" w:styleId="Revision">
    <w:name w:val="Revision"/>
    <w:hidden/>
    <w:uiPriority w:val="99"/>
    <w:semiHidden/>
    <w:rsid w:val="00513F48"/>
    <w:pPr>
      <w:spacing w:after="0" w:line="240" w:lineRule="auto"/>
    </w:pPr>
    <w:rPr>
      <w:rFonts w:eastAsiaTheme="minorEastAsia"/>
      <w:sz w:val="24"/>
      <w:szCs w:val="21"/>
      <w:lang w:val="en"/>
    </w:rPr>
  </w:style>
  <w:style w:type="paragraph" w:styleId="CommentSubject">
    <w:name w:val="annotation subject"/>
    <w:basedOn w:val="CommentText"/>
    <w:next w:val="CommentText"/>
    <w:link w:val="CommentSubjectChar"/>
    <w:uiPriority w:val="99"/>
    <w:semiHidden/>
    <w:unhideWhenUsed/>
    <w:rsid w:val="0027434D"/>
    <w:rPr>
      <w:b/>
      <w:bCs/>
    </w:rPr>
  </w:style>
  <w:style w:type="character" w:customStyle="1" w:styleId="CommentSubjectChar">
    <w:name w:val="Comment Subject Char"/>
    <w:basedOn w:val="CommentTextChar"/>
    <w:link w:val="CommentSubject"/>
    <w:uiPriority w:val="99"/>
    <w:semiHidden/>
    <w:rsid w:val="0027434D"/>
    <w:rPr>
      <w:rFonts w:eastAsiaTheme="minorEastAsia"/>
      <w:b/>
      <w:bCs/>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A57F6-E151-43B1-A28C-557FDF24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14282</Words>
  <Characters>83550</Characters>
  <Application>Microsoft Office Word</Application>
  <DocSecurity>0</DocSecurity>
  <Lines>3797</Lines>
  <Paragraphs>3057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 Christian</dc:creator>
  <cp:keywords/>
  <dc:description/>
  <cp:lastModifiedBy>E407199</cp:lastModifiedBy>
  <cp:revision>4</cp:revision>
  <dcterms:created xsi:type="dcterms:W3CDTF">2022-06-26T14:50:00Z</dcterms:created>
  <dcterms:modified xsi:type="dcterms:W3CDTF">2022-07-01T02:12:00Z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id="rWMH4uRw"/&gt;&lt;style id="http://www.zotero.org/styles/hepatology" hasBibliography="1" bibliographyStyleHasBeenSet="1"/&gt;&lt;prefs&gt;&lt;pref name="fieldType" value="Field"/&gt;&lt;/prefs&gt;&lt;/data&gt;</vt:lpwstr>
  </property>
</Properties>
</file>