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References 44–60 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44. </w:t>
        <w:tab/>
        <w:t xml:space="preserve">Cornish PJ, Blanchard EB, Jaccard J. Test-retest reliability of 24-hour ambulatory blood pressures.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Biofeedback Self Regul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1995; 20:137–154. 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45. </w:t>
        <w:tab/>
        <w:t xml:space="preserve">Cuspidi C, Sala C, Valerio C, Negri F, Mancia G. Nocturnal blood pressure in untreated essential hypertensives.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Blood Press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2011; 20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(6):335–341. 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46. </w:t>
        <w:tab/>
        <w:t xml:space="preserve">Hietanen E, Wendelin-Saarenhovi M. Ambulatory blood pressure reproducibility and application of the method in a healthy Finnish cohort.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Scand J Clin Lab Invest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1996; 56:471–480. 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47. </w:t>
        <w:tab/>
        <w:t xml:space="preserve">Hinderliter AL, Routledge FS, Blumenthal JA, Koch G, Hussey MA, Wohlgemuth WK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et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Reproducibility of blood pressure dipping: Relation to day-to-day variability in sleep quality.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 Am Soc Hypertens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2013;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:432–439.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48. </w:t>
        <w:tab/>
        <w:t xml:space="preserve">Mancia G, Omboni S, Parati G, Trazzi S, Mutti E. Limited reproducibility of hourly blood pressure values obtained by ambulatory blood pressure monitoring: Implications for studies on antihypertensive drugs.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 Hypertens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1992; 10:1531–1535.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49. </w:t>
        <w:tab/>
        <w:t xml:space="preserve">Mochizuki Y, Okutani M, Donfeng Y, Iwasaki H, Takusagawa M, Kohno I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 et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Limited reproducibility of circadian variation in blood pressure dippers and nondippers.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Am J Hypertens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1998; 11:403-–409.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50. </w:t>
        <w:tab/>
        <w:t xml:space="preserve">Pekarski SE, Mordovin VF, Triss SV, Semke GV, Kolodina MV. Improved automatic analysis of ambulatory blood pressure data based on precise detection of individual night-time from diurnal profile of heart rate.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Blood Press Monit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2002;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:117–121.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51. </w:t>
        <w:tab/>
        <w:t xml:space="preserve">Shapiro D, Goldstein IB. Wrist actigraph measures of physical activity level and ambulatory blood pressure in healthy elderly persons.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Psychophysiology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1998; 35:305–312.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52. </w:t>
        <w:tab/>
        <w:t xml:space="preserve">Shinagawa M, Otsuka K, Murakami S, Kubo Y, Cornelissen G, Matsubayashi K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et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Seven-day (24-h) ambulatory blood pressure monitoring, self-reported depression and quality of life scores.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Blood Press Monit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2002; 7:69–76. 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53. </w:t>
        <w:tab/>
        <w:t xml:space="preserve">Stergiou GS, Baibas NM, Gantzarou AP, Skeva II, Kalkana CB, Roussias LG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et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Reproducibility of home, ambulatory, and clinic blood pressure: Implications for the design of trials for the assessment of antihypertensive drug efficacy.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Am J Hypertens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2002; 15:101–104.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54. </w:t>
        <w:tab/>
        <w:t xml:space="preserve">Stergiou GS, Kollias A, Rarra VC, Roussias LG. Ambulatory arterial stiffness index: Reproducibility of different definitions.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Am J Hypertens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2010; 23:129–134.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55. </w:t>
        <w:tab/>
        <w:t xml:space="preserve">Thijs L, Amery A, Clement D, Cox J, De Cort P, Fagard R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et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Ambulatory blood pressure monitoring in elderly patients with isolated systolic hypertension.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J Hypertens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1992; 10:693–699.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56. </w:t>
        <w:tab/>
        <w:t xml:space="preserve">Van Berge-Landry HM, Bovbjerg DH, James GD. The reproducibility of ethnic differences in the proportional awake-sleep blood pressure decline among women.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Am J Hum Biol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2010; 22:325–329. 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57. </w:t>
        <w:tab/>
        <w:t xml:space="preserve">Viera AJ, Hinderliter AL, Kshirsagar AV, Fine J, Dominik R. Reproducibility of masked hypertension in adults with untreated borderline office blood pressure: Comparison of ambulatory and home monitoring.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Am J Hypertens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2010; 23:1190–1197.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58. </w:t>
        <w:tab/>
        <w:t xml:space="preserve">Viera AJ, Lin FC, Tuttle LA, Olsson E, Stankevitz K, Girdler SS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et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Reproducibility of masked hypertension among adults 30 years or older.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Blood Press Monit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2014;</w:t>
      </w:r>
      <w:r>
        <w:rPr>
          <w:rFonts w:ascii="Arial" w:hAnsi="Arial" w:cs="Arial" w:eastAsia="Arial"/>
          <w:color w:val="222222"/>
          <w:spacing w:val="0"/>
          <w:position w:val="0"/>
          <w:sz w:val="20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19:208–215. 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59. </w:t>
        <w:tab/>
        <w:t xml:space="preserve">Weber MA, Drayer JIM, Wyle FA, Deyoung JL. Reproducibility of the whole-day blood pressure pattern in essential hypertension.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Clin Exp Hypertens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1982; 4:1377–1390. </w:t>
      </w:r>
    </w:p>
    <w:p>
      <w:pPr>
        <w:spacing w:before="0" w:after="0" w:line="240"/>
        <w:ind w:right="0" w:left="641" w:hanging="641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60. </w:t>
        <w:tab/>
        <w:t xml:space="preserve">Zakopoulos N, Nanas SN, Lekakis JP, Vemmos KN, Kotsis VT, Pitiriga VC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et al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 Reproducibility of ambulatory blood pressure measurements in essential hypertension.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2"/>
          <w:shd w:fill="auto" w:val="clear"/>
        </w:rPr>
        <w:t xml:space="preserve">Blood Press Monit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2001; 6:41–45.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