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AF" w:rsidRPr="00B72710" w:rsidRDefault="00044BAF" w:rsidP="00044BAF">
      <w:pPr>
        <w:spacing w:after="0" w:line="480" w:lineRule="auto"/>
        <w:ind w:left="284" w:right="-1351" w:hanging="851"/>
        <w:rPr>
          <w:rFonts w:ascii="Arial" w:eastAsia="Arial" w:hAnsi="Arial" w:cs="Arial"/>
          <w:sz w:val="18"/>
          <w:szCs w:val="20"/>
        </w:rPr>
      </w:pPr>
      <w:r w:rsidRPr="00B72710">
        <w:rPr>
          <w:rFonts w:ascii="Arial" w:eastAsia="Arial" w:hAnsi="Arial" w:cs="Arial"/>
          <w:b/>
          <w:sz w:val="16"/>
          <w:szCs w:val="20"/>
        </w:rPr>
        <w:t>T</w:t>
      </w:r>
      <w:r w:rsidRPr="00B72710">
        <w:rPr>
          <w:rFonts w:ascii="Arial" w:eastAsia="Arial" w:hAnsi="Arial" w:cs="Arial"/>
          <w:b/>
          <w:sz w:val="18"/>
          <w:szCs w:val="20"/>
        </w:rPr>
        <w:t>able S1.</w:t>
      </w:r>
      <w:r w:rsidRPr="00B72710">
        <w:rPr>
          <w:rFonts w:ascii="Arial" w:eastAsia="Arial" w:hAnsi="Arial" w:cs="Arial"/>
          <w:sz w:val="18"/>
          <w:szCs w:val="20"/>
        </w:rPr>
        <w:t xml:space="preserve"> Univariate logistic regression analysis to evaluate the role of clinical characteristics and haemodynamic factors in affecting the absolute PWV difference greater than 1 m/s in adults (n=85).</w:t>
      </w:r>
    </w:p>
    <w:tbl>
      <w:tblPr>
        <w:tblW w:w="8431" w:type="dxa"/>
        <w:tblBorders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61"/>
        <w:gridCol w:w="2812"/>
        <w:gridCol w:w="1758"/>
      </w:tblGrid>
      <w:tr w:rsidR="00044BAF" w:rsidRPr="00B72710" w:rsidTr="00D06C5F">
        <w:trPr>
          <w:trHeight w:val="400"/>
        </w:trPr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b/>
                <w:i/>
                <w:sz w:val="18"/>
                <w:szCs w:val="18"/>
              </w:rPr>
              <w:t>Characteristics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b/>
                <w:i/>
                <w:sz w:val="18"/>
                <w:szCs w:val="18"/>
              </w:rPr>
              <w:t>OR (95% CI)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b/>
                <w:i/>
                <w:sz w:val="18"/>
                <w:szCs w:val="18"/>
              </w:rPr>
              <w:t>p</w:t>
            </w:r>
          </w:p>
        </w:tc>
      </w:tr>
      <w:tr w:rsidR="00044BAF" w:rsidRPr="00B72710" w:rsidTr="00D06C5F">
        <w:trPr>
          <w:trHeight w:val="400"/>
        </w:trPr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ind w:firstLine="164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Age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0.947 (0.915-0.979)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b/>
                <w:sz w:val="18"/>
                <w:szCs w:val="18"/>
              </w:rPr>
              <w:t>0.002*</w:t>
            </w:r>
          </w:p>
        </w:tc>
      </w:tr>
      <w:tr w:rsidR="00044BAF" w:rsidRPr="00B72710" w:rsidTr="00D06C5F">
        <w:trPr>
          <w:trHeight w:val="400"/>
        </w:trPr>
        <w:tc>
          <w:tcPr>
            <w:tcW w:w="3861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ind w:firstLine="164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Body height</w:t>
            </w:r>
          </w:p>
        </w:tc>
        <w:tc>
          <w:tcPr>
            <w:tcW w:w="2812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1.107 (1.017-1.204)</w:t>
            </w:r>
          </w:p>
        </w:tc>
        <w:tc>
          <w:tcPr>
            <w:tcW w:w="1757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b/>
                <w:sz w:val="18"/>
                <w:szCs w:val="18"/>
              </w:rPr>
              <w:t>0.018*</w:t>
            </w:r>
          </w:p>
        </w:tc>
      </w:tr>
      <w:tr w:rsidR="00044BAF" w:rsidRPr="00B72710" w:rsidTr="00D06C5F">
        <w:trPr>
          <w:trHeight w:val="400"/>
        </w:trPr>
        <w:tc>
          <w:tcPr>
            <w:tcW w:w="3861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ind w:firstLine="164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Body weight</w:t>
            </w:r>
          </w:p>
        </w:tc>
        <w:tc>
          <w:tcPr>
            <w:tcW w:w="2812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0.995 (0.6991.022)</w:t>
            </w:r>
          </w:p>
        </w:tc>
        <w:tc>
          <w:tcPr>
            <w:tcW w:w="1757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0.722</w:t>
            </w:r>
          </w:p>
        </w:tc>
      </w:tr>
      <w:tr w:rsidR="00044BAF" w:rsidRPr="00B72710" w:rsidTr="00D06C5F">
        <w:trPr>
          <w:trHeight w:val="400"/>
        </w:trPr>
        <w:tc>
          <w:tcPr>
            <w:tcW w:w="3861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ind w:firstLine="164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Body mass index</w:t>
            </w:r>
          </w:p>
        </w:tc>
        <w:tc>
          <w:tcPr>
            <w:tcW w:w="2812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0.952 (0.888-1.021)</w:t>
            </w:r>
          </w:p>
        </w:tc>
        <w:tc>
          <w:tcPr>
            <w:tcW w:w="1757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0.168</w:t>
            </w:r>
          </w:p>
        </w:tc>
      </w:tr>
      <w:tr w:rsidR="00044BAF" w:rsidRPr="00B72710" w:rsidTr="00D06C5F">
        <w:trPr>
          <w:trHeight w:val="400"/>
        </w:trPr>
        <w:tc>
          <w:tcPr>
            <w:tcW w:w="3861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ind w:firstLine="164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Waist to height ratio</w:t>
            </w:r>
          </w:p>
        </w:tc>
        <w:tc>
          <w:tcPr>
            <w:tcW w:w="2812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0.029 (0.000-2.313)</w:t>
            </w:r>
          </w:p>
        </w:tc>
        <w:tc>
          <w:tcPr>
            <w:tcW w:w="1757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0.113</w:t>
            </w:r>
          </w:p>
        </w:tc>
      </w:tr>
      <w:tr w:rsidR="00044BAF" w:rsidRPr="00B72710" w:rsidTr="00D06C5F">
        <w:trPr>
          <w:trHeight w:val="400"/>
        </w:trPr>
        <w:tc>
          <w:tcPr>
            <w:tcW w:w="3861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ind w:firstLine="164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 Unicode MS" w:hAnsi="Arial" w:cs="Arial"/>
                <w:sz w:val="18"/>
                <w:szCs w:val="18"/>
              </w:rPr>
              <w:t>WHtR≥0.5</w:t>
            </w:r>
          </w:p>
        </w:tc>
        <w:tc>
          <w:tcPr>
            <w:tcW w:w="2812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0.360 (0.146-0.891)</w:t>
            </w:r>
          </w:p>
        </w:tc>
        <w:tc>
          <w:tcPr>
            <w:tcW w:w="1757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b/>
                <w:sz w:val="18"/>
                <w:szCs w:val="18"/>
              </w:rPr>
              <w:t>0.027*</w:t>
            </w:r>
          </w:p>
        </w:tc>
      </w:tr>
      <w:tr w:rsidR="00044BAF" w:rsidRPr="00B72710" w:rsidTr="00D06C5F">
        <w:trPr>
          <w:trHeight w:val="400"/>
        </w:trPr>
        <w:tc>
          <w:tcPr>
            <w:tcW w:w="3861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ind w:firstLine="164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Arm circumference</w:t>
            </w:r>
          </w:p>
        </w:tc>
        <w:tc>
          <w:tcPr>
            <w:tcW w:w="2812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0.941 (0.870-1.017)</w:t>
            </w:r>
          </w:p>
        </w:tc>
        <w:tc>
          <w:tcPr>
            <w:tcW w:w="1757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0.126</w:t>
            </w:r>
          </w:p>
        </w:tc>
      </w:tr>
      <w:tr w:rsidR="00044BAF" w:rsidRPr="00B72710" w:rsidTr="00D06C5F">
        <w:trPr>
          <w:trHeight w:val="400"/>
        </w:trPr>
        <w:tc>
          <w:tcPr>
            <w:tcW w:w="3861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ind w:firstLine="164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Diabetes mellitus</w:t>
            </w:r>
          </w:p>
        </w:tc>
        <w:tc>
          <w:tcPr>
            <w:tcW w:w="2812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0.363 (0.032-4.151)</w:t>
            </w:r>
          </w:p>
        </w:tc>
        <w:tc>
          <w:tcPr>
            <w:tcW w:w="1757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0.415</w:t>
            </w:r>
          </w:p>
        </w:tc>
      </w:tr>
      <w:tr w:rsidR="00044BAF" w:rsidRPr="00B72710" w:rsidTr="00D06C5F">
        <w:trPr>
          <w:trHeight w:val="400"/>
        </w:trPr>
        <w:tc>
          <w:tcPr>
            <w:tcW w:w="3861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ind w:firstLine="164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Hypertension</w:t>
            </w:r>
          </w:p>
        </w:tc>
        <w:tc>
          <w:tcPr>
            <w:tcW w:w="2812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0.423 (0.163-1.095)</w:t>
            </w:r>
          </w:p>
        </w:tc>
        <w:tc>
          <w:tcPr>
            <w:tcW w:w="1757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0.076</w:t>
            </w:r>
          </w:p>
        </w:tc>
      </w:tr>
      <w:tr w:rsidR="00044BAF" w:rsidRPr="00B72710" w:rsidTr="00D06C5F">
        <w:trPr>
          <w:trHeight w:val="400"/>
        </w:trPr>
        <w:tc>
          <w:tcPr>
            <w:tcW w:w="3861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ind w:firstLine="164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Smoking</w:t>
            </w:r>
          </w:p>
        </w:tc>
        <w:tc>
          <w:tcPr>
            <w:tcW w:w="2812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4.636 (0.533-40.355)</w:t>
            </w:r>
          </w:p>
        </w:tc>
        <w:tc>
          <w:tcPr>
            <w:tcW w:w="1757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0.165</w:t>
            </w:r>
          </w:p>
        </w:tc>
      </w:tr>
      <w:tr w:rsidR="00044BAF" w:rsidRPr="00B72710" w:rsidTr="00D06C5F">
        <w:trPr>
          <w:trHeight w:val="400"/>
        </w:trPr>
        <w:tc>
          <w:tcPr>
            <w:tcW w:w="3861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ind w:firstLine="164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Alcohol consumption</w:t>
            </w:r>
          </w:p>
        </w:tc>
        <w:tc>
          <w:tcPr>
            <w:tcW w:w="2812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1.243 (0.523-2.953)</w:t>
            </w:r>
          </w:p>
        </w:tc>
        <w:tc>
          <w:tcPr>
            <w:tcW w:w="1757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0.622</w:t>
            </w:r>
          </w:p>
        </w:tc>
      </w:tr>
      <w:tr w:rsidR="00044BAF" w:rsidRPr="00B72710" w:rsidTr="00D06C5F">
        <w:trPr>
          <w:trHeight w:val="400"/>
        </w:trPr>
        <w:tc>
          <w:tcPr>
            <w:tcW w:w="3861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ind w:firstLine="164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Brachial systolic blood pressure</w:t>
            </w:r>
          </w:p>
        </w:tc>
        <w:tc>
          <w:tcPr>
            <w:tcW w:w="2812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0.983 (0.96.-1.007)</w:t>
            </w:r>
          </w:p>
        </w:tc>
        <w:tc>
          <w:tcPr>
            <w:tcW w:w="1757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0.161</w:t>
            </w:r>
          </w:p>
        </w:tc>
      </w:tr>
      <w:tr w:rsidR="00044BAF" w:rsidRPr="00B72710" w:rsidTr="00D06C5F">
        <w:trPr>
          <w:trHeight w:val="400"/>
        </w:trPr>
        <w:tc>
          <w:tcPr>
            <w:tcW w:w="3861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ind w:firstLine="164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Brachial diastolic blood pressure</w:t>
            </w:r>
          </w:p>
        </w:tc>
        <w:tc>
          <w:tcPr>
            <w:tcW w:w="2812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0.982 (0.947-1.018)</w:t>
            </w:r>
          </w:p>
        </w:tc>
        <w:tc>
          <w:tcPr>
            <w:tcW w:w="1757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0.982</w:t>
            </w:r>
          </w:p>
        </w:tc>
      </w:tr>
      <w:tr w:rsidR="00044BAF" w:rsidRPr="00B72710" w:rsidTr="00D06C5F">
        <w:trPr>
          <w:trHeight w:val="400"/>
        </w:trPr>
        <w:tc>
          <w:tcPr>
            <w:tcW w:w="3861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ind w:firstLine="164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Heart Rate</w:t>
            </w:r>
          </w:p>
        </w:tc>
        <w:tc>
          <w:tcPr>
            <w:tcW w:w="2812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0.980 (0.949-1.012)</w:t>
            </w:r>
          </w:p>
        </w:tc>
        <w:tc>
          <w:tcPr>
            <w:tcW w:w="1757" w:type="dxa"/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0.224</w:t>
            </w:r>
          </w:p>
        </w:tc>
      </w:tr>
      <w:tr w:rsidR="00044BAF" w:rsidRPr="00B72710" w:rsidTr="00D06C5F">
        <w:trPr>
          <w:trHeight w:val="400"/>
        </w:trPr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ind w:firstLine="164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Mean arterial pressure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1.020 (0.982-1.060)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044BAF" w:rsidRPr="00B72710" w:rsidRDefault="00044BAF" w:rsidP="00D06C5F">
            <w:pPr>
              <w:spacing w:after="0" w:line="48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8"/>
                <w:szCs w:val="18"/>
              </w:rPr>
              <w:t>0.299</w:t>
            </w:r>
          </w:p>
        </w:tc>
      </w:tr>
      <w:tr w:rsidR="00044BAF" w:rsidRPr="00CC475C" w:rsidTr="00D06C5F">
        <w:trPr>
          <w:trHeight w:val="400"/>
        </w:trPr>
        <w:tc>
          <w:tcPr>
            <w:tcW w:w="8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BAF" w:rsidRPr="00471878" w:rsidRDefault="00044BAF" w:rsidP="00D06C5F">
            <w:pPr>
              <w:spacing w:after="0"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2710">
              <w:rPr>
                <w:rFonts w:ascii="Arial" w:eastAsia="Arial" w:hAnsi="Arial" w:cs="Arial"/>
                <w:sz w:val="16"/>
                <w:szCs w:val="18"/>
              </w:rPr>
              <w:t>PWV, pulse wave velocity; WHtR, waist to height ratio; CI, confidence levels, OR, odds ratio, SE, standard error. p&lt;0.05 was significant.</w:t>
            </w:r>
          </w:p>
        </w:tc>
      </w:tr>
    </w:tbl>
    <w:p w:rsidR="00044BAF" w:rsidRDefault="00044BAF" w:rsidP="00044BAF">
      <w:pPr>
        <w:spacing w:after="0" w:line="480" w:lineRule="auto"/>
        <w:ind w:right="-1351"/>
      </w:pPr>
    </w:p>
    <w:p w:rsidR="007F6148" w:rsidRDefault="007F6148">
      <w:bookmarkStart w:id="0" w:name="_GoBack"/>
      <w:bookmarkEnd w:id="0"/>
    </w:p>
    <w:sectPr w:rsidR="007F6148" w:rsidSect="008347D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AF"/>
    <w:rsid w:val="00044BAF"/>
    <w:rsid w:val="007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E474-A5FD-4914-A79D-87AA141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A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Kolkenbeck-Ruh</dc:creator>
  <cp:keywords/>
  <dc:description/>
  <cp:lastModifiedBy>Andrea Kolkenbeck-Ruh</cp:lastModifiedBy>
  <cp:revision>1</cp:revision>
  <dcterms:created xsi:type="dcterms:W3CDTF">2021-01-18T06:09:00Z</dcterms:created>
  <dcterms:modified xsi:type="dcterms:W3CDTF">2021-01-18T06:10:00Z</dcterms:modified>
</cp:coreProperties>
</file>