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82" w:rsidRPr="001C6482" w:rsidRDefault="001C6482" w:rsidP="001C6482">
      <w:pPr>
        <w:pStyle w:val="KeinLeerraum"/>
        <w:spacing w:line="480" w:lineRule="auto"/>
        <w:rPr>
          <w:rFonts w:asciiTheme="minorHAnsi" w:hAnsiTheme="minorHAnsi" w:cstheme="minorHAnsi"/>
          <w:b/>
          <w:bCs/>
          <w:sz w:val="24"/>
          <w:szCs w:val="24"/>
        </w:rPr>
      </w:pPr>
      <w:r w:rsidRPr="001C6482">
        <w:rPr>
          <w:rFonts w:asciiTheme="minorHAnsi" w:hAnsiTheme="minorHAnsi" w:cstheme="minorHAnsi"/>
          <w:b/>
          <w:bCs/>
          <w:sz w:val="24"/>
          <w:szCs w:val="24"/>
        </w:rPr>
        <w:t xml:space="preserve">Appendix </w:t>
      </w:r>
    </w:p>
    <w:p w:rsidR="000F59F2" w:rsidRDefault="007B06F0" w:rsidP="001C6482">
      <w:pPr>
        <w:rPr>
          <w:rFonts w:asciiTheme="minorHAnsi" w:hAnsiTheme="minorHAnsi" w:cstheme="minorHAnsi"/>
          <w:iCs/>
          <w:sz w:val="24"/>
          <w:szCs w:val="24"/>
        </w:rPr>
      </w:pPr>
      <w:r>
        <w:rPr>
          <w:rFonts w:asciiTheme="minorHAnsi" w:hAnsiTheme="minorHAnsi" w:cstheme="minorHAnsi"/>
          <w:iCs/>
          <w:sz w:val="24"/>
          <w:szCs w:val="24"/>
        </w:rPr>
        <w:t>Figure A1: Four-field-</w:t>
      </w:r>
      <w:r w:rsidR="000F59F2">
        <w:rPr>
          <w:rFonts w:asciiTheme="minorHAnsi" w:hAnsiTheme="minorHAnsi" w:cstheme="minorHAnsi"/>
          <w:iCs/>
          <w:sz w:val="24"/>
          <w:szCs w:val="24"/>
        </w:rPr>
        <w:t>panels comparing classification elevated/normal blood pressure for mean systolic and diastolic 24 hour blood pressure. Panel A and B depict results for the whole s</w:t>
      </w:r>
      <w:r>
        <w:rPr>
          <w:rFonts w:asciiTheme="minorHAnsi" w:hAnsiTheme="minorHAnsi" w:cstheme="minorHAnsi"/>
          <w:iCs/>
          <w:sz w:val="24"/>
          <w:szCs w:val="24"/>
        </w:rPr>
        <w:t xml:space="preserve">tudy population. Panel C and D </w:t>
      </w:r>
      <w:r w:rsidR="000F59F2">
        <w:rPr>
          <w:rFonts w:asciiTheme="minorHAnsi" w:hAnsiTheme="minorHAnsi" w:cstheme="minorHAnsi"/>
          <w:iCs/>
          <w:sz w:val="24"/>
          <w:szCs w:val="24"/>
        </w:rPr>
        <w:t xml:space="preserve">depict results for participant with antihypertensive medication, whereas Panel E and F depict results for participants without antihypertensive medication. </w:t>
      </w:r>
    </w:p>
    <w:p w:rsidR="000F59F2" w:rsidRDefault="000F59F2" w:rsidP="001C6482">
      <w:pPr>
        <w:rPr>
          <w:rFonts w:asciiTheme="minorHAnsi" w:hAnsiTheme="minorHAnsi" w:cstheme="minorHAnsi"/>
          <w:iCs/>
          <w:sz w:val="24"/>
          <w:szCs w:val="24"/>
        </w:rPr>
      </w:pPr>
      <w:r>
        <w:rPr>
          <w:rFonts w:asciiTheme="minorHAnsi" w:hAnsiTheme="minorHAnsi" w:cstheme="minorHAnsi"/>
          <w:iCs/>
          <w:noProof/>
          <w:sz w:val="24"/>
          <w:szCs w:val="24"/>
          <w:lang w:val="de-CH"/>
        </w:rPr>
        <w:drawing>
          <wp:inline distT="0" distB="0" distL="0" distR="0">
            <wp:extent cx="5760720" cy="5760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T-elevated24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0F59F2" w:rsidRDefault="000F59F2" w:rsidP="001C6482">
      <w:pPr>
        <w:rPr>
          <w:rFonts w:asciiTheme="minorHAnsi" w:hAnsiTheme="minorHAnsi" w:cstheme="minorHAnsi"/>
          <w:iCs/>
          <w:sz w:val="24"/>
          <w:szCs w:val="24"/>
        </w:rPr>
      </w:pPr>
      <w:r>
        <w:rPr>
          <w:rFonts w:asciiTheme="minorHAnsi" w:hAnsiTheme="minorHAnsi" w:cstheme="minorHAnsi"/>
          <w:iCs/>
          <w:sz w:val="24"/>
          <w:szCs w:val="24"/>
        </w:rPr>
        <w:t>BP blood pressure; RefBP standard cuff-based BP measurement; TestBP cuffless BP measurement</w:t>
      </w:r>
    </w:p>
    <w:p w:rsidR="000F59F2" w:rsidRDefault="000F59F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r w:rsidRPr="001C6482">
        <w:rPr>
          <w:rFonts w:asciiTheme="minorHAnsi" w:hAnsiTheme="minorHAnsi" w:cstheme="minorHAnsi"/>
          <w:iCs/>
          <w:noProof/>
          <w:sz w:val="24"/>
          <w:szCs w:val="24"/>
          <w:lang w:val="de-CH"/>
        </w:rPr>
        <w:drawing>
          <wp:anchor distT="0" distB="0" distL="114300" distR="114300" simplePos="0" relativeHeight="251659264" behindDoc="0" locked="0" layoutInCell="1" hidden="0" allowOverlap="1" wp14:anchorId="1EBE79A2" wp14:editId="0C4D0669">
            <wp:simplePos x="0" y="0"/>
            <wp:positionH relativeFrom="margin">
              <wp:posOffset>428529</wp:posOffset>
            </wp:positionH>
            <wp:positionV relativeFrom="paragraph">
              <wp:posOffset>1118630</wp:posOffset>
            </wp:positionV>
            <wp:extent cx="4789170" cy="7506335"/>
            <wp:effectExtent l="0" t="0" r="0" b="0"/>
            <wp:wrapTopAndBottom/>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789170" cy="7506335"/>
                    </a:xfrm>
                    <a:prstGeom prst="rect">
                      <a:avLst/>
                    </a:prstGeom>
                    <a:ln/>
                  </pic:spPr>
                </pic:pic>
              </a:graphicData>
            </a:graphic>
            <wp14:sizeRelH relativeFrom="margin">
              <wp14:pctWidth>0</wp14:pctWidth>
            </wp14:sizeRelH>
            <wp14:sizeRelV relativeFrom="margin">
              <wp14:pctHeight>0</wp14:pctHeight>
            </wp14:sizeRelV>
          </wp:anchor>
        </w:drawing>
      </w:r>
      <w:r w:rsidR="000F59F2">
        <w:rPr>
          <w:rFonts w:asciiTheme="minorHAnsi" w:hAnsiTheme="minorHAnsi" w:cstheme="minorHAnsi"/>
          <w:iCs/>
          <w:sz w:val="24"/>
          <w:szCs w:val="24"/>
        </w:rPr>
        <w:t>Figure A2</w:t>
      </w:r>
      <w:r w:rsidRPr="001C6482">
        <w:rPr>
          <w:rFonts w:asciiTheme="minorHAnsi" w:hAnsiTheme="minorHAnsi" w:cstheme="minorHAnsi"/>
          <w:iCs/>
          <w:sz w:val="24"/>
          <w:szCs w:val="24"/>
        </w:rPr>
        <w:t>: Boxplots comparing the difference between the systolic (panel A) or diastolic (panel B) CalibBP and the systolic (panel A) or diastolic (panel B) 24-hour, awake and asleep RefBP (purple) / TestBP (orange; Schille</w:t>
      </w:r>
      <w:r w:rsidR="007B06F0">
        <w:rPr>
          <w:rFonts w:asciiTheme="minorHAnsi" w:hAnsiTheme="minorHAnsi" w:cstheme="minorHAnsi"/>
          <w:iCs/>
          <w:sz w:val="24"/>
          <w:szCs w:val="24"/>
        </w:rPr>
        <w:t>r) with p-values generated by a</w:t>
      </w:r>
      <w:bookmarkStart w:id="0" w:name="_GoBack"/>
      <w:bookmarkEnd w:id="0"/>
      <w:r w:rsidRPr="001C6482">
        <w:rPr>
          <w:rFonts w:asciiTheme="minorHAnsi" w:hAnsiTheme="minorHAnsi" w:cstheme="minorHAnsi"/>
          <w:iCs/>
          <w:sz w:val="24"/>
          <w:szCs w:val="24"/>
        </w:rPr>
        <w:t xml:space="preserve"> one-sided Wilcoxon </w:t>
      </w:r>
      <w:r w:rsidRPr="001C6482">
        <w:rPr>
          <w:rFonts w:asciiTheme="minorHAnsi" w:hAnsiTheme="minorHAnsi" w:cstheme="minorHAnsi"/>
          <w:iCs/>
          <w:sz w:val="24"/>
          <w:szCs w:val="24"/>
        </w:rPr>
        <w:lastRenderedPageBreak/>
        <w:t>BP blood pressure, CalibBP calibration BP measurement, d diastolic, RefBP standard cuff-based BP measurement, s systolic, TestBP cuffless BP measurement.</w:t>
      </w: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1C6482" w:rsidP="001C6482">
      <w:pPr>
        <w:rPr>
          <w:rFonts w:asciiTheme="minorHAnsi" w:hAnsiTheme="minorHAnsi" w:cstheme="minorHAnsi"/>
          <w:iCs/>
          <w:sz w:val="24"/>
          <w:szCs w:val="24"/>
        </w:rPr>
      </w:pPr>
    </w:p>
    <w:p w:rsidR="001C6482" w:rsidRPr="001C6482" w:rsidRDefault="000F59F2" w:rsidP="001C6482">
      <w:pPr>
        <w:rPr>
          <w:rFonts w:asciiTheme="minorHAnsi" w:hAnsiTheme="minorHAnsi" w:cstheme="minorHAnsi"/>
          <w:iCs/>
          <w:sz w:val="24"/>
          <w:szCs w:val="24"/>
        </w:rPr>
      </w:pPr>
      <w:r>
        <w:rPr>
          <w:rFonts w:asciiTheme="minorHAnsi" w:hAnsiTheme="minorHAnsi" w:cstheme="minorHAnsi"/>
          <w:iCs/>
          <w:sz w:val="24"/>
          <w:szCs w:val="24"/>
        </w:rPr>
        <w:lastRenderedPageBreak/>
        <w:t>Figure A3</w:t>
      </w:r>
      <w:r w:rsidR="001C6482" w:rsidRPr="001C6482">
        <w:rPr>
          <w:rFonts w:asciiTheme="minorHAnsi" w:hAnsiTheme="minorHAnsi" w:cstheme="minorHAnsi"/>
          <w:iCs/>
          <w:sz w:val="24"/>
          <w:szCs w:val="24"/>
        </w:rPr>
        <w:t>: Plots comparing the difference between systolic or diastolic CalibBP and 24-hour, awake and asleep systolic or diastolic RefBP on the y-axis and the difference between the 24-hour, awake and asleep systolic or diastolic RefBP and corresponding TestBP (Schiller) on the x-axis</w:t>
      </w:r>
      <w:r w:rsidR="001C6482">
        <w:rPr>
          <w:rFonts w:asciiTheme="minorHAnsi" w:hAnsiTheme="minorHAnsi" w:cstheme="minorHAnsi"/>
          <w:iCs/>
          <w:sz w:val="24"/>
          <w:szCs w:val="24"/>
        </w:rPr>
        <w:t>.</w:t>
      </w:r>
    </w:p>
    <w:p w:rsidR="001C6482" w:rsidRPr="001C6482" w:rsidRDefault="001C6482" w:rsidP="001C6482">
      <w:pPr>
        <w:jc w:val="both"/>
        <w:rPr>
          <w:rFonts w:asciiTheme="minorHAnsi" w:hAnsiTheme="minorHAnsi" w:cstheme="minorHAnsi"/>
          <w:i/>
          <w:sz w:val="24"/>
          <w:szCs w:val="24"/>
        </w:rPr>
      </w:pPr>
      <w:r w:rsidRPr="001C6482">
        <w:rPr>
          <w:rFonts w:asciiTheme="minorHAnsi" w:hAnsiTheme="minorHAnsi" w:cstheme="minorHAnsi"/>
          <w:i/>
          <w:noProof/>
          <w:sz w:val="24"/>
          <w:szCs w:val="24"/>
          <w:lang w:val="de-CH"/>
        </w:rPr>
        <w:drawing>
          <wp:anchor distT="0" distB="0" distL="114300" distR="114300" simplePos="0" relativeHeight="251660288" behindDoc="0" locked="0" layoutInCell="1" allowOverlap="1" wp14:anchorId="01FB935C" wp14:editId="2B50E027">
            <wp:simplePos x="0" y="0"/>
            <wp:positionH relativeFrom="column">
              <wp:posOffset>-25</wp:posOffset>
            </wp:positionH>
            <wp:positionV relativeFrom="paragraph">
              <wp:posOffset>610</wp:posOffset>
            </wp:positionV>
            <wp:extent cx="5760085" cy="6911975"/>
            <wp:effectExtent l="0" t="0" r="0" b="3175"/>
            <wp:wrapTopAndBottom/>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760085" cy="6911975"/>
                    </a:xfrm>
                    <a:prstGeom prst="rect">
                      <a:avLst/>
                    </a:prstGeom>
                    <a:ln/>
                  </pic:spPr>
                </pic:pic>
              </a:graphicData>
            </a:graphic>
          </wp:anchor>
        </w:drawing>
      </w:r>
      <w:r w:rsidRPr="001C6482">
        <w:rPr>
          <w:rFonts w:asciiTheme="minorHAnsi" w:hAnsiTheme="minorHAnsi" w:cstheme="minorHAnsi"/>
          <w:i/>
          <w:sz w:val="24"/>
          <w:szCs w:val="24"/>
        </w:rPr>
        <w:t xml:space="preserve"> </w:t>
      </w:r>
    </w:p>
    <w:p w:rsidR="001C6482" w:rsidRPr="001C6482" w:rsidRDefault="001C6482" w:rsidP="001C6482">
      <w:pPr>
        <w:jc w:val="both"/>
        <w:rPr>
          <w:rFonts w:asciiTheme="minorHAnsi" w:hAnsiTheme="minorHAnsi" w:cstheme="minorHAnsi"/>
          <w:i/>
          <w:sz w:val="24"/>
          <w:szCs w:val="24"/>
        </w:rPr>
      </w:pPr>
    </w:p>
    <w:p w:rsidR="001C6482" w:rsidRPr="001C6482" w:rsidRDefault="001C6482" w:rsidP="001C6482">
      <w:pPr>
        <w:rPr>
          <w:rFonts w:asciiTheme="minorHAnsi" w:hAnsiTheme="minorHAnsi" w:cstheme="minorHAnsi"/>
          <w:sz w:val="24"/>
          <w:szCs w:val="24"/>
        </w:rPr>
      </w:pPr>
      <w:r>
        <w:rPr>
          <w:rFonts w:asciiTheme="minorHAnsi" w:hAnsiTheme="minorHAnsi" w:cstheme="minorHAnsi"/>
          <w:iCs/>
          <w:sz w:val="24"/>
          <w:szCs w:val="24"/>
        </w:rPr>
        <w:t xml:space="preserve">Plots A, C and </w:t>
      </w:r>
      <w:r w:rsidRPr="001C6482">
        <w:rPr>
          <w:rFonts w:asciiTheme="minorHAnsi" w:hAnsiTheme="minorHAnsi" w:cstheme="minorHAnsi"/>
          <w:iCs/>
          <w:sz w:val="24"/>
          <w:szCs w:val="24"/>
        </w:rPr>
        <w:t>E are sho</w:t>
      </w:r>
      <w:r>
        <w:rPr>
          <w:rFonts w:asciiTheme="minorHAnsi" w:hAnsiTheme="minorHAnsi" w:cstheme="minorHAnsi"/>
          <w:iCs/>
          <w:sz w:val="24"/>
          <w:szCs w:val="24"/>
        </w:rPr>
        <w:t xml:space="preserve">wing the systolic BP and plots B, D and </w:t>
      </w:r>
      <w:r w:rsidRPr="001C6482">
        <w:rPr>
          <w:rFonts w:asciiTheme="minorHAnsi" w:hAnsiTheme="minorHAnsi" w:cstheme="minorHAnsi"/>
          <w:iCs/>
          <w:sz w:val="24"/>
          <w:szCs w:val="24"/>
        </w:rPr>
        <w:t>F the diastolic BP. BP blood pressure, CalibBP calibration BP measurement, d diastolic, RefBP standard cuff-based BP measurement, s systolic, TestBP cuffless BP measurement. Red line shows the assumption that TestBP follows CalibBP without changes, the blue line shows the generated linear regression for the data and the green line shows an ideal agreement between RefBP and TestBP</w:t>
      </w:r>
    </w:p>
    <w:p w:rsidR="00DA52CD" w:rsidRDefault="007B06F0">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Default="000F59F2">
      <w:pPr>
        <w:rPr>
          <w:rFonts w:asciiTheme="minorHAnsi" w:hAnsiTheme="minorHAnsi" w:cstheme="minorHAnsi"/>
          <w:sz w:val="24"/>
          <w:szCs w:val="24"/>
        </w:rPr>
      </w:pPr>
    </w:p>
    <w:p w:rsidR="000F59F2" w:rsidRPr="001C6482" w:rsidRDefault="000F59F2" w:rsidP="000F59F2">
      <w:pPr>
        <w:pStyle w:val="KeinLeerraum"/>
        <w:spacing w:line="480" w:lineRule="auto"/>
        <w:rPr>
          <w:rFonts w:asciiTheme="minorHAnsi" w:hAnsiTheme="minorHAnsi" w:cstheme="minorHAnsi"/>
          <w:bCs/>
          <w:sz w:val="24"/>
          <w:szCs w:val="24"/>
        </w:rPr>
      </w:pPr>
      <w:r w:rsidRPr="001C6482">
        <w:rPr>
          <w:rFonts w:asciiTheme="minorHAnsi" w:hAnsiTheme="minorHAnsi" w:cstheme="minorHAnsi"/>
          <w:sz w:val="24"/>
          <w:szCs w:val="24"/>
        </w:rPr>
        <w:lastRenderedPageBreak/>
        <w:t>Table A1</w:t>
      </w:r>
      <w:r w:rsidRPr="001C6482">
        <w:rPr>
          <w:rFonts w:asciiTheme="minorHAnsi" w:hAnsiTheme="minorHAnsi" w:cstheme="minorHAnsi"/>
          <w:i/>
          <w:sz w:val="24"/>
          <w:szCs w:val="24"/>
        </w:rPr>
        <w:t xml:space="preserve">: </w:t>
      </w:r>
      <w:r w:rsidRPr="001C6482">
        <w:rPr>
          <w:rFonts w:asciiTheme="minorHAnsi" w:hAnsiTheme="minorHAnsi" w:cstheme="minorHAnsi"/>
          <w:sz w:val="24"/>
          <w:szCs w:val="24"/>
        </w:rPr>
        <w:t>Comparison of RefBP and TestBP (Schiller) measurement results</w:t>
      </w:r>
    </w:p>
    <w:tbl>
      <w:tblPr>
        <w:tblStyle w:val="3"/>
        <w:tblW w:w="91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05"/>
        <w:gridCol w:w="2041"/>
        <w:gridCol w:w="2041"/>
        <w:gridCol w:w="2041"/>
      </w:tblGrid>
      <w:tr w:rsidR="000F59F2" w:rsidRPr="001C6482" w:rsidTr="00BF068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rsidR="000F59F2" w:rsidRPr="001C6482" w:rsidRDefault="000F59F2" w:rsidP="00BF068C">
            <w:pPr>
              <w:jc w:val="both"/>
              <w:rPr>
                <w:rFonts w:asciiTheme="minorHAnsi" w:hAnsiTheme="minorHAnsi" w:cstheme="minorHAnsi"/>
                <w:sz w:val="24"/>
                <w:szCs w:val="24"/>
              </w:rPr>
            </w:pPr>
          </w:p>
        </w:tc>
        <w:tc>
          <w:tcPr>
            <w:tcW w:w="2041" w:type="dxa"/>
          </w:tcPr>
          <w:p w:rsidR="000F59F2" w:rsidRPr="001C6482" w:rsidRDefault="000F59F2" w:rsidP="00BF068C">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RefBP</w:t>
            </w:r>
          </w:p>
        </w:tc>
        <w:tc>
          <w:tcPr>
            <w:tcW w:w="2041" w:type="dxa"/>
          </w:tcPr>
          <w:p w:rsidR="000F59F2" w:rsidRPr="001C6482" w:rsidRDefault="000F59F2" w:rsidP="00BF068C">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TestBP</w:t>
            </w:r>
          </w:p>
        </w:tc>
        <w:tc>
          <w:tcPr>
            <w:tcW w:w="2041" w:type="dxa"/>
          </w:tcPr>
          <w:p w:rsidR="000F59F2" w:rsidRPr="001C6482" w:rsidRDefault="000F59F2" w:rsidP="00BF068C">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P-value</w:t>
            </w:r>
          </w:p>
        </w:tc>
      </w:tr>
      <w:tr w:rsidR="000F59F2" w:rsidRPr="001C6482" w:rsidTr="00BF06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s24hBP, mmHg; mean (SD)</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129.9 (14.4)</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136.2 (9.5)</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trHeight w:val="340"/>
        </w:trPr>
        <w:tc>
          <w:tcPr>
            <w:cnfStyle w:val="001000000000" w:firstRow="0" w:lastRow="0" w:firstColumn="1" w:lastColumn="0" w:oddVBand="0" w:evenVBand="0" w:oddHBand="0" w:evenHBand="0" w:firstRowFirstColumn="0" w:firstRowLastColumn="0" w:lastRowFirstColumn="0" w:lastRowLastColumn="0"/>
            <w:tcW w:w="3005"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sAwakeBP, mmHg; mean (SD)</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133.8 (12.8)</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139.7 (8.8)</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sAsleepBP, mmHg; mean (SD)</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119.8 (10.8)</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131.3 (7.0)</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trHeight w:val="340"/>
        </w:trPr>
        <w:tc>
          <w:tcPr>
            <w:cnfStyle w:val="001000000000" w:firstRow="0" w:lastRow="0" w:firstColumn="1" w:lastColumn="0" w:oddVBand="0" w:evenVBand="0" w:oddHBand="0" w:evenHBand="0" w:firstRowFirstColumn="0" w:firstRowLastColumn="0" w:lastRowFirstColumn="0" w:lastRowLastColumn="0"/>
            <w:tcW w:w="3005"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d24hBP, mmHg; mean (SD)</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79.4 (11.0)</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84.9 (5.5)</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dAwakeBP, mmHg; mean (SD)</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82.7 (9.5)</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87.7 (4.3)</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trHeight w:val="340"/>
        </w:trPr>
        <w:tc>
          <w:tcPr>
            <w:cnfStyle w:val="001000000000" w:firstRow="0" w:lastRow="0" w:firstColumn="1" w:lastColumn="0" w:oddVBand="0" w:evenVBand="0" w:oddHBand="0" w:evenHBand="0" w:firstRowFirstColumn="0" w:firstRowLastColumn="0" w:lastRowFirstColumn="0" w:lastRowLastColumn="0"/>
            <w:tcW w:w="3005"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dAsleepBP, mmHg; mean (SD)</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70.9 (8.6)</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81.3 (4.1)</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24hHR, bpm; mean (SD)</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70.3 (10.5)</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72.6 (15.8)</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trHeight w:val="340"/>
        </w:trPr>
        <w:tc>
          <w:tcPr>
            <w:cnfStyle w:val="001000000000" w:firstRow="0" w:lastRow="0" w:firstColumn="1" w:lastColumn="0" w:oddVBand="0" w:evenVBand="0" w:oddHBand="0" w:evenHBand="0" w:firstRowFirstColumn="0" w:firstRowLastColumn="0" w:lastRowFirstColumn="0" w:lastRowLastColumn="0"/>
            <w:tcW w:w="3005"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AwakeHR, bpm; mean (SD)</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73.6 (9.6)</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77.4 (15.2)</w:t>
            </w:r>
          </w:p>
        </w:tc>
        <w:tc>
          <w:tcPr>
            <w:tcW w:w="204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AsleepHR , bpm; mean (SD)</w:t>
            </w:r>
          </w:p>
        </w:tc>
        <w:tc>
          <w:tcPr>
            <w:tcW w:w="204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62.1 (5.9)</w:t>
            </w:r>
          </w:p>
        </w:tc>
        <w:tc>
          <w:tcPr>
            <w:tcW w:w="2041" w:type="dxa"/>
          </w:tcPr>
          <w:p w:rsidR="000F59F2" w:rsidRPr="001C6482" w:rsidRDefault="000F59F2" w:rsidP="00BF068C">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63.4 (9.2)</w:t>
            </w:r>
          </w:p>
        </w:tc>
        <w:tc>
          <w:tcPr>
            <w:tcW w:w="2041" w:type="dxa"/>
          </w:tcPr>
          <w:p w:rsidR="000F59F2" w:rsidRPr="001C6482" w:rsidRDefault="000F59F2" w:rsidP="00BF068C">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bl>
    <w:p w:rsidR="000F59F2" w:rsidRPr="001C6482" w:rsidRDefault="000F59F2" w:rsidP="000F59F2">
      <w:pPr>
        <w:jc w:val="both"/>
        <w:rPr>
          <w:rFonts w:asciiTheme="minorHAnsi" w:hAnsiTheme="minorHAnsi" w:cstheme="minorHAnsi"/>
          <w:sz w:val="24"/>
          <w:szCs w:val="24"/>
        </w:rPr>
      </w:pPr>
    </w:p>
    <w:p w:rsidR="000F59F2" w:rsidRPr="001C6482" w:rsidRDefault="000F59F2" w:rsidP="000F59F2">
      <w:pPr>
        <w:jc w:val="both"/>
        <w:rPr>
          <w:rFonts w:asciiTheme="minorHAnsi" w:hAnsiTheme="minorHAnsi" w:cstheme="minorHAnsi"/>
          <w:sz w:val="24"/>
          <w:szCs w:val="24"/>
        </w:rPr>
      </w:pPr>
      <w:r w:rsidRPr="001C6482">
        <w:rPr>
          <w:rFonts w:asciiTheme="minorHAnsi" w:hAnsiTheme="minorHAnsi" w:cstheme="minorHAnsi"/>
          <w:sz w:val="24"/>
          <w:szCs w:val="24"/>
        </w:rPr>
        <w:t>Data are mean (± standard deviation). BP blood pressure, d diastolic, HR heart rate, RefBP standard cuff-based BP measurement, s systolic, TestBP cuffless BP measurement.</w:t>
      </w:r>
    </w:p>
    <w:p w:rsidR="000F59F2" w:rsidRPr="001C6482" w:rsidRDefault="000F59F2" w:rsidP="000F59F2">
      <w:pPr>
        <w:rPr>
          <w:rFonts w:asciiTheme="minorHAnsi" w:hAnsiTheme="minorHAnsi" w:cstheme="minorHAnsi"/>
          <w:sz w:val="24"/>
          <w:szCs w:val="24"/>
        </w:rPr>
      </w:pPr>
      <w:r w:rsidRPr="001C6482">
        <w:rPr>
          <w:rFonts w:asciiTheme="minorHAnsi" w:hAnsiTheme="minorHAnsi" w:cstheme="minorHAnsi"/>
          <w:sz w:val="24"/>
          <w:szCs w:val="24"/>
        </w:rPr>
        <w:br w:type="page"/>
      </w:r>
    </w:p>
    <w:p w:rsidR="000F59F2" w:rsidRPr="001C6482" w:rsidRDefault="000F59F2" w:rsidP="000F59F2">
      <w:pPr>
        <w:rPr>
          <w:rFonts w:asciiTheme="minorHAnsi" w:hAnsiTheme="minorHAnsi" w:cstheme="minorHAnsi"/>
          <w:b/>
          <w:sz w:val="24"/>
          <w:szCs w:val="24"/>
        </w:rPr>
      </w:pPr>
      <w:r w:rsidRPr="001C6482">
        <w:rPr>
          <w:rFonts w:asciiTheme="minorHAnsi" w:hAnsiTheme="minorHAnsi" w:cstheme="minorHAnsi"/>
          <w:iCs/>
          <w:sz w:val="24"/>
          <w:szCs w:val="24"/>
        </w:rPr>
        <w:lastRenderedPageBreak/>
        <w:t>Table A2: Comparison of the differences between the CalibBP and the mean BP of the RefBP and TestBP device (Schiller) with p-values generated by a one-sided Wilcoxon signed-rank test.</w:t>
      </w:r>
    </w:p>
    <w:tbl>
      <w:tblPr>
        <w:tblStyle w:val="2"/>
        <w:tblW w:w="884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61"/>
        <w:gridCol w:w="1531"/>
        <w:gridCol w:w="1531"/>
        <w:gridCol w:w="1531"/>
        <w:gridCol w:w="1531"/>
        <w:gridCol w:w="1361"/>
      </w:tblGrid>
      <w:tr w:rsidR="000F59F2" w:rsidRPr="001C6482" w:rsidTr="00BF068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1" w:type="dxa"/>
          </w:tcPr>
          <w:p w:rsidR="000F59F2" w:rsidRPr="001C6482" w:rsidRDefault="000F59F2" w:rsidP="00BF068C">
            <w:pPr>
              <w:rPr>
                <w:rFonts w:asciiTheme="minorHAnsi" w:hAnsiTheme="minorHAnsi" w:cstheme="minorHAnsi"/>
                <w:sz w:val="24"/>
                <w:szCs w:val="24"/>
              </w:rPr>
            </w:pPr>
          </w:p>
        </w:tc>
        <w:tc>
          <w:tcPr>
            <w:tcW w:w="1531" w:type="dxa"/>
          </w:tcPr>
          <w:p w:rsidR="000F59F2" w:rsidRPr="001C6482" w:rsidRDefault="000F59F2" w:rsidP="00BF06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 xml:space="preserve">RefBP, mmHg; </w:t>
            </w:r>
          </w:p>
          <w:p w:rsidR="000F59F2" w:rsidRPr="001C6482" w:rsidRDefault="000F59F2" w:rsidP="00BF06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mean (SD)</w:t>
            </w:r>
          </w:p>
        </w:tc>
        <w:tc>
          <w:tcPr>
            <w:tcW w:w="1531" w:type="dxa"/>
          </w:tcPr>
          <w:p w:rsidR="000F59F2" w:rsidRPr="001C6482" w:rsidRDefault="000F59F2" w:rsidP="00BF06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RefBP, mmHg;</w:t>
            </w:r>
          </w:p>
          <w:p w:rsidR="000F59F2" w:rsidRPr="001C6482" w:rsidRDefault="000F59F2" w:rsidP="00BF06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range</w:t>
            </w:r>
          </w:p>
        </w:tc>
        <w:tc>
          <w:tcPr>
            <w:tcW w:w="1531" w:type="dxa"/>
          </w:tcPr>
          <w:p w:rsidR="000F59F2" w:rsidRPr="001C6482" w:rsidRDefault="000F59F2" w:rsidP="00BF06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TestBP, mmHg;</w:t>
            </w:r>
          </w:p>
          <w:p w:rsidR="000F59F2" w:rsidRPr="001C6482" w:rsidRDefault="000F59F2" w:rsidP="00BF06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mean (SD)</w:t>
            </w:r>
          </w:p>
        </w:tc>
        <w:tc>
          <w:tcPr>
            <w:tcW w:w="1531" w:type="dxa"/>
          </w:tcPr>
          <w:p w:rsidR="000F59F2" w:rsidRPr="001C6482" w:rsidRDefault="000F59F2" w:rsidP="00BF06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TestBP, mmHg; range</w:t>
            </w:r>
          </w:p>
        </w:tc>
        <w:tc>
          <w:tcPr>
            <w:tcW w:w="1361" w:type="dxa"/>
          </w:tcPr>
          <w:p w:rsidR="000F59F2" w:rsidRPr="001C6482" w:rsidRDefault="000F59F2" w:rsidP="00BF068C">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 xml:space="preserve">p-value </w:t>
            </w:r>
          </w:p>
        </w:tc>
      </w:tr>
      <w:tr w:rsidR="000F59F2" w:rsidRPr="001C6482" w:rsidTr="00BF06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1"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 xml:space="preserve">sCalibBP - s24hBP </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7.4 (13.2)</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-35 – 55</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1.1  (8.1)</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-16 – 34</w:t>
            </w:r>
          </w:p>
        </w:tc>
        <w:tc>
          <w:tcPr>
            <w:tcW w:w="136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trHeight w:val="340"/>
        </w:trPr>
        <w:tc>
          <w:tcPr>
            <w:cnfStyle w:val="001000000000" w:firstRow="0" w:lastRow="0" w:firstColumn="1" w:lastColumn="0" w:oddVBand="0" w:evenVBand="0" w:oddHBand="0" w:evenHBand="0" w:firstRowFirstColumn="0" w:firstRowLastColumn="0" w:lastRowFirstColumn="0" w:lastRowLastColumn="0"/>
            <w:tcW w:w="1361"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 xml:space="preserve">sCalibBP - sAwakeBP </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3.5 (13.3)</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-33 – 51</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-2.4 (7.5)</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-25 – 28</w:t>
            </w:r>
          </w:p>
        </w:tc>
        <w:tc>
          <w:tcPr>
            <w:tcW w:w="136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1"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 xml:space="preserve">sCalibBP -  sAsleepBP </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17.5 (15.6)</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-41 – 65</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6.0 (10.5)</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-14 – 39</w:t>
            </w:r>
          </w:p>
        </w:tc>
        <w:tc>
          <w:tcPr>
            <w:tcW w:w="136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trHeight w:val="340"/>
        </w:trPr>
        <w:tc>
          <w:tcPr>
            <w:cnfStyle w:val="001000000000" w:firstRow="0" w:lastRow="0" w:firstColumn="1" w:lastColumn="0" w:oddVBand="0" w:evenVBand="0" w:oddHBand="0" w:evenHBand="0" w:firstRowFirstColumn="0" w:firstRowLastColumn="0" w:lastRowFirstColumn="0" w:lastRowLastColumn="0"/>
            <w:tcW w:w="1361"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dCalibBP - d24hBP</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6.6 (6.8)</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-12 – 32</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1.0 (5.8)</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-24 – 27</w:t>
            </w:r>
          </w:p>
        </w:tc>
        <w:tc>
          <w:tcPr>
            <w:tcW w:w="1361" w:type="dxa"/>
          </w:tcPr>
          <w:p w:rsidR="000F59F2" w:rsidRPr="001C6482" w:rsidRDefault="000F59F2" w:rsidP="00BF06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1"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 xml:space="preserve">dCalibBP - dAwakeBP </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3.3 (7.0)</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color w:val="000000"/>
                <w:sz w:val="24"/>
                <w:szCs w:val="24"/>
              </w:rPr>
              <w:t>-12 – 29</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-1.7 (5.1)</w:t>
            </w:r>
          </w:p>
        </w:tc>
        <w:tc>
          <w:tcPr>
            <w:tcW w:w="1531" w:type="dxa"/>
          </w:tcPr>
          <w:p w:rsidR="000F59F2" w:rsidRPr="001C6482" w:rsidRDefault="000F59F2" w:rsidP="00BF0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-28 – 24</w:t>
            </w:r>
          </w:p>
        </w:tc>
        <w:tc>
          <w:tcPr>
            <w:tcW w:w="1361" w:type="dxa"/>
          </w:tcPr>
          <w:p w:rsidR="000F59F2" w:rsidRPr="001C6482" w:rsidRDefault="000F59F2" w:rsidP="00BF06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r w:rsidR="000F59F2" w:rsidRPr="001C6482" w:rsidTr="00BF068C">
        <w:trPr>
          <w:trHeight w:val="340"/>
        </w:trPr>
        <w:tc>
          <w:tcPr>
            <w:cnfStyle w:val="001000000000" w:firstRow="0" w:lastRow="0" w:firstColumn="1" w:lastColumn="0" w:oddVBand="0" w:evenVBand="0" w:oddHBand="0" w:evenHBand="0" w:firstRowFirstColumn="0" w:firstRowLastColumn="0" w:lastRowFirstColumn="0" w:lastRowLastColumn="0"/>
            <w:tcW w:w="1361" w:type="dxa"/>
          </w:tcPr>
          <w:p w:rsidR="000F59F2" w:rsidRPr="001C6482" w:rsidRDefault="000F59F2" w:rsidP="00BF068C">
            <w:pPr>
              <w:rPr>
                <w:rFonts w:asciiTheme="minorHAnsi" w:hAnsiTheme="minorHAnsi" w:cstheme="minorHAnsi"/>
                <w:sz w:val="24"/>
                <w:szCs w:val="24"/>
              </w:rPr>
            </w:pPr>
            <w:r w:rsidRPr="001C6482">
              <w:rPr>
                <w:rFonts w:asciiTheme="minorHAnsi" w:hAnsiTheme="minorHAnsi" w:cstheme="minorHAnsi"/>
                <w:sz w:val="24"/>
                <w:szCs w:val="24"/>
              </w:rPr>
              <w:t xml:space="preserve">dCalibBP - dAsleepBP </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15.1 (8.7)</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-15 – 41</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4.7 (7.6)</w:t>
            </w:r>
          </w:p>
        </w:tc>
        <w:tc>
          <w:tcPr>
            <w:tcW w:w="1531" w:type="dxa"/>
          </w:tcPr>
          <w:p w:rsidR="000F59F2" w:rsidRPr="001C6482" w:rsidRDefault="000F59F2" w:rsidP="00BF0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-21 – 33</w:t>
            </w:r>
          </w:p>
        </w:tc>
        <w:tc>
          <w:tcPr>
            <w:tcW w:w="1361" w:type="dxa"/>
          </w:tcPr>
          <w:p w:rsidR="000F59F2" w:rsidRPr="001C6482" w:rsidRDefault="000F59F2" w:rsidP="00BF068C">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C6482">
              <w:rPr>
                <w:rFonts w:asciiTheme="minorHAnsi" w:hAnsiTheme="minorHAnsi" w:cstheme="minorHAnsi"/>
                <w:sz w:val="24"/>
                <w:szCs w:val="24"/>
              </w:rPr>
              <w:t>&lt;0.0001</w:t>
            </w:r>
          </w:p>
        </w:tc>
      </w:tr>
    </w:tbl>
    <w:p w:rsidR="000F59F2" w:rsidRPr="001C6482" w:rsidRDefault="000F59F2" w:rsidP="000F59F2">
      <w:pPr>
        <w:rPr>
          <w:rFonts w:asciiTheme="minorHAnsi" w:hAnsiTheme="minorHAnsi" w:cstheme="minorHAnsi"/>
          <w:iCs/>
          <w:sz w:val="24"/>
          <w:szCs w:val="24"/>
        </w:rPr>
      </w:pPr>
    </w:p>
    <w:p w:rsidR="000F59F2" w:rsidRPr="001C6482" w:rsidRDefault="000F59F2" w:rsidP="000F59F2">
      <w:pPr>
        <w:rPr>
          <w:rFonts w:asciiTheme="minorHAnsi" w:hAnsiTheme="minorHAnsi" w:cstheme="minorHAnsi"/>
          <w:iCs/>
          <w:sz w:val="24"/>
          <w:szCs w:val="24"/>
        </w:rPr>
      </w:pPr>
      <w:r w:rsidRPr="001C6482">
        <w:rPr>
          <w:rFonts w:asciiTheme="minorHAnsi" w:hAnsiTheme="minorHAnsi" w:cstheme="minorHAnsi"/>
          <w:iCs/>
          <w:sz w:val="24"/>
          <w:szCs w:val="24"/>
        </w:rPr>
        <w:t xml:space="preserve">Data are mean (± standard deviation) or range. BP blood pressure, CalibBP calibration BP measurement, d diastolic, RefBP standard cuff-based BP measurement, s systolic, TestBP cuffless BP measurement. </w:t>
      </w:r>
    </w:p>
    <w:p w:rsidR="000F59F2" w:rsidRPr="001C6482" w:rsidRDefault="000F59F2">
      <w:pPr>
        <w:rPr>
          <w:rFonts w:asciiTheme="minorHAnsi" w:hAnsiTheme="minorHAnsi" w:cstheme="minorHAnsi"/>
          <w:sz w:val="24"/>
          <w:szCs w:val="24"/>
        </w:rPr>
      </w:pPr>
    </w:p>
    <w:sectPr w:rsidR="000F59F2" w:rsidRPr="001C6482" w:rsidSect="000E76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8F" w:rsidRDefault="00296C8F" w:rsidP="00296C8F">
      <w:pPr>
        <w:spacing w:after="0" w:line="240" w:lineRule="auto"/>
      </w:pPr>
      <w:r>
        <w:separator/>
      </w:r>
    </w:p>
  </w:endnote>
  <w:endnote w:type="continuationSeparator" w:id="0">
    <w:p w:rsidR="00296C8F" w:rsidRDefault="00296C8F" w:rsidP="0029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49" w:rsidRDefault="007B06F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49" w:rsidRDefault="007B06F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49" w:rsidRDefault="007B06F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8F" w:rsidRDefault="00296C8F" w:rsidP="00296C8F">
      <w:pPr>
        <w:spacing w:after="0" w:line="240" w:lineRule="auto"/>
      </w:pPr>
      <w:r>
        <w:separator/>
      </w:r>
    </w:p>
  </w:footnote>
  <w:footnote w:type="continuationSeparator" w:id="0">
    <w:p w:rsidR="00296C8F" w:rsidRDefault="00296C8F" w:rsidP="00296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49" w:rsidRDefault="007B06F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49" w:rsidRDefault="007B06F0">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49" w:rsidRDefault="007B06F0">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82"/>
    <w:rsid w:val="000F59F2"/>
    <w:rsid w:val="001C6482"/>
    <w:rsid w:val="00296C8F"/>
    <w:rsid w:val="0072163E"/>
    <w:rsid w:val="007B06F0"/>
    <w:rsid w:val="007F07D2"/>
    <w:rsid w:val="008145F0"/>
    <w:rsid w:val="00A934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7F45"/>
  <w15:chartTrackingRefBased/>
  <w15:docId w15:val="{50895A1C-A486-4547-95E7-172B94C7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C6482"/>
    <w:pPr>
      <w:spacing w:line="480" w:lineRule="auto"/>
    </w:pPr>
    <w:rPr>
      <w:rFonts w:ascii="Calibri" w:eastAsia="Calibri" w:hAnsi="Calibri" w:cs="Calibri"/>
      <w:lang w:val="en-US"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3">
    <w:name w:val="3"/>
    <w:basedOn w:val="NormaleTabelle"/>
    <w:rsid w:val="001C6482"/>
    <w:pPr>
      <w:spacing w:after="0" w:line="240" w:lineRule="auto"/>
    </w:pPr>
    <w:rPr>
      <w:rFonts w:ascii="Calibri" w:eastAsia="Calibri" w:hAnsi="Calibri" w:cs="Calibri"/>
      <w:lang w:val="en-US" w:eastAsia="de-CH"/>
    </w:rPr>
    <w:tblPr>
      <w:tblStyleRowBandSize w:val="1"/>
      <w:tblStyleColBandSize w:val="1"/>
      <w:tblInd w:w="0" w:type="nil"/>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
    <w:name w:val="2"/>
    <w:basedOn w:val="NormaleTabelle"/>
    <w:rsid w:val="001C6482"/>
    <w:pPr>
      <w:spacing w:after="0" w:line="240" w:lineRule="auto"/>
    </w:pPr>
    <w:rPr>
      <w:rFonts w:ascii="Calibri" w:eastAsia="Calibri" w:hAnsi="Calibri" w:cs="Calibri"/>
      <w:lang w:val="en-US" w:eastAsia="de-CH"/>
    </w:rPr>
    <w:tblPr>
      <w:tblStyleRowBandSize w:val="1"/>
      <w:tblStyleColBandSize w:val="1"/>
      <w:tblInd w:w="0" w:type="nil"/>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KeinLeerraum">
    <w:name w:val="No Spacing"/>
    <w:uiPriority w:val="1"/>
    <w:qFormat/>
    <w:rsid w:val="001C6482"/>
    <w:pPr>
      <w:spacing w:after="0" w:line="240" w:lineRule="auto"/>
    </w:pPr>
    <w:rPr>
      <w:rFonts w:ascii="Calibri" w:eastAsia="Calibri" w:hAnsi="Calibri" w:cs="Calibri"/>
      <w:lang w:val="en-US" w:eastAsia="de-CH"/>
    </w:rPr>
  </w:style>
  <w:style w:type="paragraph" w:styleId="Kopfzeile">
    <w:name w:val="header"/>
    <w:basedOn w:val="Standard"/>
    <w:link w:val="KopfzeileZchn"/>
    <w:uiPriority w:val="99"/>
    <w:unhideWhenUsed/>
    <w:rsid w:val="001C6482"/>
    <w:pPr>
      <w:tabs>
        <w:tab w:val="center" w:pos="4680"/>
        <w:tab w:val="right" w:pos="9360"/>
      </w:tabs>
      <w:spacing w:after="0" w:line="240" w:lineRule="auto"/>
    </w:pPr>
    <w:rPr>
      <w:rFonts w:asciiTheme="minorHAnsi" w:eastAsiaTheme="minorEastAsia" w:hAnsiTheme="minorHAnsi" w:cs="Times New Roman"/>
      <w:lang w:val="de-CH"/>
    </w:rPr>
  </w:style>
  <w:style w:type="character" w:customStyle="1" w:styleId="KopfzeileZchn">
    <w:name w:val="Kopfzeile Zchn"/>
    <w:basedOn w:val="Absatz-Standardschriftart"/>
    <w:link w:val="Kopfzeile"/>
    <w:uiPriority w:val="99"/>
    <w:rsid w:val="001C6482"/>
    <w:rPr>
      <w:rFonts w:eastAsiaTheme="minorEastAsia"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Burkard Thilo, PD Dr.</dc:creator>
  <cp:keywords/>
  <dc:description/>
  <cp:lastModifiedBy>Burkard Thilo, PD Dr.</cp:lastModifiedBy>
  <cp:revision>4</cp:revision>
  <dcterms:created xsi:type="dcterms:W3CDTF">2023-07-27T14:32:00Z</dcterms:created>
  <dcterms:modified xsi:type="dcterms:W3CDTF">2023-11-10T12:55:00Z</dcterms:modified>
</cp:coreProperties>
</file>