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08" w:rsidRDefault="00626308" w:rsidP="00626308">
      <w:pPr>
        <w:ind w:left="-1350"/>
        <w:rPr>
          <w:noProof/>
        </w:rPr>
      </w:pPr>
      <w:r>
        <w:rPr>
          <w:noProof/>
          <w:lang w:val="en-A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9525</wp:posOffset>
            </wp:positionV>
            <wp:extent cx="7665105" cy="4352925"/>
            <wp:effectExtent l="0" t="0" r="0" b="0"/>
            <wp:wrapNone/>
            <wp:docPr id="59" name="Picture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0833531-8585-496B-8710-EBA75C95DB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C0833531-8585-496B-8710-EBA75C95DB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10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308" w:rsidRDefault="00626308" w:rsidP="00626308">
      <w:pPr>
        <w:ind w:left="-1350"/>
        <w:rPr>
          <w:noProof/>
        </w:rPr>
      </w:pPr>
    </w:p>
    <w:p w:rsidR="00626308" w:rsidRDefault="00626308" w:rsidP="00626308">
      <w:pPr>
        <w:ind w:left="-1350"/>
        <w:rPr>
          <w:noProof/>
        </w:rPr>
      </w:pPr>
    </w:p>
    <w:p w:rsidR="0053572B" w:rsidRDefault="0053572B" w:rsidP="00626308">
      <w:pPr>
        <w:ind w:left="-1350"/>
      </w:pPr>
    </w:p>
    <w:p w:rsidR="00626308" w:rsidRDefault="00626308" w:rsidP="00626308">
      <w:pPr>
        <w:ind w:left="-1350"/>
      </w:pPr>
    </w:p>
    <w:p w:rsidR="00626308" w:rsidRDefault="00626308" w:rsidP="00626308">
      <w:pPr>
        <w:ind w:left="-1350"/>
      </w:pPr>
    </w:p>
    <w:p w:rsidR="00626308" w:rsidRDefault="00626308" w:rsidP="00626308">
      <w:pPr>
        <w:ind w:left="-1350"/>
      </w:pPr>
    </w:p>
    <w:p w:rsidR="00626308" w:rsidRDefault="00626308" w:rsidP="00626308">
      <w:pPr>
        <w:ind w:left="-1350"/>
      </w:pPr>
    </w:p>
    <w:p w:rsidR="00626308" w:rsidRDefault="00626308" w:rsidP="00626308">
      <w:pPr>
        <w:ind w:left="-1350"/>
      </w:pPr>
    </w:p>
    <w:p w:rsidR="00626308" w:rsidRDefault="00626308" w:rsidP="00626308">
      <w:pPr>
        <w:ind w:left="-1350"/>
      </w:pPr>
    </w:p>
    <w:p w:rsidR="00626308" w:rsidRDefault="00626308" w:rsidP="00626308">
      <w:pPr>
        <w:ind w:left="-1350"/>
      </w:pPr>
    </w:p>
    <w:p w:rsidR="00626308" w:rsidRPr="00626308" w:rsidRDefault="00626308" w:rsidP="00DE1714">
      <w:pPr>
        <w:spacing w:line="480" w:lineRule="auto"/>
        <w:ind w:left="0" w:right="-720"/>
        <w:rPr>
          <w:b/>
          <w:bCs/>
        </w:rPr>
      </w:pPr>
      <w:r w:rsidRPr="00626308">
        <w:rPr>
          <w:b/>
          <w:bCs/>
        </w:rPr>
        <w:t>Figure 1. Ang II upregulated miR-320-3p expression in H9c2 cardiomyoblasts</w:t>
      </w:r>
    </w:p>
    <w:p w:rsidR="00626308" w:rsidRDefault="006A2F0C" w:rsidP="00DE1714">
      <w:pPr>
        <w:spacing w:before="0" w:beforeAutospacing="0" w:after="0" w:afterAutospacing="0" w:line="480" w:lineRule="auto"/>
        <w:ind w:left="0" w:right="4"/>
        <w:jc w:val="both"/>
        <w:rPr>
          <w:rFonts w:asciiTheme="majorBidi" w:hAnsiTheme="majorBidi" w:cstheme="majorBidi"/>
          <w:kern w:val="2"/>
        </w:rPr>
      </w:pPr>
      <w:bookmarkStart w:id="0" w:name="_Hlk109139263"/>
      <w:r>
        <w:rPr>
          <w:rFonts w:cs="Times New Roman" w:hint="eastAsia"/>
          <w:kern w:val="2"/>
          <w:szCs w:val="22"/>
        </w:rPr>
        <w:t xml:space="preserve">The </w:t>
      </w:r>
      <w:r w:rsidR="002C7AD1">
        <w:rPr>
          <w:rFonts w:cs="Times New Roman"/>
          <w:kern w:val="2"/>
          <w:szCs w:val="22"/>
        </w:rPr>
        <w:t xml:space="preserve">miR-320-3p </w:t>
      </w:r>
      <w:r w:rsidR="002C7AD1" w:rsidRPr="00181CB9">
        <w:rPr>
          <w:rFonts w:cs="Times New Roman"/>
          <w:kern w:val="2"/>
          <w:szCs w:val="22"/>
        </w:rPr>
        <w:t xml:space="preserve">fold-change </w:t>
      </w:r>
      <w:proofErr w:type="spellStart"/>
      <w:r w:rsidR="002C7AD1">
        <w:rPr>
          <w:rFonts w:cs="Times New Roman"/>
          <w:kern w:val="2"/>
          <w:szCs w:val="22"/>
        </w:rPr>
        <w:t>qPCR</w:t>
      </w:r>
      <w:proofErr w:type="spellEnd"/>
      <w:r w:rsidR="002C7AD1" w:rsidRPr="00181CB9">
        <w:rPr>
          <w:rFonts w:cs="Times New Roman"/>
          <w:kern w:val="2"/>
          <w:szCs w:val="22"/>
        </w:rPr>
        <w:t xml:space="preserve"> quantification </w:t>
      </w:r>
      <w:r w:rsidR="002C7AD1">
        <w:rPr>
          <w:rFonts w:cs="Times New Roman"/>
          <w:kern w:val="2"/>
          <w:szCs w:val="22"/>
        </w:rPr>
        <w:t xml:space="preserve">in </w:t>
      </w:r>
      <w:proofErr w:type="spellStart"/>
      <w:r w:rsidR="002C7AD1">
        <w:rPr>
          <w:rFonts w:cs="Times New Roman"/>
          <w:kern w:val="2"/>
          <w:szCs w:val="22"/>
        </w:rPr>
        <w:t>Ang</w:t>
      </w:r>
      <w:proofErr w:type="spellEnd"/>
      <w:r w:rsidR="002C7AD1">
        <w:rPr>
          <w:rFonts w:cs="Times New Roman"/>
          <w:kern w:val="2"/>
          <w:szCs w:val="22"/>
        </w:rPr>
        <w:t xml:space="preserve"> II and Losartan treated H9c2 cardiomyoblasts</w:t>
      </w:r>
      <w:bookmarkEnd w:id="0"/>
      <w:r w:rsidR="002C7AD1">
        <w:rPr>
          <w:rFonts w:cs="Times New Roman"/>
          <w:kern w:val="2"/>
          <w:szCs w:val="22"/>
        </w:rPr>
        <w:t>.</w:t>
      </w:r>
      <w:r w:rsidR="002C7AD1" w:rsidRPr="00AA732A">
        <w:rPr>
          <w:rFonts w:asciiTheme="majorBidi" w:hAnsiTheme="majorBidi" w:cstheme="majorBidi"/>
          <w:kern w:val="2"/>
        </w:rPr>
        <w:t xml:space="preserve"> (A) The expression of miR-320-3p was increased in Ang II-exposed H9c2 cardiomyoblasts. (B) The increase in mir-320-3p was even more significant over time in Ang II-exposed H9c2 cardiomyoblasts. (C) The increased level of mir-320-3p was reduced by losartan (AT1R inhibitor).</w:t>
      </w:r>
      <w:r w:rsidR="002C7AD1" w:rsidRPr="009A22D1">
        <w:rPr>
          <w:rFonts w:asciiTheme="majorBidi" w:hAnsiTheme="majorBidi" w:cstheme="majorBidi"/>
          <w:kern w:val="2"/>
        </w:rPr>
        <w:t xml:space="preserve"> </w:t>
      </w:r>
      <w:r w:rsidR="005D0C64" w:rsidRPr="005D0C64">
        <w:rPr>
          <w:rFonts w:asciiTheme="majorBidi" w:hAnsiTheme="majorBidi" w:cstheme="majorBidi"/>
          <w:kern w:val="2"/>
        </w:rPr>
        <w:t xml:space="preserve">(The expression levels of mir-320-3p were normalized to </w:t>
      </w:r>
      <w:r w:rsidR="005D0C64">
        <w:rPr>
          <w:rFonts w:asciiTheme="majorBidi" w:hAnsiTheme="majorBidi" w:cstheme="majorBidi"/>
          <w:kern w:val="2"/>
        </w:rPr>
        <w:t xml:space="preserve">GAPDH </w:t>
      </w:r>
      <w:r w:rsidR="005D0C64" w:rsidRPr="005D0C64">
        <w:rPr>
          <w:rFonts w:asciiTheme="majorBidi" w:hAnsiTheme="majorBidi" w:cstheme="majorBidi"/>
          <w:kern w:val="2"/>
        </w:rPr>
        <w:t>internal control expression level. The results are expressed mir-320-3p fold change in treated groups compared to the control</w:t>
      </w:r>
      <w:r w:rsidR="002C7AD1">
        <w:rPr>
          <w:rFonts w:asciiTheme="majorBidi" w:hAnsiTheme="majorBidi" w:cstheme="majorBidi"/>
          <w:kern w:val="2"/>
        </w:rPr>
        <w:t xml:space="preserve">. </w:t>
      </w:r>
      <w:r w:rsidR="002C7AD1" w:rsidRPr="000D3063">
        <w:rPr>
          <w:rFonts w:asciiTheme="majorBidi" w:hAnsiTheme="majorBidi" w:cstheme="majorBidi"/>
          <w:kern w:val="2"/>
        </w:rPr>
        <w:t>Data are represented as mean ± standard deviation from three independent experiments (ns: not si</w:t>
      </w:r>
      <w:r>
        <w:rPr>
          <w:rFonts w:asciiTheme="majorBidi" w:hAnsiTheme="majorBidi" w:cstheme="majorBidi"/>
          <w:kern w:val="2"/>
        </w:rPr>
        <w:t>gnificant, *P &lt; 0.05, **P &lt; 0.01, ***P &lt; 0.0</w:t>
      </w:r>
      <w:r w:rsidR="002C7AD1" w:rsidRPr="000D3063">
        <w:rPr>
          <w:rFonts w:asciiTheme="majorBidi" w:hAnsiTheme="majorBidi" w:cstheme="majorBidi"/>
          <w:kern w:val="2"/>
        </w:rPr>
        <w:t>01)).</w:t>
      </w:r>
    </w:p>
    <w:p w:rsidR="00DE1714" w:rsidRDefault="00DE1714" w:rsidP="006A2F0C">
      <w:pPr>
        <w:spacing w:before="0" w:beforeAutospacing="0" w:after="0" w:afterAutospacing="0" w:line="480" w:lineRule="auto"/>
        <w:ind w:left="0" w:right="4"/>
        <w:jc w:val="both"/>
        <w:rPr>
          <w:rFonts w:asciiTheme="majorBidi" w:hAnsiTheme="majorBidi" w:cstheme="majorBidi"/>
          <w:b/>
          <w:kern w:val="2"/>
        </w:rPr>
      </w:pPr>
      <w:r w:rsidRPr="00DE1714">
        <w:rPr>
          <w:rFonts w:asciiTheme="majorBidi" w:hAnsiTheme="majorBidi" w:cstheme="majorBidi"/>
          <w:b/>
          <w:noProof/>
          <w:kern w:val="2"/>
          <w:lang w:val="en-AU"/>
        </w:rPr>
        <w:lastRenderedPageBreak/>
        <w:drawing>
          <wp:inline distT="0" distB="0" distL="0" distR="0">
            <wp:extent cx="5943600" cy="5073650"/>
            <wp:effectExtent l="0" t="0" r="0" b="0"/>
            <wp:docPr id="25" name="Object 2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470600" cy="26865322"/>
                      <a:chOff x="-22326600" y="-6367522"/>
                      <a:chExt cx="31470600" cy="26865322"/>
                    </a:xfrm>
                  </a:grpSpPr>
                  <a:grpSp>
                    <a:nvGrpSpPr>
                      <a:cNvPr id="4" name="Group 3"/>
                      <a:cNvGrpSpPr/>
                    </a:nvGrpSpPr>
                    <a:grpSpPr>
                      <a:xfrm>
                        <a:off x="-22326600" y="-6367522"/>
                        <a:ext cx="31470600" cy="26865322"/>
                        <a:chOff x="-22326600" y="-6367522"/>
                        <a:chExt cx="31470600" cy="26865322"/>
                      </a:xfrm>
                    </a:grpSpPr>
                    <a:pic>
                      <a:nvPicPr>
                        <a:cNvPr id="2" name="Picture 1"/>
                        <a:cNvPicPr/>
                      </a:nvPicPr>
                      <a:blipFill>
                        <a:blip r:embed="rId5" cstate="print">
                          <a:extLst>
                            <a:ext uri="{28A0092B-C50C-407E-A947-70E740481C1C}">
                              <a14:useLocalDpi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-1281" b="-3810"/>
                        <a:stretch>
                          <a:fillRect/>
                        </a:stretch>
                      </a:blipFill>
                      <a:spPr bwMode="auto">
                        <a:xfrm>
                          <a:off x="-22326600" y="-5181600"/>
                          <a:ext cx="31470600" cy="256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</a:pic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-20878800" y="-6367522"/>
                          <a:ext cx="6172200" cy="286232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8000" b="1" dirty="0" smtClean="0"/>
                              <a:t>(A)</a:t>
                            </a:r>
                            <a:endParaRPr lang="en-AU" sz="180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 w:rsidRPr="00DE1714">
        <w:rPr>
          <w:noProof/>
          <w:lang w:val="en-AU"/>
        </w:rPr>
        <w:t xml:space="preserve"> </w:t>
      </w:r>
      <w:r w:rsidRPr="00DE1714">
        <w:rPr>
          <w:rFonts w:asciiTheme="majorBidi" w:hAnsiTheme="majorBidi" w:cstheme="majorBidi"/>
          <w:b/>
          <w:noProof/>
          <w:kern w:val="2"/>
          <w:lang w:val="en-AU"/>
        </w:rPr>
        <w:drawing>
          <wp:inline distT="0" distB="0" distL="0" distR="0">
            <wp:extent cx="5943600" cy="4950460"/>
            <wp:effectExtent l="0" t="0" r="0" b="0"/>
            <wp:docPr id="27" name="Object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471200" cy="26212200"/>
                      <a:chOff x="9144000" y="-5486400"/>
                      <a:chExt cx="31471200" cy="26212200"/>
                    </a:xfrm>
                  </a:grpSpPr>
                  <a:grpSp>
                    <a:nvGrpSpPr>
                      <a:cNvPr id="7" name="Group 6"/>
                      <a:cNvGrpSpPr/>
                    </a:nvGrpSpPr>
                    <a:grpSpPr>
                      <a:xfrm>
                        <a:off x="9144000" y="-5486400"/>
                        <a:ext cx="31471200" cy="26212200"/>
                        <a:chOff x="9144000" y="-5486400"/>
                        <a:chExt cx="31471200" cy="26212200"/>
                      </a:xfrm>
                    </a:grpSpPr>
                    <a:pic>
                      <a:nvPicPr>
                        <a:cNvPr id="5" name="Picture 4"/>
                        <a:cNvPicPr/>
                      </a:nvPicPr>
                      <a:blipFill>
                        <a:blip r:embed="rId6" cstate="print">
                          <a:extLst>
                            <a:ext uri="{28A0092B-C50C-407E-A947-70E740481C1C}">
                              <a14:useLocalDpi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144000" y="-4953000"/>
                          <a:ext cx="31471200" cy="2567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a:spPr>
                    </a:pic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9144000" y="-5486400"/>
                          <a:ext cx="6172200" cy="286232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8000" b="1" dirty="0" smtClean="0"/>
                              <a:t>(B)</a:t>
                            </a:r>
                            <a:endParaRPr lang="en-AU" sz="18000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A2F0C" w:rsidRPr="006A2F0C" w:rsidRDefault="006A2F0C" w:rsidP="006A2F0C">
      <w:pPr>
        <w:spacing w:before="0" w:beforeAutospacing="0" w:after="0" w:afterAutospacing="0" w:line="480" w:lineRule="auto"/>
        <w:ind w:left="0" w:right="4"/>
        <w:jc w:val="both"/>
        <w:rPr>
          <w:rFonts w:cs="Times New Roman"/>
          <w:b/>
          <w:bCs/>
        </w:rPr>
      </w:pPr>
      <w:proofErr w:type="gramStart"/>
      <w:r w:rsidRPr="006A2F0C">
        <w:rPr>
          <w:rFonts w:asciiTheme="majorBidi" w:hAnsiTheme="majorBidi" w:cstheme="majorBidi" w:hint="eastAsia"/>
          <w:b/>
          <w:kern w:val="2"/>
        </w:rPr>
        <w:t>Figure 2.</w:t>
      </w:r>
      <w:proofErr w:type="gramEnd"/>
      <w:r w:rsidRPr="006A2F0C">
        <w:rPr>
          <w:rFonts w:asciiTheme="majorBidi" w:hAnsiTheme="majorBidi" w:cstheme="majorBidi" w:hint="eastAsia"/>
          <w:b/>
          <w:kern w:val="2"/>
        </w:rPr>
        <w:t xml:space="preserve"> </w:t>
      </w:r>
      <w:r w:rsidRPr="006A2F0C">
        <w:rPr>
          <w:rFonts w:cs="Times New Roman"/>
          <w:b/>
          <w:bCs/>
        </w:rPr>
        <w:t xml:space="preserve">The PI3K-AKT pathway in </w:t>
      </w:r>
      <w:proofErr w:type="spellStart"/>
      <w:r w:rsidRPr="006A2F0C">
        <w:rPr>
          <w:rFonts w:cs="Times New Roman"/>
          <w:b/>
          <w:bCs/>
        </w:rPr>
        <w:t>Ang</w:t>
      </w:r>
      <w:proofErr w:type="spellEnd"/>
      <w:r w:rsidRPr="006A2F0C">
        <w:rPr>
          <w:rFonts w:cs="Times New Roman"/>
          <w:b/>
          <w:bCs/>
        </w:rPr>
        <w:t xml:space="preserve"> II-exposed H9c2 </w:t>
      </w:r>
      <w:proofErr w:type="spellStart"/>
      <w:r w:rsidRPr="006A2F0C">
        <w:rPr>
          <w:rFonts w:cs="Times New Roman"/>
          <w:b/>
          <w:bCs/>
        </w:rPr>
        <w:t>cardiomyoblasts</w:t>
      </w:r>
      <w:proofErr w:type="spellEnd"/>
      <w:r w:rsidRPr="006A2F0C">
        <w:rPr>
          <w:rFonts w:cs="Times New Roman"/>
          <w:b/>
          <w:bCs/>
        </w:rPr>
        <w:t xml:space="preserve"> </w:t>
      </w:r>
      <w:r w:rsidRPr="006A2F0C">
        <w:rPr>
          <w:rFonts w:cs="Times New Roman" w:hint="eastAsia"/>
          <w:b/>
          <w:bCs/>
        </w:rPr>
        <w:t>was</w:t>
      </w:r>
      <w:r w:rsidRPr="006A2F0C">
        <w:rPr>
          <w:rFonts w:cs="Times New Roman"/>
          <w:b/>
          <w:bCs/>
        </w:rPr>
        <w:t xml:space="preserve"> regulated </w:t>
      </w:r>
    </w:p>
    <w:p w:rsidR="006A2F0C" w:rsidRPr="006A2F0C" w:rsidRDefault="006A2F0C" w:rsidP="006A2F0C">
      <w:pPr>
        <w:spacing w:before="0" w:beforeAutospacing="0" w:after="0" w:afterAutospacing="0" w:line="480" w:lineRule="auto"/>
        <w:ind w:left="0" w:right="-720"/>
        <w:jc w:val="both"/>
        <w:rPr>
          <w:rFonts w:asciiTheme="majorBidi" w:hAnsiTheme="majorBidi" w:cstheme="majorBidi"/>
          <w:b/>
          <w:kern w:val="2"/>
        </w:rPr>
      </w:pPr>
      <w:proofErr w:type="gramStart"/>
      <w:r w:rsidRPr="006A2F0C">
        <w:rPr>
          <w:rFonts w:cs="Times New Roman" w:hint="eastAsia"/>
          <w:b/>
          <w:bCs/>
        </w:rPr>
        <w:t>by</w:t>
      </w:r>
      <w:proofErr w:type="gramEnd"/>
      <w:r w:rsidRPr="006A2F0C">
        <w:rPr>
          <w:rFonts w:cs="Times New Roman"/>
          <w:b/>
          <w:bCs/>
        </w:rPr>
        <w:t xml:space="preserve"> miR-320-3p</w:t>
      </w:r>
    </w:p>
    <w:p w:rsidR="006A2F0C" w:rsidRPr="00EB728C" w:rsidRDefault="006A2F0C" w:rsidP="00DE1714">
      <w:pPr>
        <w:spacing w:line="480" w:lineRule="auto"/>
        <w:ind w:left="0" w:right="4"/>
        <w:jc w:val="both"/>
        <w:rPr>
          <w:rFonts w:asciiTheme="majorBidi" w:hAnsiTheme="majorBidi" w:cstheme="majorBidi"/>
          <w:kern w:val="2"/>
        </w:rPr>
      </w:pPr>
      <w:r>
        <w:rPr>
          <w:rFonts w:asciiTheme="majorBidi" w:hAnsiTheme="majorBidi" w:cstheme="majorBidi"/>
          <w:kern w:val="2"/>
        </w:rPr>
        <w:t>(</w:t>
      </w:r>
      <w:r>
        <w:rPr>
          <w:rFonts w:asciiTheme="majorBidi" w:hAnsiTheme="majorBidi" w:cstheme="majorBidi" w:hint="eastAsia"/>
          <w:kern w:val="2"/>
        </w:rPr>
        <w:t>A</w:t>
      </w:r>
      <w:r w:rsidRPr="00EB728C">
        <w:rPr>
          <w:rFonts w:asciiTheme="majorBidi" w:hAnsiTheme="majorBidi" w:cstheme="majorBidi"/>
          <w:kern w:val="2"/>
        </w:rPr>
        <w:t xml:space="preserve">) The expression of PI3K and </w:t>
      </w:r>
      <w:proofErr w:type="spellStart"/>
      <w:r w:rsidRPr="00EB728C">
        <w:rPr>
          <w:rFonts w:asciiTheme="majorBidi" w:hAnsiTheme="majorBidi" w:cstheme="majorBidi"/>
          <w:kern w:val="2"/>
        </w:rPr>
        <w:t>Akt</w:t>
      </w:r>
      <w:proofErr w:type="spellEnd"/>
      <w:r w:rsidRPr="00EB728C">
        <w:rPr>
          <w:rFonts w:asciiTheme="majorBidi" w:hAnsiTheme="majorBidi" w:cstheme="majorBidi"/>
          <w:kern w:val="2"/>
        </w:rPr>
        <w:t xml:space="preserve"> was </w:t>
      </w:r>
      <w:proofErr w:type="spellStart"/>
      <w:r w:rsidRPr="00EB728C">
        <w:rPr>
          <w:rFonts w:asciiTheme="majorBidi" w:hAnsiTheme="majorBidi" w:cstheme="majorBidi"/>
          <w:kern w:val="2"/>
        </w:rPr>
        <w:t>downregulated</w:t>
      </w:r>
      <w:proofErr w:type="spellEnd"/>
      <w:r w:rsidRPr="00EB728C">
        <w:rPr>
          <w:rFonts w:asciiTheme="majorBidi" w:hAnsiTheme="majorBidi" w:cstheme="majorBidi"/>
          <w:kern w:val="2"/>
        </w:rPr>
        <w:t xml:space="preserve"> when H9c2 </w:t>
      </w:r>
      <w:proofErr w:type="spellStart"/>
      <w:r w:rsidRPr="00EB728C">
        <w:rPr>
          <w:rFonts w:asciiTheme="majorBidi" w:hAnsiTheme="majorBidi" w:cstheme="majorBidi"/>
          <w:kern w:val="2"/>
        </w:rPr>
        <w:t>cardiomyoblasts</w:t>
      </w:r>
      <w:proofErr w:type="spellEnd"/>
      <w:r w:rsidRPr="00EB728C">
        <w:rPr>
          <w:rFonts w:asciiTheme="majorBidi" w:hAnsiTheme="majorBidi" w:cstheme="majorBidi"/>
          <w:kern w:val="2"/>
        </w:rPr>
        <w:t xml:space="preserve"> were co-treated wi</w:t>
      </w:r>
      <w:r>
        <w:rPr>
          <w:rFonts w:asciiTheme="majorBidi" w:hAnsiTheme="majorBidi" w:cstheme="majorBidi"/>
          <w:kern w:val="2"/>
        </w:rPr>
        <w:t xml:space="preserve">th </w:t>
      </w:r>
      <w:proofErr w:type="spellStart"/>
      <w:r>
        <w:rPr>
          <w:rFonts w:asciiTheme="majorBidi" w:hAnsiTheme="majorBidi" w:cstheme="majorBidi"/>
          <w:kern w:val="2"/>
        </w:rPr>
        <w:t>Ang</w:t>
      </w:r>
      <w:proofErr w:type="spellEnd"/>
      <w:r>
        <w:rPr>
          <w:rFonts w:asciiTheme="majorBidi" w:hAnsiTheme="majorBidi" w:cstheme="majorBidi"/>
          <w:kern w:val="2"/>
        </w:rPr>
        <w:t xml:space="preserve"> II and a mir-320 mimic. </w:t>
      </w:r>
      <w:r w:rsidRPr="00EB728C">
        <w:rPr>
          <w:rFonts w:asciiTheme="majorBidi" w:hAnsiTheme="majorBidi" w:cstheme="majorBidi"/>
          <w:kern w:val="2"/>
        </w:rPr>
        <w:t>(</w:t>
      </w:r>
      <w:r>
        <w:rPr>
          <w:rFonts w:asciiTheme="majorBidi" w:hAnsiTheme="majorBidi" w:cstheme="majorBidi" w:hint="eastAsia"/>
          <w:kern w:val="2"/>
        </w:rPr>
        <w:t>B</w:t>
      </w:r>
      <w:r w:rsidRPr="00EB728C">
        <w:rPr>
          <w:rFonts w:asciiTheme="majorBidi" w:hAnsiTheme="majorBidi" w:cstheme="majorBidi"/>
          <w:kern w:val="2"/>
        </w:rPr>
        <w:t xml:space="preserve">) </w:t>
      </w:r>
      <w:r>
        <w:rPr>
          <w:rFonts w:asciiTheme="majorBidi" w:hAnsiTheme="majorBidi" w:cstheme="majorBidi" w:hint="eastAsia"/>
          <w:kern w:val="2"/>
        </w:rPr>
        <w:t>T</w:t>
      </w:r>
      <w:r w:rsidRPr="00EB728C">
        <w:rPr>
          <w:rFonts w:asciiTheme="majorBidi" w:hAnsiTheme="majorBidi" w:cstheme="majorBidi"/>
          <w:kern w:val="2"/>
        </w:rPr>
        <w:t xml:space="preserve">he mir-320 inhibitor enhanced the phosphorylation of PI3K and AKT to reduce apoptosis in </w:t>
      </w:r>
      <w:proofErr w:type="spellStart"/>
      <w:r w:rsidRPr="00EB728C">
        <w:rPr>
          <w:rFonts w:asciiTheme="majorBidi" w:hAnsiTheme="majorBidi" w:cstheme="majorBidi"/>
          <w:kern w:val="2"/>
        </w:rPr>
        <w:t>Ang</w:t>
      </w:r>
      <w:proofErr w:type="spellEnd"/>
      <w:r w:rsidRPr="00EB728C">
        <w:rPr>
          <w:rFonts w:asciiTheme="majorBidi" w:hAnsiTheme="majorBidi" w:cstheme="majorBidi"/>
          <w:kern w:val="2"/>
        </w:rPr>
        <w:t xml:space="preserve"> II-exposed H9c2 </w:t>
      </w:r>
      <w:proofErr w:type="spellStart"/>
      <w:r w:rsidRPr="00EB728C">
        <w:rPr>
          <w:rFonts w:asciiTheme="majorBidi" w:hAnsiTheme="majorBidi" w:cstheme="majorBidi"/>
          <w:kern w:val="2"/>
        </w:rPr>
        <w:t>cardiomyoblasts</w:t>
      </w:r>
      <w:proofErr w:type="spellEnd"/>
      <w:r w:rsidRPr="003C4CB7">
        <w:rPr>
          <w:rFonts w:asciiTheme="majorBidi" w:hAnsiTheme="majorBidi" w:cstheme="majorBidi"/>
          <w:kern w:val="2"/>
        </w:rPr>
        <w:t>.</w:t>
      </w:r>
      <w:r>
        <w:rPr>
          <w:rFonts w:asciiTheme="majorBidi" w:hAnsiTheme="majorBidi" w:cstheme="majorBidi" w:hint="eastAsia"/>
          <w:kern w:val="2"/>
        </w:rPr>
        <w:t xml:space="preserve"> </w:t>
      </w:r>
      <w:r w:rsidRPr="000E6993">
        <w:rPr>
          <w:rFonts w:asciiTheme="majorBidi" w:hAnsiTheme="majorBidi" w:cstheme="majorBidi"/>
          <w:kern w:val="2"/>
        </w:rPr>
        <w:t>(The protein expression levels were normalized to β-</w:t>
      </w:r>
      <w:proofErr w:type="spellStart"/>
      <w:r w:rsidRPr="000E6993">
        <w:rPr>
          <w:rFonts w:asciiTheme="majorBidi" w:hAnsiTheme="majorBidi" w:cstheme="majorBidi"/>
          <w:kern w:val="2"/>
        </w:rPr>
        <w:t>actin</w:t>
      </w:r>
      <w:proofErr w:type="spellEnd"/>
      <w:r>
        <w:rPr>
          <w:rFonts w:asciiTheme="majorBidi" w:hAnsiTheme="majorBidi" w:cstheme="majorBidi"/>
          <w:kern w:val="2"/>
        </w:rPr>
        <w:t xml:space="preserve"> </w:t>
      </w:r>
      <w:r w:rsidRPr="000E6993">
        <w:rPr>
          <w:rFonts w:asciiTheme="majorBidi" w:hAnsiTheme="majorBidi" w:cstheme="majorBidi"/>
          <w:kern w:val="2"/>
        </w:rPr>
        <w:t xml:space="preserve">internal control, the results are expressed as protein fold change in treated groups compared to the control. ANOVA followed by the </w:t>
      </w:r>
      <w:proofErr w:type="spellStart"/>
      <w:r w:rsidRPr="000E6993">
        <w:rPr>
          <w:rFonts w:asciiTheme="majorBidi" w:hAnsiTheme="majorBidi" w:cstheme="majorBidi"/>
          <w:kern w:val="2"/>
        </w:rPr>
        <w:t>Tukey</w:t>
      </w:r>
      <w:proofErr w:type="spellEnd"/>
      <w:r w:rsidRPr="000E6993">
        <w:rPr>
          <w:rFonts w:asciiTheme="majorBidi" w:hAnsiTheme="majorBidi" w:cstheme="majorBidi"/>
          <w:kern w:val="2"/>
        </w:rPr>
        <w:t xml:space="preserve"> test was used to analyze the differences between the groups. Data are represented as mean ± standard deviation from three independent experiments (ns: not significant, *P &lt; 0.05, **P &lt; 0.001, ***P &lt; 0.0001)).</w:t>
      </w:r>
    </w:p>
    <w:p w:rsidR="006A2F0C" w:rsidRDefault="006A2F0C" w:rsidP="002C7AD1">
      <w:pPr>
        <w:spacing w:before="0" w:beforeAutospacing="0" w:after="0" w:afterAutospacing="0" w:line="480" w:lineRule="auto"/>
        <w:ind w:left="-720" w:right="-720"/>
        <w:jc w:val="both"/>
      </w:pPr>
    </w:p>
    <w:sectPr w:rsidR="006A2F0C" w:rsidSect="0074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26308"/>
    <w:rsid w:val="000744FF"/>
    <w:rsid w:val="001B563C"/>
    <w:rsid w:val="002C7AD1"/>
    <w:rsid w:val="0053572B"/>
    <w:rsid w:val="005572C6"/>
    <w:rsid w:val="005D0C64"/>
    <w:rsid w:val="00626308"/>
    <w:rsid w:val="006A2F0C"/>
    <w:rsid w:val="00744791"/>
    <w:rsid w:val="00DE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TW" w:bidi="ar-SA"/>
      </w:rPr>
    </w:rPrDefault>
    <w:pPrDefault>
      <w:pPr>
        <w:spacing w:before="100" w:beforeAutospacing="1" w:after="100" w:afterAutospacing="1" w:line="360" w:lineRule="auto"/>
        <w:ind w:left="576" w:righ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7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Mhone</dc:creator>
  <cp:keywords/>
  <dc:description/>
  <cp:lastModifiedBy>B</cp:lastModifiedBy>
  <cp:revision>5</cp:revision>
  <dcterms:created xsi:type="dcterms:W3CDTF">2022-07-19T07:54:00Z</dcterms:created>
  <dcterms:modified xsi:type="dcterms:W3CDTF">2022-07-20T22:19:00Z</dcterms:modified>
</cp:coreProperties>
</file>