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220D" w14:textId="77777777" w:rsidR="00D7290C" w:rsidRPr="006B137C" w:rsidRDefault="00D7290C" w:rsidP="006B137C">
      <w:pPr>
        <w:jc w:val="center"/>
        <w:rPr>
          <w:b/>
          <w:lang w:val="en-US"/>
        </w:rPr>
      </w:pPr>
      <w:r w:rsidRPr="006B137C">
        <w:rPr>
          <w:b/>
          <w:lang w:val="en-US"/>
        </w:rPr>
        <w:t>Supplemental Text Box 5</w:t>
      </w:r>
    </w:p>
    <w:p w14:paraId="6119220F" w14:textId="77777777" w:rsidR="00FF66A7" w:rsidRPr="006B137C" w:rsidRDefault="00FF66A7" w:rsidP="006B137C">
      <w:pPr>
        <w:jc w:val="center"/>
        <w:rPr>
          <w:b/>
          <w:lang w:val="en-US"/>
        </w:rPr>
      </w:pPr>
      <w:r w:rsidRPr="006B137C">
        <w:rPr>
          <w:b/>
          <w:lang w:val="en-US"/>
        </w:rPr>
        <w:t xml:space="preserve">Is </w:t>
      </w:r>
      <w:r w:rsidR="00D7290C" w:rsidRPr="006B137C">
        <w:rPr>
          <w:b/>
          <w:lang w:val="en-US"/>
        </w:rPr>
        <w:t>Catatonic Stupor an Expression of Tonic Immobility</w:t>
      </w:r>
      <w:r w:rsidRPr="006B137C">
        <w:rPr>
          <w:b/>
          <w:lang w:val="en-US"/>
        </w:rPr>
        <w:t>?</w:t>
      </w:r>
    </w:p>
    <w:p w14:paraId="61192210" w14:textId="77777777" w:rsidR="00FF66A7" w:rsidRDefault="00FF66A7" w:rsidP="0012340B">
      <w:pPr>
        <w:jc w:val="both"/>
        <w:rPr>
          <w:lang w:val="en-US"/>
        </w:rPr>
      </w:pPr>
    </w:p>
    <w:p w14:paraId="61192211" w14:textId="08B76A98" w:rsidR="00B42BF8" w:rsidRDefault="00FF66A7" w:rsidP="0012340B">
      <w:pPr>
        <w:jc w:val="both"/>
        <w:rPr>
          <w:lang w:val="en-US"/>
        </w:rPr>
      </w:pPr>
      <w:r w:rsidRPr="00CF0C0B">
        <w:rPr>
          <w:lang w:val="en-US"/>
        </w:rPr>
        <w:t>Some writers have hypothesized that catatonic stupor may be an expression of tonic immobility (for review</w:t>
      </w:r>
      <w:r w:rsidR="00B15F8A">
        <w:rPr>
          <w:lang w:val="en-US"/>
        </w:rPr>
        <w:t>,</w:t>
      </w:r>
      <w:r w:rsidRPr="00CF0C0B">
        <w:rPr>
          <w:lang w:val="en-US"/>
        </w:rPr>
        <w:t xml:space="preserve"> see Moskowitz</w:t>
      </w:r>
      <w:r w:rsidR="006B137C">
        <w:rPr>
          <w:lang w:val="en-US"/>
        </w:rPr>
        <w:t xml:space="preserve"> [</w:t>
      </w:r>
      <w:r w:rsidRPr="00CF0C0B">
        <w:rPr>
          <w:lang w:val="en-US"/>
        </w:rPr>
        <w:t>2004</w:t>
      </w:r>
      <w:r w:rsidR="006B137C">
        <w:rPr>
          <w:lang w:val="en-US"/>
        </w:rPr>
        <w:t>]</w:t>
      </w:r>
      <w:r w:rsidRPr="00CF0C0B">
        <w:rPr>
          <w:lang w:val="en-US"/>
        </w:rPr>
        <w:t>)</w:t>
      </w:r>
      <w:r w:rsidR="00B15F8A">
        <w:rPr>
          <w:lang w:val="en-US"/>
        </w:rPr>
        <w:t>.</w:t>
      </w:r>
      <w:r w:rsidR="006B137C" w:rsidRPr="00B42BF8">
        <w:rPr>
          <w:noProof/>
          <w:vertAlign w:val="superscript"/>
          <w:lang w:val="en-US"/>
        </w:rPr>
        <w:t>1-4</w:t>
      </w:r>
      <w:r w:rsidRPr="00CF0C0B">
        <w:rPr>
          <w:lang w:val="en-US"/>
        </w:rPr>
        <w:t xml:space="preserve"> Although</w:t>
      </w:r>
      <w:r w:rsidR="00B15F8A" w:rsidRPr="00B15F8A">
        <w:t xml:space="preserve"> </w:t>
      </w:r>
      <w:r w:rsidR="00B15F8A" w:rsidRPr="00B15F8A">
        <w:rPr>
          <w:lang w:val="en-US"/>
        </w:rPr>
        <w:t>catatonic stupor and tonic immobility</w:t>
      </w:r>
      <w:r w:rsidRPr="00CF0C0B">
        <w:rPr>
          <w:lang w:val="en-US"/>
        </w:rPr>
        <w:t xml:space="preserve"> </w:t>
      </w:r>
      <w:r w:rsidR="00B15F8A">
        <w:rPr>
          <w:lang w:val="en-US"/>
        </w:rPr>
        <w:t xml:space="preserve">have numerous </w:t>
      </w:r>
      <w:r w:rsidRPr="00CF0C0B">
        <w:rPr>
          <w:lang w:val="en-US"/>
        </w:rPr>
        <w:t>behavioral similarities—immobility, decreased vocalization, analgesia, waxy flexibility</w:t>
      </w:r>
      <w:r w:rsidR="00B15F8A">
        <w:rPr>
          <w:lang w:val="en-US"/>
        </w:rPr>
        <w:t>,</w:t>
      </w:r>
      <w:r w:rsidRPr="00CF0C0B">
        <w:rPr>
          <w:lang w:val="en-US"/>
        </w:rPr>
        <w:t xml:space="preserve"> and evidence of alertness—no</w:t>
      </w:r>
      <w:r w:rsidR="00F901AF">
        <w:rPr>
          <w:lang w:val="en-US"/>
        </w:rPr>
        <w:t xml:space="preserve"> current </w:t>
      </w:r>
      <w:r w:rsidRPr="00CF0C0B">
        <w:rPr>
          <w:lang w:val="en-US"/>
        </w:rPr>
        <w:t>evidence suggest</w:t>
      </w:r>
      <w:r w:rsidR="00B15F8A">
        <w:rPr>
          <w:lang w:val="en-US"/>
        </w:rPr>
        <w:t>s</w:t>
      </w:r>
      <w:r w:rsidRPr="00CF0C0B">
        <w:rPr>
          <w:lang w:val="en-US"/>
        </w:rPr>
        <w:t xml:space="preserve"> that catatonic stupor is mediated by the </w:t>
      </w:r>
      <w:r w:rsidR="00F901AF">
        <w:rPr>
          <w:lang w:val="en-US"/>
        </w:rPr>
        <w:t xml:space="preserve">circuits within the </w:t>
      </w:r>
      <w:r w:rsidRPr="00CF0C0B">
        <w:rPr>
          <w:lang w:val="en-US"/>
        </w:rPr>
        <w:t>amygdala</w:t>
      </w:r>
      <w:r w:rsidR="00F901AF">
        <w:rPr>
          <w:lang w:val="en-US"/>
        </w:rPr>
        <w:t xml:space="preserve">, </w:t>
      </w:r>
      <w:r w:rsidRPr="00CF0C0B">
        <w:rPr>
          <w:lang w:val="en-US"/>
        </w:rPr>
        <w:t>hypothalamus</w:t>
      </w:r>
      <w:r w:rsidR="00F901AF">
        <w:rPr>
          <w:lang w:val="en-US"/>
        </w:rPr>
        <w:t xml:space="preserve">, or </w:t>
      </w:r>
      <w:r w:rsidR="00F901AF" w:rsidRPr="00F901AF">
        <w:rPr>
          <w:lang w:val="en-US"/>
        </w:rPr>
        <w:t xml:space="preserve">periaqueductal gray </w:t>
      </w:r>
      <w:r w:rsidR="00F901AF">
        <w:rPr>
          <w:lang w:val="en-US"/>
        </w:rPr>
        <w:t>(PAG)</w:t>
      </w:r>
      <w:r w:rsidRPr="00CF0C0B">
        <w:rPr>
          <w:lang w:val="en-US"/>
        </w:rPr>
        <w:t xml:space="preserve">, and </w:t>
      </w:r>
      <w:r w:rsidR="00F901AF">
        <w:rPr>
          <w:lang w:val="en-US"/>
        </w:rPr>
        <w:t xml:space="preserve">the </w:t>
      </w:r>
      <w:r w:rsidRPr="00CF0C0B">
        <w:rPr>
          <w:lang w:val="en-US"/>
        </w:rPr>
        <w:t xml:space="preserve">evidence </w:t>
      </w:r>
      <w:r w:rsidR="00810021">
        <w:rPr>
          <w:lang w:val="en-US"/>
        </w:rPr>
        <w:t xml:space="preserve">for </w:t>
      </w:r>
      <w:r w:rsidRPr="00CF0C0B">
        <w:rPr>
          <w:lang w:val="en-US"/>
        </w:rPr>
        <w:t xml:space="preserve">basal ganglia </w:t>
      </w:r>
      <w:r w:rsidR="00810021">
        <w:rPr>
          <w:lang w:val="en-US"/>
        </w:rPr>
        <w:t>involvement is increasing.</w:t>
      </w:r>
      <w:r w:rsidR="006B137C" w:rsidRPr="00B42BF8">
        <w:rPr>
          <w:noProof/>
          <w:vertAlign w:val="superscript"/>
          <w:lang w:val="en-US"/>
        </w:rPr>
        <w:t>3</w:t>
      </w:r>
      <w:r w:rsidR="00B42BF8" w:rsidRPr="00B42BF8">
        <w:rPr>
          <w:noProof/>
          <w:vertAlign w:val="superscript"/>
          <w:lang w:val="en-US"/>
        </w:rPr>
        <w:t>,</w:t>
      </w:r>
      <w:r w:rsidR="006B137C" w:rsidRPr="00B42BF8">
        <w:rPr>
          <w:noProof/>
          <w:vertAlign w:val="superscript"/>
          <w:lang w:val="en-US"/>
        </w:rPr>
        <w:t>5</w:t>
      </w:r>
      <w:r w:rsidRPr="00CF0C0B">
        <w:rPr>
          <w:lang w:val="en-US"/>
        </w:rPr>
        <w:t xml:space="preserve"> In addition</w:t>
      </w:r>
      <w:r w:rsidR="00810021">
        <w:rPr>
          <w:lang w:val="en-US"/>
        </w:rPr>
        <w:t>,</w:t>
      </w:r>
      <w:r w:rsidRPr="00CF0C0B">
        <w:rPr>
          <w:lang w:val="en-US"/>
        </w:rPr>
        <w:t xml:space="preserve"> the autonomic profile of individuals experiencing catatonic stupor (increases of heart rate, temperature, blood pressure, and oxygen consumption)</w:t>
      </w:r>
      <w:r w:rsidR="006B137C" w:rsidRPr="00B42BF8">
        <w:rPr>
          <w:noProof/>
          <w:vertAlign w:val="superscript"/>
          <w:lang w:val="en-US"/>
        </w:rPr>
        <w:t>6</w:t>
      </w:r>
      <w:r w:rsidR="00B42BF8" w:rsidRPr="00B42BF8">
        <w:rPr>
          <w:noProof/>
          <w:vertAlign w:val="superscript"/>
          <w:lang w:val="en-US"/>
        </w:rPr>
        <w:t>,</w:t>
      </w:r>
      <w:r w:rsidR="006B137C" w:rsidRPr="00B42BF8">
        <w:rPr>
          <w:noProof/>
          <w:vertAlign w:val="superscript"/>
          <w:lang w:val="en-US"/>
        </w:rPr>
        <w:t>7</w:t>
      </w:r>
      <w:r w:rsidRPr="00CF0C0B">
        <w:rPr>
          <w:lang w:val="en-US"/>
        </w:rPr>
        <w:t xml:space="preserve"> </w:t>
      </w:r>
      <w:r w:rsidR="00653D68">
        <w:rPr>
          <w:lang w:val="en-US"/>
        </w:rPr>
        <w:t xml:space="preserve">is </w:t>
      </w:r>
      <w:r w:rsidRPr="00CF0C0B">
        <w:rPr>
          <w:lang w:val="en-US"/>
        </w:rPr>
        <w:t xml:space="preserve">the opposite of that seen in the animal model of tonic immobility (see </w:t>
      </w:r>
      <w:r w:rsidR="00653D68">
        <w:rPr>
          <w:lang w:val="en-US"/>
        </w:rPr>
        <w:t xml:space="preserve">Supplemental </w:t>
      </w:r>
      <w:r w:rsidRPr="00CF0C0B">
        <w:rPr>
          <w:lang w:val="en-US"/>
        </w:rPr>
        <w:t xml:space="preserve">Text Box 3). </w:t>
      </w:r>
      <w:r w:rsidR="000E4CAE">
        <w:rPr>
          <w:lang w:val="en-US"/>
        </w:rPr>
        <w:t xml:space="preserve">Two possible explanations exist. Since activation of different areas within the </w:t>
      </w:r>
      <w:r w:rsidR="00810021">
        <w:rPr>
          <w:lang w:val="en-US"/>
        </w:rPr>
        <w:t xml:space="preserve">ventrolateral </w:t>
      </w:r>
      <w:r w:rsidR="000E4CAE">
        <w:rPr>
          <w:lang w:val="en-US"/>
        </w:rPr>
        <w:t>PAG mediate different types of immobility—waxy immobility</w:t>
      </w:r>
      <w:r w:rsidR="00056B6F">
        <w:rPr>
          <w:lang w:val="en-US"/>
        </w:rPr>
        <w:t xml:space="preserve"> coupled with bradycardia</w:t>
      </w:r>
      <w:r w:rsidR="000E4CAE">
        <w:rPr>
          <w:lang w:val="en-US"/>
        </w:rPr>
        <w:t xml:space="preserve"> </w:t>
      </w:r>
      <w:r w:rsidR="00810021">
        <w:rPr>
          <w:lang w:val="en-US"/>
        </w:rPr>
        <w:t xml:space="preserve">in one area </w:t>
      </w:r>
      <w:r w:rsidR="000E4CAE">
        <w:rPr>
          <w:lang w:val="en-US"/>
        </w:rPr>
        <w:t>v</w:t>
      </w:r>
      <w:r w:rsidR="00810021">
        <w:rPr>
          <w:lang w:val="en-US"/>
        </w:rPr>
        <w:t>er</w:t>
      </w:r>
      <w:r w:rsidR="000E4CAE">
        <w:rPr>
          <w:lang w:val="en-US"/>
        </w:rPr>
        <w:t>s</w:t>
      </w:r>
      <w:r w:rsidR="00810021">
        <w:rPr>
          <w:lang w:val="en-US"/>
        </w:rPr>
        <w:t>us</w:t>
      </w:r>
      <w:r w:rsidR="000E4CAE">
        <w:rPr>
          <w:lang w:val="en-US"/>
        </w:rPr>
        <w:t xml:space="preserve"> atonic immobility</w:t>
      </w:r>
      <w:r w:rsidR="00056B6F">
        <w:rPr>
          <w:lang w:val="en-US"/>
        </w:rPr>
        <w:t xml:space="preserve"> coupled with </w:t>
      </w:r>
      <w:r w:rsidR="00056B6F" w:rsidRPr="0012340B">
        <w:rPr>
          <w:lang w:val="en-US"/>
        </w:rPr>
        <w:t xml:space="preserve">bradycardia </w:t>
      </w:r>
      <w:r w:rsidR="00810021" w:rsidRPr="0012340B">
        <w:rPr>
          <w:lang w:val="en-US"/>
        </w:rPr>
        <w:t>in another</w:t>
      </w:r>
      <w:r w:rsidR="006B137C" w:rsidRPr="0012340B">
        <w:rPr>
          <w:noProof/>
          <w:vertAlign w:val="superscript"/>
          <w:lang w:val="en-US"/>
        </w:rPr>
        <w:t>8</w:t>
      </w:r>
      <w:r w:rsidR="000E4CAE" w:rsidRPr="0012340B">
        <w:rPr>
          <w:lang w:val="en-US"/>
        </w:rPr>
        <w:t xml:space="preserve">—catatonic stupor could theoretically be mediated by activation of a specific area of the </w:t>
      </w:r>
      <w:r w:rsidR="00810021" w:rsidRPr="0012340B">
        <w:rPr>
          <w:lang w:val="en-US"/>
        </w:rPr>
        <w:t>ventrolatera</w:t>
      </w:r>
      <w:r w:rsidR="000E4CAE" w:rsidRPr="0012340B">
        <w:rPr>
          <w:lang w:val="en-US"/>
        </w:rPr>
        <w:t>l</w:t>
      </w:r>
      <w:r w:rsidR="00810021" w:rsidRPr="0012340B">
        <w:rPr>
          <w:lang w:val="en-US"/>
        </w:rPr>
        <w:t xml:space="preserve"> </w:t>
      </w:r>
      <w:r w:rsidR="000E4CAE" w:rsidRPr="0012340B">
        <w:rPr>
          <w:lang w:val="en-US"/>
        </w:rPr>
        <w:t>PAG that medi</w:t>
      </w:r>
      <w:r w:rsidR="00056B6F" w:rsidRPr="0012340B">
        <w:rPr>
          <w:lang w:val="en-US"/>
        </w:rPr>
        <w:t>ates waxy immobility</w:t>
      </w:r>
      <w:r w:rsidR="00056B6F">
        <w:rPr>
          <w:lang w:val="en-US"/>
        </w:rPr>
        <w:t xml:space="preserve"> coupled with a different pattern of autonomic activation</w:t>
      </w:r>
      <w:r w:rsidR="000E4CAE">
        <w:rPr>
          <w:lang w:val="en-US"/>
        </w:rPr>
        <w:t xml:space="preserve">. </w:t>
      </w:r>
      <w:r w:rsidRPr="00CF0C0B">
        <w:rPr>
          <w:lang w:val="en-US"/>
        </w:rPr>
        <w:t>An alternate explanation is that catatonic stupor and tonic immobility involve different pathways to the basal ganglia, with the motor component of catatonic stupor—the immobility and waxy flexibility common to both conditions—being mediated by a final shared pathway in the basal ganglia.</w:t>
      </w:r>
    </w:p>
    <w:p w14:paraId="61192212" w14:textId="77777777" w:rsidR="00E8000D" w:rsidRDefault="00E8000D" w:rsidP="0012340B">
      <w:pPr>
        <w:jc w:val="both"/>
        <w:rPr>
          <w:lang w:val="en-US"/>
        </w:rPr>
      </w:pPr>
    </w:p>
    <w:p w14:paraId="1E2C7FCF" w14:textId="77777777" w:rsidR="006B137C" w:rsidRPr="006B137C" w:rsidRDefault="00B42BF8" w:rsidP="0012340B">
      <w:pPr>
        <w:jc w:val="both"/>
        <w:rPr>
          <w:b/>
          <w:lang w:val="en-US"/>
        </w:rPr>
      </w:pPr>
      <w:r w:rsidRPr="006B137C">
        <w:rPr>
          <w:b/>
          <w:lang w:val="en-US"/>
        </w:rPr>
        <w:t>REFERENCES</w:t>
      </w:r>
    </w:p>
    <w:p w14:paraId="61192214" w14:textId="0F389F5A" w:rsidR="00E8000D" w:rsidRPr="00E8000D" w:rsidRDefault="00E8000D" w:rsidP="0012340B">
      <w:pPr>
        <w:ind w:left="720" w:hanging="720"/>
        <w:jc w:val="both"/>
        <w:rPr>
          <w:lang w:val="en-US"/>
        </w:rPr>
      </w:pPr>
      <w:r w:rsidRPr="00E8000D">
        <w:rPr>
          <w:lang w:val="en-US"/>
        </w:rPr>
        <w:t>1.</w:t>
      </w:r>
      <w:r w:rsidRPr="00E8000D">
        <w:rPr>
          <w:lang w:val="en-US"/>
        </w:rPr>
        <w:tab/>
        <w:t>Gallup GG, Maser J. Tonic</w:t>
      </w:r>
      <w:r w:rsidR="00653D68" w:rsidRPr="00E8000D">
        <w:rPr>
          <w:lang w:val="en-US"/>
        </w:rPr>
        <w:t xml:space="preserve"> immobility: evolutionary underpinnings of human catalepsy and catatonia</w:t>
      </w:r>
      <w:r w:rsidRPr="00E8000D">
        <w:rPr>
          <w:lang w:val="en-US"/>
        </w:rPr>
        <w:t>. In: Maser JD, Seligman MEP, eds. Psychopathology: experi</w:t>
      </w:r>
      <w:r w:rsidR="00653D68">
        <w:rPr>
          <w:lang w:val="en-US"/>
        </w:rPr>
        <w:t xml:space="preserve">mental models. San Francisco: </w:t>
      </w:r>
      <w:r w:rsidRPr="00E8000D">
        <w:rPr>
          <w:lang w:val="en-US"/>
        </w:rPr>
        <w:t>Freeman</w:t>
      </w:r>
      <w:r w:rsidR="00653D68">
        <w:rPr>
          <w:lang w:val="en-US"/>
        </w:rPr>
        <w:t>,</w:t>
      </w:r>
      <w:r w:rsidRPr="00E8000D">
        <w:rPr>
          <w:lang w:val="en-US"/>
        </w:rPr>
        <w:t xml:space="preserve"> 1977.</w:t>
      </w:r>
    </w:p>
    <w:p w14:paraId="61192215" w14:textId="50B53392" w:rsidR="00E8000D" w:rsidRPr="00E8000D" w:rsidRDefault="00E8000D" w:rsidP="0012340B">
      <w:pPr>
        <w:ind w:left="720" w:hanging="720"/>
        <w:jc w:val="both"/>
        <w:rPr>
          <w:lang w:val="en-US"/>
        </w:rPr>
      </w:pPr>
      <w:r w:rsidRPr="00E8000D">
        <w:rPr>
          <w:lang w:val="en-US"/>
        </w:rPr>
        <w:t>2.</w:t>
      </w:r>
      <w:r w:rsidRPr="00E8000D">
        <w:rPr>
          <w:lang w:val="en-US"/>
        </w:rPr>
        <w:tab/>
        <w:t xml:space="preserve">Krystal H. Integration and self-healing: </w:t>
      </w:r>
      <w:r w:rsidR="00653D68">
        <w:rPr>
          <w:lang w:val="en-US"/>
        </w:rPr>
        <w:t>a</w:t>
      </w:r>
      <w:r w:rsidRPr="00E8000D">
        <w:rPr>
          <w:lang w:val="en-US"/>
        </w:rPr>
        <w:t>ffect, trauma, alexithmia. Hillsdale, NJ:</w:t>
      </w:r>
      <w:r w:rsidR="00653D68">
        <w:rPr>
          <w:lang w:val="en-US"/>
        </w:rPr>
        <w:t xml:space="preserve"> </w:t>
      </w:r>
      <w:r w:rsidRPr="00E8000D">
        <w:rPr>
          <w:lang w:val="en-US"/>
        </w:rPr>
        <w:t>Analytic</w:t>
      </w:r>
      <w:r w:rsidR="00653D68">
        <w:rPr>
          <w:lang w:val="en-US"/>
        </w:rPr>
        <w:t xml:space="preserve">, </w:t>
      </w:r>
      <w:r w:rsidRPr="00E8000D">
        <w:rPr>
          <w:lang w:val="en-US"/>
        </w:rPr>
        <w:t>1993.</w:t>
      </w:r>
    </w:p>
    <w:p w14:paraId="61192216" w14:textId="5367C2F9" w:rsidR="00E8000D" w:rsidRPr="00E8000D" w:rsidRDefault="00E8000D" w:rsidP="0012340B">
      <w:pPr>
        <w:ind w:left="720" w:hanging="720"/>
        <w:jc w:val="both"/>
        <w:rPr>
          <w:lang w:val="en-US"/>
        </w:rPr>
      </w:pPr>
      <w:r w:rsidRPr="00E8000D">
        <w:rPr>
          <w:lang w:val="en-US"/>
        </w:rPr>
        <w:t>3.</w:t>
      </w:r>
      <w:r w:rsidRPr="00E8000D">
        <w:rPr>
          <w:lang w:val="en-US"/>
        </w:rPr>
        <w:tab/>
        <w:t xml:space="preserve">Moskowitz AK. </w:t>
      </w:r>
      <w:r w:rsidR="006B137C">
        <w:rPr>
          <w:lang w:val="en-US"/>
        </w:rPr>
        <w:t>“</w:t>
      </w:r>
      <w:r w:rsidRPr="00E8000D">
        <w:rPr>
          <w:lang w:val="en-US"/>
        </w:rPr>
        <w:t>Scared stiff</w:t>
      </w:r>
      <w:r w:rsidR="006B137C">
        <w:rPr>
          <w:lang w:val="en-US"/>
        </w:rPr>
        <w:t>”</w:t>
      </w:r>
      <w:r w:rsidRPr="00E8000D">
        <w:rPr>
          <w:lang w:val="en-US"/>
        </w:rPr>
        <w:t>: catatonia as an evolutionary-ba</w:t>
      </w:r>
      <w:r>
        <w:rPr>
          <w:lang w:val="en-US"/>
        </w:rPr>
        <w:t>sed fear response. Psychol Rev</w:t>
      </w:r>
      <w:r w:rsidRPr="00E8000D">
        <w:rPr>
          <w:lang w:val="en-US"/>
        </w:rPr>
        <w:t xml:space="preserve"> 2004;111:984</w:t>
      </w:r>
      <w:r w:rsidR="00653D68">
        <w:rPr>
          <w:lang w:val="en-US"/>
        </w:rPr>
        <w:t>–</w:t>
      </w:r>
      <w:r w:rsidRPr="00E8000D">
        <w:rPr>
          <w:lang w:val="en-US"/>
        </w:rPr>
        <w:t>1002.</w:t>
      </w:r>
    </w:p>
    <w:p w14:paraId="61192217" w14:textId="1854AE16" w:rsidR="00E8000D" w:rsidRPr="00E8000D" w:rsidRDefault="00E8000D" w:rsidP="0012340B">
      <w:pPr>
        <w:ind w:left="720" w:hanging="720"/>
        <w:jc w:val="both"/>
        <w:rPr>
          <w:lang w:val="en-US"/>
        </w:rPr>
      </w:pPr>
      <w:r w:rsidRPr="00E8000D">
        <w:rPr>
          <w:lang w:val="en-US"/>
        </w:rPr>
        <w:t>4.</w:t>
      </w:r>
      <w:r w:rsidRPr="00E8000D">
        <w:rPr>
          <w:lang w:val="en-US"/>
        </w:rPr>
        <w:tab/>
        <w:t>Perkins RJ. Catatonia: the</w:t>
      </w:r>
      <w:r>
        <w:rPr>
          <w:lang w:val="en-US"/>
        </w:rPr>
        <w:t xml:space="preserve"> ultimate response to fear? Aust N</w:t>
      </w:r>
      <w:r w:rsidR="0012340B">
        <w:rPr>
          <w:lang w:val="en-US"/>
        </w:rPr>
        <w:t xml:space="preserve"> </w:t>
      </w:r>
      <w:r>
        <w:rPr>
          <w:lang w:val="en-US"/>
        </w:rPr>
        <w:t>Z J P</w:t>
      </w:r>
      <w:r w:rsidRPr="00E8000D">
        <w:rPr>
          <w:lang w:val="en-US"/>
        </w:rPr>
        <w:t>sychiatry 1982;16:282</w:t>
      </w:r>
      <w:r w:rsidR="00653D68">
        <w:rPr>
          <w:lang w:val="en-US"/>
        </w:rPr>
        <w:t>–</w:t>
      </w:r>
      <w:r w:rsidRPr="00E8000D">
        <w:rPr>
          <w:lang w:val="en-US"/>
        </w:rPr>
        <w:t>7.</w:t>
      </w:r>
    </w:p>
    <w:p w14:paraId="61192218" w14:textId="196FF1E1" w:rsidR="00E8000D" w:rsidRPr="00E8000D" w:rsidRDefault="00E8000D" w:rsidP="0012340B">
      <w:pPr>
        <w:ind w:left="720" w:hanging="720"/>
        <w:jc w:val="both"/>
        <w:rPr>
          <w:lang w:val="en-US"/>
        </w:rPr>
      </w:pPr>
      <w:r w:rsidRPr="00E8000D">
        <w:rPr>
          <w:lang w:val="en-US"/>
        </w:rPr>
        <w:t>5.</w:t>
      </w:r>
      <w:r w:rsidRPr="00E8000D">
        <w:rPr>
          <w:lang w:val="en-US"/>
        </w:rPr>
        <w:tab/>
        <w:t xml:space="preserve">Havemann U, Kuschinsky K. Neurochemical aspects of the opioid-induced </w:t>
      </w:r>
      <w:r w:rsidR="006B137C">
        <w:rPr>
          <w:lang w:val="en-US"/>
        </w:rPr>
        <w:t>‘</w:t>
      </w:r>
      <w:r w:rsidRPr="00E8000D">
        <w:rPr>
          <w:lang w:val="en-US"/>
        </w:rPr>
        <w:t>catatonia</w:t>
      </w:r>
      <w:r w:rsidR="00653D68">
        <w:rPr>
          <w:lang w:val="en-US"/>
        </w:rPr>
        <w:t>.</w:t>
      </w:r>
      <w:r w:rsidR="006B137C">
        <w:rPr>
          <w:lang w:val="en-US"/>
        </w:rPr>
        <w:t>’</w:t>
      </w:r>
      <w:r w:rsidRPr="00E8000D">
        <w:rPr>
          <w:lang w:val="en-US"/>
        </w:rPr>
        <w:t xml:space="preserve"> Neurochem Int 1982;4:199</w:t>
      </w:r>
      <w:r w:rsidR="00653D68">
        <w:rPr>
          <w:lang w:val="en-US"/>
        </w:rPr>
        <w:t>–</w:t>
      </w:r>
      <w:r w:rsidRPr="00E8000D">
        <w:rPr>
          <w:lang w:val="en-US"/>
        </w:rPr>
        <w:t>215.</w:t>
      </w:r>
    </w:p>
    <w:p w14:paraId="61192219" w14:textId="77777777" w:rsidR="00E8000D" w:rsidRPr="00E8000D" w:rsidRDefault="00E8000D" w:rsidP="0012340B">
      <w:pPr>
        <w:ind w:left="720" w:hanging="720"/>
        <w:jc w:val="both"/>
        <w:rPr>
          <w:lang w:val="en-US"/>
        </w:rPr>
      </w:pPr>
      <w:r w:rsidRPr="00E8000D">
        <w:rPr>
          <w:lang w:val="en-US"/>
        </w:rPr>
        <w:t>6.</w:t>
      </w:r>
      <w:r w:rsidRPr="00E8000D">
        <w:rPr>
          <w:lang w:val="en-US"/>
        </w:rPr>
        <w:tab/>
        <w:t>Gjessing R. Disturbances of somatic functions in catatonia with a periodic course, and</w:t>
      </w:r>
      <w:r>
        <w:rPr>
          <w:lang w:val="en-US"/>
        </w:rPr>
        <w:t xml:space="preserve"> their compensation. J Ment Sci</w:t>
      </w:r>
      <w:r w:rsidRPr="00E8000D">
        <w:rPr>
          <w:lang w:val="en-US"/>
        </w:rPr>
        <w:t xml:space="preserve"> 1938;84:608–21.</w:t>
      </w:r>
    </w:p>
    <w:p w14:paraId="6119221A" w14:textId="7F1363AD" w:rsidR="00E8000D" w:rsidRPr="00E8000D" w:rsidRDefault="00E8000D" w:rsidP="0012340B">
      <w:pPr>
        <w:ind w:left="720" w:hanging="720"/>
        <w:jc w:val="both"/>
        <w:rPr>
          <w:lang w:val="en-US"/>
        </w:rPr>
      </w:pPr>
      <w:r w:rsidRPr="00E8000D">
        <w:rPr>
          <w:lang w:val="en-US"/>
        </w:rPr>
        <w:t>7.</w:t>
      </w:r>
      <w:r w:rsidRPr="00E8000D">
        <w:rPr>
          <w:lang w:val="en-US"/>
        </w:rPr>
        <w:tab/>
        <w:t>Gjessing LR. A review o</w:t>
      </w:r>
      <w:r>
        <w:rPr>
          <w:lang w:val="en-US"/>
        </w:rPr>
        <w:t>f periodic catatonia. Biol P</w:t>
      </w:r>
      <w:r w:rsidRPr="00E8000D">
        <w:rPr>
          <w:lang w:val="en-US"/>
        </w:rPr>
        <w:t>sychiatry 1974;8:23</w:t>
      </w:r>
      <w:r w:rsidR="00653D68">
        <w:rPr>
          <w:lang w:val="en-US"/>
        </w:rPr>
        <w:t>–</w:t>
      </w:r>
      <w:r w:rsidRPr="00E8000D">
        <w:rPr>
          <w:lang w:val="en-US"/>
        </w:rPr>
        <w:t>45.</w:t>
      </w:r>
    </w:p>
    <w:p w14:paraId="61192227" w14:textId="41FDF84D" w:rsidR="00B15F8A" w:rsidRDefault="00E8000D" w:rsidP="0012340B">
      <w:pPr>
        <w:ind w:left="720" w:hanging="720"/>
        <w:jc w:val="both"/>
        <w:rPr>
          <w:noProof/>
        </w:rPr>
      </w:pPr>
      <w:r w:rsidRPr="00E8000D">
        <w:rPr>
          <w:lang w:val="en-US"/>
        </w:rPr>
        <w:t>8.</w:t>
      </w:r>
      <w:r w:rsidRPr="00E8000D">
        <w:rPr>
          <w:lang w:val="en-US"/>
        </w:rPr>
        <w:tab/>
        <w:t>Carrive P. The periaqueductal gray and defensive behavior: functional representation and ne</w:t>
      </w:r>
      <w:r>
        <w:rPr>
          <w:lang w:val="en-US"/>
        </w:rPr>
        <w:t>uronal organization. Behav Brain Res</w:t>
      </w:r>
      <w:r w:rsidRPr="00E8000D">
        <w:rPr>
          <w:lang w:val="en-US"/>
        </w:rPr>
        <w:t xml:space="preserve"> </w:t>
      </w:r>
      <w:bookmarkStart w:id="0" w:name="_GoBack"/>
      <w:bookmarkEnd w:id="0"/>
      <w:r w:rsidRPr="00E8000D">
        <w:rPr>
          <w:lang w:val="en-US"/>
        </w:rPr>
        <w:t>1993;58:27</w:t>
      </w:r>
      <w:r w:rsidR="00653D68">
        <w:rPr>
          <w:lang w:val="en-US"/>
        </w:rPr>
        <w:t>–</w:t>
      </w:r>
      <w:r w:rsidRPr="00E8000D">
        <w:rPr>
          <w:lang w:val="en-US"/>
        </w:rPr>
        <w:t>47.</w:t>
      </w:r>
    </w:p>
    <w:sectPr w:rsidR="00B15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Rev Psych_footno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wpwp0rdfw2zme9x24pa29xw20zappaf92p&quot;&gt;Kozlowska fear&lt;record-ids&gt;&lt;item&gt;38&lt;/item&gt;&lt;item&gt;108&lt;/item&gt;&lt;/record-ids&gt;&lt;/item&gt;&lt;/Libraries&gt;"/>
  </w:docVars>
  <w:rsids>
    <w:rsidRoot w:val="00FF66A7"/>
    <w:rsid w:val="00056B6F"/>
    <w:rsid w:val="000E4CAE"/>
    <w:rsid w:val="0012340B"/>
    <w:rsid w:val="00155D8A"/>
    <w:rsid w:val="00272443"/>
    <w:rsid w:val="00332FB4"/>
    <w:rsid w:val="0034520C"/>
    <w:rsid w:val="003B257B"/>
    <w:rsid w:val="00605B64"/>
    <w:rsid w:val="00653D68"/>
    <w:rsid w:val="006B137C"/>
    <w:rsid w:val="006E5BB8"/>
    <w:rsid w:val="007A64EC"/>
    <w:rsid w:val="00810021"/>
    <w:rsid w:val="00850C7B"/>
    <w:rsid w:val="008571F6"/>
    <w:rsid w:val="00A76E4B"/>
    <w:rsid w:val="00B15F8A"/>
    <w:rsid w:val="00B42BF8"/>
    <w:rsid w:val="00B64208"/>
    <w:rsid w:val="00BE3652"/>
    <w:rsid w:val="00CD3187"/>
    <w:rsid w:val="00D25D39"/>
    <w:rsid w:val="00D7290C"/>
    <w:rsid w:val="00E34218"/>
    <w:rsid w:val="00E61D9E"/>
    <w:rsid w:val="00E8000D"/>
    <w:rsid w:val="00F42BBD"/>
    <w:rsid w:val="00F901AF"/>
    <w:rsid w:val="00FF6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220D"/>
  <w15:docId w15:val="{1DE17EE7-9C8B-4E82-A2A4-2F54EEFB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A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52"/>
    <w:rPr>
      <w:rFonts w:ascii="Tahoma" w:hAnsi="Tahoma" w:cs="Tahoma"/>
      <w:sz w:val="16"/>
      <w:szCs w:val="16"/>
    </w:rPr>
  </w:style>
  <w:style w:type="character" w:customStyle="1" w:styleId="BalloonTextChar">
    <w:name w:val="Balloon Text Char"/>
    <w:basedOn w:val="DefaultParagraphFont"/>
    <w:link w:val="BalloonText"/>
    <w:uiPriority w:val="99"/>
    <w:semiHidden/>
    <w:rsid w:val="00BE3652"/>
    <w:rPr>
      <w:rFonts w:ascii="Tahoma" w:eastAsia="Times New Roman" w:hAnsi="Tahoma" w:cs="Tahoma"/>
      <w:sz w:val="16"/>
      <w:szCs w:val="16"/>
      <w:lang w:eastAsia="en-AU"/>
    </w:rPr>
  </w:style>
  <w:style w:type="character" w:styleId="Hyperlink">
    <w:name w:val="Hyperlink"/>
    <w:basedOn w:val="DefaultParagraphFont"/>
    <w:uiPriority w:val="99"/>
    <w:unhideWhenUsed/>
    <w:rsid w:val="00B42BF8"/>
    <w:rPr>
      <w:color w:val="0000FF" w:themeColor="hyperlink"/>
      <w:u w:val="single"/>
    </w:rPr>
  </w:style>
  <w:style w:type="paragraph" w:customStyle="1" w:styleId="EndNoteBibliographyTitle">
    <w:name w:val="EndNote Bibliography Title"/>
    <w:basedOn w:val="Normal"/>
    <w:link w:val="EndNoteBibliographyTitleChar"/>
    <w:rsid w:val="006B137C"/>
    <w:pPr>
      <w:jc w:val="center"/>
    </w:pPr>
    <w:rPr>
      <w:noProof/>
    </w:rPr>
  </w:style>
  <w:style w:type="character" w:customStyle="1" w:styleId="EndNoteBibliographyTitleChar">
    <w:name w:val="EndNote Bibliography Title Char"/>
    <w:basedOn w:val="DefaultParagraphFont"/>
    <w:link w:val="EndNoteBibliographyTitle"/>
    <w:rsid w:val="006B137C"/>
    <w:rPr>
      <w:rFonts w:ascii="Times New Roman" w:eastAsia="Times New Roman" w:hAnsi="Times New Roman" w:cs="Times New Roman"/>
      <w:noProof/>
      <w:sz w:val="24"/>
      <w:szCs w:val="24"/>
      <w:lang w:eastAsia="en-AU"/>
    </w:rPr>
  </w:style>
  <w:style w:type="paragraph" w:customStyle="1" w:styleId="EndNoteBibliography">
    <w:name w:val="EndNote Bibliography"/>
    <w:basedOn w:val="Normal"/>
    <w:link w:val="EndNoteBibliographyChar"/>
    <w:rsid w:val="006B137C"/>
    <w:rPr>
      <w:noProof/>
    </w:rPr>
  </w:style>
  <w:style w:type="character" w:customStyle="1" w:styleId="EndNoteBibliographyChar">
    <w:name w:val="EndNote Bibliography Char"/>
    <w:basedOn w:val="DefaultParagraphFont"/>
    <w:link w:val="EndNoteBibliography"/>
    <w:rsid w:val="006B137C"/>
    <w:rPr>
      <w:rFonts w:ascii="Times New Roman" w:eastAsia="Times New Roman" w:hAnsi="Times New Roman" w:cs="Times New Roman"/>
      <w:noProo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E14A-5C9B-4663-8D79-178D306D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Kozlowska</dc:creator>
  <cp:lastModifiedBy>stephen scher</cp:lastModifiedBy>
  <cp:revision>4</cp:revision>
  <dcterms:created xsi:type="dcterms:W3CDTF">2015-05-06T06:22:00Z</dcterms:created>
  <dcterms:modified xsi:type="dcterms:W3CDTF">2015-05-06T08:06:00Z</dcterms:modified>
</cp:coreProperties>
</file>