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4C2B" w14:textId="77777777" w:rsidR="005D784B" w:rsidRDefault="00AA68FF">
      <w:pPr>
        <w:jc w:val="center"/>
        <w:rPr>
          <w:rFonts w:ascii="Calibri" w:eastAsia="Calibri" w:hAnsi="Calibri" w:cs="Calibri"/>
          <w:b/>
          <w:sz w:val="24"/>
          <w:szCs w:val="24"/>
        </w:rPr>
      </w:pPr>
      <w:r>
        <w:rPr>
          <w:rFonts w:ascii="Calibri" w:eastAsia="Calibri" w:hAnsi="Calibri" w:cs="Calibri"/>
          <w:b/>
          <w:sz w:val="24"/>
          <w:szCs w:val="24"/>
        </w:rPr>
        <w:t>Supplemental File</w:t>
      </w:r>
    </w:p>
    <w:p w14:paraId="0899C3CC" w14:textId="77777777" w:rsidR="005D784B" w:rsidRDefault="005D784B">
      <w:pPr>
        <w:jc w:val="center"/>
        <w:rPr>
          <w:rFonts w:ascii="Calibri" w:eastAsia="Calibri" w:hAnsi="Calibri" w:cs="Calibri"/>
          <w:b/>
          <w:sz w:val="24"/>
          <w:szCs w:val="24"/>
        </w:rPr>
      </w:pPr>
    </w:p>
    <w:p w14:paraId="0DF9291A" w14:textId="77777777" w:rsidR="005D784B" w:rsidRDefault="00AA68FF">
      <w:pPr>
        <w:shd w:val="clear" w:color="auto" w:fill="FFFFFF"/>
        <w:spacing w:after="280"/>
        <w:jc w:val="both"/>
        <w:rPr>
          <w:rFonts w:ascii="Calibri" w:eastAsia="Calibri" w:hAnsi="Calibri" w:cs="Calibri"/>
          <w:b/>
          <w:sz w:val="24"/>
          <w:szCs w:val="24"/>
        </w:rPr>
      </w:pPr>
      <w:r>
        <w:rPr>
          <w:rFonts w:ascii="Calibri" w:eastAsia="Calibri" w:hAnsi="Calibri" w:cs="Calibri"/>
          <w:b/>
          <w:sz w:val="24"/>
          <w:szCs w:val="24"/>
        </w:rPr>
        <w:t xml:space="preserve">Phase 1b dose-finding study of venetoclax with ibrutinib and rituximab in patients with relapsed/refractory diffuse large B-cell lymphoma (DLBCL) </w:t>
      </w:r>
    </w:p>
    <w:p w14:paraId="2AAA8291" w14:textId="0973E86A" w:rsidR="005D784B" w:rsidRDefault="00AA68FF">
      <w:pPr>
        <w:shd w:val="clear" w:color="auto" w:fill="FFFFFF"/>
        <w:spacing w:before="280" w:after="280"/>
        <w:jc w:val="both"/>
        <w:rPr>
          <w:rFonts w:ascii="Calibri" w:eastAsia="Calibri" w:hAnsi="Calibri" w:cs="Calibri"/>
          <w:sz w:val="24"/>
          <w:szCs w:val="24"/>
          <w:vertAlign w:val="superscript"/>
        </w:rPr>
      </w:pPr>
      <w:r>
        <w:rPr>
          <w:rFonts w:ascii="Calibri" w:eastAsia="Calibri" w:hAnsi="Calibri" w:cs="Calibri"/>
          <w:sz w:val="24"/>
          <w:szCs w:val="24"/>
        </w:rPr>
        <w:t>Alessandra Petrillo, MD,</w:t>
      </w:r>
      <w:r>
        <w:rPr>
          <w:rFonts w:ascii="Calibri" w:eastAsia="Calibri" w:hAnsi="Calibri" w:cs="Calibri"/>
          <w:sz w:val="24"/>
          <w:szCs w:val="24"/>
          <w:vertAlign w:val="superscript"/>
        </w:rPr>
        <w:t>1</w:t>
      </w:r>
      <w:r>
        <w:rPr>
          <w:rFonts w:ascii="Calibri" w:eastAsia="Calibri" w:hAnsi="Calibri" w:cs="Calibri"/>
          <w:sz w:val="24"/>
          <w:szCs w:val="24"/>
        </w:rPr>
        <w:t xml:space="preserve"> Andrew Ip, MD,</w:t>
      </w:r>
      <w:r>
        <w:rPr>
          <w:rFonts w:ascii="Calibri" w:eastAsia="Calibri" w:hAnsi="Calibri" w:cs="Calibri"/>
          <w:sz w:val="24"/>
          <w:szCs w:val="24"/>
          <w:vertAlign w:val="superscript"/>
        </w:rPr>
        <w:t>1,2,3</w:t>
      </w:r>
      <w:r>
        <w:rPr>
          <w:rFonts w:ascii="Calibri" w:eastAsia="Calibri" w:hAnsi="Calibri" w:cs="Calibri"/>
          <w:sz w:val="24"/>
          <w:szCs w:val="24"/>
        </w:rPr>
        <w:t xml:space="preserve"> Alexandra Della Pia, PharmD, MBA,</w:t>
      </w:r>
      <w:r>
        <w:rPr>
          <w:rFonts w:ascii="Calibri" w:eastAsia="Calibri" w:hAnsi="Calibri" w:cs="Calibri"/>
          <w:sz w:val="24"/>
          <w:szCs w:val="24"/>
          <w:vertAlign w:val="superscript"/>
        </w:rPr>
        <w:t xml:space="preserve">1,4 </w:t>
      </w:r>
      <w:proofErr w:type="spellStart"/>
      <w:r>
        <w:rPr>
          <w:rFonts w:ascii="Calibri" w:eastAsia="Calibri" w:hAnsi="Calibri" w:cs="Calibri"/>
          <w:sz w:val="24"/>
          <w:szCs w:val="24"/>
        </w:rPr>
        <w:t>Sar</w:t>
      </w:r>
      <w:r w:rsidR="00FE09E2">
        <w:rPr>
          <w:rFonts w:ascii="Calibri" w:eastAsia="Calibri" w:hAnsi="Calibri" w:cs="Calibri"/>
          <w:sz w:val="24"/>
          <w:szCs w:val="24"/>
        </w:rPr>
        <w:t>av</w:t>
      </w:r>
      <w:r>
        <w:rPr>
          <w:rFonts w:ascii="Calibri" w:eastAsia="Calibri" w:hAnsi="Calibri" w:cs="Calibri"/>
          <w:sz w:val="24"/>
          <w:szCs w:val="24"/>
        </w:rPr>
        <w:t>inder</w:t>
      </w:r>
      <w:proofErr w:type="spellEnd"/>
      <w:r>
        <w:rPr>
          <w:rFonts w:ascii="Calibri" w:eastAsia="Calibri" w:hAnsi="Calibri" w:cs="Calibri"/>
          <w:sz w:val="24"/>
          <w:szCs w:val="24"/>
        </w:rPr>
        <w:t xml:space="preserve"> Gill, MD,</w:t>
      </w:r>
      <w:r>
        <w:rPr>
          <w:rFonts w:ascii="Calibri" w:eastAsia="Calibri" w:hAnsi="Calibri" w:cs="Calibri"/>
          <w:sz w:val="24"/>
          <w:szCs w:val="24"/>
          <w:vertAlign w:val="superscript"/>
        </w:rPr>
        <w:t xml:space="preserve">1 </w:t>
      </w:r>
      <w:r>
        <w:rPr>
          <w:rFonts w:ascii="Calibri" w:eastAsia="Calibri" w:hAnsi="Calibri" w:cs="Calibri"/>
          <w:sz w:val="24"/>
          <w:szCs w:val="24"/>
        </w:rPr>
        <w:t>Joshua Zenreich,</w:t>
      </w:r>
      <w:r>
        <w:rPr>
          <w:rFonts w:ascii="Calibri" w:eastAsia="Calibri" w:hAnsi="Calibri" w:cs="Calibri"/>
          <w:sz w:val="24"/>
          <w:szCs w:val="24"/>
          <w:vertAlign w:val="superscript"/>
        </w:rPr>
        <w:t>3</w:t>
      </w:r>
      <w:r>
        <w:rPr>
          <w:rFonts w:ascii="Calibri" w:eastAsia="Calibri" w:hAnsi="Calibri" w:cs="Calibri"/>
          <w:sz w:val="24"/>
          <w:szCs w:val="24"/>
        </w:rPr>
        <w:t xml:space="preserve"> Martin Gutierrez, MD,</w:t>
      </w:r>
      <w:r>
        <w:rPr>
          <w:rFonts w:ascii="Calibri" w:eastAsia="Calibri" w:hAnsi="Calibri" w:cs="Calibri"/>
          <w:sz w:val="24"/>
          <w:szCs w:val="24"/>
          <w:vertAlign w:val="superscript"/>
        </w:rPr>
        <w:t>1,3</w:t>
      </w:r>
      <w:r>
        <w:rPr>
          <w:rFonts w:ascii="Calibri" w:eastAsia="Calibri" w:hAnsi="Calibri" w:cs="Calibri"/>
          <w:sz w:val="24"/>
          <w:szCs w:val="24"/>
        </w:rPr>
        <w:t xml:space="preserve"> Ann McNeill, APN,</w:t>
      </w:r>
      <w:r>
        <w:rPr>
          <w:rFonts w:ascii="Calibri" w:eastAsia="Calibri" w:hAnsi="Calibri" w:cs="Calibri"/>
          <w:sz w:val="24"/>
          <w:szCs w:val="24"/>
          <w:vertAlign w:val="superscript"/>
        </w:rPr>
        <w:t>3</w:t>
      </w:r>
      <w:r>
        <w:rPr>
          <w:rFonts w:ascii="Calibri" w:eastAsia="Calibri" w:hAnsi="Calibri" w:cs="Calibri"/>
          <w:sz w:val="24"/>
          <w:szCs w:val="24"/>
        </w:rPr>
        <w:t xml:space="preserve"> Tatyana Feldman, MD,</w:t>
      </w:r>
      <w:r>
        <w:rPr>
          <w:rFonts w:ascii="Calibri" w:eastAsia="Calibri" w:hAnsi="Calibri" w:cs="Calibri"/>
          <w:sz w:val="24"/>
          <w:szCs w:val="24"/>
          <w:vertAlign w:val="superscript"/>
        </w:rPr>
        <w:t>1,2,3</w:t>
      </w:r>
      <w:r>
        <w:rPr>
          <w:rFonts w:ascii="Calibri" w:eastAsia="Calibri" w:hAnsi="Calibri" w:cs="Calibri"/>
          <w:sz w:val="24"/>
          <w:szCs w:val="24"/>
        </w:rPr>
        <w:t xml:space="preserve"> Lori Leslie, MD,</w:t>
      </w:r>
      <w:r>
        <w:rPr>
          <w:rFonts w:ascii="Calibri" w:eastAsia="Calibri" w:hAnsi="Calibri" w:cs="Calibri"/>
          <w:sz w:val="24"/>
          <w:szCs w:val="24"/>
          <w:vertAlign w:val="superscript"/>
        </w:rPr>
        <w:t>1,2,3</w:t>
      </w:r>
      <w:r>
        <w:rPr>
          <w:rFonts w:ascii="Calibri" w:eastAsia="Calibri" w:hAnsi="Calibri" w:cs="Calibri"/>
          <w:sz w:val="24"/>
          <w:szCs w:val="24"/>
        </w:rPr>
        <w:t xml:space="preserve"> Andre Goy, MD</w:t>
      </w:r>
      <w:r>
        <w:rPr>
          <w:rFonts w:ascii="Calibri" w:eastAsia="Calibri" w:hAnsi="Calibri" w:cs="Calibri"/>
          <w:sz w:val="24"/>
          <w:szCs w:val="24"/>
          <w:vertAlign w:val="superscript"/>
        </w:rPr>
        <w:t>1,2,3</w:t>
      </w:r>
    </w:p>
    <w:p w14:paraId="6A5FD063" w14:textId="77777777" w:rsidR="005D784B" w:rsidRDefault="00AA68FF">
      <w:pPr>
        <w:rPr>
          <w:rFonts w:ascii="Calibri" w:eastAsia="Calibri" w:hAnsi="Calibri" w:cs="Calibri"/>
          <w:sz w:val="24"/>
          <w:szCs w:val="24"/>
        </w:rPr>
      </w:pPr>
      <w:r>
        <w:rPr>
          <w:rFonts w:ascii="Calibri" w:eastAsia="Calibri" w:hAnsi="Calibri" w:cs="Calibri"/>
          <w:sz w:val="24"/>
          <w:szCs w:val="24"/>
          <w:vertAlign w:val="superscript"/>
        </w:rPr>
        <w:t>1</w:t>
      </w:r>
      <w:r>
        <w:rPr>
          <w:rFonts w:ascii="Calibri" w:eastAsia="Calibri" w:hAnsi="Calibri" w:cs="Calibri"/>
          <w:sz w:val="24"/>
          <w:szCs w:val="24"/>
        </w:rPr>
        <w:t xml:space="preserve">Hackensack University Medical Center, Hackensack, NJ </w:t>
      </w:r>
    </w:p>
    <w:p w14:paraId="78CA4C64" w14:textId="77777777" w:rsidR="005D784B" w:rsidRDefault="00AA68FF">
      <w:pPr>
        <w:rPr>
          <w:rFonts w:ascii="Calibri" w:eastAsia="Calibri" w:hAnsi="Calibri" w:cs="Calibri"/>
          <w:sz w:val="24"/>
          <w:szCs w:val="24"/>
        </w:rPr>
      </w:pPr>
      <w:r>
        <w:rPr>
          <w:rFonts w:ascii="Calibri" w:eastAsia="Calibri" w:hAnsi="Calibri" w:cs="Calibri"/>
          <w:sz w:val="24"/>
          <w:szCs w:val="24"/>
          <w:vertAlign w:val="superscript"/>
        </w:rPr>
        <w:t>2</w:t>
      </w:r>
      <w:r>
        <w:rPr>
          <w:rFonts w:ascii="Calibri" w:eastAsia="Calibri" w:hAnsi="Calibri" w:cs="Calibri"/>
          <w:sz w:val="24"/>
          <w:szCs w:val="24"/>
        </w:rPr>
        <w:t>Hackensack Meridian School of Medicine, Nutley, NJ</w:t>
      </w:r>
    </w:p>
    <w:p w14:paraId="03E17DC9" w14:textId="77777777" w:rsidR="005D784B" w:rsidRDefault="00AA68FF">
      <w:pPr>
        <w:rPr>
          <w:rFonts w:ascii="Calibri" w:eastAsia="Calibri" w:hAnsi="Calibri" w:cs="Calibri"/>
          <w:sz w:val="24"/>
          <w:szCs w:val="24"/>
        </w:rPr>
      </w:pPr>
      <w:r>
        <w:rPr>
          <w:rFonts w:ascii="Calibri" w:eastAsia="Calibri" w:hAnsi="Calibri" w:cs="Calibri"/>
          <w:sz w:val="24"/>
          <w:szCs w:val="24"/>
          <w:vertAlign w:val="superscript"/>
        </w:rPr>
        <w:t>3</w:t>
      </w:r>
      <w:r>
        <w:rPr>
          <w:rFonts w:ascii="Calibri" w:eastAsia="Calibri" w:hAnsi="Calibri" w:cs="Calibri"/>
          <w:sz w:val="24"/>
          <w:szCs w:val="24"/>
        </w:rPr>
        <w:t xml:space="preserve">John </w:t>
      </w:r>
      <w:proofErr w:type="spellStart"/>
      <w:r>
        <w:rPr>
          <w:rFonts w:ascii="Calibri" w:eastAsia="Calibri" w:hAnsi="Calibri" w:cs="Calibri"/>
          <w:sz w:val="24"/>
          <w:szCs w:val="24"/>
        </w:rPr>
        <w:t>Theurer</w:t>
      </w:r>
      <w:proofErr w:type="spellEnd"/>
      <w:r>
        <w:rPr>
          <w:rFonts w:ascii="Calibri" w:eastAsia="Calibri" w:hAnsi="Calibri" w:cs="Calibri"/>
          <w:sz w:val="24"/>
          <w:szCs w:val="24"/>
        </w:rPr>
        <w:t xml:space="preserve"> Cancer Center, Hackensack University Medical Center, Hackensack, NJ</w:t>
      </w:r>
    </w:p>
    <w:p w14:paraId="7CA33965" w14:textId="77777777" w:rsidR="005D784B" w:rsidRDefault="00AA68FF">
      <w:pPr>
        <w:rPr>
          <w:rFonts w:ascii="Calibri" w:eastAsia="Calibri" w:hAnsi="Calibri" w:cs="Calibri"/>
          <w:sz w:val="24"/>
          <w:szCs w:val="24"/>
        </w:rPr>
      </w:pPr>
      <w:r>
        <w:rPr>
          <w:rFonts w:ascii="Calibri" w:eastAsia="Calibri" w:hAnsi="Calibri" w:cs="Calibri"/>
          <w:sz w:val="24"/>
          <w:szCs w:val="24"/>
          <w:vertAlign w:val="superscript"/>
        </w:rPr>
        <w:t>4</w:t>
      </w:r>
      <w:r>
        <w:rPr>
          <w:rFonts w:ascii="Calibri" w:eastAsia="Calibri" w:hAnsi="Calibri" w:cs="Calibri"/>
          <w:sz w:val="24"/>
          <w:szCs w:val="24"/>
        </w:rPr>
        <w:t>Ernest Mario School of Pharmacy at Rutgers University, Piscataway, NJ</w:t>
      </w:r>
    </w:p>
    <w:p w14:paraId="1CDDCC6F" w14:textId="77777777" w:rsidR="005D784B" w:rsidRDefault="005D784B">
      <w:pPr>
        <w:shd w:val="clear" w:color="auto" w:fill="FFFFFF"/>
        <w:spacing w:after="280"/>
        <w:jc w:val="both"/>
        <w:rPr>
          <w:rFonts w:ascii="Calibri" w:eastAsia="Calibri" w:hAnsi="Calibri" w:cs="Calibri"/>
          <w:b/>
          <w:sz w:val="24"/>
          <w:szCs w:val="24"/>
        </w:rPr>
      </w:pPr>
    </w:p>
    <w:p w14:paraId="03F871CE" w14:textId="77777777" w:rsidR="005D784B" w:rsidRDefault="00AA68FF">
      <w:pPr>
        <w:shd w:val="clear" w:color="auto" w:fill="FFFFFF"/>
        <w:spacing w:after="280"/>
        <w:jc w:val="both"/>
        <w:rPr>
          <w:rFonts w:ascii="Calibri" w:eastAsia="Calibri" w:hAnsi="Calibri" w:cs="Calibri"/>
          <w:b/>
          <w:sz w:val="24"/>
          <w:szCs w:val="24"/>
        </w:rPr>
      </w:pPr>
      <w:r>
        <w:rPr>
          <w:rFonts w:ascii="Calibri" w:eastAsia="Calibri" w:hAnsi="Calibri" w:cs="Calibri"/>
          <w:b/>
          <w:sz w:val="24"/>
          <w:szCs w:val="24"/>
        </w:rPr>
        <w:t>Supplemental Methods</w:t>
      </w:r>
    </w:p>
    <w:p w14:paraId="6D329724" w14:textId="77777777" w:rsidR="005D784B" w:rsidRDefault="00AA68FF">
      <w:pPr>
        <w:shd w:val="clear" w:color="auto" w:fill="FFFFFF"/>
        <w:spacing w:after="280"/>
        <w:jc w:val="both"/>
        <w:rPr>
          <w:rFonts w:ascii="Calibri" w:eastAsia="Calibri" w:hAnsi="Calibri" w:cs="Calibri"/>
          <w:b/>
          <w:sz w:val="24"/>
          <w:szCs w:val="24"/>
        </w:rPr>
      </w:pPr>
      <w:r>
        <w:rPr>
          <w:rFonts w:ascii="Calibri" w:eastAsia="Calibri" w:hAnsi="Calibri" w:cs="Calibri"/>
          <w:b/>
          <w:sz w:val="24"/>
          <w:szCs w:val="24"/>
        </w:rPr>
        <w:t>Inclusion Criteria</w:t>
      </w:r>
    </w:p>
    <w:p w14:paraId="48DD3FD5" w14:textId="77777777" w:rsidR="005D784B" w:rsidRDefault="00AA68FF">
      <w:pPr>
        <w:numPr>
          <w:ilvl w:val="0"/>
          <w:numId w:val="1"/>
        </w:numPr>
        <w:shd w:val="clear" w:color="auto" w:fill="FFFFFF"/>
        <w:jc w:val="both"/>
        <w:rPr>
          <w:rFonts w:ascii="Calibri" w:eastAsia="Calibri" w:hAnsi="Calibri" w:cs="Calibri"/>
          <w:sz w:val="24"/>
          <w:szCs w:val="24"/>
        </w:rPr>
      </w:pPr>
      <w:r>
        <w:rPr>
          <w:rFonts w:ascii="Calibri" w:eastAsia="Calibri" w:hAnsi="Calibri" w:cs="Calibri"/>
          <w:sz w:val="24"/>
          <w:szCs w:val="24"/>
        </w:rPr>
        <w:t>Eastern Cooperative Oncology Group Performance Status &lt;/= 2.</w:t>
      </w:r>
    </w:p>
    <w:p w14:paraId="6AE69CAD" w14:textId="77777777" w:rsidR="005D784B" w:rsidRDefault="00AA68FF">
      <w:pPr>
        <w:numPr>
          <w:ilvl w:val="0"/>
          <w:numId w:val="1"/>
        </w:numPr>
        <w:shd w:val="clear" w:color="auto" w:fill="FFFFFF"/>
        <w:jc w:val="both"/>
        <w:rPr>
          <w:rFonts w:ascii="Calibri" w:eastAsia="Calibri" w:hAnsi="Calibri" w:cs="Calibri"/>
          <w:sz w:val="24"/>
          <w:szCs w:val="24"/>
        </w:rPr>
      </w:pPr>
      <w:r>
        <w:rPr>
          <w:rFonts w:ascii="Calibri" w:eastAsia="Calibri" w:hAnsi="Calibri" w:cs="Calibri"/>
          <w:sz w:val="24"/>
          <w:szCs w:val="24"/>
        </w:rPr>
        <w:t>Histologically or cytologically confirmed diagnosis of advanced DLBCL.</w:t>
      </w:r>
    </w:p>
    <w:p w14:paraId="2C1591EF" w14:textId="77777777" w:rsidR="005D784B" w:rsidRDefault="00AA68FF">
      <w:pPr>
        <w:numPr>
          <w:ilvl w:val="0"/>
          <w:numId w:val="1"/>
        </w:numPr>
        <w:shd w:val="clear" w:color="auto" w:fill="FFFFFF"/>
        <w:jc w:val="both"/>
        <w:rPr>
          <w:rFonts w:ascii="Calibri" w:eastAsia="Calibri" w:hAnsi="Calibri" w:cs="Calibri"/>
          <w:sz w:val="24"/>
          <w:szCs w:val="24"/>
        </w:rPr>
      </w:pPr>
      <w:r>
        <w:rPr>
          <w:rFonts w:ascii="Calibri" w:eastAsia="Calibri" w:hAnsi="Calibri" w:cs="Calibri"/>
          <w:sz w:val="24"/>
          <w:szCs w:val="24"/>
        </w:rPr>
        <w:t>Ability and willingness to comply with the requirements of the study protocol</w:t>
      </w:r>
    </w:p>
    <w:p w14:paraId="528C45AE" w14:textId="77777777" w:rsidR="005D784B" w:rsidRDefault="00AA68FF">
      <w:pPr>
        <w:numPr>
          <w:ilvl w:val="0"/>
          <w:numId w:val="1"/>
        </w:numPr>
        <w:shd w:val="clear" w:color="auto" w:fill="FFFFFF"/>
        <w:jc w:val="both"/>
        <w:rPr>
          <w:rFonts w:ascii="Calibri" w:eastAsia="Calibri" w:hAnsi="Calibri" w:cs="Calibri"/>
          <w:sz w:val="24"/>
          <w:szCs w:val="24"/>
        </w:rPr>
      </w:pPr>
      <w:r>
        <w:rPr>
          <w:rFonts w:ascii="Calibri" w:eastAsia="Calibri" w:hAnsi="Calibri" w:cs="Calibri"/>
          <w:sz w:val="24"/>
          <w:szCs w:val="24"/>
        </w:rPr>
        <w:t>Prior therapy: relapsed or refractory patients who have received one prior therapy are eligible. If treated with small molecule, washout therapy with a period of greater than 5x the half-life of the molecule. Patients who have previously received high-dose chemotherapy with peripheral stem cell support are eligible. Washout period of 21 days.</w:t>
      </w:r>
    </w:p>
    <w:p w14:paraId="6A5A0577" w14:textId="77777777" w:rsidR="005D784B" w:rsidRDefault="00AA68FF">
      <w:pPr>
        <w:numPr>
          <w:ilvl w:val="0"/>
          <w:numId w:val="1"/>
        </w:numPr>
        <w:shd w:val="clear" w:color="auto" w:fill="FFFFFF"/>
        <w:jc w:val="both"/>
        <w:rPr>
          <w:rFonts w:ascii="Calibri" w:eastAsia="Calibri" w:hAnsi="Calibri" w:cs="Calibri"/>
          <w:sz w:val="24"/>
          <w:szCs w:val="24"/>
        </w:rPr>
      </w:pPr>
      <w:r>
        <w:rPr>
          <w:rFonts w:ascii="Calibri" w:eastAsia="Calibri" w:hAnsi="Calibri" w:cs="Calibri"/>
          <w:sz w:val="24"/>
          <w:szCs w:val="24"/>
        </w:rPr>
        <w:t>Presence of at least one lymph node evaluable or mass measurable for response.</w:t>
      </w:r>
    </w:p>
    <w:p w14:paraId="1A909D98" w14:textId="77777777" w:rsidR="005D784B" w:rsidRDefault="00AA68FF">
      <w:pPr>
        <w:numPr>
          <w:ilvl w:val="0"/>
          <w:numId w:val="1"/>
        </w:numPr>
        <w:shd w:val="clear" w:color="auto" w:fill="FFFFFF"/>
        <w:jc w:val="both"/>
        <w:rPr>
          <w:rFonts w:ascii="Calibri" w:eastAsia="Calibri" w:hAnsi="Calibri" w:cs="Calibri"/>
          <w:sz w:val="24"/>
          <w:szCs w:val="24"/>
        </w:rPr>
      </w:pPr>
      <w:r>
        <w:rPr>
          <w:rFonts w:ascii="Calibri" w:eastAsia="Calibri" w:hAnsi="Calibri" w:cs="Calibri"/>
          <w:sz w:val="24"/>
          <w:szCs w:val="24"/>
        </w:rPr>
        <w:t>Age greater than or equal to 18 years.</w:t>
      </w:r>
    </w:p>
    <w:p w14:paraId="38FA9142" w14:textId="77777777" w:rsidR="005D784B" w:rsidRDefault="00AA68FF">
      <w:pPr>
        <w:numPr>
          <w:ilvl w:val="0"/>
          <w:numId w:val="1"/>
        </w:numPr>
        <w:shd w:val="clear" w:color="auto" w:fill="FFFFFF"/>
        <w:jc w:val="both"/>
        <w:rPr>
          <w:rFonts w:ascii="Calibri" w:eastAsia="Calibri" w:hAnsi="Calibri" w:cs="Calibri"/>
          <w:sz w:val="24"/>
          <w:szCs w:val="24"/>
        </w:rPr>
      </w:pPr>
      <w:r>
        <w:rPr>
          <w:rFonts w:ascii="Calibri" w:eastAsia="Calibri" w:hAnsi="Calibri" w:cs="Calibri"/>
          <w:sz w:val="24"/>
          <w:szCs w:val="24"/>
        </w:rPr>
        <w:t>Recovery from any previous treatment therapy.</w:t>
      </w:r>
    </w:p>
    <w:p w14:paraId="7FA35DED" w14:textId="77777777" w:rsidR="005D784B" w:rsidRDefault="00AA68FF">
      <w:pPr>
        <w:numPr>
          <w:ilvl w:val="0"/>
          <w:numId w:val="1"/>
        </w:numPr>
        <w:shd w:val="clear" w:color="auto" w:fill="FFFFFF"/>
        <w:jc w:val="both"/>
        <w:rPr>
          <w:rFonts w:ascii="Calibri" w:eastAsia="Calibri" w:hAnsi="Calibri" w:cs="Calibri"/>
          <w:sz w:val="24"/>
          <w:szCs w:val="24"/>
        </w:rPr>
      </w:pPr>
      <w:r>
        <w:rPr>
          <w:rFonts w:ascii="Calibri" w:eastAsia="Calibri" w:hAnsi="Calibri" w:cs="Calibri"/>
          <w:sz w:val="24"/>
          <w:szCs w:val="24"/>
        </w:rPr>
        <w:t>Laboratory parameters:</w:t>
      </w:r>
    </w:p>
    <w:p w14:paraId="39573BD8" w14:textId="14130B23" w:rsidR="005D784B" w:rsidRDefault="00AA68FF">
      <w:pPr>
        <w:numPr>
          <w:ilvl w:val="1"/>
          <w:numId w:val="1"/>
        </w:numPr>
        <w:shd w:val="clear" w:color="auto" w:fill="FFFFFF"/>
        <w:jc w:val="both"/>
        <w:rPr>
          <w:rFonts w:ascii="Calibri" w:eastAsia="Calibri" w:hAnsi="Calibri" w:cs="Calibri"/>
          <w:sz w:val="24"/>
          <w:szCs w:val="24"/>
        </w:rPr>
      </w:pPr>
      <w:r>
        <w:rPr>
          <w:rFonts w:ascii="Calibri" w:eastAsia="Calibri" w:hAnsi="Calibri" w:cs="Calibri"/>
          <w:sz w:val="24"/>
          <w:szCs w:val="24"/>
        </w:rPr>
        <w:t>Absolute neutrophil count (ANC) 1000/mm</w:t>
      </w:r>
      <w:r w:rsidRPr="00AA68FF">
        <w:rPr>
          <w:rFonts w:ascii="Calibri" w:eastAsia="Calibri" w:hAnsi="Calibri" w:cs="Calibri"/>
          <w:sz w:val="24"/>
          <w:szCs w:val="24"/>
          <w:vertAlign w:val="superscript"/>
        </w:rPr>
        <w:t>3</w:t>
      </w:r>
      <w:r>
        <w:rPr>
          <w:rFonts w:ascii="Calibri" w:eastAsia="Calibri" w:hAnsi="Calibri" w:cs="Calibri"/>
          <w:sz w:val="24"/>
          <w:szCs w:val="24"/>
        </w:rPr>
        <w:t xml:space="preserve"> independent of growth factor support (unless the treating physician deems the neutropenia is related to bone marrow involvement, then an ANC of &gt; 750/mm</w:t>
      </w:r>
      <w:r w:rsidRPr="00AA68FF">
        <w:rPr>
          <w:rFonts w:ascii="Calibri" w:eastAsia="Calibri" w:hAnsi="Calibri" w:cs="Calibri"/>
          <w:sz w:val="24"/>
          <w:szCs w:val="24"/>
          <w:vertAlign w:val="superscript"/>
        </w:rPr>
        <w:t>3</w:t>
      </w:r>
      <w:r>
        <w:rPr>
          <w:rFonts w:ascii="Calibri" w:eastAsia="Calibri" w:hAnsi="Calibri" w:cs="Calibri"/>
          <w:sz w:val="24"/>
          <w:szCs w:val="24"/>
        </w:rPr>
        <w:t xml:space="preserve"> is allowed)</w:t>
      </w:r>
    </w:p>
    <w:p w14:paraId="629F92ED" w14:textId="77777777" w:rsidR="005D784B" w:rsidRDefault="00AA68FF">
      <w:pPr>
        <w:numPr>
          <w:ilvl w:val="1"/>
          <w:numId w:val="1"/>
        </w:numPr>
        <w:shd w:val="clear" w:color="auto" w:fill="FFFFFF"/>
        <w:jc w:val="both"/>
        <w:rPr>
          <w:rFonts w:ascii="Calibri" w:eastAsia="Calibri" w:hAnsi="Calibri" w:cs="Calibri"/>
          <w:sz w:val="24"/>
          <w:szCs w:val="24"/>
        </w:rPr>
      </w:pPr>
      <w:r>
        <w:rPr>
          <w:rFonts w:ascii="Calibri" w:eastAsia="Calibri" w:hAnsi="Calibri" w:cs="Calibri"/>
          <w:sz w:val="24"/>
          <w:szCs w:val="24"/>
        </w:rPr>
        <w:t>Platelets 100,000/mm</w:t>
      </w:r>
      <w:r w:rsidRPr="00AA68FF">
        <w:rPr>
          <w:rFonts w:ascii="Calibri" w:eastAsia="Calibri" w:hAnsi="Calibri" w:cs="Calibri"/>
          <w:sz w:val="24"/>
          <w:szCs w:val="24"/>
          <w:vertAlign w:val="superscript"/>
        </w:rPr>
        <w:t>3</w:t>
      </w:r>
      <w:r>
        <w:rPr>
          <w:rFonts w:ascii="Calibri" w:eastAsia="Calibri" w:hAnsi="Calibri" w:cs="Calibri"/>
          <w:sz w:val="24"/>
          <w:szCs w:val="24"/>
        </w:rPr>
        <w:t xml:space="preserve"> or 50,000/mm</w:t>
      </w:r>
      <w:r w:rsidRPr="00AA68FF">
        <w:rPr>
          <w:rFonts w:ascii="Calibri" w:eastAsia="Calibri" w:hAnsi="Calibri" w:cs="Calibri"/>
          <w:sz w:val="24"/>
          <w:szCs w:val="24"/>
          <w:vertAlign w:val="superscript"/>
        </w:rPr>
        <w:t>3</w:t>
      </w:r>
      <w:r>
        <w:rPr>
          <w:rFonts w:ascii="Calibri" w:eastAsia="Calibri" w:hAnsi="Calibri" w:cs="Calibri"/>
          <w:sz w:val="24"/>
          <w:szCs w:val="24"/>
        </w:rPr>
        <w:t xml:space="preserve"> if bone marrow involvement independent of transfusion support in either situation</w:t>
      </w:r>
    </w:p>
    <w:p w14:paraId="1ED4768D" w14:textId="77777777" w:rsidR="005D784B" w:rsidRDefault="00AA68FF">
      <w:pPr>
        <w:numPr>
          <w:ilvl w:val="1"/>
          <w:numId w:val="1"/>
        </w:numPr>
        <w:shd w:val="clear" w:color="auto" w:fill="FFFFFF"/>
        <w:jc w:val="both"/>
        <w:rPr>
          <w:rFonts w:ascii="Calibri" w:eastAsia="Calibri" w:hAnsi="Calibri" w:cs="Calibri"/>
          <w:sz w:val="24"/>
          <w:szCs w:val="24"/>
        </w:rPr>
      </w:pPr>
      <w:r>
        <w:rPr>
          <w:rFonts w:ascii="Calibri" w:eastAsia="Calibri" w:hAnsi="Calibri" w:cs="Calibri"/>
          <w:sz w:val="24"/>
          <w:szCs w:val="24"/>
        </w:rPr>
        <w:t>Total bilirubin ≤ 1.5 x ULN unless bilirubin rise is due to Gilbert’s syndrome or of non-hepatic origin</w:t>
      </w:r>
    </w:p>
    <w:p w14:paraId="57D4BAA4" w14:textId="77777777" w:rsidR="005D784B" w:rsidRDefault="00AA68FF">
      <w:pPr>
        <w:numPr>
          <w:ilvl w:val="1"/>
          <w:numId w:val="1"/>
        </w:numPr>
        <w:shd w:val="clear" w:color="auto" w:fill="FFFFFF"/>
        <w:jc w:val="both"/>
        <w:rPr>
          <w:rFonts w:ascii="Calibri" w:eastAsia="Calibri" w:hAnsi="Calibri" w:cs="Calibri"/>
          <w:sz w:val="24"/>
          <w:szCs w:val="24"/>
        </w:rPr>
      </w:pPr>
      <w:r>
        <w:rPr>
          <w:rFonts w:ascii="Calibri" w:eastAsia="Calibri" w:hAnsi="Calibri" w:cs="Calibri"/>
          <w:sz w:val="24"/>
          <w:szCs w:val="24"/>
        </w:rPr>
        <w:t>AST (SGOT) and ALT (SGPT) ≤ 3 x upper limit of normal (ULN)</w:t>
      </w:r>
    </w:p>
    <w:p w14:paraId="170900FE" w14:textId="77777777" w:rsidR="005D784B" w:rsidRDefault="00AA68FF">
      <w:pPr>
        <w:numPr>
          <w:ilvl w:val="1"/>
          <w:numId w:val="1"/>
        </w:numPr>
        <w:shd w:val="clear" w:color="auto" w:fill="FFFFFF"/>
        <w:jc w:val="both"/>
        <w:rPr>
          <w:rFonts w:ascii="Calibri" w:eastAsia="Calibri" w:hAnsi="Calibri" w:cs="Calibri"/>
          <w:sz w:val="24"/>
          <w:szCs w:val="24"/>
        </w:rPr>
      </w:pPr>
      <w:r>
        <w:rPr>
          <w:rFonts w:ascii="Calibri" w:eastAsia="Calibri" w:hAnsi="Calibri" w:cs="Calibri"/>
          <w:sz w:val="24"/>
          <w:szCs w:val="24"/>
        </w:rPr>
        <w:lastRenderedPageBreak/>
        <w:t xml:space="preserve">Creatinine: </w:t>
      </w:r>
      <w:proofErr w:type="spellStart"/>
      <w:r>
        <w:rPr>
          <w:rFonts w:ascii="Calibri" w:eastAsia="Calibri" w:hAnsi="Calibri" w:cs="Calibri"/>
          <w:sz w:val="24"/>
          <w:szCs w:val="24"/>
        </w:rPr>
        <w:t>CrCl</w:t>
      </w:r>
      <w:proofErr w:type="spellEnd"/>
      <w:r>
        <w:rPr>
          <w:rFonts w:ascii="Calibri" w:eastAsia="Calibri" w:hAnsi="Calibri" w:cs="Calibri"/>
          <w:sz w:val="24"/>
          <w:szCs w:val="24"/>
        </w:rPr>
        <w:t xml:space="preserve"> 50 ml/min (calculated using Cockcroft-Gault Formula-Appendix 2) Prothrombin time (PT)or international normalized ratio and partial thromboplastin time (PTT) not to exceed 1.2 times the institution’s normal range</w:t>
      </w:r>
    </w:p>
    <w:p w14:paraId="4F77DAD4" w14:textId="77777777" w:rsidR="005D784B" w:rsidRDefault="00AA68FF">
      <w:pPr>
        <w:numPr>
          <w:ilvl w:val="0"/>
          <w:numId w:val="1"/>
        </w:numPr>
        <w:shd w:val="clear" w:color="auto" w:fill="FFFFFF"/>
        <w:jc w:val="both"/>
        <w:rPr>
          <w:rFonts w:ascii="Calibri" w:eastAsia="Calibri" w:hAnsi="Calibri" w:cs="Calibri"/>
          <w:sz w:val="24"/>
          <w:szCs w:val="24"/>
        </w:rPr>
      </w:pPr>
      <w:r>
        <w:rPr>
          <w:rFonts w:ascii="Calibri" w:eastAsia="Calibri" w:hAnsi="Calibri" w:cs="Calibri"/>
          <w:sz w:val="24"/>
          <w:szCs w:val="24"/>
        </w:rPr>
        <w:t>Women of childbearing potential and men who are sexually active must be practicing a highly effective method of birth control during and after the study consistent with local regulations regarding the use of birth control methods for subjects participating in clinical trials. Men must agree to not donate sperm during and after the study. For females, these restrictions apply for 3 months after Venetoclax and 12 months after Rituximab For males, these restrictions apply for 3 months after the last dose of study drug.</w:t>
      </w:r>
    </w:p>
    <w:p w14:paraId="4412C697" w14:textId="77777777" w:rsidR="005D784B" w:rsidRDefault="00AA68FF">
      <w:pPr>
        <w:numPr>
          <w:ilvl w:val="0"/>
          <w:numId w:val="1"/>
        </w:numPr>
        <w:shd w:val="clear" w:color="auto" w:fill="FFFFFF"/>
        <w:jc w:val="both"/>
        <w:rPr>
          <w:rFonts w:ascii="Calibri" w:eastAsia="Calibri" w:hAnsi="Calibri" w:cs="Calibri"/>
          <w:sz w:val="24"/>
          <w:szCs w:val="24"/>
        </w:rPr>
      </w:pPr>
      <w:r>
        <w:rPr>
          <w:rFonts w:ascii="Calibri" w:eastAsia="Calibri" w:hAnsi="Calibri" w:cs="Calibri"/>
          <w:sz w:val="24"/>
          <w:szCs w:val="24"/>
        </w:rPr>
        <w:t>Women of childbearing potential must have a negative serum (beta-human chorionic gonadotropin [-hCG]) or urine pregnancy test at Screening. Women who are pregnant or breastfeeding are ineligible for this study.</w:t>
      </w:r>
    </w:p>
    <w:p w14:paraId="1F5964F3" w14:textId="19CD9336" w:rsidR="005D784B" w:rsidRDefault="00AA68FF">
      <w:pPr>
        <w:numPr>
          <w:ilvl w:val="0"/>
          <w:numId w:val="1"/>
        </w:numPr>
        <w:shd w:val="clear" w:color="auto" w:fill="FFFFFF"/>
        <w:spacing w:after="280"/>
        <w:jc w:val="both"/>
        <w:rPr>
          <w:rFonts w:ascii="Calibri" w:eastAsia="Calibri" w:hAnsi="Calibri" w:cs="Calibri"/>
          <w:sz w:val="24"/>
          <w:szCs w:val="24"/>
        </w:rPr>
      </w:pPr>
      <w:r>
        <w:rPr>
          <w:rFonts w:ascii="Calibri" w:eastAsia="Calibri" w:hAnsi="Calibri" w:cs="Calibri"/>
          <w:sz w:val="24"/>
          <w:szCs w:val="24"/>
        </w:rPr>
        <w:t xml:space="preserve">Sign (or their </w:t>
      </w:r>
      <w:r w:rsidR="00BD7D5C">
        <w:rPr>
          <w:rFonts w:ascii="Calibri" w:eastAsia="Calibri" w:hAnsi="Calibri" w:cs="Calibri"/>
          <w:sz w:val="24"/>
          <w:szCs w:val="24"/>
        </w:rPr>
        <w:t>legally acceptable</w:t>
      </w:r>
      <w:r>
        <w:rPr>
          <w:rFonts w:ascii="Calibri" w:eastAsia="Calibri" w:hAnsi="Calibri" w:cs="Calibri"/>
          <w:sz w:val="24"/>
          <w:szCs w:val="24"/>
        </w:rPr>
        <w:t xml:space="preserve"> representatives must sign) an informed consent document indicating that they understand the purpose </w:t>
      </w:r>
      <w:proofErr w:type="gramStart"/>
      <w:r>
        <w:rPr>
          <w:rFonts w:ascii="Calibri" w:eastAsia="Calibri" w:hAnsi="Calibri" w:cs="Calibri"/>
          <w:sz w:val="24"/>
          <w:szCs w:val="24"/>
        </w:rPr>
        <w:t>of</w:t>
      </w:r>
      <w:proofErr w:type="gramEnd"/>
      <w:r>
        <w:rPr>
          <w:rFonts w:ascii="Calibri" w:eastAsia="Calibri" w:hAnsi="Calibri" w:cs="Calibri"/>
          <w:sz w:val="24"/>
          <w:szCs w:val="24"/>
        </w:rPr>
        <w:t xml:space="preserve"> and procedures required for the study, including biomarkers, and are willing to participate in the study</w:t>
      </w:r>
    </w:p>
    <w:p w14:paraId="43828CCD" w14:textId="77777777" w:rsidR="005D784B" w:rsidRDefault="00AA68FF">
      <w:pPr>
        <w:shd w:val="clear" w:color="auto" w:fill="FFFFFF"/>
        <w:spacing w:after="280"/>
        <w:jc w:val="both"/>
        <w:rPr>
          <w:rFonts w:ascii="Calibri" w:eastAsia="Calibri" w:hAnsi="Calibri" w:cs="Calibri"/>
          <w:b/>
          <w:sz w:val="24"/>
          <w:szCs w:val="24"/>
        </w:rPr>
      </w:pPr>
      <w:r>
        <w:rPr>
          <w:rFonts w:ascii="Calibri" w:eastAsia="Calibri" w:hAnsi="Calibri" w:cs="Calibri"/>
          <w:b/>
          <w:sz w:val="24"/>
          <w:szCs w:val="24"/>
        </w:rPr>
        <w:t>Exclusion Criteria</w:t>
      </w:r>
    </w:p>
    <w:p w14:paraId="02607C1A" w14:textId="77777777" w:rsidR="005D784B" w:rsidRDefault="00AA68FF">
      <w:pPr>
        <w:numPr>
          <w:ilvl w:val="0"/>
          <w:numId w:val="3"/>
        </w:numPr>
        <w:shd w:val="clear" w:color="auto" w:fill="FFFFFF"/>
        <w:spacing w:before="280"/>
        <w:jc w:val="both"/>
        <w:rPr>
          <w:rFonts w:ascii="Calibri" w:eastAsia="Calibri" w:hAnsi="Calibri" w:cs="Calibri"/>
          <w:sz w:val="24"/>
          <w:szCs w:val="24"/>
        </w:rPr>
      </w:pPr>
      <w:r>
        <w:rPr>
          <w:rFonts w:ascii="Calibri" w:eastAsia="Calibri" w:hAnsi="Calibri" w:cs="Calibri"/>
          <w:sz w:val="24"/>
          <w:szCs w:val="24"/>
        </w:rPr>
        <w:t>Known central nervous system lymphoma.</w:t>
      </w:r>
    </w:p>
    <w:p w14:paraId="4A85ACF0" w14:textId="77777777" w:rsidR="005D784B" w:rsidRDefault="00AA68FF">
      <w:pPr>
        <w:numPr>
          <w:ilvl w:val="0"/>
          <w:numId w:val="3"/>
        </w:numPr>
        <w:shd w:val="clear" w:color="auto" w:fill="FFFFFF"/>
        <w:jc w:val="both"/>
        <w:rPr>
          <w:rFonts w:ascii="Calibri" w:eastAsia="Calibri" w:hAnsi="Calibri" w:cs="Calibri"/>
          <w:sz w:val="24"/>
          <w:szCs w:val="24"/>
        </w:rPr>
      </w:pPr>
      <w:r>
        <w:rPr>
          <w:rFonts w:ascii="Calibri" w:eastAsia="Calibri" w:hAnsi="Calibri" w:cs="Calibri"/>
          <w:sz w:val="24"/>
          <w:szCs w:val="24"/>
        </w:rPr>
        <w:t>History of stroke or intracranial hemorrhage within 6 months prior to enrollment.</w:t>
      </w:r>
    </w:p>
    <w:p w14:paraId="05485593" w14:textId="77777777" w:rsidR="005D784B" w:rsidRDefault="00AA68FF">
      <w:pPr>
        <w:numPr>
          <w:ilvl w:val="0"/>
          <w:numId w:val="3"/>
        </w:numPr>
        <w:shd w:val="clear" w:color="auto" w:fill="FFFFFF"/>
        <w:jc w:val="both"/>
        <w:rPr>
          <w:rFonts w:ascii="Calibri" w:eastAsia="Calibri" w:hAnsi="Calibri" w:cs="Calibri"/>
          <w:sz w:val="24"/>
          <w:szCs w:val="24"/>
        </w:rPr>
      </w:pPr>
      <w:r>
        <w:rPr>
          <w:rFonts w:ascii="Calibri" w:eastAsia="Calibri" w:hAnsi="Calibri" w:cs="Calibri"/>
          <w:sz w:val="24"/>
          <w:szCs w:val="24"/>
        </w:rPr>
        <w:t>Requires anticoagulation with warfarin or equivalent vitamin K antagonists (</w:t>
      </w:r>
      <w:proofErr w:type="spellStart"/>
      <w:r>
        <w:rPr>
          <w:rFonts w:ascii="Calibri" w:eastAsia="Calibri" w:hAnsi="Calibri" w:cs="Calibri"/>
          <w:sz w:val="24"/>
          <w:szCs w:val="24"/>
        </w:rPr>
        <w:t>eg</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phenprocoumon</w:t>
      </w:r>
      <w:proofErr w:type="spellEnd"/>
      <w:r>
        <w:rPr>
          <w:rFonts w:ascii="Calibri" w:eastAsia="Calibri" w:hAnsi="Calibri" w:cs="Calibri"/>
          <w:sz w:val="24"/>
          <w:szCs w:val="24"/>
        </w:rPr>
        <w:t>).</w:t>
      </w:r>
    </w:p>
    <w:p w14:paraId="43079F7A" w14:textId="77777777" w:rsidR="005D784B" w:rsidRDefault="00AA68FF">
      <w:pPr>
        <w:numPr>
          <w:ilvl w:val="0"/>
          <w:numId w:val="3"/>
        </w:numPr>
        <w:shd w:val="clear" w:color="auto" w:fill="FFFFFF"/>
        <w:jc w:val="both"/>
        <w:rPr>
          <w:rFonts w:ascii="Calibri" w:eastAsia="Calibri" w:hAnsi="Calibri" w:cs="Calibri"/>
          <w:sz w:val="24"/>
          <w:szCs w:val="24"/>
        </w:rPr>
      </w:pPr>
      <w:r>
        <w:rPr>
          <w:rFonts w:ascii="Calibri" w:eastAsia="Calibri" w:hAnsi="Calibri" w:cs="Calibri"/>
          <w:sz w:val="24"/>
          <w:szCs w:val="24"/>
        </w:rPr>
        <w:t xml:space="preserve">Received the following agents within 7 days prior to the first dose of venetoclax or requires chronic treatment with strong CYP3A inhibitors (e.g., ketoconazole, ritonavir, clarithromycin, itraconazole, voriconazole), moderate CYP3A inhibitors (e.g., erythromycin, ciprofloxacin, diltiazem, fluconazole, verapamil), strong CYP3A inducers (e.g., carbamazepine, phenytoin, rifampin, St. John's wort) or moderate CYP3Ainducers (e.g., </w:t>
      </w:r>
      <w:proofErr w:type="spellStart"/>
      <w:r>
        <w:rPr>
          <w:rFonts w:ascii="Calibri" w:eastAsia="Calibri" w:hAnsi="Calibri" w:cs="Calibri"/>
          <w:sz w:val="24"/>
          <w:szCs w:val="24"/>
        </w:rPr>
        <w:t>bosentan</w:t>
      </w:r>
      <w:proofErr w:type="spellEnd"/>
      <w:r>
        <w:rPr>
          <w:rFonts w:ascii="Calibri" w:eastAsia="Calibri" w:hAnsi="Calibri" w:cs="Calibri"/>
          <w:sz w:val="24"/>
          <w:szCs w:val="24"/>
        </w:rPr>
        <w:t xml:space="preserve">, efavirenz, </w:t>
      </w:r>
      <w:proofErr w:type="spellStart"/>
      <w:r>
        <w:rPr>
          <w:rFonts w:ascii="Calibri" w:eastAsia="Calibri" w:hAnsi="Calibri" w:cs="Calibri"/>
          <w:sz w:val="24"/>
          <w:szCs w:val="24"/>
        </w:rPr>
        <w:t>etavirine</w:t>
      </w:r>
      <w:proofErr w:type="spellEnd"/>
      <w:r>
        <w:rPr>
          <w:rFonts w:ascii="Calibri" w:eastAsia="Calibri" w:hAnsi="Calibri" w:cs="Calibri"/>
          <w:sz w:val="24"/>
          <w:szCs w:val="24"/>
        </w:rPr>
        <w:t>). (See Appendix 4)</w:t>
      </w:r>
    </w:p>
    <w:p w14:paraId="167DD235" w14:textId="77777777" w:rsidR="005D784B" w:rsidRDefault="00AA68FF">
      <w:pPr>
        <w:numPr>
          <w:ilvl w:val="0"/>
          <w:numId w:val="3"/>
        </w:numPr>
        <w:shd w:val="clear" w:color="auto" w:fill="FFFFFF"/>
        <w:jc w:val="both"/>
        <w:rPr>
          <w:rFonts w:ascii="Calibri" w:eastAsia="Calibri" w:hAnsi="Calibri" w:cs="Calibri"/>
          <w:sz w:val="24"/>
          <w:szCs w:val="24"/>
        </w:rPr>
      </w:pPr>
      <w:r>
        <w:rPr>
          <w:rFonts w:ascii="Calibri" w:eastAsia="Calibri" w:hAnsi="Calibri" w:cs="Calibri"/>
          <w:sz w:val="24"/>
          <w:szCs w:val="24"/>
        </w:rPr>
        <w:t>Clinically significant cardiovascular disease such as uncontrolled or symptomatic arrhythmias, congestive heart failure, or myocardial infarction within 6 months of Screening, or any Class 3 (moderate) or Class 4 (severe) cardiac disease as defined by the New York Heart Association Functional Classification.</w:t>
      </w:r>
    </w:p>
    <w:p w14:paraId="73F5E848" w14:textId="77777777" w:rsidR="005D784B" w:rsidRDefault="00AA68FF">
      <w:pPr>
        <w:numPr>
          <w:ilvl w:val="0"/>
          <w:numId w:val="3"/>
        </w:numPr>
        <w:shd w:val="clear" w:color="auto" w:fill="FFFFFF"/>
        <w:jc w:val="both"/>
        <w:rPr>
          <w:rFonts w:ascii="Calibri" w:eastAsia="Calibri" w:hAnsi="Calibri" w:cs="Calibri"/>
          <w:sz w:val="24"/>
          <w:szCs w:val="24"/>
        </w:rPr>
      </w:pPr>
      <w:r>
        <w:rPr>
          <w:rFonts w:ascii="Calibri" w:eastAsia="Calibri" w:hAnsi="Calibri" w:cs="Calibri"/>
          <w:sz w:val="24"/>
          <w:szCs w:val="24"/>
        </w:rPr>
        <w:t>Vaccinated with live, attenuated vaccines within 4 weeks of enrollment.</w:t>
      </w:r>
    </w:p>
    <w:p w14:paraId="3BDD18BA" w14:textId="77777777" w:rsidR="005D784B" w:rsidRDefault="00AA68FF">
      <w:pPr>
        <w:numPr>
          <w:ilvl w:val="0"/>
          <w:numId w:val="3"/>
        </w:numPr>
        <w:shd w:val="clear" w:color="auto" w:fill="FFFFFF"/>
        <w:jc w:val="both"/>
        <w:rPr>
          <w:rFonts w:ascii="Calibri" w:eastAsia="Calibri" w:hAnsi="Calibri" w:cs="Calibri"/>
          <w:sz w:val="24"/>
          <w:szCs w:val="24"/>
        </w:rPr>
      </w:pPr>
      <w:r>
        <w:rPr>
          <w:rFonts w:ascii="Calibri" w:eastAsia="Calibri" w:hAnsi="Calibri" w:cs="Calibri"/>
          <w:sz w:val="24"/>
          <w:szCs w:val="24"/>
        </w:rPr>
        <w:t>Use of any other standard chemotherapy, radiation therapy, or experimental drug therapy for the treatment of DLBCL within 21 days of starting treatment</w:t>
      </w:r>
    </w:p>
    <w:p w14:paraId="2C0A7A1A" w14:textId="77777777" w:rsidR="005D784B" w:rsidRDefault="00AA68FF">
      <w:pPr>
        <w:numPr>
          <w:ilvl w:val="0"/>
          <w:numId w:val="3"/>
        </w:numPr>
        <w:shd w:val="clear" w:color="auto" w:fill="FFFFFF"/>
        <w:jc w:val="both"/>
        <w:rPr>
          <w:rFonts w:ascii="Calibri" w:eastAsia="Calibri" w:hAnsi="Calibri" w:cs="Calibri"/>
          <w:sz w:val="24"/>
          <w:szCs w:val="24"/>
        </w:rPr>
      </w:pPr>
      <w:r>
        <w:rPr>
          <w:rFonts w:ascii="Calibri" w:eastAsia="Calibri" w:hAnsi="Calibri" w:cs="Calibri"/>
          <w:sz w:val="24"/>
          <w:szCs w:val="24"/>
        </w:rPr>
        <w:t>Known history of human immunodeficiency virus (HIV) or active Hepatitis C Virus or active Hepatitis B Virus infection or any uncontrolled active systemic infection or human T-cell leukemia virus 1 (HTLV-1) seropositive status or a Child – Pugh Class of B or C.</w:t>
      </w:r>
    </w:p>
    <w:p w14:paraId="28FB0BD1" w14:textId="77777777" w:rsidR="005D784B" w:rsidRDefault="00AA68FF">
      <w:pPr>
        <w:numPr>
          <w:ilvl w:val="0"/>
          <w:numId w:val="3"/>
        </w:numPr>
        <w:shd w:val="clear" w:color="auto" w:fill="FFFFFF"/>
        <w:jc w:val="both"/>
        <w:rPr>
          <w:rFonts w:ascii="Calibri" w:eastAsia="Calibri" w:hAnsi="Calibri" w:cs="Calibri"/>
          <w:sz w:val="24"/>
          <w:szCs w:val="24"/>
        </w:rPr>
      </w:pPr>
      <w:r>
        <w:rPr>
          <w:rFonts w:ascii="Calibri" w:eastAsia="Calibri" w:hAnsi="Calibri" w:cs="Calibri"/>
          <w:sz w:val="24"/>
          <w:szCs w:val="24"/>
        </w:rPr>
        <w:lastRenderedPageBreak/>
        <w:t>Any life-threatening illness, medical condition, or organ system dysfunction which, in the investigator’s opinion, could compromise the subject’s safety, interfere with the absorption or metabolism of ibrutinib capsules, venetoclax or rituximab or put the study outcomes at undue risk.</w:t>
      </w:r>
    </w:p>
    <w:p w14:paraId="420118A2" w14:textId="77777777" w:rsidR="005D784B" w:rsidRDefault="00AA68FF">
      <w:pPr>
        <w:numPr>
          <w:ilvl w:val="0"/>
          <w:numId w:val="3"/>
        </w:numPr>
        <w:shd w:val="clear" w:color="auto" w:fill="FFFFFF"/>
        <w:jc w:val="both"/>
        <w:rPr>
          <w:rFonts w:ascii="Calibri" w:eastAsia="Calibri" w:hAnsi="Calibri" w:cs="Calibri"/>
          <w:sz w:val="24"/>
          <w:szCs w:val="24"/>
        </w:rPr>
      </w:pPr>
      <w:r>
        <w:rPr>
          <w:rFonts w:ascii="Calibri" w:eastAsia="Calibri" w:hAnsi="Calibri" w:cs="Calibri"/>
          <w:sz w:val="24"/>
          <w:szCs w:val="24"/>
        </w:rPr>
        <w:t>History of uncontrolled or symptomatic angina</w:t>
      </w:r>
    </w:p>
    <w:p w14:paraId="3F1AD22C" w14:textId="77777777" w:rsidR="005D784B" w:rsidRDefault="00AA68FF">
      <w:pPr>
        <w:numPr>
          <w:ilvl w:val="0"/>
          <w:numId w:val="3"/>
        </w:numPr>
        <w:shd w:val="clear" w:color="auto" w:fill="FFFFFF"/>
        <w:jc w:val="both"/>
        <w:rPr>
          <w:rFonts w:ascii="Calibri" w:eastAsia="Calibri" w:hAnsi="Calibri" w:cs="Calibri"/>
          <w:sz w:val="24"/>
          <w:szCs w:val="24"/>
        </w:rPr>
      </w:pPr>
      <w:r>
        <w:rPr>
          <w:rFonts w:ascii="Calibri" w:eastAsia="Calibri" w:hAnsi="Calibri" w:cs="Calibri"/>
          <w:sz w:val="24"/>
          <w:szCs w:val="24"/>
        </w:rPr>
        <w:t>Ejection fraction below the institutional normal limit</w:t>
      </w:r>
    </w:p>
    <w:p w14:paraId="02FDBB3A" w14:textId="77777777" w:rsidR="005D784B" w:rsidRDefault="00AA68FF">
      <w:pPr>
        <w:numPr>
          <w:ilvl w:val="0"/>
          <w:numId w:val="3"/>
        </w:numPr>
        <w:shd w:val="clear" w:color="auto" w:fill="FFFFFF"/>
        <w:jc w:val="both"/>
        <w:rPr>
          <w:rFonts w:ascii="Calibri" w:eastAsia="Calibri" w:hAnsi="Calibri" w:cs="Calibri"/>
          <w:sz w:val="24"/>
          <w:szCs w:val="24"/>
        </w:rPr>
      </w:pPr>
      <w:r>
        <w:rPr>
          <w:rFonts w:ascii="Calibri" w:eastAsia="Calibri" w:hAnsi="Calibri" w:cs="Calibri"/>
          <w:sz w:val="24"/>
          <w:szCs w:val="24"/>
        </w:rPr>
        <w:t>History of other malignancy that could affect compliance with the protocol or interpretation of results</w:t>
      </w:r>
    </w:p>
    <w:p w14:paraId="5B04605C" w14:textId="399EF29D" w:rsidR="005D784B" w:rsidRDefault="00AA68FF">
      <w:pPr>
        <w:numPr>
          <w:ilvl w:val="1"/>
          <w:numId w:val="3"/>
        </w:numPr>
        <w:shd w:val="clear" w:color="auto" w:fill="FFFFFF"/>
        <w:jc w:val="both"/>
        <w:rPr>
          <w:rFonts w:ascii="Calibri" w:eastAsia="Calibri" w:hAnsi="Calibri" w:cs="Calibri"/>
          <w:sz w:val="24"/>
          <w:szCs w:val="24"/>
        </w:rPr>
      </w:pPr>
      <w:r>
        <w:rPr>
          <w:rFonts w:ascii="Calibri" w:eastAsia="Calibri" w:hAnsi="Calibri" w:cs="Calibri"/>
          <w:sz w:val="24"/>
          <w:szCs w:val="24"/>
        </w:rPr>
        <w:t>Patients with a history of curatively treated basal or squamous cell carcinoma of the skin or in situ carcinoma of the cervix are generally eligible. Patients with a malignancy that has been treated, but not with curative intent, will also be excluded, unless the malignancy has been in remission without treatment for 2 years prior to enrollment.</w:t>
      </w:r>
    </w:p>
    <w:p w14:paraId="51F17D6B" w14:textId="77777777" w:rsidR="005D784B" w:rsidRDefault="00AA68FF">
      <w:pPr>
        <w:numPr>
          <w:ilvl w:val="0"/>
          <w:numId w:val="3"/>
        </w:numPr>
        <w:shd w:val="clear" w:color="auto" w:fill="FFFFFF"/>
        <w:jc w:val="both"/>
        <w:rPr>
          <w:rFonts w:ascii="Calibri" w:eastAsia="Calibri" w:hAnsi="Calibri" w:cs="Calibri"/>
          <w:sz w:val="24"/>
          <w:szCs w:val="24"/>
        </w:rPr>
      </w:pPr>
      <w:r>
        <w:rPr>
          <w:rFonts w:ascii="Calibri" w:eastAsia="Calibri" w:hAnsi="Calibri" w:cs="Calibri"/>
          <w:sz w:val="24"/>
          <w:szCs w:val="24"/>
        </w:rPr>
        <w:t>Evidence of other clinically significant uncontrolled condition(s) including, but not limited to, uncontrolled systemic infection (viral, bacterial, or fungal)</w:t>
      </w:r>
    </w:p>
    <w:p w14:paraId="3865541A" w14:textId="77777777" w:rsidR="005D784B" w:rsidRDefault="00AA68FF">
      <w:pPr>
        <w:numPr>
          <w:ilvl w:val="0"/>
          <w:numId w:val="3"/>
        </w:numPr>
        <w:shd w:val="clear" w:color="auto" w:fill="FFFFFF"/>
        <w:jc w:val="both"/>
        <w:rPr>
          <w:rFonts w:ascii="Calibri" w:eastAsia="Calibri" w:hAnsi="Calibri" w:cs="Calibri"/>
          <w:sz w:val="24"/>
          <w:szCs w:val="24"/>
        </w:rPr>
      </w:pPr>
      <w:r>
        <w:rPr>
          <w:rFonts w:ascii="Calibri" w:eastAsia="Calibri" w:hAnsi="Calibri" w:cs="Calibri"/>
          <w:sz w:val="24"/>
          <w:szCs w:val="24"/>
        </w:rPr>
        <w:t>Major surgery (within 4 weeks prior to the start of the first dose of study treatment), other than for diagnosis</w:t>
      </w:r>
    </w:p>
    <w:p w14:paraId="2258484F" w14:textId="77777777" w:rsidR="005D784B" w:rsidRDefault="00AA68FF">
      <w:pPr>
        <w:numPr>
          <w:ilvl w:val="0"/>
          <w:numId w:val="3"/>
        </w:numPr>
        <w:shd w:val="clear" w:color="auto" w:fill="FFFFFF"/>
        <w:jc w:val="both"/>
        <w:rPr>
          <w:rFonts w:ascii="Calibri" w:eastAsia="Calibri" w:hAnsi="Calibri" w:cs="Calibri"/>
          <w:sz w:val="24"/>
          <w:szCs w:val="24"/>
        </w:rPr>
      </w:pPr>
      <w:r>
        <w:rPr>
          <w:rFonts w:ascii="Calibri" w:eastAsia="Calibri" w:hAnsi="Calibri" w:cs="Calibri"/>
          <w:sz w:val="24"/>
          <w:szCs w:val="24"/>
        </w:rPr>
        <w:t>Women who are pregnant or lactating</w:t>
      </w:r>
    </w:p>
    <w:p w14:paraId="2FDAB087" w14:textId="77777777" w:rsidR="005D784B" w:rsidRDefault="00AA68FF">
      <w:pPr>
        <w:numPr>
          <w:ilvl w:val="0"/>
          <w:numId w:val="3"/>
        </w:numPr>
        <w:shd w:val="clear" w:color="auto" w:fill="FFFFFF"/>
        <w:jc w:val="both"/>
        <w:rPr>
          <w:rFonts w:ascii="Calibri" w:eastAsia="Calibri" w:hAnsi="Calibri" w:cs="Calibri"/>
          <w:sz w:val="24"/>
          <w:szCs w:val="24"/>
        </w:rPr>
      </w:pPr>
      <w:r>
        <w:rPr>
          <w:rFonts w:ascii="Calibri" w:eastAsia="Calibri" w:hAnsi="Calibri" w:cs="Calibri"/>
          <w:sz w:val="24"/>
          <w:szCs w:val="24"/>
        </w:rPr>
        <w:t xml:space="preserve">Female patients who are not surgically sterile or postmenopausal (for at least 1 year) must practice at least one of the following methods of birth control throughout the duration of study participation and for at least 12 months after study treatment: </w:t>
      </w:r>
    </w:p>
    <w:p w14:paraId="73B2FCDD" w14:textId="77777777" w:rsidR="005D784B" w:rsidRDefault="00AA68FF">
      <w:pPr>
        <w:numPr>
          <w:ilvl w:val="1"/>
          <w:numId w:val="3"/>
        </w:numPr>
        <w:shd w:val="clear" w:color="auto" w:fill="FFFFFF"/>
        <w:jc w:val="both"/>
        <w:rPr>
          <w:rFonts w:ascii="Calibri" w:eastAsia="Calibri" w:hAnsi="Calibri" w:cs="Calibri"/>
          <w:sz w:val="24"/>
          <w:szCs w:val="24"/>
        </w:rPr>
      </w:pPr>
      <w:r>
        <w:rPr>
          <w:rFonts w:ascii="Calibri" w:eastAsia="Calibri" w:hAnsi="Calibri" w:cs="Calibri"/>
          <w:sz w:val="24"/>
          <w:szCs w:val="24"/>
        </w:rPr>
        <w:t>Total abstinence from sexual intercourse</w:t>
      </w:r>
    </w:p>
    <w:p w14:paraId="349B919D" w14:textId="77777777" w:rsidR="005D784B" w:rsidRDefault="00AA68FF">
      <w:pPr>
        <w:numPr>
          <w:ilvl w:val="1"/>
          <w:numId w:val="3"/>
        </w:numPr>
        <w:shd w:val="clear" w:color="auto" w:fill="FFFFFF"/>
        <w:jc w:val="both"/>
        <w:rPr>
          <w:rFonts w:ascii="Calibri" w:eastAsia="Calibri" w:hAnsi="Calibri" w:cs="Calibri"/>
          <w:sz w:val="24"/>
          <w:szCs w:val="24"/>
        </w:rPr>
      </w:pPr>
      <w:r>
        <w:rPr>
          <w:rFonts w:ascii="Calibri" w:eastAsia="Calibri" w:hAnsi="Calibri" w:cs="Calibri"/>
          <w:sz w:val="24"/>
          <w:szCs w:val="24"/>
        </w:rPr>
        <w:t>A vasectomized partner</w:t>
      </w:r>
    </w:p>
    <w:p w14:paraId="4F2DFA18" w14:textId="77777777" w:rsidR="005D784B" w:rsidRDefault="00AA68FF">
      <w:pPr>
        <w:numPr>
          <w:ilvl w:val="1"/>
          <w:numId w:val="3"/>
        </w:numPr>
        <w:shd w:val="clear" w:color="auto" w:fill="FFFFFF"/>
        <w:jc w:val="both"/>
        <w:rPr>
          <w:rFonts w:ascii="Calibri" w:eastAsia="Calibri" w:hAnsi="Calibri" w:cs="Calibri"/>
          <w:sz w:val="24"/>
          <w:szCs w:val="24"/>
        </w:rPr>
      </w:pPr>
      <w:r>
        <w:rPr>
          <w:rFonts w:ascii="Calibri" w:eastAsia="Calibri" w:hAnsi="Calibri" w:cs="Calibri"/>
          <w:sz w:val="24"/>
          <w:szCs w:val="24"/>
        </w:rPr>
        <w:t>Hormonal contraceptives (oral, parenteral, vaginal ring, or transdermal) that started at least 3 months prior to study drug administration</w:t>
      </w:r>
    </w:p>
    <w:p w14:paraId="31E03E31" w14:textId="434778CF" w:rsidR="005D784B" w:rsidRDefault="00AA68FF">
      <w:pPr>
        <w:numPr>
          <w:ilvl w:val="1"/>
          <w:numId w:val="3"/>
        </w:numPr>
        <w:shd w:val="clear" w:color="auto" w:fill="FFFFFF"/>
        <w:jc w:val="both"/>
        <w:rPr>
          <w:rFonts w:ascii="Calibri" w:eastAsia="Calibri" w:hAnsi="Calibri" w:cs="Calibri"/>
          <w:sz w:val="24"/>
          <w:szCs w:val="24"/>
        </w:rPr>
      </w:pPr>
      <w:r>
        <w:rPr>
          <w:rFonts w:ascii="Calibri" w:eastAsia="Calibri" w:hAnsi="Calibri" w:cs="Calibri"/>
          <w:sz w:val="24"/>
          <w:szCs w:val="24"/>
        </w:rPr>
        <w:t>Double-barrier method (condom</w:t>
      </w:r>
      <w:r w:rsidR="000F7598">
        <w:rPr>
          <w:rFonts w:ascii="Calibri" w:eastAsia="Calibri" w:hAnsi="Calibri" w:cs="Calibri"/>
          <w:sz w:val="24"/>
          <w:szCs w:val="24"/>
        </w:rPr>
        <w:t xml:space="preserve"> </w:t>
      </w:r>
      <w:r>
        <w:rPr>
          <w:rFonts w:ascii="Calibri" w:eastAsia="Calibri" w:hAnsi="Calibri" w:cs="Calibri"/>
          <w:sz w:val="24"/>
          <w:szCs w:val="24"/>
        </w:rPr>
        <w:t>diaphragm or cervical cup with spermicidal contraceptive sponge, jellies, or cream)</w:t>
      </w:r>
    </w:p>
    <w:p w14:paraId="02BE9E9E" w14:textId="77777777" w:rsidR="005D784B" w:rsidRDefault="00AA68FF">
      <w:pPr>
        <w:numPr>
          <w:ilvl w:val="0"/>
          <w:numId w:val="3"/>
        </w:numPr>
        <w:shd w:val="clear" w:color="auto" w:fill="FFFFFF"/>
        <w:jc w:val="both"/>
        <w:rPr>
          <w:rFonts w:ascii="Calibri" w:eastAsia="Calibri" w:hAnsi="Calibri" w:cs="Calibri"/>
          <w:sz w:val="24"/>
          <w:szCs w:val="24"/>
        </w:rPr>
      </w:pPr>
      <w:r>
        <w:rPr>
          <w:rFonts w:ascii="Calibri" w:eastAsia="Calibri" w:hAnsi="Calibri" w:cs="Calibri"/>
          <w:sz w:val="24"/>
          <w:szCs w:val="24"/>
        </w:rPr>
        <w:t>Non-vasectomized male patients must comply with at least one of the following methods of birth control throughout the duration of study participation and for at least 12 months after study treatment:</w:t>
      </w:r>
    </w:p>
    <w:p w14:paraId="65D7CB71" w14:textId="77777777" w:rsidR="005D784B" w:rsidRDefault="00AA68FF">
      <w:pPr>
        <w:numPr>
          <w:ilvl w:val="1"/>
          <w:numId w:val="3"/>
        </w:numPr>
        <w:shd w:val="clear" w:color="auto" w:fill="FFFFFF"/>
        <w:jc w:val="both"/>
        <w:rPr>
          <w:rFonts w:ascii="Calibri" w:eastAsia="Calibri" w:hAnsi="Calibri" w:cs="Calibri"/>
          <w:sz w:val="24"/>
          <w:szCs w:val="24"/>
        </w:rPr>
      </w:pPr>
      <w:r>
        <w:rPr>
          <w:rFonts w:ascii="Calibri" w:eastAsia="Calibri" w:hAnsi="Calibri" w:cs="Calibri"/>
          <w:sz w:val="24"/>
          <w:szCs w:val="24"/>
        </w:rPr>
        <w:t>A partner who is surgically sterile or postmenopausal (for at least 1 year) or who is taking hormonal contraceptives (oral, parenteral, vaginal ring, or transdermal) for at least 3 months prior to study drug administration</w:t>
      </w:r>
    </w:p>
    <w:p w14:paraId="22A4A92A" w14:textId="77777777" w:rsidR="005D784B" w:rsidRDefault="00AA68FF">
      <w:pPr>
        <w:numPr>
          <w:ilvl w:val="1"/>
          <w:numId w:val="3"/>
        </w:numPr>
        <w:shd w:val="clear" w:color="auto" w:fill="FFFFFF"/>
        <w:jc w:val="both"/>
        <w:rPr>
          <w:rFonts w:ascii="Calibri" w:eastAsia="Calibri" w:hAnsi="Calibri" w:cs="Calibri"/>
          <w:sz w:val="24"/>
          <w:szCs w:val="24"/>
        </w:rPr>
      </w:pPr>
      <w:r>
        <w:rPr>
          <w:rFonts w:ascii="Calibri" w:eastAsia="Calibri" w:hAnsi="Calibri" w:cs="Calibri"/>
          <w:sz w:val="24"/>
          <w:szCs w:val="24"/>
        </w:rPr>
        <w:t>Total abstinence from sexual intercourse</w:t>
      </w:r>
    </w:p>
    <w:p w14:paraId="21FA6516" w14:textId="45B66DEC" w:rsidR="005D784B" w:rsidRDefault="00AA68FF">
      <w:pPr>
        <w:numPr>
          <w:ilvl w:val="1"/>
          <w:numId w:val="3"/>
        </w:numPr>
        <w:shd w:val="clear" w:color="auto" w:fill="FFFFFF"/>
        <w:jc w:val="both"/>
        <w:rPr>
          <w:rFonts w:ascii="Calibri" w:eastAsia="Calibri" w:hAnsi="Calibri" w:cs="Calibri"/>
          <w:sz w:val="24"/>
          <w:szCs w:val="24"/>
        </w:rPr>
      </w:pPr>
      <w:r>
        <w:rPr>
          <w:rFonts w:ascii="Calibri" w:eastAsia="Calibri" w:hAnsi="Calibri" w:cs="Calibri"/>
          <w:sz w:val="24"/>
          <w:szCs w:val="24"/>
        </w:rPr>
        <w:t>Double-barrier method (condom</w:t>
      </w:r>
      <w:r w:rsidR="000F7598">
        <w:rPr>
          <w:rFonts w:ascii="Calibri" w:eastAsia="Calibri" w:hAnsi="Calibri" w:cs="Calibri"/>
          <w:sz w:val="24"/>
          <w:szCs w:val="24"/>
        </w:rPr>
        <w:t xml:space="preserve"> </w:t>
      </w:r>
      <w:r>
        <w:rPr>
          <w:rFonts w:ascii="Calibri" w:eastAsia="Calibri" w:hAnsi="Calibri" w:cs="Calibri"/>
          <w:sz w:val="24"/>
          <w:szCs w:val="24"/>
        </w:rPr>
        <w:t>diaphragm or cervical cup with spermicidal, contraceptive sponge, jellies, or cream)</w:t>
      </w:r>
    </w:p>
    <w:p w14:paraId="1E04B2A5" w14:textId="77777777" w:rsidR="005D784B" w:rsidRDefault="00AA68FF">
      <w:pPr>
        <w:numPr>
          <w:ilvl w:val="0"/>
          <w:numId w:val="3"/>
        </w:numPr>
        <w:shd w:val="clear" w:color="auto" w:fill="FFFFFF"/>
        <w:jc w:val="both"/>
        <w:rPr>
          <w:rFonts w:ascii="Calibri" w:eastAsia="Calibri" w:hAnsi="Calibri" w:cs="Calibri"/>
          <w:sz w:val="24"/>
          <w:szCs w:val="24"/>
        </w:rPr>
      </w:pPr>
      <w:r>
        <w:rPr>
          <w:rFonts w:ascii="Calibri" w:eastAsia="Calibri" w:hAnsi="Calibri" w:cs="Calibri"/>
          <w:sz w:val="24"/>
          <w:szCs w:val="24"/>
        </w:rPr>
        <w:t>Malabsorption syndrome or other condition that precludes enteral route of administration</w:t>
      </w:r>
    </w:p>
    <w:p w14:paraId="35461984" w14:textId="77777777" w:rsidR="005D784B" w:rsidRDefault="00AA68FF">
      <w:pPr>
        <w:numPr>
          <w:ilvl w:val="0"/>
          <w:numId w:val="3"/>
        </w:numPr>
        <w:shd w:val="clear" w:color="auto" w:fill="FFFFFF"/>
        <w:spacing w:after="280"/>
        <w:jc w:val="both"/>
        <w:rPr>
          <w:rFonts w:ascii="Calibri" w:eastAsia="Calibri" w:hAnsi="Calibri" w:cs="Calibri"/>
          <w:sz w:val="24"/>
          <w:szCs w:val="24"/>
        </w:rPr>
      </w:pPr>
      <w:r>
        <w:rPr>
          <w:rFonts w:ascii="Calibri" w:eastAsia="Calibri" w:hAnsi="Calibri" w:cs="Calibri"/>
          <w:sz w:val="24"/>
          <w:szCs w:val="24"/>
        </w:rPr>
        <w:lastRenderedPageBreak/>
        <w:t xml:space="preserve">Known allergy to both xanthine oxidase inhibitors and </w:t>
      </w:r>
      <w:proofErr w:type="spellStart"/>
      <w:r>
        <w:rPr>
          <w:rFonts w:ascii="Calibri" w:eastAsia="Calibri" w:hAnsi="Calibri" w:cs="Calibri"/>
          <w:sz w:val="24"/>
          <w:szCs w:val="24"/>
        </w:rPr>
        <w:t>rasburicase</w:t>
      </w:r>
      <w:proofErr w:type="spellEnd"/>
    </w:p>
    <w:p w14:paraId="5D4DB1EC" w14:textId="77777777" w:rsidR="005D784B" w:rsidRDefault="00AA68FF">
      <w:pPr>
        <w:shd w:val="clear" w:color="auto" w:fill="FFFFFF"/>
        <w:spacing w:after="280"/>
        <w:jc w:val="both"/>
        <w:rPr>
          <w:rFonts w:ascii="Calibri" w:eastAsia="Calibri" w:hAnsi="Calibri" w:cs="Calibri"/>
          <w:b/>
          <w:sz w:val="24"/>
          <w:szCs w:val="24"/>
        </w:rPr>
      </w:pPr>
      <w:r>
        <w:rPr>
          <w:rFonts w:ascii="Calibri" w:eastAsia="Calibri" w:hAnsi="Calibri" w:cs="Calibri"/>
          <w:b/>
          <w:sz w:val="24"/>
          <w:szCs w:val="24"/>
        </w:rPr>
        <w:t>Maximum Tolerated Dose (MTD)</w:t>
      </w:r>
    </w:p>
    <w:p w14:paraId="08AF83D4" w14:textId="77777777" w:rsidR="005D784B" w:rsidRDefault="00AA68FF">
      <w:pPr>
        <w:shd w:val="clear" w:color="auto" w:fill="FFFFFF"/>
        <w:spacing w:before="280" w:after="280"/>
        <w:jc w:val="both"/>
        <w:rPr>
          <w:rFonts w:ascii="Calibri" w:eastAsia="Calibri" w:hAnsi="Calibri" w:cs="Calibri"/>
          <w:sz w:val="24"/>
          <w:szCs w:val="24"/>
        </w:rPr>
      </w:pPr>
      <w:r>
        <w:rPr>
          <w:rFonts w:ascii="Calibri" w:eastAsia="Calibri" w:hAnsi="Calibri" w:cs="Calibri"/>
          <w:sz w:val="24"/>
          <w:szCs w:val="24"/>
        </w:rPr>
        <w:t xml:space="preserve">The MTD was defined as the highest dose of venetoclax with an observed incidence of dose limiting toxicities (DLTs) of less than 33% in the first 29 days of therapy with venetoclax, ibrutinib, and rituximab. A DLT was defined as any grade 2-4 hematologic or non-hematologic toxicity related to venetoclax. In the first-in-human single-agent study, the MTD of venetoclax was 1,200 mg for patients with DLBCL and follicular lymphoma. However, less than dose-proportional changes in plasma exposure of venetoclax were seen at higher doses (1). When given in combination with other therapies, the MTD of venetoclax ranges between 200 mg to 800 mg, and therefore, 800 mg was selected as the maximum dose for this study (2). Each cycle of combination therapy consisted of 28 days. </w:t>
      </w:r>
    </w:p>
    <w:p w14:paraId="50610E5E" w14:textId="77777777" w:rsidR="005D784B" w:rsidRDefault="00AA68FF">
      <w:pPr>
        <w:shd w:val="clear" w:color="auto" w:fill="FFFFFF"/>
        <w:spacing w:after="280"/>
        <w:jc w:val="both"/>
        <w:rPr>
          <w:rFonts w:ascii="Calibri" w:eastAsia="Calibri" w:hAnsi="Calibri" w:cs="Calibri"/>
          <w:b/>
          <w:sz w:val="24"/>
          <w:szCs w:val="24"/>
        </w:rPr>
      </w:pPr>
      <w:r>
        <w:rPr>
          <w:rFonts w:ascii="Calibri" w:eastAsia="Calibri" w:hAnsi="Calibri" w:cs="Calibri"/>
          <w:b/>
          <w:sz w:val="24"/>
          <w:szCs w:val="24"/>
        </w:rPr>
        <w:t>Response Assessment</w:t>
      </w:r>
    </w:p>
    <w:p w14:paraId="36710863" w14:textId="77777777" w:rsidR="005D784B" w:rsidRDefault="00AA68FF">
      <w:pPr>
        <w:rPr>
          <w:rFonts w:ascii="Calibri" w:eastAsia="Calibri" w:hAnsi="Calibri" w:cs="Calibri"/>
          <w:sz w:val="24"/>
          <w:szCs w:val="24"/>
          <w:highlight w:val="white"/>
        </w:rPr>
      </w:pPr>
      <w:r>
        <w:rPr>
          <w:rFonts w:ascii="Calibri" w:eastAsia="Calibri" w:hAnsi="Calibri" w:cs="Calibri"/>
          <w:sz w:val="24"/>
          <w:szCs w:val="24"/>
          <w:highlight w:val="white"/>
        </w:rPr>
        <w:t xml:space="preserve">Response was evaluated after cycles 2, 4 and 6 after initiation of treatment, and later every 3 cycles until disease progression, removal from study, or study termination. Radiological tumor assessment included chest CT/MRI, abdomen and pelvis CT/MRI, and PET scan evaluations every 2 cycles (based on investigator's criteria). Response evaluation used the </w:t>
      </w:r>
      <w:proofErr w:type="spellStart"/>
      <w:r>
        <w:rPr>
          <w:rFonts w:ascii="Calibri" w:eastAsia="Calibri" w:hAnsi="Calibri" w:cs="Calibri"/>
          <w:sz w:val="24"/>
          <w:szCs w:val="24"/>
          <w:highlight w:val="white"/>
        </w:rPr>
        <w:t>Cheson</w:t>
      </w:r>
      <w:proofErr w:type="spellEnd"/>
      <w:r>
        <w:rPr>
          <w:rFonts w:ascii="Calibri" w:eastAsia="Calibri" w:hAnsi="Calibri" w:cs="Calibri"/>
          <w:sz w:val="24"/>
          <w:szCs w:val="24"/>
          <w:highlight w:val="white"/>
        </w:rPr>
        <w:t xml:space="preserve"> Criteria 2014 (3). </w:t>
      </w:r>
    </w:p>
    <w:p w14:paraId="295B8872" w14:textId="77777777" w:rsidR="005D784B" w:rsidRDefault="005D784B">
      <w:pPr>
        <w:rPr>
          <w:rFonts w:ascii="Calibri" w:eastAsia="Calibri" w:hAnsi="Calibri" w:cs="Calibri"/>
          <w:sz w:val="24"/>
          <w:szCs w:val="24"/>
          <w:highlight w:val="white"/>
        </w:rPr>
      </w:pPr>
    </w:p>
    <w:p w14:paraId="67B31DC7" w14:textId="77777777" w:rsidR="00013A02" w:rsidRDefault="00013A02">
      <w:pPr>
        <w:shd w:val="clear" w:color="auto" w:fill="FFFFFF"/>
        <w:spacing w:after="280"/>
        <w:jc w:val="both"/>
        <w:rPr>
          <w:rFonts w:ascii="Calibri" w:eastAsia="Calibri" w:hAnsi="Calibri" w:cs="Calibri"/>
          <w:b/>
          <w:sz w:val="24"/>
          <w:szCs w:val="24"/>
        </w:rPr>
      </w:pPr>
    </w:p>
    <w:p w14:paraId="1D9A8332" w14:textId="77777777" w:rsidR="00013A02" w:rsidRDefault="00013A02">
      <w:pPr>
        <w:shd w:val="clear" w:color="auto" w:fill="FFFFFF"/>
        <w:spacing w:after="280"/>
        <w:jc w:val="both"/>
        <w:rPr>
          <w:rFonts w:ascii="Calibri" w:eastAsia="Calibri" w:hAnsi="Calibri" w:cs="Calibri"/>
          <w:b/>
          <w:sz w:val="24"/>
          <w:szCs w:val="24"/>
        </w:rPr>
      </w:pPr>
    </w:p>
    <w:p w14:paraId="7E3953B6" w14:textId="77777777" w:rsidR="00013A02" w:rsidRDefault="00013A02">
      <w:pPr>
        <w:shd w:val="clear" w:color="auto" w:fill="FFFFFF"/>
        <w:spacing w:after="280"/>
        <w:jc w:val="both"/>
        <w:rPr>
          <w:rFonts w:ascii="Calibri" w:eastAsia="Calibri" w:hAnsi="Calibri" w:cs="Calibri"/>
          <w:b/>
          <w:sz w:val="24"/>
          <w:szCs w:val="24"/>
        </w:rPr>
      </w:pPr>
    </w:p>
    <w:p w14:paraId="4F789CBD" w14:textId="77777777" w:rsidR="00013A02" w:rsidRDefault="00013A02">
      <w:pPr>
        <w:shd w:val="clear" w:color="auto" w:fill="FFFFFF"/>
        <w:spacing w:after="280"/>
        <w:jc w:val="both"/>
        <w:rPr>
          <w:rFonts w:ascii="Calibri" w:eastAsia="Calibri" w:hAnsi="Calibri" w:cs="Calibri"/>
          <w:b/>
          <w:sz w:val="24"/>
          <w:szCs w:val="24"/>
        </w:rPr>
      </w:pPr>
    </w:p>
    <w:p w14:paraId="6CD15D45" w14:textId="77777777" w:rsidR="00013A02" w:rsidRDefault="00013A02">
      <w:pPr>
        <w:shd w:val="clear" w:color="auto" w:fill="FFFFFF"/>
        <w:spacing w:after="280"/>
        <w:jc w:val="both"/>
        <w:rPr>
          <w:rFonts w:ascii="Calibri" w:eastAsia="Calibri" w:hAnsi="Calibri" w:cs="Calibri"/>
          <w:b/>
          <w:sz w:val="24"/>
          <w:szCs w:val="24"/>
        </w:rPr>
      </w:pPr>
    </w:p>
    <w:p w14:paraId="4C7BA05A" w14:textId="77777777" w:rsidR="00013A02" w:rsidRDefault="00013A02">
      <w:pPr>
        <w:shd w:val="clear" w:color="auto" w:fill="FFFFFF"/>
        <w:spacing w:after="280"/>
        <w:jc w:val="both"/>
        <w:rPr>
          <w:rFonts w:ascii="Calibri" w:eastAsia="Calibri" w:hAnsi="Calibri" w:cs="Calibri"/>
          <w:b/>
          <w:sz w:val="24"/>
          <w:szCs w:val="24"/>
        </w:rPr>
      </w:pPr>
    </w:p>
    <w:p w14:paraId="0D0C29F0" w14:textId="77777777" w:rsidR="00013A02" w:rsidRDefault="00013A02">
      <w:pPr>
        <w:shd w:val="clear" w:color="auto" w:fill="FFFFFF"/>
        <w:spacing w:after="280"/>
        <w:jc w:val="both"/>
        <w:rPr>
          <w:rFonts w:ascii="Calibri" w:eastAsia="Calibri" w:hAnsi="Calibri" w:cs="Calibri"/>
          <w:b/>
          <w:sz w:val="24"/>
          <w:szCs w:val="24"/>
        </w:rPr>
      </w:pPr>
    </w:p>
    <w:p w14:paraId="06E3C749" w14:textId="77777777" w:rsidR="00013A02" w:rsidRDefault="00013A02">
      <w:pPr>
        <w:shd w:val="clear" w:color="auto" w:fill="FFFFFF"/>
        <w:spacing w:after="280"/>
        <w:jc w:val="both"/>
        <w:rPr>
          <w:rFonts w:ascii="Calibri" w:eastAsia="Calibri" w:hAnsi="Calibri" w:cs="Calibri"/>
          <w:b/>
          <w:sz w:val="24"/>
          <w:szCs w:val="24"/>
        </w:rPr>
      </w:pPr>
    </w:p>
    <w:p w14:paraId="4E5F0FAE" w14:textId="77777777" w:rsidR="00013A02" w:rsidRDefault="00013A02">
      <w:pPr>
        <w:shd w:val="clear" w:color="auto" w:fill="FFFFFF"/>
        <w:spacing w:after="280"/>
        <w:jc w:val="both"/>
        <w:rPr>
          <w:rFonts w:ascii="Calibri" w:eastAsia="Calibri" w:hAnsi="Calibri" w:cs="Calibri"/>
          <w:b/>
          <w:sz w:val="24"/>
          <w:szCs w:val="24"/>
        </w:rPr>
      </w:pPr>
    </w:p>
    <w:p w14:paraId="486E7846" w14:textId="77777777" w:rsidR="00013A02" w:rsidRDefault="00AA68FF">
      <w:pPr>
        <w:shd w:val="clear" w:color="auto" w:fill="FFFFFF"/>
        <w:spacing w:after="280"/>
        <w:jc w:val="both"/>
        <w:rPr>
          <w:rFonts w:ascii="Calibri" w:eastAsia="Calibri" w:hAnsi="Calibri" w:cs="Calibri"/>
          <w:b/>
          <w:sz w:val="24"/>
          <w:szCs w:val="24"/>
        </w:rPr>
      </w:pPr>
      <w:r>
        <w:rPr>
          <w:rFonts w:ascii="Calibri" w:eastAsia="Calibri" w:hAnsi="Calibri" w:cs="Calibri"/>
          <w:b/>
          <w:sz w:val="24"/>
          <w:szCs w:val="24"/>
        </w:rPr>
        <w:lastRenderedPageBreak/>
        <w:t>Supplemental Tables</w:t>
      </w:r>
    </w:p>
    <w:p w14:paraId="5050AFF4" w14:textId="43A5BDC8" w:rsidR="005D784B" w:rsidRDefault="00013A02">
      <w:pPr>
        <w:shd w:val="clear" w:color="auto" w:fill="FFFFFF"/>
        <w:spacing w:after="280"/>
        <w:jc w:val="both"/>
        <w:rPr>
          <w:rFonts w:ascii="Calibri" w:eastAsia="Calibri" w:hAnsi="Calibri" w:cs="Calibri"/>
          <w:b/>
          <w:sz w:val="24"/>
          <w:szCs w:val="24"/>
        </w:rPr>
      </w:pPr>
      <w:r>
        <w:rPr>
          <w:rFonts w:ascii="Calibri" w:eastAsia="Calibri" w:hAnsi="Calibri" w:cs="Calibri"/>
          <w:b/>
          <w:noProof/>
          <w:sz w:val="24"/>
          <w:szCs w:val="24"/>
        </w:rPr>
        <w:drawing>
          <wp:inline distT="0" distB="0" distL="0" distR="0" wp14:anchorId="43FAEB71" wp14:editId="6C5CB75A">
            <wp:extent cx="5659319" cy="1361440"/>
            <wp:effectExtent l="0" t="0" r="508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673655" cy="1364889"/>
                    </a:xfrm>
                    <a:prstGeom prst="rect">
                      <a:avLst/>
                    </a:prstGeom>
                  </pic:spPr>
                </pic:pic>
              </a:graphicData>
            </a:graphic>
          </wp:inline>
        </w:drawing>
      </w:r>
    </w:p>
    <w:p w14:paraId="60E81655" w14:textId="24F9EEBA" w:rsidR="005D784B" w:rsidRDefault="000F7598" w:rsidP="00013A02">
      <w:pPr>
        <w:shd w:val="clear" w:color="auto" w:fill="FFFFFF"/>
        <w:spacing w:before="280" w:after="280"/>
        <w:jc w:val="both"/>
        <w:rPr>
          <w:rFonts w:ascii="Calibri" w:eastAsia="Calibri" w:hAnsi="Calibri" w:cs="Calibri"/>
          <w:b/>
          <w:sz w:val="24"/>
          <w:szCs w:val="24"/>
        </w:rPr>
      </w:pPr>
      <w:r>
        <w:rPr>
          <w:rFonts w:ascii="Calibri" w:eastAsia="Calibri" w:hAnsi="Calibri" w:cs="Calibri"/>
          <w:b/>
          <w:noProof/>
          <w:sz w:val="24"/>
          <w:szCs w:val="24"/>
        </w:rPr>
        <w:lastRenderedPageBreak/>
        <w:drawing>
          <wp:inline distT="0" distB="0" distL="0" distR="0" wp14:anchorId="61B58F22" wp14:editId="00B46E59">
            <wp:extent cx="3468089" cy="828040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483275" cy="8316657"/>
                    </a:xfrm>
                    <a:prstGeom prst="rect">
                      <a:avLst/>
                    </a:prstGeom>
                  </pic:spPr>
                </pic:pic>
              </a:graphicData>
            </a:graphic>
          </wp:inline>
        </w:drawing>
      </w:r>
    </w:p>
    <w:p w14:paraId="42AD9551" w14:textId="77777777" w:rsidR="005D784B" w:rsidRDefault="005D784B">
      <w:pPr>
        <w:rPr>
          <w:rFonts w:ascii="Calibri" w:eastAsia="Calibri" w:hAnsi="Calibri" w:cs="Calibri"/>
          <w:b/>
          <w:sz w:val="24"/>
          <w:szCs w:val="24"/>
        </w:rPr>
      </w:pPr>
    </w:p>
    <w:p w14:paraId="1846277C" w14:textId="77777777" w:rsidR="005D784B" w:rsidRDefault="005D784B">
      <w:pPr>
        <w:rPr>
          <w:rFonts w:ascii="Calibri" w:eastAsia="Calibri" w:hAnsi="Calibri" w:cs="Calibri"/>
          <w:b/>
          <w:sz w:val="24"/>
          <w:szCs w:val="24"/>
        </w:rPr>
      </w:pPr>
    </w:p>
    <w:p w14:paraId="56657878" w14:textId="2D3814C5" w:rsidR="005D784B" w:rsidRDefault="00AD312A">
      <w:pPr>
        <w:rPr>
          <w:rFonts w:ascii="Calibri" w:eastAsia="Calibri" w:hAnsi="Calibri" w:cs="Calibri"/>
          <w:b/>
          <w:sz w:val="24"/>
          <w:szCs w:val="24"/>
        </w:rPr>
      </w:pPr>
      <w:r>
        <w:rPr>
          <w:rFonts w:ascii="Calibri" w:eastAsia="Calibri" w:hAnsi="Calibri" w:cs="Calibri"/>
          <w:b/>
          <w:noProof/>
          <w:sz w:val="24"/>
          <w:szCs w:val="24"/>
        </w:rPr>
        <w:drawing>
          <wp:inline distT="0" distB="0" distL="0" distR="0" wp14:anchorId="5B819CA9" wp14:editId="12186760">
            <wp:extent cx="5880100" cy="2971800"/>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880100" cy="2971800"/>
                    </a:xfrm>
                    <a:prstGeom prst="rect">
                      <a:avLst/>
                    </a:prstGeom>
                  </pic:spPr>
                </pic:pic>
              </a:graphicData>
            </a:graphic>
          </wp:inline>
        </w:drawing>
      </w:r>
    </w:p>
    <w:p w14:paraId="0DCB64D2" w14:textId="77777777" w:rsidR="005D784B" w:rsidRDefault="005D784B">
      <w:pPr>
        <w:rPr>
          <w:rFonts w:ascii="Calibri" w:eastAsia="Calibri" w:hAnsi="Calibri" w:cs="Calibri"/>
          <w:b/>
          <w:sz w:val="24"/>
          <w:szCs w:val="24"/>
        </w:rPr>
      </w:pPr>
    </w:p>
    <w:p w14:paraId="4EE77BDE" w14:textId="6FFCEF80" w:rsidR="005D784B" w:rsidRDefault="00AD312A">
      <w:pPr>
        <w:rPr>
          <w:rFonts w:ascii="Calibri" w:eastAsia="Calibri" w:hAnsi="Calibri" w:cs="Calibri"/>
          <w:b/>
          <w:sz w:val="24"/>
          <w:szCs w:val="24"/>
        </w:rPr>
      </w:pPr>
      <w:r>
        <w:rPr>
          <w:rFonts w:ascii="Calibri" w:eastAsia="Calibri" w:hAnsi="Calibri" w:cs="Calibri"/>
          <w:b/>
          <w:noProof/>
          <w:sz w:val="24"/>
          <w:szCs w:val="24"/>
        </w:rPr>
        <w:drawing>
          <wp:inline distT="0" distB="0" distL="0" distR="0" wp14:anchorId="557CE1DB" wp14:editId="75A8BB69">
            <wp:extent cx="5892800" cy="3594100"/>
            <wp:effectExtent l="0" t="0" r="0" b="0"/>
            <wp:docPr id="5" name="Picture 5"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5892800" cy="3594100"/>
                    </a:xfrm>
                    <a:prstGeom prst="rect">
                      <a:avLst/>
                    </a:prstGeom>
                  </pic:spPr>
                </pic:pic>
              </a:graphicData>
            </a:graphic>
          </wp:inline>
        </w:drawing>
      </w:r>
    </w:p>
    <w:p w14:paraId="2187DA9A" w14:textId="77777777" w:rsidR="005D784B" w:rsidRDefault="005D784B">
      <w:pPr>
        <w:rPr>
          <w:rFonts w:ascii="Calibri" w:eastAsia="Calibri" w:hAnsi="Calibri" w:cs="Calibri"/>
          <w:b/>
          <w:sz w:val="24"/>
          <w:szCs w:val="24"/>
        </w:rPr>
      </w:pPr>
    </w:p>
    <w:p w14:paraId="73DA0F72" w14:textId="77777777" w:rsidR="005D784B" w:rsidRDefault="005D784B">
      <w:pPr>
        <w:rPr>
          <w:rFonts w:ascii="Calibri" w:eastAsia="Calibri" w:hAnsi="Calibri" w:cs="Calibri"/>
          <w:b/>
          <w:sz w:val="24"/>
          <w:szCs w:val="24"/>
        </w:rPr>
      </w:pPr>
    </w:p>
    <w:p w14:paraId="0F8F8FE3" w14:textId="77777777" w:rsidR="005D784B" w:rsidRDefault="005D784B">
      <w:pPr>
        <w:rPr>
          <w:rFonts w:ascii="Calibri" w:eastAsia="Calibri" w:hAnsi="Calibri" w:cs="Calibri"/>
          <w:b/>
          <w:sz w:val="24"/>
          <w:szCs w:val="24"/>
        </w:rPr>
      </w:pPr>
    </w:p>
    <w:p w14:paraId="1FB4F5D5" w14:textId="77777777" w:rsidR="00013A02" w:rsidRDefault="00013A02" w:rsidP="00AD312A">
      <w:pPr>
        <w:rPr>
          <w:rFonts w:ascii="Calibri" w:eastAsia="Calibri" w:hAnsi="Calibri" w:cs="Calibri"/>
          <w:b/>
          <w:sz w:val="24"/>
          <w:szCs w:val="24"/>
        </w:rPr>
      </w:pPr>
    </w:p>
    <w:p w14:paraId="2C63421F" w14:textId="2348175C" w:rsidR="005D784B" w:rsidRDefault="00AA68FF" w:rsidP="00AD312A">
      <w:pPr>
        <w:rPr>
          <w:rFonts w:ascii="Calibri" w:eastAsia="Calibri" w:hAnsi="Calibri" w:cs="Calibri"/>
          <w:b/>
          <w:sz w:val="24"/>
          <w:szCs w:val="24"/>
        </w:rPr>
      </w:pPr>
      <w:r>
        <w:rPr>
          <w:rFonts w:ascii="Calibri" w:eastAsia="Calibri" w:hAnsi="Calibri" w:cs="Calibri"/>
          <w:b/>
          <w:sz w:val="24"/>
          <w:szCs w:val="24"/>
        </w:rPr>
        <w:lastRenderedPageBreak/>
        <w:t>References</w:t>
      </w:r>
    </w:p>
    <w:p w14:paraId="76EC5DC0" w14:textId="758A099B" w:rsidR="005D784B" w:rsidRDefault="00AA68FF">
      <w:pPr>
        <w:numPr>
          <w:ilvl w:val="0"/>
          <w:numId w:val="2"/>
        </w:numPr>
        <w:shd w:val="clear" w:color="auto" w:fill="FFFFFF"/>
        <w:spacing w:before="280" w:after="280" w:line="240" w:lineRule="auto"/>
        <w:jc w:val="both"/>
        <w:rPr>
          <w:rFonts w:ascii="Calibri" w:eastAsia="Calibri" w:hAnsi="Calibri" w:cs="Calibri"/>
          <w:sz w:val="24"/>
          <w:szCs w:val="24"/>
        </w:rPr>
      </w:pPr>
      <w:proofErr w:type="spellStart"/>
      <w:r>
        <w:rPr>
          <w:rFonts w:ascii="Calibri" w:eastAsia="Calibri" w:hAnsi="Calibri" w:cs="Calibri"/>
          <w:sz w:val="24"/>
          <w:szCs w:val="24"/>
        </w:rPr>
        <w:t>Davids</w:t>
      </w:r>
      <w:proofErr w:type="spellEnd"/>
      <w:r>
        <w:rPr>
          <w:rFonts w:ascii="Calibri" w:eastAsia="Calibri" w:hAnsi="Calibri" w:cs="Calibri"/>
          <w:sz w:val="24"/>
          <w:szCs w:val="24"/>
        </w:rPr>
        <w:t xml:space="preserve">, M. S., Roberts, A. W., Seymour, J. F., </w:t>
      </w:r>
      <w:r w:rsidR="00013A02">
        <w:rPr>
          <w:rFonts w:ascii="Calibri" w:eastAsia="Calibri" w:hAnsi="Calibri" w:cs="Calibri"/>
          <w:sz w:val="24"/>
          <w:szCs w:val="24"/>
        </w:rPr>
        <w:t>et al.</w:t>
      </w:r>
      <w:r>
        <w:rPr>
          <w:rFonts w:ascii="Calibri" w:eastAsia="Calibri" w:hAnsi="Calibri" w:cs="Calibri"/>
          <w:sz w:val="24"/>
          <w:szCs w:val="24"/>
        </w:rPr>
        <w:t xml:space="preserve"> Phase I First-in-Human Study of Venetoclax in Patients </w:t>
      </w:r>
      <w:proofErr w:type="gramStart"/>
      <w:r>
        <w:rPr>
          <w:rFonts w:ascii="Calibri" w:eastAsia="Calibri" w:hAnsi="Calibri" w:cs="Calibri"/>
          <w:sz w:val="24"/>
          <w:szCs w:val="24"/>
        </w:rPr>
        <w:t>With</w:t>
      </w:r>
      <w:proofErr w:type="gramEnd"/>
      <w:r>
        <w:rPr>
          <w:rFonts w:ascii="Calibri" w:eastAsia="Calibri" w:hAnsi="Calibri" w:cs="Calibri"/>
          <w:sz w:val="24"/>
          <w:szCs w:val="24"/>
        </w:rPr>
        <w:t xml:space="preserve"> Relapsed or Refractory Non-Hodgkin Lymphoma. </w:t>
      </w:r>
      <w:r>
        <w:rPr>
          <w:rFonts w:ascii="Calibri" w:eastAsia="Calibri" w:hAnsi="Calibri" w:cs="Calibri"/>
          <w:i/>
          <w:sz w:val="24"/>
          <w:szCs w:val="24"/>
        </w:rPr>
        <w:t xml:space="preserve">Journal of clinical </w:t>
      </w:r>
      <w:proofErr w:type="gramStart"/>
      <w:r>
        <w:rPr>
          <w:rFonts w:ascii="Calibri" w:eastAsia="Calibri" w:hAnsi="Calibri" w:cs="Calibri"/>
          <w:i/>
          <w:sz w:val="24"/>
          <w:szCs w:val="24"/>
        </w:rPr>
        <w:t>oncology :</w:t>
      </w:r>
      <w:proofErr w:type="gramEnd"/>
      <w:r>
        <w:rPr>
          <w:rFonts w:ascii="Calibri" w:eastAsia="Calibri" w:hAnsi="Calibri" w:cs="Calibri"/>
          <w:i/>
          <w:sz w:val="24"/>
          <w:szCs w:val="24"/>
        </w:rPr>
        <w:t xml:space="preserve"> official journal of the American Society of Clinical Oncology</w:t>
      </w:r>
      <w:r>
        <w:rPr>
          <w:rFonts w:ascii="Calibri" w:eastAsia="Calibri" w:hAnsi="Calibri" w:cs="Calibri"/>
          <w:sz w:val="24"/>
          <w:szCs w:val="24"/>
        </w:rPr>
        <w:t xml:space="preserve">, </w:t>
      </w:r>
      <w:r>
        <w:rPr>
          <w:rFonts w:ascii="Calibri" w:eastAsia="Calibri" w:hAnsi="Calibri" w:cs="Calibri"/>
          <w:i/>
          <w:sz w:val="24"/>
          <w:szCs w:val="24"/>
        </w:rPr>
        <w:t>35</w:t>
      </w:r>
      <w:r>
        <w:rPr>
          <w:rFonts w:ascii="Calibri" w:eastAsia="Calibri" w:hAnsi="Calibri" w:cs="Calibri"/>
          <w:sz w:val="24"/>
          <w:szCs w:val="24"/>
        </w:rPr>
        <w:t xml:space="preserve">(8), 826–833. </w:t>
      </w:r>
    </w:p>
    <w:p w14:paraId="64D57B52" w14:textId="4B9F6CC7" w:rsidR="005D784B" w:rsidRDefault="00AA68FF">
      <w:pPr>
        <w:numPr>
          <w:ilvl w:val="0"/>
          <w:numId w:val="2"/>
        </w:numPr>
        <w:shd w:val="clear" w:color="auto" w:fill="FFFFFF"/>
        <w:spacing w:before="280" w:after="280" w:line="240" w:lineRule="auto"/>
        <w:jc w:val="both"/>
        <w:rPr>
          <w:rFonts w:ascii="Calibri" w:eastAsia="Calibri" w:hAnsi="Calibri" w:cs="Calibri"/>
          <w:sz w:val="24"/>
          <w:szCs w:val="24"/>
        </w:rPr>
      </w:pPr>
      <w:proofErr w:type="spellStart"/>
      <w:r>
        <w:rPr>
          <w:rFonts w:ascii="Calibri" w:eastAsia="Calibri" w:hAnsi="Calibri" w:cs="Calibri"/>
          <w:sz w:val="24"/>
          <w:szCs w:val="24"/>
        </w:rPr>
        <w:t>Zelenetz</w:t>
      </w:r>
      <w:proofErr w:type="spellEnd"/>
      <w:r>
        <w:rPr>
          <w:rFonts w:ascii="Calibri" w:eastAsia="Calibri" w:hAnsi="Calibri" w:cs="Calibri"/>
          <w:sz w:val="24"/>
          <w:szCs w:val="24"/>
        </w:rPr>
        <w:t xml:space="preserve"> AD, Salles G, Mason KD, et al. Venetoclax plus R- or C-CHOP in non-Hodgkin lymphoma: results from the CAVALLI phase 1b trial. </w:t>
      </w:r>
      <w:r>
        <w:rPr>
          <w:rFonts w:ascii="Calibri" w:eastAsia="Calibri" w:hAnsi="Calibri" w:cs="Calibri"/>
          <w:i/>
          <w:sz w:val="24"/>
          <w:szCs w:val="24"/>
        </w:rPr>
        <w:t xml:space="preserve">Blood. </w:t>
      </w:r>
      <w:r>
        <w:rPr>
          <w:rFonts w:ascii="Calibri" w:eastAsia="Calibri" w:hAnsi="Calibri" w:cs="Calibri"/>
          <w:sz w:val="24"/>
          <w:szCs w:val="24"/>
        </w:rPr>
        <w:t xml:space="preserve">2019. 133(18): 1964–1976. </w:t>
      </w:r>
    </w:p>
    <w:p w14:paraId="6CE8DA45" w14:textId="3E1CF6AB" w:rsidR="005D784B" w:rsidRDefault="00AA68FF">
      <w:pPr>
        <w:numPr>
          <w:ilvl w:val="0"/>
          <w:numId w:val="2"/>
        </w:numPr>
        <w:shd w:val="clear" w:color="auto" w:fill="FFFFFF"/>
        <w:spacing w:before="280" w:after="280"/>
        <w:jc w:val="both"/>
        <w:rPr>
          <w:rFonts w:ascii="Calibri" w:eastAsia="Calibri" w:hAnsi="Calibri" w:cs="Calibri"/>
          <w:sz w:val="24"/>
          <w:szCs w:val="24"/>
        </w:rPr>
      </w:pPr>
      <w:proofErr w:type="spellStart"/>
      <w:r>
        <w:rPr>
          <w:rFonts w:ascii="Calibri" w:eastAsia="Calibri" w:hAnsi="Calibri" w:cs="Calibri"/>
          <w:sz w:val="24"/>
          <w:szCs w:val="24"/>
        </w:rPr>
        <w:t>Cheson</w:t>
      </w:r>
      <w:proofErr w:type="spellEnd"/>
      <w:r>
        <w:rPr>
          <w:rFonts w:ascii="Calibri" w:eastAsia="Calibri" w:hAnsi="Calibri" w:cs="Calibri"/>
          <w:sz w:val="24"/>
          <w:szCs w:val="24"/>
        </w:rPr>
        <w:t xml:space="preserve"> BD, Fisher RI, Barrington SF, et al. Recommendations for initial evaluation, staging, and response assessment of Hodgkin and non-Hodgkin lymphoma: the Lugano classification. </w:t>
      </w:r>
      <w:r w:rsidRPr="00013A02">
        <w:rPr>
          <w:rFonts w:ascii="Calibri" w:eastAsia="Calibri" w:hAnsi="Calibri" w:cs="Calibri"/>
          <w:i/>
          <w:iCs/>
          <w:sz w:val="24"/>
          <w:szCs w:val="24"/>
        </w:rPr>
        <w:t>J Clin Oncol</w:t>
      </w:r>
      <w:r>
        <w:rPr>
          <w:rFonts w:ascii="Calibri" w:eastAsia="Calibri" w:hAnsi="Calibri" w:cs="Calibri"/>
          <w:sz w:val="24"/>
          <w:szCs w:val="24"/>
        </w:rPr>
        <w:t xml:space="preserve">. 2014;32(27):3059-3068. </w:t>
      </w:r>
    </w:p>
    <w:p w14:paraId="3C0A6EF8" w14:textId="77777777" w:rsidR="005D784B" w:rsidRDefault="005D784B">
      <w:pPr>
        <w:jc w:val="center"/>
      </w:pPr>
    </w:p>
    <w:sectPr w:rsidR="005D78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C4A66"/>
    <w:multiLevelType w:val="multilevel"/>
    <w:tmpl w:val="E14493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9612AEA"/>
    <w:multiLevelType w:val="multilevel"/>
    <w:tmpl w:val="04BCFF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43E62CF"/>
    <w:multiLevelType w:val="multilevel"/>
    <w:tmpl w:val="CC0EF4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28139476">
    <w:abstractNumId w:val="1"/>
  </w:num>
  <w:num w:numId="2" w16cid:durableId="2002848519">
    <w:abstractNumId w:val="2"/>
  </w:num>
  <w:num w:numId="3" w16cid:durableId="140852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84B"/>
    <w:rsid w:val="0000149C"/>
    <w:rsid w:val="00013A02"/>
    <w:rsid w:val="000F7598"/>
    <w:rsid w:val="00263959"/>
    <w:rsid w:val="005D784B"/>
    <w:rsid w:val="00AA68FF"/>
    <w:rsid w:val="00AD312A"/>
    <w:rsid w:val="00BD7D5C"/>
    <w:rsid w:val="00FE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C79842"/>
  <w15:docId w15:val="{78446E19-DABB-8345-A07D-463B42BA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2639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63959"/>
    <w:pPr>
      <w:spacing w:line="240" w:lineRule="auto"/>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Della Pia</cp:lastModifiedBy>
  <cp:revision>5</cp:revision>
  <dcterms:created xsi:type="dcterms:W3CDTF">2022-04-01T18:22:00Z</dcterms:created>
  <dcterms:modified xsi:type="dcterms:W3CDTF">2022-05-04T15:18:00Z</dcterms:modified>
</cp:coreProperties>
</file>