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8BA0" w14:textId="66EB9544" w:rsidR="00D228B0" w:rsidRPr="007718A8" w:rsidRDefault="003C7848" w:rsidP="00D228B0">
      <w:pPr>
        <w:spacing w:line="360" w:lineRule="auto"/>
        <w:contextualSpacing/>
        <w:jc w:val="both"/>
        <w:rPr>
          <w:rFonts w:ascii="Times New Roman" w:hAnsi="Times New Roman" w:cs="Times New Roman"/>
          <w:b/>
          <w:sz w:val="32"/>
          <w:szCs w:val="32"/>
          <w:lang w:val="en-GB"/>
        </w:rPr>
      </w:pPr>
      <w:r w:rsidRPr="003C7848">
        <w:rPr>
          <w:rFonts w:ascii="Times New Roman" w:hAnsi="Times New Roman" w:cs="Times New Roman"/>
          <w:b/>
          <w:sz w:val="32"/>
          <w:szCs w:val="32"/>
          <w:lang w:val="en-GB"/>
        </w:rPr>
        <w:t>Supplemental material</w:t>
      </w:r>
    </w:p>
    <w:p w14:paraId="35D4024F" w14:textId="70B8F26E" w:rsidR="007D2D5F" w:rsidRPr="007D2D5F" w:rsidRDefault="007D2D5F" w:rsidP="007D2D5F">
      <w:pPr>
        <w:pStyle w:val="Paragrafoelenco"/>
        <w:numPr>
          <w:ilvl w:val="0"/>
          <w:numId w:val="28"/>
        </w:numPr>
        <w:spacing w:line="360" w:lineRule="auto"/>
        <w:ind w:left="426" w:hanging="294"/>
        <w:jc w:val="both"/>
        <w:rPr>
          <w:rFonts w:ascii="Times New Roman" w:hAnsi="Times New Roman" w:cs="Times New Roman"/>
          <w:bCs/>
          <w:sz w:val="24"/>
          <w:szCs w:val="24"/>
          <w:lang w:val="en-GB"/>
        </w:rPr>
      </w:pPr>
      <w:r w:rsidRPr="007D2D5F">
        <w:rPr>
          <w:rFonts w:ascii="Times New Roman" w:hAnsi="Times New Roman" w:cs="Times New Roman"/>
          <w:b/>
          <w:sz w:val="24"/>
          <w:szCs w:val="24"/>
          <w:lang w:val="en-GB"/>
        </w:rPr>
        <w:t xml:space="preserve">Appendix 1. </w:t>
      </w:r>
      <w:r w:rsidR="00E633CE" w:rsidRPr="007D2D5F">
        <w:rPr>
          <w:rFonts w:ascii="Times New Roman" w:hAnsi="Times New Roman" w:cs="Times New Roman"/>
          <w:b/>
          <w:sz w:val="24"/>
          <w:szCs w:val="24"/>
          <w:lang w:val="en-GB"/>
        </w:rPr>
        <w:t>Keyword list</w:t>
      </w:r>
    </w:p>
    <w:p w14:paraId="1A004AF7" w14:textId="230B2E64" w:rsidR="00601F7D" w:rsidRPr="007D2D5F" w:rsidRDefault="007D2D5F" w:rsidP="007D2D5F">
      <w:pPr>
        <w:pStyle w:val="Paragrafoelenco"/>
        <w:numPr>
          <w:ilvl w:val="0"/>
          <w:numId w:val="28"/>
        </w:numPr>
        <w:spacing w:line="360" w:lineRule="auto"/>
        <w:ind w:left="426" w:hanging="294"/>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Appendix 2. </w:t>
      </w:r>
      <w:r w:rsidR="00E633CE" w:rsidRPr="007D2D5F">
        <w:rPr>
          <w:rFonts w:ascii="Times New Roman" w:eastAsia="Times New Roman" w:hAnsi="Times New Roman" w:cs="Times New Roman"/>
          <w:b/>
          <w:bCs/>
          <w:kern w:val="36"/>
          <w:sz w:val="24"/>
          <w:szCs w:val="24"/>
          <w:lang w:val="en-US" w:eastAsia="en-GB"/>
        </w:rPr>
        <w:t>Panelists and Delphi consensus</w:t>
      </w:r>
      <w:r w:rsidR="00E633CE" w:rsidRPr="007D2D5F">
        <w:rPr>
          <w:rFonts w:ascii="Times New Roman" w:hAnsi="Times New Roman" w:cs="Times New Roman"/>
          <w:b/>
          <w:sz w:val="24"/>
          <w:szCs w:val="24"/>
          <w:lang w:val="en-GB"/>
        </w:rPr>
        <w:t xml:space="preserve"> </w:t>
      </w:r>
    </w:p>
    <w:p w14:paraId="387A2644" w14:textId="4392AAD1" w:rsidR="00601F7D" w:rsidRPr="007D2D5F" w:rsidRDefault="007D2D5F" w:rsidP="007D2D5F">
      <w:pPr>
        <w:pStyle w:val="Paragrafoelenco"/>
        <w:numPr>
          <w:ilvl w:val="0"/>
          <w:numId w:val="28"/>
        </w:numPr>
        <w:spacing w:line="360" w:lineRule="auto"/>
        <w:ind w:left="426" w:hanging="294"/>
        <w:jc w:val="both"/>
        <w:rPr>
          <w:rFonts w:ascii="Times New Roman" w:hAnsi="Times New Roman" w:cs="Times New Roman"/>
          <w:b/>
          <w:sz w:val="24"/>
          <w:szCs w:val="24"/>
          <w:lang w:val="en-GB"/>
        </w:rPr>
      </w:pPr>
      <w:r w:rsidRPr="007D2D5F">
        <w:rPr>
          <w:rFonts w:ascii="Times New Roman" w:hAnsi="Times New Roman" w:cs="Times New Roman"/>
          <w:b/>
          <w:sz w:val="24"/>
          <w:szCs w:val="24"/>
          <w:lang w:val="en-GB"/>
        </w:rPr>
        <w:t>Supplemental table</w:t>
      </w:r>
      <w:r w:rsidR="00E633CE">
        <w:rPr>
          <w:rFonts w:ascii="Times New Roman" w:hAnsi="Times New Roman" w:cs="Times New Roman"/>
          <w:b/>
          <w:sz w:val="24"/>
          <w:szCs w:val="24"/>
          <w:lang w:val="en-GB"/>
        </w:rPr>
        <w:t xml:space="preserve"> 1</w:t>
      </w:r>
    </w:p>
    <w:p w14:paraId="3C70EF80" w14:textId="77777777" w:rsidR="00601F7D" w:rsidRDefault="00601F7D" w:rsidP="00D228B0">
      <w:pPr>
        <w:spacing w:line="360" w:lineRule="auto"/>
        <w:contextualSpacing/>
        <w:jc w:val="both"/>
        <w:rPr>
          <w:rFonts w:ascii="Times New Roman" w:hAnsi="Times New Roman" w:cs="Times New Roman"/>
          <w:b/>
          <w:sz w:val="24"/>
          <w:szCs w:val="24"/>
          <w:lang w:val="en-GB"/>
        </w:rPr>
      </w:pPr>
    </w:p>
    <w:p w14:paraId="11B1966D" w14:textId="48CE56EB" w:rsidR="007D2D5F" w:rsidRDefault="007D2D5F">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607F8212" w14:textId="1BD2D0E1" w:rsidR="00E633CE" w:rsidRPr="007718A8" w:rsidRDefault="00E633CE" w:rsidP="00E633CE">
      <w:pPr>
        <w:spacing w:line="360" w:lineRule="auto"/>
        <w:contextualSpacing/>
        <w:jc w:val="both"/>
        <w:rPr>
          <w:rFonts w:ascii="Times New Roman" w:hAnsi="Times New Roman" w:cs="Times New Roman"/>
          <w:b/>
          <w:sz w:val="24"/>
          <w:szCs w:val="24"/>
          <w:lang w:val="en-GB"/>
        </w:rPr>
      </w:pPr>
      <w:r w:rsidRPr="007718A8">
        <w:rPr>
          <w:rFonts w:ascii="Times New Roman" w:hAnsi="Times New Roman" w:cs="Times New Roman"/>
          <w:b/>
          <w:sz w:val="24"/>
          <w:szCs w:val="24"/>
          <w:lang w:val="en-GB"/>
        </w:rPr>
        <w:lastRenderedPageBreak/>
        <w:t>Appendix 1. Keyword list</w:t>
      </w:r>
    </w:p>
    <w:p w14:paraId="16ADCE8C" w14:textId="77777777" w:rsidR="00E633CE" w:rsidRPr="002F078F" w:rsidRDefault="00E633CE" w:rsidP="00E633CE">
      <w:pPr>
        <w:jc w:val="both"/>
        <w:rPr>
          <w:lang w:val="en-US"/>
        </w:rPr>
        <w:sectPr w:rsidR="00E633CE" w:rsidRPr="002F078F" w:rsidSect="00987699">
          <w:headerReference w:type="default" r:id="rId8"/>
          <w:footerReference w:type="default" r:id="rId9"/>
          <w:pgSz w:w="11906" w:h="16838"/>
          <w:pgMar w:top="1440" w:right="1134" w:bottom="1440" w:left="1134" w:header="709" w:footer="709" w:gutter="0"/>
          <w:cols w:space="708"/>
          <w:docGrid w:linePitch="360"/>
        </w:sectPr>
      </w:pPr>
      <w:r w:rsidRPr="002F078F">
        <w:rPr>
          <w:lang w:val="en-US"/>
        </w:rPr>
        <w:t xml:space="preserve">Acute coronary syndrome, anticoagulation, anticoagulants, antiplatelet, aspirin, apixaban, atrial fibrillation, bleeding, cancer, chronic coronary syndrome, coronary reperfusion, clopidogrel, device-related thrombosis, dabigatran, DAPT, DOAC, </w:t>
      </w:r>
      <w:proofErr w:type="spellStart"/>
      <w:r w:rsidRPr="002F078F">
        <w:rPr>
          <w:lang w:val="en-US"/>
        </w:rPr>
        <w:t>edoxaban</w:t>
      </w:r>
      <w:proofErr w:type="spellEnd"/>
      <w:r w:rsidRPr="002F078F">
        <w:rPr>
          <w:lang w:val="en-US"/>
        </w:rPr>
        <w:t xml:space="preserve">, </w:t>
      </w:r>
      <w:r>
        <w:rPr>
          <w:lang w:val="en-US"/>
        </w:rPr>
        <w:t>h</w:t>
      </w:r>
      <w:r w:rsidRPr="002F078F">
        <w:rPr>
          <w:lang w:val="en-US"/>
        </w:rPr>
        <w:t xml:space="preserve">eparin, </w:t>
      </w:r>
      <w:proofErr w:type="spellStart"/>
      <w:r w:rsidRPr="002F078F">
        <w:rPr>
          <w:lang w:val="en-US"/>
        </w:rPr>
        <w:t>haematological</w:t>
      </w:r>
      <w:proofErr w:type="spellEnd"/>
      <w:r w:rsidRPr="002F078F">
        <w:rPr>
          <w:lang w:val="en-US"/>
        </w:rPr>
        <w:t xml:space="preserve"> malignancies, leaf atrial appendage occlusion, leukemia, low-molecular weight heparin, myocardial infarction, neoplasms, platelet aggregation inhibitors , PCI, PAD, rivaroxaban, thrombocytopenia, thrombocytopenic, thrombolytic therapy </w:t>
      </w:r>
      <w:r>
        <w:rPr>
          <w:lang w:val="en-US"/>
        </w:rPr>
        <w:t>or</w:t>
      </w:r>
      <w:r w:rsidRPr="002F078F">
        <w:rPr>
          <w:lang w:val="en-US"/>
        </w:rPr>
        <w:t xml:space="preserve"> thrombectomy, thrombosis, thromboembolism, single antiplatelet therapy, stroke, TIA, unfractionated heparin, </w:t>
      </w:r>
      <w:r>
        <w:rPr>
          <w:lang w:val="en-US"/>
        </w:rPr>
        <w:t>v</w:t>
      </w:r>
      <w:r w:rsidRPr="002F078F">
        <w:rPr>
          <w:lang w:val="en-US"/>
        </w:rPr>
        <w:t>itamin K antagonist, warfarin</w:t>
      </w:r>
      <w:r>
        <w:rPr>
          <w:lang w:val="en-US"/>
        </w:rPr>
        <w:t>.</w:t>
      </w:r>
    </w:p>
    <w:p w14:paraId="2E55531E" w14:textId="7EFF6A4C" w:rsidR="007D2D5F" w:rsidRPr="007718A8" w:rsidRDefault="007D2D5F" w:rsidP="00D228B0">
      <w:pPr>
        <w:spacing w:line="360" w:lineRule="auto"/>
        <w:contextualSpacing/>
        <w:jc w:val="both"/>
        <w:rPr>
          <w:rFonts w:ascii="Times New Roman" w:hAnsi="Times New Roman" w:cs="Times New Roman"/>
          <w:b/>
          <w:sz w:val="24"/>
          <w:szCs w:val="24"/>
          <w:lang w:val="en-US"/>
        </w:rPr>
      </w:pPr>
      <w:r w:rsidRPr="007718A8">
        <w:rPr>
          <w:rFonts w:ascii="Times New Roman" w:hAnsi="Times New Roman" w:cs="Times New Roman"/>
          <w:b/>
          <w:sz w:val="24"/>
          <w:szCs w:val="24"/>
          <w:lang w:val="en-GB"/>
        </w:rPr>
        <w:lastRenderedPageBreak/>
        <w:t xml:space="preserve">Appendix </w:t>
      </w:r>
      <w:r w:rsidR="00E633CE" w:rsidRPr="007718A8">
        <w:rPr>
          <w:rFonts w:ascii="Times New Roman" w:hAnsi="Times New Roman" w:cs="Times New Roman"/>
          <w:b/>
          <w:sz w:val="24"/>
          <w:szCs w:val="24"/>
          <w:lang w:val="en-GB"/>
        </w:rPr>
        <w:t>2</w:t>
      </w:r>
      <w:r w:rsidRPr="007718A8">
        <w:rPr>
          <w:rFonts w:ascii="Times New Roman" w:hAnsi="Times New Roman" w:cs="Times New Roman"/>
          <w:b/>
          <w:sz w:val="24"/>
          <w:szCs w:val="24"/>
          <w:lang w:val="en-GB"/>
        </w:rPr>
        <w:t xml:space="preserve">. </w:t>
      </w:r>
      <w:r w:rsidRPr="007718A8">
        <w:rPr>
          <w:rFonts w:ascii="Times New Roman" w:eastAsia="Times New Roman" w:hAnsi="Times New Roman" w:cs="Times New Roman"/>
          <w:b/>
          <w:bCs/>
          <w:kern w:val="36"/>
          <w:sz w:val="24"/>
          <w:szCs w:val="24"/>
          <w:lang w:val="en-US" w:eastAsia="en-GB"/>
        </w:rPr>
        <w:t>Panelists and Delphi consensus</w:t>
      </w:r>
    </w:p>
    <w:p w14:paraId="469F9EE7" w14:textId="77777777" w:rsidR="007D2D5F" w:rsidRPr="007D2D5F" w:rsidRDefault="007D2D5F" w:rsidP="00E633CE">
      <w:pPr>
        <w:spacing w:before="100" w:beforeAutospacing="1" w:after="100" w:afterAutospacing="1" w:line="240" w:lineRule="auto"/>
        <w:outlineLvl w:val="1"/>
        <w:rPr>
          <w:rFonts w:ascii="Times New Roman" w:eastAsia="Times New Roman" w:hAnsi="Times New Roman" w:cs="Times New Roman"/>
          <w:b/>
          <w:bCs/>
          <w:sz w:val="24"/>
          <w:szCs w:val="24"/>
          <w:lang w:val="en-US" w:eastAsia="en-GB"/>
        </w:rPr>
      </w:pPr>
      <w:r w:rsidRPr="007D2D5F">
        <w:rPr>
          <w:rFonts w:ascii="Times New Roman" w:eastAsia="Times New Roman" w:hAnsi="Times New Roman" w:cs="Times New Roman"/>
          <w:b/>
          <w:bCs/>
          <w:sz w:val="24"/>
          <w:szCs w:val="24"/>
          <w:lang w:val="en-US" w:eastAsia="en-GB"/>
        </w:rPr>
        <w:t>Composition of panel membership</w:t>
      </w:r>
    </w:p>
    <w:p w14:paraId="749FE5B2" w14:textId="77777777" w:rsidR="007D2D5F" w:rsidRPr="007D2D5F" w:rsidRDefault="007D2D5F" w:rsidP="007D2D5F">
      <w:pPr>
        <w:spacing w:before="100" w:beforeAutospacing="1" w:after="100" w:afterAutospacing="1" w:line="240" w:lineRule="auto"/>
        <w:ind w:firstLine="708"/>
        <w:outlineLvl w:val="1"/>
        <w:rPr>
          <w:rFonts w:ascii="Times New Roman" w:eastAsia="Times New Roman" w:hAnsi="Times New Roman" w:cs="Times New Roman"/>
          <w:b/>
          <w:bCs/>
          <w:sz w:val="24"/>
          <w:szCs w:val="24"/>
          <w:lang w:val="en-US" w:eastAsia="en-GB"/>
        </w:rPr>
      </w:pPr>
      <w:r w:rsidRPr="007D2D5F">
        <w:rPr>
          <w:rFonts w:ascii="Times New Roman" w:eastAsia="Times New Roman" w:hAnsi="Times New Roman" w:cs="Times New Roman"/>
          <w:b/>
          <w:bCs/>
          <w:sz w:val="24"/>
          <w:szCs w:val="24"/>
          <w:lang w:val="en-US" w:eastAsia="en-GB"/>
        </w:rPr>
        <w:t>Expertise</w:t>
      </w:r>
    </w:p>
    <w:p w14:paraId="353BDF71" w14:textId="279DD9C0" w:rsidR="007D2D5F" w:rsidRPr="007D2D5F" w:rsidRDefault="007D2D5F" w:rsidP="007D2D5F">
      <w:pPr>
        <w:spacing w:before="100" w:beforeAutospacing="1" w:after="100" w:afterAutospacing="1" w:line="240" w:lineRule="auto"/>
        <w:rPr>
          <w:rFonts w:ascii="Times New Roman" w:eastAsia="Times New Roman" w:hAnsi="Times New Roman" w:cs="Times New Roman"/>
          <w:sz w:val="24"/>
          <w:szCs w:val="24"/>
          <w:lang w:val="en-US" w:eastAsia="en-GB"/>
        </w:rPr>
      </w:pPr>
      <w:r w:rsidRPr="007D2D5F">
        <w:rPr>
          <w:rFonts w:ascii="Times New Roman" w:eastAsia="Times New Roman" w:hAnsi="Times New Roman" w:cs="Times New Roman"/>
          <w:sz w:val="24"/>
          <w:szCs w:val="24"/>
          <w:lang w:val="en-US" w:eastAsia="en-GB"/>
        </w:rPr>
        <w:t>The EHA and ESC agreed in advance the proposed composition of the Task Force and Delphi consensus panel with the following expertise among Panelists which included:</w:t>
      </w:r>
    </w:p>
    <w:p w14:paraId="54F7BC9A" w14:textId="70EE30BD" w:rsidR="007D2D5F" w:rsidRPr="00594E39"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594E39">
        <w:rPr>
          <w:rFonts w:ascii="Times New Roman" w:eastAsia="Times New Roman" w:hAnsi="Times New Roman" w:cs="Times New Roman"/>
          <w:sz w:val="24"/>
          <w:szCs w:val="24"/>
          <w:lang w:eastAsia="en-GB"/>
        </w:rPr>
        <w:t>Onco-</w:t>
      </w:r>
      <w:proofErr w:type="spellStart"/>
      <w:r w:rsidRPr="00594E39">
        <w:rPr>
          <w:rFonts w:ascii="Times New Roman" w:eastAsia="Times New Roman" w:hAnsi="Times New Roman" w:cs="Times New Roman"/>
          <w:sz w:val="24"/>
          <w:szCs w:val="24"/>
          <w:lang w:eastAsia="en-GB"/>
        </w:rPr>
        <w:t>Hematologist</w:t>
      </w:r>
      <w:proofErr w:type="spellEnd"/>
    </w:p>
    <w:p w14:paraId="3F0B55E2" w14:textId="77777777" w:rsidR="007D2D5F" w:rsidRPr="00594E39"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94E39">
        <w:rPr>
          <w:rFonts w:ascii="Times New Roman" w:eastAsia="Times New Roman" w:hAnsi="Times New Roman" w:cs="Times New Roman"/>
          <w:sz w:val="24"/>
          <w:szCs w:val="24"/>
          <w:lang w:eastAsia="en-GB"/>
        </w:rPr>
        <w:t>Cardiologist</w:t>
      </w:r>
      <w:proofErr w:type="spellEnd"/>
    </w:p>
    <w:p w14:paraId="30EA9532" w14:textId="77777777" w:rsidR="007D2D5F" w:rsidRPr="00594E39"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94E39">
        <w:rPr>
          <w:rFonts w:ascii="Times New Roman" w:eastAsia="Times New Roman" w:hAnsi="Times New Roman" w:cs="Times New Roman"/>
          <w:sz w:val="24"/>
          <w:szCs w:val="24"/>
          <w:lang w:eastAsia="en-GB"/>
        </w:rPr>
        <w:t>Cardiovascular</w:t>
      </w:r>
      <w:proofErr w:type="spellEnd"/>
      <w:r w:rsidRPr="00594E39">
        <w:rPr>
          <w:rFonts w:ascii="Times New Roman" w:eastAsia="Times New Roman" w:hAnsi="Times New Roman" w:cs="Times New Roman"/>
          <w:sz w:val="24"/>
          <w:szCs w:val="24"/>
          <w:lang w:eastAsia="en-GB"/>
        </w:rPr>
        <w:t xml:space="preserve"> </w:t>
      </w:r>
      <w:proofErr w:type="spellStart"/>
      <w:r w:rsidRPr="00594E39">
        <w:rPr>
          <w:rFonts w:ascii="Times New Roman" w:eastAsia="Times New Roman" w:hAnsi="Times New Roman" w:cs="Times New Roman"/>
          <w:sz w:val="24"/>
          <w:szCs w:val="24"/>
          <w:lang w:eastAsia="en-GB"/>
        </w:rPr>
        <w:t>Pharmacologist</w:t>
      </w:r>
      <w:proofErr w:type="spellEnd"/>
    </w:p>
    <w:p w14:paraId="326A6DB1" w14:textId="77777777" w:rsidR="007D2D5F" w:rsidRPr="00594E39"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594E39">
        <w:rPr>
          <w:rFonts w:ascii="Times New Roman" w:eastAsia="Times New Roman" w:hAnsi="Times New Roman" w:cs="Times New Roman"/>
          <w:sz w:val="24"/>
          <w:szCs w:val="24"/>
          <w:lang w:val="en-US" w:eastAsia="en-GB"/>
        </w:rPr>
        <w:t xml:space="preserve">Internist </w:t>
      </w:r>
    </w:p>
    <w:p w14:paraId="37FEE090" w14:textId="77777777" w:rsidR="007D2D5F" w:rsidRPr="00594E39"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594E39">
        <w:rPr>
          <w:rFonts w:ascii="Times New Roman" w:eastAsia="Times New Roman" w:hAnsi="Times New Roman" w:cs="Times New Roman"/>
          <w:sz w:val="24"/>
          <w:szCs w:val="24"/>
          <w:lang w:val="en-US" w:eastAsia="en-GB"/>
        </w:rPr>
        <w:t xml:space="preserve">Vascular medicine specialist </w:t>
      </w:r>
    </w:p>
    <w:p w14:paraId="47F9D62B" w14:textId="77777777" w:rsidR="007D2D5F" w:rsidRPr="00594E39"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594E39">
        <w:rPr>
          <w:rFonts w:ascii="Times New Roman" w:eastAsia="Times New Roman" w:hAnsi="Times New Roman" w:cs="Times New Roman"/>
          <w:sz w:val="24"/>
          <w:szCs w:val="24"/>
          <w:lang w:val="en-US" w:eastAsia="en-GB"/>
        </w:rPr>
        <w:t>Vascular Surgeon</w:t>
      </w:r>
    </w:p>
    <w:p w14:paraId="569A1200" w14:textId="77777777" w:rsidR="007D2D5F" w:rsidRPr="007D2D5F"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en-GB"/>
        </w:rPr>
      </w:pPr>
      <w:r w:rsidRPr="00594E39">
        <w:rPr>
          <w:rFonts w:ascii="Times New Roman" w:eastAsia="Times New Roman" w:hAnsi="Times New Roman" w:cs="Times New Roman"/>
          <w:sz w:val="24"/>
          <w:szCs w:val="24"/>
          <w:lang w:val="en-US" w:eastAsia="en-GB"/>
        </w:rPr>
        <w:t>Experts in clinical thrombosis and hemostasis</w:t>
      </w:r>
    </w:p>
    <w:p w14:paraId="6FB176CB" w14:textId="77777777" w:rsidR="007D2D5F" w:rsidRPr="00594E39" w:rsidRDefault="007D2D5F" w:rsidP="007D2D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594E39">
        <w:rPr>
          <w:rFonts w:ascii="Times New Roman" w:eastAsia="Times New Roman" w:hAnsi="Times New Roman" w:cs="Times New Roman"/>
          <w:sz w:val="24"/>
          <w:szCs w:val="24"/>
          <w:lang w:val="en-US" w:eastAsia="en-GB"/>
        </w:rPr>
        <w:t>Experts in laboratory coagulation</w:t>
      </w:r>
    </w:p>
    <w:p w14:paraId="2AD15219" w14:textId="77777777" w:rsidR="007D2D5F" w:rsidRPr="00594E39" w:rsidRDefault="007D2D5F" w:rsidP="007D2D5F">
      <w:pPr>
        <w:spacing w:before="100" w:beforeAutospacing="1" w:after="100" w:afterAutospacing="1" w:line="240" w:lineRule="auto"/>
        <w:ind w:firstLine="360"/>
        <w:outlineLvl w:val="1"/>
        <w:rPr>
          <w:rFonts w:ascii="Times New Roman" w:eastAsia="Times New Roman" w:hAnsi="Times New Roman" w:cs="Times New Roman"/>
          <w:b/>
          <w:bCs/>
          <w:sz w:val="24"/>
          <w:szCs w:val="24"/>
          <w:lang w:eastAsia="en-GB"/>
        </w:rPr>
      </w:pPr>
      <w:r w:rsidRPr="00594E39">
        <w:rPr>
          <w:rFonts w:ascii="Times New Roman" w:eastAsia="Times New Roman" w:hAnsi="Times New Roman" w:cs="Times New Roman"/>
          <w:b/>
          <w:bCs/>
          <w:sz w:val="24"/>
          <w:szCs w:val="24"/>
          <w:lang w:eastAsia="en-GB"/>
        </w:rPr>
        <w:t xml:space="preserve">Panel </w:t>
      </w:r>
      <w:proofErr w:type="spellStart"/>
      <w:r w:rsidRPr="00594E39">
        <w:rPr>
          <w:rFonts w:ascii="Times New Roman" w:eastAsia="Times New Roman" w:hAnsi="Times New Roman" w:cs="Times New Roman"/>
          <w:b/>
          <w:bCs/>
          <w:sz w:val="24"/>
          <w:szCs w:val="24"/>
          <w:lang w:eastAsia="en-GB"/>
        </w:rPr>
        <w:t>members</w:t>
      </w:r>
      <w:proofErr w:type="spellEnd"/>
    </w:p>
    <w:p w14:paraId="3B4749F8" w14:textId="77777777" w:rsidR="007D2D5F" w:rsidRPr="00594E39" w:rsidRDefault="007D2D5F" w:rsidP="007D2D5F">
      <w:pPr>
        <w:spacing w:line="360" w:lineRule="auto"/>
        <w:contextualSpacing/>
        <w:jc w:val="both"/>
        <w:rPr>
          <w:rFonts w:ascii="Times New Roman" w:eastAsia="Calibri" w:hAnsi="Times New Roman" w:cs="Times New Roman"/>
          <w:sz w:val="24"/>
          <w:szCs w:val="24"/>
        </w:rPr>
      </w:pPr>
      <w:r w:rsidRPr="00594E39">
        <w:rPr>
          <w:rFonts w:ascii="Times New Roman" w:eastAsia="Calibri" w:hAnsi="Times New Roman" w:cs="Times New Roman"/>
          <w:sz w:val="24"/>
          <w:szCs w:val="24"/>
        </w:rPr>
        <w:t xml:space="preserve">Falanga A </w:t>
      </w:r>
    </w:p>
    <w:p w14:paraId="38ED9479" w14:textId="77777777" w:rsidR="007D2D5F" w:rsidRPr="00594E39" w:rsidRDefault="007D2D5F" w:rsidP="007D2D5F">
      <w:pPr>
        <w:spacing w:line="360" w:lineRule="auto"/>
        <w:contextualSpacing/>
        <w:jc w:val="both"/>
        <w:rPr>
          <w:rFonts w:ascii="Times New Roman" w:eastAsia="Calibri" w:hAnsi="Times New Roman" w:cs="Times New Roman"/>
          <w:sz w:val="24"/>
          <w:szCs w:val="24"/>
          <w:shd w:val="clear" w:color="auto" w:fill="FFFFFF"/>
        </w:rPr>
      </w:pPr>
      <w:r w:rsidRPr="00594E39">
        <w:rPr>
          <w:rFonts w:ascii="Times New Roman" w:eastAsia="Calibri" w:hAnsi="Times New Roman" w:cs="Times New Roman"/>
          <w:sz w:val="24"/>
          <w:szCs w:val="24"/>
          <w:shd w:val="clear" w:color="auto" w:fill="FFFFFF"/>
        </w:rPr>
        <w:t xml:space="preserve">Leader A </w:t>
      </w:r>
    </w:p>
    <w:p w14:paraId="0D65B695" w14:textId="77777777" w:rsidR="007D2D5F" w:rsidRPr="003A5F2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3A5F29">
        <w:rPr>
          <w:rFonts w:ascii="Times New Roman" w:eastAsia="Calibri" w:hAnsi="Times New Roman" w:cs="Times New Roman"/>
          <w:sz w:val="24"/>
          <w:szCs w:val="24"/>
          <w:shd w:val="clear" w:color="auto" w:fill="FFFFFF"/>
        </w:rPr>
        <w:t>Ambaglio</w:t>
      </w:r>
      <w:proofErr w:type="spellEnd"/>
      <w:r w:rsidRPr="003A5F29">
        <w:rPr>
          <w:rFonts w:ascii="Times New Roman" w:eastAsia="Calibri" w:hAnsi="Times New Roman" w:cs="Times New Roman"/>
          <w:sz w:val="24"/>
          <w:szCs w:val="24"/>
          <w:shd w:val="clear" w:color="auto" w:fill="FFFFFF"/>
        </w:rPr>
        <w:t xml:space="preserve"> C </w:t>
      </w:r>
    </w:p>
    <w:p w14:paraId="121A36B1" w14:textId="77777777" w:rsidR="007D2D5F" w:rsidRPr="003A5F2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3A5F29">
        <w:rPr>
          <w:rFonts w:ascii="Times New Roman" w:eastAsia="Calibri" w:hAnsi="Times New Roman" w:cs="Times New Roman"/>
          <w:sz w:val="24"/>
          <w:szCs w:val="24"/>
          <w:shd w:val="clear" w:color="auto" w:fill="FFFFFF"/>
        </w:rPr>
        <w:t>Bagoly</w:t>
      </w:r>
      <w:proofErr w:type="spellEnd"/>
      <w:r w:rsidRPr="003A5F29">
        <w:rPr>
          <w:rFonts w:ascii="Times New Roman" w:eastAsia="Calibri" w:hAnsi="Times New Roman" w:cs="Times New Roman"/>
          <w:sz w:val="24"/>
          <w:szCs w:val="24"/>
          <w:shd w:val="clear" w:color="auto" w:fill="FFFFFF"/>
        </w:rPr>
        <w:t xml:space="preserve"> Z </w:t>
      </w:r>
    </w:p>
    <w:p w14:paraId="12B0DF7F" w14:textId="77777777" w:rsidR="007D2D5F" w:rsidRPr="003A5F2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3A5F29">
        <w:rPr>
          <w:rFonts w:ascii="Times New Roman" w:eastAsia="Calibri" w:hAnsi="Times New Roman" w:cs="Times New Roman"/>
          <w:sz w:val="24"/>
          <w:szCs w:val="24"/>
          <w:shd w:val="clear" w:color="auto" w:fill="FFFFFF"/>
        </w:rPr>
        <w:t>Castaman</w:t>
      </w:r>
      <w:proofErr w:type="spellEnd"/>
      <w:r w:rsidRPr="003A5F29">
        <w:rPr>
          <w:rFonts w:ascii="Times New Roman" w:eastAsia="Calibri" w:hAnsi="Times New Roman" w:cs="Times New Roman"/>
          <w:sz w:val="24"/>
          <w:szCs w:val="24"/>
          <w:shd w:val="clear" w:color="auto" w:fill="FFFFFF"/>
        </w:rPr>
        <w:t xml:space="preserve"> G </w:t>
      </w:r>
    </w:p>
    <w:p w14:paraId="267AD1A5" w14:textId="77777777" w:rsidR="007D2D5F" w:rsidRPr="003A5F2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3A5F29">
        <w:rPr>
          <w:rFonts w:ascii="Times New Roman" w:eastAsia="Calibri" w:hAnsi="Times New Roman" w:cs="Times New Roman"/>
          <w:sz w:val="24"/>
          <w:szCs w:val="24"/>
          <w:shd w:val="clear" w:color="auto" w:fill="FFFFFF"/>
        </w:rPr>
        <w:t>Elalamy</w:t>
      </w:r>
      <w:proofErr w:type="spellEnd"/>
      <w:r w:rsidRPr="003A5F29">
        <w:rPr>
          <w:rFonts w:ascii="Times New Roman" w:eastAsia="Calibri" w:hAnsi="Times New Roman" w:cs="Times New Roman"/>
          <w:sz w:val="24"/>
          <w:szCs w:val="24"/>
          <w:shd w:val="clear" w:color="auto" w:fill="FFFFFF"/>
        </w:rPr>
        <w:t xml:space="preserve"> I </w:t>
      </w:r>
    </w:p>
    <w:p w14:paraId="50C97DDC" w14:textId="77777777" w:rsidR="007D2D5F" w:rsidRPr="00594E3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594E39">
        <w:rPr>
          <w:rFonts w:ascii="Times New Roman" w:eastAsia="Calibri" w:hAnsi="Times New Roman" w:cs="Times New Roman"/>
          <w:sz w:val="24"/>
          <w:szCs w:val="24"/>
          <w:shd w:val="clear" w:color="auto" w:fill="FFFFFF"/>
        </w:rPr>
        <w:t>Lecumberri</w:t>
      </w:r>
      <w:proofErr w:type="spellEnd"/>
      <w:r w:rsidRPr="00594E39">
        <w:rPr>
          <w:rFonts w:ascii="Times New Roman" w:eastAsia="Calibri" w:hAnsi="Times New Roman" w:cs="Times New Roman"/>
          <w:sz w:val="24"/>
          <w:szCs w:val="24"/>
          <w:shd w:val="clear" w:color="auto" w:fill="FFFFFF"/>
        </w:rPr>
        <w:t xml:space="preserve"> R </w:t>
      </w:r>
    </w:p>
    <w:p w14:paraId="5CEE2F5F" w14:textId="77777777" w:rsidR="007D2D5F" w:rsidRPr="00594E3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594E39">
        <w:rPr>
          <w:rFonts w:ascii="Times New Roman" w:eastAsia="Calibri" w:hAnsi="Times New Roman" w:cs="Times New Roman"/>
          <w:sz w:val="24"/>
          <w:szCs w:val="24"/>
          <w:shd w:val="clear" w:color="auto" w:fill="FFFFFF"/>
        </w:rPr>
        <w:t>Niessner</w:t>
      </w:r>
      <w:proofErr w:type="spellEnd"/>
      <w:r w:rsidRPr="00594E39">
        <w:rPr>
          <w:rFonts w:ascii="Times New Roman" w:eastAsia="Calibri" w:hAnsi="Times New Roman" w:cs="Times New Roman"/>
          <w:sz w:val="24"/>
          <w:szCs w:val="24"/>
          <w:shd w:val="clear" w:color="auto" w:fill="FFFFFF"/>
        </w:rPr>
        <w:t xml:space="preserve"> A </w:t>
      </w:r>
    </w:p>
    <w:p w14:paraId="389C302C" w14:textId="77777777" w:rsidR="007D2D5F" w:rsidRPr="00594E3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594E39">
        <w:rPr>
          <w:rFonts w:ascii="Times New Roman" w:eastAsia="Calibri" w:hAnsi="Times New Roman" w:cs="Times New Roman"/>
          <w:sz w:val="24"/>
          <w:szCs w:val="24"/>
          <w:shd w:val="clear" w:color="auto" w:fill="FFFFFF"/>
        </w:rPr>
        <w:t>Pabinger</w:t>
      </w:r>
      <w:proofErr w:type="spellEnd"/>
      <w:r w:rsidRPr="00594E39">
        <w:rPr>
          <w:rFonts w:ascii="Times New Roman" w:eastAsia="Calibri" w:hAnsi="Times New Roman" w:cs="Times New Roman"/>
          <w:sz w:val="24"/>
          <w:szCs w:val="24"/>
          <w:shd w:val="clear" w:color="auto" w:fill="FFFFFF"/>
        </w:rPr>
        <w:t xml:space="preserve"> I </w:t>
      </w:r>
    </w:p>
    <w:p w14:paraId="5AF0C799" w14:textId="77777777" w:rsidR="007D2D5F" w:rsidRPr="00594E3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594E39">
        <w:rPr>
          <w:rFonts w:ascii="Times New Roman" w:eastAsia="Calibri" w:hAnsi="Times New Roman" w:cs="Times New Roman"/>
          <w:sz w:val="24"/>
          <w:szCs w:val="24"/>
          <w:shd w:val="clear" w:color="auto" w:fill="FFFFFF"/>
        </w:rPr>
        <w:t>Szmit</w:t>
      </w:r>
      <w:proofErr w:type="spellEnd"/>
      <w:r w:rsidRPr="00594E39">
        <w:rPr>
          <w:rFonts w:ascii="Times New Roman" w:eastAsia="Calibri" w:hAnsi="Times New Roman" w:cs="Times New Roman"/>
          <w:sz w:val="24"/>
          <w:szCs w:val="24"/>
          <w:shd w:val="clear" w:color="auto" w:fill="FFFFFF"/>
        </w:rPr>
        <w:t xml:space="preserve"> S </w:t>
      </w:r>
    </w:p>
    <w:p w14:paraId="62261A96" w14:textId="77777777" w:rsidR="007D2D5F" w:rsidRPr="00594E39" w:rsidRDefault="007D2D5F" w:rsidP="007D2D5F">
      <w:pPr>
        <w:spacing w:line="360" w:lineRule="auto"/>
        <w:contextualSpacing/>
        <w:jc w:val="both"/>
        <w:rPr>
          <w:rFonts w:ascii="Times New Roman" w:eastAsia="Calibri" w:hAnsi="Times New Roman" w:cs="Times New Roman"/>
          <w:sz w:val="24"/>
          <w:szCs w:val="24"/>
          <w:shd w:val="clear" w:color="auto" w:fill="FFFFFF"/>
        </w:rPr>
      </w:pPr>
      <w:r w:rsidRPr="00594E39">
        <w:rPr>
          <w:rFonts w:ascii="Times New Roman" w:eastAsia="Calibri" w:hAnsi="Times New Roman" w:cs="Times New Roman"/>
          <w:sz w:val="24"/>
          <w:szCs w:val="24"/>
          <w:shd w:val="clear" w:color="auto" w:fill="FFFFFF"/>
        </w:rPr>
        <w:t xml:space="preserve">Trinchero A </w:t>
      </w:r>
    </w:p>
    <w:p w14:paraId="6AD6DCCF" w14:textId="77777777" w:rsidR="007D2D5F" w:rsidRPr="00594E39" w:rsidRDefault="007D2D5F" w:rsidP="007D2D5F">
      <w:pPr>
        <w:spacing w:line="360" w:lineRule="auto"/>
        <w:contextualSpacing/>
        <w:jc w:val="both"/>
        <w:rPr>
          <w:rFonts w:ascii="Times New Roman" w:eastAsia="Calibri" w:hAnsi="Times New Roman" w:cs="Times New Roman"/>
          <w:sz w:val="24"/>
          <w:szCs w:val="24"/>
          <w:shd w:val="clear" w:color="auto" w:fill="FFFFFF"/>
        </w:rPr>
      </w:pPr>
      <w:proofErr w:type="spellStart"/>
      <w:r w:rsidRPr="00594E39">
        <w:rPr>
          <w:rFonts w:ascii="Times New Roman" w:eastAsia="Calibri" w:hAnsi="Times New Roman" w:cs="Times New Roman"/>
          <w:sz w:val="24"/>
          <w:szCs w:val="24"/>
          <w:shd w:val="clear" w:color="auto" w:fill="FFFFFF"/>
        </w:rPr>
        <w:t>Ten</w:t>
      </w:r>
      <w:proofErr w:type="spellEnd"/>
      <w:r w:rsidRPr="00594E39">
        <w:rPr>
          <w:rFonts w:ascii="Times New Roman" w:eastAsia="Calibri" w:hAnsi="Times New Roman" w:cs="Times New Roman"/>
          <w:sz w:val="24"/>
          <w:szCs w:val="24"/>
          <w:shd w:val="clear" w:color="auto" w:fill="FFFFFF"/>
        </w:rPr>
        <w:t xml:space="preserve"> </w:t>
      </w:r>
      <w:proofErr w:type="spellStart"/>
      <w:r w:rsidRPr="00594E39">
        <w:rPr>
          <w:rFonts w:ascii="Times New Roman" w:eastAsia="Calibri" w:hAnsi="Times New Roman" w:cs="Times New Roman"/>
          <w:sz w:val="24"/>
          <w:szCs w:val="24"/>
          <w:shd w:val="clear" w:color="auto" w:fill="FFFFFF"/>
        </w:rPr>
        <w:t>Cate</w:t>
      </w:r>
      <w:proofErr w:type="spellEnd"/>
      <w:r w:rsidRPr="00594E39">
        <w:rPr>
          <w:rFonts w:ascii="Times New Roman" w:eastAsia="Calibri" w:hAnsi="Times New Roman" w:cs="Times New Roman"/>
          <w:sz w:val="24"/>
          <w:szCs w:val="24"/>
          <w:shd w:val="clear" w:color="auto" w:fill="FFFFFF"/>
        </w:rPr>
        <w:t xml:space="preserve"> H </w:t>
      </w:r>
    </w:p>
    <w:p w14:paraId="4FE1D5C1" w14:textId="77777777" w:rsidR="007D2D5F" w:rsidRPr="00594E39" w:rsidRDefault="007D2D5F" w:rsidP="007D2D5F">
      <w:pPr>
        <w:spacing w:line="360" w:lineRule="auto"/>
        <w:contextualSpacing/>
        <w:jc w:val="both"/>
        <w:rPr>
          <w:rFonts w:ascii="Times New Roman" w:eastAsia="Calibri" w:hAnsi="Times New Roman" w:cs="Times New Roman"/>
          <w:sz w:val="24"/>
          <w:szCs w:val="24"/>
          <w:vertAlign w:val="superscript"/>
        </w:rPr>
      </w:pPr>
      <w:r w:rsidRPr="00594E39">
        <w:rPr>
          <w:rFonts w:ascii="Times New Roman" w:eastAsia="Calibri" w:hAnsi="Times New Roman" w:cs="Times New Roman"/>
          <w:sz w:val="24"/>
          <w:szCs w:val="24"/>
          <w:shd w:val="clear" w:color="auto" w:fill="FFFFFF"/>
        </w:rPr>
        <w:t>Rocca B</w:t>
      </w:r>
    </w:p>
    <w:p w14:paraId="25D21DF6" w14:textId="77777777" w:rsidR="007D2D5F" w:rsidRPr="00594E39" w:rsidRDefault="007D2D5F" w:rsidP="007D2D5F">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594E39">
        <w:rPr>
          <w:rFonts w:ascii="Times New Roman" w:eastAsia="Times New Roman" w:hAnsi="Times New Roman" w:cs="Times New Roman"/>
          <w:b/>
          <w:bCs/>
          <w:sz w:val="24"/>
          <w:szCs w:val="24"/>
          <w:lang w:eastAsia="en-GB"/>
        </w:rPr>
        <w:t xml:space="preserve">Consensus of opinion </w:t>
      </w:r>
      <w:proofErr w:type="spellStart"/>
      <w:r w:rsidRPr="00594E39">
        <w:rPr>
          <w:rFonts w:ascii="Times New Roman" w:eastAsia="Times New Roman" w:hAnsi="Times New Roman" w:cs="Times New Roman"/>
          <w:b/>
          <w:bCs/>
          <w:sz w:val="24"/>
          <w:szCs w:val="24"/>
          <w:lang w:eastAsia="en-GB"/>
        </w:rPr>
        <w:t>development</w:t>
      </w:r>
      <w:proofErr w:type="spellEnd"/>
    </w:p>
    <w:p w14:paraId="08D43FD6" w14:textId="36EE598C" w:rsidR="007D2D5F" w:rsidRPr="007D2D5F" w:rsidRDefault="007D2D5F" w:rsidP="007D2D5F">
      <w:pPr>
        <w:autoSpaceDE w:val="0"/>
        <w:autoSpaceDN w:val="0"/>
        <w:adjustRightInd w:val="0"/>
        <w:spacing w:after="0" w:line="240" w:lineRule="auto"/>
        <w:rPr>
          <w:rFonts w:ascii="Times New Roman" w:hAnsi="Times New Roman" w:cs="Times New Roman"/>
          <w:sz w:val="24"/>
          <w:szCs w:val="24"/>
          <w:lang w:val="en-US"/>
        </w:rPr>
      </w:pPr>
      <w:r w:rsidRPr="007D2D5F">
        <w:rPr>
          <w:rFonts w:ascii="Times New Roman" w:hAnsi="Times New Roman" w:cs="Times New Roman"/>
          <w:sz w:val="24"/>
          <w:szCs w:val="24"/>
          <w:lang w:val="en-US"/>
        </w:rPr>
        <w:t xml:space="preserve">Each section of the document was first assigned to 3-4 Experts in the specific field (one hematologist and 2-3 other experts chosen based on their expertise for the specific chapter). Then for each section the assigned </w:t>
      </w:r>
      <w:r w:rsidR="00D97211" w:rsidRPr="007D2D5F">
        <w:rPr>
          <w:rFonts w:ascii="Times New Roman" w:hAnsi="Times New Roman" w:cs="Times New Roman"/>
          <w:sz w:val="24"/>
          <w:szCs w:val="24"/>
          <w:lang w:val="en-US"/>
        </w:rPr>
        <w:t>Panelists</w:t>
      </w:r>
      <w:r w:rsidRPr="007D2D5F">
        <w:rPr>
          <w:rFonts w:ascii="Times New Roman" w:hAnsi="Times New Roman" w:cs="Times New Roman"/>
          <w:sz w:val="24"/>
          <w:szCs w:val="24"/>
          <w:lang w:val="en-US"/>
        </w:rPr>
        <w:t xml:space="preserve"> drafted a first proposal of consensus statements, based on the available evidence. </w:t>
      </w:r>
    </w:p>
    <w:p w14:paraId="51A1A392" w14:textId="77777777" w:rsidR="007D2D5F" w:rsidRPr="007D2D5F" w:rsidRDefault="007D2D5F" w:rsidP="007D2D5F">
      <w:pPr>
        <w:autoSpaceDE w:val="0"/>
        <w:autoSpaceDN w:val="0"/>
        <w:adjustRightInd w:val="0"/>
        <w:spacing w:after="0" w:line="240" w:lineRule="auto"/>
        <w:rPr>
          <w:rFonts w:ascii="Times New Roman" w:hAnsi="Times New Roman" w:cs="Times New Roman"/>
          <w:sz w:val="24"/>
          <w:szCs w:val="24"/>
          <w:lang w:val="en-US"/>
        </w:rPr>
      </w:pPr>
    </w:p>
    <w:p w14:paraId="410D0609" w14:textId="77777777" w:rsidR="007D2D5F" w:rsidRPr="007D2D5F" w:rsidRDefault="007D2D5F" w:rsidP="007D2D5F">
      <w:pPr>
        <w:autoSpaceDE w:val="0"/>
        <w:autoSpaceDN w:val="0"/>
        <w:adjustRightInd w:val="0"/>
        <w:spacing w:after="0" w:line="240" w:lineRule="auto"/>
        <w:rPr>
          <w:rFonts w:ascii="Times New Roman" w:hAnsi="Times New Roman" w:cs="Times New Roman"/>
          <w:sz w:val="24"/>
          <w:szCs w:val="24"/>
          <w:lang w:val="en-US"/>
        </w:rPr>
      </w:pPr>
      <w:r w:rsidRPr="007D2D5F">
        <w:rPr>
          <w:rFonts w:ascii="Times New Roman" w:hAnsi="Times New Roman" w:cs="Times New Roman"/>
          <w:sz w:val="24"/>
          <w:szCs w:val="24"/>
          <w:lang w:val="en-US"/>
        </w:rPr>
        <w:t>A Delphi method of consensus development</w:t>
      </w:r>
      <w:r>
        <w:rPr>
          <w:rFonts w:ascii="Times New Roman" w:hAnsi="Times New Roman" w:cs="Times New Roman"/>
          <w:sz w:val="24"/>
          <w:szCs w:val="24"/>
        </w:rPr>
        <w:fldChar w:fldCharType="begin"/>
      </w:r>
      <w:r w:rsidRPr="007D2D5F">
        <w:rPr>
          <w:rFonts w:ascii="Times New Roman" w:hAnsi="Times New Roman" w:cs="Times New Roman"/>
          <w:sz w:val="24"/>
          <w:szCs w:val="24"/>
          <w:lang w:val="en-US"/>
        </w:rPr>
        <w:instrText xml:space="preserve"> ADDIN EN.CITE &lt;EndNote&gt;&lt;Cite&gt;&lt;Author&gt;Rowe&lt;/Author&gt;&lt;Year&gt;1999&lt;/Year&gt;&lt;RecNum&gt;44&lt;/RecNum&gt;&lt;DisplayText&gt;(1)&lt;/DisplayText&gt;&lt;record&gt;&lt;rec-number&gt;44&lt;/rec-number&gt;&lt;foreign-keys&gt;&lt;key app="EN" db-id="xxxafaxf3svwabedeau5svwdtr2p0srfedfv" timestamp="1651567785"&gt;44&lt;/key&gt;&lt;/foreign-keys&gt;&lt;ref-type name="Journal Article"&gt;17&lt;/ref-type&gt;&lt;contributors&gt;&lt;authors&gt;&lt;author&gt;Rowe, G.&lt;/author&gt;&lt;author&gt;Wright, G.&lt;/author&gt;&lt;/authors&gt;&lt;/contributors&gt;&lt;auth-address&gt;Inst Food Res, Norwich NR4 7UA, Norfolk, England&amp;#xD;Univ Strathclyde, Strathclyde Grad Business Sch, Glasgow G4 0QU, Lanark, Scotland&lt;/auth-address&gt;&lt;titles&gt;&lt;title&gt;The Delphi technique as a forecasting tool: issues and analysis&lt;/title&gt;&lt;secondary-title&gt;International Journal of Forecasting&lt;/secondary-title&gt;&lt;alt-title&gt;Int J Forecasting&lt;/alt-title&gt;&lt;/titles&gt;&lt;periodical&gt;&lt;full-title&gt;International Journal of Forecasting&lt;/full-title&gt;&lt;abbr-1&gt;Int J Forecasting&lt;/abbr-1&gt;&lt;/periodical&gt;&lt;alt-periodical&gt;&lt;full-title&gt;International Journal of Forecasting&lt;/full-title&gt;&lt;abbr-1&gt;Int J Forecasting&lt;/abbr-1&gt;&lt;/alt-periodical&gt;&lt;pages&gt;353-375&lt;/pages&gt;&lt;volume&gt;15&lt;/volume&gt;&lt;number&gt;4&lt;/number&gt;&lt;keywords&gt;&lt;keyword&gt;delphi&lt;/keyword&gt;&lt;keyword&gt;interacting groups&lt;/keyword&gt;&lt;keyword&gt;statistical group&lt;/keyword&gt;&lt;keyword&gt;structured groups&lt;/keyword&gt;&lt;keyword&gt;group decision-making&lt;/keyword&gt;&lt;keyword&gt;group judgment&lt;/keyword&gt;&lt;keyword&gt;meta-analysis&lt;/keyword&gt;&lt;keyword&gt;health-care&lt;/keyword&gt;&lt;keyword&gt;quality&lt;/keyword&gt;&lt;keyword&gt;information&lt;/keyword&gt;&lt;keyword&gt;confidence&lt;/keyword&gt;&lt;keyword&gt;consensus&lt;/keyword&gt;&lt;keyword&gt;validity&lt;/keyword&gt;&lt;keyword&gt;rounds&lt;/keyword&gt;&lt;/keywords&gt;&lt;dates&gt;&lt;year&gt;1999&lt;/year&gt;&lt;pub-dates&gt;&lt;date&gt;Oct&lt;/date&gt;&lt;/pub-dates&gt;&lt;/dates&gt;&lt;isbn&gt;0169-2070&lt;/isbn&gt;&lt;accession-num&gt;WOS:000082945100002&lt;/accession-num&gt;&lt;urls&gt;&lt;related-urls&gt;&lt;url&gt;&amp;lt;Go to ISI&amp;gt;://WOS:000082945100002&lt;/url&gt;&lt;/related-urls&gt;&lt;/urls&gt;&lt;electronic-resource-num&gt;Doi 10.1016/S0169-2070(99)00018-7&lt;/electronic-resource-num&gt;&lt;language&gt;English&lt;/language&gt;&lt;/record&gt;&lt;/Cite&gt;&lt;/EndNote&gt;</w:instrText>
      </w:r>
      <w:r>
        <w:rPr>
          <w:rFonts w:ascii="Times New Roman" w:hAnsi="Times New Roman" w:cs="Times New Roman"/>
          <w:sz w:val="24"/>
          <w:szCs w:val="24"/>
        </w:rPr>
        <w:fldChar w:fldCharType="separate"/>
      </w:r>
      <w:r w:rsidRPr="007D2D5F">
        <w:rPr>
          <w:rFonts w:ascii="Times New Roman" w:hAnsi="Times New Roman" w:cs="Times New Roman"/>
          <w:noProof/>
          <w:sz w:val="24"/>
          <w:szCs w:val="24"/>
          <w:lang w:val="en-US"/>
        </w:rPr>
        <w:t>(1)</w:t>
      </w:r>
      <w:r>
        <w:rPr>
          <w:rFonts w:ascii="Times New Roman" w:hAnsi="Times New Roman" w:cs="Times New Roman"/>
          <w:sz w:val="24"/>
          <w:szCs w:val="24"/>
        </w:rPr>
        <w:fldChar w:fldCharType="end"/>
      </w:r>
      <w:r w:rsidRPr="007D2D5F">
        <w:rPr>
          <w:rFonts w:ascii="Times New Roman" w:hAnsi="Times New Roman" w:cs="Times New Roman"/>
          <w:sz w:val="24"/>
          <w:szCs w:val="24"/>
          <w:lang w:val="en-US"/>
        </w:rPr>
        <w:t xml:space="preserve"> was then used, and included three survey rounds. </w:t>
      </w:r>
    </w:p>
    <w:p w14:paraId="2BAD539F" w14:textId="77777777" w:rsidR="007D2D5F" w:rsidRPr="007D2D5F" w:rsidRDefault="007D2D5F" w:rsidP="007D2D5F">
      <w:pPr>
        <w:autoSpaceDE w:val="0"/>
        <w:autoSpaceDN w:val="0"/>
        <w:adjustRightInd w:val="0"/>
        <w:spacing w:after="0" w:line="240" w:lineRule="auto"/>
        <w:rPr>
          <w:rFonts w:ascii="Times New Roman" w:hAnsi="Times New Roman" w:cs="Times New Roman"/>
          <w:sz w:val="24"/>
          <w:szCs w:val="24"/>
          <w:lang w:val="en-US"/>
        </w:rPr>
      </w:pPr>
    </w:p>
    <w:p w14:paraId="336DD820" w14:textId="6C7D5377" w:rsidR="007D2D5F" w:rsidRPr="007D2D5F" w:rsidRDefault="007D2D5F" w:rsidP="007D2D5F">
      <w:pPr>
        <w:autoSpaceDE w:val="0"/>
        <w:autoSpaceDN w:val="0"/>
        <w:adjustRightInd w:val="0"/>
        <w:spacing w:after="0" w:line="240" w:lineRule="auto"/>
        <w:rPr>
          <w:rFonts w:ascii="Times New Roman" w:hAnsi="Times New Roman" w:cs="Times New Roman"/>
          <w:sz w:val="24"/>
          <w:szCs w:val="24"/>
          <w:lang w:val="en-US"/>
        </w:rPr>
      </w:pPr>
      <w:r w:rsidRPr="007D2D5F">
        <w:rPr>
          <w:rFonts w:ascii="Times New Roman" w:hAnsi="Times New Roman" w:cs="Times New Roman"/>
          <w:sz w:val="24"/>
          <w:szCs w:val="24"/>
          <w:lang w:val="en-US"/>
        </w:rPr>
        <w:lastRenderedPageBreak/>
        <w:t>In Round 1, participants were asked to rate agreement/disagreement with initial statements across each section. Participants were also asked to contribute further ideas in relation to these topics, which were incorporated as new statements in Round 2.</w:t>
      </w:r>
      <w:r w:rsidRPr="007D2D5F">
        <w:rPr>
          <w:rFonts w:ascii="Times New Roman" w:eastAsia="Times New Roman" w:hAnsi="Times New Roman" w:cs="Times New Roman"/>
          <w:sz w:val="24"/>
          <w:szCs w:val="24"/>
          <w:lang w:val="en-US" w:eastAsia="en-GB"/>
        </w:rPr>
        <w:t xml:space="preserve"> </w:t>
      </w:r>
      <w:r w:rsidRPr="007D2D5F">
        <w:rPr>
          <w:rFonts w:ascii="Times New Roman" w:hAnsi="Times New Roman" w:cs="Times New Roman"/>
          <w:sz w:val="24"/>
          <w:szCs w:val="24"/>
          <w:lang w:val="en-US"/>
        </w:rPr>
        <w:t xml:space="preserve">Comments from Round 1 were </w:t>
      </w:r>
      <w:r w:rsidR="00D97211" w:rsidRPr="007D2D5F">
        <w:rPr>
          <w:rFonts w:ascii="Times New Roman" w:hAnsi="Times New Roman" w:cs="Times New Roman"/>
          <w:sz w:val="24"/>
          <w:szCs w:val="24"/>
          <w:lang w:val="en-US"/>
        </w:rPr>
        <w:t>analyzed</w:t>
      </w:r>
      <w:r w:rsidRPr="007D2D5F">
        <w:rPr>
          <w:rFonts w:ascii="Times New Roman" w:hAnsi="Times New Roman" w:cs="Times New Roman"/>
          <w:sz w:val="24"/>
          <w:szCs w:val="24"/>
          <w:lang w:val="en-US"/>
        </w:rPr>
        <w:t xml:space="preserve"> and </w:t>
      </w:r>
      <w:r w:rsidR="00D97211" w:rsidRPr="007D2D5F">
        <w:rPr>
          <w:rFonts w:ascii="Times New Roman" w:hAnsi="Times New Roman" w:cs="Times New Roman"/>
          <w:sz w:val="24"/>
          <w:szCs w:val="24"/>
          <w:lang w:val="en-US"/>
        </w:rPr>
        <w:t>categorized</w:t>
      </w:r>
      <w:r w:rsidRPr="007D2D5F">
        <w:rPr>
          <w:rFonts w:ascii="Times New Roman" w:hAnsi="Times New Roman" w:cs="Times New Roman"/>
          <w:sz w:val="24"/>
          <w:szCs w:val="24"/>
          <w:lang w:val="en-US"/>
        </w:rPr>
        <w:t xml:space="preserve"> by theme and considered when developing the recommendation (for accepted statements) or amending the statement for inclusion in Round 2 (for non-accepted statements). </w:t>
      </w:r>
    </w:p>
    <w:p w14:paraId="1809038B" w14:textId="77777777" w:rsidR="007D2D5F" w:rsidRPr="007D2D5F" w:rsidRDefault="007D2D5F" w:rsidP="007D2D5F">
      <w:pPr>
        <w:autoSpaceDE w:val="0"/>
        <w:autoSpaceDN w:val="0"/>
        <w:adjustRightInd w:val="0"/>
        <w:spacing w:after="0" w:line="240" w:lineRule="auto"/>
        <w:rPr>
          <w:rFonts w:ascii="Times New Roman" w:hAnsi="Times New Roman" w:cs="Times New Roman"/>
          <w:sz w:val="24"/>
          <w:szCs w:val="24"/>
          <w:lang w:val="en-US"/>
        </w:rPr>
      </w:pPr>
    </w:p>
    <w:p w14:paraId="2CD99CA7" w14:textId="77777777" w:rsidR="007D2D5F" w:rsidRPr="007D2D5F" w:rsidRDefault="007D2D5F" w:rsidP="007D2D5F">
      <w:pPr>
        <w:autoSpaceDE w:val="0"/>
        <w:autoSpaceDN w:val="0"/>
        <w:adjustRightInd w:val="0"/>
        <w:spacing w:after="0" w:line="240" w:lineRule="auto"/>
        <w:rPr>
          <w:rFonts w:ascii="Times New Roman" w:hAnsi="Times New Roman" w:cs="Times New Roman"/>
          <w:sz w:val="24"/>
          <w:szCs w:val="24"/>
          <w:lang w:val="en-US"/>
        </w:rPr>
      </w:pPr>
      <w:r w:rsidRPr="007D2D5F">
        <w:rPr>
          <w:rFonts w:ascii="Times New Roman" w:hAnsi="Times New Roman" w:cs="Times New Roman"/>
          <w:sz w:val="24"/>
          <w:szCs w:val="24"/>
          <w:lang w:val="en-US"/>
        </w:rPr>
        <w:t xml:space="preserve">In Rounds 2 and 3 participants reappraised their ratings in view of the group consensus. </w:t>
      </w:r>
    </w:p>
    <w:p w14:paraId="335B6C24" w14:textId="77777777" w:rsidR="007D2D5F" w:rsidRPr="007D2D5F" w:rsidRDefault="007D2D5F" w:rsidP="007D2D5F">
      <w:pPr>
        <w:autoSpaceDE w:val="0"/>
        <w:autoSpaceDN w:val="0"/>
        <w:adjustRightInd w:val="0"/>
        <w:spacing w:after="0" w:line="240" w:lineRule="auto"/>
        <w:rPr>
          <w:rFonts w:ascii="Times New Roman" w:eastAsia="Times New Roman" w:hAnsi="Times New Roman" w:cs="Times New Roman"/>
          <w:sz w:val="24"/>
          <w:szCs w:val="24"/>
          <w:lang w:val="en-US" w:eastAsia="en-GB"/>
        </w:rPr>
      </w:pPr>
    </w:p>
    <w:p w14:paraId="555060C4" w14:textId="77777777" w:rsidR="007D2D5F" w:rsidRPr="007D2D5F" w:rsidRDefault="007D2D5F" w:rsidP="007D2D5F">
      <w:pPr>
        <w:autoSpaceDE w:val="0"/>
        <w:autoSpaceDN w:val="0"/>
        <w:adjustRightInd w:val="0"/>
        <w:spacing w:after="0" w:line="240" w:lineRule="auto"/>
        <w:rPr>
          <w:rFonts w:ascii="Times New Roman" w:eastAsia="Times New Roman" w:hAnsi="Times New Roman" w:cs="Times New Roman"/>
          <w:sz w:val="24"/>
          <w:szCs w:val="24"/>
          <w:lang w:val="en-US" w:eastAsia="en-GB"/>
        </w:rPr>
      </w:pPr>
      <w:r w:rsidRPr="007D2D5F">
        <w:rPr>
          <w:rFonts w:ascii="Times New Roman" w:eastAsia="Times New Roman" w:hAnsi="Times New Roman" w:cs="Times New Roman"/>
          <w:sz w:val="24"/>
          <w:szCs w:val="24"/>
          <w:lang w:val="en-US" w:eastAsia="en-GB"/>
        </w:rPr>
        <w:t xml:space="preserve">All Experts (13/13) completed Round 1 and gave their responses, 11/13 completed Round 2 (85%) and 12/13 completed Round 3 (92%). </w:t>
      </w:r>
    </w:p>
    <w:p w14:paraId="079D282E" w14:textId="77777777" w:rsidR="007D2D5F" w:rsidRPr="007D2D5F" w:rsidRDefault="007D2D5F" w:rsidP="007D2D5F">
      <w:pPr>
        <w:autoSpaceDE w:val="0"/>
        <w:autoSpaceDN w:val="0"/>
        <w:adjustRightInd w:val="0"/>
        <w:spacing w:after="0" w:line="240" w:lineRule="auto"/>
        <w:rPr>
          <w:rFonts w:ascii="Times New Roman" w:eastAsia="Times New Roman" w:hAnsi="Times New Roman" w:cs="Times New Roman"/>
          <w:sz w:val="24"/>
          <w:szCs w:val="24"/>
          <w:lang w:val="en-US" w:eastAsia="en-GB"/>
        </w:rPr>
      </w:pPr>
      <w:r w:rsidRPr="007D2D5F">
        <w:rPr>
          <w:rFonts w:ascii="Times New Roman" w:eastAsia="Times New Roman" w:hAnsi="Times New Roman" w:cs="Times New Roman"/>
          <w:sz w:val="24"/>
          <w:szCs w:val="24"/>
          <w:lang w:val="en-US" w:eastAsia="en-GB"/>
        </w:rPr>
        <w:t xml:space="preserve">Consensus (defined as &gt; 70% agreement) was achieved for all the recommendation statements, with 100% consensus on Round 3. </w:t>
      </w:r>
    </w:p>
    <w:p w14:paraId="331B328C" w14:textId="77777777" w:rsidR="007D2D5F" w:rsidRPr="007D2D5F" w:rsidRDefault="007D2D5F" w:rsidP="007D2D5F">
      <w:pPr>
        <w:autoSpaceDE w:val="0"/>
        <w:autoSpaceDN w:val="0"/>
        <w:adjustRightInd w:val="0"/>
        <w:spacing w:after="0" w:line="240" w:lineRule="auto"/>
        <w:rPr>
          <w:rFonts w:ascii="Times New Roman" w:eastAsia="Times New Roman" w:hAnsi="Times New Roman" w:cs="Times New Roman"/>
          <w:sz w:val="24"/>
          <w:szCs w:val="24"/>
          <w:lang w:val="en-US" w:eastAsia="en-GB"/>
        </w:rPr>
      </w:pPr>
    </w:p>
    <w:p w14:paraId="356EE36D" w14:textId="77777777" w:rsidR="007D2D5F" w:rsidRPr="007D2D5F" w:rsidRDefault="007D2D5F" w:rsidP="007D2D5F">
      <w:pPr>
        <w:autoSpaceDE w:val="0"/>
        <w:autoSpaceDN w:val="0"/>
        <w:adjustRightInd w:val="0"/>
        <w:spacing w:after="0" w:line="240" w:lineRule="auto"/>
        <w:rPr>
          <w:rFonts w:ascii="Times New Roman" w:eastAsia="Times New Roman" w:hAnsi="Times New Roman" w:cs="Times New Roman"/>
          <w:b/>
          <w:bCs/>
          <w:sz w:val="24"/>
          <w:szCs w:val="24"/>
          <w:lang w:val="en-US" w:eastAsia="en-GB"/>
        </w:rPr>
      </w:pPr>
      <w:r w:rsidRPr="007D2D5F">
        <w:rPr>
          <w:rFonts w:ascii="Times New Roman" w:eastAsia="Times New Roman" w:hAnsi="Times New Roman" w:cs="Times New Roman"/>
          <w:b/>
          <w:bCs/>
          <w:sz w:val="24"/>
          <w:szCs w:val="24"/>
          <w:lang w:val="en-US" w:eastAsia="en-GB"/>
        </w:rPr>
        <w:t>Reference</w:t>
      </w:r>
    </w:p>
    <w:p w14:paraId="7A1799C5" w14:textId="77777777" w:rsidR="007D2D5F" w:rsidRPr="007D2D5F" w:rsidRDefault="007D2D5F" w:rsidP="007D2D5F">
      <w:pPr>
        <w:autoSpaceDE w:val="0"/>
        <w:autoSpaceDN w:val="0"/>
        <w:adjustRightInd w:val="0"/>
        <w:spacing w:after="0" w:line="240" w:lineRule="auto"/>
        <w:rPr>
          <w:rFonts w:ascii="Times New Roman" w:eastAsia="Times New Roman" w:hAnsi="Times New Roman" w:cs="Times New Roman"/>
          <w:sz w:val="24"/>
          <w:szCs w:val="24"/>
          <w:lang w:val="en-US" w:eastAsia="en-GB"/>
        </w:rPr>
      </w:pPr>
    </w:p>
    <w:p w14:paraId="76731E36" w14:textId="77777777" w:rsidR="007D2D5F" w:rsidRPr="003D62B2" w:rsidRDefault="007D2D5F" w:rsidP="007D2D5F">
      <w:pPr>
        <w:pStyle w:val="EndNoteBibliography"/>
        <w:ind w:left="720" w:hanging="720"/>
      </w:pP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ADDIN EN.REFLIST </w:instrText>
      </w:r>
      <w:r>
        <w:rPr>
          <w:rFonts w:ascii="Times New Roman" w:eastAsia="Times New Roman" w:hAnsi="Times New Roman" w:cs="Times New Roman"/>
          <w:sz w:val="24"/>
          <w:szCs w:val="24"/>
          <w:lang w:eastAsia="en-GB"/>
        </w:rPr>
        <w:fldChar w:fldCharType="separate"/>
      </w:r>
      <w:r w:rsidRPr="003D62B2">
        <w:t>1.</w:t>
      </w:r>
      <w:r w:rsidRPr="003D62B2">
        <w:tab/>
        <w:t>Rowe G, Wright G. The Delphi technique as a forecasting tool: issues and analysis. Int J Forecasting 1999;15:353-375.</w:t>
      </w:r>
    </w:p>
    <w:p w14:paraId="395B035D" w14:textId="77777777" w:rsidR="007D2D5F" w:rsidRPr="007D2D5F" w:rsidRDefault="007D2D5F" w:rsidP="007D2D5F">
      <w:pPr>
        <w:autoSpaceDE w:val="0"/>
        <w:autoSpaceDN w:val="0"/>
        <w:adjustRightInd w:val="0"/>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fldChar w:fldCharType="end"/>
      </w:r>
    </w:p>
    <w:p w14:paraId="4F7DAAD3" w14:textId="77777777" w:rsidR="007D2D5F" w:rsidRDefault="007D2D5F" w:rsidP="00D228B0">
      <w:pPr>
        <w:spacing w:line="360" w:lineRule="auto"/>
        <w:contextualSpacing/>
        <w:jc w:val="both"/>
        <w:rPr>
          <w:rFonts w:ascii="Times New Roman" w:hAnsi="Times New Roman" w:cs="Times New Roman"/>
          <w:b/>
          <w:sz w:val="24"/>
          <w:szCs w:val="24"/>
          <w:lang w:val="en-GB"/>
        </w:rPr>
      </w:pPr>
    </w:p>
    <w:p w14:paraId="199FECD2" w14:textId="77777777" w:rsidR="007D2D5F" w:rsidRDefault="007D2D5F" w:rsidP="00D228B0">
      <w:pPr>
        <w:spacing w:line="360" w:lineRule="auto"/>
        <w:contextualSpacing/>
        <w:jc w:val="both"/>
        <w:rPr>
          <w:rFonts w:ascii="Times New Roman" w:hAnsi="Times New Roman" w:cs="Times New Roman"/>
          <w:b/>
          <w:sz w:val="24"/>
          <w:szCs w:val="24"/>
          <w:lang w:val="en-GB"/>
        </w:rPr>
      </w:pPr>
    </w:p>
    <w:p w14:paraId="72816208" w14:textId="77777777" w:rsidR="007D2D5F" w:rsidRDefault="007D2D5F" w:rsidP="00D228B0">
      <w:pPr>
        <w:spacing w:line="360" w:lineRule="auto"/>
        <w:contextualSpacing/>
        <w:jc w:val="both"/>
        <w:rPr>
          <w:rFonts w:ascii="Times New Roman" w:hAnsi="Times New Roman" w:cs="Times New Roman"/>
          <w:b/>
          <w:sz w:val="24"/>
          <w:szCs w:val="24"/>
          <w:lang w:val="en-GB"/>
        </w:rPr>
      </w:pPr>
    </w:p>
    <w:p w14:paraId="1639F73B" w14:textId="77777777" w:rsidR="007D2D5F" w:rsidRDefault="007D2D5F" w:rsidP="00D228B0">
      <w:pPr>
        <w:spacing w:line="360" w:lineRule="auto"/>
        <w:contextualSpacing/>
        <w:jc w:val="both"/>
        <w:rPr>
          <w:rFonts w:ascii="Times New Roman" w:hAnsi="Times New Roman" w:cs="Times New Roman"/>
          <w:b/>
          <w:sz w:val="24"/>
          <w:szCs w:val="24"/>
          <w:lang w:val="en-GB"/>
        </w:rPr>
      </w:pPr>
    </w:p>
    <w:p w14:paraId="67F1C29A" w14:textId="77777777" w:rsidR="00E633CE" w:rsidRDefault="00E633CE">
      <w:pPr>
        <w:rPr>
          <w:rFonts w:ascii="Times New Roman" w:hAnsi="Times New Roman" w:cs="Times New Roman"/>
          <w:b/>
          <w:sz w:val="28"/>
          <w:szCs w:val="28"/>
          <w:lang w:val="en-GB"/>
        </w:rPr>
      </w:pPr>
    </w:p>
    <w:p w14:paraId="46520930" w14:textId="4D52436E" w:rsidR="007D2D5F" w:rsidRDefault="007D2D5F">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5F9388B6" w14:textId="77777777" w:rsidR="00E633CE" w:rsidRDefault="00E633CE" w:rsidP="00D228B0">
      <w:pPr>
        <w:spacing w:line="360" w:lineRule="auto"/>
        <w:contextualSpacing/>
        <w:jc w:val="both"/>
        <w:rPr>
          <w:rFonts w:ascii="Times New Roman" w:hAnsi="Times New Roman" w:cs="Times New Roman"/>
          <w:b/>
          <w:sz w:val="28"/>
          <w:szCs w:val="28"/>
          <w:lang w:val="en-GB"/>
        </w:rPr>
        <w:sectPr w:rsidR="00E633CE" w:rsidSect="00E633CE">
          <w:headerReference w:type="default" r:id="rId10"/>
          <w:footerReference w:type="default" r:id="rId11"/>
          <w:pgSz w:w="11906" w:h="16838"/>
          <w:pgMar w:top="1440" w:right="1134" w:bottom="1440" w:left="1134" w:header="709" w:footer="709" w:gutter="0"/>
          <w:cols w:space="708"/>
          <w:docGrid w:linePitch="360"/>
        </w:sectPr>
      </w:pPr>
    </w:p>
    <w:p w14:paraId="1ADF391D" w14:textId="3774E4AF" w:rsidR="00D228B0" w:rsidRDefault="00D228B0" w:rsidP="00D228B0">
      <w:pPr>
        <w:spacing w:line="360" w:lineRule="auto"/>
        <w:contextualSpacing/>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Supplemental </w:t>
      </w:r>
      <w:r w:rsidRPr="00B9304A">
        <w:rPr>
          <w:rFonts w:ascii="Times New Roman" w:hAnsi="Times New Roman" w:cs="Times New Roman"/>
          <w:b/>
          <w:sz w:val="24"/>
          <w:szCs w:val="24"/>
          <w:lang w:val="en-GB"/>
        </w:rPr>
        <w:t>Table</w:t>
      </w:r>
      <w:r>
        <w:rPr>
          <w:rFonts w:ascii="Times New Roman" w:hAnsi="Times New Roman" w:cs="Times New Roman"/>
          <w:b/>
          <w:sz w:val="24"/>
          <w:szCs w:val="24"/>
          <w:lang w:val="en-GB"/>
        </w:rPr>
        <w:t xml:space="preserve"> 1</w:t>
      </w:r>
      <w:r w:rsidRPr="00B9304A">
        <w:rPr>
          <w:rFonts w:ascii="Times New Roman" w:hAnsi="Times New Roman" w:cs="Times New Roman"/>
          <w:b/>
          <w:sz w:val="24"/>
          <w:szCs w:val="24"/>
          <w:lang w:val="en-GB"/>
        </w:rPr>
        <w:t>.</w:t>
      </w:r>
      <w:r w:rsidRPr="00B9304A">
        <w:rPr>
          <w:rFonts w:ascii="Times New Roman" w:hAnsi="Times New Roman" w:cs="Times New Roman"/>
          <w:sz w:val="24"/>
          <w:szCs w:val="24"/>
          <w:lang w:val="en-GB"/>
        </w:rPr>
        <w:t xml:space="preserve"> Summary of clinically relevant DDIs between antithrombotic drugs and drugs currently used in cancer patients</w:t>
      </w:r>
    </w:p>
    <w:p w14:paraId="72DC3275" w14:textId="77777777" w:rsidR="00987699" w:rsidRPr="00B9304A" w:rsidRDefault="00987699" w:rsidP="00D228B0">
      <w:pPr>
        <w:spacing w:line="360" w:lineRule="auto"/>
        <w:contextualSpacing/>
        <w:jc w:val="both"/>
        <w:rPr>
          <w:rFonts w:ascii="Times New Roman" w:hAnsi="Times New Roman" w:cs="Times New Roman"/>
          <w:sz w:val="24"/>
          <w:szCs w:val="24"/>
          <w:lang w:val="en-GB"/>
        </w:rPr>
      </w:pPr>
    </w:p>
    <w:tbl>
      <w:tblPr>
        <w:tblStyle w:val="Grigliatabella"/>
        <w:tblW w:w="0" w:type="auto"/>
        <w:tblInd w:w="-655" w:type="dxa"/>
        <w:tblBorders>
          <w:left w:val="none" w:sz="0" w:space="0" w:color="auto"/>
          <w:right w:val="none" w:sz="0" w:space="0" w:color="auto"/>
          <w:insideV w:val="none" w:sz="0" w:space="0" w:color="auto"/>
        </w:tblBorders>
        <w:tblLook w:val="04A0" w:firstRow="1" w:lastRow="0" w:firstColumn="1" w:lastColumn="0" w:noHBand="0" w:noVBand="1"/>
      </w:tblPr>
      <w:tblGrid>
        <w:gridCol w:w="1856"/>
        <w:gridCol w:w="2791"/>
        <w:gridCol w:w="3416"/>
        <w:gridCol w:w="2536"/>
        <w:gridCol w:w="4014"/>
      </w:tblGrid>
      <w:tr w:rsidR="00D228B0" w:rsidRPr="00701626" w14:paraId="0F1F6A6D" w14:textId="77777777" w:rsidTr="000C169C">
        <w:trPr>
          <w:trHeight w:val="299"/>
          <w:tblHeader/>
        </w:trPr>
        <w:tc>
          <w:tcPr>
            <w:tcW w:w="0" w:type="auto"/>
          </w:tcPr>
          <w:p w14:paraId="009ECB21" w14:textId="77777777" w:rsidR="00D228B0" w:rsidRPr="00701626" w:rsidRDefault="00D228B0" w:rsidP="000C169C">
            <w:pPr>
              <w:spacing w:line="276" w:lineRule="auto"/>
              <w:contextualSpacing/>
              <w:rPr>
                <w:rFonts w:cstheme="minorHAnsi"/>
                <w:b/>
                <w:iCs/>
              </w:rPr>
            </w:pPr>
            <w:bookmarkStart w:id="0" w:name="_Hlk79823719"/>
            <w:r w:rsidRPr="0086371A">
              <w:rPr>
                <w:rFonts w:cstheme="minorHAnsi"/>
                <w:b/>
                <w:iCs/>
                <w:lang w:val="en-GB"/>
              </w:rPr>
              <w:t xml:space="preserve">Drug </w:t>
            </w:r>
            <w:proofErr w:type="spellStart"/>
            <w:r w:rsidRPr="0086371A">
              <w:rPr>
                <w:rFonts w:cstheme="minorHAnsi"/>
                <w:b/>
                <w:iCs/>
                <w:lang w:val="en-GB"/>
              </w:rPr>
              <w:t>Combinatio</w:t>
            </w:r>
            <w:proofErr w:type="spellEnd"/>
            <w:r w:rsidRPr="00A0535D">
              <w:rPr>
                <w:rFonts w:cstheme="minorHAnsi"/>
                <w:b/>
                <w:iCs/>
                <w:lang w:val="en-US"/>
              </w:rPr>
              <w:t>n</w:t>
            </w:r>
            <w:r w:rsidRPr="00701626">
              <w:rPr>
                <w:rFonts w:cstheme="minorHAnsi"/>
                <w:b/>
                <w:iCs/>
              </w:rPr>
              <w:t>s</w:t>
            </w:r>
          </w:p>
        </w:tc>
        <w:tc>
          <w:tcPr>
            <w:tcW w:w="0" w:type="auto"/>
          </w:tcPr>
          <w:p w14:paraId="66E3704D" w14:textId="77777777" w:rsidR="00D228B0" w:rsidRPr="00701626" w:rsidRDefault="00D228B0" w:rsidP="000C169C">
            <w:pPr>
              <w:spacing w:line="276" w:lineRule="auto"/>
              <w:contextualSpacing/>
              <w:rPr>
                <w:rFonts w:cstheme="minorHAnsi"/>
                <w:b/>
                <w:iCs/>
              </w:rPr>
            </w:pPr>
            <w:proofErr w:type="spellStart"/>
            <w:r w:rsidRPr="00701626">
              <w:rPr>
                <w:rFonts w:cstheme="minorHAnsi"/>
                <w:b/>
                <w:iCs/>
              </w:rPr>
              <w:t>Relevant</w:t>
            </w:r>
            <w:proofErr w:type="spellEnd"/>
            <w:r w:rsidRPr="00701626">
              <w:rPr>
                <w:rFonts w:cstheme="minorHAnsi"/>
                <w:b/>
                <w:iCs/>
              </w:rPr>
              <w:t xml:space="preserve"> </w:t>
            </w:r>
            <w:proofErr w:type="spellStart"/>
            <w:r w:rsidRPr="00701626">
              <w:rPr>
                <w:rFonts w:cstheme="minorHAnsi"/>
                <w:b/>
                <w:iCs/>
              </w:rPr>
              <w:t>mechanism</w:t>
            </w:r>
            <w:proofErr w:type="spellEnd"/>
            <w:r w:rsidRPr="00701626">
              <w:rPr>
                <w:rFonts w:cstheme="minorHAnsi"/>
                <w:b/>
                <w:iCs/>
              </w:rPr>
              <w:t xml:space="preserve"> of action </w:t>
            </w:r>
            <w:r w:rsidRPr="00701626">
              <w:rPr>
                <w:rFonts w:asciiTheme="majorBidi" w:hAnsiTheme="majorBidi" w:cstheme="majorBidi"/>
              </w:rPr>
              <w:t>†</w:t>
            </w:r>
          </w:p>
        </w:tc>
        <w:tc>
          <w:tcPr>
            <w:tcW w:w="0" w:type="auto"/>
          </w:tcPr>
          <w:p w14:paraId="3E582678" w14:textId="77777777" w:rsidR="00D228B0" w:rsidRPr="00701626" w:rsidRDefault="00D228B0" w:rsidP="000C169C">
            <w:pPr>
              <w:spacing w:line="276" w:lineRule="auto"/>
              <w:contextualSpacing/>
              <w:rPr>
                <w:rFonts w:cstheme="minorHAnsi"/>
                <w:b/>
                <w:iCs/>
              </w:rPr>
            </w:pPr>
            <w:proofErr w:type="spellStart"/>
            <w:r w:rsidRPr="00701626">
              <w:rPr>
                <w:rFonts w:cstheme="minorHAnsi"/>
                <w:b/>
                <w:iCs/>
              </w:rPr>
              <w:t>Haemostatic</w:t>
            </w:r>
            <w:proofErr w:type="spellEnd"/>
            <w:r w:rsidRPr="00701626">
              <w:rPr>
                <w:rFonts w:cstheme="minorHAnsi"/>
                <w:b/>
                <w:iCs/>
              </w:rPr>
              <w:t xml:space="preserve"> clinical </w:t>
            </w:r>
            <w:proofErr w:type="spellStart"/>
            <w:r w:rsidRPr="00701626">
              <w:rPr>
                <w:rFonts w:cstheme="minorHAnsi"/>
                <w:b/>
                <w:iCs/>
              </w:rPr>
              <w:t>effect</w:t>
            </w:r>
            <w:proofErr w:type="spellEnd"/>
            <w:r w:rsidRPr="00701626">
              <w:rPr>
                <w:rFonts w:cstheme="minorHAnsi"/>
                <w:b/>
                <w:iCs/>
              </w:rPr>
              <w:t xml:space="preserve"> </w:t>
            </w:r>
            <w:r w:rsidRPr="00701626">
              <w:rPr>
                <w:rFonts w:asciiTheme="majorBidi" w:hAnsiTheme="majorBidi" w:cstheme="majorBidi"/>
              </w:rPr>
              <w:t>‡</w:t>
            </w:r>
          </w:p>
        </w:tc>
        <w:tc>
          <w:tcPr>
            <w:tcW w:w="0" w:type="auto"/>
          </w:tcPr>
          <w:p w14:paraId="56C8AF7F" w14:textId="77777777" w:rsidR="00D228B0" w:rsidRPr="00701626" w:rsidRDefault="00D228B0" w:rsidP="000C169C">
            <w:pPr>
              <w:spacing w:line="276" w:lineRule="auto"/>
              <w:contextualSpacing/>
              <w:rPr>
                <w:rFonts w:cstheme="minorHAnsi"/>
                <w:b/>
                <w:iCs/>
                <w:lang w:val="en-GB"/>
              </w:rPr>
            </w:pPr>
            <w:r w:rsidRPr="00701626">
              <w:rPr>
                <w:rFonts w:cstheme="minorHAnsi"/>
                <w:b/>
                <w:iCs/>
                <w:lang w:val="en-GB"/>
              </w:rPr>
              <w:t>Possible effect on the anti-cancer drug</w:t>
            </w:r>
          </w:p>
        </w:tc>
        <w:tc>
          <w:tcPr>
            <w:tcW w:w="0" w:type="auto"/>
          </w:tcPr>
          <w:p w14:paraId="6C01762C" w14:textId="77777777" w:rsidR="00D228B0" w:rsidRPr="00701626" w:rsidRDefault="00D228B0" w:rsidP="000C169C">
            <w:pPr>
              <w:spacing w:line="276" w:lineRule="auto"/>
              <w:contextualSpacing/>
              <w:rPr>
                <w:rFonts w:cstheme="minorHAnsi"/>
                <w:b/>
                <w:iCs/>
              </w:rPr>
            </w:pPr>
            <w:proofErr w:type="spellStart"/>
            <w:r w:rsidRPr="00701626">
              <w:rPr>
                <w:rFonts w:cstheme="minorHAnsi"/>
                <w:b/>
                <w:iCs/>
              </w:rPr>
              <w:t>Strength</w:t>
            </w:r>
            <w:proofErr w:type="spellEnd"/>
            <w:r w:rsidRPr="00701626">
              <w:rPr>
                <w:rFonts w:cstheme="minorHAnsi"/>
                <w:b/>
                <w:iCs/>
              </w:rPr>
              <w:t xml:space="preserve"> of interaction &amp; </w:t>
            </w:r>
            <w:proofErr w:type="spellStart"/>
            <w:r w:rsidRPr="00701626">
              <w:rPr>
                <w:rFonts w:cstheme="minorHAnsi"/>
                <w:b/>
                <w:iCs/>
              </w:rPr>
              <w:t>advice</w:t>
            </w:r>
            <w:proofErr w:type="spellEnd"/>
            <w:r w:rsidRPr="00701626">
              <w:rPr>
                <w:rFonts w:cstheme="minorHAnsi"/>
                <w:b/>
                <w:iCs/>
              </w:rPr>
              <w:t xml:space="preserve"> </w:t>
            </w:r>
            <w:r w:rsidRPr="00701626">
              <w:rPr>
                <w:rFonts w:asciiTheme="majorBidi" w:hAnsiTheme="majorBidi" w:cstheme="majorBidi"/>
              </w:rPr>
              <w:t>§</w:t>
            </w:r>
          </w:p>
        </w:tc>
      </w:tr>
      <w:tr w:rsidR="00D228B0" w:rsidRPr="00701626" w14:paraId="6C709777" w14:textId="77777777" w:rsidTr="000C169C">
        <w:trPr>
          <w:trHeight w:val="299"/>
        </w:trPr>
        <w:tc>
          <w:tcPr>
            <w:tcW w:w="0" w:type="auto"/>
            <w:gridSpan w:val="5"/>
            <w:shd w:val="clear" w:color="auto" w:fill="D9D9D9" w:themeFill="background1" w:themeFillShade="D9"/>
          </w:tcPr>
          <w:p w14:paraId="43429590" w14:textId="77777777" w:rsidR="00D228B0" w:rsidRPr="00701626" w:rsidRDefault="00D228B0" w:rsidP="000C169C">
            <w:pPr>
              <w:spacing w:line="276" w:lineRule="auto"/>
              <w:contextualSpacing/>
              <w:rPr>
                <w:rFonts w:cstheme="minorHAnsi"/>
                <w:b/>
                <w:iCs/>
              </w:rPr>
            </w:pPr>
            <w:r w:rsidRPr="00701626">
              <w:rPr>
                <w:rFonts w:cstheme="minorHAnsi"/>
                <w:b/>
                <w:iCs/>
              </w:rPr>
              <w:t>ANTIPLATELET DRUGS</w:t>
            </w:r>
          </w:p>
        </w:tc>
      </w:tr>
      <w:tr w:rsidR="00D228B0" w:rsidRPr="00701626" w14:paraId="6035AA63" w14:textId="77777777" w:rsidTr="000C169C">
        <w:trPr>
          <w:trHeight w:val="299"/>
        </w:trPr>
        <w:tc>
          <w:tcPr>
            <w:tcW w:w="0" w:type="auto"/>
            <w:shd w:val="clear" w:color="auto" w:fill="F2F2F2" w:themeFill="background1" w:themeFillShade="F2"/>
          </w:tcPr>
          <w:p w14:paraId="366FAE7C" w14:textId="77777777" w:rsidR="00D228B0" w:rsidRPr="00701626" w:rsidRDefault="00D228B0" w:rsidP="000C169C">
            <w:pPr>
              <w:spacing w:line="276" w:lineRule="auto"/>
              <w:contextualSpacing/>
              <w:rPr>
                <w:rFonts w:cstheme="minorHAnsi"/>
                <w:b/>
                <w:i/>
              </w:rPr>
            </w:pPr>
            <w:bookmarkStart w:id="1" w:name="_Hlk44018821"/>
            <w:r w:rsidRPr="00701626">
              <w:rPr>
                <w:rFonts w:cstheme="minorHAnsi"/>
                <w:b/>
                <w:i/>
              </w:rPr>
              <w:t>Clopidogrel plus…</w:t>
            </w:r>
          </w:p>
        </w:tc>
        <w:tc>
          <w:tcPr>
            <w:tcW w:w="0" w:type="auto"/>
            <w:shd w:val="clear" w:color="auto" w:fill="F2F2F2" w:themeFill="background1" w:themeFillShade="F2"/>
          </w:tcPr>
          <w:p w14:paraId="7585A76E" w14:textId="77777777" w:rsidR="00D228B0" w:rsidRPr="00701626" w:rsidRDefault="00D228B0" w:rsidP="000C169C">
            <w:pPr>
              <w:spacing w:line="276" w:lineRule="auto"/>
              <w:contextualSpacing/>
              <w:rPr>
                <w:rFonts w:cstheme="minorHAnsi"/>
                <w:b/>
                <w:i/>
              </w:rPr>
            </w:pPr>
            <w:r w:rsidRPr="00701626">
              <w:rPr>
                <w:rFonts w:cstheme="minorHAnsi"/>
                <w:lang w:val="en-US"/>
              </w:rPr>
              <w:t xml:space="preserve">Prodrug converted to its active metabolite via CYPs 3A4, 2B6, 2C19, 1A2. </w:t>
            </w:r>
            <w:proofErr w:type="spellStart"/>
            <w:r w:rsidRPr="00701626">
              <w:rPr>
                <w:rFonts w:cstheme="minorHAnsi"/>
              </w:rPr>
              <w:t>Inhibitor</w:t>
            </w:r>
            <w:proofErr w:type="spellEnd"/>
            <w:r w:rsidRPr="00701626">
              <w:rPr>
                <w:rFonts w:cstheme="minorHAnsi"/>
              </w:rPr>
              <w:t xml:space="preserve"> of CYP2C8.</w:t>
            </w:r>
          </w:p>
        </w:tc>
        <w:tc>
          <w:tcPr>
            <w:tcW w:w="0" w:type="auto"/>
            <w:gridSpan w:val="3"/>
            <w:shd w:val="clear" w:color="auto" w:fill="F2F2F2" w:themeFill="background1" w:themeFillShade="F2"/>
          </w:tcPr>
          <w:p w14:paraId="237525BE" w14:textId="77777777" w:rsidR="00D228B0" w:rsidRPr="00701626" w:rsidRDefault="00D228B0" w:rsidP="000C169C">
            <w:pPr>
              <w:spacing w:line="276" w:lineRule="auto"/>
              <w:contextualSpacing/>
              <w:rPr>
                <w:rFonts w:cstheme="minorHAnsi"/>
                <w:b/>
                <w:i/>
              </w:rPr>
            </w:pPr>
          </w:p>
        </w:tc>
      </w:tr>
      <w:bookmarkEnd w:id="1"/>
      <w:tr w:rsidR="00D228B0" w:rsidRPr="005649EC" w14:paraId="57734A64" w14:textId="77777777" w:rsidTr="000C169C">
        <w:trPr>
          <w:trHeight w:val="299"/>
        </w:trPr>
        <w:tc>
          <w:tcPr>
            <w:tcW w:w="0" w:type="auto"/>
            <w:shd w:val="clear" w:color="auto" w:fill="C00000"/>
          </w:tcPr>
          <w:p w14:paraId="05D672EF"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color w:val="FFFFFF" w:themeColor="background1"/>
              </w:rPr>
              <w:t>Enzalutamide</w:t>
            </w:r>
            <w:proofErr w:type="spellEnd"/>
          </w:p>
        </w:tc>
        <w:tc>
          <w:tcPr>
            <w:tcW w:w="0" w:type="auto"/>
          </w:tcPr>
          <w:p w14:paraId="0F03DB92"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Strong inducer of CYP3A4, moderate inducer of CYP2C19. </w:t>
            </w:r>
          </w:p>
          <w:p w14:paraId="220B31FA" w14:textId="77777777" w:rsidR="00D228B0" w:rsidRPr="00701626" w:rsidRDefault="00D228B0" w:rsidP="000C169C">
            <w:pPr>
              <w:spacing w:line="276" w:lineRule="auto"/>
              <w:contextualSpacing/>
              <w:rPr>
                <w:rFonts w:cstheme="minorHAnsi"/>
                <w:lang w:val="en-GB"/>
              </w:rPr>
            </w:pPr>
          </w:p>
        </w:tc>
        <w:tc>
          <w:tcPr>
            <w:tcW w:w="0" w:type="auto"/>
          </w:tcPr>
          <w:p w14:paraId="228917AB"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Concentrations of clopidogrel active metabolites may increase and a supratherapeutic effect may occur. </w:t>
            </w:r>
          </w:p>
          <w:p w14:paraId="005DB86B" w14:textId="77777777" w:rsidR="00D228B0" w:rsidRPr="00701626" w:rsidRDefault="00D228B0" w:rsidP="000C169C">
            <w:pPr>
              <w:spacing w:line="276" w:lineRule="auto"/>
              <w:contextualSpacing/>
              <w:rPr>
                <w:rFonts w:cstheme="minorHAnsi"/>
                <w:b/>
              </w:rPr>
            </w:pPr>
            <w:r w:rsidRPr="00701626">
              <w:rPr>
                <w:rFonts w:cstheme="minorHAnsi"/>
                <w:b/>
              </w:rPr>
              <w:sym w:font="Wingdings 3" w:char="F023"/>
            </w:r>
            <w:r w:rsidRPr="00701626">
              <w:rPr>
                <w:rFonts w:cstheme="minorHAnsi"/>
                <w:b/>
              </w:rPr>
              <w:t xml:space="preserve"> risk of </w:t>
            </w:r>
            <w:proofErr w:type="spellStart"/>
            <w:r w:rsidRPr="00701626">
              <w:rPr>
                <w:rFonts w:cstheme="minorHAnsi"/>
                <w:b/>
              </w:rPr>
              <w:t>bleeding</w:t>
            </w:r>
            <w:proofErr w:type="spellEnd"/>
          </w:p>
        </w:tc>
        <w:tc>
          <w:tcPr>
            <w:tcW w:w="0" w:type="auto"/>
          </w:tcPr>
          <w:p w14:paraId="26788450" w14:textId="77777777" w:rsidR="00D228B0" w:rsidRPr="00701626" w:rsidRDefault="00D228B0" w:rsidP="000C169C">
            <w:pPr>
              <w:spacing w:line="276" w:lineRule="auto"/>
              <w:contextualSpacing/>
              <w:rPr>
                <w:rFonts w:cstheme="minorHAnsi"/>
                <w:lang w:val="en-GB"/>
              </w:rPr>
            </w:pPr>
            <w:r w:rsidRPr="00701626">
              <w:rPr>
                <w:rFonts w:cstheme="minorHAnsi"/>
                <w:lang w:val="en-GB"/>
              </w:rPr>
              <w:t>If the combination cannot be avoided, a dose reduction of enzalutamide</w:t>
            </w:r>
          </w:p>
          <w:p w14:paraId="7878C7AE" w14:textId="648F0150" w:rsidR="00D228B0" w:rsidRPr="00701626" w:rsidRDefault="00D228B0" w:rsidP="000C169C">
            <w:pPr>
              <w:spacing w:line="276" w:lineRule="auto"/>
              <w:contextualSpacing/>
              <w:rPr>
                <w:rFonts w:cstheme="minorHAnsi"/>
                <w:lang w:val="en-GB"/>
              </w:rPr>
            </w:pPr>
            <w:r w:rsidRPr="0023445E">
              <w:rPr>
                <w:rFonts w:cstheme="minorHAnsi"/>
                <w:lang w:val="en-GB"/>
              </w:rPr>
              <w:t>from once</w:t>
            </w:r>
            <w:r w:rsidRPr="00701626">
              <w:rPr>
                <w:rFonts w:cstheme="minorHAnsi"/>
                <w:lang w:val="en-GB"/>
              </w:rPr>
              <w:t xml:space="preserve"> daily should be considered, based on careful monitoring of tolerability.</w:t>
            </w:r>
          </w:p>
        </w:tc>
        <w:tc>
          <w:tcPr>
            <w:tcW w:w="0" w:type="auto"/>
            <w:shd w:val="clear" w:color="auto" w:fill="auto"/>
          </w:tcPr>
          <w:p w14:paraId="4C914589"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7C258530"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the combination</w:t>
            </w:r>
          </w:p>
          <w:p w14:paraId="46737C45" w14:textId="77777777" w:rsidR="00D228B0" w:rsidRPr="00701626" w:rsidRDefault="00D228B0" w:rsidP="000C169C">
            <w:pPr>
              <w:spacing w:line="276" w:lineRule="auto"/>
              <w:contextualSpacing/>
              <w:rPr>
                <w:rFonts w:cstheme="minorHAnsi"/>
                <w:lang w:val="en-US"/>
              </w:rPr>
            </w:pPr>
            <w:r w:rsidRPr="00701626">
              <w:rPr>
                <w:rFonts w:cstheme="minorHAnsi"/>
                <w:lang w:val="en-US"/>
              </w:rPr>
              <w:t>Alternative antiplatelet, with no or minimal potential to interact should be considered. Low dose aspirin can be an alternative in case of SAPT due to lack of CYP450-mediated metabolism. If DAPT is necessary, may consider using reduced dose prasugrel.</w:t>
            </w:r>
          </w:p>
        </w:tc>
      </w:tr>
      <w:tr w:rsidR="00D228B0" w:rsidRPr="005649EC" w14:paraId="7AA1C005" w14:textId="77777777" w:rsidTr="000C169C">
        <w:trPr>
          <w:trHeight w:val="299"/>
        </w:trPr>
        <w:tc>
          <w:tcPr>
            <w:tcW w:w="0" w:type="auto"/>
            <w:shd w:val="clear" w:color="auto" w:fill="C00000"/>
          </w:tcPr>
          <w:p w14:paraId="7CF9CAAC"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Idelalisib</w:t>
            </w:r>
            <w:proofErr w:type="spellEnd"/>
          </w:p>
        </w:tc>
        <w:tc>
          <w:tcPr>
            <w:tcW w:w="0" w:type="auto"/>
          </w:tcPr>
          <w:p w14:paraId="15E11B5A"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Primary metabolite of </w:t>
            </w:r>
            <w:proofErr w:type="spellStart"/>
            <w:r w:rsidRPr="00701626">
              <w:rPr>
                <w:rFonts w:cstheme="minorHAnsi"/>
                <w:lang w:val="en-GB"/>
              </w:rPr>
              <w:t>idelalisib</w:t>
            </w:r>
            <w:proofErr w:type="spellEnd"/>
            <w:r w:rsidRPr="00701626">
              <w:rPr>
                <w:rFonts w:cstheme="minorHAnsi"/>
                <w:lang w:val="en-GB"/>
              </w:rPr>
              <w:t xml:space="preserve"> (GS-563117): strong inhibitor of CYP3A4 </w:t>
            </w:r>
          </w:p>
          <w:p w14:paraId="77E310B4" w14:textId="77777777" w:rsidR="00D228B0" w:rsidRPr="00701626" w:rsidRDefault="00D228B0" w:rsidP="000C169C">
            <w:pPr>
              <w:spacing w:line="276" w:lineRule="auto"/>
              <w:contextualSpacing/>
              <w:rPr>
                <w:rFonts w:cstheme="minorHAnsi"/>
                <w:lang w:val="en-GB"/>
              </w:rPr>
            </w:pPr>
          </w:p>
        </w:tc>
        <w:tc>
          <w:tcPr>
            <w:tcW w:w="0" w:type="auto"/>
          </w:tcPr>
          <w:p w14:paraId="5D04AE64" w14:textId="77777777" w:rsidR="00D228B0" w:rsidRPr="00701626" w:rsidRDefault="00D228B0" w:rsidP="000C169C">
            <w:pPr>
              <w:spacing w:line="276" w:lineRule="auto"/>
              <w:contextualSpacing/>
              <w:rPr>
                <w:rFonts w:cstheme="minorHAnsi"/>
                <w:b/>
                <w:u w:val="single"/>
              </w:rPr>
            </w:pPr>
            <w:r w:rsidRPr="00701626">
              <w:rPr>
                <w:rFonts w:cstheme="minorHAnsi"/>
                <w:lang w:val="en-GB"/>
              </w:rPr>
              <w:t xml:space="preserve">Significantly decreased concentrations of clopidogrel active metabolite. </w:t>
            </w:r>
            <w:proofErr w:type="spellStart"/>
            <w:r w:rsidRPr="00701626">
              <w:rPr>
                <w:rFonts w:cstheme="minorHAnsi"/>
              </w:rPr>
              <w:t>Reduced</w:t>
            </w:r>
            <w:proofErr w:type="spellEnd"/>
            <w:r w:rsidRPr="00701626">
              <w:rPr>
                <w:rFonts w:cstheme="minorHAnsi"/>
              </w:rPr>
              <w:t xml:space="preserve"> </w:t>
            </w:r>
            <w:proofErr w:type="spellStart"/>
            <w:r w:rsidRPr="00701626">
              <w:rPr>
                <w:rFonts w:cstheme="minorHAnsi"/>
              </w:rPr>
              <w:t>platelet</w:t>
            </w:r>
            <w:proofErr w:type="spellEnd"/>
            <w:r w:rsidRPr="00701626">
              <w:rPr>
                <w:rFonts w:cstheme="minorHAnsi"/>
              </w:rPr>
              <w:t xml:space="preserve"> </w:t>
            </w:r>
            <w:proofErr w:type="spellStart"/>
            <w:r w:rsidRPr="00701626">
              <w:rPr>
                <w:rFonts w:cstheme="minorHAnsi"/>
              </w:rPr>
              <w:t>inhibition</w:t>
            </w:r>
            <w:proofErr w:type="spellEnd"/>
          </w:p>
          <w:p w14:paraId="17A32CD7" w14:textId="77777777" w:rsidR="00D228B0" w:rsidRPr="00701626" w:rsidRDefault="00D228B0" w:rsidP="000C169C">
            <w:pPr>
              <w:spacing w:line="276" w:lineRule="auto"/>
              <w:contextualSpacing/>
              <w:rPr>
                <w:rFonts w:cstheme="minorHAnsi"/>
                <w:b/>
              </w:rPr>
            </w:pPr>
            <w:r w:rsidRPr="00701626">
              <w:rPr>
                <w:rFonts w:cstheme="minorHAnsi"/>
                <w:b/>
              </w:rPr>
              <w:sym w:font="Wingdings 3" w:char="F023"/>
            </w:r>
            <w:r w:rsidRPr="00701626">
              <w:rPr>
                <w:rFonts w:cstheme="minorHAnsi"/>
                <w:b/>
              </w:rPr>
              <w:t xml:space="preserve"> risk of </w:t>
            </w:r>
            <w:proofErr w:type="spellStart"/>
            <w:r w:rsidRPr="00701626">
              <w:rPr>
                <w:rFonts w:cstheme="minorHAnsi"/>
                <w:b/>
              </w:rPr>
              <w:t>thrombosis</w:t>
            </w:r>
            <w:proofErr w:type="spellEnd"/>
          </w:p>
        </w:tc>
        <w:tc>
          <w:tcPr>
            <w:tcW w:w="0" w:type="auto"/>
          </w:tcPr>
          <w:p w14:paraId="69FBE6E8"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7FD631F6"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5747A8D8"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the combination</w:t>
            </w:r>
          </w:p>
          <w:p w14:paraId="732557AF" w14:textId="77777777" w:rsidR="00D228B0" w:rsidRPr="00701626" w:rsidRDefault="00D228B0" w:rsidP="000C169C">
            <w:pPr>
              <w:spacing w:line="276" w:lineRule="auto"/>
              <w:contextualSpacing/>
              <w:rPr>
                <w:rFonts w:cstheme="minorHAnsi"/>
                <w:lang w:val="en-GB"/>
              </w:rPr>
            </w:pPr>
            <w:r w:rsidRPr="00701626">
              <w:rPr>
                <w:rFonts w:cstheme="minorHAnsi"/>
                <w:lang w:val="en-US"/>
              </w:rPr>
              <w:t>Alternative antiplatelet, with no or minimal potential to interact should be considered. Low dose aspirin can be an alternative in case of SAPT due to lack of CYP450-mediated metabolism.</w:t>
            </w:r>
          </w:p>
        </w:tc>
      </w:tr>
      <w:tr w:rsidR="00D228B0" w:rsidRPr="005649EC" w14:paraId="513F2AB7" w14:textId="77777777" w:rsidTr="000C169C">
        <w:trPr>
          <w:trHeight w:val="299"/>
        </w:trPr>
        <w:tc>
          <w:tcPr>
            <w:tcW w:w="0" w:type="auto"/>
            <w:shd w:val="clear" w:color="auto" w:fill="FFC000"/>
          </w:tcPr>
          <w:p w14:paraId="2A506BF1" w14:textId="77777777" w:rsidR="00D228B0" w:rsidRPr="00701626" w:rsidRDefault="00D228B0" w:rsidP="000C169C">
            <w:pPr>
              <w:spacing w:line="276" w:lineRule="auto"/>
              <w:contextualSpacing/>
              <w:rPr>
                <w:rFonts w:cstheme="minorHAnsi"/>
                <w:b/>
                <w:bCs/>
                <w:i/>
              </w:rPr>
            </w:pPr>
            <w:r w:rsidRPr="00701626">
              <w:rPr>
                <w:rFonts w:cstheme="minorHAnsi"/>
                <w:b/>
                <w:bCs/>
                <w:i/>
              </w:rPr>
              <w:t>Imatinib</w:t>
            </w:r>
          </w:p>
        </w:tc>
        <w:tc>
          <w:tcPr>
            <w:tcW w:w="0" w:type="auto"/>
          </w:tcPr>
          <w:p w14:paraId="6A49B438" w14:textId="77777777" w:rsidR="00D228B0" w:rsidRPr="00701626" w:rsidRDefault="00D228B0" w:rsidP="000C169C">
            <w:pPr>
              <w:spacing w:line="276" w:lineRule="auto"/>
              <w:contextualSpacing/>
              <w:rPr>
                <w:rFonts w:cstheme="minorHAnsi"/>
                <w:lang w:val="en-GB"/>
              </w:rPr>
            </w:pPr>
            <w:r w:rsidRPr="00701626">
              <w:rPr>
                <w:rFonts w:cstheme="minorHAnsi"/>
                <w:lang w:val="en-GB"/>
              </w:rPr>
              <w:t>Moderate inhibitor of the CYP3A4.</w:t>
            </w:r>
          </w:p>
        </w:tc>
        <w:tc>
          <w:tcPr>
            <w:tcW w:w="0" w:type="auto"/>
          </w:tcPr>
          <w:p w14:paraId="2893C6F9" w14:textId="77777777" w:rsidR="00D228B0" w:rsidRPr="00701626" w:rsidRDefault="00D228B0" w:rsidP="000C169C">
            <w:pPr>
              <w:spacing w:line="276" w:lineRule="auto"/>
              <w:contextualSpacing/>
              <w:rPr>
                <w:rFonts w:cstheme="minorHAnsi"/>
                <w:lang w:val="en-GB"/>
              </w:rPr>
            </w:pPr>
            <w:r w:rsidRPr="00701626">
              <w:rPr>
                <w:rFonts w:cstheme="minorHAnsi"/>
                <w:lang w:val="en-GB"/>
              </w:rPr>
              <w:t>Decreased concentrations</w:t>
            </w:r>
          </w:p>
          <w:p w14:paraId="4845173F"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of the clopidogrel active metabolite. </w:t>
            </w:r>
          </w:p>
          <w:p w14:paraId="1D99AF18"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Reduced platelet inhibition. </w:t>
            </w:r>
          </w:p>
          <w:p w14:paraId="2BDEF214" w14:textId="77777777" w:rsidR="00D228B0" w:rsidRPr="00701626" w:rsidRDefault="00D228B0" w:rsidP="000C169C">
            <w:pPr>
              <w:spacing w:line="276" w:lineRule="auto"/>
              <w:contextualSpacing/>
              <w:rPr>
                <w:rFonts w:cstheme="minorHAnsi"/>
                <w:lang w:val="en-GB"/>
              </w:rPr>
            </w:pPr>
            <w:r w:rsidRPr="00701626">
              <w:rPr>
                <w:rFonts w:cstheme="minorHAnsi"/>
                <w:b/>
              </w:rPr>
              <w:lastRenderedPageBreak/>
              <w:sym w:font="Wingdings 3" w:char="F023"/>
            </w:r>
            <w:r w:rsidRPr="00701626">
              <w:rPr>
                <w:rFonts w:cstheme="minorHAnsi"/>
                <w:b/>
                <w:lang w:val="en-GB"/>
              </w:rPr>
              <w:t xml:space="preserve"> risk of thrombosis</w:t>
            </w:r>
          </w:p>
        </w:tc>
        <w:tc>
          <w:tcPr>
            <w:tcW w:w="0" w:type="auto"/>
          </w:tcPr>
          <w:p w14:paraId="22F9B23F" w14:textId="77777777" w:rsidR="00D228B0" w:rsidRPr="00701626" w:rsidRDefault="00D228B0" w:rsidP="000C169C">
            <w:pPr>
              <w:spacing w:line="276" w:lineRule="auto"/>
              <w:contextualSpacing/>
              <w:rPr>
                <w:rFonts w:cstheme="minorHAnsi"/>
              </w:rPr>
            </w:pPr>
            <w:r w:rsidRPr="00701626">
              <w:rPr>
                <w:rFonts w:cstheme="minorHAnsi"/>
              </w:rPr>
              <w:lastRenderedPageBreak/>
              <w:t>None</w:t>
            </w:r>
          </w:p>
        </w:tc>
        <w:tc>
          <w:tcPr>
            <w:tcW w:w="0" w:type="auto"/>
          </w:tcPr>
          <w:p w14:paraId="6037F194"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5D3B9AAC"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CAUTION</w:t>
            </w:r>
          </w:p>
          <w:p w14:paraId="52A9A581" w14:textId="77777777" w:rsidR="00D228B0" w:rsidRPr="00701626" w:rsidRDefault="00D228B0" w:rsidP="000C169C">
            <w:pPr>
              <w:spacing w:line="276" w:lineRule="auto"/>
              <w:contextualSpacing/>
              <w:rPr>
                <w:rFonts w:cstheme="minorHAnsi"/>
                <w:lang w:val="en-GB"/>
              </w:rPr>
            </w:pPr>
            <w:r w:rsidRPr="00701626">
              <w:rPr>
                <w:rFonts w:cstheme="minorHAnsi"/>
                <w:lang w:val="en-US"/>
              </w:rPr>
              <w:t xml:space="preserve">Alternative antiplatelet, with no or minimal potential to interact may be </w:t>
            </w:r>
            <w:r w:rsidRPr="00701626">
              <w:rPr>
                <w:rFonts w:cstheme="minorHAnsi"/>
                <w:lang w:val="en-US"/>
              </w:rPr>
              <w:lastRenderedPageBreak/>
              <w:t>considered. Low dose aspirin can be an alternative in case of SAPT due to lack of CYP450-mediated metabolism.</w:t>
            </w:r>
          </w:p>
        </w:tc>
      </w:tr>
      <w:tr w:rsidR="00D228B0" w:rsidRPr="005649EC" w14:paraId="186988FC" w14:textId="77777777" w:rsidTr="000C169C">
        <w:trPr>
          <w:trHeight w:val="299"/>
        </w:trPr>
        <w:tc>
          <w:tcPr>
            <w:tcW w:w="0" w:type="auto"/>
            <w:shd w:val="clear" w:color="auto" w:fill="FFC000" w:themeFill="accent4"/>
          </w:tcPr>
          <w:p w14:paraId="7F569B0C" w14:textId="77777777" w:rsidR="00D228B0" w:rsidRPr="00701626" w:rsidRDefault="00D228B0" w:rsidP="000C169C">
            <w:pPr>
              <w:spacing w:line="276" w:lineRule="auto"/>
              <w:contextualSpacing/>
              <w:rPr>
                <w:rFonts w:cstheme="minorHAnsi"/>
                <w:i/>
              </w:rPr>
            </w:pPr>
            <w:proofErr w:type="spellStart"/>
            <w:r w:rsidRPr="00701626">
              <w:rPr>
                <w:rFonts w:cstheme="minorHAnsi"/>
                <w:b/>
                <w:bCs/>
                <w:i/>
              </w:rPr>
              <w:lastRenderedPageBreak/>
              <w:t>Paclitaxel</w:t>
            </w:r>
            <w:proofErr w:type="spellEnd"/>
          </w:p>
        </w:tc>
        <w:tc>
          <w:tcPr>
            <w:tcW w:w="0" w:type="auto"/>
          </w:tcPr>
          <w:p w14:paraId="38872321"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Clopidogrel is an inhibitor of CYP2C8. Thus, the biotransformation of Paclitaxel (which is </w:t>
            </w:r>
            <w:proofErr w:type="spellStart"/>
            <w:r w:rsidRPr="00701626">
              <w:rPr>
                <w:rFonts w:cstheme="minorHAnsi"/>
                <w:lang w:val="en-GB"/>
              </w:rPr>
              <w:t>dependant</w:t>
            </w:r>
            <w:proofErr w:type="spellEnd"/>
            <w:r w:rsidRPr="00701626">
              <w:rPr>
                <w:rFonts w:cstheme="minorHAnsi"/>
                <w:lang w:val="en-GB"/>
              </w:rPr>
              <w:t xml:space="preserve"> on CYP2C8) is decreased</w:t>
            </w:r>
          </w:p>
        </w:tc>
        <w:tc>
          <w:tcPr>
            <w:tcW w:w="0" w:type="auto"/>
          </w:tcPr>
          <w:p w14:paraId="335B87EC"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597A47E4"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Paclitaxel concentrations may increase. Clopidogrel with high-dose paclitaxel is associated with an increased risk of neuropathy. </w:t>
            </w:r>
          </w:p>
        </w:tc>
        <w:tc>
          <w:tcPr>
            <w:tcW w:w="0" w:type="auto"/>
          </w:tcPr>
          <w:p w14:paraId="4324E9E4"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7A2DB787"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CAUTION</w:t>
            </w:r>
          </w:p>
          <w:p w14:paraId="46E69EDE" w14:textId="77777777" w:rsidR="00D228B0" w:rsidRPr="00701626" w:rsidRDefault="00D228B0" w:rsidP="000C169C">
            <w:pPr>
              <w:spacing w:line="276" w:lineRule="auto"/>
              <w:contextualSpacing/>
              <w:rPr>
                <w:rFonts w:cstheme="minorHAnsi"/>
                <w:lang w:val="en-US"/>
              </w:rPr>
            </w:pPr>
            <w:r w:rsidRPr="00701626">
              <w:rPr>
                <w:rFonts w:cstheme="minorHAnsi"/>
                <w:lang w:val="en-GB"/>
              </w:rPr>
              <w:t>If coadministration is unavoidable, monitor closely for paclitaxel toxicity</w:t>
            </w:r>
          </w:p>
        </w:tc>
      </w:tr>
      <w:tr w:rsidR="00D228B0" w:rsidRPr="005649EC" w14:paraId="169A3DE4" w14:textId="77777777" w:rsidTr="000C169C">
        <w:trPr>
          <w:trHeight w:val="299"/>
        </w:trPr>
        <w:tc>
          <w:tcPr>
            <w:tcW w:w="0" w:type="auto"/>
            <w:shd w:val="clear" w:color="auto" w:fill="F2F2F2" w:themeFill="background1" w:themeFillShade="F2"/>
          </w:tcPr>
          <w:p w14:paraId="23B8F953" w14:textId="77777777" w:rsidR="00D228B0" w:rsidRPr="00701626" w:rsidRDefault="00D228B0" w:rsidP="000C169C">
            <w:pPr>
              <w:spacing w:line="276" w:lineRule="auto"/>
              <w:contextualSpacing/>
              <w:rPr>
                <w:rFonts w:cstheme="minorHAnsi"/>
                <w:b/>
                <w:i/>
              </w:rPr>
            </w:pPr>
            <w:proofErr w:type="spellStart"/>
            <w:r w:rsidRPr="00701626">
              <w:rPr>
                <w:rFonts w:cstheme="minorHAnsi"/>
                <w:b/>
                <w:i/>
              </w:rPr>
              <w:t>Ticagrelor</w:t>
            </w:r>
            <w:proofErr w:type="spellEnd"/>
            <w:r w:rsidRPr="00701626">
              <w:rPr>
                <w:rFonts w:cstheme="minorHAnsi"/>
                <w:b/>
                <w:i/>
              </w:rPr>
              <w:t xml:space="preserve"> </w:t>
            </w:r>
            <w:proofErr w:type="gramStart"/>
            <w:r w:rsidRPr="00701626">
              <w:rPr>
                <w:rFonts w:cstheme="minorHAnsi"/>
                <w:b/>
                <w:i/>
              </w:rPr>
              <w:t>plus….</w:t>
            </w:r>
            <w:proofErr w:type="gramEnd"/>
          </w:p>
        </w:tc>
        <w:tc>
          <w:tcPr>
            <w:tcW w:w="0" w:type="auto"/>
            <w:shd w:val="clear" w:color="auto" w:fill="F2F2F2" w:themeFill="background1" w:themeFillShade="F2"/>
          </w:tcPr>
          <w:p w14:paraId="0A41AD76" w14:textId="77777777" w:rsidR="00D228B0" w:rsidRPr="00701626" w:rsidRDefault="00D228B0" w:rsidP="000C169C">
            <w:pPr>
              <w:spacing w:line="276" w:lineRule="auto"/>
              <w:contextualSpacing/>
              <w:rPr>
                <w:rFonts w:cstheme="minorHAnsi"/>
                <w:b/>
                <w:i/>
                <w:lang w:val="en-GB"/>
              </w:rPr>
            </w:pPr>
            <w:r w:rsidRPr="00701626">
              <w:rPr>
                <w:rFonts w:cstheme="minorHAnsi"/>
                <w:bCs/>
                <w:iCs/>
                <w:lang w:val="en-GB"/>
              </w:rPr>
              <w:t>Metabolised by CYP3A4 and is substrate of P-</w:t>
            </w:r>
            <w:proofErr w:type="spellStart"/>
            <w:r w:rsidRPr="00701626">
              <w:rPr>
                <w:rFonts w:cstheme="minorHAnsi"/>
                <w:bCs/>
                <w:iCs/>
                <w:lang w:val="en-GB"/>
              </w:rPr>
              <w:t>gp</w:t>
            </w:r>
            <w:proofErr w:type="spellEnd"/>
            <w:r w:rsidRPr="00701626">
              <w:rPr>
                <w:rFonts w:cstheme="minorHAnsi"/>
                <w:bCs/>
                <w:iCs/>
                <w:lang w:val="en-GB"/>
              </w:rPr>
              <w:t>.</w:t>
            </w:r>
          </w:p>
        </w:tc>
        <w:tc>
          <w:tcPr>
            <w:tcW w:w="0" w:type="auto"/>
            <w:gridSpan w:val="3"/>
            <w:shd w:val="clear" w:color="auto" w:fill="F2F2F2" w:themeFill="background1" w:themeFillShade="F2"/>
          </w:tcPr>
          <w:p w14:paraId="14A84636" w14:textId="77777777" w:rsidR="00D228B0" w:rsidRPr="00701626" w:rsidRDefault="00D228B0" w:rsidP="000C169C">
            <w:pPr>
              <w:spacing w:line="276" w:lineRule="auto"/>
              <w:contextualSpacing/>
              <w:rPr>
                <w:rFonts w:cstheme="minorHAnsi"/>
                <w:b/>
                <w:i/>
                <w:lang w:val="en-GB"/>
              </w:rPr>
            </w:pPr>
          </w:p>
        </w:tc>
      </w:tr>
      <w:tr w:rsidR="00D228B0" w:rsidRPr="005649EC" w14:paraId="612F9DF1" w14:textId="77777777" w:rsidTr="000C169C">
        <w:trPr>
          <w:trHeight w:val="299"/>
        </w:trPr>
        <w:tc>
          <w:tcPr>
            <w:tcW w:w="0" w:type="auto"/>
            <w:shd w:val="clear" w:color="auto" w:fill="C00000"/>
          </w:tcPr>
          <w:p w14:paraId="3645171D" w14:textId="77777777" w:rsidR="00D228B0" w:rsidRPr="00701626" w:rsidRDefault="00D228B0" w:rsidP="000C169C">
            <w:pPr>
              <w:spacing w:line="276" w:lineRule="auto"/>
              <w:contextualSpacing/>
              <w:rPr>
                <w:rFonts w:cstheme="minorHAnsi"/>
                <w:b/>
                <w:i/>
                <w:color w:val="FFFFFF" w:themeColor="background1"/>
              </w:rPr>
            </w:pPr>
            <w:bookmarkStart w:id="2" w:name="_Hlk79825505"/>
            <w:proofErr w:type="spellStart"/>
            <w:r w:rsidRPr="00701626">
              <w:rPr>
                <w:rFonts w:cstheme="minorHAnsi"/>
                <w:b/>
                <w:i/>
                <w:color w:val="FFFFFF" w:themeColor="background1"/>
              </w:rPr>
              <w:t>Enzalutamide</w:t>
            </w:r>
            <w:proofErr w:type="spellEnd"/>
          </w:p>
        </w:tc>
        <w:tc>
          <w:tcPr>
            <w:tcW w:w="0" w:type="auto"/>
          </w:tcPr>
          <w:p w14:paraId="139491B9" w14:textId="77777777" w:rsidR="00D228B0" w:rsidRPr="00701626" w:rsidRDefault="00D228B0" w:rsidP="000C169C">
            <w:pPr>
              <w:spacing w:line="276" w:lineRule="auto"/>
              <w:contextualSpacing/>
              <w:rPr>
                <w:rFonts w:cstheme="minorHAnsi"/>
                <w:bCs/>
                <w:iCs/>
                <w:lang w:val="en-US"/>
              </w:rPr>
            </w:pPr>
            <w:r w:rsidRPr="00701626">
              <w:rPr>
                <w:rFonts w:cstheme="minorHAnsi"/>
                <w:bCs/>
                <w:iCs/>
              </w:rPr>
              <w:t xml:space="preserve">Strong </w:t>
            </w:r>
            <w:proofErr w:type="spellStart"/>
            <w:r w:rsidRPr="00701626">
              <w:rPr>
                <w:rFonts w:cstheme="minorHAnsi"/>
                <w:bCs/>
                <w:iCs/>
              </w:rPr>
              <w:t>inducer</w:t>
            </w:r>
            <w:proofErr w:type="spellEnd"/>
            <w:r w:rsidRPr="00701626">
              <w:rPr>
                <w:rFonts w:cstheme="minorHAnsi"/>
                <w:bCs/>
                <w:iCs/>
              </w:rPr>
              <w:t xml:space="preserve"> of CYP3A4</w:t>
            </w:r>
          </w:p>
        </w:tc>
        <w:tc>
          <w:tcPr>
            <w:tcW w:w="0" w:type="auto"/>
          </w:tcPr>
          <w:p w14:paraId="45A7260C" w14:textId="77777777" w:rsidR="00D228B0" w:rsidRPr="00701626" w:rsidRDefault="00D228B0" w:rsidP="000C169C">
            <w:pPr>
              <w:spacing w:line="276" w:lineRule="auto"/>
              <w:contextualSpacing/>
              <w:rPr>
                <w:rFonts w:cstheme="minorHAnsi"/>
                <w:bCs/>
                <w:iCs/>
                <w:lang w:val="en-US"/>
              </w:rPr>
            </w:pPr>
            <w:r w:rsidRPr="00701626">
              <w:rPr>
                <w:rFonts w:cstheme="minorHAnsi"/>
                <w:bCs/>
                <w:iCs/>
                <w:lang w:val="en-US"/>
              </w:rPr>
              <w:t>Significantly decreased concentrations of ticagrelor. Possible reduced platelet inhibition. Higher variability in effectiveness</w:t>
            </w:r>
          </w:p>
          <w:p w14:paraId="386B6AE8" w14:textId="77777777" w:rsidR="00D228B0" w:rsidRPr="00701626" w:rsidRDefault="00D228B0" w:rsidP="000C169C">
            <w:pPr>
              <w:spacing w:line="276" w:lineRule="auto"/>
              <w:contextualSpacing/>
              <w:rPr>
                <w:rFonts w:cstheme="minorHAnsi"/>
                <w:bCs/>
                <w:iCs/>
                <w:lang w:val="en-US"/>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proofErr w:type="spellStart"/>
            <w:r w:rsidRPr="00701626">
              <w:rPr>
                <w:rFonts w:cstheme="minorHAnsi"/>
                <w:b/>
                <w:bCs/>
                <w:iCs/>
              </w:rPr>
              <w:t>thrombosis</w:t>
            </w:r>
            <w:proofErr w:type="spellEnd"/>
          </w:p>
        </w:tc>
        <w:tc>
          <w:tcPr>
            <w:tcW w:w="0" w:type="auto"/>
          </w:tcPr>
          <w:p w14:paraId="0BF12A3D" w14:textId="77777777" w:rsidR="00D228B0" w:rsidRPr="00701626" w:rsidRDefault="00D228B0" w:rsidP="000C169C">
            <w:pPr>
              <w:spacing w:line="276" w:lineRule="auto"/>
              <w:contextualSpacing/>
              <w:rPr>
                <w:rFonts w:cstheme="minorHAnsi"/>
                <w:bCs/>
                <w:iCs/>
              </w:rPr>
            </w:pPr>
            <w:r w:rsidRPr="00701626">
              <w:rPr>
                <w:rFonts w:cstheme="minorHAnsi"/>
                <w:bCs/>
                <w:iCs/>
              </w:rPr>
              <w:t>None</w:t>
            </w:r>
          </w:p>
        </w:tc>
        <w:tc>
          <w:tcPr>
            <w:tcW w:w="0" w:type="auto"/>
          </w:tcPr>
          <w:p w14:paraId="3DEE257A" w14:textId="77777777" w:rsidR="00D228B0" w:rsidRPr="00701626" w:rsidRDefault="00D228B0" w:rsidP="000C169C">
            <w:pPr>
              <w:spacing w:line="276" w:lineRule="auto"/>
              <w:contextualSpacing/>
              <w:rPr>
                <w:rFonts w:cstheme="minorHAnsi"/>
                <w:b/>
                <w:iCs/>
                <w:color w:val="C00000"/>
                <w:lang w:val="en-US"/>
              </w:rPr>
            </w:pPr>
            <w:r w:rsidRPr="00701626">
              <w:rPr>
                <w:rFonts w:cstheme="minorHAnsi"/>
                <w:b/>
                <w:iCs/>
                <w:color w:val="C00000"/>
                <w:lang w:val="en-US"/>
              </w:rPr>
              <w:t>Strong interaction:</w:t>
            </w:r>
          </w:p>
          <w:p w14:paraId="74207F73" w14:textId="77777777" w:rsidR="00D228B0" w:rsidRPr="00701626" w:rsidRDefault="00D228B0" w:rsidP="000C169C">
            <w:pPr>
              <w:spacing w:line="276" w:lineRule="auto"/>
              <w:contextualSpacing/>
              <w:rPr>
                <w:rFonts w:cstheme="minorHAnsi"/>
                <w:b/>
                <w:iCs/>
                <w:color w:val="C00000"/>
                <w:lang w:val="en-US"/>
              </w:rPr>
            </w:pPr>
            <w:r w:rsidRPr="00701626">
              <w:rPr>
                <w:rFonts w:cstheme="minorHAnsi"/>
                <w:b/>
                <w:iCs/>
                <w:color w:val="C00000"/>
                <w:lang w:val="en-US"/>
              </w:rPr>
              <w:t>AVOID coadministration</w:t>
            </w:r>
          </w:p>
          <w:p w14:paraId="1DC65F95" w14:textId="77777777" w:rsidR="00D228B0" w:rsidRPr="00701626" w:rsidRDefault="00D228B0" w:rsidP="000C169C">
            <w:pPr>
              <w:spacing w:line="276" w:lineRule="auto"/>
              <w:contextualSpacing/>
              <w:rPr>
                <w:rFonts w:cstheme="minorHAnsi"/>
                <w:bCs/>
                <w:iCs/>
                <w:lang w:val="en-US"/>
              </w:rPr>
            </w:pPr>
            <w:r w:rsidRPr="00701626">
              <w:rPr>
                <w:rFonts w:cstheme="minorHAnsi"/>
                <w:bCs/>
                <w:iCs/>
                <w:lang w:val="en-US"/>
              </w:rPr>
              <w:t>Alternate antiplatelet with no or minimal potential to interact with CYP3A4 should be considered.</w:t>
            </w:r>
          </w:p>
          <w:p w14:paraId="5E4D93E5" w14:textId="77777777" w:rsidR="00D228B0" w:rsidRPr="00701626" w:rsidRDefault="00D228B0" w:rsidP="000C169C">
            <w:pPr>
              <w:spacing w:line="276" w:lineRule="auto"/>
              <w:contextualSpacing/>
              <w:rPr>
                <w:rFonts w:cstheme="minorHAnsi"/>
                <w:bCs/>
                <w:iCs/>
                <w:lang w:val="en-US"/>
              </w:rPr>
            </w:pPr>
            <w:r w:rsidRPr="00701626">
              <w:rPr>
                <w:rFonts w:cstheme="minorHAnsi"/>
                <w:lang w:val="en-US"/>
              </w:rPr>
              <w:t>Prasugrel can be an option in case of DAPT based on lack of DDI with enzalutamide.</w:t>
            </w:r>
          </w:p>
        </w:tc>
      </w:tr>
      <w:bookmarkEnd w:id="2"/>
      <w:tr w:rsidR="00D228B0" w:rsidRPr="005649EC" w14:paraId="3AE9708F" w14:textId="77777777" w:rsidTr="000C169C">
        <w:trPr>
          <w:trHeight w:val="299"/>
        </w:trPr>
        <w:tc>
          <w:tcPr>
            <w:tcW w:w="0" w:type="auto"/>
            <w:shd w:val="clear" w:color="auto" w:fill="C00000"/>
          </w:tcPr>
          <w:p w14:paraId="7ACB1A03" w14:textId="77777777" w:rsidR="00D228B0" w:rsidRPr="00701626" w:rsidRDefault="00D228B0" w:rsidP="000C169C">
            <w:pPr>
              <w:spacing w:line="276" w:lineRule="auto"/>
              <w:contextualSpacing/>
              <w:rPr>
                <w:rFonts w:cstheme="minorHAnsi"/>
                <w:b/>
                <w:i/>
                <w:color w:val="FFFFFF" w:themeColor="background1"/>
              </w:rPr>
            </w:pPr>
            <w:proofErr w:type="spellStart"/>
            <w:r w:rsidRPr="00701626">
              <w:rPr>
                <w:rFonts w:cstheme="minorHAnsi"/>
                <w:b/>
                <w:i/>
                <w:color w:val="FFFFFF" w:themeColor="background1"/>
              </w:rPr>
              <w:t>Idelalisib</w:t>
            </w:r>
            <w:proofErr w:type="spellEnd"/>
          </w:p>
        </w:tc>
        <w:tc>
          <w:tcPr>
            <w:tcW w:w="0" w:type="auto"/>
          </w:tcPr>
          <w:p w14:paraId="5CB1E1C5" w14:textId="77777777" w:rsidR="00D228B0" w:rsidRPr="00701626" w:rsidRDefault="00D228B0" w:rsidP="000C169C">
            <w:pPr>
              <w:spacing w:line="276" w:lineRule="auto"/>
              <w:contextualSpacing/>
              <w:rPr>
                <w:rFonts w:cstheme="minorHAnsi"/>
                <w:bCs/>
                <w:iCs/>
                <w:lang w:val="en-GB"/>
              </w:rPr>
            </w:pPr>
            <w:r w:rsidRPr="00701626">
              <w:rPr>
                <w:rFonts w:cstheme="minorHAnsi"/>
                <w:bCs/>
                <w:iCs/>
                <w:lang w:val="en-GB"/>
              </w:rPr>
              <w:t xml:space="preserve">Primary metabolite of </w:t>
            </w:r>
            <w:proofErr w:type="spellStart"/>
            <w:r w:rsidRPr="00701626">
              <w:rPr>
                <w:rFonts w:cstheme="minorHAnsi"/>
                <w:bCs/>
                <w:iCs/>
                <w:lang w:val="en-GB"/>
              </w:rPr>
              <w:t>idelalisib</w:t>
            </w:r>
            <w:proofErr w:type="spellEnd"/>
            <w:r w:rsidRPr="00701626">
              <w:rPr>
                <w:rFonts w:cstheme="minorHAnsi"/>
                <w:bCs/>
                <w:iCs/>
                <w:lang w:val="en-GB"/>
              </w:rPr>
              <w:t xml:space="preserve"> (GS-563117): strong inhibitor of CYP3A4. </w:t>
            </w:r>
          </w:p>
        </w:tc>
        <w:tc>
          <w:tcPr>
            <w:tcW w:w="0" w:type="auto"/>
          </w:tcPr>
          <w:p w14:paraId="2F2F25FF" w14:textId="77777777" w:rsidR="00D228B0" w:rsidRPr="00701626" w:rsidRDefault="00D228B0" w:rsidP="000C169C">
            <w:pPr>
              <w:spacing w:line="276" w:lineRule="auto"/>
              <w:contextualSpacing/>
              <w:rPr>
                <w:rFonts w:cstheme="minorHAnsi"/>
                <w:bCs/>
                <w:iCs/>
                <w:lang w:val="en-US"/>
              </w:rPr>
            </w:pPr>
            <w:r w:rsidRPr="00701626">
              <w:rPr>
                <w:rFonts w:cstheme="minorHAnsi"/>
                <w:bCs/>
                <w:iCs/>
                <w:lang w:val="en-US"/>
              </w:rPr>
              <w:t xml:space="preserve">Significantly decreased concentrations of ticagrelor. Possible reduced platelet inhibition. Higher variability in effectiveness. </w:t>
            </w:r>
          </w:p>
          <w:p w14:paraId="3ED182E6" w14:textId="77777777" w:rsidR="00D228B0" w:rsidRPr="00701626" w:rsidRDefault="00D228B0" w:rsidP="000C169C">
            <w:pPr>
              <w:spacing w:line="276" w:lineRule="auto"/>
              <w:contextualSpacing/>
              <w:rPr>
                <w:rFonts w:cstheme="minorHAnsi"/>
                <w:bCs/>
                <w:iCs/>
                <w:lang w:val="en-US"/>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proofErr w:type="spellStart"/>
            <w:r w:rsidRPr="00701626">
              <w:rPr>
                <w:rFonts w:cstheme="minorHAnsi"/>
                <w:b/>
                <w:bCs/>
                <w:iCs/>
              </w:rPr>
              <w:t>thrombosis</w:t>
            </w:r>
            <w:proofErr w:type="spellEnd"/>
          </w:p>
        </w:tc>
        <w:tc>
          <w:tcPr>
            <w:tcW w:w="0" w:type="auto"/>
          </w:tcPr>
          <w:p w14:paraId="0697948A" w14:textId="77777777" w:rsidR="00D228B0" w:rsidRPr="00701626" w:rsidRDefault="00D228B0" w:rsidP="000C169C">
            <w:pPr>
              <w:spacing w:line="276" w:lineRule="auto"/>
              <w:contextualSpacing/>
              <w:rPr>
                <w:rFonts w:cstheme="minorHAnsi"/>
                <w:bCs/>
                <w:iCs/>
              </w:rPr>
            </w:pPr>
            <w:r w:rsidRPr="00701626">
              <w:rPr>
                <w:rFonts w:cstheme="minorHAnsi"/>
                <w:bCs/>
                <w:iCs/>
              </w:rPr>
              <w:t>None</w:t>
            </w:r>
          </w:p>
        </w:tc>
        <w:tc>
          <w:tcPr>
            <w:tcW w:w="0" w:type="auto"/>
          </w:tcPr>
          <w:p w14:paraId="002A2397" w14:textId="77777777" w:rsidR="00D228B0" w:rsidRPr="00701626" w:rsidRDefault="00D228B0" w:rsidP="000C169C">
            <w:pPr>
              <w:spacing w:line="276" w:lineRule="auto"/>
              <w:contextualSpacing/>
              <w:rPr>
                <w:rFonts w:cstheme="minorHAnsi"/>
                <w:b/>
                <w:iCs/>
                <w:color w:val="C00000"/>
                <w:lang w:val="en-US"/>
              </w:rPr>
            </w:pPr>
            <w:r w:rsidRPr="00701626">
              <w:rPr>
                <w:rFonts w:cstheme="minorHAnsi"/>
                <w:b/>
                <w:iCs/>
                <w:color w:val="C00000"/>
                <w:lang w:val="en-US"/>
              </w:rPr>
              <w:t xml:space="preserve">Strong interaction: </w:t>
            </w:r>
          </w:p>
          <w:p w14:paraId="6BA406D5" w14:textId="77777777" w:rsidR="00D228B0" w:rsidRPr="00701626" w:rsidRDefault="00D228B0" w:rsidP="000C169C">
            <w:pPr>
              <w:spacing w:line="276" w:lineRule="auto"/>
              <w:contextualSpacing/>
              <w:rPr>
                <w:rFonts w:cstheme="minorHAnsi"/>
                <w:b/>
                <w:iCs/>
                <w:color w:val="C00000"/>
                <w:lang w:val="en-US"/>
              </w:rPr>
            </w:pPr>
            <w:r w:rsidRPr="00701626">
              <w:rPr>
                <w:rFonts w:cstheme="minorHAnsi"/>
                <w:b/>
                <w:iCs/>
                <w:color w:val="C00000"/>
                <w:lang w:val="en-US"/>
              </w:rPr>
              <w:t>AVOID coadministration</w:t>
            </w:r>
          </w:p>
          <w:p w14:paraId="0EA71551" w14:textId="77777777" w:rsidR="00D228B0" w:rsidRPr="00701626" w:rsidRDefault="00D228B0" w:rsidP="000C169C">
            <w:pPr>
              <w:spacing w:line="276" w:lineRule="auto"/>
              <w:contextualSpacing/>
              <w:rPr>
                <w:rFonts w:cstheme="minorHAnsi"/>
                <w:bCs/>
                <w:iCs/>
                <w:lang w:val="en-GB"/>
              </w:rPr>
            </w:pPr>
            <w:r w:rsidRPr="00701626">
              <w:rPr>
                <w:rFonts w:cstheme="minorHAnsi"/>
                <w:bCs/>
                <w:iCs/>
                <w:lang w:val="en-US"/>
              </w:rPr>
              <w:t>Alternate antiplatelet with no or minimal potential to interact with CYP3A4 should be considered. Prasugrel can be an option in case of DAPT based on lack of DDI with enzalutamide.</w:t>
            </w:r>
          </w:p>
        </w:tc>
      </w:tr>
      <w:tr w:rsidR="00D228B0" w:rsidRPr="00701626" w14:paraId="360DB2F6" w14:textId="77777777" w:rsidTr="000C169C">
        <w:trPr>
          <w:trHeight w:val="299"/>
        </w:trPr>
        <w:tc>
          <w:tcPr>
            <w:tcW w:w="0" w:type="auto"/>
            <w:gridSpan w:val="5"/>
            <w:shd w:val="clear" w:color="auto" w:fill="D9D9D9" w:themeFill="background1" w:themeFillShade="D9"/>
          </w:tcPr>
          <w:p w14:paraId="288FF744" w14:textId="77777777" w:rsidR="00D228B0" w:rsidRPr="00701626" w:rsidRDefault="00D228B0" w:rsidP="000C169C">
            <w:pPr>
              <w:spacing w:line="276" w:lineRule="auto"/>
              <w:contextualSpacing/>
              <w:rPr>
                <w:rFonts w:cstheme="minorHAnsi"/>
                <w:b/>
                <w:iCs/>
              </w:rPr>
            </w:pPr>
            <w:r w:rsidRPr="00701626">
              <w:rPr>
                <w:rFonts w:cstheme="minorHAnsi"/>
                <w:b/>
                <w:iCs/>
              </w:rPr>
              <w:t>ANTICOAGULANT DRUGS</w:t>
            </w:r>
          </w:p>
        </w:tc>
      </w:tr>
      <w:tr w:rsidR="00D228B0" w:rsidRPr="005649EC" w14:paraId="5F1CDEAA" w14:textId="77777777" w:rsidTr="000C169C">
        <w:trPr>
          <w:trHeight w:val="299"/>
        </w:trPr>
        <w:tc>
          <w:tcPr>
            <w:tcW w:w="0" w:type="auto"/>
            <w:shd w:val="clear" w:color="auto" w:fill="F2F2F2" w:themeFill="background1" w:themeFillShade="F2"/>
          </w:tcPr>
          <w:p w14:paraId="4697573E" w14:textId="77777777" w:rsidR="00D228B0" w:rsidRPr="00701626" w:rsidRDefault="00D228B0" w:rsidP="000C169C">
            <w:pPr>
              <w:spacing w:line="276" w:lineRule="auto"/>
              <w:contextualSpacing/>
              <w:rPr>
                <w:rFonts w:cstheme="minorHAnsi"/>
                <w:b/>
                <w:i/>
              </w:rPr>
            </w:pPr>
            <w:r w:rsidRPr="00701626">
              <w:rPr>
                <w:rFonts w:cstheme="minorHAnsi"/>
                <w:b/>
                <w:i/>
              </w:rPr>
              <w:lastRenderedPageBreak/>
              <w:t xml:space="preserve">Warfarin plus … </w:t>
            </w:r>
          </w:p>
        </w:tc>
        <w:tc>
          <w:tcPr>
            <w:tcW w:w="0" w:type="auto"/>
            <w:shd w:val="clear" w:color="auto" w:fill="F2F2F2" w:themeFill="background1" w:themeFillShade="F2"/>
          </w:tcPr>
          <w:p w14:paraId="36FAB121"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R-warfarin: primarily </w:t>
            </w:r>
            <w:proofErr w:type="spellStart"/>
            <w:r w:rsidRPr="00701626">
              <w:rPr>
                <w:rFonts w:cstheme="minorHAnsi"/>
                <w:lang w:val="en-US"/>
              </w:rPr>
              <w:t>metabolised</w:t>
            </w:r>
            <w:proofErr w:type="spellEnd"/>
            <w:r w:rsidRPr="00701626">
              <w:rPr>
                <w:rFonts w:cstheme="minorHAnsi"/>
                <w:lang w:val="en-US"/>
              </w:rPr>
              <w:t xml:space="preserve"> by CYPs 1A2 and 3A4. S-warfarin: </w:t>
            </w:r>
            <w:proofErr w:type="spellStart"/>
            <w:r w:rsidRPr="00701626">
              <w:rPr>
                <w:rFonts w:cstheme="minorHAnsi"/>
                <w:lang w:val="en-US"/>
              </w:rPr>
              <w:t>metabolised</w:t>
            </w:r>
            <w:proofErr w:type="spellEnd"/>
            <w:r w:rsidRPr="00701626">
              <w:rPr>
                <w:rFonts w:cstheme="minorHAnsi"/>
                <w:lang w:val="en-US"/>
              </w:rPr>
              <w:t xml:space="preserve"> by CYP2C9.</w:t>
            </w:r>
          </w:p>
        </w:tc>
        <w:tc>
          <w:tcPr>
            <w:tcW w:w="0" w:type="auto"/>
            <w:gridSpan w:val="3"/>
            <w:shd w:val="clear" w:color="auto" w:fill="F2F2F2" w:themeFill="background1" w:themeFillShade="F2"/>
          </w:tcPr>
          <w:p w14:paraId="4A69FD07" w14:textId="77777777" w:rsidR="00D228B0" w:rsidRPr="00701626" w:rsidRDefault="00D228B0" w:rsidP="000C169C">
            <w:pPr>
              <w:spacing w:line="276" w:lineRule="auto"/>
              <w:contextualSpacing/>
              <w:rPr>
                <w:rFonts w:cstheme="minorHAnsi"/>
                <w:b/>
                <w:i/>
                <w:lang w:val="en-GB"/>
              </w:rPr>
            </w:pPr>
          </w:p>
        </w:tc>
      </w:tr>
      <w:tr w:rsidR="00D228B0" w:rsidRPr="005649EC" w14:paraId="108FC8DF" w14:textId="77777777" w:rsidTr="000C169C">
        <w:trPr>
          <w:trHeight w:val="299"/>
        </w:trPr>
        <w:tc>
          <w:tcPr>
            <w:tcW w:w="0" w:type="auto"/>
            <w:shd w:val="clear" w:color="auto" w:fill="C00000"/>
          </w:tcPr>
          <w:p w14:paraId="719719E3" w14:textId="77777777" w:rsidR="00D228B0" w:rsidRPr="00701626" w:rsidRDefault="00D228B0" w:rsidP="000C169C">
            <w:pPr>
              <w:spacing w:line="276" w:lineRule="auto"/>
              <w:contextualSpacing/>
              <w:rPr>
                <w:rFonts w:cstheme="minorHAnsi"/>
                <w:b/>
                <w:bCs/>
                <w:i/>
                <w:color w:val="FFFFFF" w:themeColor="background1"/>
              </w:rPr>
            </w:pPr>
            <w:bookmarkStart w:id="3" w:name="_Hlk79832242"/>
            <w:r w:rsidRPr="00701626">
              <w:rPr>
                <w:rFonts w:cstheme="minorHAnsi"/>
                <w:b/>
                <w:bCs/>
                <w:i/>
                <w:color w:val="FFFFFF" w:themeColor="background1"/>
              </w:rPr>
              <w:t>Imatinib</w:t>
            </w:r>
          </w:p>
        </w:tc>
        <w:tc>
          <w:tcPr>
            <w:tcW w:w="0" w:type="auto"/>
          </w:tcPr>
          <w:p w14:paraId="4CC91C84" w14:textId="77777777" w:rsidR="00D228B0" w:rsidRPr="00701626" w:rsidRDefault="00D228B0" w:rsidP="000C169C">
            <w:pPr>
              <w:spacing w:line="276" w:lineRule="auto"/>
              <w:contextualSpacing/>
              <w:rPr>
                <w:rFonts w:cstheme="minorHAnsi"/>
                <w:lang w:val="en-US"/>
              </w:rPr>
            </w:pPr>
            <w:r w:rsidRPr="00701626">
              <w:rPr>
                <w:rFonts w:cstheme="minorHAnsi"/>
                <w:lang w:val="en-US"/>
              </w:rPr>
              <w:t>M</w:t>
            </w:r>
            <w:proofErr w:type="spellStart"/>
            <w:r w:rsidRPr="00701626">
              <w:rPr>
                <w:rFonts w:cstheme="minorHAnsi"/>
                <w:lang w:val="en-GB"/>
              </w:rPr>
              <w:t>oderate</w:t>
            </w:r>
            <w:proofErr w:type="spellEnd"/>
            <w:r w:rsidRPr="00701626">
              <w:rPr>
                <w:rFonts w:cstheme="minorHAnsi"/>
                <w:lang w:val="en-GB"/>
              </w:rPr>
              <w:t xml:space="preserve"> inhibitor of the CYP3A4 and associated per se with bleeding risk</w:t>
            </w:r>
          </w:p>
        </w:tc>
        <w:tc>
          <w:tcPr>
            <w:tcW w:w="0" w:type="auto"/>
          </w:tcPr>
          <w:p w14:paraId="5A57C1F4"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Increased warfarin concentrations. </w:t>
            </w:r>
          </w:p>
          <w:p w14:paraId="73B88AD9" w14:textId="77777777" w:rsidR="00D228B0" w:rsidRPr="00701626" w:rsidRDefault="00D228B0" w:rsidP="000C169C">
            <w:pPr>
              <w:spacing w:line="276" w:lineRule="auto"/>
              <w:contextualSpacing/>
              <w:rPr>
                <w:rFonts w:cstheme="minorHAnsi"/>
                <w:lang w:val="en-GB"/>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risk of bleeding</w:t>
            </w:r>
          </w:p>
        </w:tc>
        <w:tc>
          <w:tcPr>
            <w:tcW w:w="0" w:type="auto"/>
          </w:tcPr>
          <w:p w14:paraId="09B3A58A"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4BE2589A"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456DF1FF"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CONTRAINDICATED</w:t>
            </w:r>
          </w:p>
          <w:p w14:paraId="25E9AC9D"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DOAC (dabigatran, </w:t>
            </w:r>
            <w:proofErr w:type="spellStart"/>
            <w:r w:rsidRPr="00701626">
              <w:rPr>
                <w:rFonts w:cstheme="minorHAnsi"/>
                <w:lang w:val="en-GB"/>
              </w:rPr>
              <w:t>edoxaban</w:t>
            </w:r>
            <w:proofErr w:type="spellEnd"/>
            <w:r w:rsidRPr="00701626">
              <w:rPr>
                <w:rFonts w:cstheme="minorHAnsi"/>
                <w:lang w:val="en-GB"/>
              </w:rPr>
              <w:t>) or LMWH as alternatives to warfarin, or monitor INR closely if warfarin is necessary.</w:t>
            </w:r>
          </w:p>
        </w:tc>
      </w:tr>
      <w:bookmarkEnd w:id="3"/>
      <w:tr w:rsidR="00D228B0" w:rsidRPr="005649EC" w14:paraId="450D6B6D" w14:textId="77777777" w:rsidTr="000C169C">
        <w:trPr>
          <w:trHeight w:val="299"/>
        </w:trPr>
        <w:tc>
          <w:tcPr>
            <w:tcW w:w="0" w:type="auto"/>
            <w:shd w:val="clear" w:color="auto" w:fill="C00000"/>
          </w:tcPr>
          <w:p w14:paraId="7719D193" w14:textId="77777777" w:rsidR="00D228B0" w:rsidRPr="00701626" w:rsidRDefault="00D228B0" w:rsidP="000C169C">
            <w:pPr>
              <w:spacing w:line="276" w:lineRule="auto"/>
              <w:contextualSpacing/>
              <w:rPr>
                <w:rFonts w:cstheme="minorHAnsi"/>
                <w:b/>
                <w:bCs/>
                <w:i/>
                <w:color w:val="FFFFFF" w:themeColor="background1"/>
              </w:rPr>
            </w:pPr>
            <w:proofErr w:type="spellStart"/>
            <w:r w:rsidRPr="00701626">
              <w:rPr>
                <w:rFonts w:cstheme="minorHAnsi"/>
                <w:b/>
                <w:bCs/>
                <w:i/>
                <w:color w:val="FFFFFF" w:themeColor="background1"/>
              </w:rPr>
              <w:t>Enzalutamide</w:t>
            </w:r>
            <w:proofErr w:type="spellEnd"/>
          </w:p>
        </w:tc>
        <w:tc>
          <w:tcPr>
            <w:tcW w:w="0" w:type="auto"/>
          </w:tcPr>
          <w:p w14:paraId="3489E7F1" w14:textId="77777777" w:rsidR="00D228B0" w:rsidRPr="00701626" w:rsidRDefault="00D228B0" w:rsidP="000C169C">
            <w:pPr>
              <w:spacing w:line="276" w:lineRule="auto"/>
              <w:contextualSpacing/>
              <w:rPr>
                <w:rFonts w:cstheme="minorHAnsi"/>
                <w:lang w:val="en-GB"/>
              </w:rPr>
            </w:pPr>
            <w:r w:rsidRPr="00701626">
              <w:rPr>
                <w:rFonts w:cstheme="minorHAnsi"/>
                <w:lang w:val="en-US"/>
              </w:rPr>
              <w:t>Strong inducer of CYP3A4; moderate inducer of CYP2C9.</w:t>
            </w:r>
          </w:p>
        </w:tc>
        <w:tc>
          <w:tcPr>
            <w:tcW w:w="0" w:type="auto"/>
          </w:tcPr>
          <w:p w14:paraId="2993E5FD" w14:textId="77777777" w:rsidR="00D228B0" w:rsidRPr="00701626" w:rsidRDefault="00D228B0" w:rsidP="000C169C">
            <w:pPr>
              <w:spacing w:line="276" w:lineRule="auto"/>
              <w:contextualSpacing/>
              <w:rPr>
                <w:rFonts w:cstheme="minorHAnsi"/>
                <w:lang w:val="en-GB"/>
              </w:rPr>
            </w:pPr>
            <w:r w:rsidRPr="00701626">
              <w:rPr>
                <w:rFonts w:cstheme="minorHAnsi"/>
                <w:lang w:val="en-GB"/>
              </w:rPr>
              <w:t>Decreased warfarin concentrations (AUC reduced by 56% in healthy subjects). Higher variability. After discontinuation of enzalutamide, the effect of the interaction can persist for up to several weeks.</w:t>
            </w:r>
          </w:p>
          <w:p w14:paraId="29EAE1CB"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proofErr w:type="spellStart"/>
            <w:r w:rsidRPr="00701626">
              <w:rPr>
                <w:rFonts w:cstheme="minorHAnsi"/>
                <w:b/>
                <w:bCs/>
                <w:iCs/>
              </w:rPr>
              <w:t>thrombosis</w:t>
            </w:r>
            <w:proofErr w:type="spellEnd"/>
            <w:r w:rsidRPr="00701626">
              <w:rPr>
                <w:rFonts w:cstheme="minorHAnsi"/>
              </w:rPr>
              <w:t xml:space="preserve"> </w:t>
            </w:r>
          </w:p>
        </w:tc>
        <w:tc>
          <w:tcPr>
            <w:tcW w:w="0" w:type="auto"/>
          </w:tcPr>
          <w:p w14:paraId="32E4FC24"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15A9D14A"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2ECEC00D"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if possible</w:t>
            </w:r>
          </w:p>
          <w:p w14:paraId="4CAA8717" w14:textId="77777777" w:rsidR="00D228B0" w:rsidRPr="00701626" w:rsidRDefault="00D228B0" w:rsidP="000C169C">
            <w:pPr>
              <w:spacing w:line="276" w:lineRule="auto"/>
              <w:contextualSpacing/>
              <w:rPr>
                <w:rFonts w:cstheme="minorHAnsi"/>
                <w:lang w:val="en-GB"/>
              </w:rPr>
            </w:pPr>
            <w:r w:rsidRPr="00701626">
              <w:rPr>
                <w:rFonts w:cstheme="minorHAnsi"/>
                <w:lang w:val="en-GB"/>
              </w:rPr>
              <w:t>Consider DOAC (</w:t>
            </w:r>
            <w:proofErr w:type="spellStart"/>
            <w:r w:rsidRPr="00701626">
              <w:rPr>
                <w:rFonts w:cstheme="minorHAnsi"/>
                <w:lang w:val="en-GB"/>
              </w:rPr>
              <w:t>edoxaban</w:t>
            </w:r>
            <w:proofErr w:type="spellEnd"/>
            <w:r w:rsidRPr="00701626">
              <w:rPr>
                <w:rFonts w:cstheme="minorHAnsi"/>
                <w:lang w:val="en-GB"/>
              </w:rPr>
              <w:t xml:space="preserve">) or LMWH as alternatives to </w:t>
            </w:r>
            <w:proofErr w:type="gramStart"/>
            <w:r w:rsidRPr="00701626">
              <w:rPr>
                <w:rFonts w:cstheme="minorHAnsi"/>
                <w:lang w:val="en-GB"/>
              </w:rPr>
              <w:t xml:space="preserve">warfarin, </w:t>
            </w:r>
            <w:bookmarkStart w:id="4" w:name="_Hlk80085975"/>
            <w:r w:rsidRPr="00701626">
              <w:rPr>
                <w:rFonts w:cstheme="minorHAnsi"/>
                <w:lang w:val="en-GB"/>
              </w:rPr>
              <w:t>or</w:t>
            </w:r>
            <w:proofErr w:type="gramEnd"/>
            <w:r w:rsidRPr="00701626">
              <w:rPr>
                <w:rFonts w:cstheme="minorHAnsi"/>
                <w:lang w:val="en-GB"/>
              </w:rPr>
              <w:t xml:space="preserve"> monitor INR closely if warfarin is necessary.</w:t>
            </w:r>
            <w:bookmarkEnd w:id="4"/>
          </w:p>
        </w:tc>
      </w:tr>
      <w:tr w:rsidR="00D228B0" w:rsidRPr="005649EC" w14:paraId="20E1473E" w14:textId="77777777" w:rsidTr="000C169C">
        <w:trPr>
          <w:trHeight w:val="299"/>
        </w:trPr>
        <w:tc>
          <w:tcPr>
            <w:tcW w:w="0" w:type="auto"/>
            <w:shd w:val="clear" w:color="auto" w:fill="C00000"/>
          </w:tcPr>
          <w:p w14:paraId="2EDF07EB" w14:textId="77777777" w:rsidR="00D228B0" w:rsidRPr="00701626" w:rsidRDefault="00D228B0" w:rsidP="000C169C">
            <w:pPr>
              <w:spacing w:line="276" w:lineRule="auto"/>
              <w:contextualSpacing/>
              <w:rPr>
                <w:rFonts w:cstheme="minorHAnsi"/>
                <w:b/>
                <w:bCs/>
                <w:i/>
                <w:color w:val="FFFFFF" w:themeColor="background1"/>
              </w:rPr>
            </w:pPr>
            <w:proofErr w:type="spellStart"/>
            <w:r w:rsidRPr="00701626">
              <w:rPr>
                <w:rFonts w:cstheme="minorHAnsi"/>
                <w:b/>
                <w:bCs/>
                <w:i/>
                <w:color w:val="FFFFFF" w:themeColor="background1"/>
              </w:rPr>
              <w:t>Sotorasib</w:t>
            </w:r>
            <w:proofErr w:type="spellEnd"/>
          </w:p>
        </w:tc>
        <w:tc>
          <w:tcPr>
            <w:tcW w:w="0" w:type="auto"/>
          </w:tcPr>
          <w:p w14:paraId="3D3F9B9C" w14:textId="77777777" w:rsidR="00D228B0" w:rsidRPr="00701626" w:rsidRDefault="00D228B0" w:rsidP="000C169C">
            <w:pPr>
              <w:spacing w:line="276" w:lineRule="auto"/>
              <w:contextualSpacing/>
              <w:rPr>
                <w:rFonts w:cstheme="minorHAnsi"/>
                <w:lang w:val="en-GB"/>
              </w:rPr>
            </w:pPr>
            <w:r w:rsidRPr="00701626">
              <w:rPr>
                <w:rFonts w:cstheme="minorHAnsi"/>
                <w:lang w:val="en-GB"/>
              </w:rPr>
              <w:t>Time-dependent inhibitor and inducer of CYP3A.</w:t>
            </w:r>
          </w:p>
          <w:p w14:paraId="4C419653" w14:textId="77777777" w:rsidR="00D228B0" w:rsidRPr="00701626" w:rsidRDefault="00D228B0" w:rsidP="000C169C">
            <w:pPr>
              <w:spacing w:line="276" w:lineRule="auto"/>
              <w:contextualSpacing/>
              <w:rPr>
                <w:rFonts w:cstheme="minorHAnsi"/>
                <w:lang w:val="en-GB"/>
              </w:rPr>
            </w:pPr>
          </w:p>
        </w:tc>
        <w:tc>
          <w:tcPr>
            <w:tcW w:w="0" w:type="auto"/>
          </w:tcPr>
          <w:p w14:paraId="0B30C227"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According to the US drug label, warfarin concentrations may decrease </w:t>
            </w:r>
          </w:p>
          <w:p w14:paraId="6894F708"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proofErr w:type="spellStart"/>
            <w:r w:rsidRPr="00701626">
              <w:rPr>
                <w:rFonts w:cstheme="minorHAnsi"/>
                <w:b/>
                <w:bCs/>
                <w:iCs/>
              </w:rPr>
              <w:t>thrombosis</w:t>
            </w:r>
            <w:proofErr w:type="spellEnd"/>
            <w:r w:rsidRPr="00701626">
              <w:rPr>
                <w:rFonts w:cstheme="minorHAnsi"/>
              </w:rPr>
              <w:t xml:space="preserve"> </w:t>
            </w:r>
          </w:p>
          <w:p w14:paraId="35D5D5D5" w14:textId="77777777" w:rsidR="00D228B0" w:rsidRPr="00701626" w:rsidRDefault="00D228B0" w:rsidP="000C169C">
            <w:pPr>
              <w:spacing w:line="276" w:lineRule="auto"/>
              <w:contextualSpacing/>
              <w:rPr>
                <w:rFonts w:cstheme="minorHAnsi"/>
              </w:rPr>
            </w:pPr>
          </w:p>
        </w:tc>
        <w:tc>
          <w:tcPr>
            <w:tcW w:w="0" w:type="auto"/>
          </w:tcPr>
          <w:p w14:paraId="677923BE"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2D5D2849"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69DF4073"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if possible</w:t>
            </w:r>
          </w:p>
          <w:p w14:paraId="34B86401"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LMWH as an alternative to warfarin, or continue warfarin and monitor INR more often </w:t>
            </w:r>
          </w:p>
        </w:tc>
      </w:tr>
      <w:tr w:rsidR="00D228B0" w:rsidRPr="005649EC" w14:paraId="576F73FE" w14:textId="77777777" w:rsidTr="000C169C">
        <w:trPr>
          <w:trHeight w:val="299"/>
        </w:trPr>
        <w:tc>
          <w:tcPr>
            <w:tcW w:w="0" w:type="auto"/>
            <w:shd w:val="clear" w:color="auto" w:fill="C00000"/>
          </w:tcPr>
          <w:p w14:paraId="7D76D6EF" w14:textId="77777777" w:rsidR="00D228B0" w:rsidRPr="00701626" w:rsidRDefault="00D228B0" w:rsidP="000C169C">
            <w:pPr>
              <w:spacing w:line="276" w:lineRule="auto"/>
              <w:contextualSpacing/>
              <w:rPr>
                <w:rFonts w:cstheme="minorHAnsi"/>
                <w:b/>
                <w:bCs/>
                <w:i/>
                <w:color w:val="FFFFFF" w:themeColor="background1"/>
              </w:rPr>
            </w:pPr>
            <w:bookmarkStart w:id="5" w:name="_Hlk79831668"/>
            <w:proofErr w:type="spellStart"/>
            <w:r w:rsidRPr="00701626">
              <w:rPr>
                <w:rFonts w:cstheme="minorHAnsi"/>
                <w:b/>
                <w:bCs/>
                <w:i/>
                <w:color w:val="FFFFFF" w:themeColor="background1"/>
              </w:rPr>
              <w:t>Idelalisib</w:t>
            </w:r>
            <w:proofErr w:type="spellEnd"/>
          </w:p>
        </w:tc>
        <w:tc>
          <w:tcPr>
            <w:tcW w:w="0" w:type="auto"/>
          </w:tcPr>
          <w:p w14:paraId="53207E9E" w14:textId="77777777" w:rsidR="00D228B0" w:rsidRPr="00701626" w:rsidRDefault="00D228B0" w:rsidP="000C169C">
            <w:pPr>
              <w:spacing w:line="276" w:lineRule="auto"/>
              <w:contextualSpacing/>
              <w:rPr>
                <w:rFonts w:cstheme="minorHAnsi"/>
                <w:lang w:val="en-GB"/>
              </w:rPr>
            </w:pPr>
            <w:r w:rsidRPr="00701626">
              <w:rPr>
                <w:rFonts w:cstheme="minorHAnsi"/>
                <w:lang w:val="en-US"/>
              </w:rPr>
              <w:t xml:space="preserve">Primary metabolite of </w:t>
            </w:r>
            <w:proofErr w:type="spellStart"/>
            <w:r w:rsidRPr="00701626">
              <w:rPr>
                <w:rFonts w:cstheme="minorHAnsi"/>
                <w:lang w:val="en-US"/>
              </w:rPr>
              <w:t>idelalisib</w:t>
            </w:r>
            <w:proofErr w:type="spellEnd"/>
            <w:r w:rsidRPr="00701626">
              <w:rPr>
                <w:rFonts w:cstheme="minorHAnsi"/>
                <w:lang w:val="en-US"/>
              </w:rPr>
              <w:t xml:space="preserve"> (GS-563117): strong inhibitor of CYP3A4 </w:t>
            </w:r>
          </w:p>
        </w:tc>
        <w:tc>
          <w:tcPr>
            <w:tcW w:w="0" w:type="auto"/>
          </w:tcPr>
          <w:p w14:paraId="20A64D8A" w14:textId="77777777" w:rsidR="00D228B0" w:rsidRPr="00701626" w:rsidRDefault="00D228B0" w:rsidP="000C169C">
            <w:pPr>
              <w:spacing w:line="276" w:lineRule="auto"/>
              <w:contextualSpacing/>
              <w:rPr>
                <w:rFonts w:cstheme="minorHAnsi"/>
                <w:lang w:val="en-GB"/>
              </w:rPr>
            </w:pPr>
            <w:r w:rsidRPr="00701626">
              <w:rPr>
                <w:rFonts w:cstheme="minorHAnsi"/>
                <w:lang w:val="en-GB"/>
              </w:rPr>
              <w:t>May significantly increase concentrations of warfarin</w:t>
            </w:r>
          </w:p>
          <w:p w14:paraId="26F96E51"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proofErr w:type="spellStart"/>
            <w:r w:rsidRPr="00701626">
              <w:rPr>
                <w:rFonts w:cstheme="minorHAnsi"/>
                <w:b/>
                <w:bCs/>
              </w:rPr>
              <w:t>bleeding</w:t>
            </w:r>
            <w:proofErr w:type="spellEnd"/>
          </w:p>
        </w:tc>
        <w:tc>
          <w:tcPr>
            <w:tcW w:w="0" w:type="auto"/>
          </w:tcPr>
          <w:p w14:paraId="4A09E255"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783CA699"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49D045F9"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if possible</w:t>
            </w:r>
          </w:p>
          <w:p w14:paraId="56194E2D"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DOAC (dabigatran, </w:t>
            </w:r>
            <w:proofErr w:type="spellStart"/>
            <w:r w:rsidRPr="00701626">
              <w:rPr>
                <w:rFonts w:cstheme="minorHAnsi"/>
                <w:lang w:val="en-GB"/>
              </w:rPr>
              <w:t>edoxaban</w:t>
            </w:r>
            <w:proofErr w:type="spellEnd"/>
            <w:r w:rsidRPr="00701626">
              <w:rPr>
                <w:rFonts w:cstheme="minorHAnsi"/>
                <w:lang w:val="en-GB"/>
              </w:rPr>
              <w:t>) or LMWH as an alternative to warfarin,</w:t>
            </w:r>
            <w:r w:rsidRPr="00701626" w:rsidDel="001C6179">
              <w:rPr>
                <w:rFonts w:cstheme="minorHAnsi"/>
                <w:lang w:val="en-GB"/>
              </w:rPr>
              <w:t xml:space="preserve"> </w:t>
            </w:r>
            <w:r w:rsidRPr="00701626">
              <w:rPr>
                <w:rFonts w:cstheme="minorHAnsi"/>
                <w:lang w:val="en-GB"/>
              </w:rPr>
              <w:t xml:space="preserve">or </w:t>
            </w:r>
          </w:p>
          <w:p w14:paraId="23D903B1" w14:textId="77777777" w:rsidR="00D228B0" w:rsidRPr="00701626" w:rsidRDefault="00D228B0" w:rsidP="000C169C">
            <w:pPr>
              <w:spacing w:line="276" w:lineRule="auto"/>
              <w:contextualSpacing/>
              <w:rPr>
                <w:rFonts w:cstheme="minorHAnsi"/>
                <w:lang w:val="en-GB"/>
              </w:rPr>
            </w:pPr>
            <w:r w:rsidRPr="00701626">
              <w:rPr>
                <w:rFonts w:cstheme="minorHAnsi"/>
                <w:lang w:val="en-GB"/>
              </w:rPr>
              <w:lastRenderedPageBreak/>
              <w:t xml:space="preserve">continue warfarin and monitor INR more often, even following cessation of </w:t>
            </w:r>
            <w:proofErr w:type="spellStart"/>
            <w:r w:rsidRPr="00701626">
              <w:rPr>
                <w:rFonts w:cstheme="minorHAnsi"/>
                <w:lang w:val="en-GB"/>
              </w:rPr>
              <w:t>idelalisib</w:t>
            </w:r>
            <w:proofErr w:type="spellEnd"/>
            <w:r w:rsidRPr="00701626">
              <w:rPr>
                <w:rFonts w:cstheme="minorHAnsi"/>
                <w:lang w:val="en-GB"/>
              </w:rPr>
              <w:t>.</w:t>
            </w:r>
          </w:p>
        </w:tc>
      </w:tr>
      <w:bookmarkEnd w:id="5"/>
      <w:tr w:rsidR="00D228B0" w:rsidRPr="005649EC" w14:paraId="5ACBFD40" w14:textId="77777777" w:rsidTr="000C169C">
        <w:trPr>
          <w:trHeight w:val="299"/>
        </w:trPr>
        <w:tc>
          <w:tcPr>
            <w:tcW w:w="0" w:type="auto"/>
            <w:shd w:val="clear" w:color="auto" w:fill="FFC000"/>
          </w:tcPr>
          <w:p w14:paraId="69C1B72E"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lastRenderedPageBreak/>
              <w:t>Dabrafenib</w:t>
            </w:r>
            <w:proofErr w:type="spellEnd"/>
          </w:p>
        </w:tc>
        <w:tc>
          <w:tcPr>
            <w:tcW w:w="0" w:type="auto"/>
          </w:tcPr>
          <w:p w14:paraId="479D4CBB"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Inducer of CYP3A4 and CYP2C9. </w:t>
            </w:r>
          </w:p>
          <w:p w14:paraId="789586C9" w14:textId="77777777" w:rsidR="00D228B0" w:rsidRPr="00701626" w:rsidRDefault="00D228B0" w:rsidP="000C169C">
            <w:pPr>
              <w:spacing w:line="276" w:lineRule="auto"/>
              <w:contextualSpacing/>
              <w:rPr>
                <w:rFonts w:cstheme="minorHAnsi"/>
                <w:lang w:val="en-US"/>
              </w:rPr>
            </w:pPr>
          </w:p>
        </w:tc>
        <w:tc>
          <w:tcPr>
            <w:tcW w:w="0" w:type="auto"/>
          </w:tcPr>
          <w:p w14:paraId="1B60B998" w14:textId="77777777" w:rsidR="00D228B0" w:rsidRPr="00701626" w:rsidRDefault="00D228B0" w:rsidP="000C169C">
            <w:pPr>
              <w:spacing w:line="276" w:lineRule="auto"/>
              <w:contextualSpacing/>
              <w:rPr>
                <w:rFonts w:cstheme="minorHAnsi"/>
                <w:lang w:val="en-US"/>
              </w:rPr>
            </w:pPr>
            <w:r w:rsidRPr="00701626">
              <w:rPr>
                <w:rFonts w:cstheme="minorHAnsi"/>
                <w:lang w:val="en-US"/>
              </w:rPr>
              <w:t>In patients with BRAF V600 positive tumors, coadministration of warfarin (single dose of 15 mg) decreased S- and R- warfarin AUC by 37% and 33%, respectively.</w:t>
            </w:r>
          </w:p>
          <w:p w14:paraId="68BCB756"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proofErr w:type="spellStart"/>
            <w:r w:rsidRPr="00701626">
              <w:rPr>
                <w:rFonts w:cstheme="minorHAnsi"/>
                <w:b/>
                <w:bCs/>
                <w:iCs/>
              </w:rPr>
              <w:t>thrombosis</w:t>
            </w:r>
            <w:proofErr w:type="spellEnd"/>
            <w:r w:rsidRPr="00701626">
              <w:rPr>
                <w:rFonts w:cstheme="minorHAnsi"/>
              </w:rPr>
              <w:t xml:space="preserve"> </w:t>
            </w:r>
          </w:p>
        </w:tc>
        <w:tc>
          <w:tcPr>
            <w:tcW w:w="0" w:type="auto"/>
          </w:tcPr>
          <w:p w14:paraId="2AD24425" w14:textId="77777777" w:rsidR="00D228B0" w:rsidRPr="00701626" w:rsidRDefault="00D228B0" w:rsidP="000C169C">
            <w:pPr>
              <w:spacing w:line="276" w:lineRule="auto"/>
              <w:contextualSpacing/>
              <w:rPr>
                <w:rFonts w:cstheme="minorHAnsi"/>
              </w:rPr>
            </w:pPr>
            <w:proofErr w:type="spellStart"/>
            <w:r w:rsidRPr="00701626">
              <w:rPr>
                <w:rFonts w:cstheme="minorHAnsi"/>
              </w:rPr>
              <w:t>Unlikely</w:t>
            </w:r>
            <w:proofErr w:type="spellEnd"/>
          </w:p>
        </w:tc>
        <w:tc>
          <w:tcPr>
            <w:tcW w:w="0" w:type="auto"/>
          </w:tcPr>
          <w:p w14:paraId="5F8D1A7A"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Moderated interaction:</w:t>
            </w:r>
          </w:p>
          <w:p w14:paraId="433DAEC2" w14:textId="77777777" w:rsidR="00D228B0" w:rsidRPr="00701626" w:rsidRDefault="00D228B0" w:rsidP="000C169C">
            <w:pPr>
              <w:spacing w:line="276" w:lineRule="auto"/>
              <w:contextualSpacing/>
              <w:rPr>
                <w:rFonts w:cstheme="minorHAnsi"/>
                <w:b/>
                <w:bCs/>
                <w:lang w:val="en-US"/>
              </w:rPr>
            </w:pPr>
            <w:r w:rsidRPr="00701626">
              <w:rPr>
                <w:rFonts w:cstheme="minorHAnsi"/>
                <w:b/>
                <w:bCs/>
                <w:color w:val="FF9900"/>
                <w:lang w:val="en-US"/>
              </w:rPr>
              <w:t>CAUTION</w:t>
            </w:r>
            <w:r w:rsidRPr="00701626">
              <w:rPr>
                <w:rFonts w:cstheme="minorHAnsi"/>
                <w:b/>
                <w:bCs/>
                <w:lang w:val="en-US"/>
              </w:rPr>
              <w:t xml:space="preserve"> </w:t>
            </w:r>
          </w:p>
          <w:p w14:paraId="30662CA8"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DOAC (dabigatran, </w:t>
            </w:r>
            <w:proofErr w:type="spellStart"/>
            <w:r w:rsidRPr="00701626">
              <w:rPr>
                <w:rFonts w:cstheme="minorHAnsi"/>
                <w:lang w:val="en-GB"/>
              </w:rPr>
              <w:t>edoxaban</w:t>
            </w:r>
            <w:proofErr w:type="spellEnd"/>
            <w:r w:rsidRPr="00701626">
              <w:rPr>
                <w:rFonts w:cstheme="minorHAnsi"/>
                <w:lang w:val="en-GB"/>
              </w:rPr>
              <w:t>, rivaroxaban) or LMWH as an alternative to warfarin, or continue warfarin and monitor INR closely</w:t>
            </w:r>
          </w:p>
        </w:tc>
      </w:tr>
      <w:tr w:rsidR="00D228B0" w:rsidRPr="005649EC" w14:paraId="5D7EB1DD" w14:textId="77777777" w:rsidTr="000C169C">
        <w:trPr>
          <w:trHeight w:val="299"/>
        </w:trPr>
        <w:tc>
          <w:tcPr>
            <w:tcW w:w="0" w:type="auto"/>
            <w:shd w:val="clear" w:color="auto" w:fill="FFC000"/>
          </w:tcPr>
          <w:p w14:paraId="5EBF6062"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Capecitabine</w:t>
            </w:r>
            <w:proofErr w:type="spellEnd"/>
          </w:p>
        </w:tc>
        <w:tc>
          <w:tcPr>
            <w:tcW w:w="0" w:type="auto"/>
          </w:tcPr>
          <w:p w14:paraId="6EE16B29" w14:textId="77777777" w:rsidR="00D228B0" w:rsidRPr="00701626" w:rsidRDefault="00D228B0" w:rsidP="000C169C">
            <w:pPr>
              <w:spacing w:line="276" w:lineRule="auto"/>
              <w:contextualSpacing/>
              <w:rPr>
                <w:rFonts w:cstheme="minorHAnsi"/>
                <w:lang w:val="en-US"/>
              </w:rPr>
            </w:pPr>
            <w:r w:rsidRPr="00701626">
              <w:rPr>
                <w:rFonts w:cstheme="minorHAnsi"/>
                <w:lang w:val="en-US"/>
              </w:rPr>
              <w:t>Moderate-to-strong inhibitor of CYP2C9</w:t>
            </w:r>
          </w:p>
        </w:tc>
        <w:tc>
          <w:tcPr>
            <w:tcW w:w="0" w:type="auto"/>
          </w:tcPr>
          <w:p w14:paraId="58D902BF" w14:textId="77777777" w:rsidR="00D228B0" w:rsidRPr="00701626" w:rsidRDefault="00D228B0" w:rsidP="000C169C">
            <w:pPr>
              <w:spacing w:line="276" w:lineRule="auto"/>
              <w:contextualSpacing/>
              <w:rPr>
                <w:rFonts w:cstheme="minorHAnsi"/>
                <w:lang w:val="en-US"/>
              </w:rPr>
            </w:pPr>
            <w:r w:rsidRPr="00701626">
              <w:rPr>
                <w:rFonts w:cstheme="minorHAnsi"/>
                <w:lang w:val="en-US"/>
              </w:rPr>
              <w:t>Increased concentrations of</w:t>
            </w:r>
          </w:p>
          <w:p w14:paraId="184B4729"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warfarin, enhanced anticoagulant activity. In patients with cancer, coadministration of capecitabine and warfarin increased S-warfarin AUC by 57% but not </w:t>
            </w:r>
            <w:proofErr w:type="spellStart"/>
            <w:r w:rsidRPr="00701626">
              <w:rPr>
                <w:rFonts w:cstheme="minorHAnsi"/>
                <w:lang w:val="en-US"/>
              </w:rPr>
              <w:t>Cmax</w:t>
            </w:r>
            <w:proofErr w:type="spellEnd"/>
            <w:r w:rsidRPr="00701626">
              <w:rPr>
                <w:rFonts w:cstheme="minorHAnsi"/>
                <w:lang w:val="en-US"/>
              </w:rPr>
              <w:t>.</w:t>
            </w:r>
          </w:p>
          <w:p w14:paraId="1AF5A758" w14:textId="77777777" w:rsidR="00D228B0" w:rsidRPr="00701626" w:rsidRDefault="00D228B0" w:rsidP="000C169C">
            <w:pPr>
              <w:spacing w:line="276" w:lineRule="auto"/>
              <w:contextualSpacing/>
              <w:rPr>
                <w:rFonts w:cstheme="minorHAnsi"/>
                <w:lang w:val="en-US"/>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bleeding</w:t>
            </w:r>
            <w:r w:rsidRPr="00701626">
              <w:rPr>
                <w:rFonts w:cstheme="minorHAnsi"/>
                <w:lang w:val="en-US"/>
              </w:rPr>
              <w:t xml:space="preserve"> </w:t>
            </w:r>
          </w:p>
        </w:tc>
        <w:tc>
          <w:tcPr>
            <w:tcW w:w="0" w:type="auto"/>
          </w:tcPr>
          <w:p w14:paraId="5D219E54"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6DC3E1AB"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0EB53F35" w14:textId="77777777" w:rsidR="00D228B0" w:rsidRPr="00701626" w:rsidRDefault="00D228B0" w:rsidP="000C169C">
            <w:pPr>
              <w:spacing w:line="276" w:lineRule="auto"/>
              <w:contextualSpacing/>
              <w:rPr>
                <w:rFonts w:cstheme="minorHAnsi"/>
                <w:b/>
                <w:bCs/>
                <w:lang w:val="en-US"/>
              </w:rPr>
            </w:pPr>
            <w:r w:rsidRPr="00701626">
              <w:rPr>
                <w:rFonts w:cstheme="minorHAnsi"/>
                <w:b/>
                <w:bCs/>
                <w:color w:val="FF9900"/>
                <w:lang w:val="en-US"/>
              </w:rPr>
              <w:t>CAUTION</w:t>
            </w:r>
            <w:r w:rsidRPr="00701626">
              <w:rPr>
                <w:rFonts w:cstheme="minorHAnsi"/>
                <w:b/>
                <w:bCs/>
                <w:lang w:val="en-US"/>
              </w:rPr>
              <w:t xml:space="preserve"> </w:t>
            </w:r>
          </w:p>
          <w:p w14:paraId="5A467EE3" w14:textId="77777777" w:rsidR="00D228B0" w:rsidRPr="00701626" w:rsidRDefault="00D228B0" w:rsidP="000C169C">
            <w:pPr>
              <w:spacing w:line="276" w:lineRule="auto"/>
              <w:contextualSpacing/>
              <w:rPr>
                <w:rFonts w:cstheme="minorHAnsi"/>
                <w:lang w:val="en-GB"/>
              </w:rPr>
            </w:pPr>
            <w:r w:rsidRPr="00701626">
              <w:rPr>
                <w:rFonts w:cstheme="minorHAnsi"/>
                <w:lang w:val="en-GB"/>
              </w:rPr>
              <w:t>Consider DOAC (all) or LMWH as an alternative to warfarin, or continue warfarin and monitor INR closely</w:t>
            </w:r>
          </w:p>
        </w:tc>
      </w:tr>
      <w:tr w:rsidR="00D228B0" w:rsidRPr="005649EC" w14:paraId="7D489F0F" w14:textId="77777777" w:rsidTr="000C169C">
        <w:trPr>
          <w:trHeight w:val="299"/>
        </w:trPr>
        <w:tc>
          <w:tcPr>
            <w:tcW w:w="0" w:type="auto"/>
            <w:shd w:val="clear" w:color="auto" w:fill="FFC000"/>
          </w:tcPr>
          <w:p w14:paraId="607A5E99" w14:textId="77777777" w:rsidR="00D228B0" w:rsidRPr="00701626" w:rsidRDefault="00D228B0" w:rsidP="000C169C">
            <w:pPr>
              <w:spacing w:line="276" w:lineRule="auto"/>
              <w:contextualSpacing/>
              <w:rPr>
                <w:rFonts w:cstheme="minorHAnsi"/>
                <w:b/>
                <w:bCs/>
                <w:i/>
              </w:rPr>
            </w:pPr>
            <w:r w:rsidRPr="00701626">
              <w:rPr>
                <w:rFonts w:cstheme="minorHAnsi"/>
                <w:b/>
                <w:bCs/>
                <w:i/>
              </w:rPr>
              <w:t>5-fluorouracile</w:t>
            </w:r>
          </w:p>
        </w:tc>
        <w:tc>
          <w:tcPr>
            <w:tcW w:w="0" w:type="auto"/>
          </w:tcPr>
          <w:p w14:paraId="518C0253"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May inhibit CYP2C9 </w:t>
            </w:r>
          </w:p>
        </w:tc>
        <w:tc>
          <w:tcPr>
            <w:tcW w:w="0" w:type="auto"/>
          </w:tcPr>
          <w:p w14:paraId="034215D4" w14:textId="77777777" w:rsidR="00D228B0" w:rsidRPr="00701626" w:rsidRDefault="00D228B0" w:rsidP="000C169C">
            <w:pPr>
              <w:spacing w:line="276" w:lineRule="auto"/>
              <w:contextualSpacing/>
              <w:rPr>
                <w:rFonts w:cstheme="minorHAnsi"/>
                <w:lang w:val="en-US"/>
              </w:rPr>
            </w:pPr>
            <w:r w:rsidRPr="00701626">
              <w:rPr>
                <w:rFonts w:cstheme="minorHAnsi"/>
                <w:lang w:val="en-US"/>
              </w:rPr>
              <w:t>Increase concentrations of warfarin.</w:t>
            </w:r>
          </w:p>
          <w:p w14:paraId="194C1A2B" w14:textId="77777777" w:rsidR="00D228B0" w:rsidRPr="00701626" w:rsidRDefault="00D228B0" w:rsidP="000C169C">
            <w:pPr>
              <w:spacing w:line="276" w:lineRule="auto"/>
              <w:contextualSpacing/>
              <w:rPr>
                <w:rFonts w:cstheme="minorHAnsi"/>
                <w:lang w:val="en-US"/>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US"/>
              </w:rPr>
              <w:t>bleeding</w:t>
            </w:r>
          </w:p>
        </w:tc>
        <w:tc>
          <w:tcPr>
            <w:tcW w:w="0" w:type="auto"/>
          </w:tcPr>
          <w:p w14:paraId="1794A749"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3CE266D3"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548F752F" w14:textId="77777777" w:rsidR="00D228B0" w:rsidRPr="00701626" w:rsidRDefault="00D228B0" w:rsidP="000C169C">
            <w:pPr>
              <w:spacing w:line="276" w:lineRule="auto"/>
              <w:contextualSpacing/>
              <w:rPr>
                <w:rFonts w:cstheme="minorHAnsi"/>
                <w:b/>
                <w:bCs/>
                <w:lang w:val="en-US"/>
              </w:rPr>
            </w:pPr>
            <w:r w:rsidRPr="00701626">
              <w:rPr>
                <w:rFonts w:cstheme="minorHAnsi"/>
                <w:b/>
                <w:bCs/>
                <w:color w:val="FF9900"/>
                <w:lang w:val="en-US"/>
              </w:rPr>
              <w:t>CAUTION</w:t>
            </w:r>
            <w:r w:rsidRPr="00701626">
              <w:rPr>
                <w:rFonts w:cstheme="minorHAnsi"/>
                <w:b/>
                <w:bCs/>
                <w:lang w:val="en-US"/>
              </w:rPr>
              <w:t xml:space="preserve"> </w:t>
            </w:r>
          </w:p>
          <w:p w14:paraId="1E8F5F52" w14:textId="77777777" w:rsidR="00D228B0" w:rsidRPr="00701626" w:rsidRDefault="00D228B0" w:rsidP="000C169C">
            <w:pPr>
              <w:spacing w:line="276" w:lineRule="auto"/>
              <w:contextualSpacing/>
              <w:rPr>
                <w:rFonts w:cstheme="minorHAnsi"/>
                <w:lang w:val="en-GB"/>
              </w:rPr>
            </w:pPr>
            <w:r w:rsidRPr="00701626">
              <w:rPr>
                <w:rFonts w:cstheme="minorHAnsi"/>
                <w:lang w:val="en-US"/>
              </w:rPr>
              <w:t>Closely monitor INR</w:t>
            </w:r>
          </w:p>
        </w:tc>
      </w:tr>
      <w:tr w:rsidR="00D228B0" w:rsidRPr="00701626" w14:paraId="50BA7E40" w14:textId="77777777" w:rsidTr="000C169C">
        <w:trPr>
          <w:trHeight w:val="299"/>
        </w:trPr>
        <w:tc>
          <w:tcPr>
            <w:tcW w:w="0" w:type="auto"/>
            <w:shd w:val="clear" w:color="auto" w:fill="FFC000"/>
          </w:tcPr>
          <w:p w14:paraId="660AED38" w14:textId="77777777" w:rsidR="00D228B0" w:rsidRPr="00701626" w:rsidRDefault="00D228B0" w:rsidP="000C169C">
            <w:pPr>
              <w:spacing w:line="276" w:lineRule="auto"/>
              <w:contextualSpacing/>
              <w:rPr>
                <w:rFonts w:cstheme="minorHAnsi"/>
                <w:b/>
                <w:bCs/>
                <w:i/>
                <w:lang w:val="en-US"/>
              </w:rPr>
            </w:pPr>
            <w:r w:rsidRPr="00701626">
              <w:rPr>
                <w:rFonts w:cstheme="minorHAnsi"/>
                <w:b/>
                <w:bCs/>
                <w:i/>
                <w:lang w:val="en-US"/>
              </w:rPr>
              <w:t>Sunitinib</w:t>
            </w:r>
          </w:p>
          <w:p w14:paraId="4C3B7767" w14:textId="77777777" w:rsidR="00D228B0" w:rsidRPr="00701626" w:rsidRDefault="00D228B0" w:rsidP="000C169C">
            <w:pPr>
              <w:spacing w:line="276" w:lineRule="auto"/>
              <w:contextualSpacing/>
              <w:rPr>
                <w:rFonts w:cstheme="minorHAnsi"/>
                <w:b/>
                <w:bCs/>
                <w:i/>
                <w:lang w:val="en-US"/>
              </w:rPr>
            </w:pPr>
            <w:r w:rsidRPr="00701626">
              <w:rPr>
                <w:rFonts w:cstheme="minorHAnsi"/>
                <w:b/>
                <w:bCs/>
                <w:i/>
                <w:lang w:val="en-US"/>
              </w:rPr>
              <w:t>Sorafenib</w:t>
            </w:r>
          </w:p>
        </w:tc>
        <w:tc>
          <w:tcPr>
            <w:tcW w:w="0" w:type="auto"/>
          </w:tcPr>
          <w:p w14:paraId="20608023" w14:textId="77777777" w:rsidR="00D228B0" w:rsidRPr="00701626" w:rsidRDefault="00D228B0" w:rsidP="000C169C">
            <w:pPr>
              <w:spacing w:line="276" w:lineRule="auto"/>
              <w:contextualSpacing/>
              <w:rPr>
                <w:rFonts w:cstheme="minorHAnsi"/>
                <w:lang w:val="en-GB"/>
              </w:rPr>
            </w:pPr>
            <w:r w:rsidRPr="00701626">
              <w:rPr>
                <w:rFonts w:cstheme="minorHAnsi"/>
                <w:lang w:val="en-GB"/>
              </w:rPr>
              <w:t>No effect on CYP-450s</w:t>
            </w:r>
          </w:p>
        </w:tc>
        <w:tc>
          <w:tcPr>
            <w:tcW w:w="0" w:type="auto"/>
          </w:tcPr>
          <w:p w14:paraId="312090C3"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bleeding</w:t>
            </w:r>
          </w:p>
        </w:tc>
        <w:tc>
          <w:tcPr>
            <w:tcW w:w="0" w:type="auto"/>
          </w:tcPr>
          <w:p w14:paraId="495E5EB5"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446425BD"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CAUTION</w:t>
            </w:r>
          </w:p>
          <w:p w14:paraId="51089149" w14:textId="77777777" w:rsidR="00D228B0" w:rsidRPr="00701626" w:rsidRDefault="00D228B0" w:rsidP="000C169C">
            <w:pPr>
              <w:spacing w:line="276" w:lineRule="auto"/>
              <w:contextualSpacing/>
              <w:rPr>
                <w:rFonts w:cstheme="minorHAnsi"/>
                <w:lang w:val="en-US"/>
              </w:rPr>
            </w:pPr>
            <w:r w:rsidRPr="00701626">
              <w:rPr>
                <w:rFonts w:cstheme="minorHAnsi"/>
                <w:lang w:val="en-US"/>
              </w:rPr>
              <w:t>Monitor bleeding symptoms</w:t>
            </w:r>
          </w:p>
        </w:tc>
      </w:tr>
      <w:tr w:rsidR="00D228B0" w:rsidRPr="00701626" w14:paraId="29E32AC2" w14:textId="77777777" w:rsidTr="000C169C">
        <w:trPr>
          <w:trHeight w:val="299"/>
        </w:trPr>
        <w:tc>
          <w:tcPr>
            <w:tcW w:w="0" w:type="auto"/>
            <w:shd w:val="clear" w:color="auto" w:fill="F2F2F2" w:themeFill="background1" w:themeFillShade="F2"/>
          </w:tcPr>
          <w:p w14:paraId="1D8A4A33" w14:textId="77777777" w:rsidR="00D228B0" w:rsidRPr="00701626" w:rsidRDefault="00D228B0" w:rsidP="000C169C">
            <w:pPr>
              <w:spacing w:line="276" w:lineRule="auto"/>
              <w:contextualSpacing/>
              <w:rPr>
                <w:rFonts w:cstheme="minorHAnsi"/>
                <w:b/>
                <w:i/>
              </w:rPr>
            </w:pPr>
            <w:proofErr w:type="spellStart"/>
            <w:r w:rsidRPr="00701626">
              <w:rPr>
                <w:rFonts w:cstheme="minorHAnsi"/>
                <w:b/>
                <w:i/>
              </w:rPr>
              <w:t>Dabigatran</w:t>
            </w:r>
            <w:proofErr w:type="spellEnd"/>
            <w:r w:rsidRPr="00701626">
              <w:rPr>
                <w:rFonts w:cstheme="minorHAnsi"/>
                <w:b/>
                <w:i/>
              </w:rPr>
              <w:t xml:space="preserve"> plus…</w:t>
            </w:r>
          </w:p>
        </w:tc>
        <w:tc>
          <w:tcPr>
            <w:tcW w:w="0" w:type="auto"/>
            <w:shd w:val="clear" w:color="auto" w:fill="F2F2F2" w:themeFill="background1" w:themeFillShade="F2"/>
          </w:tcPr>
          <w:p w14:paraId="5D4D3E0C" w14:textId="77777777" w:rsidR="00D228B0" w:rsidRPr="00701626" w:rsidRDefault="00D228B0" w:rsidP="000C169C">
            <w:pPr>
              <w:spacing w:line="276" w:lineRule="auto"/>
              <w:contextualSpacing/>
              <w:rPr>
                <w:rFonts w:cstheme="minorHAnsi"/>
                <w:b/>
                <w:i/>
              </w:rPr>
            </w:pPr>
            <w:r w:rsidRPr="00701626">
              <w:rPr>
                <w:rFonts w:cstheme="minorHAnsi"/>
                <w:lang w:val="en-US"/>
              </w:rPr>
              <w:t>Substrate of P-</w:t>
            </w:r>
            <w:proofErr w:type="spellStart"/>
            <w:r w:rsidRPr="00701626">
              <w:rPr>
                <w:rFonts w:cstheme="minorHAnsi"/>
                <w:lang w:val="en-US"/>
              </w:rPr>
              <w:t>gp</w:t>
            </w:r>
            <w:proofErr w:type="spellEnd"/>
          </w:p>
        </w:tc>
        <w:tc>
          <w:tcPr>
            <w:tcW w:w="0" w:type="auto"/>
            <w:gridSpan w:val="3"/>
            <w:shd w:val="clear" w:color="auto" w:fill="F2F2F2" w:themeFill="background1" w:themeFillShade="F2"/>
          </w:tcPr>
          <w:p w14:paraId="7752430C" w14:textId="77777777" w:rsidR="00D228B0" w:rsidRPr="00701626" w:rsidRDefault="00D228B0" w:rsidP="000C169C">
            <w:pPr>
              <w:spacing w:line="276" w:lineRule="auto"/>
              <w:contextualSpacing/>
              <w:rPr>
                <w:rFonts w:cstheme="minorHAnsi"/>
                <w:b/>
                <w:i/>
              </w:rPr>
            </w:pPr>
          </w:p>
        </w:tc>
      </w:tr>
      <w:tr w:rsidR="00D228B0" w:rsidRPr="005649EC" w14:paraId="1A2261F1" w14:textId="77777777" w:rsidTr="000C169C">
        <w:trPr>
          <w:trHeight w:val="299"/>
        </w:trPr>
        <w:tc>
          <w:tcPr>
            <w:tcW w:w="0" w:type="auto"/>
            <w:shd w:val="clear" w:color="auto" w:fill="FFC000"/>
          </w:tcPr>
          <w:p w14:paraId="0AEC10A6"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Olaparib</w:t>
            </w:r>
            <w:proofErr w:type="spellEnd"/>
          </w:p>
          <w:p w14:paraId="1D475E50" w14:textId="77777777" w:rsidR="00D228B0" w:rsidRPr="00701626" w:rsidRDefault="00D228B0" w:rsidP="000C169C">
            <w:pPr>
              <w:spacing w:line="276" w:lineRule="auto"/>
              <w:contextualSpacing/>
              <w:rPr>
                <w:rFonts w:cstheme="minorHAnsi"/>
                <w:b/>
                <w:bCs/>
                <w:i/>
              </w:rPr>
            </w:pPr>
            <w:r w:rsidRPr="00701626">
              <w:rPr>
                <w:rFonts w:cstheme="minorHAnsi"/>
                <w:b/>
                <w:bCs/>
                <w:i/>
              </w:rPr>
              <w:t>Lapatinib</w:t>
            </w:r>
          </w:p>
          <w:p w14:paraId="55F9EAC5"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Sotorasib</w:t>
            </w:r>
            <w:proofErr w:type="spellEnd"/>
          </w:p>
        </w:tc>
        <w:tc>
          <w:tcPr>
            <w:tcW w:w="0" w:type="auto"/>
          </w:tcPr>
          <w:p w14:paraId="6FB05AE2" w14:textId="77777777" w:rsidR="00D228B0" w:rsidRPr="00701626" w:rsidRDefault="00D228B0" w:rsidP="000C169C">
            <w:pPr>
              <w:spacing w:line="276" w:lineRule="auto"/>
              <w:contextualSpacing/>
              <w:rPr>
                <w:rFonts w:cstheme="minorHAnsi"/>
              </w:rPr>
            </w:pPr>
            <w:r w:rsidRPr="00701626">
              <w:rPr>
                <w:rFonts w:cstheme="minorHAnsi"/>
                <w:lang w:val="en-US"/>
              </w:rPr>
              <w:t>P-</w:t>
            </w:r>
            <w:proofErr w:type="spellStart"/>
            <w:r w:rsidRPr="00701626">
              <w:rPr>
                <w:rFonts w:cstheme="minorHAnsi"/>
                <w:lang w:val="en-US"/>
              </w:rPr>
              <w:t>gp</w:t>
            </w:r>
            <w:proofErr w:type="spellEnd"/>
            <w:r w:rsidRPr="00701626">
              <w:rPr>
                <w:rFonts w:cstheme="minorHAnsi"/>
                <w:lang w:val="en-US"/>
              </w:rPr>
              <w:t xml:space="preserve"> inhibitors</w:t>
            </w:r>
          </w:p>
        </w:tc>
        <w:tc>
          <w:tcPr>
            <w:tcW w:w="0" w:type="auto"/>
          </w:tcPr>
          <w:p w14:paraId="5B9B8FB4" w14:textId="77777777" w:rsidR="00D228B0" w:rsidRPr="00701626" w:rsidRDefault="00D228B0" w:rsidP="000C169C">
            <w:pPr>
              <w:spacing w:line="276" w:lineRule="auto"/>
              <w:contextualSpacing/>
              <w:rPr>
                <w:rFonts w:cstheme="minorHAnsi"/>
                <w:lang w:val="en-US"/>
              </w:rPr>
            </w:pPr>
            <w:r w:rsidRPr="00701626">
              <w:rPr>
                <w:rFonts w:cstheme="minorHAnsi"/>
                <w:lang w:val="en-US"/>
              </w:rPr>
              <w:t>Possible increased dabigatran concentrations and consequent high inter-individual variability</w:t>
            </w:r>
          </w:p>
          <w:p w14:paraId="79E4D31D"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bleeding</w:t>
            </w:r>
          </w:p>
        </w:tc>
        <w:tc>
          <w:tcPr>
            <w:tcW w:w="0" w:type="auto"/>
          </w:tcPr>
          <w:p w14:paraId="5A8400DC" w14:textId="77777777" w:rsidR="00D228B0" w:rsidRPr="00701626" w:rsidRDefault="00D228B0" w:rsidP="000C169C">
            <w:pPr>
              <w:spacing w:line="276" w:lineRule="auto"/>
              <w:contextualSpacing/>
              <w:rPr>
                <w:rFonts w:cstheme="minorHAnsi"/>
              </w:rPr>
            </w:pPr>
            <w:proofErr w:type="spellStart"/>
            <w:r w:rsidRPr="00701626">
              <w:rPr>
                <w:rFonts w:cstheme="minorHAnsi"/>
              </w:rPr>
              <w:t>Unlikely</w:t>
            </w:r>
            <w:proofErr w:type="spellEnd"/>
          </w:p>
        </w:tc>
        <w:tc>
          <w:tcPr>
            <w:tcW w:w="0" w:type="auto"/>
          </w:tcPr>
          <w:p w14:paraId="1521E58B"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506FD55E" w14:textId="77777777" w:rsidR="00D228B0" w:rsidRPr="00701626" w:rsidRDefault="00D228B0" w:rsidP="000C169C">
            <w:pPr>
              <w:spacing w:line="276" w:lineRule="auto"/>
              <w:contextualSpacing/>
              <w:rPr>
                <w:rFonts w:cstheme="minorHAnsi"/>
                <w:b/>
                <w:bCs/>
                <w:lang w:val="en-US"/>
              </w:rPr>
            </w:pPr>
            <w:r w:rsidRPr="00701626">
              <w:rPr>
                <w:rFonts w:cstheme="minorHAnsi"/>
                <w:b/>
                <w:bCs/>
                <w:color w:val="FF9900"/>
                <w:lang w:val="en-US"/>
              </w:rPr>
              <w:t>CAUTION</w:t>
            </w:r>
            <w:r w:rsidRPr="00701626">
              <w:rPr>
                <w:rFonts w:cstheme="minorHAnsi"/>
                <w:b/>
                <w:bCs/>
                <w:lang w:val="en-US"/>
              </w:rPr>
              <w:t xml:space="preserve"> </w:t>
            </w:r>
          </w:p>
          <w:p w14:paraId="6D59691D" w14:textId="77777777" w:rsidR="00D228B0" w:rsidRPr="00701626" w:rsidRDefault="00D228B0" w:rsidP="000C169C">
            <w:pPr>
              <w:spacing w:line="276" w:lineRule="auto"/>
              <w:contextualSpacing/>
              <w:rPr>
                <w:rFonts w:cstheme="minorHAnsi"/>
                <w:lang w:val="en-US"/>
              </w:rPr>
            </w:pPr>
            <w:r w:rsidRPr="00701626">
              <w:rPr>
                <w:rFonts w:cstheme="minorHAnsi"/>
                <w:lang w:val="en-GB"/>
              </w:rPr>
              <w:t>Check for bleeding signs. Consider an alternative DOAC (apixaban, rivaroxaban).</w:t>
            </w:r>
            <w:r w:rsidRPr="00701626">
              <w:rPr>
                <w:rFonts w:cstheme="minorHAnsi"/>
                <w:lang w:val="en-US"/>
              </w:rPr>
              <w:t xml:space="preserve"> Measure ECT or </w:t>
            </w:r>
            <w:proofErr w:type="spellStart"/>
            <w:r w:rsidRPr="00701626">
              <w:rPr>
                <w:rFonts w:cstheme="minorHAnsi"/>
                <w:lang w:val="en-US"/>
              </w:rPr>
              <w:t>dTT</w:t>
            </w:r>
            <w:proofErr w:type="spellEnd"/>
            <w:r w:rsidRPr="00701626">
              <w:rPr>
                <w:rFonts w:cstheme="minorHAnsi"/>
                <w:lang w:val="en-US"/>
              </w:rPr>
              <w:t xml:space="preserve"> if co-administration </w:t>
            </w:r>
            <w:r w:rsidRPr="00701626">
              <w:rPr>
                <w:rFonts w:cstheme="minorHAnsi"/>
                <w:lang w:val="en-US"/>
              </w:rPr>
              <w:lastRenderedPageBreak/>
              <w:t>cannot be avoided, in case of bleeding or high-degree TP, if available.</w:t>
            </w:r>
          </w:p>
        </w:tc>
      </w:tr>
      <w:bookmarkEnd w:id="0"/>
      <w:tr w:rsidR="00D228B0" w:rsidRPr="005649EC" w14:paraId="66919E72" w14:textId="77777777" w:rsidTr="000C169C">
        <w:trPr>
          <w:trHeight w:val="299"/>
        </w:trPr>
        <w:tc>
          <w:tcPr>
            <w:tcW w:w="0" w:type="auto"/>
            <w:shd w:val="clear" w:color="auto" w:fill="FFC000"/>
          </w:tcPr>
          <w:p w14:paraId="34141D50"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lastRenderedPageBreak/>
              <w:t>Enzalutamide</w:t>
            </w:r>
            <w:proofErr w:type="spellEnd"/>
          </w:p>
        </w:tc>
        <w:tc>
          <w:tcPr>
            <w:tcW w:w="0" w:type="auto"/>
          </w:tcPr>
          <w:p w14:paraId="02B559D6" w14:textId="77777777" w:rsidR="00D228B0" w:rsidRPr="00701626" w:rsidRDefault="00D228B0" w:rsidP="000C169C">
            <w:pPr>
              <w:spacing w:line="276" w:lineRule="auto"/>
              <w:contextualSpacing/>
              <w:rPr>
                <w:rFonts w:cstheme="minorHAnsi"/>
                <w:lang w:val="en-US"/>
              </w:rPr>
            </w:pPr>
            <w:r w:rsidRPr="00701626">
              <w:rPr>
                <w:rFonts w:cstheme="minorHAnsi"/>
                <w:lang w:val="en-US"/>
              </w:rPr>
              <w:t>Inhibitor for P-</w:t>
            </w:r>
            <w:proofErr w:type="spellStart"/>
            <w:r w:rsidRPr="00701626">
              <w:rPr>
                <w:rFonts w:cstheme="minorHAnsi"/>
                <w:lang w:val="en-US"/>
              </w:rPr>
              <w:t>gp</w:t>
            </w:r>
            <w:proofErr w:type="spellEnd"/>
            <w:r w:rsidRPr="00701626">
              <w:rPr>
                <w:rFonts w:cstheme="minorHAnsi"/>
                <w:lang w:val="en-US"/>
              </w:rPr>
              <w:t xml:space="preserve"> in vitro. </w:t>
            </w:r>
          </w:p>
          <w:p w14:paraId="02441D12" w14:textId="77777777" w:rsidR="00D228B0" w:rsidRPr="00701626" w:rsidRDefault="00D228B0" w:rsidP="000C169C">
            <w:pPr>
              <w:spacing w:line="276" w:lineRule="auto"/>
              <w:contextualSpacing/>
              <w:rPr>
                <w:rFonts w:cstheme="minorHAnsi"/>
                <w:lang w:val="en-US"/>
              </w:rPr>
            </w:pPr>
          </w:p>
        </w:tc>
        <w:tc>
          <w:tcPr>
            <w:tcW w:w="0" w:type="auto"/>
          </w:tcPr>
          <w:p w14:paraId="0A1BE31B"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May increase dabigatran concentrations. The clinical relevance of this interaction is unknown, </w:t>
            </w:r>
          </w:p>
          <w:p w14:paraId="6AE449AF" w14:textId="77777777" w:rsidR="00D228B0" w:rsidRPr="00701626" w:rsidRDefault="00D228B0" w:rsidP="000C169C">
            <w:pPr>
              <w:spacing w:line="276" w:lineRule="auto"/>
              <w:contextualSpacing/>
              <w:rPr>
                <w:rFonts w:cstheme="minorHAnsi"/>
                <w:lang w:val="en-GB"/>
              </w:rPr>
            </w:pPr>
            <w:r w:rsidRPr="00701626">
              <w:rPr>
                <w:rFonts w:cstheme="minorHAnsi"/>
                <w:lang w:val="en-GB"/>
              </w:rPr>
              <w:t>Higher variability. After discontinuation of enzalutamide, the effect of the interaction can persist for up to several weeks.</w:t>
            </w:r>
          </w:p>
          <w:p w14:paraId="52EBB0B5" w14:textId="77777777" w:rsidR="00D228B0" w:rsidRPr="00701626" w:rsidRDefault="00D228B0" w:rsidP="000C169C">
            <w:pPr>
              <w:spacing w:line="276" w:lineRule="auto"/>
              <w:contextualSpacing/>
              <w:rPr>
                <w:rFonts w:cstheme="minorHAnsi"/>
                <w:b/>
                <w:bCs/>
                <w:lang w:val="en-US"/>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bleeding</w:t>
            </w:r>
          </w:p>
        </w:tc>
        <w:tc>
          <w:tcPr>
            <w:tcW w:w="0" w:type="auto"/>
          </w:tcPr>
          <w:p w14:paraId="36E6FA61"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562020EC"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299BD4BA"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CAUTION</w:t>
            </w:r>
          </w:p>
          <w:p w14:paraId="5A3CB8FD" w14:textId="77777777" w:rsidR="00D228B0" w:rsidRPr="00701626" w:rsidRDefault="00D228B0" w:rsidP="000C169C">
            <w:pPr>
              <w:spacing w:line="276" w:lineRule="auto"/>
              <w:contextualSpacing/>
              <w:rPr>
                <w:rFonts w:cstheme="minorHAnsi"/>
                <w:color w:val="FF9900"/>
                <w:lang w:val="en-US"/>
              </w:rPr>
            </w:pPr>
            <w:r w:rsidRPr="00701626">
              <w:rPr>
                <w:rFonts w:cstheme="minorHAnsi"/>
                <w:lang w:val="en-GB"/>
              </w:rPr>
              <w:t>If possible, an alternate DOAC should be considered (</w:t>
            </w:r>
            <w:proofErr w:type="spellStart"/>
            <w:r w:rsidRPr="00701626">
              <w:rPr>
                <w:rFonts w:cstheme="minorHAnsi"/>
                <w:lang w:val="en-GB"/>
              </w:rPr>
              <w:t>edoxaban</w:t>
            </w:r>
            <w:proofErr w:type="spellEnd"/>
            <w:r w:rsidRPr="00701626">
              <w:rPr>
                <w:rFonts w:cstheme="minorHAnsi"/>
                <w:lang w:val="en-GB"/>
              </w:rPr>
              <w:t xml:space="preserve">). If coadministration is necessary, measure ECT, </w:t>
            </w:r>
            <w:proofErr w:type="spellStart"/>
            <w:r w:rsidRPr="00701626">
              <w:rPr>
                <w:rFonts w:cstheme="minorHAnsi"/>
                <w:lang w:val="en-GB"/>
              </w:rPr>
              <w:t>dTT</w:t>
            </w:r>
            <w:proofErr w:type="spellEnd"/>
            <w:r w:rsidRPr="00701626">
              <w:rPr>
                <w:rFonts w:cstheme="minorHAnsi"/>
                <w:lang w:val="en-GB"/>
              </w:rPr>
              <w:t xml:space="preserve"> is recommended.</w:t>
            </w:r>
          </w:p>
        </w:tc>
      </w:tr>
      <w:tr w:rsidR="00D228B0" w:rsidRPr="005649EC" w14:paraId="5B7BB67A" w14:textId="77777777" w:rsidTr="000C169C">
        <w:trPr>
          <w:trHeight w:val="299"/>
        </w:trPr>
        <w:tc>
          <w:tcPr>
            <w:tcW w:w="0" w:type="auto"/>
            <w:shd w:val="clear" w:color="auto" w:fill="FFC000"/>
          </w:tcPr>
          <w:p w14:paraId="7B7861C3"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Venetoclax</w:t>
            </w:r>
            <w:proofErr w:type="spellEnd"/>
          </w:p>
        </w:tc>
        <w:tc>
          <w:tcPr>
            <w:tcW w:w="0" w:type="auto"/>
          </w:tcPr>
          <w:p w14:paraId="544B7AB0" w14:textId="77777777" w:rsidR="00D228B0" w:rsidRPr="00701626" w:rsidRDefault="00D228B0" w:rsidP="000C169C">
            <w:pPr>
              <w:spacing w:line="276" w:lineRule="auto"/>
              <w:contextualSpacing/>
              <w:rPr>
                <w:rFonts w:cstheme="minorHAnsi"/>
                <w:lang w:val="en-US"/>
              </w:rPr>
            </w:pPr>
            <w:r w:rsidRPr="00701626">
              <w:rPr>
                <w:rFonts w:cstheme="minorHAnsi"/>
                <w:lang w:val="en-US"/>
              </w:rPr>
              <w:t>May inhibit intestinal P-</w:t>
            </w:r>
            <w:proofErr w:type="spellStart"/>
            <w:r w:rsidRPr="00701626">
              <w:rPr>
                <w:rFonts w:cstheme="minorHAnsi"/>
                <w:lang w:val="en-US"/>
              </w:rPr>
              <w:t>gp</w:t>
            </w:r>
            <w:proofErr w:type="spellEnd"/>
          </w:p>
        </w:tc>
        <w:tc>
          <w:tcPr>
            <w:tcW w:w="0" w:type="auto"/>
          </w:tcPr>
          <w:p w14:paraId="6EAE8DB9"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Possible increased dabigatran plasma concentrations and consequent high inter-individual variability </w:t>
            </w:r>
          </w:p>
          <w:p w14:paraId="397FDF9A" w14:textId="77777777" w:rsidR="00D228B0" w:rsidRPr="00701626" w:rsidRDefault="00D228B0" w:rsidP="000C169C">
            <w:pPr>
              <w:spacing w:line="276" w:lineRule="auto"/>
              <w:contextualSpacing/>
              <w:rPr>
                <w:rFonts w:cstheme="minorHAnsi"/>
                <w:b/>
                <w:bCs/>
                <w:lang w:val="en-US"/>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bleeding</w:t>
            </w:r>
          </w:p>
        </w:tc>
        <w:tc>
          <w:tcPr>
            <w:tcW w:w="0" w:type="auto"/>
          </w:tcPr>
          <w:p w14:paraId="79B1F846" w14:textId="77777777" w:rsidR="00D228B0" w:rsidRPr="00701626" w:rsidRDefault="00D228B0" w:rsidP="000C169C">
            <w:pPr>
              <w:spacing w:line="276" w:lineRule="auto"/>
              <w:contextualSpacing/>
              <w:rPr>
                <w:rFonts w:cstheme="minorHAnsi"/>
              </w:rPr>
            </w:pPr>
            <w:proofErr w:type="spellStart"/>
            <w:r w:rsidRPr="00701626">
              <w:rPr>
                <w:rFonts w:cstheme="minorHAnsi"/>
              </w:rPr>
              <w:t>Unlikely</w:t>
            </w:r>
            <w:proofErr w:type="spellEnd"/>
          </w:p>
        </w:tc>
        <w:tc>
          <w:tcPr>
            <w:tcW w:w="0" w:type="auto"/>
          </w:tcPr>
          <w:p w14:paraId="3B8E93C2"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67C75CE8" w14:textId="77777777" w:rsidR="00D228B0" w:rsidRPr="00701626" w:rsidRDefault="00D228B0" w:rsidP="000C169C">
            <w:pPr>
              <w:spacing w:line="276" w:lineRule="auto"/>
              <w:contextualSpacing/>
              <w:rPr>
                <w:rFonts w:cstheme="minorHAnsi"/>
                <w:b/>
                <w:bCs/>
                <w:lang w:val="en-US"/>
              </w:rPr>
            </w:pPr>
            <w:r w:rsidRPr="00701626">
              <w:rPr>
                <w:rFonts w:cstheme="minorHAnsi"/>
                <w:b/>
                <w:bCs/>
                <w:color w:val="FF9900"/>
                <w:lang w:val="en-US"/>
              </w:rPr>
              <w:t>CAUTION</w:t>
            </w:r>
            <w:r w:rsidRPr="00701626">
              <w:rPr>
                <w:rFonts w:cstheme="minorHAnsi"/>
                <w:b/>
                <w:bCs/>
                <w:lang w:val="en-US"/>
              </w:rPr>
              <w:t xml:space="preserve"> </w:t>
            </w:r>
          </w:p>
          <w:p w14:paraId="66440B8B" w14:textId="77777777" w:rsidR="00D228B0" w:rsidRPr="00701626" w:rsidRDefault="00D228B0" w:rsidP="000C169C">
            <w:pPr>
              <w:spacing w:line="276" w:lineRule="auto"/>
              <w:contextualSpacing/>
              <w:rPr>
                <w:rFonts w:cstheme="minorHAnsi"/>
                <w:lang w:val="en-GB"/>
              </w:rPr>
            </w:pPr>
            <w:r w:rsidRPr="00701626">
              <w:rPr>
                <w:rFonts w:cstheme="minorHAnsi"/>
                <w:lang w:val="en-GB"/>
              </w:rPr>
              <w:t>Check for bleeding signs. Consider an alternative DOAC (apixaban</w:t>
            </w:r>
            <w:proofErr w:type="gramStart"/>
            <w:r w:rsidRPr="00701626">
              <w:rPr>
                <w:rFonts w:cstheme="minorHAnsi"/>
                <w:lang w:val="en-GB"/>
              </w:rPr>
              <w:t>) .</w:t>
            </w:r>
            <w:proofErr w:type="gramEnd"/>
            <w:r w:rsidRPr="00701626">
              <w:rPr>
                <w:rFonts w:cstheme="minorHAnsi"/>
                <w:lang w:val="en-GB"/>
              </w:rPr>
              <w:t xml:space="preserve"> </w:t>
            </w:r>
            <w:r w:rsidRPr="00701626">
              <w:rPr>
                <w:rFonts w:cstheme="minorHAnsi"/>
                <w:lang w:val="en-US"/>
              </w:rPr>
              <w:t xml:space="preserve">Measure ECT or </w:t>
            </w:r>
            <w:proofErr w:type="spellStart"/>
            <w:r w:rsidRPr="00701626">
              <w:rPr>
                <w:rFonts w:cstheme="minorHAnsi"/>
                <w:lang w:val="en-US"/>
              </w:rPr>
              <w:t>dTT</w:t>
            </w:r>
            <w:proofErr w:type="spellEnd"/>
            <w:r w:rsidRPr="00701626">
              <w:rPr>
                <w:rFonts w:cstheme="minorHAnsi"/>
                <w:lang w:val="en-US"/>
              </w:rPr>
              <w:t xml:space="preserve"> if available and necessary (bleeding, high degree TP).</w:t>
            </w:r>
          </w:p>
        </w:tc>
      </w:tr>
      <w:tr w:rsidR="00D228B0" w:rsidRPr="005649EC" w14:paraId="21710EEE" w14:textId="77777777" w:rsidTr="000C169C">
        <w:trPr>
          <w:trHeight w:val="299"/>
        </w:trPr>
        <w:tc>
          <w:tcPr>
            <w:tcW w:w="0" w:type="auto"/>
            <w:shd w:val="clear" w:color="auto" w:fill="F2F2F2" w:themeFill="background1" w:themeFillShade="F2"/>
          </w:tcPr>
          <w:p w14:paraId="34143E23" w14:textId="77777777" w:rsidR="00D228B0" w:rsidRPr="00701626" w:rsidRDefault="00D228B0" w:rsidP="000C169C">
            <w:pPr>
              <w:spacing w:line="276" w:lineRule="auto"/>
              <w:contextualSpacing/>
              <w:rPr>
                <w:rFonts w:cstheme="minorHAnsi"/>
                <w:b/>
                <w:bCs/>
                <w:i/>
                <w:iCs/>
              </w:rPr>
            </w:pPr>
            <w:proofErr w:type="spellStart"/>
            <w:r w:rsidRPr="00701626">
              <w:rPr>
                <w:rFonts w:cstheme="minorHAnsi"/>
                <w:b/>
                <w:bCs/>
                <w:i/>
                <w:iCs/>
              </w:rPr>
              <w:t>Edoxaban</w:t>
            </w:r>
            <w:proofErr w:type="spellEnd"/>
            <w:r w:rsidRPr="00701626">
              <w:rPr>
                <w:rFonts w:cstheme="minorHAnsi"/>
                <w:b/>
                <w:bCs/>
                <w:i/>
                <w:iCs/>
              </w:rPr>
              <w:t xml:space="preserve"> plus…</w:t>
            </w:r>
          </w:p>
        </w:tc>
        <w:tc>
          <w:tcPr>
            <w:tcW w:w="0" w:type="auto"/>
            <w:shd w:val="clear" w:color="auto" w:fill="F2F2F2" w:themeFill="background1" w:themeFillShade="F2"/>
          </w:tcPr>
          <w:p w14:paraId="07A09A10"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Partially </w:t>
            </w:r>
            <w:proofErr w:type="spellStart"/>
            <w:r w:rsidRPr="00701626">
              <w:rPr>
                <w:rFonts w:cstheme="minorHAnsi"/>
                <w:lang w:val="en-US"/>
              </w:rPr>
              <w:t>metabolised</w:t>
            </w:r>
            <w:proofErr w:type="spellEnd"/>
            <w:r w:rsidRPr="00701626">
              <w:rPr>
                <w:rFonts w:cstheme="minorHAnsi"/>
                <w:lang w:val="en-US"/>
              </w:rPr>
              <w:t xml:space="preserve"> by CYP3A4 (&lt;10%) and substrate of P-</w:t>
            </w:r>
            <w:proofErr w:type="spellStart"/>
            <w:r w:rsidRPr="00701626">
              <w:rPr>
                <w:rFonts w:cstheme="minorHAnsi"/>
                <w:lang w:val="en-US"/>
              </w:rPr>
              <w:t>gp</w:t>
            </w:r>
            <w:proofErr w:type="spellEnd"/>
          </w:p>
        </w:tc>
        <w:tc>
          <w:tcPr>
            <w:tcW w:w="0" w:type="auto"/>
            <w:gridSpan w:val="3"/>
            <w:shd w:val="clear" w:color="auto" w:fill="F2F2F2" w:themeFill="background1" w:themeFillShade="F2"/>
          </w:tcPr>
          <w:p w14:paraId="37430705" w14:textId="77777777" w:rsidR="00D228B0" w:rsidRPr="00701626" w:rsidRDefault="00D228B0" w:rsidP="000C169C">
            <w:pPr>
              <w:spacing w:line="276" w:lineRule="auto"/>
              <w:contextualSpacing/>
              <w:rPr>
                <w:rFonts w:cstheme="minorHAnsi"/>
                <w:b/>
                <w:bCs/>
                <w:i/>
                <w:iCs/>
                <w:lang w:val="en-GB"/>
              </w:rPr>
            </w:pPr>
          </w:p>
        </w:tc>
      </w:tr>
      <w:tr w:rsidR="00D228B0" w:rsidRPr="005649EC" w14:paraId="78A1C2BA" w14:textId="77777777" w:rsidTr="000C169C">
        <w:trPr>
          <w:trHeight w:val="299"/>
        </w:trPr>
        <w:tc>
          <w:tcPr>
            <w:tcW w:w="0" w:type="auto"/>
            <w:shd w:val="clear" w:color="auto" w:fill="FFC000"/>
          </w:tcPr>
          <w:p w14:paraId="09567836" w14:textId="77777777" w:rsidR="00D228B0" w:rsidRPr="00701626" w:rsidRDefault="00D228B0" w:rsidP="000C169C">
            <w:pPr>
              <w:spacing w:line="276" w:lineRule="auto"/>
              <w:contextualSpacing/>
              <w:rPr>
                <w:rFonts w:cstheme="minorHAnsi"/>
                <w:b/>
                <w:bCs/>
                <w:i/>
                <w:color w:val="FFFFFF" w:themeColor="background1"/>
              </w:rPr>
            </w:pPr>
            <w:proofErr w:type="spellStart"/>
            <w:r w:rsidRPr="00701626">
              <w:rPr>
                <w:rFonts w:cstheme="minorHAnsi"/>
                <w:b/>
                <w:bCs/>
                <w:i/>
              </w:rPr>
              <w:t>Sotorasib</w:t>
            </w:r>
            <w:proofErr w:type="spellEnd"/>
          </w:p>
        </w:tc>
        <w:tc>
          <w:tcPr>
            <w:tcW w:w="0" w:type="auto"/>
          </w:tcPr>
          <w:p w14:paraId="554E687D" w14:textId="77777777" w:rsidR="00D228B0" w:rsidRPr="00701626" w:rsidRDefault="00D228B0" w:rsidP="000C169C">
            <w:pPr>
              <w:spacing w:line="276" w:lineRule="auto"/>
              <w:contextualSpacing/>
              <w:rPr>
                <w:rFonts w:cstheme="minorHAnsi"/>
                <w:lang w:val="en-US"/>
              </w:rPr>
            </w:pPr>
            <w:r w:rsidRPr="00701626">
              <w:rPr>
                <w:rFonts w:cstheme="minorHAnsi"/>
                <w:lang w:val="en-US"/>
              </w:rPr>
              <w:t>Time-dependent</w:t>
            </w:r>
          </w:p>
          <w:p w14:paraId="3C0B5814" w14:textId="77777777" w:rsidR="00D228B0" w:rsidRPr="00701626" w:rsidRDefault="00D228B0" w:rsidP="000C169C">
            <w:pPr>
              <w:spacing w:line="276" w:lineRule="auto"/>
              <w:contextualSpacing/>
              <w:rPr>
                <w:rFonts w:cstheme="minorHAnsi"/>
                <w:lang w:val="en-US"/>
              </w:rPr>
            </w:pPr>
            <w:r w:rsidRPr="00701626">
              <w:rPr>
                <w:rFonts w:cstheme="minorHAnsi"/>
                <w:lang w:val="en-US"/>
              </w:rPr>
              <w:t>inhibitor and inducer of CYP3A, inhibitor of P-</w:t>
            </w:r>
            <w:proofErr w:type="spellStart"/>
            <w:r w:rsidRPr="00701626">
              <w:rPr>
                <w:rFonts w:cstheme="minorHAnsi"/>
                <w:lang w:val="en-US"/>
              </w:rPr>
              <w:t>gp</w:t>
            </w:r>
            <w:proofErr w:type="spellEnd"/>
            <w:r w:rsidRPr="00701626">
              <w:rPr>
                <w:rFonts w:cstheme="minorHAnsi"/>
                <w:lang w:val="en-US"/>
              </w:rPr>
              <w:t>.</w:t>
            </w:r>
          </w:p>
        </w:tc>
        <w:tc>
          <w:tcPr>
            <w:tcW w:w="0" w:type="auto"/>
          </w:tcPr>
          <w:p w14:paraId="1A3EDAD9" w14:textId="77777777" w:rsidR="00D228B0" w:rsidRPr="00701626" w:rsidRDefault="00D228B0" w:rsidP="000C169C">
            <w:pPr>
              <w:spacing w:line="276" w:lineRule="auto"/>
              <w:contextualSpacing/>
              <w:rPr>
                <w:rFonts w:cstheme="minorHAnsi"/>
                <w:lang w:val="en-US"/>
              </w:rPr>
            </w:pPr>
            <w:r w:rsidRPr="00701626">
              <w:rPr>
                <w:rFonts w:cstheme="minorHAnsi"/>
                <w:lang w:val="en-US"/>
              </w:rPr>
              <w:t>Unknown what the combined effect of P-</w:t>
            </w:r>
            <w:proofErr w:type="spellStart"/>
            <w:r w:rsidRPr="00701626">
              <w:rPr>
                <w:rFonts w:cstheme="minorHAnsi"/>
                <w:lang w:val="en-US"/>
              </w:rPr>
              <w:t>gp</w:t>
            </w:r>
            <w:proofErr w:type="spellEnd"/>
            <w:r w:rsidRPr="00701626">
              <w:rPr>
                <w:rFonts w:cstheme="minorHAnsi"/>
                <w:lang w:val="en-US"/>
              </w:rPr>
              <w:t xml:space="preserve"> inhibition and CYP3A induction on </w:t>
            </w:r>
            <w:proofErr w:type="spellStart"/>
            <w:r w:rsidRPr="00701626">
              <w:rPr>
                <w:rFonts w:cstheme="minorHAnsi"/>
                <w:lang w:val="en-US"/>
              </w:rPr>
              <w:t>edoxaban</w:t>
            </w:r>
            <w:proofErr w:type="spellEnd"/>
            <w:r w:rsidRPr="00701626">
              <w:rPr>
                <w:rFonts w:cstheme="minorHAnsi"/>
                <w:lang w:val="en-US"/>
              </w:rPr>
              <w:t xml:space="preserve"> exposure. Increased variability in response</w:t>
            </w:r>
          </w:p>
        </w:tc>
        <w:tc>
          <w:tcPr>
            <w:tcW w:w="0" w:type="auto"/>
          </w:tcPr>
          <w:p w14:paraId="785E79AA" w14:textId="77777777" w:rsidR="00D228B0" w:rsidRPr="00701626" w:rsidRDefault="00D228B0" w:rsidP="000C169C">
            <w:pPr>
              <w:spacing w:line="276" w:lineRule="auto"/>
              <w:contextualSpacing/>
              <w:rPr>
                <w:rFonts w:cstheme="minorHAnsi"/>
              </w:rPr>
            </w:pPr>
            <w:proofErr w:type="spellStart"/>
            <w:r w:rsidRPr="00701626">
              <w:rPr>
                <w:rFonts w:cstheme="minorHAnsi"/>
              </w:rPr>
              <w:t>Unlikely</w:t>
            </w:r>
            <w:proofErr w:type="spellEnd"/>
          </w:p>
        </w:tc>
        <w:tc>
          <w:tcPr>
            <w:tcW w:w="0" w:type="auto"/>
          </w:tcPr>
          <w:p w14:paraId="5B6E6FDC"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36C62390"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CAUTION</w:t>
            </w:r>
          </w:p>
          <w:p w14:paraId="6A4F2094"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LMWH instead. If coadministration is unavoidable, monitor closely for </w:t>
            </w:r>
            <w:proofErr w:type="spellStart"/>
            <w:r w:rsidRPr="00701626">
              <w:rPr>
                <w:rFonts w:cstheme="minorHAnsi"/>
                <w:lang w:val="en-GB"/>
              </w:rPr>
              <w:t>edoxaban</w:t>
            </w:r>
            <w:proofErr w:type="spellEnd"/>
            <w:r w:rsidRPr="00701626">
              <w:rPr>
                <w:rFonts w:cstheme="minorHAnsi"/>
                <w:lang w:val="en-GB"/>
              </w:rPr>
              <w:t xml:space="preserve"> toxicity and efficacy and measure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1F84175A" w14:textId="77777777" w:rsidTr="000C169C">
        <w:trPr>
          <w:trHeight w:val="299"/>
        </w:trPr>
        <w:tc>
          <w:tcPr>
            <w:tcW w:w="0" w:type="auto"/>
            <w:shd w:val="clear" w:color="auto" w:fill="FFC000"/>
          </w:tcPr>
          <w:p w14:paraId="70B84829"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Olaparib</w:t>
            </w:r>
            <w:proofErr w:type="spellEnd"/>
          </w:p>
          <w:p w14:paraId="68B550FE" w14:textId="77777777" w:rsidR="00D228B0" w:rsidRPr="00701626" w:rsidRDefault="00D228B0" w:rsidP="000C169C">
            <w:pPr>
              <w:spacing w:line="276" w:lineRule="auto"/>
              <w:contextualSpacing/>
              <w:rPr>
                <w:rFonts w:cstheme="minorHAnsi"/>
                <w:b/>
                <w:bCs/>
                <w:i/>
              </w:rPr>
            </w:pPr>
            <w:r w:rsidRPr="00701626">
              <w:rPr>
                <w:rFonts w:cstheme="minorHAnsi"/>
                <w:b/>
                <w:bCs/>
                <w:i/>
              </w:rPr>
              <w:t>Lapatinib</w:t>
            </w:r>
          </w:p>
          <w:p w14:paraId="0EF1031B" w14:textId="77777777" w:rsidR="00D228B0" w:rsidRPr="00701626" w:rsidRDefault="00D228B0" w:rsidP="000C169C">
            <w:pPr>
              <w:spacing w:line="276" w:lineRule="auto"/>
              <w:contextualSpacing/>
              <w:rPr>
                <w:rFonts w:cstheme="minorHAnsi"/>
                <w:i/>
              </w:rPr>
            </w:pPr>
            <w:proofErr w:type="spellStart"/>
            <w:r w:rsidRPr="00701626">
              <w:rPr>
                <w:rFonts w:cstheme="minorHAnsi"/>
                <w:b/>
                <w:bCs/>
                <w:i/>
              </w:rPr>
              <w:lastRenderedPageBreak/>
              <w:t>Neratinib</w:t>
            </w:r>
            <w:proofErr w:type="spellEnd"/>
          </w:p>
        </w:tc>
        <w:tc>
          <w:tcPr>
            <w:tcW w:w="0" w:type="auto"/>
          </w:tcPr>
          <w:p w14:paraId="4F10ECB0" w14:textId="77777777" w:rsidR="00D228B0" w:rsidRPr="00701626" w:rsidRDefault="00D228B0" w:rsidP="000C169C">
            <w:pPr>
              <w:spacing w:line="276" w:lineRule="auto"/>
              <w:contextualSpacing/>
              <w:rPr>
                <w:rFonts w:cstheme="minorHAnsi"/>
                <w:lang w:val="en-US"/>
              </w:rPr>
            </w:pPr>
            <w:r w:rsidRPr="00701626">
              <w:rPr>
                <w:rFonts w:cstheme="minorHAnsi"/>
                <w:lang w:val="en-US"/>
              </w:rPr>
              <w:lastRenderedPageBreak/>
              <w:t>P-</w:t>
            </w:r>
            <w:proofErr w:type="spellStart"/>
            <w:r w:rsidRPr="00701626">
              <w:rPr>
                <w:rFonts w:cstheme="minorHAnsi"/>
                <w:lang w:val="en-US"/>
              </w:rPr>
              <w:t>gp</w:t>
            </w:r>
            <w:proofErr w:type="spellEnd"/>
            <w:r w:rsidRPr="00701626">
              <w:rPr>
                <w:rFonts w:cstheme="minorHAnsi"/>
                <w:lang w:val="en-US"/>
              </w:rPr>
              <w:t xml:space="preserve"> inhibitors and increase the bleeding risk per se. </w:t>
            </w:r>
          </w:p>
          <w:p w14:paraId="5754F986" w14:textId="77777777" w:rsidR="00D228B0" w:rsidRPr="00701626" w:rsidRDefault="00D228B0" w:rsidP="000C169C">
            <w:pPr>
              <w:spacing w:line="276" w:lineRule="auto"/>
              <w:contextualSpacing/>
              <w:rPr>
                <w:rFonts w:cstheme="minorHAnsi"/>
                <w:lang w:val="en-US"/>
              </w:rPr>
            </w:pPr>
          </w:p>
        </w:tc>
        <w:tc>
          <w:tcPr>
            <w:tcW w:w="0" w:type="auto"/>
          </w:tcPr>
          <w:p w14:paraId="71F55E7F" w14:textId="77777777" w:rsidR="00D228B0" w:rsidRPr="00701626" w:rsidRDefault="00D228B0" w:rsidP="000C169C">
            <w:pPr>
              <w:spacing w:line="276" w:lineRule="auto"/>
              <w:contextualSpacing/>
              <w:rPr>
                <w:rFonts w:cstheme="minorHAnsi"/>
                <w:lang w:val="en-US"/>
              </w:rPr>
            </w:pPr>
            <w:r w:rsidRPr="00701626">
              <w:rPr>
                <w:rFonts w:cstheme="minorHAnsi"/>
                <w:lang w:val="en-US"/>
              </w:rPr>
              <w:lastRenderedPageBreak/>
              <w:t xml:space="preserve">Possible increased </w:t>
            </w:r>
            <w:proofErr w:type="spellStart"/>
            <w:r w:rsidRPr="00701626">
              <w:rPr>
                <w:rFonts w:cstheme="minorHAnsi"/>
                <w:lang w:val="en-US"/>
              </w:rPr>
              <w:t>edoxaban</w:t>
            </w:r>
            <w:proofErr w:type="spellEnd"/>
            <w:r w:rsidRPr="00701626">
              <w:rPr>
                <w:rFonts w:cstheme="minorHAnsi"/>
                <w:lang w:val="en-US"/>
              </w:rPr>
              <w:t xml:space="preserve"> concentrations.</w:t>
            </w:r>
          </w:p>
          <w:p w14:paraId="6D371FA7" w14:textId="77777777" w:rsidR="00D228B0" w:rsidRPr="00701626" w:rsidRDefault="00D228B0" w:rsidP="000C169C">
            <w:pPr>
              <w:spacing w:line="276" w:lineRule="auto"/>
              <w:contextualSpacing/>
              <w:rPr>
                <w:rFonts w:cstheme="minorHAnsi"/>
                <w:b/>
                <w:bCs/>
                <w:lang w:val="en-US"/>
              </w:rPr>
            </w:pPr>
            <w:r w:rsidRPr="00701626">
              <w:rPr>
                <w:rFonts w:cstheme="minorHAnsi"/>
                <w:b/>
              </w:rPr>
              <w:lastRenderedPageBreak/>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US"/>
              </w:rPr>
              <w:t>bleeding</w:t>
            </w:r>
          </w:p>
        </w:tc>
        <w:tc>
          <w:tcPr>
            <w:tcW w:w="0" w:type="auto"/>
          </w:tcPr>
          <w:p w14:paraId="76C62AB2" w14:textId="77777777" w:rsidR="00D228B0" w:rsidRPr="00701626" w:rsidRDefault="00D228B0" w:rsidP="000C169C">
            <w:pPr>
              <w:spacing w:line="276" w:lineRule="auto"/>
              <w:contextualSpacing/>
              <w:rPr>
                <w:rFonts w:cstheme="minorHAnsi"/>
              </w:rPr>
            </w:pPr>
            <w:proofErr w:type="spellStart"/>
            <w:r w:rsidRPr="00701626">
              <w:rPr>
                <w:rFonts w:cstheme="minorHAnsi"/>
              </w:rPr>
              <w:lastRenderedPageBreak/>
              <w:t>Unlikely</w:t>
            </w:r>
            <w:proofErr w:type="spellEnd"/>
          </w:p>
        </w:tc>
        <w:tc>
          <w:tcPr>
            <w:tcW w:w="0" w:type="auto"/>
          </w:tcPr>
          <w:p w14:paraId="2B60F78F" w14:textId="77777777" w:rsidR="00D228B0" w:rsidRPr="00701626" w:rsidRDefault="00D228B0" w:rsidP="000C169C">
            <w:pPr>
              <w:spacing w:line="276" w:lineRule="auto"/>
              <w:contextualSpacing/>
              <w:rPr>
                <w:rFonts w:cstheme="minorHAnsi"/>
                <w:b/>
                <w:bCs/>
                <w:color w:val="FF9900"/>
                <w:lang w:val="en-US"/>
              </w:rPr>
            </w:pPr>
            <w:r w:rsidRPr="00701626">
              <w:rPr>
                <w:rFonts w:cstheme="minorHAnsi"/>
                <w:b/>
                <w:bCs/>
                <w:color w:val="FF9900"/>
                <w:lang w:val="en-US"/>
              </w:rPr>
              <w:t>Moderate interaction:</w:t>
            </w:r>
          </w:p>
          <w:p w14:paraId="4205FD65" w14:textId="77777777" w:rsidR="00D228B0" w:rsidRPr="00701626" w:rsidRDefault="00D228B0" w:rsidP="000C169C">
            <w:pPr>
              <w:spacing w:line="276" w:lineRule="auto"/>
              <w:contextualSpacing/>
              <w:rPr>
                <w:rFonts w:cstheme="minorHAnsi"/>
                <w:b/>
                <w:bCs/>
                <w:color w:val="FF9900"/>
                <w:lang w:val="en-GB"/>
              </w:rPr>
            </w:pPr>
            <w:r w:rsidRPr="00701626">
              <w:rPr>
                <w:rFonts w:cstheme="minorHAnsi"/>
                <w:b/>
                <w:bCs/>
                <w:color w:val="FF9900"/>
                <w:lang w:val="en-GB"/>
              </w:rPr>
              <w:t xml:space="preserve">CAUTION </w:t>
            </w:r>
          </w:p>
          <w:p w14:paraId="7AD6DA5D" w14:textId="77777777" w:rsidR="00D228B0" w:rsidRPr="00701626" w:rsidRDefault="00D228B0" w:rsidP="000C169C">
            <w:pPr>
              <w:spacing w:line="276" w:lineRule="auto"/>
              <w:contextualSpacing/>
              <w:rPr>
                <w:rFonts w:cstheme="minorHAnsi"/>
                <w:lang w:val="en-GB"/>
              </w:rPr>
            </w:pPr>
            <w:r w:rsidRPr="00701626">
              <w:rPr>
                <w:rFonts w:cstheme="minorHAnsi"/>
                <w:lang w:val="en-US"/>
              </w:rPr>
              <w:lastRenderedPageBreak/>
              <w:t xml:space="preserve">Consider warfarin or LMWHs as alternatives. </w:t>
            </w:r>
            <w:r w:rsidRPr="00701626">
              <w:rPr>
                <w:rFonts w:cstheme="minorHAnsi"/>
                <w:lang w:val="en-GB"/>
              </w:rPr>
              <w:t xml:space="preserve">If coadministration is unavoidable, monitor closely for </w:t>
            </w:r>
            <w:proofErr w:type="spellStart"/>
            <w:r w:rsidRPr="00701626">
              <w:rPr>
                <w:rFonts w:cstheme="minorHAnsi"/>
                <w:lang w:val="en-GB"/>
              </w:rPr>
              <w:t>edoxaban</w:t>
            </w:r>
            <w:proofErr w:type="spellEnd"/>
            <w:r w:rsidRPr="00701626">
              <w:rPr>
                <w:rFonts w:cstheme="minorHAnsi"/>
                <w:lang w:val="en-GB"/>
              </w:rPr>
              <w:t xml:space="preserve"> toxicity and measure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701626" w14:paraId="5115B30E" w14:textId="77777777" w:rsidTr="000C169C">
        <w:trPr>
          <w:trHeight w:val="299"/>
        </w:trPr>
        <w:tc>
          <w:tcPr>
            <w:tcW w:w="0" w:type="auto"/>
            <w:shd w:val="clear" w:color="auto" w:fill="F2F2F2" w:themeFill="background1" w:themeFillShade="F2"/>
          </w:tcPr>
          <w:p w14:paraId="29808B06" w14:textId="77777777" w:rsidR="00D228B0" w:rsidRPr="00701626" w:rsidRDefault="00D228B0" w:rsidP="000C169C">
            <w:pPr>
              <w:spacing w:line="276" w:lineRule="auto"/>
              <w:contextualSpacing/>
              <w:rPr>
                <w:rFonts w:cstheme="minorHAnsi"/>
                <w:b/>
                <w:bCs/>
                <w:i/>
                <w:iCs/>
              </w:rPr>
            </w:pPr>
            <w:proofErr w:type="spellStart"/>
            <w:r w:rsidRPr="00701626">
              <w:rPr>
                <w:rFonts w:cstheme="minorHAnsi"/>
                <w:b/>
                <w:bCs/>
                <w:i/>
                <w:iCs/>
              </w:rPr>
              <w:lastRenderedPageBreak/>
              <w:t>Apixaban</w:t>
            </w:r>
            <w:proofErr w:type="spellEnd"/>
            <w:r w:rsidRPr="00701626">
              <w:rPr>
                <w:rFonts w:cstheme="minorHAnsi"/>
                <w:b/>
                <w:bCs/>
                <w:i/>
                <w:iCs/>
              </w:rPr>
              <w:t xml:space="preserve"> plus</w:t>
            </w:r>
            <w:proofErr w:type="gramStart"/>
            <w:r w:rsidRPr="00701626">
              <w:rPr>
                <w:rFonts w:cstheme="minorHAnsi"/>
                <w:b/>
                <w:bCs/>
                <w:i/>
                <w:iCs/>
              </w:rPr>
              <w:t xml:space="preserve"> ….</w:t>
            </w:r>
            <w:proofErr w:type="gramEnd"/>
          </w:p>
        </w:tc>
        <w:tc>
          <w:tcPr>
            <w:tcW w:w="0" w:type="auto"/>
            <w:shd w:val="clear" w:color="auto" w:fill="F2F2F2" w:themeFill="background1" w:themeFillShade="F2"/>
          </w:tcPr>
          <w:p w14:paraId="436228EA" w14:textId="77777777" w:rsidR="00D228B0" w:rsidRPr="00701626" w:rsidRDefault="00D228B0" w:rsidP="000C169C">
            <w:pPr>
              <w:spacing w:line="276" w:lineRule="auto"/>
              <w:contextualSpacing/>
              <w:rPr>
                <w:rFonts w:cstheme="minorHAnsi"/>
                <w:b/>
                <w:bCs/>
                <w:i/>
                <w:iCs/>
              </w:rPr>
            </w:pPr>
            <w:proofErr w:type="spellStart"/>
            <w:r w:rsidRPr="00701626">
              <w:rPr>
                <w:rFonts w:cstheme="minorHAnsi"/>
                <w:lang w:val="en-US"/>
              </w:rPr>
              <w:t>Metabolised</w:t>
            </w:r>
            <w:proofErr w:type="spellEnd"/>
            <w:r w:rsidRPr="00701626">
              <w:rPr>
                <w:rFonts w:cstheme="minorHAnsi"/>
                <w:lang w:val="en-US"/>
              </w:rPr>
              <w:t xml:space="preserve"> by CYP3A4 and to a lesser extent by CYPs 1A2, 2C8, 2C9, 2C19. Substrate for P-</w:t>
            </w:r>
            <w:proofErr w:type="spellStart"/>
            <w:r w:rsidRPr="00701626">
              <w:rPr>
                <w:rFonts w:cstheme="minorHAnsi"/>
                <w:lang w:val="en-US"/>
              </w:rPr>
              <w:t>gp</w:t>
            </w:r>
            <w:proofErr w:type="spellEnd"/>
            <w:r w:rsidRPr="00701626">
              <w:rPr>
                <w:rFonts w:cstheme="minorHAnsi"/>
                <w:lang w:val="en-US"/>
              </w:rPr>
              <w:t xml:space="preserve"> and BCRP.</w:t>
            </w:r>
          </w:p>
        </w:tc>
        <w:tc>
          <w:tcPr>
            <w:tcW w:w="0" w:type="auto"/>
            <w:gridSpan w:val="3"/>
            <w:shd w:val="clear" w:color="auto" w:fill="F2F2F2" w:themeFill="background1" w:themeFillShade="F2"/>
          </w:tcPr>
          <w:p w14:paraId="27C87AA4" w14:textId="77777777" w:rsidR="00D228B0" w:rsidRPr="00701626" w:rsidRDefault="00D228B0" w:rsidP="000C169C">
            <w:pPr>
              <w:spacing w:line="276" w:lineRule="auto"/>
              <w:contextualSpacing/>
              <w:rPr>
                <w:rFonts w:cstheme="minorHAnsi"/>
                <w:b/>
                <w:bCs/>
                <w:i/>
                <w:iCs/>
              </w:rPr>
            </w:pPr>
          </w:p>
        </w:tc>
      </w:tr>
      <w:tr w:rsidR="00D228B0" w:rsidRPr="005649EC" w14:paraId="365151FB" w14:textId="77777777" w:rsidTr="000C169C">
        <w:trPr>
          <w:trHeight w:val="299"/>
        </w:trPr>
        <w:tc>
          <w:tcPr>
            <w:tcW w:w="0" w:type="auto"/>
            <w:shd w:val="clear" w:color="auto" w:fill="C00000"/>
          </w:tcPr>
          <w:p w14:paraId="4882F2E2" w14:textId="77777777" w:rsidR="00D228B0" w:rsidRPr="00701626" w:rsidRDefault="00D228B0" w:rsidP="000C169C">
            <w:pPr>
              <w:spacing w:line="276" w:lineRule="auto"/>
              <w:contextualSpacing/>
              <w:rPr>
                <w:rFonts w:cstheme="minorHAnsi"/>
                <w:b/>
                <w:bCs/>
                <w:i/>
                <w:color w:val="FFFFFF" w:themeColor="background1"/>
              </w:rPr>
            </w:pPr>
            <w:proofErr w:type="spellStart"/>
            <w:r w:rsidRPr="00701626">
              <w:rPr>
                <w:rFonts w:cstheme="minorHAnsi"/>
                <w:b/>
                <w:bCs/>
                <w:i/>
                <w:color w:val="FFFFFF" w:themeColor="background1"/>
              </w:rPr>
              <w:t>Enzalutamide</w:t>
            </w:r>
            <w:proofErr w:type="spellEnd"/>
          </w:p>
        </w:tc>
        <w:tc>
          <w:tcPr>
            <w:tcW w:w="0" w:type="auto"/>
          </w:tcPr>
          <w:p w14:paraId="62AC96ED" w14:textId="77777777" w:rsidR="00D228B0" w:rsidRPr="00701626" w:rsidRDefault="00D228B0" w:rsidP="000C169C">
            <w:pPr>
              <w:spacing w:line="276" w:lineRule="auto"/>
              <w:contextualSpacing/>
              <w:rPr>
                <w:rFonts w:cstheme="minorHAnsi"/>
                <w:lang w:val="en-US"/>
              </w:rPr>
            </w:pPr>
            <w:r w:rsidRPr="00701626">
              <w:rPr>
                <w:rFonts w:cstheme="minorHAnsi"/>
                <w:lang w:val="en-US"/>
              </w:rPr>
              <w:t>Strong inducer of CYP3A4; moderate inducer of CYP2C9 and 2C19; weak inducer of 1A2</w:t>
            </w:r>
          </w:p>
        </w:tc>
        <w:tc>
          <w:tcPr>
            <w:tcW w:w="0" w:type="auto"/>
          </w:tcPr>
          <w:p w14:paraId="1226DF3D" w14:textId="77777777" w:rsidR="00D228B0" w:rsidRPr="00701626" w:rsidRDefault="00D228B0" w:rsidP="000C169C">
            <w:pPr>
              <w:spacing w:line="276" w:lineRule="auto"/>
              <w:contextualSpacing/>
              <w:rPr>
                <w:rFonts w:cstheme="minorHAnsi"/>
                <w:lang w:val="en-US"/>
              </w:rPr>
            </w:pPr>
            <w:r w:rsidRPr="00701626">
              <w:rPr>
                <w:rFonts w:cstheme="minorHAnsi"/>
                <w:lang w:val="en-US"/>
              </w:rPr>
              <w:t>Concentrations of apixaban may significantly decrease. High variability in response.</w:t>
            </w:r>
          </w:p>
          <w:p w14:paraId="784ED22A" w14:textId="77777777" w:rsidR="00D228B0" w:rsidRPr="00701626" w:rsidRDefault="00D228B0" w:rsidP="000C169C">
            <w:pPr>
              <w:spacing w:line="276" w:lineRule="auto"/>
              <w:contextualSpacing/>
              <w:rPr>
                <w:rFonts w:cstheme="minorHAnsi"/>
                <w:lang w:val="en-US"/>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US"/>
              </w:rPr>
              <w:t>thrombosis</w:t>
            </w:r>
          </w:p>
        </w:tc>
        <w:tc>
          <w:tcPr>
            <w:tcW w:w="0" w:type="auto"/>
          </w:tcPr>
          <w:p w14:paraId="02E19F81" w14:textId="77777777" w:rsidR="00D228B0" w:rsidRPr="00701626" w:rsidRDefault="00D228B0" w:rsidP="000C169C">
            <w:pPr>
              <w:spacing w:line="276" w:lineRule="auto"/>
              <w:contextualSpacing/>
              <w:rPr>
                <w:rFonts w:cstheme="minorHAnsi"/>
              </w:rPr>
            </w:pPr>
            <w:proofErr w:type="spellStart"/>
            <w:r w:rsidRPr="00701626">
              <w:rPr>
                <w:rFonts w:cstheme="minorHAnsi"/>
              </w:rPr>
              <w:t>Unlikely</w:t>
            </w:r>
            <w:proofErr w:type="spellEnd"/>
          </w:p>
        </w:tc>
        <w:tc>
          <w:tcPr>
            <w:tcW w:w="0" w:type="auto"/>
          </w:tcPr>
          <w:p w14:paraId="24B0D049"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2E3351BF"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w:t>
            </w:r>
          </w:p>
          <w:p w14:paraId="01D3D2F9" w14:textId="77777777" w:rsidR="00D228B0" w:rsidRPr="00701626" w:rsidRDefault="00D228B0" w:rsidP="000C169C">
            <w:pPr>
              <w:spacing w:line="276" w:lineRule="auto"/>
              <w:contextualSpacing/>
              <w:rPr>
                <w:rFonts w:cstheme="minorHAnsi"/>
                <w:lang w:val="en-GB"/>
              </w:rPr>
            </w:pPr>
            <w:r w:rsidRPr="00701626">
              <w:rPr>
                <w:rFonts w:cstheme="minorHAnsi"/>
                <w:lang w:val="en-GB"/>
              </w:rPr>
              <w:t>Consider an alternative DOAC (</w:t>
            </w:r>
            <w:proofErr w:type="spellStart"/>
            <w:r w:rsidRPr="00701626">
              <w:rPr>
                <w:rFonts w:cstheme="minorHAnsi"/>
                <w:lang w:val="en-GB"/>
              </w:rPr>
              <w:t>edoxaban</w:t>
            </w:r>
            <w:proofErr w:type="spellEnd"/>
            <w:r w:rsidRPr="00701626">
              <w:rPr>
                <w:rFonts w:cstheme="minorHAnsi"/>
                <w:lang w:val="en-GB"/>
              </w:rPr>
              <w:t>) or LMWHs. If coadministration is unavoidable, monitor closely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15121BA5" w14:textId="77777777" w:rsidTr="000C169C">
        <w:trPr>
          <w:trHeight w:val="299"/>
        </w:trPr>
        <w:tc>
          <w:tcPr>
            <w:tcW w:w="0" w:type="auto"/>
            <w:shd w:val="clear" w:color="auto" w:fill="C00000"/>
          </w:tcPr>
          <w:p w14:paraId="68C2D483" w14:textId="77777777" w:rsidR="00D228B0" w:rsidRPr="00701626" w:rsidRDefault="00D228B0" w:rsidP="000C169C">
            <w:pPr>
              <w:spacing w:line="276" w:lineRule="auto"/>
              <w:contextualSpacing/>
              <w:rPr>
                <w:rFonts w:cstheme="minorHAnsi"/>
                <w:b/>
                <w:bCs/>
                <w:i/>
                <w:color w:val="FFFFFF" w:themeColor="background1"/>
              </w:rPr>
            </w:pPr>
            <w:bookmarkStart w:id="6" w:name="_Hlk79834040"/>
            <w:proofErr w:type="spellStart"/>
            <w:r w:rsidRPr="00701626">
              <w:rPr>
                <w:rFonts w:cstheme="minorHAnsi"/>
                <w:b/>
                <w:bCs/>
                <w:i/>
                <w:color w:val="FFFFFF" w:themeColor="background1"/>
              </w:rPr>
              <w:t>Idelalisib</w:t>
            </w:r>
            <w:proofErr w:type="spellEnd"/>
          </w:p>
        </w:tc>
        <w:tc>
          <w:tcPr>
            <w:tcW w:w="0" w:type="auto"/>
          </w:tcPr>
          <w:p w14:paraId="155F9DA1" w14:textId="77777777" w:rsidR="00D228B0" w:rsidRPr="00701626" w:rsidRDefault="00D228B0" w:rsidP="000C169C">
            <w:pPr>
              <w:spacing w:line="276" w:lineRule="auto"/>
              <w:contextualSpacing/>
              <w:rPr>
                <w:rFonts w:cstheme="minorHAnsi"/>
                <w:lang w:val="en-GB"/>
              </w:rPr>
            </w:pPr>
            <w:r w:rsidRPr="00701626">
              <w:rPr>
                <w:rFonts w:cstheme="minorHAnsi"/>
                <w:lang w:val="en-US"/>
              </w:rPr>
              <w:t xml:space="preserve">Primary metabolite of </w:t>
            </w:r>
            <w:proofErr w:type="spellStart"/>
            <w:r w:rsidRPr="00701626">
              <w:rPr>
                <w:rFonts w:cstheme="minorHAnsi"/>
                <w:lang w:val="en-US"/>
              </w:rPr>
              <w:t>idelalisib</w:t>
            </w:r>
            <w:proofErr w:type="spellEnd"/>
            <w:r w:rsidRPr="00701626">
              <w:rPr>
                <w:rFonts w:cstheme="minorHAnsi"/>
                <w:lang w:val="en-US"/>
              </w:rPr>
              <w:t xml:space="preserve"> (GS-563117): strong inhibitor of CYP3A4 </w:t>
            </w:r>
          </w:p>
        </w:tc>
        <w:tc>
          <w:tcPr>
            <w:tcW w:w="0" w:type="auto"/>
          </w:tcPr>
          <w:p w14:paraId="102EDC85"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May significantly increase concentrations of apixaban. </w:t>
            </w:r>
          </w:p>
          <w:p w14:paraId="70CE822D"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bleeding</w:t>
            </w:r>
          </w:p>
        </w:tc>
        <w:tc>
          <w:tcPr>
            <w:tcW w:w="0" w:type="auto"/>
          </w:tcPr>
          <w:p w14:paraId="3D64EA77"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6383A348"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4C1BE902"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if possible</w:t>
            </w:r>
          </w:p>
          <w:p w14:paraId="65C6C21F"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alternative DOAC (dabigatran, </w:t>
            </w:r>
            <w:proofErr w:type="spellStart"/>
            <w:r w:rsidRPr="00701626">
              <w:rPr>
                <w:rFonts w:cstheme="minorHAnsi"/>
                <w:lang w:val="en-GB"/>
              </w:rPr>
              <w:t>edoxaban</w:t>
            </w:r>
            <w:proofErr w:type="spellEnd"/>
            <w:r w:rsidRPr="00701626">
              <w:rPr>
                <w:rFonts w:cstheme="minorHAnsi"/>
                <w:lang w:val="en-GB"/>
              </w:rPr>
              <w:t>). If coadministration is unavoidable, monitor closely anti-</w:t>
            </w:r>
            <w:proofErr w:type="spellStart"/>
            <w:r w:rsidRPr="00701626">
              <w:rPr>
                <w:rFonts w:cstheme="minorHAnsi"/>
                <w:lang w:val="en-GB"/>
              </w:rPr>
              <w:t>Xa</w:t>
            </w:r>
            <w:proofErr w:type="spellEnd"/>
            <w:r w:rsidRPr="00701626">
              <w:rPr>
                <w:rFonts w:cstheme="minorHAnsi"/>
                <w:lang w:val="en-GB"/>
              </w:rPr>
              <w:t xml:space="preserve"> activity, if available.</w:t>
            </w:r>
          </w:p>
        </w:tc>
      </w:tr>
      <w:bookmarkEnd w:id="6"/>
      <w:tr w:rsidR="00D228B0" w:rsidRPr="005649EC" w14:paraId="3B7CC62E" w14:textId="77777777" w:rsidTr="000C169C">
        <w:trPr>
          <w:trHeight w:val="299"/>
        </w:trPr>
        <w:tc>
          <w:tcPr>
            <w:tcW w:w="0" w:type="auto"/>
            <w:shd w:val="clear" w:color="auto" w:fill="C00000"/>
          </w:tcPr>
          <w:p w14:paraId="72BB507F" w14:textId="77777777" w:rsidR="00D228B0" w:rsidRPr="00701626" w:rsidRDefault="00D228B0" w:rsidP="000C169C">
            <w:pPr>
              <w:spacing w:line="276" w:lineRule="auto"/>
              <w:contextualSpacing/>
              <w:rPr>
                <w:rFonts w:cstheme="minorHAnsi"/>
                <w:b/>
                <w:bCs/>
                <w:i/>
                <w:color w:val="FFFFFF" w:themeColor="background1"/>
              </w:rPr>
            </w:pPr>
            <w:proofErr w:type="spellStart"/>
            <w:r w:rsidRPr="00701626">
              <w:rPr>
                <w:rFonts w:cstheme="minorHAnsi"/>
                <w:b/>
                <w:bCs/>
                <w:i/>
                <w:color w:val="FFFFFF" w:themeColor="background1"/>
              </w:rPr>
              <w:t>Sotorasib</w:t>
            </w:r>
            <w:proofErr w:type="spellEnd"/>
          </w:p>
        </w:tc>
        <w:tc>
          <w:tcPr>
            <w:tcW w:w="0" w:type="auto"/>
          </w:tcPr>
          <w:p w14:paraId="170C03E3" w14:textId="77777777" w:rsidR="00D228B0" w:rsidRPr="00701626" w:rsidRDefault="00D228B0" w:rsidP="000C169C">
            <w:pPr>
              <w:spacing w:line="276" w:lineRule="auto"/>
              <w:contextualSpacing/>
              <w:rPr>
                <w:rFonts w:cstheme="minorHAnsi"/>
                <w:lang w:val="en-US"/>
              </w:rPr>
            </w:pPr>
            <w:r w:rsidRPr="00701626">
              <w:rPr>
                <w:rFonts w:cstheme="minorHAnsi"/>
                <w:lang w:val="en-US"/>
              </w:rPr>
              <w:t>Time-dependent</w:t>
            </w:r>
          </w:p>
          <w:p w14:paraId="42FDD6BC" w14:textId="77777777" w:rsidR="00D228B0" w:rsidRPr="00701626" w:rsidRDefault="00D228B0" w:rsidP="000C169C">
            <w:pPr>
              <w:spacing w:line="276" w:lineRule="auto"/>
              <w:contextualSpacing/>
              <w:rPr>
                <w:rFonts w:cstheme="minorHAnsi"/>
                <w:lang w:val="en-US"/>
              </w:rPr>
            </w:pPr>
            <w:r w:rsidRPr="00701626">
              <w:rPr>
                <w:rFonts w:cstheme="minorHAnsi"/>
                <w:lang w:val="en-US"/>
              </w:rPr>
              <w:t>inhibitor and inducer of CYP3A</w:t>
            </w:r>
          </w:p>
        </w:tc>
        <w:tc>
          <w:tcPr>
            <w:tcW w:w="0" w:type="auto"/>
          </w:tcPr>
          <w:p w14:paraId="1F23B7C6" w14:textId="77777777" w:rsidR="00D228B0" w:rsidRPr="00701626" w:rsidRDefault="00D228B0" w:rsidP="000C169C">
            <w:pPr>
              <w:spacing w:line="276" w:lineRule="auto"/>
              <w:contextualSpacing/>
              <w:rPr>
                <w:rFonts w:cstheme="minorHAnsi"/>
                <w:lang w:val="en-US"/>
              </w:rPr>
            </w:pPr>
            <w:r w:rsidRPr="00701626">
              <w:rPr>
                <w:rFonts w:cstheme="minorHAnsi"/>
                <w:lang w:val="en-US"/>
              </w:rPr>
              <w:t>Concentrations of apixaban may decrease</w:t>
            </w:r>
          </w:p>
          <w:p w14:paraId="384DF9BA" w14:textId="77777777" w:rsidR="00D228B0" w:rsidRPr="00701626" w:rsidRDefault="00D228B0" w:rsidP="000C169C">
            <w:pPr>
              <w:spacing w:line="276" w:lineRule="auto"/>
              <w:contextualSpacing/>
              <w:rPr>
                <w:rFonts w:cstheme="minorHAnsi"/>
                <w:lang w:val="en-GB"/>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GB"/>
              </w:rPr>
              <w:t>thrombosis</w:t>
            </w:r>
          </w:p>
        </w:tc>
        <w:tc>
          <w:tcPr>
            <w:tcW w:w="0" w:type="auto"/>
          </w:tcPr>
          <w:p w14:paraId="22722366"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0FC4B6D5"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08A6B464"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 xml:space="preserve">AVOID if possible </w:t>
            </w:r>
          </w:p>
          <w:p w14:paraId="7E631DD7"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w:t>
            </w:r>
            <w:r w:rsidRPr="00701626">
              <w:rPr>
                <w:rFonts w:cstheme="minorHAnsi"/>
                <w:lang w:val="en-US"/>
              </w:rPr>
              <w:t xml:space="preserve">LMWHs instead. </w:t>
            </w:r>
            <w:r w:rsidRPr="00701626">
              <w:rPr>
                <w:rFonts w:cstheme="minorHAnsi"/>
                <w:lang w:val="en-GB"/>
              </w:rPr>
              <w:t>If coadministration is unavoidable, monitor closely for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48466B06" w14:textId="77777777" w:rsidTr="000C169C">
        <w:trPr>
          <w:trHeight w:val="299"/>
        </w:trPr>
        <w:tc>
          <w:tcPr>
            <w:tcW w:w="0" w:type="auto"/>
            <w:shd w:val="clear" w:color="auto" w:fill="C00000"/>
          </w:tcPr>
          <w:p w14:paraId="3CCB9CF7" w14:textId="77777777" w:rsidR="00D228B0" w:rsidRPr="00701626" w:rsidRDefault="00D228B0" w:rsidP="000C169C">
            <w:pPr>
              <w:spacing w:line="276" w:lineRule="auto"/>
              <w:contextualSpacing/>
              <w:rPr>
                <w:rFonts w:cstheme="minorHAnsi"/>
                <w:b/>
                <w:bCs/>
                <w:i/>
                <w:color w:val="FFFFFF" w:themeColor="background1"/>
              </w:rPr>
            </w:pPr>
            <w:proofErr w:type="spellStart"/>
            <w:r w:rsidRPr="00701626">
              <w:rPr>
                <w:rFonts w:cstheme="minorHAnsi"/>
                <w:b/>
                <w:bCs/>
                <w:i/>
                <w:color w:val="FFFFFF" w:themeColor="background1"/>
              </w:rPr>
              <w:lastRenderedPageBreak/>
              <w:t>Dabrafenib</w:t>
            </w:r>
            <w:proofErr w:type="spellEnd"/>
          </w:p>
        </w:tc>
        <w:tc>
          <w:tcPr>
            <w:tcW w:w="0" w:type="auto"/>
          </w:tcPr>
          <w:p w14:paraId="6A5189CB" w14:textId="77777777" w:rsidR="00D228B0" w:rsidRPr="00701626" w:rsidRDefault="00D228B0" w:rsidP="000C169C">
            <w:pPr>
              <w:spacing w:line="276" w:lineRule="auto"/>
              <w:contextualSpacing/>
              <w:rPr>
                <w:rFonts w:cstheme="minorHAnsi"/>
                <w:lang w:val="en-GB"/>
              </w:rPr>
            </w:pPr>
            <w:r w:rsidRPr="00701626">
              <w:rPr>
                <w:rFonts w:cstheme="minorHAnsi"/>
                <w:lang w:val="en-GB"/>
              </w:rPr>
              <w:t>Inducer of CYP3A4 and CYP2C9</w:t>
            </w:r>
          </w:p>
        </w:tc>
        <w:tc>
          <w:tcPr>
            <w:tcW w:w="0" w:type="auto"/>
          </w:tcPr>
          <w:p w14:paraId="55201752"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Concentrations of apixaban may decrease </w:t>
            </w:r>
          </w:p>
          <w:p w14:paraId="4B2B982E" w14:textId="77777777" w:rsidR="00D228B0" w:rsidRPr="00701626" w:rsidRDefault="00D228B0" w:rsidP="000C169C">
            <w:pPr>
              <w:spacing w:line="276" w:lineRule="auto"/>
              <w:contextualSpacing/>
              <w:rPr>
                <w:rFonts w:cstheme="minorHAnsi"/>
                <w:lang w:val="en-GB"/>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US"/>
              </w:rPr>
              <w:t>thrombosis</w:t>
            </w:r>
          </w:p>
        </w:tc>
        <w:tc>
          <w:tcPr>
            <w:tcW w:w="0" w:type="auto"/>
          </w:tcPr>
          <w:p w14:paraId="6279EC0F" w14:textId="77777777" w:rsidR="00D228B0" w:rsidRPr="00701626" w:rsidRDefault="00D228B0" w:rsidP="000C169C">
            <w:pPr>
              <w:spacing w:line="276" w:lineRule="auto"/>
              <w:contextualSpacing/>
              <w:rPr>
                <w:rFonts w:cstheme="minorHAnsi"/>
                <w:lang w:val="en-GB"/>
              </w:rPr>
            </w:pPr>
          </w:p>
        </w:tc>
        <w:tc>
          <w:tcPr>
            <w:tcW w:w="0" w:type="auto"/>
          </w:tcPr>
          <w:p w14:paraId="7A61E2FF"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184E51E4"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if possible</w:t>
            </w:r>
          </w:p>
          <w:p w14:paraId="0FA8580C" w14:textId="77777777" w:rsidR="00D228B0" w:rsidRPr="00701626" w:rsidRDefault="00D228B0" w:rsidP="000C169C">
            <w:pPr>
              <w:spacing w:line="276" w:lineRule="auto"/>
              <w:contextualSpacing/>
              <w:rPr>
                <w:rFonts w:cstheme="minorHAnsi"/>
                <w:color w:val="000000" w:themeColor="text1"/>
                <w:lang w:val="en-GB"/>
              </w:rPr>
            </w:pPr>
            <w:r w:rsidRPr="00701626">
              <w:rPr>
                <w:rFonts w:cstheme="minorHAnsi"/>
                <w:lang w:val="en-GB"/>
              </w:rPr>
              <w:t>Consider alternative DOAC</w:t>
            </w:r>
            <w:r w:rsidRPr="00701626">
              <w:rPr>
                <w:rFonts w:cstheme="minorHAnsi"/>
                <w:lang w:val="en-US"/>
              </w:rPr>
              <w:t xml:space="preserve"> </w:t>
            </w:r>
            <w:r w:rsidRPr="00701626">
              <w:rPr>
                <w:rFonts w:cstheme="minorHAnsi"/>
                <w:lang w:val="en-GB"/>
              </w:rPr>
              <w:t xml:space="preserve">(dabigatran, </w:t>
            </w:r>
            <w:proofErr w:type="spellStart"/>
            <w:r w:rsidRPr="00701626">
              <w:rPr>
                <w:rFonts w:cstheme="minorHAnsi"/>
                <w:lang w:val="en-GB"/>
              </w:rPr>
              <w:t>edoxaban</w:t>
            </w:r>
            <w:proofErr w:type="spellEnd"/>
            <w:r w:rsidRPr="00701626">
              <w:rPr>
                <w:rFonts w:cstheme="minorHAnsi"/>
                <w:lang w:val="en-GB"/>
              </w:rPr>
              <w:t>, rivaroxaban). If coadministration is unavoidable, monitor closely for apixaban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611F44C4" w14:textId="77777777" w:rsidTr="000C169C">
        <w:trPr>
          <w:trHeight w:val="299"/>
        </w:trPr>
        <w:tc>
          <w:tcPr>
            <w:tcW w:w="0" w:type="auto"/>
            <w:shd w:val="clear" w:color="auto" w:fill="FFC000"/>
          </w:tcPr>
          <w:p w14:paraId="50849487" w14:textId="77777777" w:rsidR="00D228B0" w:rsidRPr="00701626" w:rsidRDefault="00D228B0" w:rsidP="000C169C">
            <w:pPr>
              <w:spacing w:line="276" w:lineRule="auto"/>
              <w:contextualSpacing/>
              <w:rPr>
                <w:rFonts w:cstheme="minorHAnsi"/>
                <w:b/>
                <w:bCs/>
                <w:i/>
              </w:rPr>
            </w:pPr>
            <w:r w:rsidRPr="00701626">
              <w:rPr>
                <w:rFonts w:cstheme="minorHAnsi"/>
                <w:b/>
                <w:bCs/>
                <w:i/>
              </w:rPr>
              <w:t>Imatinib</w:t>
            </w:r>
          </w:p>
          <w:p w14:paraId="0942E699"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Nilotinib</w:t>
            </w:r>
            <w:proofErr w:type="spellEnd"/>
          </w:p>
          <w:p w14:paraId="6695301B" w14:textId="77777777" w:rsidR="00D228B0" w:rsidRPr="00701626" w:rsidRDefault="00D228B0" w:rsidP="000C169C">
            <w:pPr>
              <w:spacing w:line="276" w:lineRule="auto"/>
              <w:contextualSpacing/>
              <w:rPr>
                <w:rFonts w:cstheme="minorHAnsi"/>
                <w:i/>
              </w:rPr>
            </w:pPr>
            <w:r w:rsidRPr="00701626">
              <w:rPr>
                <w:rFonts w:cstheme="minorHAnsi"/>
                <w:b/>
                <w:bCs/>
                <w:i/>
              </w:rPr>
              <w:t>Lapatinib</w:t>
            </w:r>
          </w:p>
        </w:tc>
        <w:tc>
          <w:tcPr>
            <w:tcW w:w="0" w:type="auto"/>
          </w:tcPr>
          <w:p w14:paraId="04636251" w14:textId="77777777" w:rsidR="00D228B0" w:rsidRPr="00701626" w:rsidRDefault="00D228B0" w:rsidP="000C169C">
            <w:pPr>
              <w:spacing w:line="276" w:lineRule="auto"/>
              <w:contextualSpacing/>
              <w:rPr>
                <w:rFonts w:cstheme="minorHAnsi"/>
                <w:lang w:val="en-US"/>
              </w:rPr>
            </w:pPr>
            <w:r w:rsidRPr="00701626">
              <w:rPr>
                <w:rFonts w:cstheme="minorHAnsi"/>
                <w:lang w:val="en-GB"/>
              </w:rPr>
              <w:t xml:space="preserve">Moderate inhibitors of the CYP3A4 </w:t>
            </w:r>
          </w:p>
        </w:tc>
        <w:tc>
          <w:tcPr>
            <w:tcW w:w="0" w:type="auto"/>
          </w:tcPr>
          <w:p w14:paraId="73BF5D1E" w14:textId="77777777" w:rsidR="00D228B0" w:rsidRPr="00701626" w:rsidRDefault="00D228B0" w:rsidP="000C169C">
            <w:pPr>
              <w:spacing w:line="276" w:lineRule="auto"/>
              <w:contextualSpacing/>
              <w:rPr>
                <w:rFonts w:cstheme="minorHAnsi"/>
                <w:lang w:val="en-GB"/>
              </w:rPr>
            </w:pPr>
            <w:r w:rsidRPr="00701626">
              <w:rPr>
                <w:rFonts w:cstheme="minorHAnsi"/>
                <w:lang w:val="en-GB"/>
              </w:rPr>
              <w:t>Possible increased apixaban concentrations</w:t>
            </w:r>
          </w:p>
          <w:p w14:paraId="0F6441BC" w14:textId="77777777" w:rsidR="00D228B0" w:rsidRPr="00701626" w:rsidRDefault="00D228B0" w:rsidP="000C169C">
            <w:pPr>
              <w:spacing w:line="276" w:lineRule="auto"/>
              <w:contextualSpacing/>
              <w:rPr>
                <w:rFonts w:cstheme="minorHAnsi"/>
                <w:lang w:val="en-GB"/>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US"/>
              </w:rPr>
              <w:t>bleeding</w:t>
            </w:r>
          </w:p>
        </w:tc>
        <w:tc>
          <w:tcPr>
            <w:tcW w:w="0" w:type="auto"/>
          </w:tcPr>
          <w:p w14:paraId="143A8A43"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24D6F253" w14:textId="77777777" w:rsidR="00D228B0" w:rsidRPr="00701626" w:rsidRDefault="00D228B0" w:rsidP="000C169C">
            <w:pPr>
              <w:spacing w:line="276" w:lineRule="auto"/>
              <w:contextualSpacing/>
              <w:rPr>
                <w:rFonts w:cstheme="minorHAnsi"/>
                <w:b/>
                <w:bCs/>
                <w:color w:val="FF9933"/>
                <w:lang w:val="en-GB"/>
              </w:rPr>
            </w:pPr>
            <w:r w:rsidRPr="00701626">
              <w:rPr>
                <w:rFonts w:cstheme="minorHAnsi"/>
                <w:b/>
                <w:bCs/>
                <w:color w:val="FF9933"/>
                <w:lang w:val="en-GB"/>
              </w:rPr>
              <w:t>Moderate interaction:</w:t>
            </w:r>
          </w:p>
          <w:p w14:paraId="651B26A7" w14:textId="77777777" w:rsidR="00D228B0" w:rsidRPr="00701626" w:rsidRDefault="00D228B0" w:rsidP="000C169C">
            <w:pPr>
              <w:spacing w:line="276" w:lineRule="auto"/>
              <w:contextualSpacing/>
              <w:rPr>
                <w:rFonts w:cstheme="minorHAnsi"/>
                <w:b/>
                <w:bCs/>
                <w:color w:val="FF9933"/>
                <w:lang w:val="en-GB"/>
              </w:rPr>
            </w:pPr>
            <w:r w:rsidRPr="00701626">
              <w:rPr>
                <w:rFonts w:cstheme="minorHAnsi"/>
                <w:b/>
                <w:bCs/>
                <w:color w:val="FF9933"/>
                <w:lang w:val="en-GB"/>
              </w:rPr>
              <w:t>CAUTION</w:t>
            </w:r>
          </w:p>
          <w:p w14:paraId="5DA6BFF7" w14:textId="77777777" w:rsidR="00D228B0" w:rsidRPr="00701626" w:rsidRDefault="00D228B0" w:rsidP="000C169C">
            <w:pPr>
              <w:spacing w:line="276" w:lineRule="auto"/>
              <w:contextualSpacing/>
              <w:rPr>
                <w:rFonts w:cstheme="minorHAnsi"/>
                <w:lang w:val="en-GB"/>
              </w:rPr>
            </w:pPr>
            <w:r w:rsidRPr="00701626">
              <w:rPr>
                <w:rFonts w:cstheme="minorHAnsi"/>
                <w:lang w:val="en-GB"/>
              </w:rPr>
              <w:t>Monitor closely for signs of bleeding and measure anti-</w:t>
            </w:r>
            <w:proofErr w:type="spellStart"/>
            <w:r w:rsidRPr="00701626">
              <w:rPr>
                <w:rFonts w:cstheme="minorHAnsi"/>
                <w:lang w:val="en-GB"/>
              </w:rPr>
              <w:t>Xa</w:t>
            </w:r>
            <w:proofErr w:type="spellEnd"/>
            <w:r w:rsidRPr="00701626">
              <w:rPr>
                <w:rFonts w:cstheme="minorHAnsi"/>
                <w:lang w:val="en-GB"/>
              </w:rPr>
              <w:t xml:space="preserve"> activity, if necessary.</w:t>
            </w:r>
          </w:p>
        </w:tc>
      </w:tr>
      <w:tr w:rsidR="00D228B0" w:rsidRPr="005649EC" w14:paraId="7C41E08E" w14:textId="77777777" w:rsidTr="000C169C">
        <w:trPr>
          <w:trHeight w:val="299"/>
        </w:trPr>
        <w:tc>
          <w:tcPr>
            <w:tcW w:w="0" w:type="auto"/>
            <w:shd w:val="clear" w:color="auto" w:fill="F2F2F2" w:themeFill="background1" w:themeFillShade="F2"/>
          </w:tcPr>
          <w:p w14:paraId="079DEB79" w14:textId="77777777" w:rsidR="00D228B0" w:rsidRPr="00701626" w:rsidRDefault="00D228B0" w:rsidP="000C169C">
            <w:pPr>
              <w:spacing w:line="276" w:lineRule="auto"/>
              <w:contextualSpacing/>
              <w:rPr>
                <w:rFonts w:cstheme="minorHAnsi"/>
                <w:b/>
                <w:bCs/>
                <w:i/>
                <w:iCs/>
              </w:rPr>
            </w:pPr>
            <w:proofErr w:type="spellStart"/>
            <w:r w:rsidRPr="00701626">
              <w:rPr>
                <w:rFonts w:cstheme="minorHAnsi"/>
                <w:b/>
                <w:bCs/>
                <w:i/>
                <w:iCs/>
              </w:rPr>
              <w:t>Rivaroxaban</w:t>
            </w:r>
            <w:proofErr w:type="spellEnd"/>
            <w:r w:rsidRPr="00701626">
              <w:rPr>
                <w:rFonts w:cstheme="minorHAnsi"/>
                <w:b/>
                <w:bCs/>
                <w:i/>
                <w:iCs/>
              </w:rPr>
              <w:t xml:space="preserve"> plus…</w:t>
            </w:r>
          </w:p>
        </w:tc>
        <w:tc>
          <w:tcPr>
            <w:tcW w:w="0" w:type="auto"/>
            <w:shd w:val="clear" w:color="auto" w:fill="F2F2F2" w:themeFill="background1" w:themeFillShade="F2"/>
          </w:tcPr>
          <w:p w14:paraId="505F3362" w14:textId="77777777" w:rsidR="00D228B0" w:rsidRPr="00701626" w:rsidRDefault="00D228B0" w:rsidP="000C169C">
            <w:pPr>
              <w:spacing w:line="276" w:lineRule="auto"/>
              <w:contextualSpacing/>
              <w:rPr>
                <w:rFonts w:cstheme="minorHAnsi"/>
                <w:lang w:val="en-US"/>
              </w:rPr>
            </w:pPr>
            <w:r w:rsidRPr="00701626">
              <w:rPr>
                <w:rFonts w:cstheme="minorHAnsi"/>
                <w:lang w:val="en-US"/>
              </w:rPr>
              <w:t>Partly metabolized by CYP3A4,2J2, liver hydrolytic enzymes. Substrate of P-</w:t>
            </w:r>
            <w:proofErr w:type="spellStart"/>
            <w:r w:rsidRPr="00701626">
              <w:rPr>
                <w:rFonts w:cstheme="minorHAnsi"/>
                <w:lang w:val="en-US"/>
              </w:rPr>
              <w:t>gp</w:t>
            </w:r>
            <w:proofErr w:type="spellEnd"/>
            <w:r w:rsidRPr="00701626">
              <w:rPr>
                <w:rFonts w:cstheme="minorHAnsi"/>
                <w:lang w:val="en-US"/>
              </w:rPr>
              <w:t xml:space="preserve"> and BCRP. </w:t>
            </w:r>
          </w:p>
        </w:tc>
        <w:tc>
          <w:tcPr>
            <w:tcW w:w="0" w:type="auto"/>
            <w:gridSpan w:val="3"/>
            <w:shd w:val="clear" w:color="auto" w:fill="F2F2F2" w:themeFill="background1" w:themeFillShade="F2"/>
          </w:tcPr>
          <w:p w14:paraId="6F4319CE" w14:textId="77777777" w:rsidR="00D228B0" w:rsidRPr="00701626" w:rsidRDefault="00D228B0" w:rsidP="000C169C">
            <w:pPr>
              <w:spacing w:line="276" w:lineRule="auto"/>
              <w:contextualSpacing/>
              <w:rPr>
                <w:rFonts w:cstheme="minorHAnsi"/>
                <w:b/>
                <w:bCs/>
                <w:i/>
                <w:iCs/>
                <w:lang w:val="en-GB"/>
              </w:rPr>
            </w:pPr>
          </w:p>
        </w:tc>
      </w:tr>
      <w:tr w:rsidR="00D228B0" w:rsidRPr="005649EC" w14:paraId="1D07BA49" w14:textId="77777777" w:rsidTr="000C169C">
        <w:trPr>
          <w:trHeight w:val="299"/>
        </w:trPr>
        <w:tc>
          <w:tcPr>
            <w:tcW w:w="0" w:type="auto"/>
            <w:shd w:val="clear" w:color="auto" w:fill="C00000"/>
          </w:tcPr>
          <w:p w14:paraId="06509702"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Enzalutamide</w:t>
            </w:r>
            <w:proofErr w:type="spellEnd"/>
          </w:p>
        </w:tc>
        <w:tc>
          <w:tcPr>
            <w:tcW w:w="0" w:type="auto"/>
          </w:tcPr>
          <w:p w14:paraId="5CBDDF19" w14:textId="77777777" w:rsidR="00D228B0" w:rsidRPr="00701626" w:rsidRDefault="00D228B0" w:rsidP="000C169C">
            <w:pPr>
              <w:spacing w:line="276" w:lineRule="auto"/>
              <w:contextualSpacing/>
              <w:rPr>
                <w:rFonts w:cstheme="minorHAnsi"/>
                <w:lang w:val="en-US"/>
              </w:rPr>
            </w:pPr>
            <w:r w:rsidRPr="00701626">
              <w:rPr>
                <w:rFonts w:cstheme="minorHAnsi"/>
                <w:lang w:val="en-US"/>
              </w:rPr>
              <w:t>Strong inducer of CYP3A4; moderate inducer of CYP2C9 and 2C19; weak inducer of CYP1A2</w:t>
            </w:r>
          </w:p>
        </w:tc>
        <w:tc>
          <w:tcPr>
            <w:tcW w:w="0" w:type="auto"/>
          </w:tcPr>
          <w:p w14:paraId="7B24A4D6" w14:textId="77777777" w:rsidR="00D228B0" w:rsidRPr="00701626" w:rsidRDefault="00D228B0" w:rsidP="000C169C">
            <w:pPr>
              <w:spacing w:line="276" w:lineRule="auto"/>
              <w:contextualSpacing/>
              <w:rPr>
                <w:rFonts w:cstheme="minorHAnsi"/>
                <w:lang w:val="en-US"/>
              </w:rPr>
            </w:pPr>
            <w:r w:rsidRPr="00701626">
              <w:rPr>
                <w:rFonts w:cstheme="minorHAnsi"/>
                <w:lang w:val="en-US"/>
              </w:rPr>
              <w:t xml:space="preserve">Concentrations of rivaroxaban may significantly decrease. </w:t>
            </w:r>
          </w:p>
          <w:p w14:paraId="47D48F04" w14:textId="77777777" w:rsidR="00D228B0" w:rsidRPr="00701626" w:rsidRDefault="00D228B0" w:rsidP="000C169C">
            <w:pPr>
              <w:spacing w:line="276" w:lineRule="auto"/>
              <w:contextualSpacing/>
              <w:rPr>
                <w:rFonts w:cstheme="minorHAnsi"/>
                <w:lang w:val="en-US"/>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thrombosis</w:t>
            </w:r>
          </w:p>
        </w:tc>
        <w:tc>
          <w:tcPr>
            <w:tcW w:w="0" w:type="auto"/>
          </w:tcPr>
          <w:p w14:paraId="407F6E3C" w14:textId="77777777" w:rsidR="00D228B0" w:rsidRPr="00701626" w:rsidRDefault="00D228B0" w:rsidP="000C169C">
            <w:pPr>
              <w:spacing w:line="276" w:lineRule="auto"/>
              <w:contextualSpacing/>
              <w:rPr>
                <w:rFonts w:cstheme="minorHAnsi"/>
              </w:rPr>
            </w:pPr>
            <w:proofErr w:type="spellStart"/>
            <w:r w:rsidRPr="00701626">
              <w:rPr>
                <w:rFonts w:cstheme="minorHAnsi"/>
              </w:rPr>
              <w:t>Unlikely</w:t>
            </w:r>
            <w:proofErr w:type="spellEnd"/>
          </w:p>
        </w:tc>
        <w:tc>
          <w:tcPr>
            <w:tcW w:w="0" w:type="auto"/>
          </w:tcPr>
          <w:p w14:paraId="73B4CF35"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Strong interaction:</w:t>
            </w:r>
          </w:p>
          <w:p w14:paraId="7A7E152B"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w:t>
            </w:r>
          </w:p>
          <w:p w14:paraId="51FF08A2" w14:textId="77777777" w:rsidR="00D228B0" w:rsidRPr="00701626" w:rsidRDefault="00D228B0" w:rsidP="000C169C">
            <w:pPr>
              <w:spacing w:line="276" w:lineRule="auto"/>
              <w:contextualSpacing/>
              <w:rPr>
                <w:rFonts w:cstheme="minorHAnsi"/>
                <w:lang w:val="en-GB"/>
              </w:rPr>
            </w:pPr>
            <w:r w:rsidRPr="00701626">
              <w:rPr>
                <w:rFonts w:cstheme="minorHAnsi"/>
                <w:lang w:val="en-GB"/>
              </w:rPr>
              <w:t>Consider an alternative DOAC</w:t>
            </w:r>
          </w:p>
          <w:p w14:paraId="3FFB0BFD" w14:textId="77777777" w:rsidR="00D228B0" w:rsidRPr="00701626" w:rsidRDefault="00D228B0" w:rsidP="000C169C">
            <w:pPr>
              <w:spacing w:line="276" w:lineRule="auto"/>
              <w:contextualSpacing/>
              <w:rPr>
                <w:rFonts w:cstheme="minorHAnsi"/>
                <w:lang w:val="en-GB"/>
              </w:rPr>
            </w:pPr>
            <w:r w:rsidRPr="00701626">
              <w:rPr>
                <w:rFonts w:cstheme="minorHAnsi"/>
                <w:lang w:val="en-GB"/>
              </w:rPr>
              <w:t>(</w:t>
            </w:r>
            <w:proofErr w:type="spellStart"/>
            <w:r w:rsidRPr="00701626">
              <w:rPr>
                <w:rFonts w:cstheme="minorHAnsi"/>
                <w:lang w:val="en-GB"/>
              </w:rPr>
              <w:t>edoxaban</w:t>
            </w:r>
            <w:proofErr w:type="spellEnd"/>
            <w:r w:rsidRPr="00701626">
              <w:rPr>
                <w:rFonts w:cstheme="minorHAnsi"/>
                <w:lang w:val="en-GB"/>
              </w:rPr>
              <w:t>) or LMWHs. If coadministration is unavoidable, monitor closely for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50C52AB4" w14:textId="77777777" w:rsidTr="000C169C">
        <w:trPr>
          <w:trHeight w:val="1118"/>
        </w:trPr>
        <w:tc>
          <w:tcPr>
            <w:tcW w:w="0" w:type="auto"/>
            <w:shd w:val="clear" w:color="auto" w:fill="FFC000"/>
          </w:tcPr>
          <w:p w14:paraId="4C824009"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Sotorasib</w:t>
            </w:r>
            <w:proofErr w:type="spellEnd"/>
          </w:p>
        </w:tc>
        <w:tc>
          <w:tcPr>
            <w:tcW w:w="0" w:type="auto"/>
            <w:vMerge w:val="restart"/>
          </w:tcPr>
          <w:p w14:paraId="3BDF77FB" w14:textId="77777777" w:rsidR="00D228B0" w:rsidRPr="00701626" w:rsidRDefault="00D228B0" w:rsidP="000C169C">
            <w:pPr>
              <w:spacing w:line="276" w:lineRule="auto"/>
              <w:contextualSpacing/>
              <w:rPr>
                <w:rFonts w:cstheme="minorHAnsi"/>
                <w:lang w:val="en-US"/>
              </w:rPr>
            </w:pPr>
            <w:r w:rsidRPr="00701626">
              <w:rPr>
                <w:rFonts w:cstheme="minorHAnsi"/>
                <w:lang w:val="en-US"/>
              </w:rPr>
              <w:t>Time-dependent</w:t>
            </w:r>
          </w:p>
          <w:p w14:paraId="070AA271" w14:textId="77777777" w:rsidR="00D228B0" w:rsidRPr="00701626" w:rsidRDefault="00D228B0" w:rsidP="000C169C">
            <w:pPr>
              <w:spacing w:line="276" w:lineRule="auto"/>
              <w:contextualSpacing/>
              <w:rPr>
                <w:rFonts w:cstheme="minorHAnsi"/>
                <w:lang w:val="en-US"/>
              </w:rPr>
            </w:pPr>
            <w:r w:rsidRPr="00701626">
              <w:rPr>
                <w:rFonts w:cstheme="minorHAnsi"/>
                <w:lang w:val="en-US"/>
              </w:rPr>
              <w:t>inhibitor of CYP3A; inducer of CYP3A; inhibitor of P-</w:t>
            </w:r>
            <w:proofErr w:type="spellStart"/>
            <w:r w:rsidRPr="00701626">
              <w:rPr>
                <w:rFonts w:cstheme="minorHAnsi"/>
                <w:lang w:val="en-US"/>
              </w:rPr>
              <w:t>gp</w:t>
            </w:r>
            <w:proofErr w:type="spellEnd"/>
            <w:r w:rsidRPr="00701626">
              <w:rPr>
                <w:rFonts w:cstheme="minorHAnsi"/>
                <w:lang w:val="en-US"/>
              </w:rPr>
              <w:t>.</w:t>
            </w:r>
          </w:p>
        </w:tc>
        <w:tc>
          <w:tcPr>
            <w:tcW w:w="0" w:type="auto"/>
            <w:vMerge w:val="restart"/>
          </w:tcPr>
          <w:p w14:paraId="3E067CC0" w14:textId="77777777" w:rsidR="00D228B0" w:rsidRPr="00701626" w:rsidRDefault="00D228B0" w:rsidP="000C169C">
            <w:pPr>
              <w:spacing w:line="276" w:lineRule="auto"/>
              <w:contextualSpacing/>
              <w:rPr>
                <w:rFonts w:cstheme="minorHAnsi"/>
                <w:lang w:val="en-US"/>
              </w:rPr>
            </w:pPr>
            <w:r w:rsidRPr="00701626">
              <w:rPr>
                <w:rFonts w:cstheme="minorHAnsi"/>
                <w:lang w:val="en-US"/>
              </w:rPr>
              <w:t>Plausible mechanisms raise concern over a potentially strong interaction, but there is lack of direct evidence. Thus, the final combined effect of on rivaroxaban exposure is unknown. High variability in response</w:t>
            </w:r>
          </w:p>
        </w:tc>
        <w:tc>
          <w:tcPr>
            <w:tcW w:w="0" w:type="auto"/>
            <w:vMerge w:val="restart"/>
          </w:tcPr>
          <w:p w14:paraId="19ECB854" w14:textId="77777777" w:rsidR="00D228B0" w:rsidRPr="00701626" w:rsidRDefault="00D228B0" w:rsidP="000C169C">
            <w:pPr>
              <w:spacing w:line="276" w:lineRule="auto"/>
              <w:contextualSpacing/>
              <w:rPr>
                <w:rFonts w:cstheme="minorHAnsi"/>
              </w:rPr>
            </w:pPr>
            <w:r w:rsidRPr="00701626">
              <w:rPr>
                <w:rFonts w:cstheme="minorHAnsi"/>
              </w:rPr>
              <w:t xml:space="preserve">Not </w:t>
            </w:r>
            <w:proofErr w:type="spellStart"/>
            <w:r w:rsidRPr="00701626">
              <w:rPr>
                <w:rFonts w:cstheme="minorHAnsi"/>
              </w:rPr>
              <w:t>reported</w:t>
            </w:r>
            <w:proofErr w:type="spellEnd"/>
            <w:r w:rsidRPr="00701626">
              <w:rPr>
                <w:rFonts w:cstheme="minorHAnsi"/>
              </w:rPr>
              <w:t xml:space="preserve">. </w:t>
            </w:r>
            <w:proofErr w:type="spellStart"/>
            <w:r w:rsidRPr="00701626">
              <w:rPr>
                <w:rFonts w:cstheme="minorHAnsi"/>
              </w:rPr>
              <w:t>Unlikely</w:t>
            </w:r>
            <w:proofErr w:type="spellEnd"/>
          </w:p>
        </w:tc>
        <w:tc>
          <w:tcPr>
            <w:tcW w:w="0" w:type="auto"/>
            <w:vMerge w:val="restart"/>
          </w:tcPr>
          <w:p w14:paraId="29683B8B"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FF9933"/>
                <w:lang w:val="en-GB"/>
              </w:rPr>
              <w:t xml:space="preserve">Moderate </w:t>
            </w:r>
            <w:r w:rsidRPr="00701626">
              <w:rPr>
                <w:rFonts w:cstheme="minorHAnsi"/>
                <w:b/>
                <w:bCs/>
                <w:color w:val="C00000"/>
                <w:lang w:val="en-GB"/>
              </w:rPr>
              <w:t>to strong interaction:</w:t>
            </w:r>
          </w:p>
          <w:p w14:paraId="1EC112D9"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 xml:space="preserve">AVOID if possible </w:t>
            </w:r>
          </w:p>
          <w:p w14:paraId="6FFCD004"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Consider LMWH instead. If coadministration is unavoidable, monitor closely for </w:t>
            </w:r>
            <w:proofErr w:type="spellStart"/>
            <w:r w:rsidRPr="00701626">
              <w:rPr>
                <w:rFonts w:cstheme="minorHAnsi"/>
                <w:lang w:val="en-GB"/>
              </w:rPr>
              <w:t>edoxaban</w:t>
            </w:r>
            <w:proofErr w:type="spellEnd"/>
            <w:r w:rsidRPr="00701626">
              <w:rPr>
                <w:rFonts w:cstheme="minorHAnsi"/>
                <w:lang w:val="en-GB"/>
              </w:rPr>
              <w:t xml:space="preserve"> toxicity and efficacy and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48BD5EB8" w14:textId="77777777" w:rsidTr="000C169C">
        <w:trPr>
          <w:trHeight w:val="1117"/>
        </w:trPr>
        <w:tc>
          <w:tcPr>
            <w:tcW w:w="0" w:type="auto"/>
            <w:shd w:val="clear" w:color="auto" w:fill="C00000"/>
          </w:tcPr>
          <w:p w14:paraId="370421F8" w14:textId="77777777" w:rsidR="00D228B0" w:rsidRPr="00CA61E1" w:rsidRDefault="00D228B0" w:rsidP="000C169C">
            <w:pPr>
              <w:spacing w:line="276" w:lineRule="auto"/>
              <w:contextualSpacing/>
              <w:rPr>
                <w:rFonts w:cstheme="minorHAnsi"/>
                <w:b/>
                <w:bCs/>
                <w:i/>
                <w:lang w:val="en-GB"/>
              </w:rPr>
            </w:pPr>
          </w:p>
        </w:tc>
        <w:tc>
          <w:tcPr>
            <w:tcW w:w="0" w:type="auto"/>
            <w:vMerge/>
          </w:tcPr>
          <w:p w14:paraId="3497F41F" w14:textId="77777777" w:rsidR="00D228B0" w:rsidRPr="00701626" w:rsidRDefault="00D228B0" w:rsidP="000C169C">
            <w:pPr>
              <w:spacing w:line="276" w:lineRule="auto"/>
              <w:contextualSpacing/>
              <w:rPr>
                <w:rFonts w:cstheme="minorHAnsi"/>
                <w:lang w:val="en-US"/>
              </w:rPr>
            </w:pPr>
          </w:p>
        </w:tc>
        <w:tc>
          <w:tcPr>
            <w:tcW w:w="0" w:type="auto"/>
            <w:vMerge/>
          </w:tcPr>
          <w:p w14:paraId="447D189C" w14:textId="77777777" w:rsidR="00D228B0" w:rsidRPr="00701626" w:rsidRDefault="00D228B0" w:rsidP="000C169C">
            <w:pPr>
              <w:spacing w:line="276" w:lineRule="auto"/>
              <w:contextualSpacing/>
              <w:rPr>
                <w:rFonts w:cstheme="minorHAnsi"/>
                <w:lang w:val="en-US"/>
              </w:rPr>
            </w:pPr>
          </w:p>
        </w:tc>
        <w:tc>
          <w:tcPr>
            <w:tcW w:w="0" w:type="auto"/>
            <w:vMerge/>
          </w:tcPr>
          <w:p w14:paraId="0E26003A" w14:textId="77777777" w:rsidR="00D228B0" w:rsidRPr="00483AAA" w:rsidRDefault="00D228B0" w:rsidP="000C169C">
            <w:pPr>
              <w:spacing w:line="276" w:lineRule="auto"/>
              <w:contextualSpacing/>
              <w:rPr>
                <w:rFonts w:cstheme="minorHAnsi"/>
                <w:lang w:val="en-GB"/>
                <w:rPrChange w:id="7" w:author="Rocca Bianca (bianca.rocca)" w:date="2021-12-02T08:37:00Z">
                  <w:rPr>
                    <w:rFonts w:cstheme="minorHAnsi"/>
                  </w:rPr>
                </w:rPrChange>
              </w:rPr>
            </w:pPr>
          </w:p>
        </w:tc>
        <w:tc>
          <w:tcPr>
            <w:tcW w:w="0" w:type="auto"/>
            <w:vMerge/>
          </w:tcPr>
          <w:p w14:paraId="62E36598" w14:textId="77777777" w:rsidR="00D228B0" w:rsidRPr="00701626" w:rsidRDefault="00D228B0" w:rsidP="000C169C">
            <w:pPr>
              <w:spacing w:line="276" w:lineRule="auto"/>
              <w:contextualSpacing/>
              <w:rPr>
                <w:rFonts w:cstheme="minorHAnsi"/>
                <w:b/>
                <w:bCs/>
                <w:color w:val="FF9933"/>
                <w:lang w:val="en-GB"/>
              </w:rPr>
            </w:pPr>
          </w:p>
        </w:tc>
      </w:tr>
      <w:tr w:rsidR="00D228B0" w:rsidRPr="005649EC" w14:paraId="14CD1B58" w14:textId="77777777" w:rsidTr="000C169C">
        <w:trPr>
          <w:trHeight w:val="299"/>
        </w:trPr>
        <w:tc>
          <w:tcPr>
            <w:tcW w:w="0" w:type="auto"/>
            <w:shd w:val="clear" w:color="auto" w:fill="FFC000"/>
          </w:tcPr>
          <w:p w14:paraId="23E7A544" w14:textId="77777777" w:rsidR="00D228B0" w:rsidRPr="00701626" w:rsidRDefault="00D228B0" w:rsidP="000C169C">
            <w:pPr>
              <w:spacing w:line="276" w:lineRule="auto"/>
              <w:contextualSpacing/>
              <w:rPr>
                <w:rFonts w:cstheme="minorHAnsi"/>
                <w:b/>
                <w:bCs/>
                <w:i/>
              </w:rPr>
            </w:pPr>
            <w:r w:rsidRPr="00701626">
              <w:rPr>
                <w:rFonts w:cstheme="minorHAnsi"/>
                <w:b/>
                <w:bCs/>
                <w:i/>
              </w:rPr>
              <w:lastRenderedPageBreak/>
              <w:t>Imatinib</w:t>
            </w:r>
          </w:p>
          <w:p w14:paraId="08BBF52D"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Nilotinib</w:t>
            </w:r>
            <w:proofErr w:type="spellEnd"/>
          </w:p>
          <w:p w14:paraId="2DB98029" w14:textId="77777777" w:rsidR="00D228B0" w:rsidRPr="00701626" w:rsidRDefault="00D228B0" w:rsidP="000C169C">
            <w:pPr>
              <w:spacing w:line="276" w:lineRule="auto"/>
              <w:contextualSpacing/>
              <w:rPr>
                <w:rFonts w:cstheme="minorHAnsi"/>
                <w:b/>
                <w:bCs/>
                <w:i/>
              </w:rPr>
            </w:pPr>
            <w:r w:rsidRPr="00701626">
              <w:rPr>
                <w:rFonts w:cstheme="minorHAnsi"/>
                <w:b/>
                <w:bCs/>
                <w:i/>
              </w:rPr>
              <w:t>Lapatinib</w:t>
            </w:r>
          </w:p>
        </w:tc>
        <w:tc>
          <w:tcPr>
            <w:tcW w:w="0" w:type="auto"/>
          </w:tcPr>
          <w:p w14:paraId="4076834E" w14:textId="77777777" w:rsidR="00D228B0" w:rsidRPr="00701626" w:rsidRDefault="00D228B0" w:rsidP="000C169C">
            <w:pPr>
              <w:spacing w:line="276" w:lineRule="auto"/>
              <w:contextualSpacing/>
              <w:rPr>
                <w:rFonts w:cstheme="minorHAnsi"/>
                <w:lang w:val="en-US"/>
              </w:rPr>
            </w:pPr>
            <w:r w:rsidRPr="00701626">
              <w:rPr>
                <w:rFonts w:cstheme="minorHAnsi"/>
              </w:rPr>
              <w:t xml:space="preserve">Moderate </w:t>
            </w:r>
            <w:proofErr w:type="spellStart"/>
            <w:r w:rsidRPr="00701626">
              <w:rPr>
                <w:rFonts w:cstheme="minorHAnsi"/>
              </w:rPr>
              <w:t>inhibitors</w:t>
            </w:r>
            <w:proofErr w:type="spellEnd"/>
            <w:r w:rsidRPr="00701626">
              <w:rPr>
                <w:rFonts w:cstheme="minorHAnsi"/>
              </w:rPr>
              <w:t xml:space="preserve"> of CYP3A4</w:t>
            </w:r>
          </w:p>
        </w:tc>
        <w:tc>
          <w:tcPr>
            <w:tcW w:w="0" w:type="auto"/>
          </w:tcPr>
          <w:p w14:paraId="1D981C15"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Possible increased rivaroxaban concentrations. </w:t>
            </w:r>
          </w:p>
          <w:p w14:paraId="6F7A15D0" w14:textId="77777777" w:rsidR="00D228B0" w:rsidRPr="00701626" w:rsidRDefault="00D228B0" w:rsidP="000C169C">
            <w:pPr>
              <w:spacing w:line="276" w:lineRule="auto"/>
              <w:contextualSpacing/>
              <w:rPr>
                <w:rFonts w:cstheme="minorHAnsi"/>
                <w:b/>
                <w:bCs/>
                <w:lang w:val="en-US"/>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US"/>
              </w:rPr>
              <w:t>bleeding</w:t>
            </w:r>
          </w:p>
        </w:tc>
        <w:tc>
          <w:tcPr>
            <w:tcW w:w="0" w:type="auto"/>
          </w:tcPr>
          <w:p w14:paraId="39A3B1A4"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57E2BBC4" w14:textId="77777777" w:rsidR="00D228B0" w:rsidRPr="00701626" w:rsidRDefault="00D228B0" w:rsidP="000C169C">
            <w:pPr>
              <w:spacing w:line="276" w:lineRule="auto"/>
              <w:contextualSpacing/>
              <w:jc w:val="both"/>
              <w:rPr>
                <w:rFonts w:cstheme="minorHAnsi"/>
                <w:b/>
                <w:bCs/>
                <w:color w:val="FF9900"/>
                <w:lang w:val="en-GB"/>
              </w:rPr>
            </w:pPr>
            <w:r w:rsidRPr="00701626">
              <w:rPr>
                <w:rFonts w:cstheme="minorHAnsi"/>
                <w:b/>
                <w:bCs/>
                <w:color w:val="FF9900"/>
                <w:lang w:val="en-GB"/>
              </w:rPr>
              <w:t>Moderate interaction:</w:t>
            </w:r>
          </w:p>
          <w:p w14:paraId="304A2A37" w14:textId="77777777" w:rsidR="00D228B0" w:rsidRPr="00701626" w:rsidRDefault="00D228B0" w:rsidP="000C169C">
            <w:pPr>
              <w:spacing w:line="276" w:lineRule="auto"/>
              <w:contextualSpacing/>
              <w:jc w:val="both"/>
              <w:rPr>
                <w:rFonts w:cstheme="minorHAnsi"/>
                <w:b/>
                <w:bCs/>
                <w:color w:val="FF9900"/>
                <w:lang w:val="en-GB"/>
              </w:rPr>
            </w:pPr>
            <w:r w:rsidRPr="00701626">
              <w:rPr>
                <w:rFonts w:cstheme="minorHAnsi"/>
                <w:b/>
                <w:bCs/>
                <w:color w:val="FF9900"/>
                <w:lang w:val="en-GB"/>
              </w:rPr>
              <w:t>CAUTION</w:t>
            </w:r>
          </w:p>
          <w:p w14:paraId="28425BEB" w14:textId="77777777" w:rsidR="00D228B0" w:rsidRPr="00701626" w:rsidRDefault="00D228B0" w:rsidP="000C169C">
            <w:pPr>
              <w:spacing w:line="276" w:lineRule="auto"/>
              <w:contextualSpacing/>
              <w:rPr>
                <w:rFonts w:cstheme="minorHAnsi"/>
                <w:lang w:val="en-GB"/>
              </w:rPr>
            </w:pPr>
            <w:r w:rsidRPr="00701626">
              <w:rPr>
                <w:rFonts w:cstheme="minorHAnsi"/>
                <w:lang w:val="en-GB"/>
              </w:rPr>
              <w:t>Monitor closely for signs of bleeding and measure anti-</w:t>
            </w:r>
            <w:proofErr w:type="spellStart"/>
            <w:r w:rsidRPr="00701626">
              <w:rPr>
                <w:rFonts w:cstheme="minorHAnsi"/>
                <w:lang w:val="en-GB"/>
              </w:rPr>
              <w:t>Xa</w:t>
            </w:r>
            <w:proofErr w:type="spellEnd"/>
            <w:r w:rsidRPr="00701626">
              <w:rPr>
                <w:rFonts w:cstheme="minorHAnsi"/>
                <w:lang w:val="en-GB"/>
              </w:rPr>
              <w:t xml:space="preserve"> activity, if necessary.</w:t>
            </w:r>
          </w:p>
        </w:tc>
      </w:tr>
      <w:tr w:rsidR="00D228B0" w:rsidRPr="005649EC" w14:paraId="176A3425" w14:textId="77777777" w:rsidTr="000C169C">
        <w:trPr>
          <w:trHeight w:val="299"/>
        </w:trPr>
        <w:tc>
          <w:tcPr>
            <w:tcW w:w="0" w:type="auto"/>
            <w:shd w:val="clear" w:color="auto" w:fill="FFC000"/>
          </w:tcPr>
          <w:p w14:paraId="1B9EB1B3" w14:textId="77777777" w:rsidR="00D228B0" w:rsidRPr="00701626" w:rsidRDefault="00D228B0" w:rsidP="000C169C">
            <w:pPr>
              <w:spacing w:line="276" w:lineRule="auto"/>
              <w:contextualSpacing/>
              <w:rPr>
                <w:rFonts w:cstheme="minorHAnsi"/>
                <w:b/>
                <w:bCs/>
                <w:i/>
              </w:rPr>
            </w:pPr>
            <w:bookmarkStart w:id="8" w:name="_Hlk79826786"/>
            <w:proofErr w:type="spellStart"/>
            <w:r w:rsidRPr="00701626">
              <w:rPr>
                <w:rFonts w:cstheme="minorHAnsi"/>
                <w:b/>
                <w:bCs/>
                <w:i/>
              </w:rPr>
              <w:t>Idelalisib</w:t>
            </w:r>
            <w:proofErr w:type="spellEnd"/>
          </w:p>
        </w:tc>
        <w:tc>
          <w:tcPr>
            <w:tcW w:w="0" w:type="auto"/>
          </w:tcPr>
          <w:p w14:paraId="3213D261" w14:textId="77777777" w:rsidR="00D228B0" w:rsidRPr="00701626" w:rsidRDefault="00D228B0" w:rsidP="000C169C">
            <w:pPr>
              <w:spacing w:line="276" w:lineRule="auto"/>
              <w:contextualSpacing/>
              <w:rPr>
                <w:rFonts w:cstheme="minorHAnsi"/>
                <w:lang w:val="en-GB"/>
              </w:rPr>
            </w:pPr>
            <w:r w:rsidRPr="00701626">
              <w:rPr>
                <w:rFonts w:cstheme="minorHAnsi"/>
                <w:lang w:val="en-US"/>
              </w:rPr>
              <w:t xml:space="preserve">Primary metabolite of </w:t>
            </w:r>
            <w:proofErr w:type="spellStart"/>
            <w:r w:rsidRPr="00701626">
              <w:rPr>
                <w:rFonts w:cstheme="minorHAnsi"/>
                <w:lang w:val="en-US"/>
              </w:rPr>
              <w:t>idelalisib</w:t>
            </w:r>
            <w:proofErr w:type="spellEnd"/>
            <w:r w:rsidRPr="00701626">
              <w:rPr>
                <w:rFonts w:cstheme="minorHAnsi"/>
                <w:lang w:val="en-US"/>
              </w:rPr>
              <w:t xml:space="preserve"> (GS-563117): strong inhibitor of CYP3A4 </w:t>
            </w:r>
          </w:p>
        </w:tc>
        <w:tc>
          <w:tcPr>
            <w:tcW w:w="0" w:type="auto"/>
          </w:tcPr>
          <w:p w14:paraId="3D7AAF7A" w14:textId="77777777" w:rsidR="00D228B0" w:rsidRPr="00701626" w:rsidRDefault="00D228B0" w:rsidP="000C169C">
            <w:pPr>
              <w:spacing w:line="276" w:lineRule="auto"/>
              <w:contextualSpacing/>
              <w:rPr>
                <w:rFonts w:cstheme="minorHAnsi"/>
                <w:lang w:val="en-GB"/>
              </w:rPr>
            </w:pPr>
            <w:r w:rsidRPr="00701626">
              <w:rPr>
                <w:rFonts w:cstheme="minorHAnsi"/>
                <w:lang w:val="en-GB"/>
              </w:rPr>
              <w:t>May increase concentrations of apixaban</w:t>
            </w:r>
          </w:p>
          <w:p w14:paraId="26AAA5CD" w14:textId="77777777" w:rsidR="00D228B0" w:rsidRPr="00701626" w:rsidRDefault="00D228B0" w:rsidP="000C169C">
            <w:pPr>
              <w:spacing w:line="276" w:lineRule="auto"/>
              <w:contextualSpacing/>
              <w:rPr>
                <w:rFonts w:cstheme="minorHAnsi"/>
                <w:b/>
                <w:lang w:val="en-GB"/>
              </w:rPr>
            </w:pPr>
            <w:r w:rsidRPr="00701626">
              <w:rPr>
                <w:rFonts w:cstheme="minorHAnsi"/>
                <w:b/>
              </w:rPr>
              <w:sym w:font="Wingdings 3" w:char="F023"/>
            </w:r>
            <w:r w:rsidRPr="00701626">
              <w:rPr>
                <w:rFonts w:cstheme="minorHAnsi"/>
                <w:b/>
                <w:lang w:val="en-GB"/>
              </w:rPr>
              <w:t xml:space="preserve"> risk of bleeding</w:t>
            </w:r>
          </w:p>
        </w:tc>
        <w:tc>
          <w:tcPr>
            <w:tcW w:w="0" w:type="auto"/>
          </w:tcPr>
          <w:p w14:paraId="7BA77213"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61D0437A" w14:textId="77777777" w:rsidR="00D228B0" w:rsidRPr="00701626" w:rsidRDefault="00D228B0" w:rsidP="000C169C">
            <w:pPr>
              <w:spacing w:line="276" w:lineRule="auto"/>
              <w:contextualSpacing/>
              <w:rPr>
                <w:rFonts w:cstheme="minorHAnsi"/>
                <w:b/>
                <w:bCs/>
                <w:color w:val="FF9900"/>
                <w:lang w:val="en-GB"/>
              </w:rPr>
            </w:pPr>
            <w:r w:rsidRPr="00701626">
              <w:rPr>
                <w:rFonts w:cstheme="minorHAnsi"/>
                <w:b/>
                <w:bCs/>
                <w:color w:val="FF9900"/>
                <w:lang w:val="en-GB"/>
              </w:rPr>
              <w:t>Moderate interaction:</w:t>
            </w:r>
          </w:p>
          <w:p w14:paraId="0DB993D6" w14:textId="77777777" w:rsidR="00D228B0" w:rsidRPr="00701626" w:rsidRDefault="00D228B0" w:rsidP="000C169C">
            <w:pPr>
              <w:spacing w:line="276" w:lineRule="auto"/>
              <w:contextualSpacing/>
              <w:rPr>
                <w:rFonts w:cstheme="minorHAnsi"/>
                <w:b/>
                <w:bCs/>
                <w:color w:val="FF9900"/>
                <w:lang w:val="en-GB"/>
              </w:rPr>
            </w:pPr>
            <w:r w:rsidRPr="00701626">
              <w:rPr>
                <w:rFonts w:cstheme="minorHAnsi"/>
                <w:b/>
                <w:bCs/>
                <w:color w:val="FF9900"/>
                <w:lang w:val="en-GB"/>
              </w:rPr>
              <w:t>CAUTION</w:t>
            </w:r>
          </w:p>
          <w:p w14:paraId="23693D87" w14:textId="77777777" w:rsidR="00D228B0" w:rsidRPr="00701626" w:rsidRDefault="00D228B0" w:rsidP="000C169C">
            <w:pPr>
              <w:spacing w:line="276" w:lineRule="auto"/>
              <w:contextualSpacing/>
              <w:rPr>
                <w:rFonts w:cstheme="minorHAnsi"/>
                <w:lang w:val="en-GB"/>
              </w:rPr>
            </w:pPr>
            <w:r w:rsidRPr="00701626">
              <w:rPr>
                <w:rFonts w:cstheme="minorHAnsi"/>
                <w:lang w:val="en-GB"/>
              </w:rPr>
              <w:t>If coadministration is necessary, monitor closely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6054E639" w14:textId="77777777" w:rsidTr="000C169C">
        <w:trPr>
          <w:trHeight w:val="299"/>
        </w:trPr>
        <w:tc>
          <w:tcPr>
            <w:tcW w:w="0" w:type="auto"/>
            <w:shd w:val="clear" w:color="auto" w:fill="FFC000"/>
          </w:tcPr>
          <w:p w14:paraId="605F2996" w14:textId="77777777" w:rsidR="00D228B0" w:rsidRPr="00701626" w:rsidRDefault="00D228B0" w:rsidP="000C169C">
            <w:pPr>
              <w:spacing w:line="276" w:lineRule="auto"/>
              <w:contextualSpacing/>
              <w:rPr>
                <w:rFonts w:cstheme="minorHAnsi"/>
                <w:b/>
                <w:bCs/>
                <w:i/>
              </w:rPr>
            </w:pPr>
            <w:proofErr w:type="spellStart"/>
            <w:r w:rsidRPr="00701626">
              <w:rPr>
                <w:rFonts w:cstheme="minorHAnsi"/>
                <w:b/>
                <w:bCs/>
                <w:i/>
              </w:rPr>
              <w:t>Ribociclib</w:t>
            </w:r>
            <w:proofErr w:type="spellEnd"/>
          </w:p>
        </w:tc>
        <w:tc>
          <w:tcPr>
            <w:tcW w:w="0" w:type="auto"/>
          </w:tcPr>
          <w:p w14:paraId="3DCB3789" w14:textId="77777777" w:rsidR="00D228B0" w:rsidRPr="00701626" w:rsidRDefault="00D228B0" w:rsidP="000C169C">
            <w:pPr>
              <w:spacing w:line="276" w:lineRule="auto"/>
              <w:contextualSpacing/>
              <w:rPr>
                <w:rFonts w:cstheme="minorHAnsi"/>
                <w:lang w:val="en-US"/>
              </w:rPr>
            </w:pPr>
            <w:r w:rsidRPr="00701626">
              <w:rPr>
                <w:rFonts w:cstheme="minorHAnsi"/>
                <w:lang w:val="en-US"/>
              </w:rPr>
              <w:t>Moderate inhibitor of CYP3A4, P-</w:t>
            </w:r>
            <w:proofErr w:type="spellStart"/>
            <w:r w:rsidRPr="00701626">
              <w:rPr>
                <w:rFonts w:cstheme="minorHAnsi"/>
                <w:lang w:val="en-US"/>
              </w:rPr>
              <w:t>gp</w:t>
            </w:r>
            <w:proofErr w:type="spellEnd"/>
            <w:r w:rsidRPr="00701626">
              <w:rPr>
                <w:rFonts w:cstheme="minorHAnsi"/>
                <w:lang w:val="en-US"/>
              </w:rPr>
              <w:t xml:space="preserve"> and BCRP</w:t>
            </w:r>
          </w:p>
        </w:tc>
        <w:tc>
          <w:tcPr>
            <w:tcW w:w="0" w:type="auto"/>
          </w:tcPr>
          <w:p w14:paraId="381E46A8" w14:textId="77777777" w:rsidR="00D228B0" w:rsidRPr="00701626" w:rsidRDefault="00D228B0" w:rsidP="000C169C">
            <w:pPr>
              <w:spacing w:line="276" w:lineRule="auto"/>
              <w:contextualSpacing/>
              <w:rPr>
                <w:rFonts w:cstheme="minorHAnsi"/>
                <w:lang w:val="en-US"/>
              </w:rPr>
            </w:pPr>
            <w:r w:rsidRPr="00701626">
              <w:rPr>
                <w:rFonts w:cstheme="minorHAnsi"/>
                <w:lang w:val="en-US"/>
              </w:rPr>
              <w:t>Concentrations of rivaroxaban may be increased. High variability in response</w:t>
            </w:r>
          </w:p>
          <w:p w14:paraId="7C89643C" w14:textId="77777777" w:rsidR="00D228B0" w:rsidRPr="00701626" w:rsidRDefault="00D228B0" w:rsidP="000C169C">
            <w:pPr>
              <w:spacing w:line="276" w:lineRule="auto"/>
              <w:contextualSpacing/>
              <w:rPr>
                <w:rFonts w:cstheme="minorHAnsi"/>
                <w:lang w:val="en-US"/>
              </w:rPr>
            </w:pPr>
            <w:r w:rsidRPr="00701626">
              <w:rPr>
                <w:rFonts w:cstheme="minorHAnsi"/>
                <w:b/>
              </w:rPr>
              <w:sym w:font="Wingdings 3" w:char="F023"/>
            </w:r>
            <w:r w:rsidRPr="00701626">
              <w:rPr>
                <w:rFonts w:cstheme="minorHAnsi"/>
                <w:b/>
                <w:lang w:val="en-GB"/>
              </w:rPr>
              <w:t xml:space="preserve"> </w:t>
            </w:r>
            <w:r w:rsidRPr="00701626">
              <w:rPr>
                <w:rFonts w:cstheme="minorHAnsi"/>
                <w:b/>
                <w:bCs/>
                <w:iCs/>
                <w:lang w:val="en-GB"/>
              </w:rPr>
              <w:t xml:space="preserve">risk of </w:t>
            </w:r>
            <w:r w:rsidRPr="00701626">
              <w:rPr>
                <w:rFonts w:cstheme="minorHAnsi"/>
                <w:b/>
                <w:bCs/>
                <w:lang w:val="en-US"/>
              </w:rPr>
              <w:t>bleeding</w:t>
            </w:r>
          </w:p>
        </w:tc>
        <w:tc>
          <w:tcPr>
            <w:tcW w:w="0" w:type="auto"/>
          </w:tcPr>
          <w:p w14:paraId="3DD73D65" w14:textId="77777777" w:rsidR="00D228B0" w:rsidRPr="00701626" w:rsidRDefault="00D228B0" w:rsidP="000C169C">
            <w:pPr>
              <w:spacing w:line="276" w:lineRule="auto"/>
              <w:contextualSpacing/>
              <w:rPr>
                <w:rFonts w:cstheme="minorHAnsi"/>
                <w:lang w:val="en-US"/>
              </w:rPr>
            </w:pPr>
            <w:r w:rsidRPr="00701626">
              <w:rPr>
                <w:rFonts w:cstheme="minorHAnsi"/>
                <w:lang w:val="en-US"/>
              </w:rPr>
              <w:t>None</w:t>
            </w:r>
          </w:p>
        </w:tc>
        <w:tc>
          <w:tcPr>
            <w:tcW w:w="0" w:type="auto"/>
          </w:tcPr>
          <w:p w14:paraId="055B1F3E" w14:textId="77777777" w:rsidR="00D228B0" w:rsidRPr="00701626" w:rsidRDefault="00D228B0" w:rsidP="000C169C">
            <w:pPr>
              <w:spacing w:line="276" w:lineRule="auto"/>
              <w:contextualSpacing/>
              <w:rPr>
                <w:rFonts w:cstheme="minorHAnsi"/>
                <w:b/>
                <w:bCs/>
                <w:color w:val="FF9900"/>
                <w:lang w:val="en-GB"/>
              </w:rPr>
            </w:pPr>
            <w:r w:rsidRPr="00701626">
              <w:rPr>
                <w:rFonts w:cstheme="minorHAnsi"/>
                <w:b/>
                <w:bCs/>
                <w:color w:val="FF9900"/>
                <w:lang w:val="en-GB"/>
              </w:rPr>
              <w:t>Moderate interaction:</w:t>
            </w:r>
          </w:p>
          <w:p w14:paraId="13CA2EF2" w14:textId="77777777" w:rsidR="00D228B0" w:rsidRPr="00701626" w:rsidRDefault="00D228B0" w:rsidP="000C169C">
            <w:pPr>
              <w:spacing w:line="276" w:lineRule="auto"/>
              <w:contextualSpacing/>
              <w:rPr>
                <w:rFonts w:cstheme="minorHAnsi"/>
                <w:b/>
                <w:bCs/>
                <w:color w:val="FF9900"/>
                <w:lang w:val="en-GB"/>
              </w:rPr>
            </w:pPr>
            <w:r w:rsidRPr="00701626">
              <w:rPr>
                <w:rFonts w:cstheme="minorHAnsi"/>
                <w:b/>
                <w:bCs/>
                <w:color w:val="FF9900"/>
                <w:lang w:val="en-GB"/>
              </w:rPr>
              <w:t>CAUTION</w:t>
            </w:r>
          </w:p>
          <w:p w14:paraId="4E77ADD7" w14:textId="77777777" w:rsidR="00D228B0" w:rsidRPr="00701626" w:rsidRDefault="00D228B0" w:rsidP="000C169C">
            <w:pPr>
              <w:spacing w:line="276" w:lineRule="auto"/>
              <w:contextualSpacing/>
              <w:rPr>
                <w:rFonts w:cstheme="minorHAnsi"/>
                <w:color w:val="FF9900"/>
                <w:lang w:val="en-GB"/>
              </w:rPr>
            </w:pPr>
            <w:r w:rsidRPr="00701626">
              <w:rPr>
                <w:rFonts w:cstheme="minorHAnsi"/>
                <w:lang w:val="en-GB"/>
              </w:rPr>
              <w:t>If coadministration is necessary, monitor closely for apixaban anti-</w:t>
            </w:r>
            <w:proofErr w:type="spellStart"/>
            <w:r w:rsidRPr="00701626">
              <w:rPr>
                <w:rFonts w:cstheme="minorHAnsi"/>
                <w:lang w:val="en-GB"/>
              </w:rPr>
              <w:t>Xa</w:t>
            </w:r>
            <w:proofErr w:type="spellEnd"/>
            <w:r w:rsidRPr="00701626">
              <w:rPr>
                <w:rFonts w:cstheme="minorHAnsi"/>
                <w:lang w:val="en-GB"/>
              </w:rPr>
              <w:t xml:space="preserve"> activity, if available.</w:t>
            </w:r>
          </w:p>
        </w:tc>
      </w:tr>
      <w:tr w:rsidR="00D228B0" w:rsidRPr="005649EC" w14:paraId="0B2F9FC6" w14:textId="77777777" w:rsidTr="000C169C">
        <w:trPr>
          <w:trHeight w:val="299"/>
        </w:trPr>
        <w:tc>
          <w:tcPr>
            <w:tcW w:w="0" w:type="auto"/>
            <w:gridSpan w:val="5"/>
            <w:shd w:val="clear" w:color="auto" w:fill="D9D9D9" w:themeFill="background1" w:themeFillShade="D9"/>
          </w:tcPr>
          <w:p w14:paraId="3410FFBC" w14:textId="77777777" w:rsidR="00D228B0" w:rsidRPr="00701626" w:rsidRDefault="00D228B0" w:rsidP="000C169C">
            <w:pPr>
              <w:spacing w:line="276" w:lineRule="auto"/>
              <w:contextualSpacing/>
              <w:rPr>
                <w:rFonts w:cstheme="minorHAnsi"/>
                <w:b/>
                <w:i/>
                <w:lang w:val="en-GB"/>
              </w:rPr>
            </w:pPr>
            <w:r w:rsidRPr="00701626">
              <w:rPr>
                <w:rFonts w:cstheme="minorHAnsi"/>
                <w:b/>
                <w:iCs/>
                <w:lang w:val="en-GB"/>
              </w:rPr>
              <w:t>ALL ANTITHROMBOTIC DRUGS</w:t>
            </w:r>
            <w:r w:rsidRPr="00701626">
              <w:rPr>
                <w:rFonts w:cstheme="minorHAnsi"/>
                <w:b/>
                <w:i/>
                <w:lang w:val="en-GB"/>
              </w:rPr>
              <w:t xml:space="preserve"> (antiplatelet and anticoagulant, oral or parenteral drugs) plus …</w:t>
            </w:r>
          </w:p>
        </w:tc>
      </w:tr>
      <w:tr w:rsidR="00D228B0" w:rsidRPr="005649EC" w14:paraId="7A392DBF" w14:textId="77777777" w:rsidTr="000C169C">
        <w:trPr>
          <w:trHeight w:val="299"/>
        </w:trPr>
        <w:tc>
          <w:tcPr>
            <w:tcW w:w="0" w:type="auto"/>
            <w:shd w:val="clear" w:color="auto" w:fill="FFC000"/>
          </w:tcPr>
          <w:p w14:paraId="3D11258E" w14:textId="77777777" w:rsidR="00D228B0" w:rsidRPr="00701626" w:rsidRDefault="00D228B0" w:rsidP="000C169C">
            <w:pPr>
              <w:spacing w:line="276" w:lineRule="auto"/>
              <w:contextualSpacing/>
              <w:rPr>
                <w:rFonts w:cstheme="minorHAnsi"/>
                <w:b/>
                <w:bCs/>
                <w:i/>
                <w:lang w:val="en-GB"/>
              </w:rPr>
            </w:pPr>
            <w:r w:rsidRPr="00701626">
              <w:rPr>
                <w:rFonts w:cstheme="minorHAnsi"/>
                <w:b/>
                <w:bCs/>
                <w:i/>
                <w:lang w:val="en-GB"/>
              </w:rPr>
              <w:t xml:space="preserve">Ponatinib, </w:t>
            </w:r>
            <w:proofErr w:type="spellStart"/>
            <w:r w:rsidRPr="00701626">
              <w:rPr>
                <w:rFonts w:cstheme="minorHAnsi"/>
                <w:b/>
                <w:bCs/>
                <w:i/>
                <w:lang w:val="en-GB"/>
              </w:rPr>
              <w:t>ipililumab</w:t>
            </w:r>
            <w:proofErr w:type="spellEnd"/>
            <w:r w:rsidRPr="00701626">
              <w:rPr>
                <w:rFonts w:cstheme="minorHAnsi"/>
                <w:b/>
                <w:bCs/>
                <w:i/>
                <w:lang w:val="en-GB"/>
              </w:rPr>
              <w:t xml:space="preserve">, trametinib, ibrutinib, </w:t>
            </w:r>
            <w:proofErr w:type="spellStart"/>
            <w:r w:rsidRPr="00701626">
              <w:rPr>
                <w:rFonts w:cstheme="minorHAnsi"/>
                <w:b/>
                <w:bCs/>
                <w:i/>
                <w:lang w:val="en-GB"/>
              </w:rPr>
              <w:t>cobimetinib</w:t>
            </w:r>
            <w:proofErr w:type="spellEnd"/>
            <w:r w:rsidRPr="00701626">
              <w:rPr>
                <w:rFonts w:cstheme="minorHAnsi"/>
                <w:b/>
                <w:bCs/>
                <w:i/>
                <w:lang w:val="en-GB"/>
              </w:rPr>
              <w:t xml:space="preserve">, </w:t>
            </w:r>
          </w:p>
          <w:p w14:paraId="55DA7C05" w14:textId="77777777" w:rsidR="00D228B0" w:rsidRPr="00701626" w:rsidRDefault="00D228B0" w:rsidP="000C169C">
            <w:pPr>
              <w:spacing w:line="276" w:lineRule="auto"/>
              <w:contextualSpacing/>
              <w:rPr>
                <w:rFonts w:cstheme="minorHAnsi"/>
                <w:b/>
                <w:bCs/>
                <w:i/>
                <w:lang w:val="en-GB"/>
              </w:rPr>
            </w:pPr>
            <w:proofErr w:type="spellStart"/>
            <w:r w:rsidRPr="00701626">
              <w:rPr>
                <w:rFonts w:cstheme="minorHAnsi"/>
                <w:b/>
                <w:bCs/>
                <w:i/>
                <w:lang w:val="en-GB"/>
              </w:rPr>
              <w:t>nirapanib</w:t>
            </w:r>
            <w:proofErr w:type="spellEnd"/>
          </w:p>
          <w:p w14:paraId="39D4B7F0" w14:textId="77777777" w:rsidR="00D228B0" w:rsidRPr="00701626" w:rsidRDefault="00D228B0" w:rsidP="000C169C">
            <w:pPr>
              <w:spacing w:line="276" w:lineRule="auto"/>
              <w:contextualSpacing/>
              <w:rPr>
                <w:rFonts w:cstheme="minorHAnsi"/>
                <w:b/>
                <w:bCs/>
                <w:i/>
                <w:lang w:val="en-GB"/>
              </w:rPr>
            </w:pPr>
            <w:r w:rsidRPr="00701626">
              <w:rPr>
                <w:rFonts w:cstheme="minorHAnsi"/>
                <w:b/>
                <w:bCs/>
                <w:i/>
                <w:lang w:val="en-GB"/>
              </w:rPr>
              <w:t>tivozanib</w:t>
            </w:r>
          </w:p>
          <w:p w14:paraId="30A15026" w14:textId="77777777" w:rsidR="00D228B0" w:rsidRPr="00701626" w:rsidRDefault="00D228B0" w:rsidP="000C169C">
            <w:pPr>
              <w:spacing w:line="276" w:lineRule="auto"/>
              <w:contextualSpacing/>
              <w:rPr>
                <w:rFonts w:cstheme="minorHAnsi"/>
                <w:b/>
                <w:bCs/>
                <w:i/>
                <w:lang w:val="en-GB"/>
              </w:rPr>
            </w:pPr>
            <w:r w:rsidRPr="00701626">
              <w:rPr>
                <w:rFonts w:cstheme="minorHAnsi"/>
                <w:b/>
                <w:bCs/>
                <w:i/>
                <w:lang w:val="en-GB"/>
              </w:rPr>
              <w:t>acalabrutinib</w:t>
            </w:r>
          </w:p>
          <w:p w14:paraId="378C931A" w14:textId="77777777" w:rsidR="00D228B0" w:rsidRPr="00701626" w:rsidRDefault="00D228B0" w:rsidP="000C169C">
            <w:pPr>
              <w:spacing w:line="276" w:lineRule="auto"/>
              <w:contextualSpacing/>
              <w:rPr>
                <w:rFonts w:cstheme="minorHAnsi"/>
                <w:i/>
                <w:lang w:val="en-GB"/>
              </w:rPr>
            </w:pPr>
            <w:r w:rsidRPr="00701626">
              <w:rPr>
                <w:rFonts w:cstheme="minorHAnsi"/>
                <w:b/>
                <w:bCs/>
                <w:i/>
                <w:lang w:val="en-GB"/>
              </w:rPr>
              <w:t>trastuzumab-emtansine</w:t>
            </w:r>
          </w:p>
        </w:tc>
        <w:tc>
          <w:tcPr>
            <w:tcW w:w="0" w:type="auto"/>
          </w:tcPr>
          <w:p w14:paraId="26F4295C" w14:textId="77777777" w:rsidR="00D228B0" w:rsidRPr="00701626" w:rsidRDefault="00D228B0" w:rsidP="000C169C">
            <w:pPr>
              <w:spacing w:line="276" w:lineRule="auto"/>
              <w:contextualSpacing/>
              <w:rPr>
                <w:rFonts w:cstheme="minorHAnsi"/>
                <w:lang w:val="en-GB"/>
              </w:rPr>
            </w:pPr>
            <w:r w:rsidRPr="00701626">
              <w:rPr>
                <w:rFonts w:cstheme="minorHAnsi"/>
                <w:lang w:val="en-GB"/>
              </w:rPr>
              <w:t xml:space="preserve">Not CYP-based interaction. </w:t>
            </w:r>
          </w:p>
          <w:p w14:paraId="7FE36AE3" w14:textId="77777777" w:rsidR="00D228B0" w:rsidRPr="00701626" w:rsidRDefault="00D228B0" w:rsidP="000C169C">
            <w:pPr>
              <w:spacing w:line="276" w:lineRule="auto"/>
              <w:contextualSpacing/>
              <w:rPr>
                <w:rFonts w:cstheme="minorHAnsi"/>
                <w:lang w:val="en-GB"/>
              </w:rPr>
            </w:pPr>
            <w:r w:rsidRPr="00701626">
              <w:rPr>
                <w:rFonts w:cstheme="minorHAnsi"/>
                <w:lang w:val="en-GB"/>
              </w:rPr>
              <w:t>Pharmacodynamic interaction based on an anti-haemostatic effect of each anti-cancer drug alone</w:t>
            </w:r>
          </w:p>
        </w:tc>
        <w:tc>
          <w:tcPr>
            <w:tcW w:w="0" w:type="auto"/>
          </w:tcPr>
          <w:p w14:paraId="528876B5" w14:textId="77777777" w:rsidR="00D228B0" w:rsidRPr="00701626" w:rsidRDefault="00D228B0" w:rsidP="000C169C">
            <w:pPr>
              <w:spacing w:line="276" w:lineRule="auto"/>
              <w:contextualSpacing/>
              <w:rPr>
                <w:rFonts w:cstheme="minorHAnsi"/>
              </w:rPr>
            </w:pPr>
            <w:r w:rsidRPr="00701626">
              <w:rPr>
                <w:rFonts w:cstheme="minorHAnsi"/>
                <w:b/>
              </w:rPr>
              <w:sym w:font="Wingdings 3" w:char="F023"/>
            </w:r>
            <w:r w:rsidRPr="00701626">
              <w:rPr>
                <w:rFonts w:cstheme="minorHAnsi"/>
                <w:b/>
              </w:rPr>
              <w:t xml:space="preserve"> </w:t>
            </w:r>
            <w:r w:rsidRPr="00701626">
              <w:rPr>
                <w:rFonts w:cstheme="minorHAnsi"/>
                <w:b/>
                <w:bCs/>
                <w:iCs/>
              </w:rPr>
              <w:t xml:space="preserve">risk of </w:t>
            </w:r>
            <w:r w:rsidRPr="00701626">
              <w:rPr>
                <w:rFonts w:cstheme="minorHAnsi"/>
                <w:b/>
                <w:bCs/>
                <w:lang w:val="en-US"/>
              </w:rPr>
              <w:t>bleeding</w:t>
            </w:r>
          </w:p>
        </w:tc>
        <w:tc>
          <w:tcPr>
            <w:tcW w:w="0" w:type="auto"/>
          </w:tcPr>
          <w:p w14:paraId="583EDB7D" w14:textId="77777777" w:rsidR="00D228B0" w:rsidRPr="00701626" w:rsidRDefault="00D228B0" w:rsidP="000C169C">
            <w:pPr>
              <w:spacing w:line="276" w:lineRule="auto"/>
              <w:contextualSpacing/>
              <w:rPr>
                <w:rFonts w:cstheme="minorHAnsi"/>
              </w:rPr>
            </w:pPr>
            <w:r w:rsidRPr="00701626">
              <w:rPr>
                <w:rFonts w:cstheme="minorHAnsi"/>
              </w:rPr>
              <w:t>None</w:t>
            </w:r>
          </w:p>
        </w:tc>
        <w:tc>
          <w:tcPr>
            <w:tcW w:w="0" w:type="auto"/>
          </w:tcPr>
          <w:p w14:paraId="7E772D2A" w14:textId="77777777" w:rsidR="00D228B0" w:rsidRPr="00701626" w:rsidRDefault="00D228B0" w:rsidP="000C169C">
            <w:pPr>
              <w:spacing w:line="276" w:lineRule="auto"/>
              <w:contextualSpacing/>
              <w:rPr>
                <w:rFonts w:cstheme="minorHAnsi"/>
                <w:b/>
                <w:bCs/>
                <w:color w:val="FF9900"/>
                <w:lang w:val="en-GB"/>
              </w:rPr>
            </w:pPr>
            <w:r w:rsidRPr="00701626">
              <w:rPr>
                <w:rFonts w:cstheme="minorHAnsi"/>
                <w:b/>
                <w:bCs/>
                <w:color w:val="FF9900"/>
                <w:lang w:val="en-GB"/>
              </w:rPr>
              <w:t>Clinically relevant interaction:</w:t>
            </w:r>
          </w:p>
          <w:p w14:paraId="3D0C8D88" w14:textId="77777777" w:rsidR="00D228B0" w:rsidRPr="00701626" w:rsidRDefault="00D228B0" w:rsidP="000C169C">
            <w:pPr>
              <w:spacing w:line="276" w:lineRule="auto"/>
              <w:contextualSpacing/>
              <w:rPr>
                <w:rFonts w:cstheme="minorHAnsi"/>
                <w:b/>
                <w:bCs/>
                <w:color w:val="FF9900"/>
                <w:lang w:val="en-GB"/>
              </w:rPr>
            </w:pPr>
            <w:r w:rsidRPr="00701626">
              <w:rPr>
                <w:rFonts w:cstheme="minorHAnsi"/>
                <w:b/>
                <w:bCs/>
                <w:color w:val="FF9900"/>
                <w:lang w:val="en-GB"/>
              </w:rPr>
              <w:t xml:space="preserve">CAUTION </w:t>
            </w:r>
          </w:p>
          <w:p w14:paraId="259E7C31" w14:textId="77777777" w:rsidR="00D228B0" w:rsidRPr="00701626" w:rsidRDefault="00D228B0" w:rsidP="000C169C">
            <w:pPr>
              <w:spacing w:line="276" w:lineRule="auto"/>
              <w:contextualSpacing/>
              <w:rPr>
                <w:rFonts w:cstheme="minorHAnsi"/>
                <w:b/>
                <w:bCs/>
                <w:color w:val="C00000"/>
                <w:lang w:val="en-GB"/>
              </w:rPr>
            </w:pPr>
            <w:r w:rsidRPr="00701626">
              <w:rPr>
                <w:rFonts w:cstheme="minorHAnsi"/>
                <w:b/>
                <w:bCs/>
                <w:color w:val="C00000"/>
                <w:lang w:val="en-GB"/>
              </w:rPr>
              <w:t>AVOID in grade 3-4 TP.</w:t>
            </w:r>
          </w:p>
          <w:p w14:paraId="4C0F18D9" w14:textId="77777777" w:rsidR="00D228B0" w:rsidRPr="00701626" w:rsidRDefault="00D228B0" w:rsidP="000C169C">
            <w:pPr>
              <w:spacing w:line="276" w:lineRule="auto"/>
              <w:contextualSpacing/>
              <w:rPr>
                <w:rFonts w:cstheme="minorHAnsi"/>
                <w:lang w:val="en-GB"/>
              </w:rPr>
            </w:pPr>
            <w:r w:rsidRPr="00701626">
              <w:rPr>
                <w:rFonts w:cstheme="minorHAnsi"/>
                <w:lang w:val="en-GB"/>
              </w:rPr>
              <w:t>Closely monitor for signs and symptoms of bleeding. Measure laboratory biomarkers, if available to maintain antithrombotic drugs in the therapeutic range.</w:t>
            </w:r>
          </w:p>
        </w:tc>
      </w:tr>
      <w:bookmarkEnd w:id="8"/>
    </w:tbl>
    <w:p w14:paraId="7E9CEE52" w14:textId="77777777" w:rsidR="00D228B0" w:rsidRPr="005B21E1" w:rsidRDefault="00D228B0" w:rsidP="00D228B0">
      <w:pPr>
        <w:spacing w:line="360" w:lineRule="auto"/>
        <w:contextualSpacing/>
        <w:rPr>
          <w:rFonts w:asciiTheme="majorBidi" w:hAnsiTheme="majorBidi" w:cstheme="majorBidi"/>
          <w:lang w:val="en-GB"/>
        </w:rPr>
      </w:pPr>
    </w:p>
    <w:p w14:paraId="656FBC65" w14:textId="587288C9" w:rsidR="00D228B0" w:rsidRPr="00701626" w:rsidRDefault="00D228B0" w:rsidP="00D228B0">
      <w:pPr>
        <w:spacing w:line="276" w:lineRule="auto"/>
        <w:contextualSpacing/>
        <w:rPr>
          <w:rFonts w:ascii="Times New Roman" w:hAnsi="Times New Roman" w:cs="Times New Roman"/>
          <w:b/>
          <w:lang w:val="en-GB"/>
        </w:rPr>
      </w:pPr>
      <w:r w:rsidRPr="00701626">
        <w:rPr>
          <w:rFonts w:ascii="Times New Roman" w:hAnsi="Times New Roman" w:cs="Times New Roman"/>
          <w:lang w:val="en-GB"/>
        </w:rPr>
        <w:t xml:space="preserve">Antithrombotic drugs that may generate clinically relevant DDI with drugs currently used in cancer patients. The possible mechanisms of DDIs are specified, the effect on the safety or efficacy of the antiplatelet drug and consensus </w:t>
      </w:r>
      <w:r w:rsidR="007E3F6F" w:rsidRPr="00701626">
        <w:rPr>
          <w:rFonts w:ascii="Times New Roman" w:hAnsi="Times New Roman" w:cs="Times New Roman"/>
          <w:lang w:val="en-GB"/>
        </w:rPr>
        <w:t>advice</w:t>
      </w:r>
      <w:r w:rsidRPr="00701626">
        <w:rPr>
          <w:rFonts w:ascii="Times New Roman" w:hAnsi="Times New Roman" w:cs="Times New Roman"/>
          <w:lang w:val="en-GB"/>
        </w:rPr>
        <w:t xml:space="preserve"> are provided based on available evidence and/or underlying mechanisms</w:t>
      </w:r>
      <w:r w:rsidRPr="00701626">
        <w:rPr>
          <w:rFonts w:ascii="Times New Roman" w:hAnsi="Times New Roman" w:cs="Times New Roman"/>
          <w:bCs/>
          <w:lang w:val="en-GB"/>
        </w:rPr>
        <w:t xml:space="preserve">, independent of TP </w:t>
      </w:r>
      <w:r w:rsidRPr="00701626">
        <w:rPr>
          <w:rFonts w:asciiTheme="majorBidi" w:hAnsiTheme="majorBidi" w:cstheme="majorBidi"/>
          <w:lang w:val="en-GB"/>
        </w:rPr>
        <w:t>§</w:t>
      </w:r>
      <w:r w:rsidRPr="00701626">
        <w:rPr>
          <w:rFonts w:ascii="Times New Roman" w:hAnsi="Times New Roman" w:cs="Times New Roman"/>
          <w:bCs/>
          <w:lang w:val="en-GB"/>
        </w:rPr>
        <w:t>.</w:t>
      </w:r>
      <w:r w:rsidRPr="00701626">
        <w:rPr>
          <w:rFonts w:ascii="Times New Roman" w:hAnsi="Times New Roman" w:cs="Times New Roman"/>
          <w:b/>
          <w:lang w:val="en-GB"/>
        </w:rPr>
        <w:t xml:space="preserve"> </w:t>
      </w:r>
    </w:p>
    <w:p w14:paraId="0A9B4B3B" w14:textId="6AE4D153" w:rsidR="00D228B0" w:rsidRPr="00701626" w:rsidRDefault="00D228B0" w:rsidP="00D228B0">
      <w:pPr>
        <w:spacing w:line="276" w:lineRule="auto"/>
        <w:contextualSpacing/>
        <w:rPr>
          <w:rFonts w:ascii="Times New Roman" w:hAnsi="Times New Roman" w:cs="Times New Roman"/>
          <w:lang w:val="en-GB"/>
        </w:rPr>
      </w:pPr>
      <w:r w:rsidRPr="00701626">
        <w:rPr>
          <w:rFonts w:ascii="Times New Roman" w:hAnsi="Times New Roman" w:cs="Times New Roman"/>
          <w:bCs/>
          <w:lang w:val="en-GB"/>
        </w:rPr>
        <w:lastRenderedPageBreak/>
        <w:t>The table is divided into sections according to the type of antithrombotic medication. For each type of antithrombotic medication, only the clinically relevant interactions with drugs used in the cancer setting, are shown. For each antithrombotic medication, concomitant anti-cancer drugs which warrant caution are shaded in orange, while drugs which should be avoided or are contraindicated are shaded in dark red.  The summary and advice are based upon d</w:t>
      </w:r>
      <w:r w:rsidRPr="00701626">
        <w:rPr>
          <w:rFonts w:ascii="Times New Roman" w:hAnsi="Times New Roman" w:cs="Times New Roman"/>
          <w:lang w:val="en-GB"/>
        </w:rPr>
        <w:t xml:space="preserve">ata from </w:t>
      </w:r>
      <w:r w:rsidR="00585248">
        <w:fldChar w:fldCharType="begin"/>
      </w:r>
      <w:r w:rsidR="00585248" w:rsidRPr="005649EC">
        <w:rPr>
          <w:lang w:val="en-US"/>
        </w:rPr>
        <w:instrText xml:space="preserve"> HYPERLINK "https://cancer-druginteractions.org/checker" </w:instrText>
      </w:r>
      <w:r w:rsidR="00585248">
        <w:fldChar w:fldCharType="separate"/>
      </w:r>
      <w:r w:rsidRPr="00701626">
        <w:rPr>
          <w:rStyle w:val="Collegamentoipertestuale"/>
          <w:rFonts w:ascii="Times New Roman" w:hAnsi="Times New Roman" w:cs="Times New Roman"/>
          <w:lang w:val="en-GB"/>
        </w:rPr>
        <w:t>https://cancer-druginteractions.org/checker</w:t>
      </w:r>
      <w:r w:rsidR="00585248">
        <w:rPr>
          <w:rStyle w:val="Collegamentoipertestuale"/>
          <w:rFonts w:ascii="Times New Roman" w:hAnsi="Times New Roman" w:cs="Times New Roman"/>
          <w:lang w:val="en-GB"/>
        </w:rPr>
        <w:fldChar w:fldCharType="end"/>
      </w:r>
      <w:r w:rsidRPr="00701626">
        <w:rPr>
          <w:rFonts w:ascii="Times New Roman" w:hAnsi="Times New Roman" w:cs="Times New Roman"/>
          <w:lang w:val="en-GB"/>
        </w:rPr>
        <w:t xml:space="preserve"> </w:t>
      </w:r>
      <w:r w:rsidRPr="00701626">
        <w:rPr>
          <w:rFonts w:ascii="Times New Roman" w:hAnsi="Times New Roman" w:cs="Times New Roman"/>
        </w:rPr>
        <w:fldChar w:fldCharType="begin" w:fldLock="1"/>
      </w:r>
      <w:r w:rsidR="007E406B">
        <w:rPr>
          <w:rFonts w:ascii="Times New Roman" w:hAnsi="Times New Roman" w:cs="Times New Roman"/>
          <w:lang w:val="en-GB"/>
        </w:rPr>
        <w:instrText>ADDIN CSL_CITATION {"citationItems":[{"id":"ITEM-1","itemData":{"URL":"https://cancer-druginteractions.org/checker","accessed":{"date-parts":[["2021","9","8"]]},"id":"ITEM-1","issued":{"date-parts":[["0"]]},"title":"Cancer Drug Interactions from Radboud UMC and University of Liverpool","type":"webpage"},"uris":["http://www.mendeley.com/documents/?uuid=ffd3ab5c-784f-312b-b92f-42276dab7dac"]}],"mendeley":{"formattedCitation":"&lt;sup&gt;208&lt;/sup&gt;","plainTextFormattedCitation":"208","previouslyFormattedCitation":"&lt;sup&gt;208&lt;/sup&gt;"},"properties":{"noteIndex":0},"schema":"https://github.com/citation-style-language/schema/raw/master/csl-citation.json"}</w:instrText>
      </w:r>
      <w:r w:rsidRPr="00701626">
        <w:rPr>
          <w:rFonts w:ascii="Times New Roman" w:hAnsi="Times New Roman" w:cs="Times New Roman"/>
        </w:rPr>
        <w:fldChar w:fldCharType="separate"/>
      </w:r>
      <w:r w:rsidR="00957B51" w:rsidRPr="00957B51">
        <w:rPr>
          <w:rFonts w:ascii="Times New Roman" w:hAnsi="Times New Roman" w:cs="Times New Roman"/>
          <w:noProof/>
          <w:vertAlign w:val="superscript"/>
          <w:lang w:val="en-GB"/>
        </w:rPr>
        <w:t>208</w:t>
      </w:r>
      <w:r w:rsidRPr="00701626">
        <w:rPr>
          <w:rFonts w:ascii="Times New Roman" w:hAnsi="Times New Roman" w:cs="Times New Roman"/>
        </w:rPr>
        <w:fldChar w:fldCharType="end"/>
      </w:r>
    </w:p>
    <w:p w14:paraId="02A1D66D" w14:textId="77777777" w:rsidR="00D228B0" w:rsidRPr="00701626" w:rsidRDefault="00D228B0" w:rsidP="00D228B0">
      <w:pPr>
        <w:spacing w:line="276" w:lineRule="auto"/>
        <w:contextualSpacing/>
        <w:rPr>
          <w:rFonts w:ascii="Times New Roman" w:hAnsi="Times New Roman" w:cs="Times New Roman"/>
          <w:lang w:val="en-GB"/>
        </w:rPr>
      </w:pPr>
      <w:r w:rsidRPr="00701626">
        <w:rPr>
          <w:rFonts w:asciiTheme="majorBidi" w:hAnsiTheme="majorBidi" w:cstheme="majorBidi"/>
          <w:lang w:val="en-GB"/>
        </w:rPr>
        <w:t>†</w:t>
      </w:r>
      <w:r w:rsidRPr="00701626">
        <w:rPr>
          <w:rFonts w:ascii="Times New Roman" w:hAnsi="Times New Roman" w:cs="Times New Roman"/>
          <w:lang w:val="en-GB"/>
        </w:rPr>
        <w:t xml:space="preserve"> For each drug, the specific mechanisms of action that are relevant to the DDI in question, are shown.</w:t>
      </w:r>
    </w:p>
    <w:p w14:paraId="15ABCBB9" w14:textId="77777777" w:rsidR="00D228B0" w:rsidRPr="00701626" w:rsidRDefault="00D228B0" w:rsidP="00D228B0">
      <w:pPr>
        <w:spacing w:line="276" w:lineRule="auto"/>
        <w:contextualSpacing/>
        <w:rPr>
          <w:rFonts w:ascii="Times New Roman" w:hAnsi="Times New Roman" w:cs="Times New Roman"/>
          <w:lang w:val="en-GB"/>
        </w:rPr>
      </w:pPr>
      <w:r w:rsidRPr="00701626">
        <w:rPr>
          <w:rFonts w:asciiTheme="majorBidi" w:hAnsiTheme="majorBidi" w:cstheme="majorBidi"/>
          <w:lang w:val="en-GB"/>
        </w:rPr>
        <w:t xml:space="preserve">‡ </w:t>
      </w:r>
      <w:proofErr w:type="spellStart"/>
      <w:r w:rsidRPr="00701626">
        <w:rPr>
          <w:rFonts w:asciiTheme="majorBidi" w:hAnsiTheme="majorBidi" w:cstheme="majorBidi"/>
          <w:lang w:val="en-GB"/>
        </w:rPr>
        <w:t>Hemostatic</w:t>
      </w:r>
      <w:proofErr w:type="spellEnd"/>
      <w:r w:rsidRPr="00701626">
        <w:rPr>
          <w:rFonts w:asciiTheme="majorBidi" w:hAnsiTheme="majorBidi" w:cstheme="majorBidi"/>
          <w:lang w:val="en-GB"/>
        </w:rPr>
        <w:t xml:space="preserve"> clinical effects are summarized, and the net effect on bleeding or thrombotic risk (if any) is shown in bold type. </w:t>
      </w:r>
    </w:p>
    <w:p w14:paraId="7AB32D8E" w14:textId="77777777" w:rsidR="00D228B0" w:rsidRPr="00701626" w:rsidRDefault="00D228B0" w:rsidP="00D228B0">
      <w:pPr>
        <w:spacing w:line="276" w:lineRule="auto"/>
        <w:contextualSpacing/>
        <w:rPr>
          <w:rFonts w:ascii="Times New Roman" w:hAnsi="Times New Roman" w:cs="Times New Roman"/>
          <w:lang w:val="en-GB"/>
        </w:rPr>
      </w:pPr>
      <w:r w:rsidRPr="00701626">
        <w:rPr>
          <w:rFonts w:asciiTheme="majorBidi" w:hAnsiTheme="majorBidi" w:cstheme="majorBidi"/>
          <w:lang w:val="en-GB"/>
        </w:rPr>
        <w:t xml:space="preserve">§ </w:t>
      </w:r>
      <w:r w:rsidRPr="00701626">
        <w:rPr>
          <w:rFonts w:ascii="Times New Roman" w:hAnsi="Times New Roman" w:cs="Times New Roman"/>
          <w:lang w:val="en-GB"/>
        </w:rPr>
        <w:t xml:space="preserve">The advice refers generically to cancer patients independently of TP, unless otherwise specified. </w:t>
      </w:r>
    </w:p>
    <w:p w14:paraId="46E79E04" w14:textId="77777777" w:rsidR="00D228B0" w:rsidRPr="00701626" w:rsidRDefault="00D228B0" w:rsidP="00D228B0">
      <w:pPr>
        <w:spacing w:line="276" w:lineRule="auto"/>
        <w:contextualSpacing/>
        <w:rPr>
          <w:rFonts w:ascii="Times New Roman" w:hAnsi="Times New Roman" w:cs="Times New Roman"/>
          <w:lang w:val="en-GB"/>
        </w:rPr>
      </w:pPr>
      <w:r w:rsidRPr="00701626">
        <w:rPr>
          <w:rFonts w:ascii="Times New Roman" w:hAnsi="Times New Roman" w:cs="Times New Roman"/>
          <w:i/>
          <w:iCs/>
          <w:lang w:val="en-GB"/>
        </w:rPr>
        <w:t>AUC</w:t>
      </w:r>
      <w:r w:rsidRPr="00701626">
        <w:rPr>
          <w:rFonts w:ascii="Times New Roman" w:hAnsi="Times New Roman" w:cs="Times New Roman"/>
          <w:lang w:val="en-GB"/>
        </w:rPr>
        <w:t>, area under the curve;</w:t>
      </w:r>
      <w:r w:rsidRPr="00701626">
        <w:rPr>
          <w:rFonts w:ascii="Times New Roman" w:hAnsi="Times New Roman" w:cs="Times New Roman"/>
          <w:i/>
          <w:iCs/>
          <w:lang w:val="en-GB"/>
        </w:rPr>
        <w:t xml:space="preserve"> BCRP</w:t>
      </w:r>
      <w:r w:rsidRPr="00701626">
        <w:rPr>
          <w:rFonts w:ascii="Times New Roman" w:hAnsi="Times New Roman" w:cs="Times New Roman"/>
          <w:lang w:val="en-GB"/>
        </w:rPr>
        <w:t xml:space="preserve">, breast cancer resistance protein; </w:t>
      </w:r>
      <w:r w:rsidRPr="00701626">
        <w:rPr>
          <w:rFonts w:ascii="Times New Roman" w:hAnsi="Times New Roman" w:cs="Times New Roman"/>
          <w:i/>
          <w:iCs/>
          <w:lang w:val="en-GB"/>
        </w:rPr>
        <w:t>CYP</w:t>
      </w:r>
      <w:r w:rsidRPr="00701626">
        <w:rPr>
          <w:rFonts w:ascii="Times New Roman" w:hAnsi="Times New Roman" w:cs="Times New Roman"/>
          <w:lang w:val="en-GB"/>
        </w:rPr>
        <w:t xml:space="preserve">, cytochrome-P; </w:t>
      </w:r>
      <w:r w:rsidRPr="00701626">
        <w:rPr>
          <w:rFonts w:ascii="Times New Roman" w:hAnsi="Times New Roman" w:cs="Times New Roman"/>
          <w:i/>
          <w:iCs/>
          <w:lang w:val="en-GB"/>
        </w:rPr>
        <w:t>DAPT</w:t>
      </w:r>
      <w:r w:rsidRPr="00701626">
        <w:rPr>
          <w:rFonts w:ascii="Times New Roman" w:hAnsi="Times New Roman" w:cs="Times New Roman"/>
          <w:lang w:val="en-GB"/>
        </w:rPr>
        <w:t xml:space="preserve">, dual antiplatelet therapy; </w:t>
      </w:r>
      <w:r w:rsidRPr="00701626">
        <w:rPr>
          <w:rFonts w:ascii="Times New Roman" w:hAnsi="Times New Roman" w:cs="Times New Roman"/>
          <w:i/>
          <w:iCs/>
          <w:lang w:val="en-GB"/>
        </w:rPr>
        <w:t>DDI</w:t>
      </w:r>
      <w:r w:rsidRPr="00701626">
        <w:rPr>
          <w:rFonts w:ascii="Times New Roman" w:hAnsi="Times New Roman" w:cs="Times New Roman"/>
          <w:lang w:val="en-GB"/>
        </w:rPr>
        <w:t xml:space="preserve">, drug-drug interactions; </w:t>
      </w:r>
      <w:r w:rsidRPr="00701626">
        <w:rPr>
          <w:rFonts w:ascii="Times New Roman" w:hAnsi="Times New Roman" w:cs="Times New Roman"/>
          <w:i/>
          <w:iCs/>
          <w:lang w:val="en-GB"/>
        </w:rPr>
        <w:t>DOAC</w:t>
      </w:r>
      <w:r w:rsidRPr="00701626">
        <w:rPr>
          <w:rFonts w:ascii="Times New Roman" w:hAnsi="Times New Roman" w:cs="Times New Roman"/>
          <w:lang w:val="en-GB"/>
        </w:rPr>
        <w:t xml:space="preserve">, direct oral anticoagulant; </w:t>
      </w:r>
      <w:r w:rsidRPr="00701626">
        <w:rPr>
          <w:rFonts w:ascii="Times New Roman" w:hAnsi="Times New Roman" w:cs="Times New Roman"/>
          <w:i/>
          <w:iCs/>
          <w:lang w:val="en-GB"/>
        </w:rPr>
        <w:t>ECT</w:t>
      </w:r>
      <w:r w:rsidRPr="00701626">
        <w:rPr>
          <w:rFonts w:ascii="Times New Roman" w:hAnsi="Times New Roman" w:cs="Times New Roman"/>
          <w:lang w:val="en-GB"/>
        </w:rPr>
        <w:t xml:space="preserve">, </w:t>
      </w:r>
      <w:proofErr w:type="spellStart"/>
      <w:r w:rsidRPr="00701626">
        <w:rPr>
          <w:rFonts w:ascii="Times New Roman" w:hAnsi="Times New Roman" w:cs="Times New Roman"/>
          <w:lang w:val="en-GB"/>
        </w:rPr>
        <w:t>echarin</w:t>
      </w:r>
      <w:proofErr w:type="spellEnd"/>
      <w:r w:rsidRPr="00701626">
        <w:rPr>
          <w:rFonts w:ascii="Times New Roman" w:hAnsi="Times New Roman" w:cs="Times New Roman"/>
          <w:lang w:val="en-GB"/>
        </w:rPr>
        <w:t xml:space="preserve"> clotting time; </w:t>
      </w:r>
      <w:proofErr w:type="spellStart"/>
      <w:r w:rsidRPr="00701626">
        <w:rPr>
          <w:rFonts w:ascii="Times New Roman" w:hAnsi="Times New Roman" w:cs="Times New Roman"/>
          <w:i/>
          <w:iCs/>
          <w:lang w:val="en-GB"/>
        </w:rPr>
        <w:t>dTT</w:t>
      </w:r>
      <w:proofErr w:type="spellEnd"/>
      <w:r w:rsidRPr="00701626">
        <w:rPr>
          <w:rFonts w:ascii="Times New Roman" w:hAnsi="Times New Roman" w:cs="Times New Roman"/>
          <w:lang w:val="en-GB"/>
        </w:rPr>
        <w:t xml:space="preserve">, dilute thrombin time; </w:t>
      </w:r>
      <w:r w:rsidRPr="00701626">
        <w:rPr>
          <w:rFonts w:ascii="Times New Roman" w:hAnsi="Times New Roman" w:cs="Times New Roman"/>
          <w:i/>
          <w:iCs/>
          <w:lang w:val="en-GB"/>
        </w:rPr>
        <w:t>LMWH</w:t>
      </w:r>
      <w:r w:rsidRPr="00701626">
        <w:rPr>
          <w:rFonts w:ascii="Times New Roman" w:hAnsi="Times New Roman" w:cs="Times New Roman"/>
          <w:lang w:val="en-GB"/>
        </w:rPr>
        <w:t xml:space="preserve">, low molecular weight heparin; </w:t>
      </w:r>
      <w:r w:rsidRPr="00701626">
        <w:rPr>
          <w:rFonts w:ascii="Times New Roman" w:hAnsi="Times New Roman" w:cs="Times New Roman"/>
          <w:i/>
          <w:iCs/>
          <w:lang w:val="en-GB"/>
        </w:rPr>
        <w:t>P-</w:t>
      </w:r>
      <w:proofErr w:type="spellStart"/>
      <w:r w:rsidRPr="00701626">
        <w:rPr>
          <w:rFonts w:ascii="Times New Roman" w:hAnsi="Times New Roman" w:cs="Times New Roman"/>
          <w:i/>
          <w:iCs/>
          <w:lang w:val="en-GB"/>
        </w:rPr>
        <w:t>gp</w:t>
      </w:r>
      <w:proofErr w:type="spellEnd"/>
      <w:r w:rsidRPr="00701626">
        <w:rPr>
          <w:rFonts w:ascii="Times New Roman" w:hAnsi="Times New Roman" w:cs="Times New Roman"/>
          <w:lang w:val="en-GB"/>
        </w:rPr>
        <w:t xml:space="preserve">, P-glycoprotein; </w:t>
      </w:r>
      <w:r w:rsidRPr="00701626">
        <w:rPr>
          <w:rFonts w:ascii="Times New Roman" w:hAnsi="Times New Roman" w:cs="Times New Roman"/>
          <w:i/>
          <w:iCs/>
          <w:lang w:val="en-GB"/>
        </w:rPr>
        <w:t xml:space="preserve">SAPT, </w:t>
      </w:r>
      <w:r w:rsidRPr="00701626">
        <w:rPr>
          <w:rFonts w:ascii="Times New Roman" w:hAnsi="Times New Roman" w:cs="Times New Roman"/>
          <w:lang w:val="en-GB"/>
        </w:rPr>
        <w:t xml:space="preserve">single antiplatelet therapy; </w:t>
      </w:r>
      <w:r w:rsidRPr="00701626">
        <w:rPr>
          <w:rFonts w:ascii="Times New Roman" w:hAnsi="Times New Roman" w:cs="Times New Roman"/>
          <w:i/>
          <w:iCs/>
          <w:lang w:val="en-GB"/>
        </w:rPr>
        <w:t>TP</w:t>
      </w:r>
      <w:r w:rsidRPr="00701626">
        <w:rPr>
          <w:rFonts w:ascii="Times New Roman" w:hAnsi="Times New Roman" w:cs="Times New Roman"/>
          <w:lang w:val="en-GB"/>
        </w:rPr>
        <w:t xml:space="preserve">, thrombocytopenia </w:t>
      </w:r>
    </w:p>
    <w:p w14:paraId="3EA5DBFD" w14:textId="77777777" w:rsidR="00D228B0" w:rsidRPr="005B21E1" w:rsidRDefault="00D228B0" w:rsidP="00D228B0">
      <w:pPr>
        <w:spacing w:line="276" w:lineRule="auto"/>
        <w:contextualSpacing/>
        <w:rPr>
          <w:rFonts w:ascii="Times New Roman" w:hAnsi="Times New Roman" w:cs="Times New Roman"/>
          <w:sz w:val="24"/>
          <w:szCs w:val="24"/>
          <w:lang w:val="en-GB"/>
        </w:rPr>
      </w:pPr>
    </w:p>
    <w:p w14:paraId="7BF55F42" w14:textId="77777777" w:rsidR="00D228B0" w:rsidRPr="005B21E1" w:rsidRDefault="00D228B0" w:rsidP="00D228B0">
      <w:pPr>
        <w:spacing w:line="276" w:lineRule="auto"/>
        <w:contextualSpacing/>
        <w:rPr>
          <w:rFonts w:ascii="Times New Roman" w:hAnsi="Times New Roman" w:cs="Times New Roman"/>
          <w:sz w:val="24"/>
          <w:szCs w:val="24"/>
          <w:lang w:val="en-GB"/>
        </w:rPr>
      </w:pPr>
    </w:p>
    <w:p w14:paraId="23B6E5E3" w14:textId="74BECC70" w:rsidR="00D228B0" w:rsidRPr="004961FE" w:rsidRDefault="00D228B0" w:rsidP="00C66557">
      <w:pPr>
        <w:rPr>
          <w:rFonts w:ascii="Times New Roman" w:hAnsi="Times New Roman" w:cs="Times New Roman"/>
          <w:b/>
          <w:iCs/>
          <w:sz w:val="24"/>
          <w:szCs w:val="24"/>
          <w:lang w:val="en-GB"/>
        </w:rPr>
      </w:pPr>
    </w:p>
    <w:sectPr w:rsidR="00D228B0" w:rsidRPr="004961FE" w:rsidSect="00E633CE">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C5D0" w14:textId="77777777" w:rsidR="00585248" w:rsidRDefault="00585248" w:rsidP="00457034">
      <w:pPr>
        <w:spacing w:after="0" w:line="240" w:lineRule="auto"/>
      </w:pPr>
      <w:r>
        <w:separator/>
      </w:r>
    </w:p>
  </w:endnote>
  <w:endnote w:type="continuationSeparator" w:id="0">
    <w:p w14:paraId="5ABE789F" w14:textId="77777777" w:rsidR="00585248" w:rsidRDefault="00585248" w:rsidP="0045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76738"/>
      <w:docPartObj>
        <w:docPartGallery w:val="Page Numbers (Bottom of Page)"/>
        <w:docPartUnique/>
      </w:docPartObj>
    </w:sdtPr>
    <w:sdtEndPr/>
    <w:sdtContent>
      <w:sdt>
        <w:sdtPr>
          <w:id w:val="-868222507"/>
          <w:docPartObj>
            <w:docPartGallery w:val="Page Numbers (Top of Page)"/>
            <w:docPartUnique/>
          </w:docPartObj>
        </w:sdtPr>
        <w:sdtEndPr/>
        <w:sdtContent>
          <w:p w14:paraId="7FAB2AFD" w14:textId="77777777" w:rsidR="00E633CE" w:rsidRDefault="00E633CE">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649D16FB" w14:textId="77777777" w:rsidR="00E633CE" w:rsidRDefault="00E633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85922"/>
      <w:docPartObj>
        <w:docPartGallery w:val="Page Numbers (Bottom of Page)"/>
        <w:docPartUnique/>
      </w:docPartObj>
    </w:sdtPr>
    <w:sdtEndPr/>
    <w:sdtContent>
      <w:sdt>
        <w:sdtPr>
          <w:id w:val="-1769616900"/>
          <w:docPartObj>
            <w:docPartGallery w:val="Page Numbers (Top of Page)"/>
            <w:docPartUnique/>
          </w:docPartObj>
        </w:sdtPr>
        <w:sdtEndPr/>
        <w:sdtContent>
          <w:p w14:paraId="330AC6A8" w14:textId="275C5427" w:rsidR="00D94CBA" w:rsidRDefault="00D94CBA">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185C">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185C">
              <w:rPr>
                <w:b/>
                <w:bCs/>
                <w:noProof/>
              </w:rPr>
              <w:t>85</w:t>
            </w:r>
            <w:r>
              <w:rPr>
                <w:b/>
                <w:bCs/>
                <w:sz w:val="24"/>
                <w:szCs w:val="24"/>
              </w:rPr>
              <w:fldChar w:fldCharType="end"/>
            </w:r>
          </w:p>
        </w:sdtContent>
      </w:sdt>
    </w:sdtContent>
  </w:sdt>
  <w:p w14:paraId="3AD9B049" w14:textId="77777777" w:rsidR="00D94CBA" w:rsidRDefault="00D94C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FF50" w14:textId="77777777" w:rsidR="00585248" w:rsidRDefault="00585248" w:rsidP="00457034">
      <w:pPr>
        <w:spacing w:after="0" w:line="240" w:lineRule="auto"/>
      </w:pPr>
      <w:r>
        <w:separator/>
      </w:r>
    </w:p>
  </w:footnote>
  <w:footnote w:type="continuationSeparator" w:id="0">
    <w:p w14:paraId="06D7711F" w14:textId="77777777" w:rsidR="00585248" w:rsidRDefault="00585248" w:rsidP="0045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3685" w14:textId="3B1F5903" w:rsidR="00E633CE" w:rsidRPr="00457034" w:rsidRDefault="002000BE">
    <w:pPr>
      <w:pStyle w:val="Intestazione"/>
      <w:rPr>
        <w:lang w:val="en-US"/>
      </w:rPr>
    </w:pPr>
    <w:r>
      <w:rPr>
        <w:lang w:val="en-US"/>
      </w:rPr>
      <w:t>1</w:t>
    </w:r>
    <w:r w:rsidR="005649EC">
      <w:rPr>
        <w:lang w:val="en-US"/>
      </w:rPr>
      <w:t>3</w:t>
    </w:r>
    <w:r w:rsidR="00E633CE">
      <w:rPr>
        <w:lang w:val="en-US"/>
      </w:rPr>
      <w:t xml:space="preserve"> M</w:t>
    </w:r>
    <w:r w:rsidR="007718A8">
      <w:rPr>
        <w:lang w:val="en-US"/>
      </w:rPr>
      <w:t>ay</w:t>
    </w:r>
    <w:r w:rsidR="00E633CE">
      <w:rPr>
        <w:lang w:val="en-US"/>
      </w:rPr>
      <w:t xml:space="preserve"> 2022   |    </w:t>
    </w:r>
    <w:r w:rsidR="007718A8">
      <w:rPr>
        <w:lang w:val="en-US"/>
      </w:rPr>
      <w:t>Rev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1AD8" w14:textId="132E1D8C" w:rsidR="00D94CBA" w:rsidRPr="00457034" w:rsidRDefault="0023445E">
    <w:pPr>
      <w:pStyle w:val="Intestazione"/>
      <w:rPr>
        <w:lang w:val="en-US"/>
      </w:rPr>
    </w:pPr>
    <w:r>
      <w:rPr>
        <w:lang w:val="en-US"/>
      </w:rPr>
      <w:t>6</w:t>
    </w:r>
    <w:r w:rsidR="00D94CBA">
      <w:rPr>
        <w:lang w:val="en-US"/>
      </w:rPr>
      <w:t xml:space="preserve"> </w:t>
    </w:r>
    <w:r>
      <w:rPr>
        <w:lang w:val="en-US"/>
      </w:rPr>
      <w:t xml:space="preserve">May </w:t>
    </w:r>
    <w:r w:rsidR="00D94CBA">
      <w:rPr>
        <w:lang w:val="en-US"/>
      </w:rPr>
      <w:t xml:space="preserve">2022   |    </w:t>
    </w:r>
    <w:r>
      <w:rPr>
        <w:lang w:val="en-US"/>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2CD"/>
    <w:multiLevelType w:val="hybridMultilevel"/>
    <w:tmpl w:val="43E2BD0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CD5811"/>
    <w:multiLevelType w:val="hybridMultilevel"/>
    <w:tmpl w:val="B4BAEBBE"/>
    <w:lvl w:ilvl="0" w:tplc="20000019">
      <w:start w:val="1"/>
      <w:numFmt w:val="lowerLetter"/>
      <w:lvlText w:val="%1."/>
      <w:lvlJc w:val="left"/>
      <w:pPr>
        <w:ind w:left="180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442621"/>
    <w:multiLevelType w:val="multilevel"/>
    <w:tmpl w:val="DE98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64570"/>
    <w:multiLevelType w:val="hybridMultilevel"/>
    <w:tmpl w:val="C2DC2310"/>
    <w:lvl w:ilvl="0" w:tplc="20000019">
      <w:start w:val="1"/>
      <w:numFmt w:val="lowerLetter"/>
      <w:lvlText w:val="%1."/>
      <w:lvlJc w:val="lef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0CC1672"/>
    <w:multiLevelType w:val="hybridMultilevel"/>
    <w:tmpl w:val="92B24F64"/>
    <w:lvl w:ilvl="0" w:tplc="20000019">
      <w:start w:val="1"/>
      <w:numFmt w:val="lowerLetter"/>
      <w:lvlText w:val="%1."/>
      <w:lvlJc w:val="left"/>
      <w:pPr>
        <w:ind w:left="180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9043DA"/>
    <w:multiLevelType w:val="hybridMultilevel"/>
    <w:tmpl w:val="1702F86C"/>
    <w:lvl w:ilvl="0" w:tplc="A48E5D0C">
      <w:start w:val="1"/>
      <w:numFmt w:val="lowerLetter"/>
      <w:lvlText w:val="%1."/>
      <w:lvlJc w:val="left"/>
      <w:pPr>
        <w:ind w:left="1440" w:hanging="360"/>
      </w:pPr>
    </w:lvl>
    <w:lvl w:ilvl="1" w:tplc="2000001B">
      <w:start w:val="1"/>
      <w:numFmt w:val="lowerRoman"/>
      <w:lvlText w:val="%2."/>
      <w:lvlJc w:val="righ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A2A7CA1"/>
    <w:multiLevelType w:val="hybridMultilevel"/>
    <w:tmpl w:val="215AC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445FE"/>
    <w:multiLevelType w:val="hybridMultilevel"/>
    <w:tmpl w:val="B9847B4A"/>
    <w:lvl w:ilvl="0" w:tplc="20000019">
      <w:start w:val="1"/>
      <w:numFmt w:val="lowerLetter"/>
      <w:lvlText w:val="%1."/>
      <w:lvlJc w:val="left"/>
      <w:pPr>
        <w:ind w:left="21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3B22543"/>
    <w:multiLevelType w:val="hybridMultilevel"/>
    <w:tmpl w:val="772AE7E8"/>
    <w:lvl w:ilvl="0" w:tplc="133ADA2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EB77EE"/>
    <w:multiLevelType w:val="hybridMultilevel"/>
    <w:tmpl w:val="111CD3C4"/>
    <w:lvl w:ilvl="0" w:tplc="C3AAFBD8">
      <w:start w:val="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14B47DF"/>
    <w:multiLevelType w:val="multilevel"/>
    <w:tmpl w:val="056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42947"/>
    <w:multiLevelType w:val="hybridMultilevel"/>
    <w:tmpl w:val="5DD8810A"/>
    <w:lvl w:ilvl="0" w:tplc="575CDE8C">
      <w:start w:val="9"/>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2CE554E"/>
    <w:multiLevelType w:val="hybridMultilevel"/>
    <w:tmpl w:val="2C66AEF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3D459C"/>
    <w:multiLevelType w:val="hybridMultilevel"/>
    <w:tmpl w:val="88024AF8"/>
    <w:lvl w:ilvl="0" w:tplc="20000019">
      <w:start w:val="1"/>
      <w:numFmt w:val="lowerLetter"/>
      <w:lvlText w:val="%1."/>
      <w:lvlJc w:val="left"/>
      <w:pPr>
        <w:ind w:left="144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85E2FEA"/>
    <w:multiLevelType w:val="hybridMultilevel"/>
    <w:tmpl w:val="5EBE30BE"/>
    <w:lvl w:ilvl="0" w:tplc="4A6C8A50">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A3E0F68"/>
    <w:multiLevelType w:val="hybridMultilevel"/>
    <w:tmpl w:val="8342EC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055381F"/>
    <w:multiLevelType w:val="hybridMultilevel"/>
    <w:tmpl w:val="1BB41E88"/>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42FB613C"/>
    <w:multiLevelType w:val="hybridMultilevel"/>
    <w:tmpl w:val="97B448D8"/>
    <w:lvl w:ilvl="0" w:tplc="6D56D970">
      <w:start w:val="5"/>
      <w:numFmt w:val="decimal"/>
      <w:lvlText w:val="%1."/>
      <w:lvlJc w:val="left"/>
      <w:pPr>
        <w:ind w:left="1440" w:hanging="360"/>
      </w:pPr>
      <w:rPr>
        <w:rFonts w:hint="default"/>
        <w:lang w:val="it-I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43542371"/>
    <w:multiLevelType w:val="hybridMultilevel"/>
    <w:tmpl w:val="D21E463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1A61C19"/>
    <w:multiLevelType w:val="multilevel"/>
    <w:tmpl w:val="2D9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73B7F"/>
    <w:multiLevelType w:val="hybridMultilevel"/>
    <w:tmpl w:val="1BB41E8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D4A391E"/>
    <w:multiLevelType w:val="hybridMultilevel"/>
    <w:tmpl w:val="CE868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247EEA"/>
    <w:multiLevelType w:val="hybridMultilevel"/>
    <w:tmpl w:val="678A72B4"/>
    <w:lvl w:ilvl="0" w:tplc="20000019">
      <w:start w:val="1"/>
      <w:numFmt w:val="lowerLetter"/>
      <w:lvlText w:val="%1."/>
      <w:lvlJc w:val="left"/>
      <w:pPr>
        <w:ind w:left="21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79A5783"/>
    <w:multiLevelType w:val="hybridMultilevel"/>
    <w:tmpl w:val="0A1ADB6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EF75926"/>
    <w:multiLevelType w:val="hybridMultilevel"/>
    <w:tmpl w:val="9BB878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4E30DD"/>
    <w:multiLevelType w:val="hybridMultilevel"/>
    <w:tmpl w:val="C9B269A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B234C49"/>
    <w:multiLevelType w:val="hybridMultilevel"/>
    <w:tmpl w:val="C2DC2310"/>
    <w:lvl w:ilvl="0" w:tplc="20000019">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7" w15:restartNumberingAfterBreak="0">
    <w:nsid w:val="7FF813D1"/>
    <w:multiLevelType w:val="hybridMultilevel"/>
    <w:tmpl w:val="9C2487B2"/>
    <w:lvl w:ilvl="0" w:tplc="FFFFFFFF">
      <w:start w:val="1"/>
      <w:numFmt w:val="decimal"/>
      <w:lvlText w:val="%1."/>
      <w:lvlJc w:val="left"/>
      <w:pPr>
        <w:ind w:left="720" w:hanging="360"/>
      </w:pPr>
    </w:lvl>
    <w:lvl w:ilvl="1" w:tplc="3D1604EC">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49B89C92">
      <w:start w:val="8"/>
      <w:numFmt w:val="decimal"/>
      <w:lvlText w:val="%4."/>
      <w:lvlJc w:val="left"/>
      <w:pPr>
        <w:ind w:left="2520" w:firstLine="0"/>
      </w:pPr>
      <w:rPr>
        <w:rFonts w:asciiTheme="majorBidi" w:hAnsiTheme="majorBidi" w:cstheme="majorBidi"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4834840">
    <w:abstractNumId w:val="8"/>
  </w:num>
  <w:num w:numId="2" w16cid:durableId="300619190">
    <w:abstractNumId w:val="0"/>
  </w:num>
  <w:num w:numId="3" w16cid:durableId="95371943">
    <w:abstractNumId w:val="18"/>
  </w:num>
  <w:num w:numId="4" w16cid:durableId="629014971">
    <w:abstractNumId w:val="14"/>
  </w:num>
  <w:num w:numId="5" w16cid:durableId="1007444977">
    <w:abstractNumId w:val="26"/>
  </w:num>
  <w:num w:numId="6" w16cid:durableId="1530222745">
    <w:abstractNumId w:val="3"/>
  </w:num>
  <w:num w:numId="7" w16cid:durableId="846596150">
    <w:abstractNumId w:val="16"/>
  </w:num>
  <w:num w:numId="8" w16cid:durableId="569732216">
    <w:abstractNumId w:val="5"/>
  </w:num>
  <w:num w:numId="9" w16cid:durableId="85812490">
    <w:abstractNumId w:val="15"/>
  </w:num>
  <w:num w:numId="10" w16cid:durableId="812285633">
    <w:abstractNumId w:val="27"/>
  </w:num>
  <w:num w:numId="11" w16cid:durableId="366101452">
    <w:abstractNumId w:val="2"/>
  </w:num>
  <w:num w:numId="12" w16cid:durableId="281808546">
    <w:abstractNumId w:val="11"/>
  </w:num>
  <w:num w:numId="13" w16cid:durableId="1386880093">
    <w:abstractNumId w:val="12"/>
  </w:num>
  <w:num w:numId="14" w16cid:durableId="762801970">
    <w:abstractNumId w:val="9"/>
  </w:num>
  <w:num w:numId="15" w16cid:durableId="1918393600">
    <w:abstractNumId w:val="17"/>
  </w:num>
  <w:num w:numId="16" w16cid:durableId="1925917539">
    <w:abstractNumId w:val="7"/>
  </w:num>
  <w:num w:numId="17" w16cid:durableId="668564686">
    <w:abstractNumId w:val="4"/>
  </w:num>
  <w:num w:numId="18" w16cid:durableId="1433623425">
    <w:abstractNumId w:val="20"/>
  </w:num>
  <w:num w:numId="19" w16cid:durableId="575629185">
    <w:abstractNumId w:val="22"/>
  </w:num>
  <w:num w:numId="20" w16cid:durableId="2123766325">
    <w:abstractNumId w:val="1"/>
  </w:num>
  <w:num w:numId="21" w16cid:durableId="485433865">
    <w:abstractNumId w:val="13"/>
  </w:num>
  <w:num w:numId="22" w16cid:durableId="1189754751">
    <w:abstractNumId w:val="25"/>
  </w:num>
  <w:num w:numId="23" w16cid:durableId="925308281">
    <w:abstractNumId w:val="23"/>
  </w:num>
  <w:num w:numId="24" w16cid:durableId="436557811">
    <w:abstractNumId w:val="10"/>
  </w:num>
  <w:num w:numId="25" w16cid:durableId="1685940255">
    <w:abstractNumId w:val="6"/>
  </w:num>
  <w:num w:numId="26" w16cid:durableId="1179125506">
    <w:abstractNumId w:val="24"/>
  </w:num>
  <w:num w:numId="27" w16cid:durableId="1384401073">
    <w:abstractNumId w:val="19"/>
  </w:num>
  <w:num w:numId="28" w16cid:durableId="857427791">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ca Bianca (bianca.rocca)">
    <w15:presenceInfo w15:providerId="AD" w15:userId="S-1-5-21-329068152-651377827-1801674531-72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AT"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C2"/>
    <w:rsid w:val="00000874"/>
    <w:rsid w:val="000009D3"/>
    <w:rsid w:val="00000DE4"/>
    <w:rsid w:val="00001CBA"/>
    <w:rsid w:val="000029E2"/>
    <w:rsid w:val="00004678"/>
    <w:rsid w:val="00005D4D"/>
    <w:rsid w:val="0000683B"/>
    <w:rsid w:val="00007397"/>
    <w:rsid w:val="00007B4D"/>
    <w:rsid w:val="0001004A"/>
    <w:rsid w:val="0001048D"/>
    <w:rsid w:val="00011E81"/>
    <w:rsid w:val="00011F0B"/>
    <w:rsid w:val="00012051"/>
    <w:rsid w:val="00012F8C"/>
    <w:rsid w:val="0001322B"/>
    <w:rsid w:val="00016462"/>
    <w:rsid w:val="00017184"/>
    <w:rsid w:val="00017474"/>
    <w:rsid w:val="00020064"/>
    <w:rsid w:val="00020343"/>
    <w:rsid w:val="00020EEB"/>
    <w:rsid w:val="00022DC5"/>
    <w:rsid w:val="00022F53"/>
    <w:rsid w:val="000242FE"/>
    <w:rsid w:val="00024AAE"/>
    <w:rsid w:val="00026781"/>
    <w:rsid w:val="00026C06"/>
    <w:rsid w:val="00027AEA"/>
    <w:rsid w:val="00027BE2"/>
    <w:rsid w:val="00030B5E"/>
    <w:rsid w:val="000317CA"/>
    <w:rsid w:val="00034F63"/>
    <w:rsid w:val="00035308"/>
    <w:rsid w:val="000357AC"/>
    <w:rsid w:val="00035D4E"/>
    <w:rsid w:val="00035FB0"/>
    <w:rsid w:val="00036E29"/>
    <w:rsid w:val="00037416"/>
    <w:rsid w:val="00040235"/>
    <w:rsid w:val="0004305A"/>
    <w:rsid w:val="00050329"/>
    <w:rsid w:val="00052DC8"/>
    <w:rsid w:val="0005394C"/>
    <w:rsid w:val="00053BA8"/>
    <w:rsid w:val="0005409B"/>
    <w:rsid w:val="000572F1"/>
    <w:rsid w:val="000577F8"/>
    <w:rsid w:val="00057A75"/>
    <w:rsid w:val="00057D47"/>
    <w:rsid w:val="00061F0F"/>
    <w:rsid w:val="000654C2"/>
    <w:rsid w:val="00065F80"/>
    <w:rsid w:val="00067524"/>
    <w:rsid w:val="00067A25"/>
    <w:rsid w:val="00067B11"/>
    <w:rsid w:val="000713F5"/>
    <w:rsid w:val="000717B9"/>
    <w:rsid w:val="0007209D"/>
    <w:rsid w:val="000725D9"/>
    <w:rsid w:val="00072C88"/>
    <w:rsid w:val="000735FB"/>
    <w:rsid w:val="0007385F"/>
    <w:rsid w:val="00073B52"/>
    <w:rsid w:val="00074068"/>
    <w:rsid w:val="00074AA6"/>
    <w:rsid w:val="0007698B"/>
    <w:rsid w:val="000773E8"/>
    <w:rsid w:val="000804E8"/>
    <w:rsid w:val="0008066B"/>
    <w:rsid w:val="00081935"/>
    <w:rsid w:val="00082AA2"/>
    <w:rsid w:val="00082B7E"/>
    <w:rsid w:val="00082D28"/>
    <w:rsid w:val="00083DA3"/>
    <w:rsid w:val="00084E16"/>
    <w:rsid w:val="000856AB"/>
    <w:rsid w:val="00085C23"/>
    <w:rsid w:val="000866F4"/>
    <w:rsid w:val="0008714E"/>
    <w:rsid w:val="00087954"/>
    <w:rsid w:val="00091EB3"/>
    <w:rsid w:val="000925C8"/>
    <w:rsid w:val="000930C4"/>
    <w:rsid w:val="00093C01"/>
    <w:rsid w:val="0009571E"/>
    <w:rsid w:val="00095DF1"/>
    <w:rsid w:val="00095EAE"/>
    <w:rsid w:val="0009683D"/>
    <w:rsid w:val="000A0015"/>
    <w:rsid w:val="000A1EFF"/>
    <w:rsid w:val="000A2163"/>
    <w:rsid w:val="000A22A2"/>
    <w:rsid w:val="000A2969"/>
    <w:rsid w:val="000A3668"/>
    <w:rsid w:val="000A3A51"/>
    <w:rsid w:val="000A3BD6"/>
    <w:rsid w:val="000A3E02"/>
    <w:rsid w:val="000A4915"/>
    <w:rsid w:val="000A5587"/>
    <w:rsid w:val="000A5656"/>
    <w:rsid w:val="000A5F55"/>
    <w:rsid w:val="000A664E"/>
    <w:rsid w:val="000A7FF9"/>
    <w:rsid w:val="000B0F3A"/>
    <w:rsid w:val="000B129C"/>
    <w:rsid w:val="000B2AF8"/>
    <w:rsid w:val="000B2CFD"/>
    <w:rsid w:val="000B304F"/>
    <w:rsid w:val="000B377E"/>
    <w:rsid w:val="000B3AB9"/>
    <w:rsid w:val="000B3D93"/>
    <w:rsid w:val="000B4DA3"/>
    <w:rsid w:val="000B62E0"/>
    <w:rsid w:val="000B6475"/>
    <w:rsid w:val="000B6FD5"/>
    <w:rsid w:val="000C169C"/>
    <w:rsid w:val="000C223B"/>
    <w:rsid w:val="000C30F9"/>
    <w:rsid w:val="000C35EE"/>
    <w:rsid w:val="000C468F"/>
    <w:rsid w:val="000C48E1"/>
    <w:rsid w:val="000C4C0A"/>
    <w:rsid w:val="000C4CA4"/>
    <w:rsid w:val="000C50BE"/>
    <w:rsid w:val="000C7370"/>
    <w:rsid w:val="000C77FF"/>
    <w:rsid w:val="000C7E58"/>
    <w:rsid w:val="000C7E77"/>
    <w:rsid w:val="000D075E"/>
    <w:rsid w:val="000D1DEE"/>
    <w:rsid w:val="000D2ADC"/>
    <w:rsid w:val="000D2E26"/>
    <w:rsid w:val="000D300E"/>
    <w:rsid w:val="000D3A19"/>
    <w:rsid w:val="000D435F"/>
    <w:rsid w:val="000D4FF6"/>
    <w:rsid w:val="000D55DA"/>
    <w:rsid w:val="000D5746"/>
    <w:rsid w:val="000D6218"/>
    <w:rsid w:val="000D6384"/>
    <w:rsid w:val="000D6C92"/>
    <w:rsid w:val="000D6CA6"/>
    <w:rsid w:val="000D7C2E"/>
    <w:rsid w:val="000E0B71"/>
    <w:rsid w:val="000E1824"/>
    <w:rsid w:val="000E18C4"/>
    <w:rsid w:val="000E3100"/>
    <w:rsid w:val="000E3A93"/>
    <w:rsid w:val="000E3E3C"/>
    <w:rsid w:val="000E46D5"/>
    <w:rsid w:val="000E4F73"/>
    <w:rsid w:val="000E5368"/>
    <w:rsid w:val="000E6816"/>
    <w:rsid w:val="000E704D"/>
    <w:rsid w:val="000E7552"/>
    <w:rsid w:val="000E7A54"/>
    <w:rsid w:val="000F216A"/>
    <w:rsid w:val="000F22E0"/>
    <w:rsid w:val="000F2935"/>
    <w:rsid w:val="000F3170"/>
    <w:rsid w:val="000F3937"/>
    <w:rsid w:val="000F5EF4"/>
    <w:rsid w:val="000F637B"/>
    <w:rsid w:val="000F764D"/>
    <w:rsid w:val="00100A3E"/>
    <w:rsid w:val="00101C0C"/>
    <w:rsid w:val="00102D6C"/>
    <w:rsid w:val="001041B2"/>
    <w:rsid w:val="0010442B"/>
    <w:rsid w:val="00104A7A"/>
    <w:rsid w:val="00104AF7"/>
    <w:rsid w:val="001066B3"/>
    <w:rsid w:val="001100CE"/>
    <w:rsid w:val="00110AC5"/>
    <w:rsid w:val="0011177D"/>
    <w:rsid w:val="00111CD0"/>
    <w:rsid w:val="00111D4B"/>
    <w:rsid w:val="00112B3A"/>
    <w:rsid w:val="00113D59"/>
    <w:rsid w:val="001140AE"/>
    <w:rsid w:val="00114272"/>
    <w:rsid w:val="00114A14"/>
    <w:rsid w:val="00114C88"/>
    <w:rsid w:val="001158BD"/>
    <w:rsid w:val="001159CA"/>
    <w:rsid w:val="00115EBE"/>
    <w:rsid w:val="00115EFD"/>
    <w:rsid w:val="001166DF"/>
    <w:rsid w:val="00116CBE"/>
    <w:rsid w:val="00116FA3"/>
    <w:rsid w:val="00120BD0"/>
    <w:rsid w:val="0012116C"/>
    <w:rsid w:val="00121A90"/>
    <w:rsid w:val="00121E9D"/>
    <w:rsid w:val="001224C0"/>
    <w:rsid w:val="001244E7"/>
    <w:rsid w:val="0012465C"/>
    <w:rsid w:val="00124A59"/>
    <w:rsid w:val="00124CB3"/>
    <w:rsid w:val="00125AC2"/>
    <w:rsid w:val="001263D4"/>
    <w:rsid w:val="0012672A"/>
    <w:rsid w:val="00127467"/>
    <w:rsid w:val="001279C1"/>
    <w:rsid w:val="00130B28"/>
    <w:rsid w:val="00130C4A"/>
    <w:rsid w:val="00130EA6"/>
    <w:rsid w:val="00131BEA"/>
    <w:rsid w:val="001333E5"/>
    <w:rsid w:val="00134252"/>
    <w:rsid w:val="001346AD"/>
    <w:rsid w:val="00135437"/>
    <w:rsid w:val="00137120"/>
    <w:rsid w:val="001404BF"/>
    <w:rsid w:val="00140578"/>
    <w:rsid w:val="00142D69"/>
    <w:rsid w:val="00142F9C"/>
    <w:rsid w:val="00144D55"/>
    <w:rsid w:val="00144FD5"/>
    <w:rsid w:val="001457DA"/>
    <w:rsid w:val="001462AB"/>
    <w:rsid w:val="00146385"/>
    <w:rsid w:val="001479BD"/>
    <w:rsid w:val="00147C75"/>
    <w:rsid w:val="00147F97"/>
    <w:rsid w:val="001503E0"/>
    <w:rsid w:val="0015178C"/>
    <w:rsid w:val="00151971"/>
    <w:rsid w:val="00151FCB"/>
    <w:rsid w:val="00152724"/>
    <w:rsid w:val="001529EB"/>
    <w:rsid w:val="00153173"/>
    <w:rsid w:val="00153D05"/>
    <w:rsid w:val="0015445F"/>
    <w:rsid w:val="00155883"/>
    <w:rsid w:val="0015770D"/>
    <w:rsid w:val="00160E99"/>
    <w:rsid w:val="00161DF3"/>
    <w:rsid w:val="00162707"/>
    <w:rsid w:val="001635CB"/>
    <w:rsid w:val="00164833"/>
    <w:rsid w:val="001648BB"/>
    <w:rsid w:val="0016553E"/>
    <w:rsid w:val="001659BB"/>
    <w:rsid w:val="00165D13"/>
    <w:rsid w:val="00170482"/>
    <w:rsid w:val="00171D21"/>
    <w:rsid w:val="001729DA"/>
    <w:rsid w:val="00172F8A"/>
    <w:rsid w:val="001734C6"/>
    <w:rsid w:val="0017376F"/>
    <w:rsid w:val="001756C9"/>
    <w:rsid w:val="00175897"/>
    <w:rsid w:val="00176504"/>
    <w:rsid w:val="00177AD5"/>
    <w:rsid w:val="00180004"/>
    <w:rsid w:val="00180072"/>
    <w:rsid w:val="00181006"/>
    <w:rsid w:val="00181F23"/>
    <w:rsid w:val="001822D9"/>
    <w:rsid w:val="00184C7C"/>
    <w:rsid w:val="00184C95"/>
    <w:rsid w:val="00184DC8"/>
    <w:rsid w:val="00184DD2"/>
    <w:rsid w:val="001850D0"/>
    <w:rsid w:val="001852B5"/>
    <w:rsid w:val="0018667F"/>
    <w:rsid w:val="001869E0"/>
    <w:rsid w:val="001872A9"/>
    <w:rsid w:val="0018759D"/>
    <w:rsid w:val="001877E0"/>
    <w:rsid w:val="00187EE6"/>
    <w:rsid w:val="00190ACC"/>
    <w:rsid w:val="001910A0"/>
    <w:rsid w:val="00191DBF"/>
    <w:rsid w:val="00192912"/>
    <w:rsid w:val="001929B5"/>
    <w:rsid w:val="0019340A"/>
    <w:rsid w:val="001945AF"/>
    <w:rsid w:val="00194B22"/>
    <w:rsid w:val="00195631"/>
    <w:rsid w:val="001959E2"/>
    <w:rsid w:val="001960C1"/>
    <w:rsid w:val="0019751B"/>
    <w:rsid w:val="001A0096"/>
    <w:rsid w:val="001A0B3D"/>
    <w:rsid w:val="001A10D7"/>
    <w:rsid w:val="001A149B"/>
    <w:rsid w:val="001A220C"/>
    <w:rsid w:val="001A38ED"/>
    <w:rsid w:val="001A55F5"/>
    <w:rsid w:val="001A5C1B"/>
    <w:rsid w:val="001A61E0"/>
    <w:rsid w:val="001A67F6"/>
    <w:rsid w:val="001A6CC6"/>
    <w:rsid w:val="001B1555"/>
    <w:rsid w:val="001B2354"/>
    <w:rsid w:val="001B2380"/>
    <w:rsid w:val="001B3BA2"/>
    <w:rsid w:val="001B51CC"/>
    <w:rsid w:val="001B68D6"/>
    <w:rsid w:val="001C03F5"/>
    <w:rsid w:val="001C0C2F"/>
    <w:rsid w:val="001C1070"/>
    <w:rsid w:val="001C1179"/>
    <w:rsid w:val="001C39CF"/>
    <w:rsid w:val="001C47AE"/>
    <w:rsid w:val="001C4990"/>
    <w:rsid w:val="001C4B1E"/>
    <w:rsid w:val="001C56AA"/>
    <w:rsid w:val="001C65D4"/>
    <w:rsid w:val="001C6B0B"/>
    <w:rsid w:val="001C77EA"/>
    <w:rsid w:val="001D0966"/>
    <w:rsid w:val="001D135B"/>
    <w:rsid w:val="001D1977"/>
    <w:rsid w:val="001D2105"/>
    <w:rsid w:val="001D3BA9"/>
    <w:rsid w:val="001D4545"/>
    <w:rsid w:val="001D4AE3"/>
    <w:rsid w:val="001D4C60"/>
    <w:rsid w:val="001D508C"/>
    <w:rsid w:val="001D5CF2"/>
    <w:rsid w:val="001D74CB"/>
    <w:rsid w:val="001D75DA"/>
    <w:rsid w:val="001D77B5"/>
    <w:rsid w:val="001D77E8"/>
    <w:rsid w:val="001E1997"/>
    <w:rsid w:val="001E2660"/>
    <w:rsid w:val="001E28FC"/>
    <w:rsid w:val="001E2ABB"/>
    <w:rsid w:val="001E2B23"/>
    <w:rsid w:val="001E2FF3"/>
    <w:rsid w:val="001E3B86"/>
    <w:rsid w:val="001E418D"/>
    <w:rsid w:val="001E427A"/>
    <w:rsid w:val="001E48AD"/>
    <w:rsid w:val="001E637F"/>
    <w:rsid w:val="001E7AD5"/>
    <w:rsid w:val="001F0994"/>
    <w:rsid w:val="001F0CBE"/>
    <w:rsid w:val="001F19F8"/>
    <w:rsid w:val="001F1AD7"/>
    <w:rsid w:val="001F2372"/>
    <w:rsid w:val="001F297B"/>
    <w:rsid w:val="001F4351"/>
    <w:rsid w:val="001F480A"/>
    <w:rsid w:val="001F716F"/>
    <w:rsid w:val="001F71AB"/>
    <w:rsid w:val="001F785F"/>
    <w:rsid w:val="002000BE"/>
    <w:rsid w:val="0020061C"/>
    <w:rsid w:val="002006D6"/>
    <w:rsid w:val="00200E77"/>
    <w:rsid w:val="0020140F"/>
    <w:rsid w:val="00201429"/>
    <w:rsid w:val="00204309"/>
    <w:rsid w:val="002043F6"/>
    <w:rsid w:val="002057FD"/>
    <w:rsid w:val="00206B6C"/>
    <w:rsid w:val="002070E0"/>
    <w:rsid w:val="002071B1"/>
    <w:rsid w:val="0020724E"/>
    <w:rsid w:val="002077BF"/>
    <w:rsid w:val="00207AB2"/>
    <w:rsid w:val="00207AED"/>
    <w:rsid w:val="00210C3F"/>
    <w:rsid w:val="00211DA9"/>
    <w:rsid w:val="0021226F"/>
    <w:rsid w:val="0021297C"/>
    <w:rsid w:val="00212C3D"/>
    <w:rsid w:val="00213065"/>
    <w:rsid w:val="00213DB4"/>
    <w:rsid w:val="002140A9"/>
    <w:rsid w:val="00214FCF"/>
    <w:rsid w:val="00215416"/>
    <w:rsid w:val="00217903"/>
    <w:rsid w:val="00221E95"/>
    <w:rsid w:val="00222B02"/>
    <w:rsid w:val="00223BC7"/>
    <w:rsid w:val="00224212"/>
    <w:rsid w:val="0022562F"/>
    <w:rsid w:val="002271A5"/>
    <w:rsid w:val="00230462"/>
    <w:rsid w:val="0023070E"/>
    <w:rsid w:val="00231869"/>
    <w:rsid w:val="00232ED9"/>
    <w:rsid w:val="00233B0E"/>
    <w:rsid w:val="0023425C"/>
    <w:rsid w:val="0023445E"/>
    <w:rsid w:val="00234BEB"/>
    <w:rsid w:val="0023507F"/>
    <w:rsid w:val="00240284"/>
    <w:rsid w:val="002423A7"/>
    <w:rsid w:val="0024251C"/>
    <w:rsid w:val="0024540F"/>
    <w:rsid w:val="0024656A"/>
    <w:rsid w:val="002466EA"/>
    <w:rsid w:val="002471ED"/>
    <w:rsid w:val="00250237"/>
    <w:rsid w:val="00250AB4"/>
    <w:rsid w:val="0025246A"/>
    <w:rsid w:val="002542BF"/>
    <w:rsid w:val="00256272"/>
    <w:rsid w:val="00256282"/>
    <w:rsid w:val="002563CA"/>
    <w:rsid w:val="002568DB"/>
    <w:rsid w:val="0026020E"/>
    <w:rsid w:val="00260434"/>
    <w:rsid w:val="002609C7"/>
    <w:rsid w:val="00265067"/>
    <w:rsid w:val="00266613"/>
    <w:rsid w:val="00266E2E"/>
    <w:rsid w:val="00267352"/>
    <w:rsid w:val="00270226"/>
    <w:rsid w:val="00270851"/>
    <w:rsid w:val="00272018"/>
    <w:rsid w:val="002720F6"/>
    <w:rsid w:val="002721C8"/>
    <w:rsid w:val="00273567"/>
    <w:rsid w:val="00273A60"/>
    <w:rsid w:val="0027411E"/>
    <w:rsid w:val="00274A37"/>
    <w:rsid w:val="00274E6A"/>
    <w:rsid w:val="002756F5"/>
    <w:rsid w:val="00275DD2"/>
    <w:rsid w:val="002808D1"/>
    <w:rsid w:val="00280B77"/>
    <w:rsid w:val="00281F1A"/>
    <w:rsid w:val="0028212A"/>
    <w:rsid w:val="00282CE1"/>
    <w:rsid w:val="00282F16"/>
    <w:rsid w:val="002830FA"/>
    <w:rsid w:val="00284D00"/>
    <w:rsid w:val="00285BD9"/>
    <w:rsid w:val="0028692C"/>
    <w:rsid w:val="00286DC9"/>
    <w:rsid w:val="002870E0"/>
    <w:rsid w:val="002903B8"/>
    <w:rsid w:val="00290760"/>
    <w:rsid w:val="00291013"/>
    <w:rsid w:val="002919C0"/>
    <w:rsid w:val="00292507"/>
    <w:rsid w:val="00292C48"/>
    <w:rsid w:val="002945EF"/>
    <w:rsid w:val="0029621B"/>
    <w:rsid w:val="00296B25"/>
    <w:rsid w:val="002A0C82"/>
    <w:rsid w:val="002A0EE9"/>
    <w:rsid w:val="002A144B"/>
    <w:rsid w:val="002A2461"/>
    <w:rsid w:val="002A277A"/>
    <w:rsid w:val="002A2AEF"/>
    <w:rsid w:val="002A343D"/>
    <w:rsid w:val="002A3B3C"/>
    <w:rsid w:val="002A40D1"/>
    <w:rsid w:val="002A4124"/>
    <w:rsid w:val="002A424C"/>
    <w:rsid w:val="002A42EE"/>
    <w:rsid w:val="002A56DB"/>
    <w:rsid w:val="002A5C56"/>
    <w:rsid w:val="002A5DDB"/>
    <w:rsid w:val="002A79BC"/>
    <w:rsid w:val="002B04EC"/>
    <w:rsid w:val="002B1CC4"/>
    <w:rsid w:val="002B2597"/>
    <w:rsid w:val="002B3D59"/>
    <w:rsid w:val="002B4787"/>
    <w:rsid w:val="002B534A"/>
    <w:rsid w:val="002B5890"/>
    <w:rsid w:val="002B618F"/>
    <w:rsid w:val="002C052D"/>
    <w:rsid w:val="002C10D6"/>
    <w:rsid w:val="002C1334"/>
    <w:rsid w:val="002C1936"/>
    <w:rsid w:val="002C199E"/>
    <w:rsid w:val="002C224E"/>
    <w:rsid w:val="002C2A1C"/>
    <w:rsid w:val="002C3405"/>
    <w:rsid w:val="002C37CA"/>
    <w:rsid w:val="002C4E46"/>
    <w:rsid w:val="002C5D0C"/>
    <w:rsid w:val="002C629B"/>
    <w:rsid w:val="002C6DF6"/>
    <w:rsid w:val="002C7E45"/>
    <w:rsid w:val="002D1114"/>
    <w:rsid w:val="002D205B"/>
    <w:rsid w:val="002D22CE"/>
    <w:rsid w:val="002D4250"/>
    <w:rsid w:val="002D4401"/>
    <w:rsid w:val="002D4BB4"/>
    <w:rsid w:val="002D4F79"/>
    <w:rsid w:val="002D59D7"/>
    <w:rsid w:val="002E071B"/>
    <w:rsid w:val="002E0E93"/>
    <w:rsid w:val="002E16BB"/>
    <w:rsid w:val="002E1AA9"/>
    <w:rsid w:val="002E2507"/>
    <w:rsid w:val="002E27F3"/>
    <w:rsid w:val="002E3263"/>
    <w:rsid w:val="002E4919"/>
    <w:rsid w:val="002E4A57"/>
    <w:rsid w:val="002E4FB3"/>
    <w:rsid w:val="002E5362"/>
    <w:rsid w:val="002E5F57"/>
    <w:rsid w:val="002E6317"/>
    <w:rsid w:val="002E686C"/>
    <w:rsid w:val="002E76B8"/>
    <w:rsid w:val="002F078F"/>
    <w:rsid w:val="002F09A6"/>
    <w:rsid w:val="002F2E68"/>
    <w:rsid w:val="002F306C"/>
    <w:rsid w:val="002F3800"/>
    <w:rsid w:val="002F3AD5"/>
    <w:rsid w:val="002F3CF6"/>
    <w:rsid w:val="002F40BD"/>
    <w:rsid w:val="002F4DFC"/>
    <w:rsid w:val="002F722E"/>
    <w:rsid w:val="002F7C9D"/>
    <w:rsid w:val="002F7FB1"/>
    <w:rsid w:val="00300044"/>
    <w:rsid w:val="003010B0"/>
    <w:rsid w:val="00302A6B"/>
    <w:rsid w:val="003042E8"/>
    <w:rsid w:val="00304334"/>
    <w:rsid w:val="00304CD0"/>
    <w:rsid w:val="003051A0"/>
    <w:rsid w:val="00305EE0"/>
    <w:rsid w:val="00305FBE"/>
    <w:rsid w:val="00306DEB"/>
    <w:rsid w:val="00307238"/>
    <w:rsid w:val="003112B4"/>
    <w:rsid w:val="00311E47"/>
    <w:rsid w:val="00312765"/>
    <w:rsid w:val="00313C86"/>
    <w:rsid w:val="00313E07"/>
    <w:rsid w:val="00314090"/>
    <w:rsid w:val="0031459A"/>
    <w:rsid w:val="003150D1"/>
    <w:rsid w:val="00315831"/>
    <w:rsid w:val="003165FB"/>
    <w:rsid w:val="003166AA"/>
    <w:rsid w:val="00316CE6"/>
    <w:rsid w:val="00317E9A"/>
    <w:rsid w:val="00320B85"/>
    <w:rsid w:val="00321330"/>
    <w:rsid w:val="003219E6"/>
    <w:rsid w:val="00322F0E"/>
    <w:rsid w:val="00323572"/>
    <w:rsid w:val="00323782"/>
    <w:rsid w:val="00323DF3"/>
    <w:rsid w:val="00324DB9"/>
    <w:rsid w:val="00326C02"/>
    <w:rsid w:val="003273B5"/>
    <w:rsid w:val="003314FE"/>
    <w:rsid w:val="00331F24"/>
    <w:rsid w:val="003320F3"/>
    <w:rsid w:val="00332DF6"/>
    <w:rsid w:val="00333E7A"/>
    <w:rsid w:val="003363F8"/>
    <w:rsid w:val="0033669C"/>
    <w:rsid w:val="00336782"/>
    <w:rsid w:val="00340553"/>
    <w:rsid w:val="00341151"/>
    <w:rsid w:val="0034246A"/>
    <w:rsid w:val="00342BEC"/>
    <w:rsid w:val="003446B3"/>
    <w:rsid w:val="0034498C"/>
    <w:rsid w:val="0034586E"/>
    <w:rsid w:val="00346230"/>
    <w:rsid w:val="00346237"/>
    <w:rsid w:val="003466DD"/>
    <w:rsid w:val="0034681E"/>
    <w:rsid w:val="00346E60"/>
    <w:rsid w:val="0035153D"/>
    <w:rsid w:val="003531B6"/>
    <w:rsid w:val="00353B85"/>
    <w:rsid w:val="00354F6D"/>
    <w:rsid w:val="00356388"/>
    <w:rsid w:val="00357B53"/>
    <w:rsid w:val="0036136E"/>
    <w:rsid w:val="00361CC7"/>
    <w:rsid w:val="00362E1C"/>
    <w:rsid w:val="003648DF"/>
    <w:rsid w:val="0036495F"/>
    <w:rsid w:val="00364EA1"/>
    <w:rsid w:val="00365FE3"/>
    <w:rsid w:val="0036612C"/>
    <w:rsid w:val="00367395"/>
    <w:rsid w:val="00367A4D"/>
    <w:rsid w:val="0037128C"/>
    <w:rsid w:val="00371CC9"/>
    <w:rsid w:val="003738AA"/>
    <w:rsid w:val="00375422"/>
    <w:rsid w:val="00377B9D"/>
    <w:rsid w:val="003804AE"/>
    <w:rsid w:val="00380D99"/>
    <w:rsid w:val="00381EBB"/>
    <w:rsid w:val="0038238D"/>
    <w:rsid w:val="003824D5"/>
    <w:rsid w:val="003826BD"/>
    <w:rsid w:val="003831C4"/>
    <w:rsid w:val="00383A88"/>
    <w:rsid w:val="00385AAE"/>
    <w:rsid w:val="00386285"/>
    <w:rsid w:val="0038650D"/>
    <w:rsid w:val="00387680"/>
    <w:rsid w:val="003903F5"/>
    <w:rsid w:val="0039150A"/>
    <w:rsid w:val="00392B20"/>
    <w:rsid w:val="00392F61"/>
    <w:rsid w:val="00393070"/>
    <w:rsid w:val="003942AD"/>
    <w:rsid w:val="003945EC"/>
    <w:rsid w:val="00394C8F"/>
    <w:rsid w:val="0039585B"/>
    <w:rsid w:val="00396174"/>
    <w:rsid w:val="00397A65"/>
    <w:rsid w:val="003A02F9"/>
    <w:rsid w:val="003A0D07"/>
    <w:rsid w:val="003A0DF3"/>
    <w:rsid w:val="003A130D"/>
    <w:rsid w:val="003A253A"/>
    <w:rsid w:val="003A28A7"/>
    <w:rsid w:val="003A47F5"/>
    <w:rsid w:val="003A4B30"/>
    <w:rsid w:val="003A5130"/>
    <w:rsid w:val="003A51C7"/>
    <w:rsid w:val="003A5274"/>
    <w:rsid w:val="003A55F6"/>
    <w:rsid w:val="003A59AB"/>
    <w:rsid w:val="003A7581"/>
    <w:rsid w:val="003B0022"/>
    <w:rsid w:val="003B090B"/>
    <w:rsid w:val="003B185C"/>
    <w:rsid w:val="003B1AD5"/>
    <w:rsid w:val="003B28EA"/>
    <w:rsid w:val="003B297C"/>
    <w:rsid w:val="003B3694"/>
    <w:rsid w:val="003B5AA8"/>
    <w:rsid w:val="003B5B45"/>
    <w:rsid w:val="003B74EF"/>
    <w:rsid w:val="003B76E0"/>
    <w:rsid w:val="003B791C"/>
    <w:rsid w:val="003C01A6"/>
    <w:rsid w:val="003C1921"/>
    <w:rsid w:val="003C23AA"/>
    <w:rsid w:val="003C57A1"/>
    <w:rsid w:val="003C59C0"/>
    <w:rsid w:val="003C5AC0"/>
    <w:rsid w:val="003C616B"/>
    <w:rsid w:val="003C633D"/>
    <w:rsid w:val="003C7848"/>
    <w:rsid w:val="003D06A9"/>
    <w:rsid w:val="003D08F9"/>
    <w:rsid w:val="003D2221"/>
    <w:rsid w:val="003D2365"/>
    <w:rsid w:val="003D241C"/>
    <w:rsid w:val="003D2E39"/>
    <w:rsid w:val="003D349B"/>
    <w:rsid w:val="003D35A1"/>
    <w:rsid w:val="003D35AE"/>
    <w:rsid w:val="003D3879"/>
    <w:rsid w:val="003D6238"/>
    <w:rsid w:val="003E0127"/>
    <w:rsid w:val="003E0D58"/>
    <w:rsid w:val="003E10D7"/>
    <w:rsid w:val="003E4667"/>
    <w:rsid w:val="003E4979"/>
    <w:rsid w:val="003E4F47"/>
    <w:rsid w:val="003E57C3"/>
    <w:rsid w:val="003E6054"/>
    <w:rsid w:val="003E6CA3"/>
    <w:rsid w:val="003E7832"/>
    <w:rsid w:val="003F017E"/>
    <w:rsid w:val="003F042C"/>
    <w:rsid w:val="003F15D1"/>
    <w:rsid w:val="003F165E"/>
    <w:rsid w:val="003F1A74"/>
    <w:rsid w:val="003F1D31"/>
    <w:rsid w:val="003F234B"/>
    <w:rsid w:val="003F24E9"/>
    <w:rsid w:val="003F26CE"/>
    <w:rsid w:val="003F4884"/>
    <w:rsid w:val="003F5250"/>
    <w:rsid w:val="003F6014"/>
    <w:rsid w:val="003F6177"/>
    <w:rsid w:val="003F725F"/>
    <w:rsid w:val="003F7B80"/>
    <w:rsid w:val="00400CE5"/>
    <w:rsid w:val="004011D5"/>
    <w:rsid w:val="00401BBD"/>
    <w:rsid w:val="00402851"/>
    <w:rsid w:val="0040313D"/>
    <w:rsid w:val="004040B2"/>
    <w:rsid w:val="0040488D"/>
    <w:rsid w:val="00405D2D"/>
    <w:rsid w:val="00405D95"/>
    <w:rsid w:val="004060C3"/>
    <w:rsid w:val="00406E17"/>
    <w:rsid w:val="00406E75"/>
    <w:rsid w:val="00407236"/>
    <w:rsid w:val="00407C64"/>
    <w:rsid w:val="00411792"/>
    <w:rsid w:val="00413B0E"/>
    <w:rsid w:val="00414B7D"/>
    <w:rsid w:val="00415069"/>
    <w:rsid w:val="0041532B"/>
    <w:rsid w:val="00416DD4"/>
    <w:rsid w:val="00416FF1"/>
    <w:rsid w:val="0042081D"/>
    <w:rsid w:val="00420945"/>
    <w:rsid w:val="00421364"/>
    <w:rsid w:val="0042286B"/>
    <w:rsid w:val="00423474"/>
    <w:rsid w:val="004234A8"/>
    <w:rsid w:val="00423B3C"/>
    <w:rsid w:val="00423E5B"/>
    <w:rsid w:val="00424433"/>
    <w:rsid w:val="004252D7"/>
    <w:rsid w:val="00426081"/>
    <w:rsid w:val="004271E0"/>
    <w:rsid w:val="00427C0C"/>
    <w:rsid w:val="00431226"/>
    <w:rsid w:val="004317ED"/>
    <w:rsid w:val="00433A98"/>
    <w:rsid w:val="00434941"/>
    <w:rsid w:val="00434DCC"/>
    <w:rsid w:val="0043529F"/>
    <w:rsid w:val="0043547D"/>
    <w:rsid w:val="00436687"/>
    <w:rsid w:val="0044049E"/>
    <w:rsid w:val="00440A0E"/>
    <w:rsid w:val="00440ACC"/>
    <w:rsid w:val="00440CD0"/>
    <w:rsid w:val="00441316"/>
    <w:rsid w:val="00441794"/>
    <w:rsid w:val="00441A8B"/>
    <w:rsid w:val="00442DA4"/>
    <w:rsid w:val="00442EFA"/>
    <w:rsid w:val="0044318C"/>
    <w:rsid w:val="00444D92"/>
    <w:rsid w:val="00446332"/>
    <w:rsid w:val="00446639"/>
    <w:rsid w:val="00446758"/>
    <w:rsid w:val="004469BD"/>
    <w:rsid w:val="00446AFB"/>
    <w:rsid w:val="00447333"/>
    <w:rsid w:val="00447B71"/>
    <w:rsid w:val="00451037"/>
    <w:rsid w:val="00451264"/>
    <w:rsid w:val="004518A3"/>
    <w:rsid w:val="00451F19"/>
    <w:rsid w:val="004520FF"/>
    <w:rsid w:val="004531AC"/>
    <w:rsid w:val="00453A12"/>
    <w:rsid w:val="00454E55"/>
    <w:rsid w:val="00455741"/>
    <w:rsid w:val="00455805"/>
    <w:rsid w:val="00455FC4"/>
    <w:rsid w:val="004565DA"/>
    <w:rsid w:val="00456C4B"/>
    <w:rsid w:val="00457034"/>
    <w:rsid w:val="00457782"/>
    <w:rsid w:val="0045793D"/>
    <w:rsid w:val="00461F5A"/>
    <w:rsid w:val="00461FD4"/>
    <w:rsid w:val="00462818"/>
    <w:rsid w:val="00462C7A"/>
    <w:rsid w:val="00462FAD"/>
    <w:rsid w:val="00466259"/>
    <w:rsid w:val="00466ED2"/>
    <w:rsid w:val="004678AD"/>
    <w:rsid w:val="00467FEE"/>
    <w:rsid w:val="004704DC"/>
    <w:rsid w:val="004714E1"/>
    <w:rsid w:val="00472238"/>
    <w:rsid w:val="00472EF3"/>
    <w:rsid w:val="004734FE"/>
    <w:rsid w:val="00473AF5"/>
    <w:rsid w:val="004740B5"/>
    <w:rsid w:val="00475E67"/>
    <w:rsid w:val="00476AD1"/>
    <w:rsid w:val="0047748A"/>
    <w:rsid w:val="00477E39"/>
    <w:rsid w:val="00481521"/>
    <w:rsid w:val="00481947"/>
    <w:rsid w:val="00481F6B"/>
    <w:rsid w:val="004824B7"/>
    <w:rsid w:val="004834CF"/>
    <w:rsid w:val="00483534"/>
    <w:rsid w:val="00483AAA"/>
    <w:rsid w:val="00484AD1"/>
    <w:rsid w:val="00484CBA"/>
    <w:rsid w:val="00486B02"/>
    <w:rsid w:val="00486B1C"/>
    <w:rsid w:val="00486F53"/>
    <w:rsid w:val="00487462"/>
    <w:rsid w:val="004875D6"/>
    <w:rsid w:val="00487C55"/>
    <w:rsid w:val="00487EA9"/>
    <w:rsid w:val="0049081A"/>
    <w:rsid w:val="004908FE"/>
    <w:rsid w:val="004912E0"/>
    <w:rsid w:val="00491CD5"/>
    <w:rsid w:val="0049260A"/>
    <w:rsid w:val="00492963"/>
    <w:rsid w:val="004932A9"/>
    <w:rsid w:val="004936A7"/>
    <w:rsid w:val="0049612B"/>
    <w:rsid w:val="004961FE"/>
    <w:rsid w:val="00496858"/>
    <w:rsid w:val="00497327"/>
    <w:rsid w:val="004A0FAD"/>
    <w:rsid w:val="004A1921"/>
    <w:rsid w:val="004A29A0"/>
    <w:rsid w:val="004A2A7A"/>
    <w:rsid w:val="004A2F88"/>
    <w:rsid w:val="004A3B5A"/>
    <w:rsid w:val="004A4255"/>
    <w:rsid w:val="004A43BD"/>
    <w:rsid w:val="004A58AB"/>
    <w:rsid w:val="004A6045"/>
    <w:rsid w:val="004A62A0"/>
    <w:rsid w:val="004A7049"/>
    <w:rsid w:val="004B081C"/>
    <w:rsid w:val="004B0C0C"/>
    <w:rsid w:val="004B1952"/>
    <w:rsid w:val="004B2181"/>
    <w:rsid w:val="004B2DE4"/>
    <w:rsid w:val="004B4F2E"/>
    <w:rsid w:val="004B5462"/>
    <w:rsid w:val="004B5E5C"/>
    <w:rsid w:val="004B6031"/>
    <w:rsid w:val="004B714D"/>
    <w:rsid w:val="004C2232"/>
    <w:rsid w:val="004C2797"/>
    <w:rsid w:val="004C2AB5"/>
    <w:rsid w:val="004C2CA4"/>
    <w:rsid w:val="004C331B"/>
    <w:rsid w:val="004C4958"/>
    <w:rsid w:val="004C5B81"/>
    <w:rsid w:val="004C5DA0"/>
    <w:rsid w:val="004C6DAF"/>
    <w:rsid w:val="004D23F2"/>
    <w:rsid w:val="004D27FA"/>
    <w:rsid w:val="004D2EB4"/>
    <w:rsid w:val="004D3000"/>
    <w:rsid w:val="004D3D12"/>
    <w:rsid w:val="004D420D"/>
    <w:rsid w:val="004D5F22"/>
    <w:rsid w:val="004D6B28"/>
    <w:rsid w:val="004D7250"/>
    <w:rsid w:val="004D738B"/>
    <w:rsid w:val="004D7BE6"/>
    <w:rsid w:val="004E040B"/>
    <w:rsid w:val="004E06DB"/>
    <w:rsid w:val="004E27F8"/>
    <w:rsid w:val="004E3B89"/>
    <w:rsid w:val="004E5566"/>
    <w:rsid w:val="004F0877"/>
    <w:rsid w:val="004F13D0"/>
    <w:rsid w:val="004F2C15"/>
    <w:rsid w:val="004F2D58"/>
    <w:rsid w:val="004F3109"/>
    <w:rsid w:val="004F3411"/>
    <w:rsid w:val="004F3969"/>
    <w:rsid w:val="004F3D5A"/>
    <w:rsid w:val="004F4A87"/>
    <w:rsid w:val="004F5696"/>
    <w:rsid w:val="004F59A3"/>
    <w:rsid w:val="004F69EC"/>
    <w:rsid w:val="005000D3"/>
    <w:rsid w:val="00503DFD"/>
    <w:rsid w:val="00504252"/>
    <w:rsid w:val="00504742"/>
    <w:rsid w:val="00506CE1"/>
    <w:rsid w:val="0051031C"/>
    <w:rsid w:val="00510A91"/>
    <w:rsid w:val="00511E57"/>
    <w:rsid w:val="00512730"/>
    <w:rsid w:val="0051321A"/>
    <w:rsid w:val="00513967"/>
    <w:rsid w:val="0051470B"/>
    <w:rsid w:val="005147CA"/>
    <w:rsid w:val="005156D8"/>
    <w:rsid w:val="005174F2"/>
    <w:rsid w:val="005175E7"/>
    <w:rsid w:val="00517825"/>
    <w:rsid w:val="00520683"/>
    <w:rsid w:val="00521CEE"/>
    <w:rsid w:val="00522C3F"/>
    <w:rsid w:val="00524965"/>
    <w:rsid w:val="005253A4"/>
    <w:rsid w:val="00525C8C"/>
    <w:rsid w:val="005301EC"/>
    <w:rsid w:val="00530EFF"/>
    <w:rsid w:val="0053287C"/>
    <w:rsid w:val="00533D2D"/>
    <w:rsid w:val="005340E1"/>
    <w:rsid w:val="0053433D"/>
    <w:rsid w:val="0053462C"/>
    <w:rsid w:val="00535753"/>
    <w:rsid w:val="00535BD6"/>
    <w:rsid w:val="00537236"/>
    <w:rsid w:val="00537450"/>
    <w:rsid w:val="00537579"/>
    <w:rsid w:val="00541B9E"/>
    <w:rsid w:val="0054289C"/>
    <w:rsid w:val="00542BC7"/>
    <w:rsid w:val="00546CBC"/>
    <w:rsid w:val="00546DED"/>
    <w:rsid w:val="00550C28"/>
    <w:rsid w:val="00551109"/>
    <w:rsid w:val="00551DC4"/>
    <w:rsid w:val="0055261A"/>
    <w:rsid w:val="00552B17"/>
    <w:rsid w:val="005549AB"/>
    <w:rsid w:val="00557A55"/>
    <w:rsid w:val="00561856"/>
    <w:rsid w:val="00561967"/>
    <w:rsid w:val="0056199C"/>
    <w:rsid w:val="005638CB"/>
    <w:rsid w:val="00563F21"/>
    <w:rsid w:val="005649EC"/>
    <w:rsid w:val="00566734"/>
    <w:rsid w:val="0056676C"/>
    <w:rsid w:val="00566B97"/>
    <w:rsid w:val="00567EC5"/>
    <w:rsid w:val="00567FF3"/>
    <w:rsid w:val="00570CAD"/>
    <w:rsid w:val="00571043"/>
    <w:rsid w:val="0057128B"/>
    <w:rsid w:val="0057236C"/>
    <w:rsid w:val="0057344D"/>
    <w:rsid w:val="00573D3A"/>
    <w:rsid w:val="00574125"/>
    <w:rsid w:val="00575009"/>
    <w:rsid w:val="00575905"/>
    <w:rsid w:val="00575B02"/>
    <w:rsid w:val="0057642A"/>
    <w:rsid w:val="00580D17"/>
    <w:rsid w:val="00581A92"/>
    <w:rsid w:val="00582190"/>
    <w:rsid w:val="00584389"/>
    <w:rsid w:val="00585248"/>
    <w:rsid w:val="005876A1"/>
    <w:rsid w:val="005879E5"/>
    <w:rsid w:val="00591190"/>
    <w:rsid w:val="005916C3"/>
    <w:rsid w:val="00592576"/>
    <w:rsid w:val="005944B6"/>
    <w:rsid w:val="00596980"/>
    <w:rsid w:val="005970EB"/>
    <w:rsid w:val="005A018B"/>
    <w:rsid w:val="005A05A3"/>
    <w:rsid w:val="005A1F55"/>
    <w:rsid w:val="005A2F33"/>
    <w:rsid w:val="005A4B53"/>
    <w:rsid w:val="005A6089"/>
    <w:rsid w:val="005A6A4A"/>
    <w:rsid w:val="005A7B2C"/>
    <w:rsid w:val="005B0816"/>
    <w:rsid w:val="005B21E1"/>
    <w:rsid w:val="005B3078"/>
    <w:rsid w:val="005B3259"/>
    <w:rsid w:val="005B4D0E"/>
    <w:rsid w:val="005B61A5"/>
    <w:rsid w:val="005B7F55"/>
    <w:rsid w:val="005C21D4"/>
    <w:rsid w:val="005C3694"/>
    <w:rsid w:val="005C463A"/>
    <w:rsid w:val="005C4F38"/>
    <w:rsid w:val="005C562F"/>
    <w:rsid w:val="005C58E2"/>
    <w:rsid w:val="005C69AD"/>
    <w:rsid w:val="005D0B27"/>
    <w:rsid w:val="005D0C14"/>
    <w:rsid w:val="005D377A"/>
    <w:rsid w:val="005D40AF"/>
    <w:rsid w:val="005D71DE"/>
    <w:rsid w:val="005D72C0"/>
    <w:rsid w:val="005D7C37"/>
    <w:rsid w:val="005E20E4"/>
    <w:rsid w:val="005E227D"/>
    <w:rsid w:val="005E28EE"/>
    <w:rsid w:val="005E5A64"/>
    <w:rsid w:val="005E7243"/>
    <w:rsid w:val="005E72B3"/>
    <w:rsid w:val="005E7AF6"/>
    <w:rsid w:val="005E7FA8"/>
    <w:rsid w:val="005E7FD7"/>
    <w:rsid w:val="005F01FD"/>
    <w:rsid w:val="005F3347"/>
    <w:rsid w:val="005F392B"/>
    <w:rsid w:val="005F3931"/>
    <w:rsid w:val="005F413C"/>
    <w:rsid w:val="005F6F95"/>
    <w:rsid w:val="005F7469"/>
    <w:rsid w:val="005F74E1"/>
    <w:rsid w:val="005F7708"/>
    <w:rsid w:val="005F78CB"/>
    <w:rsid w:val="005F7BB4"/>
    <w:rsid w:val="006007A8"/>
    <w:rsid w:val="00601057"/>
    <w:rsid w:val="006013A8"/>
    <w:rsid w:val="00601952"/>
    <w:rsid w:val="00601F7D"/>
    <w:rsid w:val="006021ED"/>
    <w:rsid w:val="00602F39"/>
    <w:rsid w:val="0060524B"/>
    <w:rsid w:val="00606267"/>
    <w:rsid w:val="00607216"/>
    <w:rsid w:val="00607217"/>
    <w:rsid w:val="00607B44"/>
    <w:rsid w:val="006107E7"/>
    <w:rsid w:val="00610BE9"/>
    <w:rsid w:val="0061142F"/>
    <w:rsid w:val="006117A5"/>
    <w:rsid w:val="00611B2E"/>
    <w:rsid w:val="00612274"/>
    <w:rsid w:val="0061329F"/>
    <w:rsid w:val="00613828"/>
    <w:rsid w:val="006146FC"/>
    <w:rsid w:val="0061514E"/>
    <w:rsid w:val="006156EC"/>
    <w:rsid w:val="006157E5"/>
    <w:rsid w:val="00615C8C"/>
    <w:rsid w:val="00615DD1"/>
    <w:rsid w:val="00616D23"/>
    <w:rsid w:val="006173C5"/>
    <w:rsid w:val="0061759A"/>
    <w:rsid w:val="00621522"/>
    <w:rsid w:val="00621C3D"/>
    <w:rsid w:val="006229CF"/>
    <w:rsid w:val="00622C2F"/>
    <w:rsid w:val="006231DC"/>
    <w:rsid w:val="00626529"/>
    <w:rsid w:val="00626CA6"/>
    <w:rsid w:val="00627246"/>
    <w:rsid w:val="00627996"/>
    <w:rsid w:val="00627D64"/>
    <w:rsid w:val="00630407"/>
    <w:rsid w:val="006310CB"/>
    <w:rsid w:val="00631427"/>
    <w:rsid w:val="006314F9"/>
    <w:rsid w:val="00631B15"/>
    <w:rsid w:val="0063245A"/>
    <w:rsid w:val="006327A2"/>
    <w:rsid w:val="00632881"/>
    <w:rsid w:val="006336CF"/>
    <w:rsid w:val="00633D1B"/>
    <w:rsid w:val="00633E03"/>
    <w:rsid w:val="00634AFC"/>
    <w:rsid w:val="00635B8E"/>
    <w:rsid w:val="0063617C"/>
    <w:rsid w:val="00636483"/>
    <w:rsid w:val="006364D9"/>
    <w:rsid w:val="00640E80"/>
    <w:rsid w:val="00641F40"/>
    <w:rsid w:val="00641F5A"/>
    <w:rsid w:val="006433AD"/>
    <w:rsid w:val="00643589"/>
    <w:rsid w:val="00644322"/>
    <w:rsid w:val="0064470D"/>
    <w:rsid w:val="006448B6"/>
    <w:rsid w:val="00646B9C"/>
    <w:rsid w:val="00646BA1"/>
    <w:rsid w:val="006478F8"/>
    <w:rsid w:val="006511FA"/>
    <w:rsid w:val="00651743"/>
    <w:rsid w:val="0065202B"/>
    <w:rsid w:val="006539F4"/>
    <w:rsid w:val="00653FA9"/>
    <w:rsid w:val="006545A4"/>
    <w:rsid w:val="00657498"/>
    <w:rsid w:val="00661C61"/>
    <w:rsid w:val="00661CC7"/>
    <w:rsid w:val="00662247"/>
    <w:rsid w:val="00662417"/>
    <w:rsid w:val="0066260B"/>
    <w:rsid w:val="0066264A"/>
    <w:rsid w:val="006627E5"/>
    <w:rsid w:val="0066285E"/>
    <w:rsid w:val="00662B89"/>
    <w:rsid w:val="00662D0F"/>
    <w:rsid w:val="0066349C"/>
    <w:rsid w:val="00664D29"/>
    <w:rsid w:val="00670BDB"/>
    <w:rsid w:val="0067116E"/>
    <w:rsid w:val="0067278C"/>
    <w:rsid w:val="00673256"/>
    <w:rsid w:val="0067340B"/>
    <w:rsid w:val="00675316"/>
    <w:rsid w:val="00676680"/>
    <w:rsid w:val="00676A99"/>
    <w:rsid w:val="00676E26"/>
    <w:rsid w:val="00677B05"/>
    <w:rsid w:val="00677BF4"/>
    <w:rsid w:val="00680D7F"/>
    <w:rsid w:val="00681A09"/>
    <w:rsid w:val="00681CF5"/>
    <w:rsid w:val="00681FF3"/>
    <w:rsid w:val="00685050"/>
    <w:rsid w:val="00685335"/>
    <w:rsid w:val="006854FF"/>
    <w:rsid w:val="00686C54"/>
    <w:rsid w:val="00687529"/>
    <w:rsid w:val="006902FD"/>
    <w:rsid w:val="00692549"/>
    <w:rsid w:val="00697D42"/>
    <w:rsid w:val="006A0AEF"/>
    <w:rsid w:val="006A1061"/>
    <w:rsid w:val="006A27DA"/>
    <w:rsid w:val="006A3562"/>
    <w:rsid w:val="006A4B45"/>
    <w:rsid w:val="006A61E3"/>
    <w:rsid w:val="006B2498"/>
    <w:rsid w:val="006B315F"/>
    <w:rsid w:val="006B48BF"/>
    <w:rsid w:val="006B4CA0"/>
    <w:rsid w:val="006B54B0"/>
    <w:rsid w:val="006B5A68"/>
    <w:rsid w:val="006B6273"/>
    <w:rsid w:val="006B6CBF"/>
    <w:rsid w:val="006C0541"/>
    <w:rsid w:val="006C0C9A"/>
    <w:rsid w:val="006C1163"/>
    <w:rsid w:val="006C1BA2"/>
    <w:rsid w:val="006C1BDF"/>
    <w:rsid w:val="006C26E7"/>
    <w:rsid w:val="006C2A62"/>
    <w:rsid w:val="006C354D"/>
    <w:rsid w:val="006C3B80"/>
    <w:rsid w:val="006C3FC0"/>
    <w:rsid w:val="006C7574"/>
    <w:rsid w:val="006C76C4"/>
    <w:rsid w:val="006C799A"/>
    <w:rsid w:val="006C7D99"/>
    <w:rsid w:val="006D01EE"/>
    <w:rsid w:val="006D0A24"/>
    <w:rsid w:val="006D18BA"/>
    <w:rsid w:val="006D1D62"/>
    <w:rsid w:val="006D20E0"/>
    <w:rsid w:val="006D3E90"/>
    <w:rsid w:val="006D3FB4"/>
    <w:rsid w:val="006D4475"/>
    <w:rsid w:val="006D4986"/>
    <w:rsid w:val="006D5050"/>
    <w:rsid w:val="006D66A1"/>
    <w:rsid w:val="006D67F6"/>
    <w:rsid w:val="006D6F09"/>
    <w:rsid w:val="006D7C86"/>
    <w:rsid w:val="006E00DE"/>
    <w:rsid w:val="006E01DD"/>
    <w:rsid w:val="006E0524"/>
    <w:rsid w:val="006E0B9E"/>
    <w:rsid w:val="006E0EA2"/>
    <w:rsid w:val="006E22F0"/>
    <w:rsid w:val="006E24E4"/>
    <w:rsid w:val="006E29FB"/>
    <w:rsid w:val="006E2A40"/>
    <w:rsid w:val="006E2B96"/>
    <w:rsid w:val="006E4D4F"/>
    <w:rsid w:val="006E79B8"/>
    <w:rsid w:val="006F196F"/>
    <w:rsid w:val="006F1D38"/>
    <w:rsid w:val="006F23DA"/>
    <w:rsid w:val="006F2B86"/>
    <w:rsid w:val="006F50E5"/>
    <w:rsid w:val="006F7C8A"/>
    <w:rsid w:val="007002BE"/>
    <w:rsid w:val="00700F2C"/>
    <w:rsid w:val="00700FE2"/>
    <w:rsid w:val="0070125F"/>
    <w:rsid w:val="00701626"/>
    <w:rsid w:val="00703652"/>
    <w:rsid w:val="00703A9D"/>
    <w:rsid w:val="0070443E"/>
    <w:rsid w:val="0070688E"/>
    <w:rsid w:val="007076C7"/>
    <w:rsid w:val="00710E89"/>
    <w:rsid w:val="0071111D"/>
    <w:rsid w:val="00712034"/>
    <w:rsid w:val="00712CD8"/>
    <w:rsid w:val="0071330E"/>
    <w:rsid w:val="007136C4"/>
    <w:rsid w:val="0071370F"/>
    <w:rsid w:val="007145A6"/>
    <w:rsid w:val="00715067"/>
    <w:rsid w:val="0071563C"/>
    <w:rsid w:val="00716C1C"/>
    <w:rsid w:val="00716DB0"/>
    <w:rsid w:val="00717601"/>
    <w:rsid w:val="00717828"/>
    <w:rsid w:val="0072025E"/>
    <w:rsid w:val="00720B4F"/>
    <w:rsid w:val="00720EBE"/>
    <w:rsid w:val="00721B87"/>
    <w:rsid w:val="00721B9B"/>
    <w:rsid w:val="0072228C"/>
    <w:rsid w:val="00722E33"/>
    <w:rsid w:val="007232C2"/>
    <w:rsid w:val="007240C7"/>
    <w:rsid w:val="007240F1"/>
    <w:rsid w:val="0072413F"/>
    <w:rsid w:val="0072498A"/>
    <w:rsid w:val="00725F3A"/>
    <w:rsid w:val="007305C4"/>
    <w:rsid w:val="00730D9B"/>
    <w:rsid w:val="007326AA"/>
    <w:rsid w:val="00732B72"/>
    <w:rsid w:val="007338BC"/>
    <w:rsid w:val="007348C2"/>
    <w:rsid w:val="007360F4"/>
    <w:rsid w:val="007417B7"/>
    <w:rsid w:val="0074390B"/>
    <w:rsid w:val="00745D32"/>
    <w:rsid w:val="0074788B"/>
    <w:rsid w:val="00747FFC"/>
    <w:rsid w:val="00750C96"/>
    <w:rsid w:val="00751B5E"/>
    <w:rsid w:val="00752501"/>
    <w:rsid w:val="0075268C"/>
    <w:rsid w:val="00755F21"/>
    <w:rsid w:val="00756042"/>
    <w:rsid w:val="007563F1"/>
    <w:rsid w:val="007565FB"/>
    <w:rsid w:val="00757225"/>
    <w:rsid w:val="00757408"/>
    <w:rsid w:val="00757D8C"/>
    <w:rsid w:val="00760766"/>
    <w:rsid w:val="00760C97"/>
    <w:rsid w:val="00760E5E"/>
    <w:rsid w:val="007610A2"/>
    <w:rsid w:val="00761316"/>
    <w:rsid w:val="00761BA4"/>
    <w:rsid w:val="00762838"/>
    <w:rsid w:val="00762B5B"/>
    <w:rsid w:val="0076383A"/>
    <w:rsid w:val="00764034"/>
    <w:rsid w:val="00764610"/>
    <w:rsid w:val="00765A98"/>
    <w:rsid w:val="00766C33"/>
    <w:rsid w:val="0076737D"/>
    <w:rsid w:val="00767410"/>
    <w:rsid w:val="00767707"/>
    <w:rsid w:val="00767B14"/>
    <w:rsid w:val="00770E73"/>
    <w:rsid w:val="00770FC9"/>
    <w:rsid w:val="007718A8"/>
    <w:rsid w:val="007724EC"/>
    <w:rsid w:val="00772C1F"/>
    <w:rsid w:val="0077348F"/>
    <w:rsid w:val="007746DE"/>
    <w:rsid w:val="0077506A"/>
    <w:rsid w:val="00775C60"/>
    <w:rsid w:val="0077670B"/>
    <w:rsid w:val="00776837"/>
    <w:rsid w:val="00777521"/>
    <w:rsid w:val="0077798B"/>
    <w:rsid w:val="00780104"/>
    <w:rsid w:val="00780696"/>
    <w:rsid w:val="0078147D"/>
    <w:rsid w:val="00781E2E"/>
    <w:rsid w:val="00786294"/>
    <w:rsid w:val="007870CF"/>
    <w:rsid w:val="00790132"/>
    <w:rsid w:val="00791254"/>
    <w:rsid w:val="007913A1"/>
    <w:rsid w:val="00792C5C"/>
    <w:rsid w:val="00793223"/>
    <w:rsid w:val="007939E9"/>
    <w:rsid w:val="00794482"/>
    <w:rsid w:val="007950CA"/>
    <w:rsid w:val="00795ECC"/>
    <w:rsid w:val="007964EC"/>
    <w:rsid w:val="00796C32"/>
    <w:rsid w:val="007A0098"/>
    <w:rsid w:val="007A2421"/>
    <w:rsid w:val="007A2A87"/>
    <w:rsid w:val="007A2AEF"/>
    <w:rsid w:val="007A2BCD"/>
    <w:rsid w:val="007A3224"/>
    <w:rsid w:val="007A35CD"/>
    <w:rsid w:val="007A3DD3"/>
    <w:rsid w:val="007A3EBA"/>
    <w:rsid w:val="007A4207"/>
    <w:rsid w:val="007A4482"/>
    <w:rsid w:val="007A47D0"/>
    <w:rsid w:val="007A762F"/>
    <w:rsid w:val="007B29B4"/>
    <w:rsid w:val="007B2FDD"/>
    <w:rsid w:val="007B4C32"/>
    <w:rsid w:val="007B520C"/>
    <w:rsid w:val="007B5CA0"/>
    <w:rsid w:val="007B6348"/>
    <w:rsid w:val="007B74BC"/>
    <w:rsid w:val="007B7533"/>
    <w:rsid w:val="007B7918"/>
    <w:rsid w:val="007B7DCD"/>
    <w:rsid w:val="007C01F6"/>
    <w:rsid w:val="007C12E1"/>
    <w:rsid w:val="007C181F"/>
    <w:rsid w:val="007C2D31"/>
    <w:rsid w:val="007C30B3"/>
    <w:rsid w:val="007C31B8"/>
    <w:rsid w:val="007C38AB"/>
    <w:rsid w:val="007C3C10"/>
    <w:rsid w:val="007C51C2"/>
    <w:rsid w:val="007C5B60"/>
    <w:rsid w:val="007C6B09"/>
    <w:rsid w:val="007C75C2"/>
    <w:rsid w:val="007C79E7"/>
    <w:rsid w:val="007C7F5E"/>
    <w:rsid w:val="007D00A0"/>
    <w:rsid w:val="007D0F01"/>
    <w:rsid w:val="007D1D21"/>
    <w:rsid w:val="007D2D5F"/>
    <w:rsid w:val="007D3C48"/>
    <w:rsid w:val="007D3CA3"/>
    <w:rsid w:val="007D45B8"/>
    <w:rsid w:val="007D5AC4"/>
    <w:rsid w:val="007D6B47"/>
    <w:rsid w:val="007D6B55"/>
    <w:rsid w:val="007D7472"/>
    <w:rsid w:val="007D7962"/>
    <w:rsid w:val="007E0CCB"/>
    <w:rsid w:val="007E1950"/>
    <w:rsid w:val="007E199C"/>
    <w:rsid w:val="007E307A"/>
    <w:rsid w:val="007E31E2"/>
    <w:rsid w:val="007E39B9"/>
    <w:rsid w:val="007E3F6F"/>
    <w:rsid w:val="007E406B"/>
    <w:rsid w:val="007E48F1"/>
    <w:rsid w:val="007E4925"/>
    <w:rsid w:val="007E58EF"/>
    <w:rsid w:val="007E5CF3"/>
    <w:rsid w:val="007E6197"/>
    <w:rsid w:val="007E69A0"/>
    <w:rsid w:val="007E6CB3"/>
    <w:rsid w:val="007E7161"/>
    <w:rsid w:val="007F0626"/>
    <w:rsid w:val="007F0828"/>
    <w:rsid w:val="007F0DEA"/>
    <w:rsid w:val="007F1B4A"/>
    <w:rsid w:val="007F231D"/>
    <w:rsid w:val="007F3646"/>
    <w:rsid w:val="007F4323"/>
    <w:rsid w:val="007F6D41"/>
    <w:rsid w:val="007F7D68"/>
    <w:rsid w:val="007F7E2A"/>
    <w:rsid w:val="008001EA"/>
    <w:rsid w:val="00801CB5"/>
    <w:rsid w:val="0080207C"/>
    <w:rsid w:val="008021EA"/>
    <w:rsid w:val="00803EA0"/>
    <w:rsid w:val="008046E5"/>
    <w:rsid w:val="00805642"/>
    <w:rsid w:val="008058A7"/>
    <w:rsid w:val="00806718"/>
    <w:rsid w:val="0080671C"/>
    <w:rsid w:val="00806B7F"/>
    <w:rsid w:val="008077F5"/>
    <w:rsid w:val="00810391"/>
    <w:rsid w:val="00810EBA"/>
    <w:rsid w:val="00811830"/>
    <w:rsid w:val="00811D46"/>
    <w:rsid w:val="0081385D"/>
    <w:rsid w:val="00814E4F"/>
    <w:rsid w:val="00814F39"/>
    <w:rsid w:val="00816EA5"/>
    <w:rsid w:val="0081799F"/>
    <w:rsid w:val="00820DC6"/>
    <w:rsid w:val="0082134E"/>
    <w:rsid w:val="00821B3D"/>
    <w:rsid w:val="00822F10"/>
    <w:rsid w:val="00824630"/>
    <w:rsid w:val="008265E0"/>
    <w:rsid w:val="00826D3D"/>
    <w:rsid w:val="00826E1A"/>
    <w:rsid w:val="0082770B"/>
    <w:rsid w:val="008304E7"/>
    <w:rsid w:val="00831EB7"/>
    <w:rsid w:val="00832341"/>
    <w:rsid w:val="00832845"/>
    <w:rsid w:val="00835377"/>
    <w:rsid w:val="00835A4E"/>
    <w:rsid w:val="00836117"/>
    <w:rsid w:val="008361DE"/>
    <w:rsid w:val="00836C45"/>
    <w:rsid w:val="00836C66"/>
    <w:rsid w:val="00840AD9"/>
    <w:rsid w:val="00841B22"/>
    <w:rsid w:val="00841D35"/>
    <w:rsid w:val="008421FB"/>
    <w:rsid w:val="008425CE"/>
    <w:rsid w:val="00842FD1"/>
    <w:rsid w:val="00843187"/>
    <w:rsid w:val="00843C00"/>
    <w:rsid w:val="00846C47"/>
    <w:rsid w:val="00847839"/>
    <w:rsid w:val="00850688"/>
    <w:rsid w:val="00850BB7"/>
    <w:rsid w:val="008528C8"/>
    <w:rsid w:val="008546CC"/>
    <w:rsid w:val="008551B4"/>
    <w:rsid w:val="00855B7D"/>
    <w:rsid w:val="00856705"/>
    <w:rsid w:val="00856937"/>
    <w:rsid w:val="00857223"/>
    <w:rsid w:val="00860125"/>
    <w:rsid w:val="00861726"/>
    <w:rsid w:val="0086283A"/>
    <w:rsid w:val="0086288C"/>
    <w:rsid w:val="00862CF8"/>
    <w:rsid w:val="008633A5"/>
    <w:rsid w:val="0086371A"/>
    <w:rsid w:val="008639FE"/>
    <w:rsid w:val="00864294"/>
    <w:rsid w:val="00864326"/>
    <w:rsid w:val="00864550"/>
    <w:rsid w:val="0086466E"/>
    <w:rsid w:val="008654AC"/>
    <w:rsid w:val="008661D9"/>
    <w:rsid w:val="00871DD3"/>
    <w:rsid w:val="00872FAB"/>
    <w:rsid w:val="0087311B"/>
    <w:rsid w:val="0087315F"/>
    <w:rsid w:val="00873653"/>
    <w:rsid w:val="00874BFD"/>
    <w:rsid w:val="0087537C"/>
    <w:rsid w:val="008753A9"/>
    <w:rsid w:val="00875461"/>
    <w:rsid w:val="008754A1"/>
    <w:rsid w:val="00875A24"/>
    <w:rsid w:val="00876A50"/>
    <w:rsid w:val="00876C6D"/>
    <w:rsid w:val="00880266"/>
    <w:rsid w:val="00880298"/>
    <w:rsid w:val="0088111E"/>
    <w:rsid w:val="00883375"/>
    <w:rsid w:val="00883547"/>
    <w:rsid w:val="0088383D"/>
    <w:rsid w:val="00886155"/>
    <w:rsid w:val="00886E61"/>
    <w:rsid w:val="008872C4"/>
    <w:rsid w:val="00887768"/>
    <w:rsid w:val="00890513"/>
    <w:rsid w:val="00890E23"/>
    <w:rsid w:val="00892715"/>
    <w:rsid w:val="00892D04"/>
    <w:rsid w:val="00892EE3"/>
    <w:rsid w:val="00893057"/>
    <w:rsid w:val="00893F05"/>
    <w:rsid w:val="008943D2"/>
    <w:rsid w:val="0089547A"/>
    <w:rsid w:val="00895799"/>
    <w:rsid w:val="00897875"/>
    <w:rsid w:val="00897E4F"/>
    <w:rsid w:val="008A0CF9"/>
    <w:rsid w:val="008A11F5"/>
    <w:rsid w:val="008A1C71"/>
    <w:rsid w:val="008A2434"/>
    <w:rsid w:val="008A391B"/>
    <w:rsid w:val="008A50F9"/>
    <w:rsid w:val="008B07BB"/>
    <w:rsid w:val="008B0D39"/>
    <w:rsid w:val="008B1FB9"/>
    <w:rsid w:val="008B2F9A"/>
    <w:rsid w:val="008B487E"/>
    <w:rsid w:val="008B48E6"/>
    <w:rsid w:val="008B5A70"/>
    <w:rsid w:val="008B5FF3"/>
    <w:rsid w:val="008B6307"/>
    <w:rsid w:val="008B6FA6"/>
    <w:rsid w:val="008B7075"/>
    <w:rsid w:val="008B7176"/>
    <w:rsid w:val="008B7EA8"/>
    <w:rsid w:val="008C1926"/>
    <w:rsid w:val="008C252A"/>
    <w:rsid w:val="008C29E1"/>
    <w:rsid w:val="008C4D1F"/>
    <w:rsid w:val="008C5437"/>
    <w:rsid w:val="008C5E67"/>
    <w:rsid w:val="008C626D"/>
    <w:rsid w:val="008C7949"/>
    <w:rsid w:val="008C7FE7"/>
    <w:rsid w:val="008D000A"/>
    <w:rsid w:val="008D00B9"/>
    <w:rsid w:val="008D06FD"/>
    <w:rsid w:val="008D1960"/>
    <w:rsid w:val="008D1CCC"/>
    <w:rsid w:val="008D1D8C"/>
    <w:rsid w:val="008D1FA1"/>
    <w:rsid w:val="008D2FA6"/>
    <w:rsid w:val="008D3B4C"/>
    <w:rsid w:val="008D410B"/>
    <w:rsid w:val="008D595E"/>
    <w:rsid w:val="008D61DB"/>
    <w:rsid w:val="008D7F8B"/>
    <w:rsid w:val="008E0A3A"/>
    <w:rsid w:val="008E1462"/>
    <w:rsid w:val="008E2D23"/>
    <w:rsid w:val="008E3044"/>
    <w:rsid w:val="008E3F6C"/>
    <w:rsid w:val="008E47D8"/>
    <w:rsid w:val="008E56EB"/>
    <w:rsid w:val="008E6449"/>
    <w:rsid w:val="008E7393"/>
    <w:rsid w:val="008E7CDD"/>
    <w:rsid w:val="008F0A72"/>
    <w:rsid w:val="008F21BE"/>
    <w:rsid w:val="008F27AA"/>
    <w:rsid w:val="008F3130"/>
    <w:rsid w:val="008F323C"/>
    <w:rsid w:val="008F6192"/>
    <w:rsid w:val="008F7183"/>
    <w:rsid w:val="008F741D"/>
    <w:rsid w:val="008F74E1"/>
    <w:rsid w:val="00900474"/>
    <w:rsid w:val="0090264D"/>
    <w:rsid w:val="00902D72"/>
    <w:rsid w:val="00903CF5"/>
    <w:rsid w:val="00904D63"/>
    <w:rsid w:val="00904FD5"/>
    <w:rsid w:val="009051CB"/>
    <w:rsid w:val="00905819"/>
    <w:rsid w:val="00906D9D"/>
    <w:rsid w:val="00907EF8"/>
    <w:rsid w:val="00907FC9"/>
    <w:rsid w:val="00910FF9"/>
    <w:rsid w:val="00911420"/>
    <w:rsid w:val="00911CDF"/>
    <w:rsid w:val="00911FDA"/>
    <w:rsid w:val="00912D51"/>
    <w:rsid w:val="00917876"/>
    <w:rsid w:val="00917B6F"/>
    <w:rsid w:val="00917ECB"/>
    <w:rsid w:val="00917F9B"/>
    <w:rsid w:val="00920598"/>
    <w:rsid w:val="00921C61"/>
    <w:rsid w:val="009220EE"/>
    <w:rsid w:val="009251F4"/>
    <w:rsid w:val="00926982"/>
    <w:rsid w:val="00927CBD"/>
    <w:rsid w:val="00927D5A"/>
    <w:rsid w:val="009303B4"/>
    <w:rsid w:val="0093144F"/>
    <w:rsid w:val="00931CE2"/>
    <w:rsid w:val="00931D65"/>
    <w:rsid w:val="009327F7"/>
    <w:rsid w:val="00932A53"/>
    <w:rsid w:val="0093376D"/>
    <w:rsid w:val="009337F2"/>
    <w:rsid w:val="00933BDB"/>
    <w:rsid w:val="00935453"/>
    <w:rsid w:val="00936909"/>
    <w:rsid w:val="00936EB9"/>
    <w:rsid w:val="00936FD6"/>
    <w:rsid w:val="00937E14"/>
    <w:rsid w:val="009402F7"/>
    <w:rsid w:val="00940C10"/>
    <w:rsid w:val="00943151"/>
    <w:rsid w:val="00943E17"/>
    <w:rsid w:val="00943F33"/>
    <w:rsid w:val="00944C1D"/>
    <w:rsid w:val="009454A6"/>
    <w:rsid w:val="00946F11"/>
    <w:rsid w:val="0095067D"/>
    <w:rsid w:val="00950CFC"/>
    <w:rsid w:val="00951F35"/>
    <w:rsid w:val="0095228A"/>
    <w:rsid w:val="00952988"/>
    <w:rsid w:val="009538AF"/>
    <w:rsid w:val="009552A5"/>
    <w:rsid w:val="00955571"/>
    <w:rsid w:val="00955649"/>
    <w:rsid w:val="00956465"/>
    <w:rsid w:val="00956799"/>
    <w:rsid w:val="0095785D"/>
    <w:rsid w:val="00957887"/>
    <w:rsid w:val="00957B51"/>
    <w:rsid w:val="00961159"/>
    <w:rsid w:val="0096121E"/>
    <w:rsid w:val="009626A1"/>
    <w:rsid w:val="00963C34"/>
    <w:rsid w:val="00963F1B"/>
    <w:rsid w:val="00967A0F"/>
    <w:rsid w:val="00967FF8"/>
    <w:rsid w:val="0097227B"/>
    <w:rsid w:val="00973E9F"/>
    <w:rsid w:val="009743D7"/>
    <w:rsid w:val="009763B5"/>
    <w:rsid w:val="0097701C"/>
    <w:rsid w:val="00980582"/>
    <w:rsid w:val="0098138D"/>
    <w:rsid w:val="00981AA3"/>
    <w:rsid w:val="00982C62"/>
    <w:rsid w:val="00982CC7"/>
    <w:rsid w:val="00983142"/>
    <w:rsid w:val="00984739"/>
    <w:rsid w:val="00984CCF"/>
    <w:rsid w:val="0098635E"/>
    <w:rsid w:val="00986790"/>
    <w:rsid w:val="00987699"/>
    <w:rsid w:val="00987C62"/>
    <w:rsid w:val="0099050A"/>
    <w:rsid w:val="009914E4"/>
    <w:rsid w:val="00992264"/>
    <w:rsid w:val="009928F6"/>
    <w:rsid w:val="00992B53"/>
    <w:rsid w:val="009933CD"/>
    <w:rsid w:val="00994883"/>
    <w:rsid w:val="00995198"/>
    <w:rsid w:val="00995D0C"/>
    <w:rsid w:val="00996845"/>
    <w:rsid w:val="00996B3F"/>
    <w:rsid w:val="009975CC"/>
    <w:rsid w:val="00997FAA"/>
    <w:rsid w:val="009A28F3"/>
    <w:rsid w:val="009A2FBF"/>
    <w:rsid w:val="009A33BB"/>
    <w:rsid w:val="009A38F5"/>
    <w:rsid w:val="009A5B9C"/>
    <w:rsid w:val="009A66DF"/>
    <w:rsid w:val="009A6C1B"/>
    <w:rsid w:val="009A79EB"/>
    <w:rsid w:val="009B12DF"/>
    <w:rsid w:val="009B2ED3"/>
    <w:rsid w:val="009B327C"/>
    <w:rsid w:val="009B5238"/>
    <w:rsid w:val="009C06C1"/>
    <w:rsid w:val="009C0C01"/>
    <w:rsid w:val="009C2F63"/>
    <w:rsid w:val="009C609D"/>
    <w:rsid w:val="009C64A9"/>
    <w:rsid w:val="009C6529"/>
    <w:rsid w:val="009C679B"/>
    <w:rsid w:val="009C75E6"/>
    <w:rsid w:val="009D1E3F"/>
    <w:rsid w:val="009D20AB"/>
    <w:rsid w:val="009D38C6"/>
    <w:rsid w:val="009D49D3"/>
    <w:rsid w:val="009D4FE8"/>
    <w:rsid w:val="009D714C"/>
    <w:rsid w:val="009D7813"/>
    <w:rsid w:val="009E08EF"/>
    <w:rsid w:val="009E0DB8"/>
    <w:rsid w:val="009E10D4"/>
    <w:rsid w:val="009E29A4"/>
    <w:rsid w:val="009E2C3D"/>
    <w:rsid w:val="009E4162"/>
    <w:rsid w:val="009E5859"/>
    <w:rsid w:val="009E5962"/>
    <w:rsid w:val="009E64B3"/>
    <w:rsid w:val="009E699A"/>
    <w:rsid w:val="009E6CBE"/>
    <w:rsid w:val="009E6EF6"/>
    <w:rsid w:val="009E7B06"/>
    <w:rsid w:val="009F10D9"/>
    <w:rsid w:val="009F127C"/>
    <w:rsid w:val="009F1B81"/>
    <w:rsid w:val="009F24B2"/>
    <w:rsid w:val="009F412C"/>
    <w:rsid w:val="009F46F4"/>
    <w:rsid w:val="009F559A"/>
    <w:rsid w:val="00A00316"/>
    <w:rsid w:val="00A01221"/>
    <w:rsid w:val="00A0154F"/>
    <w:rsid w:val="00A031BF"/>
    <w:rsid w:val="00A050EF"/>
    <w:rsid w:val="00A05297"/>
    <w:rsid w:val="00A0535D"/>
    <w:rsid w:val="00A05CA1"/>
    <w:rsid w:val="00A06578"/>
    <w:rsid w:val="00A06DC3"/>
    <w:rsid w:val="00A0721E"/>
    <w:rsid w:val="00A075FB"/>
    <w:rsid w:val="00A078B7"/>
    <w:rsid w:val="00A07D9A"/>
    <w:rsid w:val="00A10BF8"/>
    <w:rsid w:val="00A11502"/>
    <w:rsid w:val="00A12085"/>
    <w:rsid w:val="00A13423"/>
    <w:rsid w:val="00A140B8"/>
    <w:rsid w:val="00A142EC"/>
    <w:rsid w:val="00A14F9E"/>
    <w:rsid w:val="00A1558A"/>
    <w:rsid w:val="00A1789F"/>
    <w:rsid w:val="00A208FA"/>
    <w:rsid w:val="00A2277C"/>
    <w:rsid w:val="00A22861"/>
    <w:rsid w:val="00A25FFF"/>
    <w:rsid w:val="00A26FE0"/>
    <w:rsid w:val="00A27A82"/>
    <w:rsid w:val="00A27AAB"/>
    <w:rsid w:val="00A311B7"/>
    <w:rsid w:val="00A31819"/>
    <w:rsid w:val="00A31C21"/>
    <w:rsid w:val="00A3257C"/>
    <w:rsid w:val="00A36034"/>
    <w:rsid w:val="00A36393"/>
    <w:rsid w:val="00A36DE6"/>
    <w:rsid w:val="00A37B81"/>
    <w:rsid w:val="00A4001E"/>
    <w:rsid w:val="00A400B0"/>
    <w:rsid w:val="00A40817"/>
    <w:rsid w:val="00A41128"/>
    <w:rsid w:val="00A4277D"/>
    <w:rsid w:val="00A4284C"/>
    <w:rsid w:val="00A43B60"/>
    <w:rsid w:val="00A442F3"/>
    <w:rsid w:val="00A456DC"/>
    <w:rsid w:val="00A46A10"/>
    <w:rsid w:val="00A4778E"/>
    <w:rsid w:val="00A479F5"/>
    <w:rsid w:val="00A47C67"/>
    <w:rsid w:val="00A47F8B"/>
    <w:rsid w:val="00A5172F"/>
    <w:rsid w:val="00A51E5A"/>
    <w:rsid w:val="00A534EE"/>
    <w:rsid w:val="00A54C07"/>
    <w:rsid w:val="00A55B14"/>
    <w:rsid w:val="00A603A4"/>
    <w:rsid w:val="00A614A8"/>
    <w:rsid w:val="00A6298A"/>
    <w:rsid w:val="00A62F56"/>
    <w:rsid w:val="00A63273"/>
    <w:rsid w:val="00A63C14"/>
    <w:rsid w:val="00A6705B"/>
    <w:rsid w:val="00A703CE"/>
    <w:rsid w:val="00A70FD5"/>
    <w:rsid w:val="00A70FF9"/>
    <w:rsid w:val="00A72382"/>
    <w:rsid w:val="00A72A75"/>
    <w:rsid w:val="00A7325A"/>
    <w:rsid w:val="00A7405A"/>
    <w:rsid w:val="00A749EA"/>
    <w:rsid w:val="00A75974"/>
    <w:rsid w:val="00A75AD4"/>
    <w:rsid w:val="00A77622"/>
    <w:rsid w:val="00A83294"/>
    <w:rsid w:val="00A8348C"/>
    <w:rsid w:val="00A83563"/>
    <w:rsid w:val="00A842F2"/>
    <w:rsid w:val="00A84327"/>
    <w:rsid w:val="00A853C9"/>
    <w:rsid w:val="00A8625C"/>
    <w:rsid w:val="00A867E7"/>
    <w:rsid w:val="00A8715E"/>
    <w:rsid w:val="00A90029"/>
    <w:rsid w:val="00A908B5"/>
    <w:rsid w:val="00A909D0"/>
    <w:rsid w:val="00A9195E"/>
    <w:rsid w:val="00A9247D"/>
    <w:rsid w:val="00A92DF0"/>
    <w:rsid w:val="00A930DF"/>
    <w:rsid w:val="00A93167"/>
    <w:rsid w:val="00A9373B"/>
    <w:rsid w:val="00A9470D"/>
    <w:rsid w:val="00A94DE7"/>
    <w:rsid w:val="00A94F1A"/>
    <w:rsid w:val="00A952E1"/>
    <w:rsid w:val="00A953CC"/>
    <w:rsid w:val="00A95B37"/>
    <w:rsid w:val="00A95DF7"/>
    <w:rsid w:val="00A97277"/>
    <w:rsid w:val="00A97D93"/>
    <w:rsid w:val="00AA1093"/>
    <w:rsid w:val="00AA12EE"/>
    <w:rsid w:val="00AA1416"/>
    <w:rsid w:val="00AA162C"/>
    <w:rsid w:val="00AA1873"/>
    <w:rsid w:val="00AA5031"/>
    <w:rsid w:val="00AA569C"/>
    <w:rsid w:val="00AB1022"/>
    <w:rsid w:val="00AB148E"/>
    <w:rsid w:val="00AB15D3"/>
    <w:rsid w:val="00AB1D98"/>
    <w:rsid w:val="00AB226F"/>
    <w:rsid w:val="00AB2F11"/>
    <w:rsid w:val="00AB46FA"/>
    <w:rsid w:val="00AB5239"/>
    <w:rsid w:val="00AB6474"/>
    <w:rsid w:val="00AB6BE3"/>
    <w:rsid w:val="00AB7441"/>
    <w:rsid w:val="00AC2B3D"/>
    <w:rsid w:val="00AC2D2C"/>
    <w:rsid w:val="00AC3BAB"/>
    <w:rsid w:val="00AC42B4"/>
    <w:rsid w:val="00AC4E2D"/>
    <w:rsid w:val="00AC4ED9"/>
    <w:rsid w:val="00AC7253"/>
    <w:rsid w:val="00AC76EB"/>
    <w:rsid w:val="00AC78A2"/>
    <w:rsid w:val="00AC78BE"/>
    <w:rsid w:val="00AD0606"/>
    <w:rsid w:val="00AD0BDA"/>
    <w:rsid w:val="00AD1657"/>
    <w:rsid w:val="00AD27BD"/>
    <w:rsid w:val="00AD29CD"/>
    <w:rsid w:val="00AD5E35"/>
    <w:rsid w:val="00AD5F71"/>
    <w:rsid w:val="00AE0A7A"/>
    <w:rsid w:val="00AE0D44"/>
    <w:rsid w:val="00AE0FAD"/>
    <w:rsid w:val="00AE2DD9"/>
    <w:rsid w:val="00AE432B"/>
    <w:rsid w:val="00AE4A17"/>
    <w:rsid w:val="00AE4C1C"/>
    <w:rsid w:val="00AF1E65"/>
    <w:rsid w:val="00AF2AB1"/>
    <w:rsid w:val="00AF403B"/>
    <w:rsid w:val="00AF40C4"/>
    <w:rsid w:val="00AF4848"/>
    <w:rsid w:val="00AF5EA5"/>
    <w:rsid w:val="00AF6562"/>
    <w:rsid w:val="00AF6569"/>
    <w:rsid w:val="00AF6FAA"/>
    <w:rsid w:val="00AF7DF3"/>
    <w:rsid w:val="00AF7F5F"/>
    <w:rsid w:val="00B01256"/>
    <w:rsid w:val="00B03514"/>
    <w:rsid w:val="00B03AC7"/>
    <w:rsid w:val="00B047EA"/>
    <w:rsid w:val="00B0533A"/>
    <w:rsid w:val="00B05937"/>
    <w:rsid w:val="00B0681A"/>
    <w:rsid w:val="00B06EFC"/>
    <w:rsid w:val="00B1085D"/>
    <w:rsid w:val="00B13263"/>
    <w:rsid w:val="00B134F8"/>
    <w:rsid w:val="00B13699"/>
    <w:rsid w:val="00B13AA5"/>
    <w:rsid w:val="00B13AEB"/>
    <w:rsid w:val="00B13F8F"/>
    <w:rsid w:val="00B14B85"/>
    <w:rsid w:val="00B156F0"/>
    <w:rsid w:val="00B20595"/>
    <w:rsid w:val="00B205F0"/>
    <w:rsid w:val="00B21062"/>
    <w:rsid w:val="00B211C2"/>
    <w:rsid w:val="00B21CE1"/>
    <w:rsid w:val="00B23683"/>
    <w:rsid w:val="00B247A6"/>
    <w:rsid w:val="00B24932"/>
    <w:rsid w:val="00B26532"/>
    <w:rsid w:val="00B273EC"/>
    <w:rsid w:val="00B30053"/>
    <w:rsid w:val="00B30322"/>
    <w:rsid w:val="00B309D0"/>
    <w:rsid w:val="00B318C1"/>
    <w:rsid w:val="00B31DDD"/>
    <w:rsid w:val="00B3216F"/>
    <w:rsid w:val="00B32E7B"/>
    <w:rsid w:val="00B3339E"/>
    <w:rsid w:val="00B337EB"/>
    <w:rsid w:val="00B33962"/>
    <w:rsid w:val="00B34672"/>
    <w:rsid w:val="00B35878"/>
    <w:rsid w:val="00B368C5"/>
    <w:rsid w:val="00B37A29"/>
    <w:rsid w:val="00B37AC3"/>
    <w:rsid w:val="00B40200"/>
    <w:rsid w:val="00B41B5E"/>
    <w:rsid w:val="00B42C5E"/>
    <w:rsid w:val="00B439AB"/>
    <w:rsid w:val="00B43DE2"/>
    <w:rsid w:val="00B446B6"/>
    <w:rsid w:val="00B44A31"/>
    <w:rsid w:val="00B46E58"/>
    <w:rsid w:val="00B501BB"/>
    <w:rsid w:val="00B505FA"/>
    <w:rsid w:val="00B525B5"/>
    <w:rsid w:val="00B52675"/>
    <w:rsid w:val="00B52C90"/>
    <w:rsid w:val="00B540B8"/>
    <w:rsid w:val="00B5539F"/>
    <w:rsid w:val="00B55CE1"/>
    <w:rsid w:val="00B55EFD"/>
    <w:rsid w:val="00B600DC"/>
    <w:rsid w:val="00B6124D"/>
    <w:rsid w:val="00B61ACA"/>
    <w:rsid w:val="00B6428B"/>
    <w:rsid w:val="00B646F4"/>
    <w:rsid w:val="00B6502D"/>
    <w:rsid w:val="00B65D85"/>
    <w:rsid w:val="00B66AD6"/>
    <w:rsid w:val="00B66BF8"/>
    <w:rsid w:val="00B671AC"/>
    <w:rsid w:val="00B67421"/>
    <w:rsid w:val="00B67490"/>
    <w:rsid w:val="00B67802"/>
    <w:rsid w:val="00B7065D"/>
    <w:rsid w:val="00B712E8"/>
    <w:rsid w:val="00B7143B"/>
    <w:rsid w:val="00B71603"/>
    <w:rsid w:val="00B72465"/>
    <w:rsid w:val="00B736C0"/>
    <w:rsid w:val="00B74C28"/>
    <w:rsid w:val="00B74C4D"/>
    <w:rsid w:val="00B757BA"/>
    <w:rsid w:val="00B759FF"/>
    <w:rsid w:val="00B75B3E"/>
    <w:rsid w:val="00B76A07"/>
    <w:rsid w:val="00B773AC"/>
    <w:rsid w:val="00B77AE8"/>
    <w:rsid w:val="00B80BF1"/>
    <w:rsid w:val="00B811C7"/>
    <w:rsid w:val="00B8245A"/>
    <w:rsid w:val="00B83032"/>
    <w:rsid w:val="00B8405A"/>
    <w:rsid w:val="00B844C6"/>
    <w:rsid w:val="00B84518"/>
    <w:rsid w:val="00B85335"/>
    <w:rsid w:val="00B855FF"/>
    <w:rsid w:val="00B85D8F"/>
    <w:rsid w:val="00B85FA2"/>
    <w:rsid w:val="00B86397"/>
    <w:rsid w:val="00B87036"/>
    <w:rsid w:val="00B87ACE"/>
    <w:rsid w:val="00B9072D"/>
    <w:rsid w:val="00B90E7C"/>
    <w:rsid w:val="00B9107C"/>
    <w:rsid w:val="00B91830"/>
    <w:rsid w:val="00B92EF5"/>
    <w:rsid w:val="00B9304A"/>
    <w:rsid w:val="00B93957"/>
    <w:rsid w:val="00B95117"/>
    <w:rsid w:val="00B95407"/>
    <w:rsid w:val="00B9582F"/>
    <w:rsid w:val="00B962A5"/>
    <w:rsid w:val="00BA0D6F"/>
    <w:rsid w:val="00BA2075"/>
    <w:rsid w:val="00BA222C"/>
    <w:rsid w:val="00BA2356"/>
    <w:rsid w:val="00BA28DC"/>
    <w:rsid w:val="00BA3224"/>
    <w:rsid w:val="00BA36A0"/>
    <w:rsid w:val="00BA3E52"/>
    <w:rsid w:val="00BA3EC7"/>
    <w:rsid w:val="00BA4DBE"/>
    <w:rsid w:val="00BA5B32"/>
    <w:rsid w:val="00BA710C"/>
    <w:rsid w:val="00BA74FA"/>
    <w:rsid w:val="00BA7B4F"/>
    <w:rsid w:val="00BA7E36"/>
    <w:rsid w:val="00BB090D"/>
    <w:rsid w:val="00BB5A4D"/>
    <w:rsid w:val="00BB71D7"/>
    <w:rsid w:val="00BB7955"/>
    <w:rsid w:val="00BB7C68"/>
    <w:rsid w:val="00BC0A17"/>
    <w:rsid w:val="00BC213E"/>
    <w:rsid w:val="00BC369B"/>
    <w:rsid w:val="00BC3E7A"/>
    <w:rsid w:val="00BC4239"/>
    <w:rsid w:val="00BC52C4"/>
    <w:rsid w:val="00BC6062"/>
    <w:rsid w:val="00BC66FF"/>
    <w:rsid w:val="00BC7A51"/>
    <w:rsid w:val="00BC7A94"/>
    <w:rsid w:val="00BD07AD"/>
    <w:rsid w:val="00BD0B7D"/>
    <w:rsid w:val="00BD20A1"/>
    <w:rsid w:val="00BD34EE"/>
    <w:rsid w:val="00BD428C"/>
    <w:rsid w:val="00BD4519"/>
    <w:rsid w:val="00BD46B3"/>
    <w:rsid w:val="00BD501D"/>
    <w:rsid w:val="00BD7922"/>
    <w:rsid w:val="00BD7D27"/>
    <w:rsid w:val="00BE241B"/>
    <w:rsid w:val="00BE3338"/>
    <w:rsid w:val="00BE4FAE"/>
    <w:rsid w:val="00BE629A"/>
    <w:rsid w:val="00BE7491"/>
    <w:rsid w:val="00BF1485"/>
    <w:rsid w:val="00BF232C"/>
    <w:rsid w:val="00BF35C5"/>
    <w:rsid w:val="00BF690F"/>
    <w:rsid w:val="00BF77A5"/>
    <w:rsid w:val="00BF7AEC"/>
    <w:rsid w:val="00BF7D1C"/>
    <w:rsid w:val="00C00000"/>
    <w:rsid w:val="00C00168"/>
    <w:rsid w:val="00C00404"/>
    <w:rsid w:val="00C00DC2"/>
    <w:rsid w:val="00C01108"/>
    <w:rsid w:val="00C01BC2"/>
    <w:rsid w:val="00C01DB2"/>
    <w:rsid w:val="00C03AF2"/>
    <w:rsid w:val="00C04285"/>
    <w:rsid w:val="00C042CF"/>
    <w:rsid w:val="00C06667"/>
    <w:rsid w:val="00C07175"/>
    <w:rsid w:val="00C07A27"/>
    <w:rsid w:val="00C10987"/>
    <w:rsid w:val="00C11EC5"/>
    <w:rsid w:val="00C138AB"/>
    <w:rsid w:val="00C13EFB"/>
    <w:rsid w:val="00C15A67"/>
    <w:rsid w:val="00C15D99"/>
    <w:rsid w:val="00C16A0C"/>
    <w:rsid w:val="00C17D6C"/>
    <w:rsid w:val="00C205FE"/>
    <w:rsid w:val="00C2194E"/>
    <w:rsid w:val="00C22600"/>
    <w:rsid w:val="00C228E3"/>
    <w:rsid w:val="00C22A43"/>
    <w:rsid w:val="00C23E38"/>
    <w:rsid w:val="00C25DDC"/>
    <w:rsid w:val="00C268B5"/>
    <w:rsid w:val="00C275A1"/>
    <w:rsid w:val="00C306F2"/>
    <w:rsid w:val="00C3179F"/>
    <w:rsid w:val="00C31DB8"/>
    <w:rsid w:val="00C32AEB"/>
    <w:rsid w:val="00C33FD1"/>
    <w:rsid w:val="00C34BDD"/>
    <w:rsid w:val="00C352E4"/>
    <w:rsid w:val="00C35448"/>
    <w:rsid w:val="00C3585B"/>
    <w:rsid w:val="00C35DB4"/>
    <w:rsid w:val="00C379DF"/>
    <w:rsid w:val="00C37D24"/>
    <w:rsid w:val="00C40272"/>
    <w:rsid w:val="00C403EE"/>
    <w:rsid w:val="00C40AF6"/>
    <w:rsid w:val="00C44A4C"/>
    <w:rsid w:val="00C45829"/>
    <w:rsid w:val="00C45FA8"/>
    <w:rsid w:val="00C4619D"/>
    <w:rsid w:val="00C46211"/>
    <w:rsid w:val="00C4683A"/>
    <w:rsid w:val="00C46945"/>
    <w:rsid w:val="00C46F72"/>
    <w:rsid w:val="00C4725F"/>
    <w:rsid w:val="00C47A38"/>
    <w:rsid w:val="00C47DA0"/>
    <w:rsid w:val="00C50437"/>
    <w:rsid w:val="00C50D9E"/>
    <w:rsid w:val="00C520D2"/>
    <w:rsid w:val="00C532A8"/>
    <w:rsid w:val="00C53648"/>
    <w:rsid w:val="00C538F0"/>
    <w:rsid w:val="00C53DBE"/>
    <w:rsid w:val="00C54A8D"/>
    <w:rsid w:val="00C54BC2"/>
    <w:rsid w:val="00C56A76"/>
    <w:rsid w:val="00C56F60"/>
    <w:rsid w:val="00C5713A"/>
    <w:rsid w:val="00C60A1F"/>
    <w:rsid w:val="00C60CD2"/>
    <w:rsid w:val="00C6119D"/>
    <w:rsid w:val="00C62268"/>
    <w:rsid w:val="00C62B41"/>
    <w:rsid w:val="00C6340D"/>
    <w:rsid w:val="00C63D14"/>
    <w:rsid w:val="00C64407"/>
    <w:rsid w:val="00C652C9"/>
    <w:rsid w:val="00C65F63"/>
    <w:rsid w:val="00C66557"/>
    <w:rsid w:val="00C66799"/>
    <w:rsid w:val="00C675DC"/>
    <w:rsid w:val="00C67CAF"/>
    <w:rsid w:val="00C71017"/>
    <w:rsid w:val="00C727B3"/>
    <w:rsid w:val="00C734F0"/>
    <w:rsid w:val="00C7398A"/>
    <w:rsid w:val="00C73CA6"/>
    <w:rsid w:val="00C73E18"/>
    <w:rsid w:val="00C73E88"/>
    <w:rsid w:val="00C744C4"/>
    <w:rsid w:val="00C745EA"/>
    <w:rsid w:val="00C74E6A"/>
    <w:rsid w:val="00C74FE6"/>
    <w:rsid w:val="00C77DF2"/>
    <w:rsid w:val="00C821DB"/>
    <w:rsid w:val="00C85D1C"/>
    <w:rsid w:val="00C86CDC"/>
    <w:rsid w:val="00C8713E"/>
    <w:rsid w:val="00C8766C"/>
    <w:rsid w:val="00C931F3"/>
    <w:rsid w:val="00C93ADB"/>
    <w:rsid w:val="00C9511A"/>
    <w:rsid w:val="00C951CD"/>
    <w:rsid w:val="00C951D6"/>
    <w:rsid w:val="00C958A8"/>
    <w:rsid w:val="00C96690"/>
    <w:rsid w:val="00C976B1"/>
    <w:rsid w:val="00C97FEF"/>
    <w:rsid w:val="00CA248F"/>
    <w:rsid w:val="00CA2851"/>
    <w:rsid w:val="00CA4139"/>
    <w:rsid w:val="00CA5508"/>
    <w:rsid w:val="00CA5620"/>
    <w:rsid w:val="00CA6141"/>
    <w:rsid w:val="00CA61E1"/>
    <w:rsid w:val="00CA6DE9"/>
    <w:rsid w:val="00CA709B"/>
    <w:rsid w:val="00CB180A"/>
    <w:rsid w:val="00CB1B10"/>
    <w:rsid w:val="00CB1C6A"/>
    <w:rsid w:val="00CB25B0"/>
    <w:rsid w:val="00CB2BD5"/>
    <w:rsid w:val="00CB2E5D"/>
    <w:rsid w:val="00CB3552"/>
    <w:rsid w:val="00CB3E21"/>
    <w:rsid w:val="00CB3F6F"/>
    <w:rsid w:val="00CB481C"/>
    <w:rsid w:val="00CB4A4C"/>
    <w:rsid w:val="00CB5651"/>
    <w:rsid w:val="00CB7178"/>
    <w:rsid w:val="00CB77FE"/>
    <w:rsid w:val="00CC068A"/>
    <w:rsid w:val="00CC0813"/>
    <w:rsid w:val="00CC0945"/>
    <w:rsid w:val="00CC156B"/>
    <w:rsid w:val="00CC17AD"/>
    <w:rsid w:val="00CC2A2B"/>
    <w:rsid w:val="00CC2B8E"/>
    <w:rsid w:val="00CC2E3A"/>
    <w:rsid w:val="00CC370E"/>
    <w:rsid w:val="00CC3F0C"/>
    <w:rsid w:val="00CC58E1"/>
    <w:rsid w:val="00CC744C"/>
    <w:rsid w:val="00CC7A81"/>
    <w:rsid w:val="00CD0489"/>
    <w:rsid w:val="00CD17D3"/>
    <w:rsid w:val="00CD1837"/>
    <w:rsid w:val="00CD2E79"/>
    <w:rsid w:val="00CD4E2B"/>
    <w:rsid w:val="00CD4FF5"/>
    <w:rsid w:val="00CD5F5E"/>
    <w:rsid w:val="00CD7BFE"/>
    <w:rsid w:val="00CE01AE"/>
    <w:rsid w:val="00CE0B2B"/>
    <w:rsid w:val="00CE1E2C"/>
    <w:rsid w:val="00CE28DF"/>
    <w:rsid w:val="00CE4206"/>
    <w:rsid w:val="00CE5C79"/>
    <w:rsid w:val="00CE6B61"/>
    <w:rsid w:val="00CE734A"/>
    <w:rsid w:val="00CF1EDA"/>
    <w:rsid w:val="00CF34F8"/>
    <w:rsid w:val="00CF7ECC"/>
    <w:rsid w:val="00D00551"/>
    <w:rsid w:val="00D01D10"/>
    <w:rsid w:val="00D02244"/>
    <w:rsid w:val="00D023EC"/>
    <w:rsid w:val="00D02AC6"/>
    <w:rsid w:val="00D053A1"/>
    <w:rsid w:val="00D06341"/>
    <w:rsid w:val="00D06A71"/>
    <w:rsid w:val="00D0763E"/>
    <w:rsid w:val="00D10FD1"/>
    <w:rsid w:val="00D1113E"/>
    <w:rsid w:val="00D1119F"/>
    <w:rsid w:val="00D114A3"/>
    <w:rsid w:val="00D11E5D"/>
    <w:rsid w:val="00D12403"/>
    <w:rsid w:val="00D13B9C"/>
    <w:rsid w:val="00D14D6A"/>
    <w:rsid w:val="00D16155"/>
    <w:rsid w:val="00D16347"/>
    <w:rsid w:val="00D17CD7"/>
    <w:rsid w:val="00D20DA0"/>
    <w:rsid w:val="00D22898"/>
    <w:rsid w:val="00D228B0"/>
    <w:rsid w:val="00D25023"/>
    <w:rsid w:val="00D25300"/>
    <w:rsid w:val="00D25561"/>
    <w:rsid w:val="00D25AA6"/>
    <w:rsid w:val="00D260BB"/>
    <w:rsid w:val="00D26E4C"/>
    <w:rsid w:val="00D27590"/>
    <w:rsid w:val="00D27CB1"/>
    <w:rsid w:val="00D30BCC"/>
    <w:rsid w:val="00D31E74"/>
    <w:rsid w:val="00D32BB0"/>
    <w:rsid w:val="00D32E3B"/>
    <w:rsid w:val="00D32E5F"/>
    <w:rsid w:val="00D37D12"/>
    <w:rsid w:val="00D40AFC"/>
    <w:rsid w:val="00D43998"/>
    <w:rsid w:val="00D462F0"/>
    <w:rsid w:val="00D47BBA"/>
    <w:rsid w:val="00D50EC3"/>
    <w:rsid w:val="00D51FCA"/>
    <w:rsid w:val="00D5260E"/>
    <w:rsid w:val="00D52777"/>
    <w:rsid w:val="00D53708"/>
    <w:rsid w:val="00D53C6B"/>
    <w:rsid w:val="00D54E19"/>
    <w:rsid w:val="00D55B74"/>
    <w:rsid w:val="00D56173"/>
    <w:rsid w:val="00D57F78"/>
    <w:rsid w:val="00D61728"/>
    <w:rsid w:val="00D61E9B"/>
    <w:rsid w:val="00D6288D"/>
    <w:rsid w:val="00D63035"/>
    <w:rsid w:val="00D6335D"/>
    <w:rsid w:val="00D648B8"/>
    <w:rsid w:val="00D648E0"/>
    <w:rsid w:val="00D64AC0"/>
    <w:rsid w:val="00D64ECF"/>
    <w:rsid w:val="00D6561C"/>
    <w:rsid w:val="00D667DF"/>
    <w:rsid w:val="00D66EBA"/>
    <w:rsid w:val="00D670DC"/>
    <w:rsid w:val="00D71B55"/>
    <w:rsid w:val="00D724D5"/>
    <w:rsid w:val="00D72933"/>
    <w:rsid w:val="00D744FB"/>
    <w:rsid w:val="00D74894"/>
    <w:rsid w:val="00D74908"/>
    <w:rsid w:val="00D754E6"/>
    <w:rsid w:val="00D7633E"/>
    <w:rsid w:val="00D76CAA"/>
    <w:rsid w:val="00D76E16"/>
    <w:rsid w:val="00D77EF6"/>
    <w:rsid w:val="00D80FBD"/>
    <w:rsid w:val="00D816F1"/>
    <w:rsid w:val="00D8329D"/>
    <w:rsid w:val="00D848F0"/>
    <w:rsid w:val="00D84C3C"/>
    <w:rsid w:val="00D8654C"/>
    <w:rsid w:val="00D87397"/>
    <w:rsid w:val="00D8754E"/>
    <w:rsid w:val="00D87F9F"/>
    <w:rsid w:val="00D90F95"/>
    <w:rsid w:val="00D91CDC"/>
    <w:rsid w:val="00D92AA9"/>
    <w:rsid w:val="00D9333E"/>
    <w:rsid w:val="00D93965"/>
    <w:rsid w:val="00D94CBA"/>
    <w:rsid w:val="00D961ED"/>
    <w:rsid w:val="00D9639F"/>
    <w:rsid w:val="00D9717B"/>
    <w:rsid w:val="00D97211"/>
    <w:rsid w:val="00D974CB"/>
    <w:rsid w:val="00D975FD"/>
    <w:rsid w:val="00DA0DE6"/>
    <w:rsid w:val="00DA375C"/>
    <w:rsid w:val="00DA3D2E"/>
    <w:rsid w:val="00DA3E2B"/>
    <w:rsid w:val="00DA40DA"/>
    <w:rsid w:val="00DA6639"/>
    <w:rsid w:val="00DA66F7"/>
    <w:rsid w:val="00DA6F03"/>
    <w:rsid w:val="00DA7694"/>
    <w:rsid w:val="00DB002B"/>
    <w:rsid w:val="00DB06D9"/>
    <w:rsid w:val="00DB0EF9"/>
    <w:rsid w:val="00DB1393"/>
    <w:rsid w:val="00DB189A"/>
    <w:rsid w:val="00DB3A39"/>
    <w:rsid w:val="00DB5B4F"/>
    <w:rsid w:val="00DB7BF1"/>
    <w:rsid w:val="00DC00FA"/>
    <w:rsid w:val="00DC07A3"/>
    <w:rsid w:val="00DC26EE"/>
    <w:rsid w:val="00DC3141"/>
    <w:rsid w:val="00DC3C82"/>
    <w:rsid w:val="00DC71C1"/>
    <w:rsid w:val="00DC7482"/>
    <w:rsid w:val="00DD00A9"/>
    <w:rsid w:val="00DD0321"/>
    <w:rsid w:val="00DD0844"/>
    <w:rsid w:val="00DD0F0F"/>
    <w:rsid w:val="00DD150E"/>
    <w:rsid w:val="00DD191E"/>
    <w:rsid w:val="00DD1C43"/>
    <w:rsid w:val="00DD1F3C"/>
    <w:rsid w:val="00DD2909"/>
    <w:rsid w:val="00DD4E04"/>
    <w:rsid w:val="00DD4FCB"/>
    <w:rsid w:val="00DD52EE"/>
    <w:rsid w:val="00DD5C8C"/>
    <w:rsid w:val="00DD6C4D"/>
    <w:rsid w:val="00DD7A7A"/>
    <w:rsid w:val="00DE0686"/>
    <w:rsid w:val="00DE1160"/>
    <w:rsid w:val="00DE23B5"/>
    <w:rsid w:val="00DE5125"/>
    <w:rsid w:val="00DE545C"/>
    <w:rsid w:val="00DE703D"/>
    <w:rsid w:val="00DF00E7"/>
    <w:rsid w:val="00DF0509"/>
    <w:rsid w:val="00DF0A42"/>
    <w:rsid w:val="00DF18CC"/>
    <w:rsid w:val="00DF1E7F"/>
    <w:rsid w:val="00DF40C9"/>
    <w:rsid w:val="00DF42AA"/>
    <w:rsid w:val="00DF5FB6"/>
    <w:rsid w:val="00DF6529"/>
    <w:rsid w:val="00DF76B9"/>
    <w:rsid w:val="00DF7718"/>
    <w:rsid w:val="00DF7E83"/>
    <w:rsid w:val="00E0071B"/>
    <w:rsid w:val="00E024A2"/>
    <w:rsid w:val="00E0253B"/>
    <w:rsid w:val="00E034F0"/>
    <w:rsid w:val="00E049B9"/>
    <w:rsid w:val="00E059AD"/>
    <w:rsid w:val="00E105CF"/>
    <w:rsid w:val="00E130C5"/>
    <w:rsid w:val="00E140AD"/>
    <w:rsid w:val="00E145B1"/>
    <w:rsid w:val="00E14E2F"/>
    <w:rsid w:val="00E154B9"/>
    <w:rsid w:val="00E165E4"/>
    <w:rsid w:val="00E16C3C"/>
    <w:rsid w:val="00E172E2"/>
    <w:rsid w:val="00E20994"/>
    <w:rsid w:val="00E20A81"/>
    <w:rsid w:val="00E22840"/>
    <w:rsid w:val="00E22FC4"/>
    <w:rsid w:val="00E234A8"/>
    <w:rsid w:val="00E2371D"/>
    <w:rsid w:val="00E23E72"/>
    <w:rsid w:val="00E248C2"/>
    <w:rsid w:val="00E26289"/>
    <w:rsid w:val="00E26CFF"/>
    <w:rsid w:val="00E27167"/>
    <w:rsid w:val="00E30B57"/>
    <w:rsid w:val="00E33D2C"/>
    <w:rsid w:val="00E35023"/>
    <w:rsid w:val="00E35986"/>
    <w:rsid w:val="00E36862"/>
    <w:rsid w:val="00E3751E"/>
    <w:rsid w:val="00E401D6"/>
    <w:rsid w:val="00E41455"/>
    <w:rsid w:val="00E421CA"/>
    <w:rsid w:val="00E43B80"/>
    <w:rsid w:val="00E45264"/>
    <w:rsid w:val="00E4542C"/>
    <w:rsid w:val="00E454EF"/>
    <w:rsid w:val="00E458C9"/>
    <w:rsid w:val="00E462F6"/>
    <w:rsid w:val="00E46427"/>
    <w:rsid w:val="00E46526"/>
    <w:rsid w:val="00E46B5C"/>
    <w:rsid w:val="00E47442"/>
    <w:rsid w:val="00E47AD1"/>
    <w:rsid w:val="00E51D22"/>
    <w:rsid w:val="00E51D91"/>
    <w:rsid w:val="00E52BA9"/>
    <w:rsid w:val="00E53200"/>
    <w:rsid w:val="00E53EFB"/>
    <w:rsid w:val="00E5439A"/>
    <w:rsid w:val="00E54BCC"/>
    <w:rsid w:val="00E55340"/>
    <w:rsid w:val="00E55954"/>
    <w:rsid w:val="00E55A31"/>
    <w:rsid w:val="00E57258"/>
    <w:rsid w:val="00E6031F"/>
    <w:rsid w:val="00E60DBA"/>
    <w:rsid w:val="00E633CE"/>
    <w:rsid w:val="00E63421"/>
    <w:rsid w:val="00E63FE5"/>
    <w:rsid w:val="00E6417D"/>
    <w:rsid w:val="00E656DE"/>
    <w:rsid w:val="00E65870"/>
    <w:rsid w:val="00E65AC7"/>
    <w:rsid w:val="00E65C35"/>
    <w:rsid w:val="00E65E94"/>
    <w:rsid w:val="00E66D19"/>
    <w:rsid w:val="00E67228"/>
    <w:rsid w:val="00E705C6"/>
    <w:rsid w:val="00E70831"/>
    <w:rsid w:val="00E72125"/>
    <w:rsid w:val="00E721A9"/>
    <w:rsid w:val="00E72541"/>
    <w:rsid w:val="00E7368D"/>
    <w:rsid w:val="00E74019"/>
    <w:rsid w:val="00E74D33"/>
    <w:rsid w:val="00E75E54"/>
    <w:rsid w:val="00E76528"/>
    <w:rsid w:val="00E76A72"/>
    <w:rsid w:val="00E76F4F"/>
    <w:rsid w:val="00E77554"/>
    <w:rsid w:val="00E77FDD"/>
    <w:rsid w:val="00E82DEA"/>
    <w:rsid w:val="00E8319A"/>
    <w:rsid w:val="00E8389C"/>
    <w:rsid w:val="00E842B2"/>
    <w:rsid w:val="00E84E62"/>
    <w:rsid w:val="00E86A71"/>
    <w:rsid w:val="00E8764D"/>
    <w:rsid w:val="00E87B37"/>
    <w:rsid w:val="00E87CAE"/>
    <w:rsid w:val="00E90DF0"/>
    <w:rsid w:val="00E90DFA"/>
    <w:rsid w:val="00E9113E"/>
    <w:rsid w:val="00E91B28"/>
    <w:rsid w:val="00E91F11"/>
    <w:rsid w:val="00E955E4"/>
    <w:rsid w:val="00EA321D"/>
    <w:rsid w:val="00EA42F4"/>
    <w:rsid w:val="00EA452A"/>
    <w:rsid w:val="00EA48E1"/>
    <w:rsid w:val="00EA56AF"/>
    <w:rsid w:val="00EA6853"/>
    <w:rsid w:val="00EA7C9D"/>
    <w:rsid w:val="00EB10D9"/>
    <w:rsid w:val="00EB237D"/>
    <w:rsid w:val="00EB24C4"/>
    <w:rsid w:val="00EB2A2F"/>
    <w:rsid w:val="00EB5134"/>
    <w:rsid w:val="00EB549F"/>
    <w:rsid w:val="00EB5F56"/>
    <w:rsid w:val="00EB71E3"/>
    <w:rsid w:val="00EB7B68"/>
    <w:rsid w:val="00EC0050"/>
    <w:rsid w:val="00EC03F0"/>
    <w:rsid w:val="00EC28B2"/>
    <w:rsid w:val="00EC3125"/>
    <w:rsid w:val="00EC47DF"/>
    <w:rsid w:val="00EC5C91"/>
    <w:rsid w:val="00EC602B"/>
    <w:rsid w:val="00EC6395"/>
    <w:rsid w:val="00EC669C"/>
    <w:rsid w:val="00EC7731"/>
    <w:rsid w:val="00ED0B99"/>
    <w:rsid w:val="00ED2129"/>
    <w:rsid w:val="00ED27FB"/>
    <w:rsid w:val="00ED36CF"/>
    <w:rsid w:val="00ED3883"/>
    <w:rsid w:val="00ED3DB5"/>
    <w:rsid w:val="00ED3EEC"/>
    <w:rsid w:val="00ED696C"/>
    <w:rsid w:val="00ED73D6"/>
    <w:rsid w:val="00EE0FAC"/>
    <w:rsid w:val="00EE3C4A"/>
    <w:rsid w:val="00EE4160"/>
    <w:rsid w:val="00EE41D4"/>
    <w:rsid w:val="00EE4223"/>
    <w:rsid w:val="00EE4825"/>
    <w:rsid w:val="00EE48E4"/>
    <w:rsid w:val="00EE52D1"/>
    <w:rsid w:val="00EE5ABE"/>
    <w:rsid w:val="00EE798F"/>
    <w:rsid w:val="00EE7DC7"/>
    <w:rsid w:val="00EF0041"/>
    <w:rsid w:val="00EF044F"/>
    <w:rsid w:val="00EF1C0C"/>
    <w:rsid w:val="00EF44D7"/>
    <w:rsid w:val="00EF5F0D"/>
    <w:rsid w:val="00EF643A"/>
    <w:rsid w:val="00EF7B68"/>
    <w:rsid w:val="00F01252"/>
    <w:rsid w:val="00F021FF"/>
    <w:rsid w:val="00F02DB0"/>
    <w:rsid w:val="00F03D99"/>
    <w:rsid w:val="00F05E34"/>
    <w:rsid w:val="00F0674B"/>
    <w:rsid w:val="00F06C63"/>
    <w:rsid w:val="00F0770D"/>
    <w:rsid w:val="00F106DA"/>
    <w:rsid w:val="00F1204A"/>
    <w:rsid w:val="00F14E4C"/>
    <w:rsid w:val="00F14E61"/>
    <w:rsid w:val="00F1600C"/>
    <w:rsid w:val="00F17F36"/>
    <w:rsid w:val="00F213DE"/>
    <w:rsid w:val="00F21E8E"/>
    <w:rsid w:val="00F22016"/>
    <w:rsid w:val="00F23177"/>
    <w:rsid w:val="00F23FB0"/>
    <w:rsid w:val="00F248EB"/>
    <w:rsid w:val="00F249A0"/>
    <w:rsid w:val="00F24F00"/>
    <w:rsid w:val="00F24FDA"/>
    <w:rsid w:val="00F262D6"/>
    <w:rsid w:val="00F26901"/>
    <w:rsid w:val="00F27721"/>
    <w:rsid w:val="00F31694"/>
    <w:rsid w:val="00F32C3D"/>
    <w:rsid w:val="00F32FFF"/>
    <w:rsid w:val="00F3546B"/>
    <w:rsid w:val="00F35869"/>
    <w:rsid w:val="00F35A1A"/>
    <w:rsid w:val="00F35D6A"/>
    <w:rsid w:val="00F36AF7"/>
    <w:rsid w:val="00F37CAC"/>
    <w:rsid w:val="00F37F9D"/>
    <w:rsid w:val="00F412EA"/>
    <w:rsid w:val="00F41BE9"/>
    <w:rsid w:val="00F4537C"/>
    <w:rsid w:val="00F46832"/>
    <w:rsid w:val="00F46F85"/>
    <w:rsid w:val="00F47B3C"/>
    <w:rsid w:val="00F47C3F"/>
    <w:rsid w:val="00F47DA3"/>
    <w:rsid w:val="00F52670"/>
    <w:rsid w:val="00F52747"/>
    <w:rsid w:val="00F52A3B"/>
    <w:rsid w:val="00F55A54"/>
    <w:rsid w:val="00F567D3"/>
    <w:rsid w:val="00F56A56"/>
    <w:rsid w:val="00F57152"/>
    <w:rsid w:val="00F57CFC"/>
    <w:rsid w:val="00F60BEC"/>
    <w:rsid w:val="00F6142F"/>
    <w:rsid w:val="00F61B39"/>
    <w:rsid w:val="00F626C9"/>
    <w:rsid w:val="00F6523A"/>
    <w:rsid w:val="00F65C72"/>
    <w:rsid w:val="00F662FF"/>
    <w:rsid w:val="00F666E5"/>
    <w:rsid w:val="00F67812"/>
    <w:rsid w:val="00F71C43"/>
    <w:rsid w:val="00F71C82"/>
    <w:rsid w:val="00F72035"/>
    <w:rsid w:val="00F72138"/>
    <w:rsid w:val="00F73435"/>
    <w:rsid w:val="00F74451"/>
    <w:rsid w:val="00F756E6"/>
    <w:rsid w:val="00F75DB4"/>
    <w:rsid w:val="00F84268"/>
    <w:rsid w:val="00F84BD4"/>
    <w:rsid w:val="00F8518E"/>
    <w:rsid w:val="00F855BB"/>
    <w:rsid w:val="00F85DAF"/>
    <w:rsid w:val="00F8781D"/>
    <w:rsid w:val="00F87C07"/>
    <w:rsid w:val="00F9049B"/>
    <w:rsid w:val="00F908B9"/>
    <w:rsid w:val="00F91764"/>
    <w:rsid w:val="00F94BA2"/>
    <w:rsid w:val="00F950F8"/>
    <w:rsid w:val="00F97553"/>
    <w:rsid w:val="00F9781C"/>
    <w:rsid w:val="00F97AF5"/>
    <w:rsid w:val="00FA0451"/>
    <w:rsid w:val="00FA172D"/>
    <w:rsid w:val="00FA1B78"/>
    <w:rsid w:val="00FA1E6B"/>
    <w:rsid w:val="00FA2DE4"/>
    <w:rsid w:val="00FA3EC8"/>
    <w:rsid w:val="00FA578A"/>
    <w:rsid w:val="00FA6374"/>
    <w:rsid w:val="00FA66D2"/>
    <w:rsid w:val="00FA6A96"/>
    <w:rsid w:val="00FA7FF2"/>
    <w:rsid w:val="00FB085C"/>
    <w:rsid w:val="00FB23F8"/>
    <w:rsid w:val="00FB2882"/>
    <w:rsid w:val="00FB29B8"/>
    <w:rsid w:val="00FB2D5A"/>
    <w:rsid w:val="00FB41C9"/>
    <w:rsid w:val="00FB4416"/>
    <w:rsid w:val="00FB55E2"/>
    <w:rsid w:val="00FB5DFC"/>
    <w:rsid w:val="00FB7033"/>
    <w:rsid w:val="00FB719C"/>
    <w:rsid w:val="00FB7F49"/>
    <w:rsid w:val="00FC0138"/>
    <w:rsid w:val="00FC0261"/>
    <w:rsid w:val="00FC0B1C"/>
    <w:rsid w:val="00FC1A44"/>
    <w:rsid w:val="00FC2592"/>
    <w:rsid w:val="00FC2E4C"/>
    <w:rsid w:val="00FC3403"/>
    <w:rsid w:val="00FC4365"/>
    <w:rsid w:val="00FC4E52"/>
    <w:rsid w:val="00FC574C"/>
    <w:rsid w:val="00FC672E"/>
    <w:rsid w:val="00FC6C62"/>
    <w:rsid w:val="00FC6F9A"/>
    <w:rsid w:val="00FC745A"/>
    <w:rsid w:val="00FC7695"/>
    <w:rsid w:val="00FD16B6"/>
    <w:rsid w:val="00FD22CE"/>
    <w:rsid w:val="00FD257C"/>
    <w:rsid w:val="00FD3ED0"/>
    <w:rsid w:val="00FD4B9A"/>
    <w:rsid w:val="00FD4F89"/>
    <w:rsid w:val="00FD6399"/>
    <w:rsid w:val="00FD7091"/>
    <w:rsid w:val="00FE00E3"/>
    <w:rsid w:val="00FE01E1"/>
    <w:rsid w:val="00FE025A"/>
    <w:rsid w:val="00FE0864"/>
    <w:rsid w:val="00FE08C3"/>
    <w:rsid w:val="00FE280D"/>
    <w:rsid w:val="00FE5830"/>
    <w:rsid w:val="00FE598A"/>
    <w:rsid w:val="00FE713B"/>
    <w:rsid w:val="00FF000A"/>
    <w:rsid w:val="00FF0811"/>
    <w:rsid w:val="00FF176C"/>
    <w:rsid w:val="00FF3AEA"/>
    <w:rsid w:val="00FF57DE"/>
    <w:rsid w:val="00FF754D"/>
    <w:rsid w:val="00FF75A7"/>
    <w:rsid w:val="00FF7CE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EA20C"/>
  <w15:docId w15:val="{B0B78F25-65DC-4A86-8F03-B7D20CE8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B96"/>
  </w:style>
  <w:style w:type="paragraph" w:styleId="Titolo1">
    <w:name w:val="heading 1"/>
    <w:basedOn w:val="Normale"/>
    <w:next w:val="Normale"/>
    <w:link w:val="Titolo1Carattere"/>
    <w:uiPriority w:val="9"/>
    <w:qFormat/>
    <w:rsid w:val="006C2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7034"/>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45703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57034"/>
  </w:style>
  <w:style w:type="paragraph" w:styleId="Pidipagina">
    <w:name w:val="footer"/>
    <w:basedOn w:val="Normale"/>
    <w:link w:val="PidipaginaCarattere"/>
    <w:uiPriority w:val="99"/>
    <w:unhideWhenUsed/>
    <w:rsid w:val="0045703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57034"/>
  </w:style>
  <w:style w:type="paragraph" w:styleId="Paragrafoelenco">
    <w:name w:val="List Paragraph"/>
    <w:basedOn w:val="Normale"/>
    <w:uiPriority w:val="34"/>
    <w:qFormat/>
    <w:rsid w:val="00457034"/>
    <w:pPr>
      <w:ind w:left="720"/>
      <w:contextualSpacing/>
    </w:pPr>
  </w:style>
  <w:style w:type="character" w:styleId="Rimandocommento">
    <w:name w:val="annotation reference"/>
    <w:basedOn w:val="Carpredefinitoparagrafo"/>
    <w:uiPriority w:val="99"/>
    <w:semiHidden/>
    <w:unhideWhenUsed/>
    <w:rsid w:val="007E58EF"/>
    <w:rPr>
      <w:sz w:val="16"/>
      <w:szCs w:val="16"/>
    </w:rPr>
  </w:style>
  <w:style w:type="paragraph" w:styleId="Testocommento">
    <w:name w:val="annotation text"/>
    <w:basedOn w:val="Normale"/>
    <w:link w:val="TestocommentoCarattere"/>
    <w:uiPriority w:val="99"/>
    <w:unhideWhenUsed/>
    <w:rsid w:val="007E58EF"/>
    <w:pPr>
      <w:spacing w:line="240" w:lineRule="auto"/>
    </w:pPr>
    <w:rPr>
      <w:sz w:val="20"/>
      <w:szCs w:val="20"/>
    </w:rPr>
  </w:style>
  <w:style w:type="character" w:customStyle="1" w:styleId="TestocommentoCarattere">
    <w:name w:val="Testo commento Carattere"/>
    <w:basedOn w:val="Carpredefinitoparagrafo"/>
    <w:link w:val="Testocommento"/>
    <w:uiPriority w:val="99"/>
    <w:rsid w:val="007E58EF"/>
    <w:rPr>
      <w:sz w:val="20"/>
      <w:szCs w:val="20"/>
    </w:rPr>
  </w:style>
  <w:style w:type="paragraph" w:styleId="Soggettocommento">
    <w:name w:val="annotation subject"/>
    <w:basedOn w:val="Testocommento"/>
    <w:next w:val="Testocommento"/>
    <w:link w:val="SoggettocommentoCarattere"/>
    <w:uiPriority w:val="99"/>
    <w:semiHidden/>
    <w:unhideWhenUsed/>
    <w:rsid w:val="007E58EF"/>
    <w:rPr>
      <w:b/>
      <w:bCs/>
    </w:rPr>
  </w:style>
  <w:style w:type="character" w:customStyle="1" w:styleId="SoggettocommentoCarattere">
    <w:name w:val="Soggetto commento Carattere"/>
    <w:basedOn w:val="TestocommentoCarattere"/>
    <w:link w:val="Soggettocommento"/>
    <w:uiPriority w:val="99"/>
    <w:semiHidden/>
    <w:rsid w:val="007E58EF"/>
    <w:rPr>
      <w:b/>
      <w:bCs/>
      <w:sz w:val="20"/>
      <w:szCs w:val="20"/>
    </w:rPr>
  </w:style>
  <w:style w:type="paragraph" w:styleId="Nessunaspaziatura">
    <w:name w:val="No Spacing"/>
    <w:uiPriority w:val="1"/>
    <w:qFormat/>
    <w:rsid w:val="006364D9"/>
    <w:pPr>
      <w:spacing w:after="0" w:line="240" w:lineRule="auto"/>
    </w:pPr>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EF1C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C0C"/>
    <w:rPr>
      <w:rFonts w:ascii="Segoe UI" w:hAnsi="Segoe UI" w:cs="Segoe UI"/>
      <w:sz w:val="18"/>
      <w:szCs w:val="18"/>
    </w:rPr>
  </w:style>
  <w:style w:type="character" w:styleId="Collegamentoipertestuale">
    <w:name w:val="Hyperlink"/>
    <w:basedOn w:val="Carpredefinitoparagrafo"/>
    <w:uiPriority w:val="99"/>
    <w:unhideWhenUsed/>
    <w:rsid w:val="00E4542C"/>
    <w:rPr>
      <w:color w:val="0563C1" w:themeColor="hyperlink"/>
      <w:u w:val="single"/>
    </w:rPr>
  </w:style>
  <w:style w:type="character" w:customStyle="1" w:styleId="UnresolvedMention1">
    <w:name w:val="Unresolved Mention1"/>
    <w:basedOn w:val="Carpredefinitoparagrafo"/>
    <w:uiPriority w:val="99"/>
    <w:semiHidden/>
    <w:unhideWhenUsed/>
    <w:rsid w:val="00E4542C"/>
    <w:rPr>
      <w:color w:val="605E5C"/>
      <w:shd w:val="clear" w:color="auto" w:fill="E1DFDD"/>
    </w:rPr>
  </w:style>
  <w:style w:type="paragraph" w:styleId="Revisione">
    <w:name w:val="Revision"/>
    <w:hidden/>
    <w:uiPriority w:val="99"/>
    <w:semiHidden/>
    <w:rsid w:val="00D6561C"/>
    <w:pPr>
      <w:spacing w:after="0" w:line="240" w:lineRule="auto"/>
    </w:pPr>
  </w:style>
  <w:style w:type="character" w:customStyle="1" w:styleId="ref-journal">
    <w:name w:val="ref-journal"/>
    <w:basedOn w:val="Carpredefinitoparagrafo"/>
    <w:rsid w:val="003B5B45"/>
  </w:style>
  <w:style w:type="table" w:styleId="Grigliatabella">
    <w:name w:val="Table Grid"/>
    <w:basedOn w:val="Tabellanormale"/>
    <w:uiPriority w:val="39"/>
    <w:rsid w:val="0005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012416373msonormal">
    <w:name w:val="yiv2012416373msonormal"/>
    <w:basedOn w:val="Normale"/>
    <w:rsid w:val="003B002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41F40"/>
    <w:rPr>
      <w:b/>
      <w:bCs/>
    </w:rPr>
  </w:style>
  <w:style w:type="character" w:customStyle="1" w:styleId="Menzionenonrisolta1">
    <w:name w:val="Menzione non risolta1"/>
    <w:uiPriority w:val="99"/>
    <w:semiHidden/>
    <w:unhideWhenUsed/>
    <w:rsid w:val="000D435F"/>
    <w:rPr>
      <w:color w:val="605E5C"/>
      <w:shd w:val="clear" w:color="auto" w:fill="E1DFDD"/>
    </w:rPr>
  </w:style>
  <w:style w:type="character" w:customStyle="1" w:styleId="docsum-journal-citation">
    <w:name w:val="docsum-journal-citation"/>
    <w:basedOn w:val="Carpredefinitoparagrafo"/>
    <w:rsid w:val="00FA0451"/>
  </w:style>
  <w:style w:type="character" w:customStyle="1" w:styleId="id-label">
    <w:name w:val="id-label"/>
    <w:basedOn w:val="Carpredefinitoparagrafo"/>
    <w:rsid w:val="0042286B"/>
  </w:style>
  <w:style w:type="character" w:customStyle="1" w:styleId="citation-doi">
    <w:name w:val="citation-doi"/>
    <w:basedOn w:val="Carpredefinitoparagrafo"/>
    <w:rsid w:val="006C2A62"/>
  </w:style>
  <w:style w:type="character" w:customStyle="1" w:styleId="Titolo1Carattere">
    <w:name w:val="Titolo 1 Carattere"/>
    <w:basedOn w:val="Carpredefinitoparagrafo"/>
    <w:link w:val="Titolo1"/>
    <w:uiPriority w:val="9"/>
    <w:rsid w:val="006C2A62"/>
    <w:rPr>
      <w:rFonts w:asciiTheme="majorHAnsi" w:eastAsiaTheme="majorEastAsia" w:hAnsiTheme="majorHAnsi" w:cstheme="majorBidi"/>
      <w:color w:val="2F5496" w:themeColor="accent1" w:themeShade="BF"/>
      <w:sz w:val="32"/>
      <w:szCs w:val="32"/>
    </w:rPr>
  </w:style>
  <w:style w:type="character" w:customStyle="1" w:styleId="period">
    <w:name w:val="period"/>
    <w:basedOn w:val="Carpredefinitoparagrafo"/>
    <w:rsid w:val="00B855FF"/>
  </w:style>
  <w:style w:type="character" w:customStyle="1" w:styleId="cit">
    <w:name w:val="cit"/>
    <w:basedOn w:val="Carpredefinitoparagrafo"/>
    <w:rsid w:val="00B855FF"/>
  </w:style>
  <w:style w:type="character" w:customStyle="1" w:styleId="apple-converted-space">
    <w:name w:val="apple-converted-space"/>
    <w:basedOn w:val="Carpredefinitoparagrafo"/>
    <w:rsid w:val="008639FE"/>
  </w:style>
  <w:style w:type="character" w:styleId="Enfasicorsivo">
    <w:name w:val="Emphasis"/>
    <w:basedOn w:val="Carpredefinitoparagrafo"/>
    <w:uiPriority w:val="20"/>
    <w:qFormat/>
    <w:rsid w:val="008639FE"/>
    <w:rPr>
      <w:i/>
      <w:iCs/>
    </w:rPr>
  </w:style>
  <w:style w:type="paragraph" w:styleId="NormaleWeb">
    <w:name w:val="Normal (Web)"/>
    <w:basedOn w:val="Normale"/>
    <w:uiPriority w:val="99"/>
    <w:unhideWhenUsed/>
    <w:rsid w:val="006D3E90"/>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EndNoteBibliography">
    <w:name w:val="EndNote Bibliography"/>
    <w:basedOn w:val="Normale"/>
    <w:link w:val="EndNoteBibliographyChar"/>
    <w:rsid w:val="006D3E90"/>
    <w:pPr>
      <w:spacing w:line="240" w:lineRule="auto"/>
    </w:pPr>
    <w:rPr>
      <w:rFonts w:ascii="Calibri" w:hAnsi="Calibri" w:cs="Calibri"/>
      <w:noProof/>
      <w:lang w:val="en-US" w:bidi="ar-SA"/>
    </w:rPr>
  </w:style>
  <w:style w:type="character" w:customStyle="1" w:styleId="EndNoteBibliographyChar">
    <w:name w:val="EndNote Bibliography Char"/>
    <w:basedOn w:val="Carpredefinitoparagrafo"/>
    <w:link w:val="EndNoteBibliography"/>
    <w:rsid w:val="006D3E90"/>
    <w:rPr>
      <w:rFonts w:ascii="Calibri" w:hAnsi="Calibri" w:cs="Calibri"/>
      <w:noProof/>
      <w:lang w:val="en-US" w:bidi="ar-SA"/>
    </w:rPr>
  </w:style>
  <w:style w:type="paragraph" w:customStyle="1" w:styleId="MDPI31text">
    <w:name w:val="MDPI_3.1_text"/>
    <w:qFormat/>
    <w:rsid w:val="00982CC7"/>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UnresolvedMention2">
    <w:name w:val="Unresolved Mention2"/>
    <w:basedOn w:val="Carpredefinitoparagrafo"/>
    <w:uiPriority w:val="99"/>
    <w:semiHidden/>
    <w:unhideWhenUsed/>
    <w:rsid w:val="008304E7"/>
    <w:rPr>
      <w:color w:val="605E5C"/>
      <w:shd w:val="clear" w:color="auto" w:fill="E1DFDD"/>
    </w:rPr>
  </w:style>
  <w:style w:type="character" w:customStyle="1" w:styleId="EndNoteBibliographyCarattere">
    <w:name w:val="EndNote Bibliography Carattere"/>
    <w:basedOn w:val="Carpredefinitoparagrafo"/>
    <w:rsid w:val="007D2D5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630">
      <w:bodyDiv w:val="1"/>
      <w:marLeft w:val="0"/>
      <w:marRight w:val="0"/>
      <w:marTop w:val="0"/>
      <w:marBottom w:val="0"/>
      <w:divBdr>
        <w:top w:val="none" w:sz="0" w:space="0" w:color="auto"/>
        <w:left w:val="none" w:sz="0" w:space="0" w:color="auto"/>
        <w:bottom w:val="none" w:sz="0" w:space="0" w:color="auto"/>
        <w:right w:val="none" w:sz="0" w:space="0" w:color="auto"/>
      </w:divBdr>
    </w:div>
    <w:div w:id="36977251">
      <w:bodyDiv w:val="1"/>
      <w:marLeft w:val="0"/>
      <w:marRight w:val="0"/>
      <w:marTop w:val="0"/>
      <w:marBottom w:val="0"/>
      <w:divBdr>
        <w:top w:val="none" w:sz="0" w:space="0" w:color="auto"/>
        <w:left w:val="none" w:sz="0" w:space="0" w:color="auto"/>
        <w:bottom w:val="none" w:sz="0" w:space="0" w:color="auto"/>
        <w:right w:val="none" w:sz="0" w:space="0" w:color="auto"/>
      </w:divBdr>
    </w:div>
    <w:div w:id="153379776">
      <w:bodyDiv w:val="1"/>
      <w:marLeft w:val="0"/>
      <w:marRight w:val="0"/>
      <w:marTop w:val="0"/>
      <w:marBottom w:val="0"/>
      <w:divBdr>
        <w:top w:val="none" w:sz="0" w:space="0" w:color="auto"/>
        <w:left w:val="none" w:sz="0" w:space="0" w:color="auto"/>
        <w:bottom w:val="none" w:sz="0" w:space="0" w:color="auto"/>
        <w:right w:val="none" w:sz="0" w:space="0" w:color="auto"/>
      </w:divBdr>
    </w:div>
    <w:div w:id="169148959">
      <w:bodyDiv w:val="1"/>
      <w:marLeft w:val="0"/>
      <w:marRight w:val="0"/>
      <w:marTop w:val="0"/>
      <w:marBottom w:val="0"/>
      <w:divBdr>
        <w:top w:val="none" w:sz="0" w:space="0" w:color="auto"/>
        <w:left w:val="none" w:sz="0" w:space="0" w:color="auto"/>
        <w:bottom w:val="none" w:sz="0" w:space="0" w:color="auto"/>
        <w:right w:val="none" w:sz="0" w:space="0" w:color="auto"/>
      </w:divBdr>
      <w:divsChild>
        <w:div w:id="321012884">
          <w:marLeft w:val="0"/>
          <w:marRight w:val="0"/>
          <w:marTop w:val="0"/>
          <w:marBottom w:val="0"/>
          <w:divBdr>
            <w:top w:val="none" w:sz="0" w:space="0" w:color="auto"/>
            <w:left w:val="none" w:sz="0" w:space="0" w:color="auto"/>
            <w:bottom w:val="none" w:sz="0" w:space="0" w:color="auto"/>
            <w:right w:val="none" w:sz="0" w:space="0" w:color="auto"/>
          </w:divBdr>
          <w:divsChild>
            <w:div w:id="441338522">
              <w:marLeft w:val="0"/>
              <w:marRight w:val="0"/>
              <w:marTop w:val="0"/>
              <w:marBottom w:val="0"/>
              <w:divBdr>
                <w:top w:val="none" w:sz="0" w:space="0" w:color="auto"/>
                <w:left w:val="none" w:sz="0" w:space="0" w:color="auto"/>
                <w:bottom w:val="none" w:sz="0" w:space="0" w:color="auto"/>
                <w:right w:val="none" w:sz="0" w:space="0" w:color="auto"/>
              </w:divBdr>
              <w:divsChild>
                <w:div w:id="1083139306">
                  <w:marLeft w:val="0"/>
                  <w:marRight w:val="0"/>
                  <w:marTop w:val="0"/>
                  <w:marBottom w:val="0"/>
                  <w:divBdr>
                    <w:top w:val="none" w:sz="0" w:space="0" w:color="auto"/>
                    <w:left w:val="none" w:sz="0" w:space="0" w:color="auto"/>
                    <w:bottom w:val="none" w:sz="0" w:space="0" w:color="auto"/>
                    <w:right w:val="none" w:sz="0" w:space="0" w:color="auto"/>
                  </w:divBdr>
                  <w:divsChild>
                    <w:div w:id="1174035738">
                      <w:marLeft w:val="0"/>
                      <w:marRight w:val="0"/>
                      <w:marTop w:val="0"/>
                      <w:marBottom w:val="0"/>
                      <w:divBdr>
                        <w:top w:val="none" w:sz="0" w:space="0" w:color="auto"/>
                        <w:left w:val="none" w:sz="0" w:space="0" w:color="auto"/>
                        <w:bottom w:val="none" w:sz="0" w:space="0" w:color="auto"/>
                        <w:right w:val="none" w:sz="0" w:space="0" w:color="auto"/>
                      </w:divBdr>
                      <w:divsChild>
                        <w:div w:id="18380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59536">
      <w:bodyDiv w:val="1"/>
      <w:marLeft w:val="0"/>
      <w:marRight w:val="0"/>
      <w:marTop w:val="0"/>
      <w:marBottom w:val="0"/>
      <w:divBdr>
        <w:top w:val="none" w:sz="0" w:space="0" w:color="auto"/>
        <w:left w:val="none" w:sz="0" w:space="0" w:color="auto"/>
        <w:bottom w:val="none" w:sz="0" w:space="0" w:color="auto"/>
        <w:right w:val="none" w:sz="0" w:space="0" w:color="auto"/>
      </w:divBdr>
    </w:div>
    <w:div w:id="479805889">
      <w:bodyDiv w:val="1"/>
      <w:marLeft w:val="0"/>
      <w:marRight w:val="0"/>
      <w:marTop w:val="0"/>
      <w:marBottom w:val="0"/>
      <w:divBdr>
        <w:top w:val="none" w:sz="0" w:space="0" w:color="auto"/>
        <w:left w:val="none" w:sz="0" w:space="0" w:color="auto"/>
        <w:bottom w:val="none" w:sz="0" w:space="0" w:color="auto"/>
        <w:right w:val="none" w:sz="0" w:space="0" w:color="auto"/>
      </w:divBdr>
      <w:divsChild>
        <w:div w:id="1260409025">
          <w:marLeft w:val="0"/>
          <w:marRight w:val="0"/>
          <w:marTop w:val="0"/>
          <w:marBottom w:val="0"/>
          <w:divBdr>
            <w:top w:val="none" w:sz="0" w:space="0" w:color="auto"/>
            <w:left w:val="none" w:sz="0" w:space="0" w:color="auto"/>
            <w:bottom w:val="none" w:sz="0" w:space="0" w:color="auto"/>
            <w:right w:val="none" w:sz="0" w:space="0" w:color="auto"/>
          </w:divBdr>
          <w:divsChild>
            <w:div w:id="1702630850">
              <w:marLeft w:val="0"/>
              <w:marRight w:val="0"/>
              <w:marTop w:val="0"/>
              <w:marBottom w:val="0"/>
              <w:divBdr>
                <w:top w:val="none" w:sz="0" w:space="0" w:color="auto"/>
                <w:left w:val="none" w:sz="0" w:space="0" w:color="auto"/>
                <w:bottom w:val="none" w:sz="0" w:space="0" w:color="auto"/>
                <w:right w:val="none" w:sz="0" w:space="0" w:color="auto"/>
              </w:divBdr>
              <w:divsChild>
                <w:div w:id="1710715558">
                  <w:marLeft w:val="0"/>
                  <w:marRight w:val="0"/>
                  <w:marTop w:val="0"/>
                  <w:marBottom w:val="0"/>
                  <w:divBdr>
                    <w:top w:val="none" w:sz="0" w:space="0" w:color="auto"/>
                    <w:left w:val="none" w:sz="0" w:space="0" w:color="auto"/>
                    <w:bottom w:val="none" w:sz="0" w:space="0" w:color="auto"/>
                    <w:right w:val="none" w:sz="0" w:space="0" w:color="auto"/>
                  </w:divBdr>
                  <w:divsChild>
                    <w:div w:id="602029456">
                      <w:marLeft w:val="0"/>
                      <w:marRight w:val="0"/>
                      <w:marTop w:val="0"/>
                      <w:marBottom w:val="0"/>
                      <w:divBdr>
                        <w:top w:val="none" w:sz="0" w:space="0" w:color="auto"/>
                        <w:left w:val="none" w:sz="0" w:space="0" w:color="auto"/>
                        <w:bottom w:val="none" w:sz="0" w:space="0" w:color="auto"/>
                        <w:right w:val="none" w:sz="0" w:space="0" w:color="auto"/>
                      </w:divBdr>
                      <w:divsChild>
                        <w:div w:id="1282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2280">
      <w:bodyDiv w:val="1"/>
      <w:marLeft w:val="0"/>
      <w:marRight w:val="0"/>
      <w:marTop w:val="0"/>
      <w:marBottom w:val="0"/>
      <w:divBdr>
        <w:top w:val="none" w:sz="0" w:space="0" w:color="auto"/>
        <w:left w:val="none" w:sz="0" w:space="0" w:color="auto"/>
        <w:bottom w:val="none" w:sz="0" w:space="0" w:color="auto"/>
        <w:right w:val="none" w:sz="0" w:space="0" w:color="auto"/>
      </w:divBdr>
    </w:div>
    <w:div w:id="534270571">
      <w:bodyDiv w:val="1"/>
      <w:marLeft w:val="0"/>
      <w:marRight w:val="0"/>
      <w:marTop w:val="0"/>
      <w:marBottom w:val="0"/>
      <w:divBdr>
        <w:top w:val="none" w:sz="0" w:space="0" w:color="auto"/>
        <w:left w:val="none" w:sz="0" w:space="0" w:color="auto"/>
        <w:bottom w:val="none" w:sz="0" w:space="0" w:color="auto"/>
        <w:right w:val="none" w:sz="0" w:space="0" w:color="auto"/>
      </w:divBdr>
      <w:divsChild>
        <w:div w:id="1432816875">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0"/>
              <w:marBottom w:val="0"/>
              <w:divBdr>
                <w:top w:val="none" w:sz="0" w:space="0" w:color="auto"/>
                <w:left w:val="none" w:sz="0" w:space="0" w:color="auto"/>
                <w:bottom w:val="none" w:sz="0" w:space="0" w:color="auto"/>
                <w:right w:val="none" w:sz="0" w:space="0" w:color="auto"/>
              </w:divBdr>
              <w:divsChild>
                <w:div w:id="412818578">
                  <w:marLeft w:val="0"/>
                  <w:marRight w:val="0"/>
                  <w:marTop w:val="0"/>
                  <w:marBottom w:val="0"/>
                  <w:divBdr>
                    <w:top w:val="none" w:sz="0" w:space="0" w:color="auto"/>
                    <w:left w:val="none" w:sz="0" w:space="0" w:color="auto"/>
                    <w:bottom w:val="none" w:sz="0" w:space="0" w:color="auto"/>
                    <w:right w:val="none" w:sz="0" w:space="0" w:color="auto"/>
                  </w:divBdr>
                  <w:divsChild>
                    <w:div w:id="17754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5318">
      <w:bodyDiv w:val="1"/>
      <w:marLeft w:val="0"/>
      <w:marRight w:val="0"/>
      <w:marTop w:val="0"/>
      <w:marBottom w:val="0"/>
      <w:divBdr>
        <w:top w:val="none" w:sz="0" w:space="0" w:color="auto"/>
        <w:left w:val="none" w:sz="0" w:space="0" w:color="auto"/>
        <w:bottom w:val="none" w:sz="0" w:space="0" w:color="auto"/>
        <w:right w:val="none" w:sz="0" w:space="0" w:color="auto"/>
      </w:divBdr>
    </w:div>
    <w:div w:id="771976833">
      <w:bodyDiv w:val="1"/>
      <w:marLeft w:val="0"/>
      <w:marRight w:val="0"/>
      <w:marTop w:val="0"/>
      <w:marBottom w:val="0"/>
      <w:divBdr>
        <w:top w:val="none" w:sz="0" w:space="0" w:color="auto"/>
        <w:left w:val="none" w:sz="0" w:space="0" w:color="auto"/>
        <w:bottom w:val="none" w:sz="0" w:space="0" w:color="auto"/>
        <w:right w:val="none" w:sz="0" w:space="0" w:color="auto"/>
      </w:divBdr>
    </w:div>
    <w:div w:id="972058054">
      <w:bodyDiv w:val="1"/>
      <w:marLeft w:val="0"/>
      <w:marRight w:val="0"/>
      <w:marTop w:val="0"/>
      <w:marBottom w:val="0"/>
      <w:divBdr>
        <w:top w:val="none" w:sz="0" w:space="0" w:color="auto"/>
        <w:left w:val="none" w:sz="0" w:space="0" w:color="auto"/>
        <w:bottom w:val="none" w:sz="0" w:space="0" w:color="auto"/>
        <w:right w:val="none" w:sz="0" w:space="0" w:color="auto"/>
      </w:divBdr>
    </w:div>
    <w:div w:id="1084037057">
      <w:bodyDiv w:val="1"/>
      <w:marLeft w:val="0"/>
      <w:marRight w:val="0"/>
      <w:marTop w:val="0"/>
      <w:marBottom w:val="0"/>
      <w:divBdr>
        <w:top w:val="none" w:sz="0" w:space="0" w:color="auto"/>
        <w:left w:val="none" w:sz="0" w:space="0" w:color="auto"/>
        <w:bottom w:val="none" w:sz="0" w:space="0" w:color="auto"/>
        <w:right w:val="none" w:sz="0" w:space="0" w:color="auto"/>
      </w:divBdr>
    </w:div>
    <w:div w:id="1216545662">
      <w:bodyDiv w:val="1"/>
      <w:marLeft w:val="0"/>
      <w:marRight w:val="0"/>
      <w:marTop w:val="0"/>
      <w:marBottom w:val="0"/>
      <w:divBdr>
        <w:top w:val="none" w:sz="0" w:space="0" w:color="auto"/>
        <w:left w:val="none" w:sz="0" w:space="0" w:color="auto"/>
        <w:bottom w:val="none" w:sz="0" w:space="0" w:color="auto"/>
        <w:right w:val="none" w:sz="0" w:space="0" w:color="auto"/>
      </w:divBdr>
      <w:divsChild>
        <w:div w:id="856623777">
          <w:marLeft w:val="0"/>
          <w:marRight w:val="0"/>
          <w:marTop w:val="0"/>
          <w:marBottom w:val="0"/>
          <w:divBdr>
            <w:top w:val="none" w:sz="0" w:space="0" w:color="auto"/>
            <w:left w:val="none" w:sz="0" w:space="0" w:color="auto"/>
            <w:bottom w:val="none" w:sz="0" w:space="0" w:color="auto"/>
            <w:right w:val="none" w:sz="0" w:space="0" w:color="auto"/>
          </w:divBdr>
          <w:divsChild>
            <w:div w:id="915935978">
              <w:marLeft w:val="0"/>
              <w:marRight w:val="0"/>
              <w:marTop w:val="0"/>
              <w:marBottom w:val="0"/>
              <w:divBdr>
                <w:top w:val="none" w:sz="0" w:space="0" w:color="auto"/>
                <w:left w:val="none" w:sz="0" w:space="0" w:color="auto"/>
                <w:bottom w:val="none" w:sz="0" w:space="0" w:color="auto"/>
                <w:right w:val="none" w:sz="0" w:space="0" w:color="auto"/>
              </w:divBdr>
              <w:divsChild>
                <w:div w:id="349458182">
                  <w:marLeft w:val="0"/>
                  <w:marRight w:val="0"/>
                  <w:marTop w:val="0"/>
                  <w:marBottom w:val="0"/>
                  <w:divBdr>
                    <w:top w:val="none" w:sz="0" w:space="0" w:color="auto"/>
                    <w:left w:val="none" w:sz="0" w:space="0" w:color="auto"/>
                    <w:bottom w:val="none" w:sz="0" w:space="0" w:color="auto"/>
                    <w:right w:val="none" w:sz="0" w:space="0" w:color="auto"/>
                  </w:divBdr>
                  <w:divsChild>
                    <w:div w:id="1031154168">
                      <w:marLeft w:val="0"/>
                      <w:marRight w:val="0"/>
                      <w:marTop w:val="0"/>
                      <w:marBottom w:val="0"/>
                      <w:divBdr>
                        <w:top w:val="none" w:sz="0" w:space="0" w:color="auto"/>
                        <w:left w:val="none" w:sz="0" w:space="0" w:color="auto"/>
                        <w:bottom w:val="none" w:sz="0" w:space="0" w:color="auto"/>
                        <w:right w:val="none" w:sz="0" w:space="0" w:color="auto"/>
                      </w:divBdr>
                      <w:divsChild>
                        <w:div w:id="15789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91355">
      <w:bodyDiv w:val="1"/>
      <w:marLeft w:val="0"/>
      <w:marRight w:val="0"/>
      <w:marTop w:val="0"/>
      <w:marBottom w:val="0"/>
      <w:divBdr>
        <w:top w:val="none" w:sz="0" w:space="0" w:color="auto"/>
        <w:left w:val="none" w:sz="0" w:space="0" w:color="auto"/>
        <w:bottom w:val="none" w:sz="0" w:space="0" w:color="auto"/>
        <w:right w:val="none" w:sz="0" w:space="0" w:color="auto"/>
      </w:divBdr>
    </w:div>
    <w:div w:id="1494639420">
      <w:bodyDiv w:val="1"/>
      <w:marLeft w:val="0"/>
      <w:marRight w:val="0"/>
      <w:marTop w:val="0"/>
      <w:marBottom w:val="0"/>
      <w:divBdr>
        <w:top w:val="none" w:sz="0" w:space="0" w:color="auto"/>
        <w:left w:val="none" w:sz="0" w:space="0" w:color="auto"/>
        <w:bottom w:val="none" w:sz="0" w:space="0" w:color="auto"/>
        <w:right w:val="none" w:sz="0" w:space="0" w:color="auto"/>
      </w:divBdr>
      <w:divsChild>
        <w:div w:id="183713529">
          <w:marLeft w:val="0"/>
          <w:marRight w:val="0"/>
          <w:marTop w:val="0"/>
          <w:marBottom w:val="0"/>
          <w:divBdr>
            <w:top w:val="none" w:sz="0" w:space="0" w:color="auto"/>
            <w:left w:val="none" w:sz="0" w:space="0" w:color="auto"/>
            <w:bottom w:val="none" w:sz="0" w:space="0" w:color="auto"/>
            <w:right w:val="none" w:sz="0" w:space="0" w:color="auto"/>
          </w:divBdr>
          <w:divsChild>
            <w:div w:id="2049523423">
              <w:marLeft w:val="0"/>
              <w:marRight w:val="0"/>
              <w:marTop w:val="0"/>
              <w:marBottom w:val="0"/>
              <w:divBdr>
                <w:top w:val="none" w:sz="0" w:space="0" w:color="auto"/>
                <w:left w:val="none" w:sz="0" w:space="0" w:color="auto"/>
                <w:bottom w:val="none" w:sz="0" w:space="0" w:color="auto"/>
                <w:right w:val="none" w:sz="0" w:space="0" w:color="auto"/>
              </w:divBdr>
              <w:divsChild>
                <w:div w:id="1240408932">
                  <w:marLeft w:val="0"/>
                  <w:marRight w:val="0"/>
                  <w:marTop w:val="0"/>
                  <w:marBottom w:val="0"/>
                  <w:divBdr>
                    <w:top w:val="none" w:sz="0" w:space="0" w:color="auto"/>
                    <w:left w:val="none" w:sz="0" w:space="0" w:color="auto"/>
                    <w:bottom w:val="none" w:sz="0" w:space="0" w:color="auto"/>
                    <w:right w:val="none" w:sz="0" w:space="0" w:color="auto"/>
                  </w:divBdr>
                  <w:divsChild>
                    <w:div w:id="1981224013">
                      <w:marLeft w:val="0"/>
                      <w:marRight w:val="0"/>
                      <w:marTop w:val="0"/>
                      <w:marBottom w:val="0"/>
                      <w:divBdr>
                        <w:top w:val="none" w:sz="0" w:space="0" w:color="auto"/>
                        <w:left w:val="none" w:sz="0" w:space="0" w:color="auto"/>
                        <w:bottom w:val="none" w:sz="0" w:space="0" w:color="auto"/>
                        <w:right w:val="none" w:sz="0" w:space="0" w:color="auto"/>
                      </w:divBdr>
                      <w:divsChild>
                        <w:div w:id="5813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2155">
                  <w:marLeft w:val="0"/>
                  <w:marRight w:val="0"/>
                  <w:marTop w:val="0"/>
                  <w:marBottom w:val="0"/>
                  <w:divBdr>
                    <w:top w:val="none" w:sz="0" w:space="0" w:color="auto"/>
                    <w:left w:val="none" w:sz="0" w:space="0" w:color="auto"/>
                    <w:bottom w:val="none" w:sz="0" w:space="0" w:color="auto"/>
                    <w:right w:val="none" w:sz="0" w:space="0" w:color="auto"/>
                  </w:divBdr>
                  <w:divsChild>
                    <w:div w:id="230389643">
                      <w:marLeft w:val="0"/>
                      <w:marRight w:val="0"/>
                      <w:marTop w:val="0"/>
                      <w:marBottom w:val="0"/>
                      <w:divBdr>
                        <w:top w:val="none" w:sz="0" w:space="0" w:color="auto"/>
                        <w:left w:val="none" w:sz="0" w:space="0" w:color="auto"/>
                        <w:bottom w:val="none" w:sz="0" w:space="0" w:color="auto"/>
                        <w:right w:val="none" w:sz="0" w:space="0" w:color="auto"/>
                      </w:divBdr>
                      <w:divsChild>
                        <w:div w:id="1116564261">
                          <w:marLeft w:val="0"/>
                          <w:marRight w:val="0"/>
                          <w:marTop w:val="0"/>
                          <w:marBottom w:val="0"/>
                          <w:divBdr>
                            <w:top w:val="none" w:sz="0" w:space="0" w:color="auto"/>
                            <w:left w:val="none" w:sz="0" w:space="0" w:color="auto"/>
                            <w:bottom w:val="none" w:sz="0" w:space="0" w:color="auto"/>
                            <w:right w:val="none" w:sz="0" w:space="0" w:color="auto"/>
                          </w:divBdr>
                          <w:divsChild>
                            <w:div w:id="1297681050">
                              <w:marLeft w:val="0"/>
                              <w:marRight w:val="0"/>
                              <w:marTop w:val="0"/>
                              <w:marBottom w:val="0"/>
                              <w:divBdr>
                                <w:top w:val="none" w:sz="0" w:space="0" w:color="auto"/>
                                <w:left w:val="none" w:sz="0" w:space="0" w:color="auto"/>
                                <w:bottom w:val="none" w:sz="0" w:space="0" w:color="auto"/>
                                <w:right w:val="none" w:sz="0" w:space="0" w:color="auto"/>
                              </w:divBdr>
                              <w:divsChild>
                                <w:div w:id="934556120">
                                  <w:marLeft w:val="0"/>
                                  <w:marRight w:val="0"/>
                                  <w:marTop w:val="0"/>
                                  <w:marBottom w:val="0"/>
                                  <w:divBdr>
                                    <w:top w:val="none" w:sz="0" w:space="0" w:color="auto"/>
                                    <w:left w:val="none" w:sz="0" w:space="0" w:color="auto"/>
                                    <w:bottom w:val="none" w:sz="0" w:space="0" w:color="auto"/>
                                    <w:right w:val="none" w:sz="0" w:space="0" w:color="auto"/>
                                  </w:divBdr>
                                  <w:divsChild>
                                    <w:div w:id="11777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6029">
                  <w:marLeft w:val="0"/>
                  <w:marRight w:val="0"/>
                  <w:marTop w:val="0"/>
                  <w:marBottom w:val="0"/>
                  <w:divBdr>
                    <w:top w:val="none" w:sz="0" w:space="0" w:color="auto"/>
                    <w:left w:val="none" w:sz="0" w:space="0" w:color="auto"/>
                    <w:bottom w:val="none" w:sz="0" w:space="0" w:color="auto"/>
                    <w:right w:val="none" w:sz="0" w:space="0" w:color="auto"/>
                  </w:divBdr>
                  <w:divsChild>
                    <w:div w:id="2078630943">
                      <w:marLeft w:val="0"/>
                      <w:marRight w:val="0"/>
                      <w:marTop w:val="0"/>
                      <w:marBottom w:val="0"/>
                      <w:divBdr>
                        <w:top w:val="none" w:sz="0" w:space="0" w:color="auto"/>
                        <w:left w:val="none" w:sz="0" w:space="0" w:color="auto"/>
                        <w:bottom w:val="none" w:sz="0" w:space="0" w:color="auto"/>
                        <w:right w:val="none" w:sz="0" w:space="0" w:color="auto"/>
                      </w:divBdr>
                      <w:divsChild>
                        <w:div w:id="618756770">
                          <w:marLeft w:val="0"/>
                          <w:marRight w:val="0"/>
                          <w:marTop w:val="0"/>
                          <w:marBottom w:val="0"/>
                          <w:divBdr>
                            <w:top w:val="none" w:sz="0" w:space="0" w:color="auto"/>
                            <w:left w:val="none" w:sz="0" w:space="0" w:color="auto"/>
                            <w:bottom w:val="none" w:sz="0" w:space="0" w:color="auto"/>
                            <w:right w:val="none" w:sz="0" w:space="0" w:color="auto"/>
                          </w:divBdr>
                        </w:div>
                        <w:div w:id="9835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517">
          <w:marLeft w:val="0"/>
          <w:marRight w:val="0"/>
          <w:marTop w:val="0"/>
          <w:marBottom w:val="0"/>
          <w:divBdr>
            <w:top w:val="none" w:sz="0" w:space="0" w:color="auto"/>
            <w:left w:val="none" w:sz="0" w:space="0" w:color="auto"/>
            <w:bottom w:val="none" w:sz="0" w:space="0" w:color="auto"/>
            <w:right w:val="none" w:sz="0" w:space="0" w:color="auto"/>
          </w:divBdr>
          <w:divsChild>
            <w:div w:id="761679771">
              <w:marLeft w:val="0"/>
              <w:marRight w:val="0"/>
              <w:marTop w:val="0"/>
              <w:marBottom w:val="0"/>
              <w:divBdr>
                <w:top w:val="none" w:sz="0" w:space="0" w:color="auto"/>
                <w:left w:val="none" w:sz="0" w:space="0" w:color="auto"/>
                <w:bottom w:val="none" w:sz="0" w:space="0" w:color="auto"/>
                <w:right w:val="none" w:sz="0" w:space="0" w:color="auto"/>
              </w:divBdr>
              <w:divsChild>
                <w:div w:id="1531260008">
                  <w:marLeft w:val="0"/>
                  <w:marRight w:val="0"/>
                  <w:marTop w:val="0"/>
                  <w:marBottom w:val="0"/>
                  <w:divBdr>
                    <w:top w:val="none" w:sz="0" w:space="0" w:color="auto"/>
                    <w:left w:val="none" w:sz="0" w:space="0" w:color="auto"/>
                    <w:bottom w:val="none" w:sz="0" w:space="0" w:color="auto"/>
                    <w:right w:val="none" w:sz="0" w:space="0" w:color="auto"/>
                  </w:divBdr>
                  <w:divsChild>
                    <w:div w:id="1164976816">
                      <w:marLeft w:val="0"/>
                      <w:marRight w:val="0"/>
                      <w:marTop w:val="0"/>
                      <w:marBottom w:val="0"/>
                      <w:divBdr>
                        <w:top w:val="none" w:sz="0" w:space="0" w:color="auto"/>
                        <w:left w:val="none" w:sz="0" w:space="0" w:color="auto"/>
                        <w:bottom w:val="none" w:sz="0" w:space="0" w:color="auto"/>
                        <w:right w:val="none" w:sz="0" w:space="0" w:color="auto"/>
                      </w:divBdr>
                      <w:divsChild>
                        <w:div w:id="18770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6414">
          <w:marLeft w:val="0"/>
          <w:marRight w:val="0"/>
          <w:marTop w:val="0"/>
          <w:marBottom w:val="0"/>
          <w:divBdr>
            <w:top w:val="none" w:sz="0" w:space="0" w:color="auto"/>
            <w:left w:val="none" w:sz="0" w:space="0" w:color="auto"/>
            <w:bottom w:val="none" w:sz="0" w:space="0" w:color="auto"/>
            <w:right w:val="none" w:sz="0" w:space="0" w:color="auto"/>
          </w:divBdr>
          <w:divsChild>
            <w:div w:id="1906866976">
              <w:marLeft w:val="0"/>
              <w:marRight w:val="0"/>
              <w:marTop w:val="0"/>
              <w:marBottom w:val="0"/>
              <w:divBdr>
                <w:top w:val="none" w:sz="0" w:space="0" w:color="auto"/>
                <w:left w:val="none" w:sz="0" w:space="0" w:color="auto"/>
                <w:bottom w:val="none" w:sz="0" w:space="0" w:color="auto"/>
                <w:right w:val="none" w:sz="0" w:space="0" w:color="auto"/>
              </w:divBdr>
              <w:divsChild>
                <w:div w:id="1170025824">
                  <w:marLeft w:val="0"/>
                  <w:marRight w:val="0"/>
                  <w:marTop w:val="240"/>
                  <w:marBottom w:val="240"/>
                  <w:divBdr>
                    <w:top w:val="none" w:sz="0" w:space="0" w:color="auto"/>
                    <w:left w:val="none" w:sz="0" w:space="0" w:color="auto"/>
                    <w:bottom w:val="none" w:sz="0" w:space="0" w:color="auto"/>
                    <w:right w:val="none" w:sz="0" w:space="0" w:color="auto"/>
                  </w:divBdr>
                </w:div>
                <w:div w:id="14933326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49604974">
      <w:bodyDiv w:val="1"/>
      <w:marLeft w:val="0"/>
      <w:marRight w:val="0"/>
      <w:marTop w:val="0"/>
      <w:marBottom w:val="0"/>
      <w:divBdr>
        <w:top w:val="none" w:sz="0" w:space="0" w:color="auto"/>
        <w:left w:val="none" w:sz="0" w:space="0" w:color="auto"/>
        <w:bottom w:val="none" w:sz="0" w:space="0" w:color="auto"/>
        <w:right w:val="none" w:sz="0" w:space="0" w:color="auto"/>
      </w:divBdr>
    </w:div>
    <w:div w:id="1697072145">
      <w:bodyDiv w:val="1"/>
      <w:marLeft w:val="0"/>
      <w:marRight w:val="0"/>
      <w:marTop w:val="0"/>
      <w:marBottom w:val="0"/>
      <w:divBdr>
        <w:top w:val="none" w:sz="0" w:space="0" w:color="auto"/>
        <w:left w:val="none" w:sz="0" w:space="0" w:color="auto"/>
        <w:bottom w:val="none" w:sz="0" w:space="0" w:color="auto"/>
        <w:right w:val="none" w:sz="0" w:space="0" w:color="auto"/>
      </w:divBdr>
      <w:divsChild>
        <w:div w:id="107816798">
          <w:marLeft w:val="0"/>
          <w:marRight w:val="0"/>
          <w:marTop w:val="0"/>
          <w:marBottom w:val="0"/>
          <w:divBdr>
            <w:top w:val="none" w:sz="0" w:space="0" w:color="auto"/>
            <w:left w:val="none" w:sz="0" w:space="0" w:color="auto"/>
            <w:bottom w:val="none" w:sz="0" w:space="0" w:color="auto"/>
            <w:right w:val="none" w:sz="0" w:space="0" w:color="auto"/>
          </w:divBdr>
          <w:divsChild>
            <w:div w:id="598832727">
              <w:marLeft w:val="0"/>
              <w:marRight w:val="0"/>
              <w:marTop w:val="0"/>
              <w:marBottom w:val="0"/>
              <w:divBdr>
                <w:top w:val="none" w:sz="0" w:space="0" w:color="auto"/>
                <w:left w:val="none" w:sz="0" w:space="0" w:color="auto"/>
                <w:bottom w:val="none" w:sz="0" w:space="0" w:color="auto"/>
                <w:right w:val="none" w:sz="0" w:space="0" w:color="auto"/>
              </w:divBdr>
              <w:divsChild>
                <w:div w:id="806169652">
                  <w:marLeft w:val="0"/>
                  <w:marRight w:val="0"/>
                  <w:marTop w:val="0"/>
                  <w:marBottom w:val="0"/>
                  <w:divBdr>
                    <w:top w:val="none" w:sz="0" w:space="0" w:color="auto"/>
                    <w:left w:val="none" w:sz="0" w:space="0" w:color="auto"/>
                    <w:bottom w:val="none" w:sz="0" w:space="0" w:color="auto"/>
                    <w:right w:val="none" w:sz="0" w:space="0" w:color="auto"/>
                  </w:divBdr>
                  <w:divsChild>
                    <w:div w:id="1903641789">
                      <w:marLeft w:val="0"/>
                      <w:marRight w:val="0"/>
                      <w:marTop w:val="0"/>
                      <w:marBottom w:val="0"/>
                      <w:divBdr>
                        <w:top w:val="none" w:sz="0" w:space="0" w:color="auto"/>
                        <w:left w:val="none" w:sz="0" w:space="0" w:color="auto"/>
                        <w:bottom w:val="none" w:sz="0" w:space="0" w:color="auto"/>
                        <w:right w:val="none" w:sz="0" w:space="0" w:color="auto"/>
                      </w:divBdr>
                      <w:divsChild>
                        <w:div w:id="476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430">
                  <w:marLeft w:val="0"/>
                  <w:marRight w:val="0"/>
                  <w:marTop w:val="0"/>
                  <w:marBottom w:val="0"/>
                  <w:divBdr>
                    <w:top w:val="none" w:sz="0" w:space="0" w:color="auto"/>
                    <w:left w:val="none" w:sz="0" w:space="0" w:color="auto"/>
                    <w:bottom w:val="none" w:sz="0" w:space="0" w:color="auto"/>
                    <w:right w:val="none" w:sz="0" w:space="0" w:color="auto"/>
                  </w:divBdr>
                  <w:divsChild>
                    <w:div w:id="1374159404">
                      <w:marLeft w:val="0"/>
                      <w:marRight w:val="0"/>
                      <w:marTop w:val="0"/>
                      <w:marBottom w:val="0"/>
                      <w:divBdr>
                        <w:top w:val="none" w:sz="0" w:space="0" w:color="auto"/>
                        <w:left w:val="none" w:sz="0" w:space="0" w:color="auto"/>
                        <w:bottom w:val="none" w:sz="0" w:space="0" w:color="auto"/>
                        <w:right w:val="none" w:sz="0" w:space="0" w:color="auto"/>
                      </w:divBdr>
                      <w:divsChild>
                        <w:div w:id="81073222">
                          <w:marLeft w:val="0"/>
                          <w:marRight w:val="0"/>
                          <w:marTop w:val="0"/>
                          <w:marBottom w:val="0"/>
                          <w:divBdr>
                            <w:top w:val="none" w:sz="0" w:space="0" w:color="auto"/>
                            <w:left w:val="none" w:sz="0" w:space="0" w:color="auto"/>
                            <w:bottom w:val="none" w:sz="0" w:space="0" w:color="auto"/>
                            <w:right w:val="none" w:sz="0" w:space="0" w:color="auto"/>
                          </w:divBdr>
                          <w:divsChild>
                            <w:div w:id="767120930">
                              <w:marLeft w:val="0"/>
                              <w:marRight w:val="0"/>
                              <w:marTop w:val="0"/>
                              <w:marBottom w:val="0"/>
                              <w:divBdr>
                                <w:top w:val="none" w:sz="0" w:space="0" w:color="auto"/>
                                <w:left w:val="none" w:sz="0" w:space="0" w:color="auto"/>
                                <w:bottom w:val="none" w:sz="0" w:space="0" w:color="auto"/>
                                <w:right w:val="none" w:sz="0" w:space="0" w:color="auto"/>
                              </w:divBdr>
                              <w:divsChild>
                                <w:div w:id="1754735646">
                                  <w:marLeft w:val="0"/>
                                  <w:marRight w:val="0"/>
                                  <w:marTop w:val="0"/>
                                  <w:marBottom w:val="0"/>
                                  <w:divBdr>
                                    <w:top w:val="none" w:sz="0" w:space="0" w:color="auto"/>
                                    <w:left w:val="none" w:sz="0" w:space="0" w:color="auto"/>
                                    <w:bottom w:val="none" w:sz="0" w:space="0" w:color="auto"/>
                                    <w:right w:val="none" w:sz="0" w:space="0" w:color="auto"/>
                                  </w:divBdr>
                                  <w:divsChild>
                                    <w:div w:id="12539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41431">
                  <w:marLeft w:val="0"/>
                  <w:marRight w:val="0"/>
                  <w:marTop w:val="0"/>
                  <w:marBottom w:val="0"/>
                  <w:divBdr>
                    <w:top w:val="none" w:sz="0" w:space="0" w:color="auto"/>
                    <w:left w:val="none" w:sz="0" w:space="0" w:color="auto"/>
                    <w:bottom w:val="none" w:sz="0" w:space="0" w:color="auto"/>
                    <w:right w:val="none" w:sz="0" w:space="0" w:color="auto"/>
                  </w:divBdr>
                  <w:divsChild>
                    <w:div w:id="605160540">
                      <w:marLeft w:val="0"/>
                      <w:marRight w:val="0"/>
                      <w:marTop w:val="0"/>
                      <w:marBottom w:val="0"/>
                      <w:divBdr>
                        <w:top w:val="none" w:sz="0" w:space="0" w:color="auto"/>
                        <w:left w:val="none" w:sz="0" w:space="0" w:color="auto"/>
                        <w:bottom w:val="none" w:sz="0" w:space="0" w:color="auto"/>
                        <w:right w:val="none" w:sz="0" w:space="0" w:color="auto"/>
                      </w:divBdr>
                      <w:divsChild>
                        <w:div w:id="8218508">
                          <w:marLeft w:val="0"/>
                          <w:marRight w:val="0"/>
                          <w:marTop w:val="0"/>
                          <w:marBottom w:val="0"/>
                          <w:divBdr>
                            <w:top w:val="none" w:sz="0" w:space="0" w:color="auto"/>
                            <w:left w:val="none" w:sz="0" w:space="0" w:color="auto"/>
                            <w:bottom w:val="none" w:sz="0" w:space="0" w:color="auto"/>
                            <w:right w:val="none" w:sz="0" w:space="0" w:color="auto"/>
                          </w:divBdr>
                        </w:div>
                        <w:div w:id="1414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29814">
          <w:marLeft w:val="0"/>
          <w:marRight w:val="0"/>
          <w:marTop w:val="0"/>
          <w:marBottom w:val="0"/>
          <w:divBdr>
            <w:top w:val="none" w:sz="0" w:space="0" w:color="auto"/>
            <w:left w:val="none" w:sz="0" w:space="0" w:color="auto"/>
            <w:bottom w:val="none" w:sz="0" w:space="0" w:color="auto"/>
            <w:right w:val="none" w:sz="0" w:space="0" w:color="auto"/>
          </w:divBdr>
          <w:divsChild>
            <w:div w:id="1979066225">
              <w:marLeft w:val="0"/>
              <w:marRight w:val="0"/>
              <w:marTop w:val="0"/>
              <w:marBottom w:val="0"/>
              <w:divBdr>
                <w:top w:val="none" w:sz="0" w:space="0" w:color="auto"/>
                <w:left w:val="none" w:sz="0" w:space="0" w:color="auto"/>
                <w:bottom w:val="none" w:sz="0" w:space="0" w:color="auto"/>
                <w:right w:val="none" w:sz="0" w:space="0" w:color="auto"/>
              </w:divBdr>
              <w:divsChild>
                <w:div w:id="566455907">
                  <w:marLeft w:val="0"/>
                  <w:marRight w:val="0"/>
                  <w:marTop w:val="0"/>
                  <w:marBottom w:val="0"/>
                  <w:divBdr>
                    <w:top w:val="none" w:sz="0" w:space="0" w:color="auto"/>
                    <w:left w:val="none" w:sz="0" w:space="0" w:color="auto"/>
                    <w:bottom w:val="none" w:sz="0" w:space="0" w:color="auto"/>
                    <w:right w:val="none" w:sz="0" w:space="0" w:color="auto"/>
                  </w:divBdr>
                  <w:divsChild>
                    <w:div w:id="2172298">
                      <w:marLeft w:val="0"/>
                      <w:marRight w:val="0"/>
                      <w:marTop w:val="0"/>
                      <w:marBottom w:val="0"/>
                      <w:divBdr>
                        <w:top w:val="none" w:sz="0" w:space="0" w:color="auto"/>
                        <w:left w:val="none" w:sz="0" w:space="0" w:color="auto"/>
                        <w:bottom w:val="none" w:sz="0" w:space="0" w:color="auto"/>
                        <w:right w:val="none" w:sz="0" w:space="0" w:color="auto"/>
                      </w:divBdr>
                      <w:divsChild>
                        <w:div w:id="12315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3780">
          <w:marLeft w:val="0"/>
          <w:marRight w:val="0"/>
          <w:marTop w:val="0"/>
          <w:marBottom w:val="0"/>
          <w:divBdr>
            <w:top w:val="none" w:sz="0" w:space="0" w:color="auto"/>
            <w:left w:val="none" w:sz="0" w:space="0" w:color="auto"/>
            <w:bottom w:val="none" w:sz="0" w:space="0" w:color="auto"/>
            <w:right w:val="none" w:sz="0" w:space="0" w:color="auto"/>
          </w:divBdr>
          <w:divsChild>
            <w:div w:id="1711413236">
              <w:marLeft w:val="0"/>
              <w:marRight w:val="0"/>
              <w:marTop w:val="0"/>
              <w:marBottom w:val="0"/>
              <w:divBdr>
                <w:top w:val="none" w:sz="0" w:space="0" w:color="auto"/>
                <w:left w:val="none" w:sz="0" w:space="0" w:color="auto"/>
                <w:bottom w:val="none" w:sz="0" w:space="0" w:color="auto"/>
                <w:right w:val="none" w:sz="0" w:space="0" w:color="auto"/>
              </w:divBdr>
              <w:divsChild>
                <w:div w:id="433135962">
                  <w:marLeft w:val="0"/>
                  <w:marRight w:val="0"/>
                  <w:marTop w:val="240"/>
                  <w:marBottom w:val="240"/>
                  <w:divBdr>
                    <w:top w:val="none" w:sz="0" w:space="0" w:color="auto"/>
                    <w:left w:val="none" w:sz="0" w:space="0" w:color="auto"/>
                    <w:bottom w:val="none" w:sz="0" w:space="0" w:color="auto"/>
                    <w:right w:val="none" w:sz="0" w:space="0" w:color="auto"/>
                  </w:divBdr>
                </w:div>
                <w:div w:id="217101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9834804">
      <w:bodyDiv w:val="1"/>
      <w:marLeft w:val="0"/>
      <w:marRight w:val="0"/>
      <w:marTop w:val="0"/>
      <w:marBottom w:val="0"/>
      <w:divBdr>
        <w:top w:val="none" w:sz="0" w:space="0" w:color="auto"/>
        <w:left w:val="none" w:sz="0" w:space="0" w:color="auto"/>
        <w:bottom w:val="none" w:sz="0" w:space="0" w:color="auto"/>
        <w:right w:val="none" w:sz="0" w:space="0" w:color="auto"/>
      </w:divBdr>
    </w:div>
    <w:div w:id="1874338995">
      <w:bodyDiv w:val="1"/>
      <w:marLeft w:val="0"/>
      <w:marRight w:val="0"/>
      <w:marTop w:val="0"/>
      <w:marBottom w:val="0"/>
      <w:divBdr>
        <w:top w:val="none" w:sz="0" w:space="0" w:color="auto"/>
        <w:left w:val="none" w:sz="0" w:space="0" w:color="auto"/>
        <w:bottom w:val="none" w:sz="0" w:space="0" w:color="auto"/>
        <w:right w:val="none" w:sz="0" w:space="0" w:color="auto"/>
      </w:divBdr>
      <w:divsChild>
        <w:div w:id="337389410">
          <w:marLeft w:val="0"/>
          <w:marRight w:val="0"/>
          <w:marTop w:val="0"/>
          <w:marBottom w:val="0"/>
          <w:divBdr>
            <w:top w:val="none" w:sz="0" w:space="0" w:color="auto"/>
            <w:left w:val="none" w:sz="0" w:space="0" w:color="auto"/>
            <w:bottom w:val="none" w:sz="0" w:space="0" w:color="auto"/>
            <w:right w:val="none" w:sz="0" w:space="0" w:color="auto"/>
          </w:divBdr>
          <w:divsChild>
            <w:div w:id="1924676613">
              <w:marLeft w:val="0"/>
              <w:marRight w:val="0"/>
              <w:marTop w:val="0"/>
              <w:marBottom w:val="0"/>
              <w:divBdr>
                <w:top w:val="none" w:sz="0" w:space="0" w:color="auto"/>
                <w:left w:val="none" w:sz="0" w:space="0" w:color="auto"/>
                <w:bottom w:val="none" w:sz="0" w:space="0" w:color="auto"/>
                <w:right w:val="none" w:sz="0" w:space="0" w:color="auto"/>
              </w:divBdr>
              <w:divsChild>
                <w:div w:id="510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1988">
      <w:bodyDiv w:val="1"/>
      <w:marLeft w:val="0"/>
      <w:marRight w:val="0"/>
      <w:marTop w:val="0"/>
      <w:marBottom w:val="0"/>
      <w:divBdr>
        <w:top w:val="none" w:sz="0" w:space="0" w:color="auto"/>
        <w:left w:val="none" w:sz="0" w:space="0" w:color="auto"/>
        <w:bottom w:val="none" w:sz="0" w:space="0" w:color="auto"/>
        <w:right w:val="none" w:sz="0" w:space="0" w:color="auto"/>
      </w:divBdr>
    </w:div>
    <w:div w:id="1981494130">
      <w:bodyDiv w:val="1"/>
      <w:marLeft w:val="0"/>
      <w:marRight w:val="0"/>
      <w:marTop w:val="0"/>
      <w:marBottom w:val="0"/>
      <w:divBdr>
        <w:top w:val="none" w:sz="0" w:space="0" w:color="auto"/>
        <w:left w:val="none" w:sz="0" w:space="0" w:color="auto"/>
        <w:bottom w:val="none" w:sz="0" w:space="0" w:color="auto"/>
        <w:right w:val="none" w:sz="0" w:space="0" w:color="auto"/>
      </w:divBdr>
    </w:div>
    <w:div w:id="2086804109">
      <w:bodyDiv w:val="1"/>
      <w:marLeft w:val="0"/>
      <w:marRight w:val="0"/>
      <w:marTop w:val="0"/>
      <w:marBottom w:val="0"/>
      <w:divBdr>
        <w:top w:val="none" w:sz="0" w:space="0" w:color="auto"/>
        <w:left w:val="none" w:sz="0" w:space="0" w:color="auto"/>
        <w:bottom w:val="none" w:sz="0" w:space="0" w:color="auto"/>
        <w:right w:val="none" w:sz="0" w:space="0" w:color="auto"/>
      </w:divBdr>
    </w:div>
    <w:div w:id="2118868433">
      <w:bodyDiv w:val="1"/>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2544">
      <w:bodyDiv w:val="1"/>
      <w:marLeft w:val="0"/>
      <w:marRight w:val="0"/>
      <w:marTop w:val="0"/>
      <w:marBottom w:val="0"/>
      <w:divBdr>
        <w:top w:val="none" w:sz="0" w:space="0" w:color="auto"/>
        <w:left w:val="none" w:sz="0" w:space="0" w:color="auto"/>
        <w:bottom w:val="none" w:sz="0" w:space="0" w:color="auto"/>
        <w:right w:val="none" w:sz="0" w:space="0" w:color="auto"/>
      </w:divBdr>
      <w:divsChild>
        <w:div w:id="478114774">
          <w:marLeft w:val="0"/>
          <w:marRight w:val="0"/>
          <w:marTop w:val="0"/>
          <w:marBottom w:val="0"/>
          <w:divBdr>
            <w:top w:val="none" w:sz="0" w:space="0" w:color="auto"/>
            <w:left w:val="none" w:sz="0" w:space="0" w:color="auto"/>
            <w:bottom w:val="none" w:sz="0" w:space="0" w:color="auto"/>
            <w:right w:val="none" w:sz="0" w:space="0" w:color="auto"/>
          </w:divBdr>
          <w:divsChild>
            <w:div w:id="1136525950">
              <w:marLeft w:val="0"/>
              <w:marRight w:val="0"/>
              <w:marTop w:val="0"/>
              <w:marBottom w:val="0"/>
              <w:divBdr>
                <w:top w:val="none" w:sz="0" w:space="0" w:color="auto"/>
                <w:left w:val="none" w:sz="0" w:space="0" w:color="auto"/>
                <w:bottom w:val="none" w:sz="0" w:space="0" w:color="auto"/>
                <w:right w:val="none" w:sz="0" w:space="0" w:color="auto"/>
              </w:divBdr>
              <w:divsChild>
                <w:div w:id="654997204">
                  <w:marLeft w:val="0"/>
                  <w:marRight w:val="0"/>
                  <w:marTop w:val="0"/>
                  <w:marBottom w:val="0"/>
                  <w:divBdr>
                    <w:top w:val="none" w:sz="0" w:space="0" w:color="auto"/>
                    <w:left w:val="none" w:sz="0" w:space="0" w:color="auto"/>
                    <w:bottom w:val="none" w:sz="0" w:space="0" w:color="auto"/>
                    <w:right w:val="none" w:sz="0" w:space="0" w:color="auto"/>
                  </w:divBdr>
                  <w:divsChild>
                    <w:div w:id="6371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7ECB-BD7A-4215-8624-8E88EE44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2813</Words>
  <Characters>16035</Characters>
  <Application>Microsoft Office Word</Application>
  <DocSecurity>0</DocSecurity>
  <Lines>133</Lines>
  <Paragraphs>37</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Leader</dc:creator>
  <cp:keywords/>
  <dc:description/>
  <cp:lastModifiedBy>Cinzia Giaccherini</cp:lastModifiedBy>
  <cp:revision>190</cp:revision>
  <cp:lastPrinted>2022-01-11T14:07:00Z</cp:lastPrinted>
  <dcterms:created xsi:type="dcterms:W3CDTF">2022-01-29T13:56:00Z</dcterms:created>
  <dcterms:modified xsi:type="dcterms:W3CDTF">2022-05-13T12:24:00Z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1c53f8a6-283c-3786-a090-64501387f92c</vt:lpwstr>
  </property>
  <property fmtid="{D5CDD505-2E9C-101B-9397-08002B2CF9AE}" pid="4" name="Mendeley Citation Style_1">
    <vt:lpwstr>http://www.zotero.org/styles/blood</vt:lpwstr>
  </property>
  <property fmtid="{D5CDD505-2E9C-101B-9397-08002B2CF9AE}" pid="5" name="Mendeley Recent Style Id 0_1">
    <vt:lpwstr>http://www.zotero.org/styles/american-heart-association</vt:lpwstr>
  </property>
  <property fmtid="{D5CDD505-2E9C-101B-9397-08002B2CF9AE}" pid="6" name="Mendeley Recent Style Name 0_1">
    <vt:lpwstr>American Heart Association</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http://www.zotero.org/styles/blood</vt:lpwstr>
  </property>
  <property fmtid="{D5CDD505-2E9C-101B-9397-08002B2CF9AE}" pid="12" name="Mendeley Recent Style Name 3_1">
    <vt:lpwstr>Blood</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http://www.zotero.org/styles/journal-of-thrombosis-and-haemostasis</vt:lpwstr>
  </property>
  <property fmtid="{D5CDD505-2E9C-101B-9397-08002B2CF9AE}" pid="18" name="Mendeley Recent Style Name 6_1">
    <vt:lpwstr>Journal of Thrombosis and Haemostasis</vt:lpwstr>
  </property>
  <property fmtid="{D5CDD505-2E9C-101B-9397-08002B2CF9AE}" pid="19" name="Mendeley Recent Style Id 7_1">
    <vt:lpwstr>http://www.zotero.org/styles/journal-of-the-american-college-of-cardiology</vt:lpwstr>
  </property>
  <property fmtid="{D5CDD505-2E9C-101B-9397-08002B2CF9AE}" pid="20" name="Mendeley Recent Style Name 7_1">
    <vt:lpwstr>Journal of the American College of Cardiology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