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756F" w14:textId="2F5D79FC" w:rsidR="00F10C55" w:rsidRPr="001D7956" w:rsidRDefault="00E87F5D" w:rsidP="00DC0461">
      <w:pPr>
        <w:jc w:val="center"/>
        <w:rPr>
          <w:rFonts w:asciiTheme="minorHAnsi" w:hAnsiTheme="minorHAnsi" w:cstheme="minorHAnsi"/>
          <w:b/>
          <w:sz w:val="48"/>
          <w:szCs w:val="48"/>
          <w:lang w:val="en-US"/>
        </w:rPr>
      </w:pPr>
      <w:r w:rsidRPr="001D7956">
        <w:rPr>
          <w:rFonts w:asciiTheme="minorHAnsi" w:hAnsiTheme="minorHAnsi" w:cstheme="minorHAnsi"/>
          <w:b/>
          <w:sz w:val="48"/>
          <w:szCs w:val="48"/>
          <w:lang w:val="en-US"/>
        </w:rPr>
        <w:t xml:space="preserve">Supplemental Digital Content (SDC) </w:t>
      </w:r>
    </w:p>
    <w:p w14:paraId="49CD18CA" w14:textId="77777777" w:rsidR="00DC0461" w:rsidRPr="001D7956" w:rsidRDefault="00DC0461" w:rsidP="00DC0461">
      <w:pPr>
        <w:jc w:val="center"/>
        <w:rPr>
          <w:rFonts w:asciiTheme="minorHAnsi" w:hAnsiTheme="minorHAnsi" w:cstheme="minorHAnsi"/>
          <w:b/>
          <w:sz w:val="48"/>
          <w:szCs w:val="48"/>
          <w:lang w:val="en-US"/>
        </w:rPr>
      </w:pPr>
    </w:p>
    <w:p w14:paraId="1C92F764" w14:textId="5C4543C5" w:rsidR="00F10C55" w:rsidRDefault="00637C72" w:rsidP="00F10C55">
      <w:pPr>
        <w:rPr>
          <w:rFonts w:asciiTheme="minorHAnsi" w:hAnsiTheme="minorHAnsi" w:cstheme="minorHAnsi"/>
          <w:b/>
          <w:sz w:val="32"/>
          <w:szCs w:val="32"/>
          <w:lang w:val="en-US"/>
        </w:rPr>
      </w:pPr>
      <w:r w:rsidRPr="00637C72">
        <w:rPr>
          <w:rFonts w:asciiTheme="minorHAnsi" w:hAnsiTheme="minorHAnsi" w:cstheme="minorHAnsi"/>
          <w:b/>
          <w:sz w:val="32"/>
          <w:szCs w:val="32"/>
          <w:lang w:val="en-US"/>
        </w:rPr>
        <w:t>Immune biomarkers in the peripheral blood and tumor microenvironment of classical Hodgkin lymphoma</w:t>
      </w:r>
      <w:r w:rsidR="0088439C">
        <w:rPr>
          <w:rFonts w:asciiTheme="minorHAnsi" w:hAnsiTheme="minorHAnsi" w:cstheme="minorHAnsi"/>
          <w:b/>
          <w:sz w:val="32"/>
          <w:szCs w:val="32"/>
          <w:lang w:val="en-US"/>
        </w:rPr>
        <w:t xml:space="preserve"> patients</w:t>
      </w:r>
      <w:r w:rsidRPr="00637C72">
        <w:rPr>
          <w:rFonts w:asciiTheme="minorHAnsi" w:hAnsiTheme="minorHAnsi" w:cstheme="minorHAnsi"/>
          <w:b/>
          <w:sz w:val="32"/>
          <w:szCs w:val="32"/>
          <w:lang w:val="en-US"/>
        </w:rPr>
        <w:t xml:space="preserve"> in relation to tumor burden and response to treatment</w:t>
      </w:r>
    </w:p>
    <w:p w14:paraId="718A44DE" w14:textId="6080FC72" w:rsidR="00637C72" w:rsidRDefault="00637C72" w:rsidP="00F10C55">
      <w:pPr>
        <w:rPr>
          <w:rFonts w:asciiTheme="minorHAnsi" w:hAnsiTheme="minorHAnsi" w:cstheme="minorHAnsi"/>
          <w:b/>
          <w:sz w:val="32"/>
          <w:szCs w:val="32"/>
          <w:lang w:val="en-US"/>
        </w:rPr>
      </w:pPr>
    </w:p>
    <w:p w14:paraId="4D297D9C" w14:textId="72FA26B3" w:rsidR="00F10C55" w:rsidRPr="00724BDD" w:rsidRDefault="00F10C55" w:rsidP="00F10C55">
      <w:pPr>
        <w:rPr>
          <w:rFonts w:asciiTheme="minorHAnsi" w:hAnsiTheme="minorHAnsi" w:cstheme="minorHAnsi"/>
          <w:sz w:val="28"/>
          <w:szCs w:val="28"/>
          <w:lang w:val="en-US"/>
        </w:rPr>
      </w:pPr>
      <w:r w:rsidRPr="00724BDD">
        <w:rPr>
          <w:rFonts w:asciiTheme="minorHAnsi" w:hAnsiTheme="minorHAnsi" w:cstheme="minorHAnsi"/>
          <w:sz w:val="28"/>
          <w:szCs w:val="28"/>
          <w:lang w:val="en-US"/>
        </w:rPr>
        <w:t>Mulder</w:t>
      </w:r>
      <w:r w:rsidR="006F4F79" w:rsidRPr="00724BDD">
        <w:rPr>
          <w:rFonts w:asciiTheme="minorHAnsi" w:hAnsiTheme="minorHAnsi" w:cstheme="minorHAnsi"/>
          <w:sz w:val="28"/>
          <w:szCs w:val="28"/>
          <w:lang w:val="en-US"/>
        </w:rPr>
        <w:t xml:space="preserve"> TA</w:t>
      </w:r>
      <w:r w:rsidRPr="00724BDD">
        <w:rPr>
          <w:rFonts w:asciiTheme="minorHAnsi" w:hAnsiTheme="minorHAnsi" w:cstheme="minorHAnsi"/>
          <w:sz w:val="28"/>
          <w:szCs w:val="28"/>
          <w:lang w:val="en-US"/>
        </w:rPr>
        <w:t>, Andersson</w:t>
      </w:r>
      <w:r w:rsidR="006F4F79" w:rsidRPr="00724BDD">
        <w:rPr>
          <w:rFonts w:asciiTheme="minorHAnsi" w:hAnsiTheme="minorHAnsi" w:cstheme="minorHAnsi"/>
          <w:sz w:val="28"/>
          <w:szCs w:val="28"/>
          <w:lang w:val="en-US"/>
        </w:rPr>
        <w:t xml:space="preserve"> ML</w:t>
      </w:r>
      <w:r w:rsidRPr="00724BDD">
        <w:rPr>
          <w:rFonts w:asciiTheme="minorHAnsi" w:hAnsiTheme="minorHAnsi" w:cstheme="minorHAnsi"/>
          <w:sz w:val="28"/>
          <w:szCs w:val="28"/>
          <w:lang w:val="en-US"/>
        </w:rPr>
        <w:t xml:space="preserve">, </w:t>
      </w:r>
      <w:proofErr w:type="spellStart"/>
      <w:r w:rsidR="0078720A" w:rsidRPr="00724BDD">
        <w:rPr>
          <w:rFonts w:asciiTheme="minorHAnsi" w:hAnsiTheme="minorHAnsi" w:cstheme="minorHAnsi"/>
          <w:sz w:val="28"/>
          <w:szCs w:val="28"/>
          <w:lang w:val="en-US"/>
        </w:rPr>
        <w:t>Peña-Pérez</w:t>
      </w:r>
      <w:proofErr w:type="spellEnd"/>
      <w:r w:rsidR="0078720A" w:rsidRPr="00724BDD">
        <w:rPr>
          <w:rFonts w:asciiTheme="minorHAnsi" w:hAnsiTheme="minorHAnsi" w:cstheme="minorHAnsi"/>
          <w:sz w:val="28"/>
          <w:szCs w:val="28"/>
          <w:lang w:val="en-US"/>
        </w:rPr>
        <w:t xml:space="preserve"> L, </w:t>
      </w:r>
      <w:proofErr w:type="spellStart"/>
      <w:r w:rsidRPr="00724BDD">
        <w:rPr>
          <w:rFonts w:asciiTheme="minorHAnsi" w:hAnsiTheme="minorHAnsi" w:cstheme="minorHAnsi"/>
          <w:sz w:val="28"/>
          <w:szCs w:val="28"/>
          <w:lang w:val="en-US"/>
        </w:rPr>
        <w:t>Heimersson</w:t>
      </w:r>
      <w:proofErr w:type="spellEnd"/>
      <w:r w:rsidR="006F4F79" w:rsidRPr="00724BDD">
        <w:rPr>
          <w:rFonts w:asciiTheme="minorHAnsi" w:hAnsiTheme="minorHAnsi" w:cstheme="minorHAnsi"/>
          <w:sz w:val="28"/>
          <w:szCs w:val="28"/>
          <w:lang w:val="en-US"/>
        </w:rPr>
        <w:t xml:space="preserve"> K</w:t>
      </w:r>
      <w:r w:rsidRPr="00724BDD">
        <w:rPr>
          <w:rFonts w:asciiTheme="minorHAnsi" w:hAnsiTheme="minorHAnsi" w:cstheme="minorHAnsi"/>
          <w:sz w:val="28"/>
          <w:szCs w:val="28"/>
          <w:lang w:val="en-US"/>
        </w:rPr>
        <w:t xml:space="preserve">, </w:t>
      </w:r>
      <w:proofErr w:type="spellStart"/>
      <w:r w:rsidRPr="00724BDD">
        <w:rPr>
          <w:rFonts w:asciiTheme="minorHAnsi" w:hAnsiTheme="minorHAnsi" w:cstheme="minorHAnsi"/>
          <w:sz w:val="28"/>
          <w:szCs w:val="28"/>
          <w:lang w:val="en-US"/>
        </w:rPr>
        <w:t>Xagoraris</w:t>
      </w:r>
      <w:proofErr w:type="spellEnd"/>
      <w:r w:rsidR="006F4F79" w:rsidRPr="00724BDD">
        <w:rPr>
          <w:rFonts w:asciiTheme="minorHAnsi" w:hAnsiTheme="minorHAnsi" w:cstheme="minorHAnsi"/>
          <w:sz w:val="28"/>
          <w:szCs w:val="28"/>
          <w:lang w:val="en-US"/>
        </w:rPr>
        <w:t xml:space="preserve"> I</w:t>
      </w:r>
      <w:r w:rsidRPr="00724BDD">
        <w:rPr>
          <w:rFonts w:asciiTheme="minorHAnsi" w:hAnsiTheme="minorHAnsi" w:cstheme="minorHAnsi"/>
          <w:sz w:val="28"/>
          <w:szCs w:val="28"/>
          <w:lang w:val="en-US"/>
        </w:rPr>
        <w:t xml:space="preserve">, </w:t>
      </w:r>
      <w:proofErr w:type="spellStart"/>
      <w:r w:rsidRPr="00724BDD">
        <w:rPr>
          <w:rFonts w:asciiTheme="minorHAnsi" w:hAnsiTheme="minorHAnsi" w:cstheme="minorHAnsi"/>
          <w:sz w:val="28"/>
          <w:szCs w:val="28"/>
          <w:lang w:val="en-US"/>
        </w:rPr>
        <w:t>Wahlin</w:t>
      </w:r>
      <w:proofErr w:type="spellEnd"/>
      <w:r w:rsidR="006F4F79" w:rsidRPr="00724BDD">
        <w:rPr>
          <w:rFonts w:asciiTheme="minorHAnsi" w:hAnsiTheme="minorHAnsi" w:cstheme="minorHAnsi"/>
          <w:sz w:val="28"/>
          <w:szCs w:val="28"/>
          <w:lang w:val="en-US"/>
        </w:rPr>
        <w:t xml:space="preserve"> BE</w:t>
      </w:r>
      <w:r w:rsidRPr="00724BDD">
        <w:rPr>
          <w:rFonts w:asciiTheme="minorHAnsi" w:hAnsiTheme="minorHAnsi" w:cstheme="minorHAnsi"/>
          <w:sz w:val="28"/>
          <w:szCs w:val="28"/>
          <w:lang w:val="en-US"/>
        </w:rPr>
        <w:t xml:space="preserve">, </w:t>
      </w:r>
      <w:proofErr w:type="spellStart"/>
      <w:r w:rsidR="0078720A" w:rsidRPr="00724BDD">
        <w:rPr>
          <w:rFonts w:asciiTheme="minorHAnsi" w:hAnsiTheme="minorHAnsi" w:cstheme="minorHAnsi"/>
          <w:sz w:val="28"/>
          <w:szCs w:val="28"/>
          <w:lang w:val="en-US"/>
        </w:rPr>
        <w:t>Månsson</w:t>
      </w:r>
      <w:proofErr w:type="spellEnd"/>
      <w:r w:rsidR="0078720A" w:rsidRPr="00724BDD">
        <w:rPr>
          <w:rFonts w:asciiTheme="minorHAnsi" w:hAnsiTheme="minorHAnsi" w:cstheme="minorHAnsi"/>
          <w:sz w:val="28"/>
          <w:szCs w:val="28"/>
          <w:lang w:val="en-US"/>
        </w:rPr>
        <w:t xml:space="preserve"> R, </w:t>
      </w:r>
      <w:r w:rsidRPr="00724BDD">
        <w:rPr>
          <w:rFonts w:asciiTheme="minorHAnsi" w:hAnsiTheme="minorHAnsi" w:cstheme="minorHAnsi"/>
          <w:sz w:val="28"/>
          <w:szCs w:val="28"/>
          <w:lang w:val="en-US"/>
        </w:rPr>
        <w:t>Hansson</w:t>
      </w:r>
      <w:r w:rsidR="006F4F79" w:rsidRPr="00724BDD">
        <w:rPr>
          <w:rFonts w:asciiTheme="minorHAnsi" w:hAnsiTheme="minorHAnsi" w:cstheme="minorHAnsi"/>
          <w:sz w:val="28"/>
          <w:szCs w:val="28"/>
          <w:lang w:val="en-US"/>
        </w:rPr>
        <w:t xml:space="preserve"> L</w:t>
      </w:r>
      <w:r w:rsidRPr="00724BDD">
        <w:rPr>
          <w:rFonts w:asciiTheme="minorHAnsi" w:hAnsiTheme="minorHAnsi" w:cstheme="minorHAnsi"/>
          <w:sz w:val="28"/>
          <w:szCs w:val="28"/>
          <w:lang w:val="en-US"/>
        </w:rPr>
        <w:t xml:space="preserve">, </w:t>
      </w:r>
      <w:proofErr w:type="spellStart"/>
      <w:r w:rsidRPr="00724BDD">
        <w:rPr>
          <w:rFonts w:asciiTheme="minorHAnsi" w:hAnsiTheme="minorHAnsi" w:cstheme="minorHAnsi"/>
          <w:sz w:val="28"/>
          <w:szCs w:val="28"/>
          <w:lang w:val="en-US"/>
        </w:rPr>
        <w:t>Rassidakis</w:t>
      </w:r>
      <w:proofErr w:type="spellEnd"/>
      <w:r w:rsidRPr="00724BDD">
        <w:rPr>
          <w:rFonts w:asciiTheme="minorHAnsi" w:hAnsiTheme="minorHAnsi" w:cstheme="minorHAnsi"/>
          <w:sz w:val="28"/>
          <w:szCs w:val="28"/>
          <w:lang w:val="en-US"/>
        </w:rPr>
        <w:t xml:space="preserve"> </w:t>
      </w:r>
      <w:r w:rsidR="006F4F79" w:rsidRPr="00724BDD">
        <w:rPr>
          <w:rFonts w:asciiTheme="minorHAnsi" w:hAnsiTheme="minorHAnsi" w:cstheme="minorHAnsi"/>
          <w:sz w:val="28"/>
          <w:szCs w:val="28"/>
          <w:lang w:val="en-US"/>
        </w:rPr>
        <w:t xml:space="preserve">G </w:t>
      </w:r>
      <w:r w:rsidRPr="00724BDD">
        <w:rPr>
          <w:rFonts w:asciiTheme="minorHAnsi" w:hAnsiTheme="minorHAnsi" w:cstheme="minorHAnsi"/>
          <w:sz w:val="28"/>
          <w:szCs w:val="28"/>
          <w:lang w:val="en-US"/>
        </w:rPr>
        <w:t>and Palma</w:t>
      </w:r>
      <w:r w:rsidR="006F4F79" w:rsidRPr="00724BDD">
        <w:rPr>
          <w:rFonts w:asciiTheme="minorHAnsi" w:hAnsiTheme="minorHAnsi" w:cstheme="minorHAnsi"/>
          <w:sz w:val="28"/>
          <w:szCs w:val="28"/>
          <w:lang w:val="en-US"/>
        </w:rPr>
        <w:t xml:space="preserve"> M</w:t>
      </w:r>
    </w:p>
    <w:p w14:paraId="4BC4B20C" w14:textId="77777777" w:rsidR="00F10C55" w:rsidRPr="00724BDD" w:rsidRDefault="00F10C55" w:rsidP="00F10C55">
      <w:pPr>
        <w:rPr>
          <w:rFonts w:asciiTheme="minorHAnsi" w:hAnsiTheme="minorHAnsi" w:cstheme="minorHAnsi"/>
          <w:lang w:val="en-US"/>
        </w:rPr>
      </w:pPr>
    </w:p>
    <w:p w14:paraId="53EF512C" w14:textId="77777777" w:rsidR="00F10C55" w:rsidRPr="00724BDD" w:rsidRDefault="00F10C55" w:rsidP="00F10C55">
      <w:pPr>
        <w:rPr>
          <w:rFonts w:asciiTheme="minorHAnsi" w:hAnsiTheme="minorHAnsi" w:cstheme="minorHAnsi"/>
          <w:lang w:val="en-US"/>
        </w:rPr>
      </w:pPr>
    </w:p>
    <w:p w14:paraId="1F09E485" w14:textId="1C550CB5" w:rsidR="00446C2B" w:rsidRPr="00724BDD" w:rsidRDefault="00446C2B" w:rsidP="00F10C55">
      <w:pPr>
        <w:rPr>
          <w:rFonts w:asciiTheme="minorHAnsi" w:hAnsiTheme="minorHAnsi" w:cstheme="minorHAnsi"/>
          <w:lang w:val="en-US"/>
        </w:rPr>
      </w:pPr>
    </w:p>
    <w:p w14:paraId="05D5330E" w14:textId="77777777" w:rsidR="005A1F8E" w:rsidRPr="00AE0A76" w:rsidRDefault="005A1F8E" w:rsidP="00F10C55">
      <w:pPr>
        <w:rPr>
          <w:rFonts w:asciiTheme="minorHAnsi" w:hAnsiTheme="minorHAnsi" w:cstheme="minorHAnsi"/>
          <w:lang w:val="en-US"/>
        </w:rPr>
      </w:pPr>
    </w:p>
    <w:sdt>
      <w:sdtPr>
        <w:rPr>
          <w:rFonts w:asciiTheme="minorHAnsi" w:hAnsiTheme="minorHAnsi" w:cstheme="minorHAnsi"/>
          <w:b/>
          <w:bCs/>
          <w:sz w:val="32"/>
          <w:szCs w:val="32"/>
          <w:lang w:val="en-US"/>
        </w:rPr>
        <w:id w:val="-1253886078"/>
        <w:docPartObj>
          <w:docPartGallery w:val="Table of Contents"/>
          <w:docPartUnique/>
        </w:docPartObj>
      </w:sdtPr>
      <w:sdtEndPr>
        <w:rPr>
          <w:b w:val="0"/>
          <w:noProof/>
          <w:sz w:val="28"/>
          <w:szCs w:val="28"/>
        </w:rPr>
      </w:sdtEndPr>
      <w:sdtContent>
        <w:p w14:paraId="59908C7F" w14:textId="603D3026" w:rsidR="00F10C55" w:rsidRPr="001D7956" w:rsidRDefault="00F10C55" w:rsidP="00CF6936">
          <w:pPr>
            <w:rPr>
              <w:rFonts w:asciiTheme="minorHAnsi" w:hAnsiTheme="minorHAnsi" w:cstheme="minorHAnsi"/>
              <w:b/>
              <w:bCs/>
              <w:sz w:val="32"/>
              <w:szCs w:val="32"/>
              <w:lang w:val="en-US"/>
            </w:rPr>
          </w:pPr>
          <w:r w:rsidRPr="001D7956">
            <w:rPr>
              <w:rFonts w:asciiTheme="minorHAnsi" w:hAnsiTheme="minorHAnsi" w:cstheme="minorHAnsi"/>
              <w:b/>
              <w:bCs/>
              <w:sz w:val="32"/>
              <w:szCs w:val="32"/>
              <w:lang w:val="en-US"/>
            </w:rPr>
            <w:t>Table of Contents</w:t>
          </w:r>
        </w:p>
        <w:p w14:paraId="266CF8E0" w14:textId="77777777" w:rsidR="005A1F8E" w:rsidRPr="001D7956" w:rsidRDefault="005A1F8E" w:rsidP="00CF6936">
          <w:pPr>
            <w:rPr>
              <w:rFonts w:asciiTheme="minorHAnsi" w:hAnsiTheme="minorHAnsi" w:cstheme="minorHAnsi"/>
              <w:b/>
              <w:bCs/>
              <w:sz w:val="32"/>
              <w:szCs w:val="32"/>
              <w:lang w:val="en-US"/>
            </w:rPr>
          </w:pPr>
        </w:p>
        <w:p w14:paraId="7E74F1D3" w14:textId="7E548E42" w:rsidR="001D7956" w:rsidRPr="001D7956" w:rsidRDefault="00F10C55">
          <w:pPr>
            <w:pStyle w:val="TOC1"/>
            <w:tabs>
              <w:tab w:val="right" w:leader="dot" w:pos="9056"/>
            </w:tabs>
            <w:rPr>
              <w:rFonts w:asciiTheme="minorHAnsi" w:eastAsiaTheme="minorEastAsia" w:hAnsiTheme="minorHAnsi"/>
              <w:b w:val="0"/>
              <w:bCs w:val="0"/>
              <w:i w:val="0"/>
              <w:iCs w:val="0"/>
              <w:noProof/>
              <w:sz w:val="28"/>
              <w:szCs w:val="28"/>
            </w:rPr>
          </w:pPr>
          <w:r w:rsidRPr="001D7956">
            <w:rPr>
              <w:rFonts w:asciiTheme="minorHAnsi" w:hAnsiTheme="minorHAnsi"/>
              <w:b w:val="0"/>
              <w:bCs w:val="0"/>
              <w:sz w:val="28"/>
              <w:szCs w:val="28"/>
              <w:lang w:val="en-US"/>
            </w:rPr>
            <w:fldChar w:fldCharType="begin"/>
          </w:r>
          <w:r w:rsidRPr="001D7956">
            <w:rPr>
              <w:rFonts w:asciiTheme="minorHAnsi" w:hAnsiTheme="minorHAnsi"/>
              <w:sz w:val="28"/>
              <w:szCs w:val="28"/>
              <w:lang w:val="en-US"/>
            </w:rPr>
            <w:instrText xml:space="preserve"> TOC \o "1-3" \h \z \u </w:instrText>
          </w:r>
          <w:r w:rsidRPr="001D7956">
            <w:rPr>
              <w:rFonts w:asciiTheme="minorHAnsi" w:hAnsiTheme="minorHAnsi"/>
              <w:b w:val="0"/>
              <w:bCs w:val="0"/>
              <w:sz w:val="28"/>
              <w:szCs w:val="28"/>
              <w:lang w:val="en-US"/>
            </w:rPr>
            <w:fldChar w:fldCharType="separate"/>
          </w:r>
          <w:hyperlink w:anchor="_Toc107775930" w:history="1">
            <w:r w:rsidR="001D7956" w:rsidRPr="001D7956">
              <w:rPr>
                <w:rStyle w:val="Hyperlink"/>
                <w:rFonts w:asciiTheme="minorHAnsi" w:hAnsiTheme="minorHAnsi"/>
                <w:noProof/>
                <w:sz w:val="28"/>
                <w:szCs w:val="28"/>
              </w:rPr>
              <w:t>SDC, Materials and Methods</w:t>
            </w:r>
            <w:r w:rsidR="001D7956" w:rsidRPr="001D7956">
              <w:rPr>
                <w:rFonts w:asciiTheme="minorHAnsi" w:hAnsiTheme="minorHAnsi"/>
                <w:noProof/>
                <w:webHidden/>
                <w:sz w:val="28"/>
                <w:szCs w:val="28"/>
              </w:rPr>
              <w:tab/>
            </w:r>
            <w:r w:rsidR="001D7956" w:rsidRPr="001D7956">
              <w:rPr>
                <w:rFonts w:asciiTheme="minorHAnsi" w:hAnsiTheme="minorHAnsi"/>
                <w:noProof/>
                <w:webHidden/>
                <w:sz w:val="28"/>
                <w:szCs w:val="28"/>
              </w:rPr>
              <w:fldChar w:fldCharType="begin"/>
            </w:r>
            <w:r w:rsidR="001D7956" w:rsidRPr="001D7956">
              <w:rPr>
                <w:rFonts w:asciiTheme="minorHAnsi" w:hAnsiTheme="minorHAnsi"/>
                <w:noProof/>
                <w:webHidden/>
                <w:sz w:val="28"/>
                <w:szCs w:val="28"/>
              </w:rPr>
              <w:instrText xml:space="preserve"> PAGEREF _Toc107775930 \h </w:instrText>
            </w:r>
            <w:r w:rsidR="001D7956" w:rsidRPr="001D7956">
              <w:rPr>
                <w:rFonts w:asciiTheme="minorHAnsi" w:hAnsiTheme="minorHAnsi"/>
                <w:noProof/>
                <w:webHidden/>
                <w:sz w:val="28"/>
                <w:szCs w:val="28"/>
              </w:rPr>
            </w:r>
            <w:r w:rsidR="001D7956" w:rsidRPr="001D7956">
              <w:rPr>
                <w:rFonts w:asciiTheme="minorHAnsi" w:hAnsiTheme="minorHAnsi"/>
                <w:noProof/>
                <w:webHidden/>
                <w:sz w:val="28"/>
                <w:szCs w:val="28"/>
              </w:rPr>
              <w:fldChar w:fldCharType="separate"/>
            </w:r>
            <w:r w:rsidR="001D7956" w:rsidRPr="001D7956">
              <w:rPr>
                <w:rFonts w:asciiTheme="minorHAnsi" w:hAnsiTheme="minorHAnsi"/>
                <w:noProof/>
                <w:webHidden/>
                <w:sz w:val="28"/>
                <w:szCs w:val="28"/>
              </w:rPr>
              <w:t>2</w:t>
            </w:r>
            <w:r w:rsidR="001D7956" w:rsidRPr="001D7956">
              <w:rPr>
                <w:rFonts w:asciiTheme="minorHAnsi" w:hAnsiTheme="minorHAnsi"/>
                <w:noProof/>
                <w:webHidden/>
                <w:sz w:val="28"/>
                <w:szCs w:val="28"/>
              </w:rPr>
              <w:fldChar w:fldCharType="end"/>
            </w:r>
          </w:hyperlink>
        </w:p>
        <w:p w14:paraId="676E3631" w14:textId="3F682581" w:rsidR="001D7956" w:rsidRPr="001D7956" w:rsidRDefault="000F2795">
          <w:pPr>
            <w:pStyle w:val="TOC1"/>
            <w:tabs>
              <w:tab w:val="right" w:leader="dot" w:pos="9056"/>
            </w:tabs>
            <w:rPr>
              <w:rFonts w:asciiTheme="minorHAnsi" w:eastAsiaTheme="minorEastAsia" w:hAnsiTheme="minorHAnsi"/>
              <w:b w:val="0"/>
              <w:bCs w:val="0"/>
              <w:i w:val="0"/>
              <w:iCs w:val="0"/>
              <w:noProof/>
              <w:sz w:val="28"/>
              <w:szCs w:val="28"/>
            </w:rPr>
          </w:pPr>
          <w:hyperlink w:anchor="_Toc107775931" w:history="1">
            <w:r w:rsidR="001D7956" w:rsidRPr="001D7956">
              <w:rPr>
                <w:rStyle w:val="Hyperlink"/>
                <w:rFonts w:asciiTheme="minorHAnsi" w:hAnsiTheme="minorHAnsi"/>
                <w:noProof/>
                <w:sz w:val="28"/>
                <w:szCs w:val="28"/>
              </w:rPr>
              <w:t>SDC, Table 1</w:t>
            </w:r>
            <w:r w:rsidR="001D7956" w:rsidRPr="001D7956">
              <w:rPr>
                <w:rFonts w:asciiTheme="minorHAnsi" w:hAnsiTheme="minorHAnsi"/>
                <w:noProof/>
                <w:webHidden/>
                <w:sz w:val="28"/>
                <w:szCs w:val="28"/>
              </w:rPr>
              <w:tab/>
            </w:r>
            <w:r w:rsidR="001D7956" w:rsidRPr="001D7956">
              <w:rPr>
                <w:rFonts w:asciiTheme="minorHAnsi" w:hAnsiTheme="minorHAnsi"/>
                <w:noProof/>
                <w:webHidden/>
                <w:sz w:val="28"/>
                <w:szCs w:val="28"/>
              </w:rPr>
              <w:fldChar w:fldCharType="begin"/>
            </w:r>
            <w:r w:rsidR="001D7956" w:rsidRPr="001D7956">
              <w:rPr>
                <w:rFonts w:asciiTheme="minorHAnsi" w:hAnsiTheme="minorHAnsi"/>
                <w:noProof/>
                <w:webHidden/>
                <w:sz w:val="28"/>
                <w:szCs w:val="28"/>
              </w:rPr>
              <w:instrText xml:space="preserve"> PAGEREF _Toc107775931 \h </w:instrText>
            </w:r>
            <w:r w:rsidR="001D7956" w:rsidRPr="001D7956">
              <w:rPr>
                <w:rFonts w:asciiTheme="minorHAnsi" w:hAnsiTheme="minorHAnsi"/>
                <w:noProof/>
                <w:webHidden/>
                <w:sz w:val="28"/>
                <w:szCs w:val="28"/>
              </w:rPr>
            </w:r>
            <w:r w:rsidR="001D7956" w:rsidRPr="001D7956">
              <w:rPr>
                <w:rFonts w:asciiTheme="minorHAnsi" w:hAnsiTheme="minorHAnsi"/>
                <w:noProof/>
                <w:webHidden/>
                <w:sz w:val="28"/>
                <w:szCs w:val="28"/>
              </w:rPr>
              <w:fldChar w:fldCharType="separate"/>
            </w:r>
            <w:r w:rsidR="001D7956" w:rsidRPr="001D7956">
              <w:rPr>
                <w:rFonts w:asciiTheme="minorHAnsi" w:hAnsiTheme="minorHAnsi"/>
                <w:noProof/>
                <w:webHidden/>
                <w:sz w:val="28"/>
                <w:szCs w:val="28"/>
              </w:rPr>
              <w:t>5</w:t>
            </w:r>
            <w:r w:rsidR="001D7956" w:rsidRPr="001D7956">
              <w:rPr>
                <w:rFonts w:asciiTheme="minorHAnsi" w:hAnsiTheme="minorHAnsi"/>
                <w:noProof/>
                <w:webHidden/>
                <w:sz w:val="28"/>
                <w:szCs w:val="28"/>
              </w:rPr>
              <w:fldChar w:fldCharType="end"/>
            </w:r>
          </w:hyperlink>
        </w:p>
        <w:p w14:paraId="0A21F076" w14:textId="0B37E623" w:rsidR="001D7956" w:rsidRPr="001D7956" w:rsidRDefault="000F2795">
          <w:pPr>
            <w:pStyle w:val="TOC1"/>
            <w:tabs>
              <w:tab w:val="right" w:leader="dot" w:pos="9056"/>
            </w:tabs>
            <w:rPr>
              <w:rFonts w:asciiTheme="minorHAnsi" w:eastAsiaTheme="minorEastAsia" w:hAnsiTheme="minorHAnsi"/>
              <w:b w:val="0"/>
              <w:bCs w:val="0"/>
              <w:i w:val="0"/>
              <w:iCs w:val="0"/>
              <w:noProof/>
              <w:sz w:val="28"/>
              <w:szCs w:val="28"/>
            </w:rPr>
          </w:pPr>
          <w:hyperlink w:anchor="_Toc107775932" w:history="1">
            <w:r w:rsidR="001D7956" w:rsidRPr="001D7956">
              <w:rPr>
                <w:rStyle w:val="Hyperlink"/>
                <w:rFonts w:asciiTheme="minorHAnsi" w:hAnsiTheme="minorHAnsi"/>
                <w:noProof/>
                <w:sz w:val="28"/>
                <w:szCs w:val="28"/>
              </w:rPr>
              <w:t>SDC, Table 2</w:t>
            </w:r>
            <w:r w:rsidR="001D7956" w:rsidRPr="001D7956">
              <w:rPr>
                <w:rFonts w:asciiTheme="minorHAnsi" w:hAnsiTheme="minorHAnsi"/>
                <w:noProof/>
                <w:webHidden/>
                <w:sz w:val="28"/>
                <w:szCs w:val="28"/>
              </w:rPr>
              <w:tab/>
            </w:r>
            <w:r w:rsidR="001D7956" w:rsidRPr="001D7956">
              <w:rPr>
                <w:rFonts w:asciiTheme="minorHAnsi" w:hAnsiTheme="minorHAnsi"/>
                <w:noProof/>
                <w:webHidden/>
                <w:sz w:val="28"/>
                <w:szCs w:val="28"/>
              </w:rPr>
              <w:fldChar w:fldCharType="begin"/>
            </w:r>
            <w:r w:rsidR="001D7956" w:rsidRPr="001D7956">
              <w:rPr>
                <w:rFonts w:asciiTheme="minorHAnsi" w:hAnsiTheme="minorHAnsi"/>
                <w:noProof/>
                <w:webHidden/>
                <w:sz w:val="28"/>
                <w:szCs w:val="28"/>
              </w:rPr>
              <w:instrText xml:space="preserve"> PAGEREF _Toc107775932 \h </w:instrText>
            </w:r>
            <w:r w:rsidR="001D7956" w:rsidRPr="001D7956">
              <w:rPr>
                <w:rFonts w:asciiTheme="minorHAnsi" w:hAnsiTheme="minorHAnsi"/>
                <w:noProof/>
                <w:webHidden/>
                <w:sz w:val="28"/>
                <w:szCs w:val="28"/>
              </w:rPr>
            </w:r>
            <w:r w:rsidR="001D7956" w:rsidRPr="001D7956">
              <w:rPr>
                <w:rFonts w:asciiTheme="minorHAnsi" w:hAnsiTheme="minorHAnsi"/>
                <w:noProof/>
                <w:webHidden/>
                <w:sz w:val="28"/>
                <w:szCs w:val="28"/>
              </w:rPr>
              <w:fldChar w:fldCharType="separate"/>
            </w:r>
            <w:r w:rsidR="001D7956" w:rsidRPr="001D7956">
              <w:rPr>
                <w:rFonts w:asciiTheme="minorHAnsi" w:hAnsiTheme="minorHAnsi"/>
                <w:noProof/>
                <w:webHidden/>
                <w:sz w:val="28"/>
                <w:szCs w:val="28"/>
              </w:rPr>
              <w:t>6</w:t>
            </w:r>
            <w:r w:rsidR="001D7956" w:rsidRPr="001D7956">
              <w:rPr>
                <w:rFonts w:asciiTheme="minorHAnsi" w:hAnsiTheme="minorHAnsi"/>
                <w:noProof/>
                <w:webHidden/>
                <w:sz w:val="28"/>
                <w:szCs w:val="28"/>
              </w:rPr>
              <w:fldChar w:fldCharType="end"/>
            </w:r>
          </w:hyperlink>
        </w:p>
        <w:p w14:paraId="53129F9B" w14:textId="181485D0" w:rsidR="001D7956" w:rsidRPr="001D7956" w:rsidRDefault="000F2795">
          <w:pPr>
            <w:pStyle w:val="TOC1"/>
            <w:tabs>
              <w:tab w:val="right" w:leader="dot" w:pos="9056"/>
            </w:tabs>
            <w:rPr>
              <w:rFonts w:asciiTheme="minorHAnsi" w:eastAsiaTheme="minorEastAsia" w:hAnsiTheme="minorHAnsi"/>
              <w:b w:val="0"/>
              <w:bCs w:val="0"/>
              <w:i w:val="0"/>
              <w:iCs w:val="0"/>
              <w:noProof/>
              <w:sz w:val="28"/>
              <w:szCs w:val="28"/>
            </w:rPr>
          </w:pPr>
          <w:hyperlink w:anchor="_Toc107775933" w:history="1">
            <w:r w:rsidR="001D7956" w:rsidRPr="001D7956">
              <w:rPr>
                <w:rStyle w:val="Hyperlink"/>
                <w:rFonts w:asciiTheme="minorHAnsi" w:hAnsiTheme="minorHAnsi"/>
                <w:noProof/>
                <w:sz w:val="28"/>
                <w:szCs w:val="28"/>
              </w:rPr>
              <w:t>SDC, Table 3</w:t>
            </w:r>
            <w:r w:rsidR="001D7956" w:rsidRPr="001D7956">
              <w:rPr>
                <w:rFonts w:asciiTheme="minorHAnsi" w:hAnsiTheme="minorHAnsi"/>
                <w:noProof/>
                <w:webHidden/>
                <w:sz w:val="28"/>
                <w:szCs w:val="28"/>
              </w:rPr>
              <w:tab/>
            </w:r>
            <w:r w:rsidR="001D7956" w:rsidRPr="001D7956">
              <w:rPr>
                <w:rFonts w:asciiTheme="minorHAnsi" w:hAnsiTheme="minorHAnsi"/>
                <w:noProof/>
                <w:webHidden/>
                <w:sz w:val="28"/>
                <w:szCs w:val="28"/>
              </w:rPr>
              <w:fldChar w:fldCharType="begin"/>
            </w:r>
            <w:r w:rsidR="001D7956" w:rsidRPr="001D7956">
              <w:rPr>
                <w:rFonts w:asciiTheme="minorHAnsi" w:hAnsiTheme="minorHAnsi"/>
                <w:noProof/>
                <w:webHidden/>
                <w:sz w:val="28"/>
                <w:szCs w:val="28"/>
              </w:rPr>
              <w:instrText xml:space="preserve"> PAGEREF _Toc107775933 \h </w:instrText>
            </w:r>
            <w:r w:rsidR="001D7956" w:rsidRPr="001D7956">
              <w:rPr>
                <w:rFonts w:asciiTheme="minorHAnsi" w:hAnsiTheme="minorHAnsi"/>
                <w:noProof/>
                <w:webHidden/>
                <w:sz w:val="28"/>
                <w:szCs w:val="28"/>
              </w:rPr>
            </w:r>
            <w:r w:rsidR="001D7956" w:rsidRPr="001D7956">
              <w:rPr>
                <w:rFonts w:asciiTheme="minorHAnsi" w:hAnsiTheme="minorHAnsi"/>
                <w:noProof/>
                <w:webHidden/>
                <w:sz w:val="28"/>
                <w:szCs w:val="28"/>
              </w:rPr>
              <w:fldChar w:fldCharType="separate"/>
            </w:r>
            <w:r w:rsidR="001D7956" w:rsidRPr="001D7956">
              <w:rPr>
                <w:rFonts w:asciiTheme="minorHAnsi" w:hAnsiTheme="minorHAnsi"/>
                <w:noProof/>
                <w:webHidden/>
                <w:sz w:val="28"/>
                <w:szCs w:val="28"/>
              </w:rPr>
              <w:t>7</w:t>
            </w:r>
            <w:r w:rsidR="001D7956" w:rsidRPr="001D7956">
              <w:rPr>
                <w:rFonts w:asciiTheme="minorHAnsi" w:hAnsiTheme="minorHAnsi"/>
                <w:noProof/>
                <w:webHidden/>
                <w:sz w:val="28"/>
                <w:szCs w:val="28"/>
              </w:rPr>
              <w:fldChar w:fldCharType="end"/>
            </w:r>
          </w:hyperlink>
        </w:p>
        <w:p w14:paraId="0C81D4C1" w14:textId="59EAC701" w:rsidR="001D7956" w:rsidRPr="001D7956" w:rsidRDefault="000F2795">
          <w:pPr>
            <w:pStyle w:val="TOC1"/>
            <w:tabs>
              <w:tab w:val="right" w:leader="dot" w:pos="9056"/>
            </w:tabs>
            <w:rPr>
              <w:rFonts w:asciiTheme="minorHAnsi" w:eastAsiaTheme="minorEastAsia" w:hAnsiTheme="minorHAnsi"/>
              <w:b w:val="0"/>
              <w:bCs w:val="0"/>
              <w:i w:val="0"/>
              <w:iCs w:val="0"/>
              <w:noProof/>
              <w:sz w:val="28"/>
              <w:szCs w:val="28"/>
            </w:rPr>
          </w:pPr>
          <w:hyperlink w:anchor="_Toc107775934" w:history="1">
            <w:r w:rsidR="001D7956" w:rsidRPr="001D7956">
              <w:rPr>
                <w:rStyle w:val="Hyperlink"/>
                <w:rFonts w:asciiTheme="minorHAnsi" w:hAnsiTheme="minorHAnsi"/>
                <w:noProof/>
                <w:sz w:val="28"/>
                <w:szCs w:val="28"/>
              </w:rPr>
              <w:t>SDC, Table 4</w:t>
            </w:r>
            <w:r w:rsidR="001D7956" w:rsidRPr="001D7956">
              <w:rPr>
                <w:rFonts w:asciiTheme="minorHAnsi" w:hAnsiTheme="minorHAnsi"/>
                <w:noProof/>
                <w:webHidden/>
                <w:sz w:val="28"/>
                <w:szCs w:val="28"/>
              </w:rPr>
              <w:tab/>
            </w:r>
            <w:r w:rsidR="001D7956" w:rsidRPr="001D7956">
              <w:rPr>
                <w:rFonts w:asciiTheme="minorHAnsi" w:hAnsiTheme="minorHAnsi"/>
                <w:noProof/>
                <w:webHidden/>
                <w:sz w:val="28"/>
                <w:szCs w:val="28"/>
              </w:rPr>
              <w:fldChar w:fldCharType="begin"/>
            </w:r>
            <w:r w:rsidR="001D7956" w:rsidRPr="001D7956">
              <w:rPr>
                <w:rFonts w:asciiTheme="minorHAnsi" w:hAnsiTheme="minorHAnsi"/>
                <w:noProof/>
                <w:webHidden/>
                <w:sz w:val="28"/>
                <w:szCs w:val="28"/>
              </w:rPr>
              <w:instrText xml:space="preserve"> PAGEREF _Toc107775934 \h </w:instrText>
            </w:r>
            <w:r w:rsidR="001D7956" w:rsidRPr="001D7956">
              <w:rPr>
                <w:rFonts w:asciiTheme="minorHAnsi" w:hAnsiTheme="minorHAnsi"/>
                <w:noProof/>
                <w:webHidden/>
                <w:sz w:val="28"/>
                <w:szCs w:val="28"/>
              </w:rPr>
            </w:r>
            <w:r w:rsidR="001D7956" w:rsidRPr="001D7956">
              <w:rPr>
                <w:rFonts w:asciiTheme="minorHAnsi" w:hAnsiTheme="minorHAnsi"/>
                <w:noProof/>
                <w:webHidden/>
                <w:sz w:val="28"/>
                <w:szCs w:val="28"/>
              </w:rPr>
              <w:fldChar w:fldCharType="separate"/>
            </w:r>
            <w:r w:rsidR="001D7956" w:rsidRPr="001D7956">
              <w:rPr>
                <w:rFonts w:asciiTheme="minorHAnsi" w:hAnsiTheme="minorHAnsi"/>
                <w:noProof/>
                <w:webHidden/>
                <w:sz w:val="28"/>
                <w:szCs w:val="28"/>
              </w:rPr>
              <w:t>8</w:t>
            </w:r>
            <w:r w:rsidR="001D7956" w:rsidRPr="001D7956">
              <w:rPr>
                <w:rFonts w:asciiTheme="minorHAnsi" w:hAnsiTheme="minorHAnsi"/>
                <w:noProof/>
                <w:webHidden/>
                <w:sz w:val="28"/>
                <w:szCs w:val="28"/>
              </w:rPr>
              <w:fldChar w:fldCharType="end"/>
            </w:r>
          </w:hyperlink>
        </w:p>
        <w:p w14:paraId="6BCBA29D" w14:textId="5A656790" w:rsidR="001D7956" w:rsidRPr="001D7956" w:rsidRDefault="000F2795">
          <w:pPr>
            <w:pStyle w:val="TOC1"/>
            <w:tabs>
              <w:tab w:val="right" w:leader="dot" w:pos="9056"/>
            </w:tabs>
            <w:rPr>
              <w:rFonts w:asciiTheme="minorHAnsi" w:eastAsiaTheme="minorEastAsia" w:hAnsiTheme="minorHAnsi"/>
              <w:b w:val="0"/>
              <w:bCs w:val="0"/>
              <w:i w:val="0"/>
              <w:iCs w:val="0"/>
              <w:noProof/>
              <w:sz w:val="28"/>
              <w:szCs w:val="28"/>
            </w:rPr>
          </w:pPr>
          <w:hyperlink w:anchor="_Toc107775935" w:history="1">
            <w:r w:rsidR="001D7956" w:rsidRPr="001D7956">
              <w:rPr>
                <w:rStyle w:val="Hyperlink"/>
                <w:rFonts w:asciiTheme="minorHAnsi" w:hAnsiTheme="minorHAnsi"/>
                <w:noProof/>
                <w:sz w:val="28"/>
                <w:szCs w:val="28"/>
              </w:rPr>
              <w:t>SDC, Table 5</w:t>
            </w:r>
            <w:r w:rsidR="001D7956" w:rsidRPr="001D7956">
              <w:rPr>
                <w:rFonts w:asciiTheme="minorHAnsi" w:hAnsiTheme="minorHAnsi"/>
                <w:noProof/>
                <w:webHidden/>
                <w:sz w:val="28"/>
                <w:szCs w:val="28"/>
              </w:rPr>
              <w:tab/>
            </w:r>
            <w:r w:rsidR="001D7956" w:rsidRPr="001D7956">
              <w:rPr>
                <w:rFonts w:asciiTheme="minorHAnsi" w:hAnsiTheme="minorHAnsi"/>
                <w:noProof/>
                <w:webHidden/>
                <w:sz w:val="28"/>
                <w:szCs w:val="28"/>
              </w:rPr>
              <w:fldChar w:fldCharType="begin"/>
            </w:r>
            <w:r w:rsidR="001D7956" w:rsidRPr="001D7956">
              <w:rPr>
                <w:rFonts w:asciiTheme="minorHAnsi" w:hAnsiTheme="minorHAnsi"/>
                <w:noProof/>
                <w:webHidden/>
                <w:sz w:val="28"/>
                <w:szCs w:val="28"/>
              </w:rPr>
              <w:instrText xml:space="preserve"> PAGEREF _Toc107775935 \h </w:instrText>
            </w:r>
            <w:r w:rsidR="001D7956" w:rsidRPr="001D7956">
              <w:rPr>
                <w:rFonts w:asciiTheme="minorHAnsi" w:hAnsiTheme="minorHAnsi"/>
                <w:noProof/>
                <w:webHidden/>
                <w:sz w:val="28"/>
                <w:szCs w:val="28"/>
              </w:rPr>
            </w:r>
            <w:r w:rsidR="001D7956" w:rsidRPr="001D7956">
              <w:rPr>
                <w:rFonts w:asciiTheme="minorHAnsi" w:hAnsiTheme="minorHAnsi"/>
                <w:noProof/>
                <w:webHidden/>
                <w:sz w:val="28"/>
                <w:szCs w:val="28"/>
              </w:rPr>
              <w:fldChar w:fldCharType="separate"/>
            </w:r>
            <w:r w:rsidR="001D7956" w:rsidRPr="001D7956">
              <w:rPr>
                <w:rFonts w:asciiTheme="minorHAnsi" w:hAnsiTheme="minorHAnsi"/>
                <w:noProof/>
                <w:webHidden/>
                <w:sz w:val="28"/>
                <w:szCs w:val="28"/>
              </w:rPr>
              <w:t>9</w:t>
            </w:r>
            <w:r w:rsidR="001D7956" w:rsidRPr="001D7956">
              <w:rPr>
                <w:rFonts w:asciiTheme="minorHAnsi" w:hAnsiTheme="minorHAnsi"/>
                <w:noProof/>
                <w:webHidden/>
                <w:sz w:val="28"/>
                <w:szCs w:val="28"/>
              </w:rPr>
              <w:fldChar w:fldCharType="end"/>
            </w:r>
          </w:hyperlink>
        </w:p>
        <w:p w14:paraId="7E2A4B35" w14:textId="078CF440" w:rsidR="001D7956" w:rsidRDefault="000F2795">
          <w:pPr>
            <w:pStyle w:val="TOC1"/>
            <w:tabs>
              <w:tab w:val="right" w:leader="dot" w:pos="9056"/>
            </w:tabs>
            <w:rPr>
              <w:rFonts w:asciiTheme="minorHAnsi" w:hAnsiTheme="minorHAnsi"/>
              <w:noProof/>
              <w:sz w:val="28"/>
              <w:szCs w:val="28"/>
            </w:rPr>
          </w:pPr>
          <w:hyperlink w:anchor="_Toc107775936" w:history="1">
            <w:r w:rsidR="001D7956" w:rsidRPr="001D7956">
              <w:rPr>
                <w:rStyle w:val="Hyperlink"/>
                <w:rFonts w:asciiTheme="minorHAnsi" w:hAnsiTheme="minorHAnsi"/>
                <w:noProof/>
                <w:sz w:val="28"/>
                <w:szCs w:val="28"/>
              </w:rPr>
              <w:t>SDC, Table 6</w:t>
            </w:r>
            <w:r w:rsidR="001D7956" w:rsidRPr="001D7956">
              <w:rPr>
                <w:rFonts w:asciiTheme="minorHAnsi" w:hAnsiTheme="minorHAnsi"/>
                <w:noProof/>
                <w:webHidden/>
                <w:sz w:val="28"/>
                <w:szCs w:val="28"/>
              </w:rPr>
              <w:tab/>
            </w:r>
            <w:r w:rsidR="001D7956" w:rsidRPr="001D7956">
              <w:rPr>
                <w:rFonts w:asciiTheme="minorHAnsi" w:hAnsiTheme="minorHAnsi"/>
                <w:noProof/>
                <w:webHidden/>
                <w:sz w:val="28"/>
                <w:szCs w:val="28"/>
              </w:rPr>
              <w:fldChar w:fldCharType="begin"/>
            </w:r>
            <w:r w:rsidR="001D7956" w:rsidRPr="001D7956">
              <w:rPr>
                <w:rFonts w:asciiTheme="minorHAnsi" w:hAnsiTheme="minorHAnsi"/>
                <w:noProof/>
                <w:webHidden/>
                <w:sz w:val="28"/>
                <w:szCs w:val="28"/>
              </w:rPr>
              <w:instrText xml:space="preserve"> PAGEREF _Toc107775936 \h </w:instrText>
            </w:r>
            <w:r w:rsidR="001D7956" w:rsidRPr="001D7956">
              <w:rPr>
                <w:rFonts w:asciiTheme="minorHAnsi" w:hAnsiTheme="minorHAnsi"/>
                <w:noProof/>
                <w:webHidden/>
                <w:sz w:val="28"/>
                <w:szCs w:val="28"/>
              </w:rPr>
            </w:r>
            <w:r w:rsidR="001D7956" w:rsidRPr="001D7956">
              <w:rPr>
                <w:rFonts w:asciiTheme="minorHAnsi" w:hAnsiTheme="minorHAnsi"/>
                <w:noProof/>
                <w:webHidden/>
                <w:sz w:val="28"/>
                <w:szCs w:val="28"/>
              </w:rPr>
              <w:fldChar w:fldCharType="separate"/>
            </w:r>
            <w:r w:rsidR="001D7956" w:rsidRPr="001D7956">
              <w:rPr>
                <w:rFonts w:asciiTheme="minorHAnsi" w:hAnsiTheme="minorHAnsi"/>
                <w:noProof/>
                <w:webHidden/>
                <w:sz w:val="28"/>
                <w:szCs w:val="28"/>
              </w:rPr>
              <w:t>10</w:t>
            </w:r>
            <w:r w:rsidR="001D7956" w:rsidRPr="001D7956">
              <w:rPr>
                <w:rFonts w:asciiTheme="minorHAnsi" w:hAnsiTheme="minorHAnsi"/>
                <w:noProof/>
                <w:webHidden/>
                <w:sz w:val="28"/>
                <w:szCs w:val="28"/>
              </w:rPr>
              <w:fldChar w:fldCharType="end"/>
            </w:r>
          </w:hyperlink>
        </w:p>
        <w:p w14:paraId="4582E895" w14:textId="5654BA24" w:rsidR="000F2795" w:rsidRPr="000F2795" w:rsidRDefault="000F2795" w:rsidP="000F2795">
          <w:pPr>
            <w:pStyle w:val="TOC1"/>
            <w:tabs>
              <w:tab w:val="right" w:leader="dot" w:pos="9056"/>
            </w:tabs>
            <w:rPr>
              <w:rFonts w:asciiTheme="minorHAnsi" w:hAnsiTheme="minorHAnsi"/>
              <w:noProof/>
              <w:sz w:val="28"/>
              <w:szCs w:val="28"/>
            </w:rPr>
          </w:pPr>
          <w:r>
            <w:fldChar w:fldCharType="begin"/>
          </w:r>
          <w:r>
            <w:instrText xml:space="preserve"> HYPERLINK \l "_Toc107775936" </w:instrText>
          </w:r>
          <w:r>
            <w:fldChar w:fldCharType="separate"/>
          </w:r>
          <w:r w:rsidRPr="001D7956">
            <w:rPr>
              <w:rStyle w:val="Hyperlink"/>
              <w:rFonts w:asciiTheme="minorHAnsi" w:hAnsiTheme="minorHAnsi"/>
              <w:noProof/>
              <w:sz w:val="28"/>
              <w:szCs w:val="28"/>
            </w:rPr>
            <w:t xml:space="preserve">SDC, Table </w:t>
          </w:r>
          <w:r>
            <w:rPr>
              <w:rStyle w:val="Hyperlink"/>
              <w:rFonts w:asciiTheme="minorHAnsi" w:hAnsiTheme="minorHAnsi"/>
              <w:noProof/>
              <w:sz w:val="28"/>
              <w:szCs w:val="28"/>
            </w:rPr>
            <w:t>7</w:t>
          </w:r>
          <w:r w:rsidRPr="001D7956">
            <w:rPr>
              <w:rFonts w:asciiTheme="minorHAnsi" w:hAnsiTheme="minorHAnsi"/>
              <w:noProof/>
              <w:webHidden/>
              <w:sz w:val="28"/>
              <w:szCs w:val="28"/>
            </w:rPr>
            <w:tab/>
          </w:r>
          <w:r w:rsidRPr="001D7956">
            <w:rPr>
              <w:rFonts w:asciiTheme="minorHAnsi" w:hAnsiTheme="minorHAnsi"/>
              <w:noProof/>
              <w:webHidden/>
              <w:sz w:val="28"/>
              <w:szCs w:val="28"/>
            </w:rPr>
            <w:fldChar w:fldCharType="begin"/>
          </w:r>
          <w:r w:rsidRPr="001D7956">
            <w:rPr>
              <w:rFonts w:asciiTheme="minorHAnsi" w:hAnsiTheme="minorHAnsi"/>
              <w:noProof/>
              <w:webHidden/>
              <w:sz w:val="28"/>
              <w:szCs w:val="28"/>
            </w:rPr>
            <w:instrText xml:space="preserve"> PAGEREF _Toc107775936 \h </w:instrText>
          </w:r>
          <w:r w:rsidRPr="001D7956">
            <w:rPr>
              <w:rFonts w:asciiTheme="minorHAnsi" w:hAnsiTheme="minorHAnsi"/>
              <w:noProof/>
              <w:webHidden/>
              <w:sz w:val="28"/>
              <w:szCs w:val="28"/>
            </w:rPr>
          </w:r>
          <w:r w:rsidRPr="001D7956">
            <w:rPr>
              <w:rFonts w:asciiTheme="minorHAnsi" w:hAnsiTheme="minorHAnsi"/>
              <w:noProof/>
              <w:webHidden/>
              <w:sz w:val="28"/>
              <w:szCs w:val="28"/>
            </w:rPr>
            <w:fldChar w:fldCharType="separate"/>
          </w:r>
          <w:r w:rsidRPr="001D7956">
            <w:rPr>
              <w:rFonts w:asciiTheme="minorHAnsi" w:hAnsiTheme="minorHAnsi"/>
              <w:noProof/>
              <w:webHidden/>
              <w:sz w:val="28"/>
              <w:szCs w:val="28"/>
            </w:rPr>
            <w:t>1</w:t>
          </w:r>
          <w:r>
            <w:rPr>
              <w:rFonts w:asciiTheme="minorHAnsi" w:hAnsiTheme="minorHAnsi"/>
              <w:noProof/>
              <w:webHidden/>
              <w:sz w:val="28"/>
              <w:szCs w:val="28"/>
            </w:rPr>
            <w:t>1</w:t>
          </w:r>
          <w:r w:rsidRPr="001D7956">
            <w:rPr>
              <w:rFonts w:asciiTheme="minorHAnsi" w:hAnsiTheme="minorHAnsi"/>
              <w:noProof/>
              <w:webHidden/>
              <w:sz w:val="28"/>
              <w:szCs w:val="28"/>
            </w:rPr>
            <w:fldChar w:fldCharType="end"/>
          </w:r>
          <w:r>
            <w:rPr>
              <w:rFonts w:asciiTheme="minorHAnsi" w:hAnsiTheme="minorHAnsi"/>
              <w:noProof/>
              <w:sz w:val="28"/>
              <w:szCs w:val="28"/>
            </w:rPr>
            <w:fldChar w:fldCharType="end"/>
          </w:r>
        </w:p>
        <w:p w14:paraId="379418EE" w14:textId="2560E307" w:rsidR="001D7956" w:rsidRPr="001D7956" w:rsidRDefault="000F2795">
          <w:pPr>
            <w:pStyle w:val="TOC1"/>
            <w:tabs>
              <w:tab w:val="right" w:leader="dot" w:pos="9056"/>
            </w:tabs>
            <w:rPr>
              <w:rFonts w:asciiTheme="minorHAnsi" w:eastAsiaTheme="minorEastAsia" w:hAnsiTheme="minorHAnsi"/>
              <w:b w:val="0"/>
              <w:bCs w:val="0"/>
              <w:i w:val="0"/>
              <w:iCs w:val="0"/>
              <w:noProof/>
              <w:sz w:val="28"/>
              <w:szCs w:val="28"/>
            </w:rPr>
          </w:pPr>
          <w:r>
            <w:fldChar w:fldCharType="begin"/>
          </w:r>
          <w:r>
            <w:instrText xml:space="preserve"> HYPERLINK \l "_Toc107775937" </w:instrText>
          </w:r>
          <w:r>
            <w:fldChar w:fldCharType="separate"/>
          </w:r>
          <w:r w:rsidR="001D7956" w:rsidRPr="001D7956">
            <w:rPr>
              <w:rStyle w:val="Hyperlink"/>
              <w:rFonts w:asciiTheme="minorHAnsi" w:hAnsiTheme="minorHAnsi"/>
              <w:noProof/>
              <w:sz w:val="28"/>
              <w:szCs w:val="28"/>
            </w:rPr>
            <w:t>SDC, Figure 1</w:t>
          </w:r>
          <w:r w:rsidR="001D7956" w:rsidRPr="001D7956">
            <w:rPr>
              <w:rFonts w:asciiTheme="minorHAnsi" w:hAnsiTheme="minorHAnsi"/>
              <w:noProof/>
              <w:webHidden/>
              <w:sz w:val="28"/>
              <w:szCs w:val="28"/>
            </w:rPr>
            <w:tab/>
          </w:r>
          <w:r w:rsidR="001D7956" w:rsidRPr="001D7956">
            <w:rPr>
              <w:rFonts w:asciiTheme="minorHAnsi" w:hAnsiTheme="minorHAnsi"/>
              <w:noProof/>
              <w:webHidden/>
              <w:sz w:val="28"/>
              <w:szCs w:val="28"/>
            </w:rPr>
            <w:fldChar w:fldCharType="begin"/>
          </w:r>
          <w:r w:rsidR="001D7956" w:rsidRPr="001D7956">
            <w:rPr>
              <w:rFonts w:asciiTheme="minorHAnsi" w:hAnsiTheme="minorHAnsi"/>
              <w:noProof/>
              <w:webHidden/>
              <w:sz w:val="28"/>
              <w:szCs w:val="28"/>
            </w:rPr>
            <w:instrText xml:space="preserve"> PAGEREF _Toc107775937 \h </w:instrText>
          </w:r>
          <w:r w:rsidR="001D7956" w:rsidRPr="001D7956">
            <w:rPr>
              <w:rFonts w:asciiTheme="minorHAnsi" w:hAnsiTheme="minorHAnsi"/>
              <w:noProof/>
              <w:webHidden/>
              <w:sz w:val="28"/>
              <w:szCs w:val="28"/>
            </w:rPr>
          </w:r>
          <w:r w:rsidR="001D7956" w:rsidRPr="001D7956">
            <w:rPr>
              <w:rFonts w:asciiTheme="minorHAnsi" w:hAnsiTheme="minorHAnsi"/>
              <w:noProof/>
              <w:webHidden/>
              <w:sz w:val="28"/>
              <w:szCs w:val="28"/>
            </w:rPr>
            <w:fldChar w:fldCharType="separate"/>
          </w:r>
          <w:r w:rsidR="001D7956" w:rsidRPr="001D7956">
            <w:rPr>
              <w:rFonts w:asciiTheme="minorHAnsi" w:hAnsiTheme="minorHAnsi"/>
              <w:noProof/>
              <w:webHidden/>
              <w:sz w:val="28"/>
              <w:szCs w:val="28"/>
            </w:rPr>
            <w:t>13</w:t>
          </w:r>
          <w:r w:rsidR="001D7956" w:rsidRPr="001D7956">
            <w:rPr>
              <w:rFonts w:asciiTheme="minorHAnsi" w:hAnsiTheme="minorHAnsi"/>
              <w:noProof/>
              <w:webHidden/>
              <w:sz w:val="28"/>
              <w:szCs w:val="28"/>
            </w:rPr>
            <w:fldChar w:fldCharType="end"/>
          </w:r>
          <w:r>
            <w:rPr>
              <w:rFonts w:asciiTheme="minorHAnsi" w:hAnsiTheme="minorHAnsi"/>
              <w:noProof/>
              <w:sz w:val="28"/>
              <w:szCs w:val="28"/>
            </w:rPr>
            <w:fldChar w:fldCharType="end"/>
          </w:r>
        </w:p>
        <w:p w14:paraId="478D32DC" w14:textId="721CE7C6" w:rsidR="001D7956" w:rsidRPr="001D7956" w:rsidRDefault="000F2795">
          <w:pPr>
            <w:pStyle w:val="TOC1"/>
            <w:tabs>
              <w:tab w:val="right" w:leader="dot" w:pos="9056"/>
            </w:tabs>
            <w:rPr>
              <w:rFonts w:asciiTheme="minorHAnsi" w:eastAsiaTheme="minorEastAsia" w:hAnsiTheme="minorHAnsi"/>
              <w:b w:val="0"/>
              <w:bCs w:val="0"/>
              <w:i w:val="0"/>
              <w:iCs w:val="0"/>
              <w:noProof/>
              <w:sz w:val="28"/>
              <w:szCs w:val="28"/>
            </w:rPr>
          </w:pPr>
          <w:hyperlink w:anchor="_Toc107775938" w:history="1">
            <w:r w:rsidR="001D7956" w:rsidRPr="001D7956">
              <w:rPr>
                <w:rStyle w:val="Hyperlink"/>
                <w:rFonts w:asciiTheme="minorHAnsi" w:hAnsiTheme="minorHAnsi"/>
                <w:noProof/>
                <w:sz w:val="28"/>
                <w:szCs w:val="28"/>
              </w:rPr>
              <w:t>SDC, Figure 2</w:t>
            </w:r>
            <w:r w:rsidR="001D7956" w:rsidRPr="001D7956">
              <w:rPr>
                <w:rFonts w:asciiTheme="minorHAnsi" w:hAnsiTheme="minorHAnsi"/>
                <w:noProof/>
                <w:webHidden/>
                <w:sz w:val="28"/>
                <w:szCs w:val="28"/>
              </w:rPr>
              <w:tab/>
            </w:r>
            <w:r w:rsidR="001D7956" w:rsidRPr="001D7956">
              <w:rPr>
                <w:rFonts w:asciiTheme="minorHAnsi" w:hAnsiTheme="minorHAnsi"/>
                <w:noProof/>
                <w:webHidden/>
                <w:sz w:val="28"/>
                <w:szCs w:val="28"/>
              </w:rPr>
              <w:fldChar w:fldCharType="begin"/>
            </w:r>
            <w:r w:rsidR="001D7956" w:rsidRPr="001D7956">
              <w:rPr>
                <w:rFonts w:asciiTheme="minorHAnsi" w:hAnsiTheme="minorHAnsi"/>
                <w:noProof/>
                <w:webHidden/>
                <w:sz w:val="28"/>
                <w:szCs w:val="28"/>
              </w:rPr>
              <w:instrText xml:space="preserve"> PAGEREF _Toc107775938 \h </w:instrText>
            </w:r>
            <w:r w:rsidR="001D7956" w:rsidRPr="001D7956">
              <w:rPr>
                <w:rFonts w:asciiTheme="minorHAnsi" w:hAnsiTheme="minorHAnsi"/>
                <w:noProof/>
                <w:webHidden/>
                <w:sz w:val="28"/>
                <w:szCs w:val="28"/>
              </w:rPr>
            </w:r>
            <w:r w:rsidR="001D7956" w:rsidRPr="001D7956">
              <w:rPr>
                <w:rFonts w:asciiTheme="minorHAnsi" w:hAnsiTheme="minorHAnsi"/>
                <w:noProof/>
                <w:webHidden/>
                <w:sz w:val="28"/>
                <w:szCs w:val="28"/>
              </w:rPr>
              <w:fldChar w:fldCharType="separate"/>
            </w:r>
            <w:r w:rsidR="001D7956" w:rsidRPr="001D7956">
              <w:rPr>
                <w:rFonts w:asciiTheme="minorHAnsi" w:hAnsiTheme="minorHAnsi"/>
                <w:noProof/>
                <w:webHidden/>
                <w:sz w:val="28"/>
                <w:szCs w:val="28"/>
              </w:rPr>
              <w:t>14</w:t>
            </w:r>
            <w:r w:rsidR="001D7956" w:rsidRPr="001D7956">
              <w:rPr>
                <w:rFonts w:asciiTheme="minorHAnsi" w:hAnsiTheme="minorHAnsi"/>
                <w:noProof/>
                <w:webHidden/>
                <w:sz w:val="28"/>
                <w:szCs w:val="28"/>
              </w:rPr>
              <w:fldChar w:fldCharType="end"/>
            </w:r>
          </w:hyperlink>
        </w:p>
        <w:p w14:paraId="0EE4F7F1" w14:textId="4DBCE288" w:rsidR="001D7956" w:rsidRPr="001D7956" w:rsidRDefault="000F2795">
          <w:pPr>
            <w:pStyle w:val="TOC1"/>
            <w:tabs>
              <w:tab w:val="right" w:leader="dot" w:pos="9056"/>
            </w:tabs>
            <w:rPr>
              <w:rFonts w:asciiTheme="minorHAnsi" w:eastAsiaTheme="minorEastAsia" w:hAnsiTheme="minorHAnsi"/>
              <w:b w:val="0"/>
              <w:bCs w:val="0"/>
              <w:i w:val="0"/>
              <w:iCs w:val="0"/>
              <w:noProof/>
              <w:sz w:val="28"/>
              <w:szCs w:val="28"/>
            </w:rPr>
          </w:pPr>
          <w:hyperlink w:anchor="_Toc107775939" w:history="1">
            <w:r w:rsidR="001D7956" w:rsidRPr="001D7956">
              <w:rPr>
                <w:rStyle w:val="Hyperlink"/>
                <w:rFonts w:asciiTheme="minorHAnsi" w:hAnsiTheme="minorHAnsi"/>
                <w:noProof/>
                <w:sz w:val="28"/>
                <w:szCs w:val="28"/>
              </w:rPr>
              <w:t>SDC, Figure 3</w:t>
            </w:r>
            <w:r w:rsidR="001D7956" w:rsidRPr="001D7956">
              <w:rPr>
                <w:rFonts w:asciiTheme="minorHAnsi" w:hAnsiTheme="minorHAnsi"/>
                <w:noProof/>
                <w:webHidden/>
                <w:sz w:val="28"/>
                <w:szCs w:val="28"/>
              </w:rPr>
              <w:tab/>
            </w:r>
            <w:r w:rsidR="001D7956" w:rsidRPr="001D7956">
              <w:rPr>
                <w:rFonts w:asciiTheme="minorHAnsi" w:hAnsiTheme="minorHAnsi"/>
                <w:noProof/>
                <w:webHidden/>
                <w:sz w:val="28"/>
                <w:szCs w:val="28"/>
              </w:rPr>
              <w:fldChar w:fldCharType="begin"/>
            </w:r>
            <w:r w:rsidR="001D7956" w:rsidRPr="001D7956">
              <w:rPr>
                <w:rFonts w:asciiTheme="minorHAnsi" w:hAnsiTheme="minorHAnsi"/>
                <w:noProof/>
                <w:webHidden/>
                <w:sz w:val="28"/>
                <w:szCs w:val="28"/>
              </w:rPr>
              <w:instrText xml:space="preserve"> PAGEREF _Toc107775939 \h </w:instrText>
            </w:r>
            <w:r w:rsidR="001D7956" w:rsidRPr="001D7956">
              <w:rPr>
                <w:rFonts w:asciiTheme="minorHAnsi" w:hAnsiTheme="minorHAnsi"/>
                <w:noProof/>
                <w:webHidden/>
                <w:sz w:val="28"/>
                <w:szCs w:val="28"/>
              </w:rPr>
            </w:r>
            <w:r w:rsidR="001D7956" w:rsidRPr="001D7956">
              <w:rPr>
                <w:rFonts w:asciiTheme="minorHAnsi" w:hAnsiTheme="minorHAnsi"/>
                <w:noProof/>
                <w:webHidden/>
                <w:sz w:val="28"/>
                <w:szCs w:val="28"/>
              </w:rPr>
              <w:fldChar w:fldCharType="separate"/>
            </w:r>
            <w:r w:rsidR="001D7956" w:rsidRPr="001D7956">
              <w:rPr>
                <w:rFonts w:asciiTheme="minorHAnsi" w:hAnsiTheme="minorHAnsi"/>
                <w:noProof/>
                <w:webHidden/>
                <w:sz w:val="28"/>
                <w:szCs w:val="28"/>
              </w:rPr>
              <w:t>15</w:t>
            </w:r>
            <w:r w:rsidR="001D7956" w:rsidRPr="001D7956">
              <w:rPr>
                <w:rFonts w:asciiTheme="minorHAnsi" w:hAnsiTheme="minorHAnsi"/>
                <w:noProof/>
                <w:webHidden/>
                <w:sz w:val="28"/>
                <w:szCs w:val="28"/>
              </w:rPr>
              <w:fldChar w:fldCharType="end"/>
            </w:r>
          </w:hyperlink>
        </w:p>
        <w:p w14:paraId="0108A01D" w14:textId="6603BCB0" w:rsidR="001D7956" w:rsidRPr="001D7956" w:rsidRDefault="000F2795">
          <w:pPr>
            <w:pStyle w:val="TOC1"/>
            <w:tabs>
              <w:tab w:val="right" w:leader="dot" w:pos="9056"/>
            </w:tabs>
            <w:rPr>
              <w:rFonts w:asciiTheme="minorHAnsi" w:eastAsiaTheme="minorEastAsia" w:hAnsiTheme="minorHAnsi"/>
              <w:b w:val="0"/>
              <w:bCs w:val="0"/>
              <w:i w:val="0"/>
              <w:iCs w:val="0"/>
              <w:noProof/>
              <w:sz w:val="28"/>
              <w:szCs w:val="28"/>
            </w:rPr>
          </w:pPr>
          <w:hyperlink w:anchor="_Toc107775940" w:history="1">
            <w:r w:rsidR="001D7956" w:rsidRPr="001D7956">
              <w:rPr>
                <w:rStyle w:val="Hyperlink"/>
                <w:rFonts w:asciiTheme="minorHAnsi" w:hAnsiTheme="minorHAnsi"/>
                <w:noProof/>
                <w:sz w:val="28"/>
                <w:szCs w:val="28"/>
              </w:rPr>
              <w:t>SDC, Figure 4</w:t>
            </w:r>
            <w:r w:rsidR="001D7956" w:rsidRPr="001D7956">
              <w:rPr>
                <w:rFonts w:asciiTheme="minorHAnsi" w:hAnsiTheme="minorHAnsi"/>
                <w:noProof/>
                <w:webHidden/>
                <w:sz w:val="28"/>
                <w:szCs w:val="28"/>
              </w:rPr>
              <w:tab/>
            </w:r>
            <w:r w:rsidR="001D7956" w:rsidRPr="001D7956">
              <w:rPr>
                <w:rFonts w:asciiTheme="minorHAnsi" w:hAnsiTheme="minorHAnsi"/>
                <w:noProof/>
                <w:webHidden/>
                <w:sz w:val="28"/>
                <w:szCs w:val="28"/>
              </w:rPr>
              <w:fldChar w:fldCharType="begin"/>
            </w:r>
            <w:r w:rsidR="001D7956" w:rsidRPr="001D7956">
              <w:rPr>
                <w:rFonts w:asciiTheme="minorHAnsi" w:hAnsiTheme="minorHAnsi"/>
                <w:noProof/>
                <w:webHidden/>
                <w:sz w:val="28"/>
                <w:szCs w:val="28"/>
              </w:rPr>
              <w:instrText xml:space="preserve"> PAGEREF _Toc107775940 \h </w:instrText>
            </w:r>
            <w:r w:rsidR="001D7956" w:rsidRPr="001D7956">
              <w:rPr>
                <w:rFonts w:asciiTheme="minorHAnsi" w:hAnsiTheme="minorHAnsi"/>
                <w:noProof/>
                <w:webHidden/>
                <w:sz w:val="28"/>
                <w:szCs w:val="28"/>
              </w:rPr>
            </w:r>
            <w:r w:rsidR="001D7956" w:rsidRPr="001D7956">
              <w:rPr>
                <w:rFonts w:asciiTheme="minorHAnsi" w:hAnsiTheme="minorHAnsi"/>
                <w:noProof/>
                <w:webHidden/>
                <w:sz w:val="28"/>
                <w:szCs w:val="28"/>
              </w:rPr>
              <w:fldChar w:fldCharType="separate"/>
            </w:r>
            <w:r w:rsidR="001D7956" w:rsidRPr="001D7956">
              <w:rPr>
                <w:rFonts w:asciiTheme="minorHAnsi" w:hAnsiTheme="minorHAnsi"/>
                <w:noProof/>
                <w:webHidden/>
                <w:sz w:val="28"/>
                <w:szCs w:val="28"/>
              </w:rPr>
              <w:t>16</w:t>
            </w:r>
            <w:r w:rsidR="001D7956" w:rsidRPr="001D7956">
              <w:rPr>
                <w:rFonts w:asciiTheme="minorHAnsi" w:hAnsiTheme="minorHAnsi"/>
                <w:noProof/>
                <w:webHidden/>
                <w:sz w:val="28"/>
                <w:szCs w:val="28"/>
              </w:rPr>
              <w:fldChar w:fldCharType="end"/>
            </w:r>
          </w:hyperlink>
        </w:p>
        <w:p w14:paraId="42F3178E" w14:textId="37A2DDF8" w:rsidR="001D7956" w:rsidRPr="001D7956" w:rsidRDefault="000F2795">
          <w:pPr>
            <w:pStyle w:val="TOC1"/>
            <w:tabs>
              <w:tab w:val="right" w:leader="dot" w:pos="9056"/>
            </w:tabs>
            <w:rPr>
              <w:rFonts w:asciiTheme="minorHAnsi" w:eastAsiaTheme="minorEastAsia" w:hAnsiTheme="minorHAnsi"/>
              <w:b w:val="0"/>
              <w:bCs w:val="0"/>
              <w:i w:val="0"/>
              <w:iCs w:val="0"/>
              <w:noProof/>
              <w:sz w:val="28"/>
              <w:szCs w:val="28"/>
            </w:rPr>
          </w:pPr>
          <w:hyperlink w:anchor="_Toc107775941" w:history="1">
            <w:r w:rsidR="001D7956" w:rsidRPr="001D7956">
              <w:rPr>
                <w:rStyle w:val="Hyperlink"/>
                <w:rFonts w:asciiTheme="minorHAnsi" w:hAnsiTheme="minorHAnsi"/>
                <w:noProof/>
                <w:sz w:val="28"/>
                <w:szCs w:val="28"/>
              </w:rPr>
              <w:t>SDC, Figure 5</w:t>
            </w:r>
            <w:r w:rsidR="001D7956" w:rsidRPr="001D7956">
              <w:rPr>
                <w:rFonts w:asciiTheme="minorHAnsi" w:hAnsiTheme="minorHAnsi"/>
                <w:noProof/>
                <w:webHidden/>
                <w:sz w:val="28"/>
                <w:szCs w:val="28"/>
              </w:rPr>
              <w:tab/>
            </w:r>
            <w:r w:rsidR="001D7956" w:rsidRPr="001D7956">
              <w:rPr>
                <w:rFonts w:asciiTheme="minorHAnsi" w:hAnsiTheme="minorHAnsi"/>
                <w:noProof/>
                <w:webHidden/>
                <w:sz w:val="28"/>
                <w:szCs w:val="28"/>
              </w:rPr>
              <w:fldChar w:fldCharType="begin"/>
            </w:r>
            <w:r w:rsidR="001D7956" w:rsidRPr="001D7956">
              <w:rPr>
                <w:rFonts w:asciiTheme="minorHAnsi" w:hAnsiTheme="minorHAnsi"/>
                <w:noProof/>
                <w:webHidden/>
                <w:sz w:val="28"/>
                <w:szCs w:val="28"/>
              </w:rPr>
              <w:instrText xml:space="preserve"> PAGEREF _Toc107775941 \h </w:instrText>
            </w:r>
            <w:r w:rsidR="001D7956" w:rsidRPr="001D7956">
              <w:rPr>
                <w:rFonts w:asciiTheme="minorHAnsi" w:hAnsiTheme="minorHAnsi"/>
                <w:noProof/>
                <w:webHidden/>
                <w:sz w:val="28"/>
                <w:szCs w:val="28"/>
              </w:rPr>
            </w:r>
            <w:r w:rsidR="001D7956" w:rsidRPr="001D7956">
              <w:rPr>
                <w:rFonts w:asciiTheme="minorHAnsi" w:hAnsiTheme="minorHAnsi"/>
                <w:noProof/>
                <w:webHidden/>
                <w:sz w:val="28"/>
                <w:szCs w:val="28"/>
              </w:rPr>
              <w:fldChar w:fldCharType="separate"/>
            </w:r>
            <w:r w:rsidR="001D7956" w:rsidRPr="001D7956">
              <w:rPr>
                <w:rFonts w:asciiTheme="minorHAnsi" w:hAnsiTheme="minorHAnsi"/>
                <w:noProof/>
                <w:webHidden/>
                <w:sz w:val="28"/>
                <w:szCs w:val="28"/>
              </w:rPr>
              <w:t>17</w:t>
            </w:r>
            <w:r w:rsidR="001D7956" w:rsidRPr="001D7956">
              <w:rPr>
                <w:rFonts w:asciiTheme="minorHAnsi" w:hAnsiTheme="minorHAnsi"/>
                <w:noProof/>
                <w:webHidden/>
                <w:sz w:val="28"/>
                <w:szCs w:val="28"/>
              </w:rPr>
              <w:fldChar w:fldCharType="end"/>
            </w:r>
          </w:hyperlink>
        </w:p>
        <w:p w14:paraId="6EAFA79C" w14:textId="02DB8413" w:rsidR="00F10C55" w:rsidRPr="001D7956" w:rsidRDefault="00F10C55">
          <w:pPr>
            <w:rPr>
              <w:rFonts w:asciiTheme="minorHAnsi" w:hAnsiTheme="minorHAnsi" w:cstheme="minorHAnsi"/>
              <w:sz w:val="28"/>
              <w:szCs w:val="28"/>
              <w:lang w:val="en-US"/>
            </w:rPr>
          </w:pPr>
          <w:r w:rsidRPr="001D7956">
            <w:rPr>
              <w:rFonts w:asciiTheme="minorHAnsi" w:hAnsiTheme="minorHAnsi" w:cstheme="minorHAnsi"/>
              <w:b/>
              <w:bCs/>
              <w:noProof/>
              <w:sz w:val="28"/>
              <w:szCs w:val="28"/>
              <w:lang w:val="en-US"/>
            </w:rPr>
            <w:fldChar w:fldCharType="end"/>
          </w:r>
        </w:p>
      </w:sdtContent>
    </w:sdt>
    <w:p w14:paraId="63BDFB8A" w14:textId="77777777" w:rsidR="00F10C55" w:rsidRPr="00E3599B" w:rsidRDefault="00F10C55">
      <w:pPr>
        <w:rPr>
          <w:rFonts w:asciiTheme="minorHAnsi" w:hAnsiTheme="minorHAnsi" w:cstheme="minorHAnsi"/>
          <w:lang w:val="en-US"/>
        </w:rPr>
      </w:pPr>
      <w:r w:rsidRPr="00E3599B">
        <w:rPr>
          <w:rFonts w:asciiTheme="minorHAnsi" w:hAnsiTheme="minorHAnsi" w:cstheme="minorHAnsi"/>
          <w:lang w:val="en-US"/>
        </w:rPr>
        <w:br w:type="page"/>
      </w:r>
    </w:p>
    <w:p w14:paraId="2C32E532" w14:textId="08C2CF36" w:rsidR="000911FB" w:rsidRPr="00E3599B" w:rsidRDefault="001D7956" w:rsidP="000911FB">
      <w:pPr>
        <w:pStyle w:val="Heading1"/>
        <w:rPr>
          <w:rFonts w:asciiTheme="minorHAnsi" w:hAnsiTheme="minorHAnsi" w:cstheme="minorHAnsi"/>
        </w:rPr>
      </w:pPr>
      <w:bookmarkStart w:id="0" w:name="_Toc107775930"/>
      <w:r>
        <w:rPr>
          <w:rFonts w:asciiTheme="minorHAnsi" w:hAnsiTheme="minorHAnsi" w:cstheme="minorHAnsi"/>
        </w:rPr>
        <w:lastRenderedPageBreak/>
        <w:t>SDC, Materials and</w:t>
      </w:r>
      <w:r w:rsidR="000911FB" w:rsidRPr="00E3599B">
        <w:rPr>
          <w:rFonts w:asciiTheme="minorHAnsi" w:hAnsiTheme="minorHAnsi" w:cstheme="minorHAnsi"/>
        </w:rPr>
        <w:t xml:space="preserve"> Methods</w:t>
      </w:r>
      <w:bookmarkEnd w:id="0"/>
    </w:p>
    <w:p w14:paraId="378F803D" w14:textId="5C7AB4D1" w:rsidR="000911FB" w:rsidRPr="00E3599B" w:rsidRDefault="000911FB" w:rsidP="00E3599B">
      <w:pPr>
        <w:spacing w:line="360" w:lineRule="auto"/>
        <w:rPr>
          <w:rFonts w:asciiTheme="minorHAnsi" w:hAnsiTheme="minorHAnsi" w:cstheme="minorHAnsi"/>
          <w:lang w:val="en-US"/>
        </w:rPr>
      </w:pPr>
    </w:p>
    <w:p w14:paraId="6A77A411" w14:textId="77777777" w:rsidR="007D2A27" w:rsidRPr="00E3599B" w:rsidRDefault="007D2A27" w:rsidP="00E3599B">
      <w:pPr>
        <w:spacing w:line="360" w:lineRule="auto"/>
        <w:rPr>
          <w:rFonts w:asciiTheme="minorHAnsi" w:hAnsiTheme="minorHAnsi" w:cstheme="minorHAnsi"/>
          <w:lang w:val="en-US"/>
        </w:rPr>
      </w:pPr>
    </w:p>
    <w:p w14:paraId="5AEACBD8" w14:textId="4AF03AE8" w:rsidR="005269D6" w:rsidRDefault="005269D6" w:rsidP="00E3599B">
      <w:pPr>
        <w:spacing w:line="360" w:lineRule="auto"/>
        <w:rPr>
          <w:rFonts w:asciiTheme="minorHAnsi" w:hAnsiTheme="minorHAnsi" w:cstheme="minorHAnsi"/>
          <w:b/>
          <w:bCs/>
          <w:i/>
          <w:iCs/>
          <w:lang w:val="en-US"/>
        </w:rPr>
      </w:pPr>
      <w:r>
        <w:rPr>
          <w:rFonts w:asciiTheme="minorHAnsi" w:hAnsiTheme="minorHAnsi" w:cstheme="minorHAnsi"/>
          <w:b/>
          <w:bCs/>
          <w:i/>
          <w:iCs/>
          <w:lang w:val="en-US"/>
        </w:rPr>
        <w:t>Contemporary Swedish national treatment guidelines</w:t>
      </w:r>
    </w:p>
    <w:p w14:paraId="7BF92B30" w14:textId="77777777" w:rsidR="005269D6" w:rsidRPr="005269D6" w:rsidRDefault="005269D6" w:rsidP="005269D6">
      <w:pPr>
        <w:spacing w:line="360" w:lineRule="auto"/>
        <w:rPr>
          <w:rFonts w:asciiTheme="minorHAnsi" w:hAnsiTheme="minorHAnsi" w:cstheme="minorHAnsi"/>
          <w:lang w:val="en-US"/>
        </w:rPr>
      </w:pPr>
      <w:r w:rsidRPr="005269D6">
        <w:rPr>
          <w:rFonts w:asciiTheme="minorHAnsi" w:hAnsiTheme="minorHAnsi" w:cstheme="minorHAnsi"/>
          <w:lang w:val="en-US"/>
        </w:rPr>
        <w:t xml:space="preserve">Patients &lt;70 years with limited-stage </w:t>
      </w:r>
      <w:proofErr w:type="spellStart"/>
      <w:r w:rsidRPr="005269D6">
        <w:rPr>
          <w:rFonts w:asciiTheme="minorHAnsi" w:hAnsiTheme="minorHAnsi" w:cstheme="minorHAnsi"/>
          <w:lang w:val="en-US"/>
        </w:rPr>
        <w:t>cHL</w:t>
      </w:r>
      <w:proofErr w:type="spellEnd"/>
      <w:r w:rsidRPr="005269D6">
        <w:rPr>
          <w:rFonts w:asciiTheme="minorHAnsi" w:hAnsiTheme="minorHAnsi" w:cstheme="minorHAnsi"/>
          <w:lang w:val="en-US"/>
        </w:rPr>
        <w:t xml:space="preserve"> (stage I-IIA) were treated with 2 or 4 cycles of ABVD followed by limited field RT at a dose of 20 </w:t>
      </w:r>
      <w:proofErr w:type="spellStart"/>
      <w:r w:rsidRPr="005269D6">
        <w:rPr>
          <w:rFonts w:asciiTheme="minorHAnsi" w:hAnsiTheme="minorHAnsi" w:cstheme="minorHAnsi"/>
          <w:lang w:val="en-US"/>
        </w:rPr>
        <w:t>Gy</w:t>
      </w:r>
      <w:proofErr w:type="spellEnd"/>
      <w:r w:rsidRPr="005269D6">
        <w:rPr>
          <w:rFonts w:asciiTheme="minorHAnsi" w:hAnsiTheme="minorHAnsi" w:cstheme="minorHAnsi"/>
          <w:lang w:val="en-US"/>
        </w:rPr>
        <w:t xml:space="preserve"> or 29,75 </w:t>
      </w:r>
      <w:proofErr w:type="spellStart"/>
      <w:r w:rsidRPr="005269D6">
        <w:rPr>
          <w:rFonts w:asciiTheme="minorHAnsi" w:hAnsiTheme="minorHAnsi" w:cstheme="minorHAnsi"/>
          <w:lang w:val="en-US"/>
        </w:rPr>
        <w:t>Gy</w:t>
      </w:r>
      <w:proofErr w:type="spellEnd"/>
      <w:r w:rsidRPr="005269D6">
        <w:rPr>
          <w:rFonts w:asciiTheme="minorHAnsi" w:hAnsiTheme="minorHAnsi" w:cstheme="minorHAnsi"/>
          <w:lang w:val="en-US"/>
        </w:rPr>
        <w:t xml:space="preserve">, respectively, depending on the presence of ≥1 of the following risk factors: erythrocyte sedimentation rate ≥50 mm, bulky disease (defined as &gt;10 cm tumor mass) and involvement &gt;2 LN regions. In patients ≥70 years, bleomycin was omitted, and 30 </w:t>
      </w:r>
      <w:proofErr w:type="spellStart"/>
      <w:r w:rsidRPr="005269D6">
        <w:rPr>
          <w:rFonts w:asciiTheme="minorHAnsi" w:hAnsiTheme="minorHAnsi" w:cstheme="minorHAnsi"/>
          <w:lang w:val="en-US"/>
        </w:rPr>
        <w:t>Gy</w:t>
      </w:r>
      <w:proofErr w:type="spellEnd"/>
      <w:r w:rsidRPr="005269D6">
        <w:rPr>
          <w:rFonts w:asciiTheme="minorHAnsi" w:hAnsiTheme="minorHAnsi" w:cstheme="minorHAnsi"/>
          <w:lang w:val="en-US"/>
        </w:rPr>
        <w:t xml:space="preserve"> RT was given regardless of risk factors. In case the radiation field would be too extensive, 6 cycles of ABVD were given without RT.</w:t>
      </w:r>
    </w:p>
    <w:p w14:paraId="615BD45E" w14:textId="20FAC674" w:rsidR="005269D6" w:rsidRPr="005269D6" w:rsidRDefault="005269D6" w:rsidP="005269D6">
      <w:pPr>
        <w:spacing w:line="360" w:lineRule="auto"/>
        <w:rPr>
          <w:rFonts w:asciiTheme="minorHAnsi" w:hAnsiTheme="minorHAnsi" w:cstheme="minorHAnsi"/>
          <w:lang w:val="en-US"/>
        </w:rPr>
      </w:pPr>
      <w:r w:rsidRPr="005269D6">
        <w:rPr>
          <w:rFonts w:asciiTheme="minorHAnsi" w:hAnsiTheme="minorHAnsi" w:cstheme="minorHAnsi"/>
          <w:lang w:val="en-US"/>
        </w:rPr>
        <w:t xml:space="preserve">Patients &lt;60 years with advanced-stage </w:t>
      </w:r>
      <w:proofErr w:type="spellStart"/>
      <w:r w:rsidRPr="005269D6">
        <w:rPr>
          <w:rFonts w:asciiTheme="minorHAnsi" w:hAnsiTheme="minorHAnsi" w:cstheme="minorHAnsi"/>
          <w:lang w:val="en-US"/>
        </w:rPr>
        <w:t>cHL</w:t>
      </w:r>
      <w:proofErr w:type="spellEnd"/>
      <w:r w:rsidRPr="005269D6">
        <w:rPr>
          <w:rFonts w:asciiTheme="minorHAnsi" w:hAnsiTheme="minorHAnsi" w:cstheme="minorHAnsi"/>
          <w:lang w:val="en-US"/>
        </w:rPr>
        <w:t xml:space="preserve"> (stages IIB-IV) were treated with chemotherapy alone as follows: patients with ≤2 risk factors (male, age &gt;45, stage IV, hemoglobin &lt;10.5 g/dL, albumin &lt;4 g/dL, white blood cell count &gt;15x10</w:t>
      </w:r>
      <w:r w:rsidRPr="005269D6">
        <w:rPr>
          <w:rFonts w:asciiTheme="minorHAnsi" w:hAnsiTheme="minorHAnsi" w:cstheme="minorHAnsi"/>
          <w:vertAlign w:val="superscript"/>
          <w:lang w:val="en-US"/>
        </w:rPr>
        <w:t>9</w:t>
      </w:r>
      <w:r w:rsidRPr="005269D6">
        <w:rPr>
          <w:rFonts w:asciiTheme="minorHAnsi" w:hAnsiTheme="minorHAnsi" w:cstheme="minorHAnsi"/>
          <w:lang w:val="en-US"/>
        </w:rPr>
        <w:t xml:space="preserve"> cells/L, lymphocytes &lt;8% or 0,6x10</w:t>
      </w:r>
      <w:r w:rsidRPr="005269D6">
        <w:rPr>
          <w:rFonts w:asciiTheme="minorHAnsi" w:hAnsiTheme="minorHAnsi" w:cstheme="minorHAnsi"/>
          <w:vertAlign w:val="superscript"/>
          <w:lang w:val="en-US"/>
        </w:rPr>
        <w:t>9</w:t>
      </w:r>
      <w:r w:rsidRPr="005269D6">
        <w:rPr>
          <w:rFonts w:asciiTheme="minorHAnsi" w:hAnsiTheme="minorHAnsi" w:cstheme="minorHAnsi"/>
          <w:lang w:val="en-US"/>
        </w:rPr>
        <w:t xml:space="preserve"> cells/L) were given 2 cycles of ABVD after which the response was assessed with an interim positron emission tomography (PET) scan. If the interim PET was negative, 4 more cycles of ABVD were given. Otherwise, 4 cycles of escalated BEACOPP were given. Patients with &gt;2 risk factors were initially treated with escalated BEACOPP and if the interim PET was negative after two cycles, 4 cycles of ABVD were given. During the first 2 years of this study, 6 cycles of ABVD were also a treatment option for these patients. Patients with advanced-stage </w:t>
      </w:r>
      <w:proofErr w:type="spellStart"/>
      <w:r w:rsidRPr="005269D6">
        <w:rPr>
          <w:rFonts w:asciiTheme="minorHAnsi" w:hAnsiTheme="minorHAnsi" w:cstheme="minorHAnsi"/>
          <w:lang w:val="en-US"/>
        </w:rPr>
        <w:t>cHL</w:t>
      </w:r>
      <w:proofErr w:type="spellEnd"/>
      <w:r w:rsidRPr="005269D6">
        <w:rPr>
          <w:rFonts w:asciiTheme="minorHAnsi" w:hAnsiTheme="minorHAnsi" w:cstheme="minorHAnsi"/>
          <w:lang w:val="en-US"/>
        </w:rPr>
        <w:t xml:space="preserve"> aged 61-70 were treated with 4 cycles of ABVD followed by 2 cycles of doxorubicin-vinblastine-dacarbazine (AVD) and patients ≥70 years with 6 cycles of AVD, irrespective of risk factors.</w:t>
      </w:r>
    </w:p>
    <w:p w14:paraId="5F20DF67" w14:textId="77777777" w:rsidR="005269D6" w:rsidRPr="00A70DF6" w:rsidRDefault="005269D6" w:rsidP="00E3599B">
      <w:pPr>
        <w:spacing w:line="360" w:lineRule="auto"/>
        <w:rPr>
          <w:rFonts w:asciiTheme="minorHAnsi" w:hAnsiTheme="minorHAnsi" w:cstheme="minorHAnsi"/>
          <w:lang w:val="en-US"/>
        </w:rPr>
      </w:pPr>
    </w:p>
    <w:p w14:paraId="414702F3" w14:textId="5F6088DD" w:rsidR="00A70DF6" w:rsidRPr="00A70DF6" w:rsidRDefault="00A70DF6" w:rsidP="00A70DF6">
      <w:pPr>
        <w:spacing w:line="360" w:lineRule="auto"/>
        <w:rPr>
          <w:rFonts w:asciiTheme="minorHAnsi" w:hAnsiTheme="minorHAnsi" w:cstheme="minorHAnsi"/>
          <w:b/>
          <w:bCs/>
          <w:i/>
          <w:iCs/>
          <w:lang w:val="en-US"/>
        </w:rPr>
      </w:pPr>
      <w:r w:rsidRPr="00A70DF6">
        <w:rPr>
          <w:rFonts w:asciiTheme="minorHAnsi" w:hAnsiTheme="minorHAnsi" w:cstheme="minorHAnsi"/>
          <w:b/>
          <w:bCs/>
          <w:i/>
          <w:iCs/>
          <w:lang w:val="en-US"/>
        </w:rPr>
        <w:t>Flow cytometric analysis of immune cells in the peripheral blood</w:t>
      </w:r>
    </w:p>
    <w:p w14:paraId="5C49095B" w14:textId="1B4781B3" w:rsidR="00A70DF6" w:rsidRDefault="00A70DF6" w:rsidP="00A70DF6">
      <w:pPr>
        <w:spacing w:line="360" w:lineRule="auto"/>
        <w:rPr>
          <w:rFonts w:asciiTheme="minorHAnsi" w:hAnsiTheme="minorHAnsi" w:cstheme="minorHAnsi"/>
          <w:lang w:val="en-US"/>
        </w:rPr>
      </w:pPr>
      <w:r w:rsidRPr="00A70DF6">
        <w:rPr>
          <w:rFonts w:asciiTheme="minorHAnsi" w:hAnsiTheme="minorHAnsi" w:cstheme="minorHAnsi"/>
          <w:lang w:val="en-US"/>
        </w:rPr>
        <w:t>Heparinized whole blood samples were stained with antibodies (see Supplementary Table S1), subsequently exposed to red blood cell lysis buffer (</w:t>
      </w:r>
      <w:proofErr w:type="spellStart"/>
      <w:r w:rsidRPr="00A70DF6">
        <w:rPr>
          <w:rFonts w:asciiTheme="minorHAnsi" w:hAnsiTheme="minorHAnsi" w:cstheme="minorHAnsi"/>
          <w:lang w:val="en-US"/>
        </w:rPr>
        <w:t>eBioscience</w:t>
      </w:r>
      <w:proofErr w:type="spellEnd"/>
      <w:r w:rsidRPr="00A70DF6">
        <w:rPr>
          <w:rFonts w:asciiTheme="minorHAnsi" w:hAnsiTheme="minorHAnsi" w:cstheme="minorHAnsi"/>
          <w:lang w:val="en-US"/>
        </w:rPr>
        <w:t xml:space="preserve">, San Diego, CA, USA) and washed once in Cell Staining Buffer (CSB; </w:t>
      </w:r>
      <w:proofErr w:type="spellStart"/>
      <w:r w:rsidRPr="00A70DF6">
        <w:rPr>
          <w:rFonts w:asciiTheme="minorHAnsi" w:hAnsiTheme="minorHAnsi" w:cstheme="minorHAnsi"/>
          <w:lang w:val="en-US"/>
        </w:rPr>
        <w:t>BioLegend</w:t>
      </w:r>
      <w:proofErr w:type="spellEnd"/>
      <w:r w:rsidRPr="00A70DF6">
        <w:rPr>
          <w:rFonts w:asciiTheme="minorHAnsi" w:hAnsiTheme="minorHAnsi" w:cstheme="minorHAnsi"/>
          <w:lang w:val="en-US"/>
        </w:rPr>
        <w:t xml:space="preserve">, San Diego, CA, USA) before flow cytometry. Peripheral blood mononuclear cells (PBMCs) were purified from heparinized whole blood by density gradient centrifugation using a </w:t>
      </w:r>
      <w:proofErr w:type="spellStart"/>
      <w:r w:rsidRPr="00A70DF6">
        <w:rPr>
          <w:rFonts w:asciiTheme="minorHAnsi" w:hAnsiTheme="minorHAnsi" w:cstheme="minorHAnsi"/>
          <w:lang w:val="en-US"/>
        </w:rPr>
        <w:t>Ficoll-Hypaque</w:t>
      </w:r>
      <w:proofErr w:type="spellEnd"/>
      <w:r w:rsidRPr="00A70DF6">
        <w:rPr>
          <w:rFonts w:asciiTheme="minorHAnsi" w:hAnsiTheme="minorHAnsi" w:cstheme="minorHAnsi"/>
          <w:lang w:val="en-US"/>
        </w:rPr>
        <w:t xml:space="preserve"> gradient (GE Healthcare, Uppsala, Sweden) and washed twice in Dulbecco’s Phosphate-Buffered Saline (Gibco, Life Technologies, Carlsbad, CA, USA). Following purification, PBMCs were immediately stained with antibodies (see Supplementary Table S2), then washed and </w:t>
      </w:r>
      <w:r w:rsidRPr="00A70DF6">
        <w:rPr>
          <w:rFonts w:asciiTheme="minorHAnsi" w:hAnsiTheme="minorHAnsi" w:cstheme="minorHAnsi"/>
          <w:lang w:val="en-US"/>
        </w:rPr>
        <w:lastRenderedPageBreak/>
        <w:t xml:space="preserve">resuspended in CSB before flow cytometry. See </w:t>
      </w:r>
      <w:r w:rsidR="00C21BFA">
        <w:rPr>
          <w:rFonts w:asciiTheme="minorHAnsi" w:hAnsiTheme="minorHAnsi" w:cstheme="minorHAnsi"/>
          <w:lang w:val="en-US"/>
        </w:rPr>
        <w:t>below</w:t>
      </w:r>
      <w:r w:rsidRPr="00A70DF6">
        <w:rPr>
          <w:rFonts w:asciiTheme="minorHAnsi" w:hAnsiTheme="minorHAnsi" w:cstheme="minorHAnsi"/>
          <w:lang w:val="en-US"/>
        </w:rPr>
        <w:t xml:space="preserve">, and Supplementary Table S3 and S4, for intracellular staining methods. Data were acquired on a 6-color </w:t>
      </w:r>
      <w:proofErr w:type="spellStart"/>
      <w:r w:rsidRPr="00A70DF6">
        <w:rPr>
          <w:rFonts w:asciiTheme="minorHAnsi" w:hAnsiTheme="minorHAnsi" w:cstheme="minorHAnsi"/>
          <w:lang w:val="en-US"/>
        </w:rPr>
        <w:t>FACSCanto</w:t>
      </w:r>
      <w:proofErr w:type="spellEnd"/>
      <w:r w:rsidRPr="00A70DF6">
        <w:rPr>
          <w:rFonts w:asciiTheme="minorHAnsi" w:hAnsiTheme="minorHAnsi" w:cstheme="minorHAnsi"/>
          <w:lang w:val="en-US"/>
        </w:rPr>
        <w:t xml:space="preserve"> II Flow Cytometer (BD Biosciences, San Diego, CA, USA). Analysis was performed using </w:t>
      </w:r>
      <w:proofErr w:type="spellStart"/>
      <w:r w:rsidRPr="00A70DF6">
        <w:rPr>
          <w:rFonts w:asciiTheme="minorHAnsi" w:hAnsiTheme="minorHAnsi" w:cstheme="minorHAnsi"/>
          <w:lang w:val="en-US"/>
        </w:rPr>
        <w:t>FACSDiva</w:t>
      </w:r>
      <w:proofErr w:type="spellEnd"/>
      <w:r w:rsidRPr="00A70DF6">
        <w:rPr>
          <w:rFonts w:asciiTheme="minorHAnsi" w:hAnsiTheme="minorHAnsi" w:cstheme="minorHAnsi"/>
          <w:lang w:val="en-US"/>
        </w:rPr>
        <w:t xml:space="preserve"> software version 6.1.3 (BD Biosciences). Absolute numbers of various cell subsets were calculated using a dual-platform method, combining the frequencies from the flow-cytometry analysis with the lymphocyte counts from the patients’ medical records.</w:t>
      </w:r>
    </w:p>
    <w:p w14:paraId="214776D6" w14:textId="77777777" w:rsidR="00897D5B" w:rsidRPr="00A70DF6" w:rsidRDefault="00897D5B" w:rsidP="00A70DF6">
      <w:pPr>
        <w:spacing w:line="360" w:lineRule="auto"/>
        <w:rPr>
          <w:rFonts w:asciiTheme="minorHAnsi" w:hAnsiTheme="minorHAnsi" w:cstheme="minorHAnsi"/>
          <w:lang w:val="en-US"/>
        </w:rPr>
      </w:pPr>
    </w:p>
    <w:p w14:paraId="78F8C32B" w14:textId="77777777" w:rsidR="00A70DF6" w:rsidRPr="00897D5B" w:rsidRDefault="00A70DF6" w:rsidP="00A70DF6">
      <w:pPr>
        <w:spacing w:line="360" w:lineRule="auto"/>
        <w:rPr>
          <w:rFonts w:asciiTheme="minorHAnsi" w:hAnsiTheme="minorHAnsi" w:cstheme="minorHAnsi"/>
          <w:b/>
          <w:bCs/>
          <w:i/>
          <w:iCs/>
          <w:lang w:val="en-US"/>
        </w:rPr>
      </w:pPr>
      <w:r w:rsidRPr="00897D5B">
        <w:rPr>
          <w:rFonts w:asciiTheme="minorHAnsi" w:hAnsiTheme="minorHAnsi" w:cstheme="minorHAnsi"/>
          <w:b/>
          <w:bCs/>
          <w:i/>
          <w:iCs/>
          <w:lang w:val="en-US"/>
        </w:rPr>
        <w:t>Flow cytometric analysis of diagnostic lymph node biopsies</w:t>
      </w:r>
    </w:p>
    <w:p w14:paraId="7A644406" w14:textId="156F7D20" w:rsidR="00A70DF6" w:rsidRDefault="00A70DF6" w:rsidP="00A70DF6">
      <w:pPr>
        <w:spacing w:line="360" w:lineRule="auto"/>
        <w:rPr>
          <w:rFonts w:asciiTheme="minorHAnsi" w:hAnsiTheme="minorHAnsi" w:cstheme="minorHAnsi"/>
          <w:lang w:val="en-US"/>
        </w:rPr>
      </w:pPr>
      <w:r w:rsidRPr="00A70DF6">
        <w:rPr>
          <w:rFonts w:asciiTheme="minorHAnsi" w:hAnsiTheme="minorHAnsi" w:cstheme="minorHAnsi"/>
          <w:lang w:val="en-US"/>
        </w:rPr>
        <w:t xml:space="preserve">Both excisional and needle core biopsies from LNs were performed for routine diagnostic purposes. Standard protocols for clinical samples were followed at the Department of Clinical Pathology and Cancer Diagnostics, Karolinska University Hospital (Stockholm, Sweden). LN biopsies were disintegrated mechanically into single cell suspensions and stained with antibodies (see Supplementary Table S5). Flow-cytometry analysis was performed using an 8-color </w:t>
      </w:r>
      <w:proofErr w:type="spellStart"/>
      <w:r w:rsidRPr="00A70DF6">
        <w:rPr>
          <w:rFonts w:asciiTheme="minorHAnsi" w:hAnsiTheme="minorHAnsi" w:cstheme="minorHAnsi"/>
          <w:lang w:val="en-US"/>
        </w:rPr>
        <w:t>FACSCanto</w:t>
      </w:r>
      <w:proofErr w:type="spellEnd"/>
      <w:r w:rsidRPr="00A70DF6">
        <w:rPr>
          <w:rFonts w:asciiTheme="minorHAnsi" w:hAnsiTheme="minorHAnsi" w:cstheme="minorHAnsi"/>
          <w:lang w:val="en-US"/>
        </w:rPr>
        <w:t xml:space="preserve"> Clinical Flow Cytometry System (BD Biosciences).</w:t>
      </w:r>
    </w:p>
    <w:p w14:paraId="711FEB3F" w14:textId="77777777" w:rsidR="00A70DF6" w:rsidRPr="00A70DF6" w:rsidRDefault="00A70DF6" w:rsidP="00A70DF6">
      <w:pPr>
        <w:spacing w:line="360" w:lineRule="auto"/>
        <w:rPr>
          <w:rFonts w:asciiTheme="minorHAnsi" w:hAnsiTheme="minorHAnsi" w:cstheme="minorHAnsi"/>
          <w:lang w:val="en-US"/>
        </w:rPr>
      </w:pPr>
    </w:p>
    <w:p w14:paraId="17376C2B" w14:textId="1AEF085F" w:rsidR="000911FB" w:rsidRPr="00E3599B" w:rsidRDefault="005011A7" w:rsidP="00E3599B">
      <w:pPr>
        <w:spacing w:line="360" w:lineRule="auto"/>
        <w:rPr>
          <w:rFonts w:asciiTheme="minorHAnsi" w:hAnsiTheme="minorHAnsi" w:cstheme="minorHAnsi"/>
          <w:b/>
          <w:bCs/>
          <w:i/>
          <w:iCs/>
          <w:lang w:val="en-US"/>
        </w:rPr>
      </w:pPr>
      <w:r w:rsidRPr="00E3599B">
        <w:rPr>
          <w:rFonts w:asciiTheme="minorHAnsi" w:hAnsiTheme="minorHAnsi" w:cstheme="minorHAnsi"/>
          <w:b/>
          <w:bCs/>
          <w:i/>
          <w:iCs/>
          <w:lang w:val="en-US"/>
        </w:rPr>
        <w:t>Intercellular staining methods</w:t>
      </w:r>
    </w:p>
    <w:p w14:paraId="14EAF616" w14:textId="77823250" w:rsidR="000911FB" w:rsidRPr="00E3599B" w:rsidRDefault="000911FB" w:rsidP="00E3599B">
      <w:pPr>
        <w:spacing w:line="360" w:lineRule="auto"/>
        <w:rPr>
          <w:rFonts w:asciiTheme="minorHAnsi" w:hAnsiTheme="minorHAnsi" w:cstheme="minorHAnsi"/>
          <w:lang w:val="en-US"/>
        </w:rPr>
      </w:pPr>
      <w:r w:rsidRPr="00E3599B">
        <w:rPr>
          <w:rFonts w:asciiTheme="minorHAnsi" w:hAnsiTheme="minorHAnsi" w:cstheme="minorHAnsi"/>
          <w:lang w:val="en-US"/>
        </w:rPr>
        <w:t>PBMCs were stained with antibodies listed in Supplementary Table S3, then fixed and permeabilized using Fixation/Permeabilization Solution (</w:t>
      </w:r>
      <w:proofErr w:type="spellStart"/>
      <w:r w:rsidRPr="00E3599B">
        <w:rPr>
          <w:rFonts w:asciiTheme="minorHAnsi" w:hAnsiTheme="minorHAnsi" w:cstheme="minorHAnsi"/>
          <w:lang w:val="en-US"/>
        </w:rPr>
        <w:t>eBioscience</w:t>
      </w:r>
      <w:proofErr w:type="spellEnd"/>
      <w:r w:rsidRPr="00E3599B">
        <w:rPr>
          <w:rFonts w:asciiTheme="minorHAnsi" w:hAnsiTheme="minorHAnsi" w:cstheme="minorHAnsi"/>
          <w:lang w:val="en-US"/>
        </w:rPr>
        <w:t>), washed in Permeabilization Buffer (</w:t>
      </w:r>
      <w:proofErr w:type="spellStart"/>
      <w:r w:rsidRPr="00E3599B">
        <w:rPr>
          <w:rFonts w:asciiTheme="minorHAnsi" w:hAnsiTheme="minorHAnsi" w:cstheme="minorHAnsi"/>
          <w:lang w:val="en-US"/>
        </w:rPr>
        <w:t>eBioscience</w:t>
      </w:r>
      <w:proofErr w:type="spellEnd"/>
      <w:r w:rsidRPr="00E3599B">
        <w:rPr>
          <w:rFonts w:asciiTheme="minorHAnsi" w:hAnsiTheme="minorHAnsi" w:cstheme="minorHAnsi"/>
          <w:lang w:val="en-US"/>
        </w:rPr>
        <w:t>), stained with cytotoxic T-lymphocyte associated protein (CTLA)-4-phycoerythrin (PE) or the appropriate isotype control, then washed and resuspended in CSB before flow cytometry.</w:t>
      </w:r>
    </w:p>
    <w:p w14:paraId="08629A73" w14:textId="374A9FE2" w:rsidR="000911FB" w:rsidRDefault="000911FB" w:rsidP="00E3599B">
      <w:pPr>
        <w:spacing w:line="360" w:lineRule="auto"/>
        <w:rPr>
          <w:rFonts w:asciiTheme="minorHAnsi" w:hAnsiTheme="minorHAnsi" w:cstheme="minorHAnsi"/>
          <w:lang w:val="en-US"/>
        </w:rPr>
      </w:pPr>
      <w:r w:rsidRPr="00E3599B">
        <w:rPr>
          <w:rFonts w:asciiTheme="minorHAnsi" w:hAnsiTheme="minorHAnsi" w:cstheme="minorHAnsi"/>
          <w:lang w:val="en-US"/>
        </w:rPr>
        <w:t>In parallel, PBMCs were stained with CD16-PE-cyanine (Cy)7 and CD56-PE, then fixed in 1.6% formaldehyde (</w:t>
      </w:r>
      <w:proofErr w:type="spellStart"/>
      <w:r w:rsidRPr="00E3599B">
        <w:rPr>
          <w:rFonts w:asciiTheme="minorHAnsi" w:hAnsiTheme="minorHAnsi" w:cstheme="minorHAnsi"/>
          <w:lang w:val="en-US"/>
        </w:rPr>
        <w:t>Histolab</w:t>
      </w:r>
      <w:proofErr w:type="spellEnd"/>
      <w:r w:rsidRPr="00E3599B">
        <w:rPr>
          <w:rFonts w:asciiTheme="minorHAnsi" w:hAnsiTheme="minorHAnsi" w:cstheme="minorHAnsi"/>
          <w:lang w:val="en-US"/>
        </w:rPr>
        <w:t xml:space="preserve"> Products, </w:t>
      </w:r>
      <w:proofErr w:type="spellStart"/>
      <w:r w:rsidRPr="00E3599B">
        <w:rPr>
          <w:rFonts w:asciiTheme="minorHAnsi" w:hAnsiTheme="minorHAnsi" w:cstheme="minorHAnsi"/>
          <w:lang w:val="en-US"/>
        </w:rPr>
        <w:t>Askim</w:t>
      </w:r>
      <w:proofErr w:type="spellEnd"/>
      <w:r w:rsidRPr="00E3599B">
        <w:rPr>
          <w:rFonts w:asciiTheme="minorHAnsi" w:hAnsiTheme="minorHAnsi" w:cstheme="minorHAnsi"/>
          <w:lang w:val="en-US"/>
        </w:rPr>
        <w:t>, Sweden) and permeabilized in cold 80% methanol, washed, stained with the antibodies shown in Supplementary Table S4, then washed again and resuspended in CSB before flow cytometry.</w:t>
      </w:r>
    </w:p>
    <w:p w14:paraId="44E460DE" w14:textId="0864EE3B" w:rsidR="00A3028B" w:rsidRDefault="00A3028B" w:rsidP="00E3599B">
      <w:pPr>
        <w:spacing w:line="360" w:lineRule="auto"/>
        <w:rPr>
          <w:rFonts w:asciiTheme="minorHAnsi" w:hAnsiTheme="minorHAnsi" w:cstheme="minorHAnsi"/>
          <w:lang w:val="en-US"/>
        </w:rPr>
      </w:pPr>
    </w:p>
    <w:p w14:paraId="0E04D3A5" w14:textId="77777777" w:rsidR="00A3028B" w:rsidRPr="00A3028B" w:rsidRDefault="00A3028B" w:rsidP="00A3028B">
      <w:pPr>
        <w:spacing w:line="360" w:lineRule="auto"/>
        <w:rPr>
          <w:rFonts w:asciiTheme="minorHAnsi" w:hAnsiTheme="minorHAnsi" w:cstheme="minorHAnsi"/>
          <w:b/>
          <w:bCs/>
          <w:i/>
          <w:iCs/>
          <w:lang w:val="en-US"/>
        </w:rPr>
      </w:pPr>
      <w:r w:rsidRPr="00A3028B">
        <w:rPr>
          <w:rFonts w:asciiTheme="minorHAnsi" w:hAnsiTheme="minorHAnsi" w:cstheme="minorHAnsi"/>
          <w:b/>
          <w:bCs/>
          <w:i/>
          <w:iCs/>
          <w:lang w:val="en-US"/>
        </w:rPr>
        <w:t xml:space="preserve">Enzyme-Linked </w:t>
      </w:r>
      <w:proofErr w:type="spellStart"/>
      <w:r w:rsidRPr="00A3028B">
        <w:rPr>
          <w:rFonts w:asciiTheme="minorHAnsi" w:hAnsiTheme="minorHAnsi" w:cstheme="minorHAnsi"/>
          <w:b/>
          <w:bCs/>
          <w:i/>
          <w:iCs/>
          <w:lang w:val="en-US"/>
        </w:rPr>
        <w:t>ImmunoSorbent</w:t>
      </w:r>
      <w:proofErr w:type="spellEnd"/>
      <w:r w:rsidRPr="00A3028B">
        <w:rPr>
          <w:rFonts w:asciiTheme="minorHAnsi" w:hAnsiTheme="minorHAnsi" w:cstheme="minorHAnsi"/>
          <w:b/>
          <w:bCs/>
          <w:i/>
          <w:iCs/>
          <w:lang w:val="en-US"/>
        </w:rPr>
        <w:t xml:space="preserve"> Assay of CCL17/TARC in plasma</w:t>
      </w:r>
    </w:p>
    <w:p w14:paraId="49622900" w14:textId="77777777" w:rsidR="001D7956" w:rsidRDefault="00A3028B" w:rsidP="00A3028B">
      <w:pPr>
        <w:spacing w:line="360" w:lineRule="auto"/>
        <w:rPr>
          <w:rFonts w:asciiTheme="minorHAnsi" w:hAnsiTheme="minorHAnsi" w:cstheme="minorHAnsi"/>
          <w:lang w:val="en-US"/>
        </w:rPr>
      </w:pPr>
      <w:r w:rsidRPr="00A3028B">
        <w:rPr>
          <w:rFonts w:asciiTheme="minorHAnsi" w:hAnsiTheme="minorHAnsi" w:cstheme="minorHAnsi"/>
          <w:lang w:val="en-US"/>
        </w:rPr>
        <w:t xml:space="preserve">Plasma was isolated from whole heparinized blood by centrifugation and stored undiluted at −80°C until further use. CCL17/TARC concentrations were measured in triplicate in thawed plasma samples using the Human CCL17/TARC </w:t>
      </w:r>
      <w:proofErr w:type="spellStart"/>
      <w:r w:rsidRPr="00A3028B">
        <w:rPr>
          <w:rFonts w:asciiTheme="minorHAnsi" w:hAnsiTheme="minorHAnsi" w:cstheme="minorHAnsi"/>
          <w:lang w:val="en-US"/>
        </w:rPr>
        <w:t>DuoSet</w:t>
      </w:r>
      <w:proofErr w:type="spellEnd"/>
      <w:r w:rsidRPr="00A3028B">
        <w:rPr>
          <w:rFonts w:asciiTheme="minorHAnsi" w:hAnsiTheme="minorHAnsi" w:cstheme="minorHAnsi"/>
          <w:lang w:val="en-US"/>
        </w:rPr>
        <w:t xml:space="preserve"> enzyme-linked immunosorbent assay (ELISA) kit (R&amp;D Systems, Minneapolis, MN, USA) according to the manufacturer’s </w:t>
      </w:r>
      <w:r w:rsidRPr="00A3028B">
        <w:rPr>
          <w:rFonts w:asciiTheme="minorHAnsi" w:hAnsiTheme="minorHAnsi" w:cstheme="minorHAnsi"/>
          <w:lang w:val="en-US"/>
        </w:rPr>
        <w:lastRenderedPageBreak/>
        <w:t>instructions. Sample concentrations were interpolated from a sigmoidal 4 parameter logistic curve fit through the duplicate set of serially diluted standard samples from the same plate.</w:t>
      </w:r>
    </w:p>
    <w:p w14:paraId="47168BE0" w14:textId="3C02902F" w:rsidR="000911FB" w:rsidRPr="00A3028B" w:rsidRDefault="000911FB" w:rsidP="00A3028B">
      <w:pPr>
        <w:spacing w:line="360" w:lineRule="auto"/>
        <w:rPr>
          <w:rFonts w:asciiTheme="minorHAnsi" w:hAnsiTheme="minorHAnsi" w:cstheme="minorHAnsi"/>
          <w:lang w:val="en-US"/>
        </w:rPr>
      </w:pPr>
      <w:r w:rsidRPr="00B81BA9">
        <w:rPr>
          <w:rFonts w:asciiTheme="minorHAnsi" w:hAnsiTheme="minorHAnsi" w:cstheme="minorHAnsi"/>
          <w:lang w:val="en-US"/>
        </w:rPr>
        <w:br w:type="page"/>
      </w:r>
    </w:p>
    <w:p w14:paraId="0A67BE52" w14:textId="03DB15FD" w:rsidR="00147AE2" w:rsidRPr="00E3599B" w:rsidRDefault="001D7956" w:rsidP="00446C2B">
      <w:pPr>
        <w:pStyle w:val="Heading1"/>
        <w:rPr>
          <w:rFonts w:asciiTheme="minorHAnsi" w:hAnsiTheme="minorHAnsi" w:cstheme="minorHAnsi"/>
        </w:rPr>
      </w:pPr>
      <w:bookmarkStart w:id="1" w:name="_Toc107775931"/>
      <w:r>
        <w:rPr>
          <w:rFonts w:asciiTheme="minorHAnsi" w:hAnsiTheme="minorHAnsi" w:cstheme="minorHAnsi"/>
        </w:rPr>
        <w:lastRenderedPageBreak/>
        <w:t xml:space="preserve">SDC, </w:t>
      </w:r>
      <w:r w:rsidR="00F10C55" w:rsidRPr="00E3599B">
        <w:rPr>
          <w:rFonts w:asciiTheme="minorHAnsi" w:hAnsiTheme="minorHAnsi" w:cstheme="minorHAnsi"/>
        </w:rPr>
        <w:t>Table 1</w:t>
      </w:r>
      <w:bookmarkEnd w:id="1"/>
    </w:p>
    <w:p w14:paraId="72F80632" w14:textId="063A9286" w:rsidR="00722784" w:rsidRPr="00724BDD" w:rsidRDefault="00722784" w:rsidP="00722784">
      <w:pPr>
        <w:rPr>
          <w:rFonts w:asciiTheme="minorHAnsi" w:hAnsiTheme="minorHAnsi" w:cstheme="minorHAnsi"/>
          <w:lang w:val="en-US"/>
        </w:rPr>
      </w:pPr>
    </w:p>
    <w:p w14:paraId="1013DE99" w14:textId="77777777" w:rsidR="00CF6936" w:rsidRPr="00724BDD" w:rsidRDefault="00CF6936" w:rsidP="00722784">
      <w:pPr>
        <w:rPr>
          <w:rFonts w:asciiTheme="minorHAnsi" w:hAnsiTheme="minorHAnsi" w:cstheme="minorHAnsi"/>
          <w:lang w:val="en-US"/>
        </w:rPr>
      </w:pPr>
    </w:p>
    <w:tbl>
      <w:tblPr>
        <w:tblStyle w:val="ListTable6Colorful"/>
        <w:tblW w:w="7940" w:type="dxa"/>
        <w:tblLook w:val="04A0" w:firstRow="1" w:lastRow="0" w:firstColumn="1" w:lastColumn="0" w:noHBand="0" w:noVBand="1"/>
      </w:tblPr>
      <w:tblGrid>
        <w:gridCol w:w="1740"/>
        <w:gridCol w:w="1420"/>
        <w:gridCol w:w="1617"/>
        <w:gridCol w:w="1900"/>
        <w:gridCol w:w="1420"/>
      </w:tblGrid>
      <w:tr w:rsidR="00722784" w:rsidRPr="00724BDD" w14:paraId="50933D01" w14:textId="77777777" w:rsidTr="0072278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A2FFCFA" w14:textId="77777777" w:rsidR="00722784" w:rsidRPr="00724BDD" w:rsidRDefault="00722784" w:rsidP="00722784">
            <w:pPr>
              <w:rPr>
                <w:rFonts w:asciiTheme="minorHAnsi" w:hAnsiTheme="minorHAnsi" w:cstheme="minorHAnsi"/>
                <w:color w:val="000000"/>
                <w:lang w:val="en-US"/>
              </w:rPr>
            </w:pPr>
            <w:r w:rsidRPr="00724BDD">
              <w:rPr>
                <w:rFonts w:asciiTheme="minorHAnsi" w:hAnsiTheme="minorHAnsi" w:cstheme="minorHAnsi"/>
                <w:color w:val="000000"/>
                <w:lang w:val="en-US"/>
              </w:rPr>
              <w:t>Antigen/Target</w:t>
            </w:r>
          </w:p>
        </w:tc>
        <w:tc>
          <w:tcPr>
            <w:tcW w:w="1420" w:type="dxa"/>
            <w:noWrap/>
            <w:hideMark/>
          </w:tcPr>
          <w:p w14:paraId="6E08B04D"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Clone</w:t>
            </w:r>
          </w:p>
        </w:tc>
        <w:tc>
          <w:tcPr>
            <w:tcW w:w="1540" w:type="dxa"/>
            <w:noWrap/>
            <w:hideMark/>
          </w:tcPr>
          <w:p w14:paraId="5E605DA0"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Fluorochrome</w:t>
            </w:r>
          </w:p>
        </w:tc>
        <w:tc>
          <w:tcPr>
            <w:tcW w:w="1900" w:type="dxa"/>
            <w:noWrap/>
            <w:hideMark/>
          </w:tcPr>
          <w:p w14:paraId="31F4B372"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Manufacturer</w:t>
            </w:r>
          </w:p>
        </w:tc>
        <w:tc>
          <w:tcPr>
            <w:tcW w:w="1420" w:type="dxa"/>
            <w:noWrap/>
            <w:hideMark/>
          </w:tcPr>
          <w:p w14:paraId="1394DA9C"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Cat. nr.</w:t>
            </w:r>
          </w:p>
        </w:tc>
      </w:tr>
      <w:tr w:rsidR="00722784" w:rsidRPr="00724BDD" w14:paraId="45110EFC"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B984141"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Annexin V</w:t>
            </w:r>
          </w:p>
        </w:tc>
        <w:tc>
          <w:tcPr>
            <w:tcW w:w="1420" w:type="dxa"/>
            <w:noWrap/>
            <w:hideMark/>
          </w:tcPr>
          <w:p w14:paraId="5B0C380C"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n/a</w:t>
            </w:r>
          </w:p>
        </w:tc>
        <w:tc>
          <w:tcPr>
            <w:tcW w:w="1540" w:type="dxa"/>
            <w:noWrap/>
            <w:hideMark/>
          </w:tcPr>
          <w:p w14:paraId="7ECF119A"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FITC</w:t>
            </w:r>
          </w:p>
        </w:tc>
        <w:tc>
          <w:tcPr>
            <w:tcW w:w="1900" w:type="dxa"/>
            <w:noWrap/>
            <w:hideMark/>
          </w:tcPr>
          <w:p w14:paraId="68E33AB4"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MabTag</w:t>
            </w:r>
            <w:proofErr w:type="spellEnd"/>
          </w:p>
        </w:tc>
        <w:tc>
          <w:tcPr>
            <w:tcW w:w="1420" w:type="dxa"/>
            <w:noWrap/>
            <w:hideMark/>
          </w:tcPr>
          <w:p w14:paraId="704FEBAC"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AnxF100</w:t>
            </w:r>
          </w:p>
        </w:tc>
      </w:tr>
      <w:tr w:rsidR="00722784" w:rsidRPr="00724BDD" w14:paraId="7FFF47A1"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A78A9CC"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w:t>
            </w:r>
          </w:p>
        </w:tc>
        <w:tc>
          <w:tcPr>
            <w:tcW w:w="1420" w:type="dxa"/>
            <w:noWrap/>
            <w:hideMark/>
          </w:tcPr>
          <w:p w14:paraId="4216BF31"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HIT3a</w:t>
            </w:r>
          </w:p>
        </w:tc>
        <w:tc>
          <w:tcPr>
            <w:tcW w:w="1540" w:type="dxa"/>
            <w:noWrap/>
            <w:hideMark/>
          </w:tcPr>
          <w:p w14:paraId="7DB18A99"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PE-Cy7</w:t>
            </w:r>
          </w:p>
        </w:tc>
        <w:tc>
          <w:tcPr>
            <w:tcW w:w="1900" w:type="dxa"/>
            <w:noWrap/>
            <w:hideMark/>
          </w:tcPr>
          <w:p w14:paraId="1F1EFA95"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027FE84B"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300316</w:t>
            </w:r>
          </w:p>
        </w:tc>
      </w:tr>
      <w:tr w:rsidR="00722784" w:rsidRPr="00724BDD" w14:paraId="1142D78A"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F6BE924"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w:t>
            </w:r>
          </w:p>
        </w:tc>
        <w:tc>
          <w:tcPr>
            <w:tcW w:w="1420" w:type="dxa"/>
            <w:noWrap/>
            <w:hideMark/>
          </w:tcPr>
          <w:p w14:paraId="69DC125F"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UCHT1</w:t>
            </w:r>
          </w:p>
        </w:tc>
        <w:tc>
          <w:tcPr>
            <w:tcW w:w="1540" w:type="dxa"/>
            <w:noWrap/>
            <w:hideMark/>
          </w:tcPr>
          <w:p w14:paraId="3AB9AFF0"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AF700</w:t>
            </w:r>
          </w:p>
        </w:tc>
        <w:tc>
          <w:tcPr>
            <w:tcW w:w="1900" w:type="dxa"/>
            <w:noWrap/>
            <w:hideMark/>
          </w:tcPr>
          <w:p w14:paraId="009F5379"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7B51EECB"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300424</w:t>
            </w:r>
          </w:p>
        </w:tc>
      </w:tr>
      <w:tr w:rsidR="00722784" w:rsidRPr="00724BDD" w14:paraId="736F7319"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C537677"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w:t>
            </w:r>
          </w:p>
        </w:tc>
        <w:tc>
          <w:tcPr>
            <w:tcW w:w="1420" w:type="dxa"/>
            <w:noWrap/>
            <w:hideMark/>
          </w:tcPr>
          <w:p w14:paraId="38F488F3"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UCHT1</w:t>
            </w:r>
          </w:p>
        </w:tc>
        <w:tc>
          <w:tcPr>
            <w:tcW w:w="1540" w:type="dxa"/>
            <w:noWrap/>
            <w:hideMark/>
          </w:tcPr>
          <w:p w14:paraId="1836A454"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PerCp</w:t>
            </w:r>
            <w:proofErr w:type="spellEnd"/>
          </w:p>
        </w:tc>
        <w:tc>
          <w:tcPr>
            <w:tcW w:w="1900" w:type="dxa"/>
            <w:noWrap/>
            <w:hideMark/>
          </w:tcPr>
          <w:p w14:paraId="034ADA06"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699AD1CC"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300428</w:t>
            </w:r>
          </w:p>
        </w:tc>
      </w:tr>
      <w:tr w:rsidR="00722784" w:rsidRPr="00724BDD" w14:paraId="6F6508E5"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59F7DD2"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CD4</w:t>
            </w:r>
          </w:p>
        </w:tc>
        <w:tc>
          <w:tcPr>
            <w:tcW w:w="1420" w:type="dxa"/>
            <w:noWrap/>
            <w:hideMark/>
          </w:tcPr>
          <w:p w14:paraId="22AA9EF5"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RPA-T4</w:t>
            </w:r>
          </w:p>
        </w:tc>
        <w:tc>
          <w:tcPr>
            <w:tcW w:w="1540" w:type="dxa"/>
            <w:noWrap/>
            <w:hideMark/>
          </w:tcPr>
          <w:p w14:paraId="06A0E34A"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PerCP</w:t>
            </w:r>
            <w:proofErr w:type="spellEnd"/>
          </w:p>
        </w:tc>
        <w:tc>
          <w:tcPr>
            <w:tcW w:w="1900" w:type="dxa"/>
            <w:noWrap/>
            <w:hideMark/>
          </w:tcPr>
          <w:p w14:paraId="653C4FE5"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55D1DF01"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300528</w:t>
            </w:r>
          </w:p>
        </w:tc>
      </w:tr>
      <w:tr w:rsidR="00722784" w:rsidRPr="00724BDD" w14:paraId="50BC32BF"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21329BD"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CD4</w:t>
            </w:r>
          </w:p>
        </w:tc>
        <w:tc>
          <w:tcPr>
            <w:tcW w:w="1420" w:type="dxa"/>
            <w:noWrap/>
            <w:hideMark/>
          </w:tcPr>
          <w:p w14:paraId="0434E48C"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OKT-4</w:t>
            </w:r>
          </w:p>
        </w:tc>
        <w:tc>
          <w:tcPr>
            <w:tcW w:w="1540" w:type="dxa"/>
            <w:noWrap/>
            <w:hideMark/>
          </w:tcPr>
          <w:p w14:paraId="7C307AC4"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FITC</w:t>
            </w:r>
          </w:p>
        </w:tc>
        <w:tc>
          <w:tcPr>
            <w:tcW w:w="1900" w:type="dxa"/>
            <w:noWrap/>
            <w:hideMark/>
          </w:tcPr>
          <w:p w14:paraId="6AE29BF9"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12869985"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317408</w:t>
            </w:r>
          </w:p>
        </w:tc>
      </w:tr>
      <w:tr w:rsidR="00722784" w:rsidRPr="00724BDD" w14:paraId="3FD2A99A"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EF3A266"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CD8</w:t>
            </w:r>
          </w:p>
        </w:tc>
        <w:tc>
          <w:tcPr>
            <w:tcW w:w="1420" w:type="dxa"/>
            <w:noWrap/>
            <w:hideMark/>
          </w:tcPr>
          <w:p w14:paraId="43AA1B2A"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HIT8a</w:t>
            </w:r>
          </w:p>
        </w:tc>
        <w:tc>
          <w:tcPr>
            <w:tcW w:w="1540" w:type="dxa"/>
            <w:noWrap/>
            <w:hideMark/>
          </w:tcPr>
          <w:p w14:paraId="6FE0FA9D"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AF700</w:t>
            </w:r>
          </w:p>
        </w:tc>
        <w:tc>
          <w:tcPr>
            <w:tcW w:w="1900" w:type="dxa"/>
            <w:noWrap/>
            <w:hideMark/>
          </w:tcPr>
          <w:p w14:paraId="24FB4981"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573FA610"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300920</w:t>
            </w:r>
          </w:p>
        </w:tc>
      </w:tr>
      <w:tr w:rsidR="00722784" w:rsidRPr="00724BDD" w14:paraId="7B79872A"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FC1411B"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CD8</w:t>
            </w:r>
          </w:p>
        </w:tc>
        <w:tc>
          <w:tcPr>
            <w:tcW w:w="1420" w:type="dxa"/>
            <w:noWrap/>
            <w:hideMark/>
          </w:tcPr>
          <w:p w14:paraId="03EB5937"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SK1</w:t>
            </w:r>
          </w:p>
        </w:tc>
        <w:tc>
          <w:tcPr>
            <w:tcW w:w="1540" w:type="dxa"/>
            <w:noWrap/>
            <w:hideMark/>
          </w:tcPr>
          <w:p w14:paraId="76CA537E"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APC</w:t>
            </w:r>
          </w:p>
        </w:tc>
        <w:tc>
          <w:tcPr>
            <w:tcW w:w="1900" w:type="dxa"/>
            <w:noWrap/>
            <w:hideMark/>
          </w:tcPr>
          <w:p w14:paraId="4AF1F1AC"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3ED138B7"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344722</w:t>
            </w:r>
          </w:p>
        </w:tc>
      </w:tr>
      <w:tr w:rsidR="00722784" w:rsidRPr="00724BDD" w14:paraId="4F54710D"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043496D"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CD16</w:t>
            </w:r>
          </w:p>
        </w:tc>
        <w:tc>
          <w:tcPr>
            <w:tcW w:w="1420" w:type="dxa"/>
            <w:noWrap/>
            <w:hideMark/>
          </w:tcPr>
          <w:p w14:paraId="3064951E"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3G8</w:t>
            </w:r>
          </w:p>
        </w:tc>
        <w:tc>
          <w:tcPr>
            <w:tcW w:w="1540" w:type="dxa"/>
            <w:noWrap/>
            <w:hideMark/>
          </w:tcPr>
          <w:p w14:paraId="1DB9746C"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w:t>
            </w:r>
          </w:p>
        </w:tc>
        <w:tc>
          <w:tcPr>
            <w:tcW w:w="1900" w:type="dxa"/>
            <w:noWrap/>
            <w:hideMark/>
          </w:tcPr>
          <w:p w14:paraId="6EB410E6"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0CF93434"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302008</w:t>
            </w:r>
          </w:p>
        </w:tc>
      </w:tr>
      <w:tr w:rsidR="00722784" w:rsidRPr="00724BDD" w14:paraId="3D0271E7"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581E878"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CD16</w:t>
            </w:r>
          </w:p>
        </w:tc>
        <w:tc>
          <w:tcPr>
            <w:tcW w:w="1420" w:type="dxa"/>
            <w:noWrap/>
            <w:hideMark/>
          </w:tcPr>
          <w:p w14:paraId="13C04140"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3G8</w:t>
            </w:r>
          </w:p>
        </w:tc>
        <w:tc>
          <w:tcPr>
            <w:tcW w:w="1540" w:type="dxa"/>
            <w:noWrap/>
            <w:hideMark/>
          </w:tcPr>
          <w:p w14:paraId="5193FF41"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PE-Cy7</w:t>
            </w:r>
          </w:p>
        </w:tc>
        <w:tc>
          <w:tcPr>
            <w:tcW w:w="1900" w:type="dxa"/>
            <w:noWrap/>
            <w:hideMark/>
          </w:tcPr>
          <w:p w14:paraId="35B433A3"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5D2DB194"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302016</w:t>
            </w:r>
          </w:p>
        </w:tc>
      </w:tr>
      <w:tr w:rsidR="00722784" w:rsidRPr="00724BDD" w14:paraId="7B03B7C6"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1D87D6B"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CD19</w:t>
            </w:r>
          </w:p>
        </w:tc>
        <w:tc>
          <w:tcPr>
            <w:tcW w:w="1420" w:type="dxa"/>
            <w:noWrap/>
            <w:hideMark/>
          </w:tcPr>
          <w:p w14:paraId="095024D3"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HIB19</w:t>
            </w:r>
          </w:p>
        </w:tc>
        <w:tc>
          <w:tcPr>
            <w:tcW w:w="1540" w:type="dxa"/>
            <w:noWrap/>
            <w:hideMark/>
          </w:tcPr>
          <w:p w14:paraId="62A179E8"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AF488</w:t>
            </w:r>
          </w:p>
        </w:tc>
        <w:tc>
          <w:tcPr>
            <w:tcW w:w="1900" w:type="dxa"/>
            <w:noWrap/>
            <w:hideMark/>
          </w:tcPr>
          <w:p w14:paraId="67CEAF84"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7F304CEA"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302219</w:t>
            </w:r>
          </w:p>
        </w:tc>
      </w:tr>
      <w:tr w:rsidR="00722784" w:rsidRPr="00724BDD" w14:paraId="02077FAC"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8AE100E"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CD19</w:t>
            </w:r>
          </w:p>
        </w:tc>
        <w:tc>
          <w:tcPr>
            <w:tcW w:w="1420" w:type="dxa"/>
            <w:noWrap/>
            <w:hideMark/>
          </w:tcPr>
          <w:p w14:paraId="28AABCEF"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HIB19</w:t>
            </w:r>
          </w:p>
        </w:tc>
        <w:tc>
          <w:tcPr>
            <w:tcW w:w="1540" w:type="dxa"/>
            <w:noWrap/>
            <w:hideMark/>
          </w:tcPr>
          <w:p w14:paraId="391EDA1E"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APC</w:t>
            </w:r>
          </w:p>
        </w:tc>
        <w:tc>
          <w:tcPr>
            <w:tcW w:w="1900" w:type="dxa"/>
            <w:noWrap/>
            <w:hideMark/>
          </w:tcPr>
          <w:p w14:paraId="6FA27AB3"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474A2202"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302212</w:t>
            </w:r>
          </w:p>
        </w:tc>
      </w:tr>
      <w:tr w:rsidR="00722784" w:rsidRPr="00724BDD" w14:paraId="7DE492DF"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4B98DE6"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CD19</w:t>
            </w:r>
          </w:p>
        </w:tc>
        <w:tc>
          <w:tcPr>
            <w:tcW w:w="1420" w:type="dxa"/>
            <w:noWrap/>
            <w:hideMark/>
          </w:tcPr>
          <w:p w14:paraId="0D85950A"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HIB19</w:t>
            </w:r>
          </w:p>
        </w:tc>
        <w:tc>
          <w:tcPr>
            <w:tcW w:w="1540" w:type="dxa"/>
            <w:noWrap/>
            <w:hideMark/>
          </w:tcPr>
          <w:p w14:paraId="58B35B00"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AF700</w:t>
            </w:r>
          </w:p>
        </w:tc>
        <w:tc>
          <w:tcPr>
            <w:tcW w:w="1900" w:type="dxa"/>
            <w:noWrap/>
            <w:hideMark/>
          </w:tcPr>
          <w:p w14:paraId="73B6FBF1"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4DEC50CC"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302226</w:t>
            </w:r>
          </w:p>
        </w:tc>
      </w:tr>
      <w:tr w:rsidR="00722784" w:rsidRPr="00724BDD" w14:paraId="43E5423E"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4E38360"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CD19</w:t>
            </w:r>
          </w:p>
        </w:tc>
        <w:tc>
          <w:tcPr>
            <w:tcW w:w="1420" w:type="dxa"/>
            <w:noWrap/>
            <w:hideMark/>
          </w:tcPr>
          <w:p w14:paraId="6733D835"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HIB19</w:t>
            </w:r>
          </w:p>
        </w:tc>
        <w:tc>
          <w:tcPr>
            <w:tcW w:w="1540" w:type="dxa"/>
            <w:noWrap/>
            <w:hideMark/>
          </w:tcPr>
          <w:p w14:paraId="4AFA5D64"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PerCP</w:t>
            </w:r>
            <w:proofErr w:type="spellEnd"/>
          </w:p>
        </w:tc>
        <w:tc>
          <w:tcPr>
            <w:tcW w:w="1900" w:type="dxa"/>
            <w:noWrap/>
            <w:hideMark/>
          </w:tcPr>
          <w:p w14:paraId="01DDB400"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314F2257"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302228</w:t>
            </w:r>
          </w:p>
        </w:tc>
      </w:tr>
      <w:tr w:rsidR="00722784" w:rsidRPr="00724BDD" w14:paraId="6B2EEE9D"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D2B1ED0"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CD45</w:t>
            </w:r>
          </w:p>
        </w:tc>
        <w:tc>
          <w:tcPr>
            <w:tcW w:w="1420" w:type="dxa"/>
            <w:noWrap/>
            <w:hideMark/>
          </w:tcPr>
          <w:p w14:paraId="0A49E6AF"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H130</w:t>
            </w:r>
          </w:p>
        </w:tc>
        <w:tc>
          <w:tcPr>
            <w:tcW w:w="1540" w:type="dxa"/>
            <w:noWrap/>
            <w:hideMark/>
          </w:tcPr>
          <w:p w14:paraId="5023883D"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AF700</w:t>
            </w:r>
          </w:p>
        </w:tc>
        <w:tc>
          <w:tcPr>
            <w:tcW w:w="1900" w:type="dxa"/>
            <w:noWrap/>
            <w:hideMark/>
          </w:tcPr>
          <w:p w14:paraId="7E2E5CA1"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53A48FD6"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304024</w:t>
            </w:r>
          </w:p>
        </w:tc>
      </w:tr>
      <w:tr w:rsidR="00722784" w:rsidRPr="00724BDD" w14:paraId="39727249"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284F021"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CD56</w:t>
            </w:r>
          </w:p>
        </w:tc>
        <w:tc>
          <w:tcPr>
            <w:tcW w:w="1420" w:type="dxa"/>
            <w:noWrap/>
            <w:hideMark/>
          </w:tcPr>
          <w:p w14:paraId="40FCD577"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HCD56</w:t>
            </w:r>
          </w:p>
        </w:tc>
        <w:tc>
          <w:tcPr>
            <w:tcW w:w="1540" w:type="dxa"/>
            <w:noWrap/>
            <w:hideMark/>
          </w:tcPr>
          <w:p w14:paraId="3E9607E8"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w:t>
            </w:r>
          </w:p>
        </w:tc>
        <w:tc>
          <w:tcPr>
            <w:tcW w:w="1900" w:type="dxa"/>
            <w:noWrap/>
            <w:hideMark/>
          </w:tcPr>
          <w:p w14:paraId="1CBA1950"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2A69D739"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318306</w:t>
            </w:r>
          </w:p>
        </w:tc>
      </w:tr>
      <w:tr w:rsidR="00722784" w:rsidRPr="00724BDD" w14:paraId="0A066195"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697266B"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CD62L</w:t>
            </w:r>
          </w:p>
        </w:tc>
        <w:tc>
          <w:tcPr>
            <w:tcW w:w="1420" w:type="dxa"/>
            <w:noWrap/>
            <w:hideMark/>
          </w:tcPr>
          <w:p w14:paraId="1FA9D727"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DREG-56</w:t>
            </w:r>
          </w:p>
        </w:tc>
        <w:tc>
          <w:tcPr>
            <w:tcW w:w="1540" w:type="dxa"/>
            <w:noWrap/>
            <w:hideMark/>
          </w:tcPr>
          <w:p w14:paraId="51AFA572"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APC</w:t>
            </w:r>
          </w:p>
        </w:tc>
        <w:tc>
          <w:tcPr>
            <w:tcW w:w="1900" w:type="dxa"/>
            <w:noWrap/>
            <w:hideMark/>
          </w:tcPr>
          <w:p w14:paraId="5A6ADBAE"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507A972C"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304810</w:t>
            </w:r>
          </w:p>
        </w:tc>
      </w:tr>
      <w:tr w:rsidR="00722784" w:rsidRPr="00724BDD" w14:paraId="7FEEE3A2"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1DA4881"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CD69</w:t>
            </w:r>
          </w:p>
        </w:tc>
        <w:tc>
          <w:tcPr>
            <w:tcW w:w="1420" w:type="dxa"/>
            <w:noWrap/>
            <w:hideMark/>
          </w:tcPr>
          <w:p w14:paraId="1E1C3942"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FN50</w:t>
            </w:r>
          </w:p>
        </w:tc>
        <w:tc>
          <w:tcPr>
            <w:tcW w:w="1540" w:type="dxa"/>
            <w:noWrap/>
            <w:hideMark/>
          </w:tcPr>
          <w:p w14:paraId="3BCD5BE3"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AF488</w:t>
            </w:r>
          </w:p>
        </w:tc>
        <w:tc>
          <w:tcPr>
            <w:tcW w:w="1900" w:type="dxa"/>
            <w:noWrap/>
            <w:hideMark/>
          </w:tcPr>
          <w:p w14:paraId="504AF52C"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66AC6D6D"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310916</w:t>
            </w:r>
          </w:p>
        </w:tc>
      </w:tr>
      <w:tr w:rsidR="00722784" w:rsidRPr="00724BDD" w14:paraId="1C3CEA9F"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A9FB36B"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CD226</w:t>
            </w:r>
          </w:p>
        </w:tc>
        <w:tc>
          <w:tcPr>
            <w:tcW w:w="1420" w:type="dxa"/>
            <w:noWrap/>
            <w:hideMark/>
          </w:tcPr>
          <w:p w14:paraId="2BB2C333"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DX11</w:t>
            </w:r>
          </w:p>
        </w:tc>
        <w:tc>
          <w:tcPr>
            <w:tcW w:w="1540" w:type="dxa"/>
            <w:noWrap/>
            <w:hideMark/>
          </w:tcPr>
          <w:p w14:paraId="03F73F44"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BB515</w:t>
            </w:r>
          </w:p>
        </w:tc>
        <w:tc>
          <w:tcPr>
            <w:tcW w:w="1900" w:type="dxa"/>
            <w:noWrap/>
            <w:hideMark/>
          </w:tcPr>
          <w:p w14:paraId="3F42CEF9"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010AF3F0"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565152</w:t>
            </w:r>
          </w:p>
        </w:tc>
      </w:tr>
      <w:tr w:rsidR="00722784" w:rsidRPr="00724BDD" w14:paraId="00EE5E72"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801A496"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CD314</w:t>
            </w:r>
          </w:p>
        </w:tc>
        <w:tc>
          <w:tcPr>
            <w:tcW w:w="1420" w:type="dxa"/>
            <w:noWrap/>
            <w:hideMark/>
          </w:tcPr>
          <w:p w14:paraId="2213F722"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1D11</w:t>
            </w:r>
          </w:p>
        </w:tc>
        <w:tc>
          <w:tcPr>
            <w:tcW w:w="1540" w:type="dxa"/>
            <w:noWrap/>
            <w:hideMark/>
          </w:tcPr>
          <w:p w14:paraId="72FC8D0B"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AF647</w:t>
            </w:r>
          </w:p>
        </w:tc>
        <w:tc>
          <w:tcPr>
            <w:tcW w:w="1900" w:type="dxa"/>
            <w:noWrap/>
            <w:hideMark/>
          </w:tcPr>
          <w:p w14:paraId="5DBBD9F4"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0AA54255"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320825</w:t>
            </w:r>
          </w:p>
        </w:tc>
      </w:tr>
      <w:tr w:rsidR="00722784" w:rsidRPr="00724BDD" w14:paraId="4587D178"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3A9EB4B"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CD366</w:t>
            </w:r>
          </w:p>
        </w:tc>
        <w:tc>
          <w:tcPr>
            <w:tcW w:w="1420" w:type="dxa"/>
            <w:noWrap/>
            <w:hideMark/>
          </w:tcPr>
          <w:p w14:paraId="38B478B6"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7D3</w:t>
            </w:r>
          </w:p>
        </w:tc>
        <w:tc>
          <w:tcPr>
            <w:tcW w:w="1540" w:type="dxa"/>
            <w:noWrap/>
            <w:hideMark/>
          </w:tcPr>
          <w:p w14:paraId="7E87A299"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BB515</w:t>
            </w:r>
          </w:p>
        </w:tc>
        <w:tc>
          <w:tcPr>
            <w:tcW w:w="1900" w:type="dxa"/>
            <w:noWrap/>
            <w:hideMark/>
          </w:tcPr>
          <w:p w14:paraId="3475C889"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259AFA7A"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565568</w:t>
            </w:r>
          </w:p>
        </w:tc>
      </w:tr>
      <w:tr w:rsidR="00722784" w:rsidRPr="00724BDD" w14:paraId="5740A8BC"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67BB673"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CD279</w:t>
            </w:r>
          </w:p>
        </w:tc>
        <w:tc>
          <w:tcPr>
            <w:tcW w:w="1420" w:type="dxa"/>
            <w:noWrap/>
            <w:hideMark/>
          </w:tcPr>
          <w:p w14:paraId="531302B0"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EH12.2H7</w:t>
            </w:r>
          </w:p>
        </w:tc>
        <w:tc>
          <w:tcPr>
            <w:tcW w:w="1540" w:type="dxa"/>
            <w:noWrap/>
            <w:hideMark/>
          </w:tcPr>
          <w:p w14:paraId="1B5AFA86"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APC</w:t>
            </w:r>
          </w:p>
        </w:tc>
        <w:tc>
          <w:tcPr>
            <w:tcW w:w="1900" w:type="dxa"/>
            <w:noWrap/>
            <w:hideMark/>
          </w:tcPr>
          <w:p w14:paraId="0C499F54"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7F721947"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329908</w:t>
            </w:r>
          </w:p>
        </w:tc>
      </w:tr>
      <w:tr w:rsidR="00722784" w:rsidRPr="00724BDD" w14:paraId="5424ED71"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6961C85"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HLA-DR</w:t>
            </w:r>
          </w:p>
        </w:tc>
        <w:tc>
          <w:tcPr>
            <w:tcW w:w="1420" w:type="dxa"/>
            <w:noWrap/>
            <w:hideMark/>
          </w:tcPr>
          <w:p w14:paraId="27D10D8F"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L243</w:t>
            </w:r>
          </w:p>
        </w:tc>
        <w:tc>
          <w:tcPr>
            <w:tcW w:w="1540" w:type="dxa"/>
            <w:noWrap/>
            <w:hideMark/>
          </w:tcPr>
          <w:p w14:paraId="1A01E85D"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PerCP</w:t>
            </w:r>
            <w:proofErr w:type="spellEnd"/>
          </w:p>
        </w:tc>
        <w:tc>
          <w:tcPr>
            <w:tcW w:w="1900" w:type="dxa"/>
            <w:noWrap/>
            <w:hideMark/>
          </w:tcPr>
          <w:p w14:paraId="563C0137"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5707751E"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307628</w:t>
            </w:r>
          </w:p>
        </w:tc>
      </w:tr>
      <w:tr w:rsidR="00722784" w:rsidRPr="00724BDD" w14:paraId="01DE0412"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7B5F752"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PI</w:t>
            </w:r>
          </w:p>
        </w:tc>
        <w:tc>
          <w:tcPr>
            <w:tcW w:w="1420" w:type="dxa"/>
            <w:noWrap/>
            <w:hideMark/>
          </w:tcPr>
          <w:p w14:paraId="0ADDD484"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n/a</w:t>
            </w:r>
          </w:p>
        </w:tc>
        <w:tc>
          <w:tcPr>
            <w:tcW w:w="1540" w:type="dxa"/>
            <w:noWrap/>
            <w:hideMark/>
          </w:tcPr>
          <w:p w14:paraId="7B2E899E"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n/a</w:t>
            </w:r>
          </w:p>
        </w:tc>
        <w:tc>
          <w:tcPr>
            <w:tcW w:w="1900" w:type="dxa"/>
            <w:noWrap/>
            <w:hideMark/>
          </w:tcPr>
          <w:p w14:paraId="43625F0B"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2FE51186"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556463</w:t>
            </w:r>
          </w:p>
        </w:tc>
      </w:tr>
      <w:tr w:rsidR="00722784" w:rsidRPr="00724BDD" w14:paraId="111E0624"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D4ED778"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TIGIT</w:t>
            </w:r>
          </w:p>
        </w:tc>
        <w:tc>
          <w:tcPr>
            <w:tcW w:w="1420" w:type="dxa"/>
            <w:noWrap/>
            <w:hideMark/>
          </w:tcPr>
          <w:p w14:paraId="14ACE187"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MBSA43</w:t>
            </w:r>
          </w:p>
        </w:tc>
        <w:tc>
          <w:tcPr>
            <w:tcW w:w="1540" w:type="dxa"/>
            <w:noWrap/>
            <w:hideMark/>
          </w:tcPr>
          <w:p w14:paraId="4754B4BC"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APC</w:t>
            </w:r>
          </w:p>
        </w:tc>
        <w:tc>
          <w:tcPr>
            <w:tcW w:w="1900" w:type="dxa"/>
            <w:noWrap/>
            <w:hideMark/>
          </w:tcPr>
          <w:p w14:paraId="17A66F15"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eBioscience</w:t>
            </w:r>
            <w:proofErr w:type="spellEnd"/>
          </w:p>
        </w:tc>
        <w:tc>
          <w:tcPr>
            <w:tcW w:w="1420" w:type="dxa"/>
            <w:noWrap/>
            <w:hideMark/>
          </w:tcPr>
          <w:p w14:paraId="670049D9"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17-9500-42</w:t>
            </w:r>
          </w:p>
        </w:tc>
      </w:tr>
    </w:tbl>
    <w:p w14:paraId="2B1494AA" w14:textId="77777777" w:rsidR="00446C2B" w:rsidRPr="00724BDD" w:rsidRDefault="00446C2B">
      <w:pPr>
        <w:rPr>
          <w:rFonts w:asciiTheme="minorHAnsi" w:hAnsiTheme="minorHAnsi" w:cstheme="minorHAnsi"/>
          <w:b/>
          <w:sz w:val="32"/>
          <w:szCs w:val="32"/>
          <w:lang w:val="en-US"/>
        </w:rPr>
      </w:pPr>
      <w:r w:rsidRPr="00724BDD">
        <w:rPr>
          <w:rFonts w:asciiTheme="minorHAnsi" w:hAnsiTheme="minorHAnsi" w:cstheme="minorHAnsi"/>
          <w:lang w:val="en-US"/>
        </w:rPr>
        <w:br w:type="page"/>
      </w:r>
    </w:p>
    <w:p w14:paraId="4F980A55" w14:textId="7125E410" w:rsidR="00F10C55" w:rsidRPr="00724BDD" w:rsidRDefault="001D7956" w:rsidP="00446C2B">
      <w:pPr>
        <w:pStyle w:val="Heading1"/>
        <w:rPr>
          <w:rFonts w:asciiTheme="minorHAnsi" w:hAnsiTheme="minorHAnsi" w:cstheme="minorHAnsi"/>
        </w:rPr>
      </w:pPr>
      <w:bookmarkStart w:id="2" w:name="_Toc107775932"/>
      <w:r>
        <w:rPr>
          <w:rFonts w:asciiTheme="minorHAnsi" w:hAnsiTheme="minorHAnsi" w:cstheme="minorHAnsi"/>
        </w:rPr>
        <w:lastRenderedPageBreak/>
        <w:t xml:space="preserve">SDC, </w:t>
      </w:r>
      <w:r w:rsidR="00F10C55" w:rsidRPr="00724BDD">
        <w:rPr>
          <w:rFonts w:asciiTheme="minorHAnsi" w:hAnsiTheme="minorHAnsi" w:cstheme="minorHAnsi"/>
        </w:rPr>
        <w:t>Table 2</w:t>
      </w:r>
      <w:bookmarkEnd w:id="2"/>
    </w:p>
    <w:p w14:paraId="16D15126" w14:textId="5803283E" w:rsidR="00446C2B" w:rsidRPr="00724BDD" w:rsidRDefault="00446C2B">
      <w:pPr>
        <w:rPr>
          <w:rFonts w:asciiTheme="minorHAnsi" w:hAnsiTheme="minorHAnsi" w:cstheme="minorHAnsi"/>
          <w:lang w:val="en-US"/>
        </w:rPr>
      </w:pPr>
    </w:p>
    <w:p w14:paraId="0C2BC53E" w14:textId="77777777" w:rsidR="00CF6936" w:rsidRPr="00724BDD" w:rsidRDefault="00CF6936">
      <w:pPr>
        <w:rPr>
          <w:rFonts w:asciiTheme="minorHAnsi" w:hAnsiTheme="minorHAnsi" w:cstheme="minorHAnsi"/>
          <w:lang w:val="en-US"/>
        </w:rPr>
      </w:pPr>
    </w:p>
    <w:tbl>
      <w:tblPr>
        <w:tblStyle w:val="ListTable6Colorful"/>
        <w:tblW w:w="7940" w:type="dxa"/>
        <w:tblLook w:val="04A0" w:firstRow="1" w:lastRow="0" w:firstColumn="1" w:lastColumn="0" w:noHBand="0" w:noVBand="1"/>
      </w:tblPr>
      <w:tblGrid>
        <w:gridCol w:w="1740"/>
        <w:gridCol w:w="1420"/>
        <w:gridCol w:w="1617"/>
        <w:gridCol w:w="1900"/>
        <w:gridCol w:w="1420"/>
      </w:tblGrid>
      <w:tr w:rsidR="00722784" w:rsidRPr="00724BDD" w14:paraId="7D436256" w14:textId="77777777" w:rsidTr="0072278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F45E78E" w14:textId="77777777" w:rsidR="00722784" w:rsidRPr="00724BDD" w:rsidRDefault="00722784" w:rsidP="00722784">
            <w:pPr>
              <w:rPr>
                <w:rFonts w:asciiTheme="minorHAnsi" w:hAnsiTheme="minorHAnsi" w:cstheme="minorHAnsi"/>
                <w:color w:val="000000"/>
                <w:lang w:val="en-US"/>
              </w:rPr>
            </w:pPr>
            <w:r w:rsidRPr="00724BDD">
              <w:rPr>
                <w:rFonts w:asciiTheme="minorHAnsi" w:hAnsiTheme="minorHAnsi" w:cstheme="minorHAnsi"/>
                <w:color w:val="000000"/>
                <w:lang w:val="en-US"/>
              </w:rPr>
              <w:t>Antigen/Target</w:t>
            </w:r>
          </w:p>
        </w:tc>
        <w:tc>
          <w:tcPr>
            <w:tcW w:w="1420" w:type="dxa"/>
            <w:noWrap/>
            <w:hideMark/>
          </w:tcPr>
          <w:p w14:paraId="77D0FB1D"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Clone</w:t>
            </w:r>
          </w:p>
        </w:tc>
        <w:tc>
          <w:tcPr>
            <w:tcW w:w="1540" w:type="dxa"/>
            <w:noWrap/>
            <w:hideMark/>
          </w:tcPr>
          <w:p w14:paraId="273E8125"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Fluorochrome</w:t>
            </w:r>
          </w:p>
        </w:tc>
        <w:tc>
          <w:tcPr>
            <w:tcW w:w="1900" w:type="dxa"/>
            <w:noWrap/>
            <w:hideMark/>
          </w:tcPr>
          <w:p w14:paraId="23ED3ACA"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Manufacturer</w:t>
            </w:r>
          </w:p>
        </w:tc>
        <w:tc>
          <w:tcPr>
            <w:tcW w:w="1420" w:type="dxa"/>
            <w:noWrap/>
            <w:hideMark/>
          </w:tcPr>
          <w:p w14:paraId="5EF522C2"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Cat. nr.</w:t>
            </w:r>
          </w:p>
        </w:tc>
      </w:tr>
      <w:tr w:rsidR="00722784" w:rsidRPr="00724BDD" w14:paraId="76A43C22"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D2072BB"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w:t>
            </w:r>
          </w:p>
        </w:tc>
        <w:tc>
          <w:tcPr>
            <w:tcW w:w="1420" w:type="dxa"/>
            <w:noWrap/>
            <w:hideMark/>
          </w:tcPr>
          <w:p w14:paraId="00DE4295"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HIT3a</w:t>
            </w:r>
          </w:p>
        </w:tc>
        <w:tc>
          <w:tcPr>
            <w:tcW w:w="1540" w:type="dxa"/>
            <w:noWrap/>
            <w:hideMark/>
          </w:tcPr>
          <w:p w14:paraId="69AD0F04"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PE-Cy7</w:t>
            </w:r>
          </w:p>
        </w:tc>
        <w:tc>
          <w:tcPr>
            <w:tcW w:w="1900" w:type="dxa"/>
            <w:noWrap/>
            <w:hideMark/>
          </w:tcPr>
          <w:p w14:paraId="2F25F1D5"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5DBB5477"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300316</w:t>
            </w:r>
          </w:p>
        </w:tc>
      </w:tr>
      <w:tr w:rsidR="00722784" w:rsidRPr="00724BDD" w14:paraId="3F272EEF"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5A3DB91"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w:t>
            </w:r>
          </w:p>
        </w:tc>
        <w:tc>
          <w:tcPr>
            <w:tcW w:w="1420" w:type="dxa"/>
            <w:noWrap/>
            <w:hideMark/>
          </w:tcPr>
          <w:p w14:paraId="4A2AFCDA"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UCHT1</w:t>
            </w:r>
          </w:p>
        </w:tc>
        <w:tc>
          <w:tcPr>
            <w:tcW w:w="1540" w:type="dxa"/>
            <w:noWrap/>
            <w:hideMark/>
          </w:tcPr>
          <w:p w14:paraId="6E33135B"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AF700</w:t>
            </w:r>
          </w:p>
        </w:tc>
        <w:tc>
          <w:tcPr>
            <w:tcW w:w="1900" w:type="dxa"/>
            <w:noWrap/>
            <w:hideMark/>
          </w:tcPr>
          <w:p w14:paraId="387A73EF"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4CBE64A0"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300424</w:t>
            </w:r>
          </w:p>
        </w:tc>
      </w:tr>
      <w:tr w:rsidR="00722784" w:rsidRPr="00724BDD" w14:paraId="74FB6DCE"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D405460"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w:t>
            </w:r>
          </w:p>
        </w:tc>
        <w:tc>
          <w:tcPr>
            <w:tcW w:w="1420" w:type="dxa"/>
            <w:noWrap/>
            <w:hideMark/>
          </w:tcPr>
          <w:p w14:paraId="07F1C0A5"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UCHT 1</w:t>
            </w:r>
          </w:p>
        </w:tc>
        <w:tc>
          <w:tcPr>
            <w:tcW w:w="1540" w:type="dxa"/>
            <w:noWrap/>
            <w:hideMark/>
          </w:tcPr>
          <w:p w14:paraId="60781E48"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FITC</w:t>
            </w:r>
          </w:p>
        </w:tc>
        <w:tc>
          <w:tcPr>
            <w:tcW w:w="1900" w:type="dxa"/>
            <w:noWrap/>
            <w:hideMark/>
          </w:tcPr>
          <w:p w14:paraId="7B2E8DAA"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43FDA6F9"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300406</w:t>
            </w:r>
          </w:p>
        </w:tc>
      </w:tr>
      <w:tr w:rsidR="00722784" w:rsidRPr="00724BDD" w14:paraId="3AD630BA"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CB05F62"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CD4</w:t>
            </w:r>
          </w:p>
        </w:tc>
        <w:tc>
          <w:tcPr>
            <w:tcW w:w="1420" w:type="dxa"/>
            <w:noWrap/>
            <w:hideMark/>
          </w:tcPr>
          <w:p w14:paraId="45483401"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OKT-4</w:t>
            </w:r>
          </w:p>
        </w:tc>
        <w:tc>
          <w:tcPr>
            <w:tcW w:w="1540" w:type="dxa"/>
            <w:noWrap/>
            <w:hideMark/>
          </w:tcPr>
          <w:p w14:paraId="7DFFD883"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AF700</w:t>
            </w:r>
          </w:p>
        </w:tc>
        <w:tc>
          <w:tcPr>
            <w:tcW w:w="1900" w:type="dxa"/>
            <w:noWrap/>
            <w:hideMark/>
          </w:tcPr>
          <w:p w14:paraId="5B2204BC"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431C96E9"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317426</w:t>
            </w:r>
          </w:p>
        </w:tc>
      </w:tr>
      <w:tr w:rsidR="00722784" w:rsidRPr="00724BDD" w14:paraId="6900217D"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6181F5E"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CD4</w:t>
            </w:r>
          </w:p>
        </w:tc>
        <w:tc>
          <w:tcPr>
            <w:tcW w:w="1420" w:type="dxa"/>
            <w:noWrap/>
            <w:hideMark/>
          </w:tcPr>
          <w:p w14:paraId="26784426"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RPA-T4</w:t>
            </w:r>
          </w:p>
        </w:tc>
        <w:tc>
          <w:tcPr>
            <w:tcW w:w="1540" w:type="dxa"/>
            <w:noWrap/>
            <w:hideMark/>
          </w:tcPr>
          <w:p w14:paraId="6EDB27F7"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PerCP</w:t>
            </w:r>
            <w:proofErr w:type="spellEnd"/>
          </w:p>
        </w:tc>
        <w:tc>
          <w:tcPr>
            <w:tcW w:w="1900" w:type="dxa"/>
            <w:noWrap/>
            <w:hideMark/>
          </w:tcPr>
          <w:p w14:paraId="6899177A"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5426A120"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300528</w:t>
            </w:r>
          </w:p>
        </w:tc>
      </w:tr>
      <w:tr w:rsidR="00722784" w:rsidRPr="00724BDD" w14:paraId="049C53DD"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511A295"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CD8</w:t>
            </w:r>
          </w:p>
        </w:tc>
        <w:tc>
          <w:tcPr>
            <w:tcW w:w="1420" w:type="dxa"/>
            <w:noWrap/>
            <w:hideMark/>
          </w:tcPr>
          <w:p w14:paraId="509716BA"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HIT8a</w:t>
            </w:r>
          </w:p>
        </w:tc>
        <w:tc>
          <w:tcPr>
            <w:tcW w:w="1540" w:type="dxa"/>
            <w:noWrap/>
            <w:hideMark/>
          </w:tcPr>
          <w:p w14:paraId="4F4FCD4A"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AF700</w:t>
            </w:r>
          </w:p>
        </w:tc>
        <w:tc>
          <w:tcPr>
            <w:tcW w:w="1900" w:type="dxa"/>
            <w:noWrap/>
            <w:hideMark/>
          </w:tcPr>
          <w:p w14:paraId="4383630E"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227BDB64"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300920</w:t>
            </w:r>
          </w:p>
        </w:tc>
      </w:tr>
      <w:tr w:rsidR="00722784" w:rsidRPr="00724BDD" w14:paraId="7B82162B"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C49F22A"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CD8</w:t>
            </w:r>
          </w:p>
        </w:tc>
        <w:tc>
          <w:tcPr>
            <w:tcW w:w="1420" w:type="dxa"/>
            <w:noWrap/>
            <w:hideMark/>
          </w:tcPr>
          <w:p w14:paraId="3BDC2DE5"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SK1</w:t>
            </w:r>
          </w:p>
        </w:tc>
        <w:tc>
          <w:tcPr>
            <w:tcW w:w="1540" w:type="dxa"/>
            <w:noWrap/>
            <w:hideMark/>
          </w:tcPr>
          <w:p w14:paraId="08D96EC1"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APC</w:t>
            </w:r>
          </w:p>
        </w:tc>
        <w:tc>
          <w:tcPr>
            <w:tcW w:w="1900" w:type="dxa"/>
            <w:noWrap/>
            <w:hideMark/>
          </w:tcPr>
          <w:p w14:paraId="187A9D4F"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32F1A635"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344722</w:t>
            </w:r>
          </w:p>
        </w:tc>
      </w:tr>
      <w:tr w:rsidR="00722784" w:rsidRPr="00724BDD" w14:paraId="5FDA8CEF"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899646F"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CD11b</w:t>
            </w:r>
          </w:p>
        </w:tc>
        <w:tc>
          <w:tcPr>
            <w:tcW w:w="1420" w:type="dxa"/>
            <w:noWrap/>
            <w:hideMark/>
          </w:tcPr>
          <w:p w14:paraId="3FAED70F"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M1/70</w:t>
            </w:r>
          </w:p>
        </w:tc>
        <w:tc>
          <w:tcPr>
            <w:tcW w:w="1540" w:type="dxa"/>
            <w:noWrap/>
            <w:hideMark/>
          </w:tcPr>
          <w:p w14:paraId="317D2108"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PE-Cy7</w:t>
            </w:r>
          </w:p>
        </w:tc>
        <w:tc>
          <w:tcPr>
            <w:tcW w:w="1900" w:type="dxa"/>
            <w:noWrap/>
            <w:hideMark/>
          </w:tcPr>
          <w:p w14:paraId="28690DCB"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6142EF13"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101216</w:t>
            </w:r>
          </w:p>
        </w:tc>
      </w:tr>
      <w:tr w:rsidR="00722784" w:rsidRPr="00724BDD" w14:paraId="205286A1"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E5D8F47"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CD14</w:t>
            </w:r>
          </w:p>
        </w:tc>
        <w:tc>
          <w:tcPr>
            <w:tcW w:w="1420" w:type="dxa"/>
            <w:noWrap/>
            <w:hideMark/>
          </w:tcPr>
          <w:p w14:paraId="464E8A8F"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HCD14</w:t>
            </w:r>
          </w:p>
        </w:tc>
        <w:tc>
          <w:tcPr>
            <w:tcW w:w="1540" w:type="dxa"/>
            <w:noWrap/>
            <w:hideMark/>
          </w:tcPr>
          <w:p w14:paraId="4E265BC7"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AF700</w:t>
            </w:r>
          </w:p>
        </w:tc>
        <w:tc>
          <w:tcPr>
            <w:tcW w:w="1900" w:type="dxa"/>
            <w:noWrap/>
            <w:hideMark/>
          </w:tcPr>
          <w:p w14:paraId="309BB43D"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605E64EB"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325614</w:t>
            </w:r>
          </w:p>
        </w:tc>
      </w:tr>
      <w:tr w:rsidR="00722784" w:rsidRPr="00724BDD" w14:paraId="514F8F68"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903A09D"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CD15</w:t>
            </w:r>
          </w:p>
        </w:tc>
        <w:tc>
          <w:tcPr>
            <w:tcW w:w="1420" w:type="dxa"/>
            <w:noWrap/>
            <w:hideMark/>
          </w:tcPr>
          <w:p w14:paraId="3B355D82"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W6D3</w:t>
            </w:r>
          </w:p>
        </w:tc>
        <w:tc>
          <w:tcPr>
            <w:tcW w:w="1540" w:type="dxa"/>
            <w:noWrap/>
            <w:hideMark/>
          </w:tcPr>
          <w:p w14:paraId="09512018"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AF647</w:t>
            </w:r>
          </w:p>
        </w:tc>
        <w:tc>
          <w:tcPr>
            <w:tcW w:w="1900" w:type="dxa"/>
            <w:noWrap/>
            <w:hideMark/>
          </w:tcPr>
          <w:p w14:paraId="0848E05C"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6ED3E044"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323012</w:t>
            </w:r>
          </w:p>
        </w:tc>
      </w:tr>
      <w:tr w:rsidR="00722784" w:rsidRPr="00724BDD" w14:paraId="0A82F905"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43D689D"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CD19</w:t>
            </w:r>
          </w:p>
        </w:tc>
        <w:tc>
          <w:tcPr>
            <w:tcW w:w="1420" w:type="dxa"/>
            <w:noWrap/>
            <w:hideMark/>
          </w:tcPr>
          <w:p w14:paraId="72E33516"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HIB19</w:t>
            </w:r>
          </w:p>
        </w:tc>
        <w:tc>
          <w:tcPr>
            <w:tcW w:w="1540" w:type="dxa"/>
            <w:noWrap/>
            <w:hideMark/>
          </w:tcPr>
          <w:p w14:paraId="1178761F"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PE-Cy7</w:t>
            </w:r>
          </w:p>
        </w:tc>
        <w:tc>
          <w:tcPr>
            <w:tcW w:w="1900" w:type="dxa"/>
            <w:noWrap/>
            <w:hideMark/>
          </w:tcPr>
          <w:p w14:paraId="555830BE"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3352CCAE"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302216</w:t>
            </w:r>
          </w:p>
        </w:tc>
      </w:tr>
      <w:tr w:rsidR="00722784" w:rsidRPr="00724BDD" w14:paraId="5661D976"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D97E512"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CD19</w:t>
            </w:r>
          </w:p>
        </w:tc>
        <w:tc>
          <w:tcPr>
            <w:tcW w:w="1420" w:type="dxa"/>
            <w:noWrap/>
            <w:hideMark/>
          </w:tcPr>
          <w:p w14:paraId="273BBC7B"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HIB19</w:t>
            </w:r>
          </w:p>
        </w:tc>
        <w:tc>
          <w:tcPr>
            <w:tcW w:w="1540" w:type="dxa"/>
            <w:noWrap/>
            <w:hideMark/>
          </w:tcPr>
          <w:p w14:paraId="39BA8576"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FITC</w:t>
            </w:r>
          </w:p>
        </w:tc>
        <w:tc>
          <w:tcPr>
            <w:tcW w:w="1900" w:type="dxa"/>
            <w:noWrap/>
            <w:hideMark/>
          </w:tcPr>
          <w:p w14:paraId="439EE459"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41AAF410"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302206</w:t>
            </w:r>
          </w:p>
        </w:tc>
      </w:tr>
      <w:tr w:rsidR="00722784" w:rsidRPr="00724BDD" w14:paraId="47CE4506"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2E060EF"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CD25</w:t>
            </w:r>
          </w:p>
        </w:tc>
        <w:tc>
          <w:tcPr>
            <w:tcW w:w="1420" w:type="dxa"/>
            <w:noWrap/>
            <w:hideMark/>
          </w:tcPr>
          <w:p w14:paraId="74F354DD"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BC96</w:t>
            </w:r>
          </w:p>
        </w:tc>
        <w:tc>
          <w:tcPr>
            <w:tcW w:w="1540" w:type="dxa"/>
            <w:noWrap/>
            <w:hideMark/>
          </w:tcPr>
          <w:p w14:paraId="360B8A4A"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APC</w:t>
            </w:r>
          </w:p>
        </w:tc>
        <w:tc>
          <w:tcPr>
            <w:tcW w:w="1900" w:type="dxa"/>
            <w:noWrap/>
            <w:hideMark/>
          </w:tcPr>
          <w:p w14:paraId="73C507EE"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68CE2780"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302610</w:t>
            </w:r>
          </w:p>
        </w:tc>
      </w:tr>
      <w:tr w:rsidR="00722784" w:rsidRPr="00724BDD" w14:paraId="3000E032"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F3AC3C1"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CD25</w:t>
            </w:r>
          </w:p>
        </w:tc>
        <w:tc>
          <w:tcPr>
            <w:tcW w:w="1420" w:type="dxa"/>
            <w:noWrap/>
            <w:hideMark/>
          </w:tcPr>
          <w:p w14:paraId="1C74B562"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2A3</w:t>
            </w:r>
          </w:p>
        </w:tc>
        <w:tc>
          <w:tcPr>
            <w:tcW w:w="1540" w:type="dxa"/>
            <w:noWrap/>
            <w:hideMark/>
          </w:tcPr>
          <w:p w14:paraId="445F2427"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BB515</w:t>
            </w:r>
          </w:p>
        </w:tc>
        <w:tc>
          <w:tcPr>
            <w:tcW w:w="1900" w:type="dxa"/>
            <w:noWrap/>
            <w:hideMark/>
          </w:tcPr>
          <w:p w14:paraId="10FAC4D0"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7F5D0E77"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564467</w:t>
            </w:r>
          </w:p>
        </w:tc>
      </w:tr>
      <w:tr w:rsidR="00722784" w:rsidRPr="00724BDD" w14:paraId="0A1CE1D4"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CA5A679"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CD33</w:t>
            </w:r>
          </w:p>
        </w:tc>
        <w:tc>
          <w:tcPr>
            <w:tcW w:w="1420" w:type="dxa"/>
            <w:noWrap/>
            <w:hideMark/>
          </w:tcPr>
          <w:p w14:paraId="69F02E4C"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WM53</w:t>
            </w:r>
          </w:p>
        </w:tc>
        <w:tc>
          <w:tcPr>
            <w:tcW w:w="1540" w:type="dxa"/>
            <w:noWrap/>
            <w:hideMark/>
          </w:tcPr>
          <w:p w14:paraId="3E2CF83F"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PerCP-Cy5.5</w:t>
            </w:r>
          </w:p>
        </w:tc>
        <w:tc>
          <w:tcPr>
            <w:tcW w:w="1900" w:type="dxa"/>
            <w:noWrap/>
            <w:hideMark/>
          </w:tcPr>
          <w:p w14:paraId="5E3C4C2C"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4A43122B"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303414</w:t>
            </w:r>
          </w:p>
        </w:tc>
      </w:tr>
      <w:tr w:rsidR="00722784" w:rsidRPr="00724BDD" w14:paraId="58C19A41"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1102C34"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CD45RA</w:t>
            </w:r>
          </w:p>
        </w:tc>
        <w:tc>
          <w:tcPr>
            <w:tcW w:w="1420" w:type="dxa"/>
            <w:noWrap/>
            <w:hideMark/>
          </w:tcPr>
          <w:p w14:paraId="347C847C"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HI100</w:t>
            </w:r>
          </w:p>
        </w:tc>
        <w:tc>
          <w:tcPr>
            <w:tcW w:w="1540" w:type="dxa"/>
            <w:noWrap/>
            <w:hideMark/>
          </w:tcPr>
          <w:p w14:paraId="27F3485D"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AF488</w:t>
            </w:r>
          </w:p>
        </w:tc>
        <w:tc>
          <w:tcPr>
            <w:tcW w:w="1900" w:type="dxa"/>
            <w:noWrap/>
            <w:hideMark/>
          </w:tcPr>
          <w:p w14:paraId="3B2BDDEB"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1CED5AD0"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304114</w:t>
            </w:r>
          </w:p>
        </w:tc>
      </w:tr>
      <w:tr w:rsidR="00722784" w:rsidRPr="00724BDD" w14:paraId="11BCA539"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6478E67"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CD45RO</w:t>
            </w:r>
          </w:p>
        </w:tc>
        <w:tc>
          <w:tcPr>
            <w:tcW w:w="1420" w:type="dxa"/>
            <w:noWrap/>
            <w:hideMark/>
          </w:tcPr>
          <w:p w14:paraId="522EB047"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UCHL1</w:t>
            </w:r>
          </w:p>
        </w:tc>
        <w:tc>
          <w:tcPr>
            <w:tcW w:w="1540" w:type="dxa"/>
            <w:noWrap/>
            <w:hideMark/>
          </w:tcPr>
          <w:p w14:paraId="642D69BC"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FITC</w:t>
            </w:r>
          </w:p>
        </w:tc>
        <w:tc>
          <w:tcPr>
            <w:tcW w:w="1900" w:type="dxa"/>
            <w:noWrap/>
            <w:hideMark/>
          </w:tcPr>
          <w:p w14:paraId="3D3E3840"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1700B8C2"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304204</w:t>
            </w:r>
          </w:p>
        </w:tc>
      </w:tr>
      <w:tr w:rsidR="00722784" w:rsidRPr="00724BDD" w14:paraId="4A35840E"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D1B3EC5"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CD56</w:t>
            </w:r>
          </w:p>
        </w:tc>
        <w:tc>
          <w:tcPr>
            <w:tcW w:w="1420" w:type="dxa"/>
            <w:noWrap/>
            <w:hideMark/>
          </w:tcPr>
          <w:p w14:paraId="6943D4D8"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HCD56</w:t>
            </w:r>
          </w:p>
        </w:tc>
        <w:tc>
          <w:tcPr>
            <w:tcW w:w="1540" w:type="dxa"/>
            <w:noWrap/>
            <w:hideMark/>
          </w:tcPr>
          <w:p w14:paraId="6A495508"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FITC</w:t>
            </w:r>
          </w:p>
        </w:tc>
        <w:tc>
          <w:tcPr>
            <w:tcW w:w="1900" w:type="dxa"/>
            <w:noWrap/>
            <w:hideMark/>
          </w:tcPr>
          <w:p w14:paraId="1A5009B2"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0B90B9D3"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318304</w:t>
            </w:r>
          </w:p>
        </w:tc>
      </w:tr>
      <w:tr w:rsidR="00722784" w:rsidRPr="00724BDD" w14:paraId="711E2070"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217F3F7"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CD69</w:t>
            </w:r>
          </w:p>
        </w:tc>
        <w:tc>
          <w:tcPr>
            <w:tcW w:w="1420" w:type="dxa"/>
            <w:noWrap/>
            <w:hideMark/>
          </w:tcPr>
          <w:p w14:paraId="6BF70D44"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FN50</w:t>
            </w:r>
          </w:p>
        </w:tc>
        <w:tc>
          <w:tcPr>
            <w:tcW w:w="1540" w:type="dxa"/>
            <w:noWrap/>
            <w:hideMark/>
          </w:tcPr>
          <w:p w14:paraId="7FC4CEEE"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AF488</w:t>
            </w:r>
          </w:p>
        </w:tc>
        <w:tc>
          <w:tcPr>
            <w:tcW w:w="1900" w:type="dxa"/>
            <w:noWrap/>
            <w:hideMark/>
          </w:tcPr>
          <w:p w14:paraId="3C438084"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04A60BC4"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310916</w:t>
            </w:r>
          </w:p>
        </w:tc>
      </w:tr>
      <w:tr w:rsidR="00722784" w:rsidRPr="00724BDD" w14:paraId="3B1ED809"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BCF5868"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CD127</w:t>
            </w:r>
          </w:p>
        </w:tc>
        <w:tc>
          <w:tcPr>
            <w:tcW w:w="1420" w:type="dxa"/>
            <w:noWrap/>
            <w:hideMark/>
          </w:tcPr>
          <w:p w14:paraId="4C7F6107"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HIL-7R-M21</w:t>
            </w:r>
          </w:p>
        </w:tc>
        <w:tc>
          <w:tcPr>
            <w:tcW w:w="1540" w:type="dxa"/>
            <w:noWrap/>
            <w:hideMark/>
          </w:tcPr>
          <w:p w14:paraId="4DBA1BD0"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PE-Cy7</w:t>
            </w:r>
          </w:p>
        </w:tc>
        <w:tc>
          <w:tcPr>
            <w:tcW w:w="1900" w:type="dxa"/>
            <w:noWrap/>
            <w:hideMark/>
          </w:tcPr>
          <w:p w14:paraId="77C9E555"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176FE7DD"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560822</w:t>
            </w:r>
          </w:p>
        </w:tc>
      </w:tr>
      <w:tr w:rsidR="00722784" w:rsidRPr="00724BDD" w14:paraId="62021FA9"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952A770"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CD127</w:t>
            </w:r>
          </w:p>
        </w:tc>
        <w:tc>
          <w:tcPr>
            <w:tcW w:w="1420" w:type="dxa"/>
            <w:noWrap/>
            <w:hideMark/>
          </w:tcPr>
          <w:p w14:paraId="62EE492E"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A019D5</w:t>
            </w:r>
          </w:p>
        </w:tc>
        <w:tc>
          <w:tcPr>
            <w:tcW w:w="1540" w:type="dxa"/>
            <w:noWrap/>
            <w:hideMark/>
          </w:tcPr>
          <w:p w14:paraId="6A7A4D37"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w:t>
            </w:r>
          </w:p>
        </w:tc>
        <w:tc>
          <w:tcPr>
            <w:tcW w:w="1900" w:type="dxa"/>
            <w:noWrap/>
            <w:hideMark/>
          </w:tcPr>
          <w:p w14:paraId="70F11935"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6C610B79"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351304</w:t>
            </w:r>
          </w:p>
        </w:tc>
      </w:tr>
      <w:tr w:rsidR="00722784" w:rsidRPr="00724BDD" w14:paraId="0A0DD512"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685763B"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CD183</w:t>
            </w:r>
          </w:p>
        </w:tc>
        <w:tc>
          <w:tcPr>
            <w:tcW w:w="1420" w:type="dxa"/>
            <w:noWrap/>
            <w:hideMark/>
          </w:tcPr>
          <w:p w14:paraId="4915751F"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1C6/CXCR3</w:t>
            </w:r>
          </w:p>
        </w:tc>
        <w:tc>
          <w:tcPr>
            <w:tcW w:w="1540" w:type="dxa"/>
            <w:noWrap/>
            <w:hideMark/>
          </w:tcPr>
          <w:p w14:paraId="573B0F3C"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APC</w:t>
            </w:r>
          </w:p>
        </w:tc>
        <w:tc>
          <w:tcPr>
            <w:tcW w:w="1900" w:type="dxa"/>
            <w:noWrap/>
            <w:hideMark/>
          </w:tcPr>
          <w:p w14:paraId="0FC45CFF"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7B306133"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550967</w:t>
            </w:r>
          </w:p>
        </w:tc>
      </w:tr>
      <w:tr w:rsidR="00722784" w:rsidRPr="00724BDD" w14:paraId="08D6AF38"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FB3CA9C"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CD194</w:t>
            </w:r>
          </w:p>
        </w:tc>
        <w:tc>
          <w:tcPr>
            <w:tcW w:w="1420" w:type="dxa"/>
            <w:noWrap/>
            <w:hideMark/>
          </w:tcPr>
          <w:p w14:paraId="3F70AFEB"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1G1</w:t>
            </w:r>
          </w:p>
        </w:tc>
        <w:tc>
          <w:tcPr>
            <w:tcW w:w="1540" w:type="dxa"/>
            <w:noWrap/>
            <w:hideMark/>
          </w:tcPr>
          <w:p w14:paraId="61199DC4"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w:t>
            </w:r>
          </w:p>
        </w:tc>
        <w:tc>
          <w:tcPr>
            <w:tcW w:w="1900" w:type="dxa"/>
            <w:noWrap/>
            <w:hideMark/>
          </w:tcPr>
          <w:p w14:paraId="2EC6486A"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07D4C6AE"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551120</w:t>
            </w:r>
          </w:p>
        </w:tc>
      </w:tr>
      <w:tr w:rsidR="00722784" w:rsidRPr="00724BDD" w14:paraId="0224A1E7"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F0CBF0D"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CD194</w:t>
            </w:r>
          </w:p>
        </w:tc>
        <w:tc>
          <w:tcPr>
            <w:tcW w:w="1420" w:type="dxa"/>
            <w:noWrap/>
            <w:hideMark/>
          </w:tcPr>
          <w:p w14:paraId="170A290C"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L291H4</w:t>
            </w:r>
          </w:p>
        </w:tc>
        <w:tc>
          <w:tcPr>
            <w:tcW w:w="1540" w:type="dxa"/>
            <w:noWrap/>
            <w:hideMark/>
          </w:tcPr>
          <w:p w14:paraId="7BD5643B"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PE-Cy7</w:t>
            </w:r>
          </w:p>
        </w:tc>
        <w:tc>
          <w:tcPr>
            <w:tcW w:w="1900" w:type="dxa"/>
            <w:noWrap/>
            <w:hideMark/>
          </w:tcPr>
          <w:p w14:paraId="44733873"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134967ED"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359410</w:t>
            </w:r>
          </w:p>
        </w:tc>
      </w:tr>
      <w:tr w:rsidR="00722784" w:rsidRPr="00724BDD" w14:paraId="60A6C575"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263D43D"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CD196</w:t>
            </w:r>
          </w:p>
        </w:tc>
        <w:tc>
          <w:tcPr>
            <w:tcW w:w="1420" w:type="dxa"/>
            <w:noWrap/>
            <w:hideMark/>
          </w:tcPr>
          <w:p w14:paraId="5AD20047"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11A9</w:t>
            </w:r>
          </w:p>
        </w:tc>
        <w:tc>
          <w:tcPr>
            <w:tcW w:w="1540" w:type="dxa"/>
            <w:noWrap/>
            <w:hideMark/>
          </w:tcPr>
          <w:p w14:paraId="456185A6"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w:t>
            </w:r>
          </w:p>
        </w:tc>
        <w:tc>
          <w:tcPr>
            <w:tcW w:w="1900" w:type="dxa"/>
            <w:noWrap/>
            <w:hideMark/>
          </w:tcPr>
          <w:p w14:paraId="495113AF"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466D0D5F"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559562</w:t>
            </w:r>
          </w:p>
        </w:tc>
      </w:tr>
      <w:tr w:rsidR="00722784" w:rsidRPr="00724BDD" w14:paraId="113AED9D"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8F2126F"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CD197</w:t>
            </w:r>
          </w:p>
        </w:tc>
        <w:tc>
          <w:tcPr>
            <w:tcW w:w="1420" w:type="dxa"/>
            <w:noWrap/>
            <w:hideMark/>
          </w:tcPr>
          <w:p w14:paraId="79BA32F8"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150503</w:t>
            </w:r>
          </w:p>
        </w:tc>
        <w:tc>
          <w:tcPr>
            <w:tcW w:w="1540" w:type="dxa"/>
            <w:noWrap/>
            <w:hideMark/>
          </w:tcPr>
          <w:p w14:paraId="77423DAA"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AF647</w:t>
            </w:r>
          </w:p>
        </w:tc>
        <w:tc>
          <w:tcPr>
            <w:tcW w:w="1900" w:type="dxa"/>
            <w:noWrap/>
            <w:hideMark/>
          </w:tcPr>
          <w:p w14:paraId="4344A06A"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3ACACD83"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560816</w:t>
            </w:r>
          </w:p>
        </w:tc>
      </w:tr>
      <w:tr w:rsidR="00722784" w:rsidRPr="00724BDD" w14:paraId="25F3F8EF"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CBA5D67"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CD274</w:t>
            </w:r>
          </w:p>
        </w:tc>
        <w:tc>
          <w:tcPr>
            <w:tcW w:w="1420" w:type="dxa"/>
            <w:noWrap/>
            <w:hideMark/>
          </w:tcPr>
          <w:p w14:paraId="349E0931"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MIH1</w:t>
            </w:r>
          </w:p>
        </w:tc>
        <w:tc>
          <w:tcPr>
            <w:tcW w:w="1540" w:type="dxa"/>
            <w:noWrap/>
            <w:hideMark/>
          </w:tcPr>
          <w:p w14:paraId="2DD36F4C"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w:t>
            </w:r>
          </w:p>
        </w:tc>
        <w:tc>
          <w:tcPr>
            <w:tcW w:w="1900" w:type="dxa"/>
            <w:noWrap/>
            <w:hideMark/>
          </w:tcPr>
          <w:p w14:paraId="23618FED"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70DB3E5A"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557924</w:t>
            </w:r>
          </w:p>
        </w:tc>
      </w:tr>
      <w:tr w:rsidR="00722784" w:rsidRPr="00724BDD" w14:paraId="0B84E1FB"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BA1B494" w14:textId="6C11F499"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 xml:space="preserve">   </w:t>
            </w:r>
            <w:r w:rsidR="006F4F79" w:rsidRPr="00724BDD">
              <w:rPr>
                <w:rFonts w:asciiTheme="minorHAnsi" w:hAnsiTheme="minorHAnsi" w:cstheme="minorHAnsi"/>
                <w:b w:val="0"/>
                <w:bCs w:val="0"/>
                <w:color w:val="000000"/>
                <w:lang w:val="en-US"/>
              </w:rPr>
              <w:t xml:space="preserve">  </w:t>
            </w:r>
            <w:r w:rsidRPr="00724BDD">
              <w:rPr>
                <w:rFonts w:asciiTheme="minorHAnsi" w:hAnsiTheme="minorHAnsi" w:cstheme="minorHAnsi"/>
                <w:b w:val="0"/>
                <w:bCs w:val="0"/>
                <w:color w:val="000000"/>
                <w:lang w:val="en-US"/>
              </w:rPr>
              <w:t>Isotype</w:t>
            </w:r>
          </w:p>
        </w:tc>
        <w:tc>
          <w:tcPr>
            <w:tcW w:w="1420" w:type="dxa"/>
            <w:noWrap/>
            <w:hideMark/>
          </w:tcPr>
          <w:p w14:paraId="25995DBF"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MOPC-21</w:t>
            </w:r>
          </w:p>
        </w:tc>
        <w:tc>
          <w:tcPr>
            <w:tcW w:w="1540" w:type="dxa"/>
            <w:noWrap/>
            <w:hideMark/>
          </w:tcPr>
          <w:p w14:paraId="07AE22E9"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w:t>
            </w:r>
          </w:p>
        </w:tc>
        <w:tc>
          <w:tcPr>
            <w:tcW w:w="1900" w:type="dxa"/>
            <w:noWrap/>
            <w:hideMark/>
          </w:tcPr>
          <w:p w14:paraId="3E7DF2CD"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00D8781F"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555749</w:t>
            </w:r>
          </w:p>
        </w:tc>
      </w:tr>
      <w:tr w:rsidR="00722784" w:rsidRPr="00724BDD" w14:paraId="657BFE40"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3DE0DD0"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CD279</w:t>
            </w:r>
          </w:p>
        </w:tc>
        <w:tc>
          <w:tcPr>
            <w:tcW w:w="1420" w:type="dxa"/>
            <w:noWrap/>
            <w:hideMark/>
          </w:tcPr>
          <w:p w14:paraId="78C4A94E"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EH12.2H7</w:t>
            </w:r>
          </w:p>
        </w:tc>
        <w:tc>
          <w:tcPr>
            <w:tcW w:w="1540" w:type="dxa"/>
            <w:noWrap/>
            <w:hideMark/>
          </w:tcPr>
          <w:p w14:paraId="2BA01B7F"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w:t>
            </w:r>
          </w:p>
        </w:tc>
        <w:tc>
          <w:tcPr>
            <w:tcW w:w="1900" w:type="dxa"/>
            <w:noWrap/>
            <w:hideMark/>
          </w:tcPr>
          <w:p w14:paraId="384BA6A3"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49448A57"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329906</w:t>
            </w:r>
          </w:p>
        </w:tc>
      </w:tr>
      <w:tr w:rsidR="00722784" w:rsidRPr="00724BDD" w14:paraId="5DCE21B3"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0D5C480"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CD279</w:t>
            </w:r>
          </w:p>
        </w:tc>
        <w:tc>
          <w:tcPr>
            <w:tcW w:w="1420" w:type="dxa"/>
            <w:noWrap/>
            <w:hideMark/>
          </w:tcPr>
          <w:p w14:paraId="03E047E2"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EH12.2H7</w:t>
            </w:r>
          </w:p>
        </w:tc>
        <w:tc>
          <w:tcPr>
            <w:tcW w:w="1540" w:type="dxa"/>
            <w:noWrap/>
            <w:hideMark/>
          </w:tcPr>
          <w:p w14:paraId="4E32535C"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APC</w:t>
            </w:r>
          </w:p>
        </w:tc>
        <w:tc>
          <w:tcPr>
            <w:tcW w:w="1900" w:type="dxa"/>
            <w:noWrap/>
            <w:hideMark/>
          </w:tcPr>
          <w:p w14:paraId="7BB4DB57"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644FA086"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329908</w:t>
            </w:r>
          </w:p>
        </w:tc>
      </w:tr>
      <w:tr w:rsidR="00722784" w:rsidRPr="00724BDD" w14:paraId="5C97AAC6"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7EFB4E1"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HLA-DR</w:t>
            </w:r>
          </w:p>
        </w:tc>
        <w:tc>
          <w:tcPr>
            <w:tcW w:w="1420" w:type="dxa"/>
            <w:noWrap/>
            <w:hideMark/>
          </w:tcPr>
          <w:p w14:paraId="51FB084F"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L243</w:t>
            </w:r>
          </w:p>
        </w:tc>
        <w:tc>
          <w:tcPr>
            <w:tcW w:w="1540" w:type="dxa"/>
            <w:noWrap/>
            <w:hideMark/>
          </w:tcPr>
          <w:p w14:paraId="267AA01C"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PerCP</w:t>
            </w:r>
            <w:proofErr w:type="spellEnd"/>
          </w:p>
        </w:tc>
        <w:tc>
          <w:tcPr>
            <w:tcW w:w="1900" w:type="dxa"/>
            <w:noWrap/>
            <w:hideMark/>
          </w:tcPr>
          <w:p w14:paraId="495D0ABE"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1171FA2F"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307628</w:t>
            </w:r>
          </w:p>
        </w:tc>
      </w:tr>
      <w:tr w:rsidR="00722784" w:rsidRPr="00724BDD" w14:paraId="17B26C14"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17F55A1"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HLA-DR</w:t>
            </w:r>
          </w:p>
        </w:tc>
        <w:tc>
          <w:tcPr>
            <w:tcW w:w="1420" w:type="dxa"/>
            <w:noWrap/>
            <w:hideMark/>
          </w:tcPr>
          <w:p w14:paraId="4D04EA50"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L243</w:t>
            </w:r>
          </w:p>
        </w:tc>
        <w:tc>
          <w:tcPr>
            <w:tcW w:w="1540" w:type="dxa"/>
            <w:noWrap/>
            <w:hideMark/>
          </w:tcPr>
          <w:p w14:paraId="509DDD52"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w:t>
            </w:r>
          </w:p>
        </w:tc>
        <w:tc>
          <w:tcPr>
            <w:tcW w:w="1900" w:type="dxa"/>
            <w:noWrap/>
            <w:hideMark/>
          </w:tcPr>
          <w:p w14:paraId="53407FF5"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6C79CCCB"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307606</w:t>
            </w:r>
          </w:p>
        </w:tc>
      </w:tr>
    </w:tbl>
    <w:p w14:paraId="7722D25A" w14:textId="77777777" w:rsidR="00446C2B" w:rsidRPr="00724BDD" w:rsidRDefault="00446C2B">
      <w:pPr>
        <w:rPr>
          <w:rFonts w:asciiTheme="minorHAnsi" w:hAnsiTheme="minorHAnsi" w:cstheme="minorHAnsi"/>
          <w:b/>
          <w:sz w:val="32"/>
          <w:szCs w:val="32"/>
          <w:lang w:val="en-US"/>
        </w:rPr>
      </w:pPr>
      <w:r w:rsidRPr="00724BDD">
        <w:rPr>
          <w:rFonts w:asciiTheme="minorHAnsi" w:hAnsiTheme="minorHAnsi" w:cstheme="minorHAnsi"/>
          <w:lang w:val="en-US"/>
        </w:rPr>
        <w:br w:type="page"/>
      </w:r>
    </w:p>
    <w:p w14:paraId="0DECC5B4" w14:textId="2516FA9E" w:rsidR="00F10C55" w:rsidRPr="00724BDD" w:rsidRDefault="001D7956" w:rsidP="00446C2B">
      <w:pPr>
        <w:pStyle w:val="Heading1"/>
        <w:rPr>
          <w:rFonts w:asciiTheme="minorHAnsi" w:hAnsiTheme="minorHAnsi" w:cstheme="minorHAnsi"/>
        </w:rPr>
      </w:pPr>
      <w:bookmarkStart w:id="3" w:name="_Toc107775933"/>
      <w:r>
        <w:rPr>
          <w:rFonts w:asciiTheme="minorHAnsi" w:hAnsiTheme="minorHAnsi" w:cstheme="minorHAnsi"/>
        </w:rPr>
        <w:lastRenderedPageBreak/>
        <w:t xml:space="preserve">SDC, </w:t>
      </w:r>
      <w:r w:rsidR="00F10C55" w:rsidRPr="00724BDD">
        <w:rPr>
          <w:rFonts w:asciiTheme="minorHAnsi" w:hAnsiTheme="minorHAnsi" w:cstheme="minorHAnsi"/>
        </w:rPr>
        <w:t>Table 3</w:t>
      </w:r>
      <w:bookmarkEnd w:id="3"/>
    </w:p>
    <w:p w14:paraId="4F69395F" w14:textId="3E30335B" w:rsidR="00446C2B" w:rsidRPr="00724BDD" w:rsidRDefault="00446C2B">
      <w:pPr>
        <w:rPr>
          <w:rFonts w:asciiTheme="minorHAnsi" w:hAnsiTheme="minorHAnsi" w:cstheme="minorHAnsi"/>
          <w:lang w:val="en-US"/>
        </w:rPr>
      </w:pPr>
    </w:p>
    <w:p w14:paraId="5A2EFF40" w14:textId="77777777" w:rsidR="00CF6936" w:rsidRPr="00724BDD" w:rsidRDefault="00CF6936">
      <w:pPr>
        <w:rPr>
          <w:rFonts w:asciiTheme="minorHAnsi" w:hAnsiTheme="minorHAnsi" w:cstheme="minorHAnsi"/>
          <w:lang w:val="en-US"/>
        </w:rPr>
      </w:pPr>
    </w:p>
    <w:tbl>
      <w:tblPr>
        <w:tblStyle w:val="ListTable6Colorful"/>
        <w:tblW w:w="7940" w:type="dxa"/>
        <w:tblLook w:val="04A0" w:firstRow="1" w:lastRow="0" w:firstColumn="1" w:lastColumn="0" w:noHBand="0" w:noVBand="1"/>
      </w:tblPr>
      <w:tblGrid>
        <w:gridCol w:w="1740"/>
        <w:gridCol w:w="1420"/>
        <w:gridCol w:w="1617"/>
        <w:gridCol w:w="1900"/>
        <w:gridCol w:w="1420"/>
      </w:tblGrid>
      <w:tr w:rsidR="00722784" w:rsidRPr="00724BDD" w14:paraId="004BCCB9" w14:textId="77777777" w:rsidTr="0072278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7B42A1C" w14:textId="77777777" w:rsidR="00722784" w:rsidRPr="00724BDD" w:rsidRDefault="00722784" w:rsidP="00722784">
            <w:pPr>
              <w:rPr>
                <w:rFonts w:asciiTheme="minorHAnsi" w:hAnsiTheme="minorHAnsi" w:cstheme="minorHAnsi"/>
                <w:color w:val="000000"/>
                <w:lang w:val="en-US"/>
              </w:rPr>
            </w:pPr>
            <w:r w:rsidRPr="00724BDD">
              <w:rPr>
                <w:rFonts w:asciiTheme="minorHAnsi" w:hAnsiTheme="minorHAnsi" w:cstheme="minorHAnsi"/>
                <w:color w:val="000000"/>
                <w:lang w:val="en-US"/>
              </w:rPr>
              <w:t>Antigen/Target</w:t>
            </w:r>
          </w:p>
        </w:tc>
        <w:tc>
          <w:tcPr>
            <w:tcW w:w="1420" w:type="dxa"/>
            <w:noWrap/>
            <w:hideMark/>
          </w:tcPr>
          <w:p w14:paraId="75C02ACB"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Clone</w:t>
            </w:r>
          </w:p>
        </w:tc>
        <w:tc>
          <w:tcPr>
            <w:tcW w:w="1540" w:type="dxa"/>
            <w:noWrap/>
            <w:hideMark/>
          </w:tcPr>
          <w:p w14:paraId="6836978B"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Fluorochrome</w:t>
            </w:r>
          </w:p>
        </w:tc>
        <w:tc>
          <w:tcPr>
            <w:tcW w:w="1900" w:type="dxa"/>
            <w:noWrap/>
            <w:hideMark/>
          </w:tcPr>
          <w:p w14:paraId="11609B9F"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Manufacturer</w:t>
            </w:r>
          </w:p>
        </w:tc>
        <w:tc>
          <w:tcPr>
            <w:tcW w:w="1420" w:type="dxa"/>
            <w:noWrap/>
            <w:hideMark/>
          </w:tcPr>
          <w:p w14:paraId="423EDA5C"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Cat. nr.</w:t>
            </w:r>
          </w:p>
        </w:tc>
      </w:tr>
      <w:tr w:rsidR="00722784" w:rsidRPr="00724BDD" w14:paraId="2D9B3151"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6F98BC0"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w:t>
            </w:r>
          </w:p>
        </w:tc>
        <w:tc>
          <w:tcPr>
            <w:tcW w:w="1420" w:type="dxa"/>
            <w:noWrap/>
            <w:hideMark/>
          </w:tcPr>
          <w:p w14:paraId="5E734DF2"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HIT3a</w:t>
            </w:r>
          </w:p>
        </w:tc>
        <w:tc>
          <w:tcPr>
            <w:tcW w:w="1540" w:type="dxa"/>
            <w:noWrap/>
            <w:hideMark/>
          </w:tcPr>
          <w:p w14:paraId="08821542"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PE-Cy7</w:t>
            </w:r>
          </w:p>
        </w:tc>
        <w:tc>
          <w:tcPr>
            <w:tcW w:w="1900" w:type="dxa"/>
            <w:noWrap/>
            <w:hideMark/>
          </w:tcPr>
          <w:p w14:paraId="01763E60"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3043A199"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300316</w:t>
            </w:r>
          </w:p>
        </w:tc>
      </w:tr>
      <w:tr w:rsidR="00722784" w:rsidRPr="00724BDD" w14:paraId="71B00571"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5BFC163"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CD4</w:t>
            </w:r>
          </w:p>
        </w:tc>
        <w:tc>
          <w:tcPr>
            <w:tcW w:w="1420" w:type="dxa"/>
            <w:noWrap/>
            <w:hideMark/>
          </w:tcPr>
          <w:p w14:paraId="186AC3B4"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RPA-T4</w:t>
            </w:r>
          </w:p>
        </w:tc>
        <w:tc>
          <w:tcPr>
            <w:tcW w:w="1540" w:type="dxa"/>
            <w:noWrap/>
            <w:hideMark/>
          </w:tcPr>
          <w:p w14:paraId="52E28C2F"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PerCP</w:t>
            </w:r>
            <w:proofErr w:type="spellEnd"/>
          </w:p>
        </w:tc>
        <w:tc>
          <w:tcPr>
            <w:tcW w:w="1900" w:type="dxa"/>
            <w:noWrap/>
            <w:hideMark/>
          </w:tcPr>
          <w:p w14:paraId="5828BEF7"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2E32E60B"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300528</w:t>
            </w:r>
          </w:p>
        </w:tc>
      </w:tr>
      <w:tr w:rsidR="00722784" w:rsidRPr="00724BDD" w14:paraId="3D9DDF95"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8CDAAE7"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CD8</w:t>
            </w:r>
          </w:p>
        </w:tc>
        <w:tc>
          <w:tcPr>
            <w:tcW w:w="1420" w:type="dxa"/>
            <w:noWrap/>
            <w:hideMark/>
          </w:tcPr>
          <w:p w14:paraId="5522144B"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HIT8a</w:t>
            </w:r>
          </w:p>
        </w:tc>
        <w:tc>
          <w:tcPr>
            <w:tcW w:w="1540" w:type="dxa"/>
            <w:noWrap/>
            <w:hideMark/>
          </w:tcPr>
          <w:p w14:paraId="177159D0"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AF700</w:t>
            </w:r>
          </w:p>
        </w:tc>
        <w:tc>
          <w:tcPr>
            <w:tcW w:w="1900" w:type="dxa"/>
            <w:noWrap/>
            <w:hideMark/>
          </w:tcPr>
          <w:p w14:paraId="728F4EDC"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7ED14701"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300920</w:t>
            </w:r>
          </w:p>
        </w:tc>
      </w:tr>
      <w:tr w:rsidR="00722784" w:rsidRPr="00724BDD" w14:paraId="7E8D14D0"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C973875"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CD19</w:t>
            </w:r>
          </w:p>
        </w:tc>
        <w:tc>
          <w:tcPr>
            <w:tcW w:w="1420" w:type="dxa"/>
            <w:noWrap/>
            <w:hideMark/>
          </w:tcPr>
          <w:p w14:paraId="005DDED6"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HIB19</w:t>
            </w:r>
          </w:p>
        </w:tc>
        <w:tc>
          <w:tcPr>
            <w:tcW w:w="1540" w:type="dxa"/>
            <w:noWrap/>
            <w:hideMark/>
          </w:tcPr>
          <w:p w14:paraId="2C3A74CF"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APC</w:t>
            </w:r>
          </w:p>
        </w:tc>
        <w:tc>
          <w:tcPr>
            <w:tcW w:w="1900" w:type="dxa"/>
            <w:noWrap/>
            <w:hideMark/>
          </w:tcPr>
          <w:p w14:paraId="59A00476"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6AD8143B"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302212</w:t>
            </w:r>
          </w:p>
        </w:tc>
      </w:tr>
    </w:tbl>
    <w:p w14:paraId="12CAC715" w14:textId="77777777" w:rsidR="00446C2B" w:rsidRPr="00724BDD" w:rsidRDefault="00446C2B">
      <w:pPr>
        <w:rPr>
          <w:rFonts w:asciiTheme="minorHAnsi" w:hAnsiTheme="minorHAnsi" w:cstheme="minorHAnsi"/>
          <w:b/>
          <w:sz w:val="32"/>
          <w:szCs w:val="32"/>
          <w:lang w:val="en-US"/>
        </w:rPr>
      </w:pPr>
      <w:r w:rsidRPr="00724BDD">
        <w:rPr>
          <w:rFonts w:asciiTheme="minorHAnsi" w:hAnsiTheme="minorHAnsi" w:cstheme="minorHAnsi"/>
          <w:lang w:val="en-US"/>
        </w:rPr>
        <w:br w:type="page"/>
      </w:r>
    </w:p>
    <w:p w14:paraId="084434BE" w14:textId="79612B9F" w:rsidR="00F10C55" w:rsidRPr="00724BDD" w:rsidRDefault="001D7956" w:rsidP="00446C2B">
      <w:pPr>
        <w:pStyle w:val="Heading1"/>
        <w:rPr>
          <w:rFonts w:asciiTheme="minorHAnsi" w:hAnsiTheme="minorHAnsi" w:cstheme="minorHAnsi"/>
        </w:rPr>
      </w:pPr>
      <w:bookmarkStart w:id="4" w:name="_Toc107775934"/>
      <w:r>
        <w:rPr>
          <w:rFonts w:asciiTheme="minorHAnsi" w:hAnsiTheme="minorHAnsi" w:cstheme="minorHAnsi"/>
        </w:rPr>
        <w:lastRenderedPageBreak/>
        <w:t xml:space="preserve">SDC, </w:t>
      </w:r>
      <w:r w:rsidR="00F10C55" w:rsidRPr="00724BDD">
        <w:rPr>
          <w:rFonts w:asciiTheme="minorHAnsi" w:hAnsiTheme="minorHAnsi" w:cstheme="minorHAnsi"/>
        </w:rPr>
        <w:t>Table 4</w:t>
      </w:r>
      <w:bookmarkEnd w:id="4"/>
    </w:p>
    <w:p w14:paraId="3BA814C5" w14:textId="76E5F9B1" w:rsidR="00446C2B" w:rsidRPr="00724BDD" w:rsidRDefault="00446C2B">
      <w:pPr>
        <w:rPr>
          <w:rFonts w:asciiTheme="minorHAnsi" w:hAnsiTheme="minorHAnsi" w:cstheme="minorHAnsi"/>
          <w:lang w:val="en-US"/>
        </w:rPr>
      </w:pPr>
    </w:p>
    <w:p w14:paraId="6FA8EA44" w14:textId="77777777" w:rsidR="00CF6936" w:rsidRPr="00724BDD" w:rsidRDefault="00CF6936">
      <w:pPr>
        <w:rPr>
          <w:rFonts w:asciiTheme="minorHAnsi" w:hAnsiTheme="minorHAnsi" w:cstheme="minorHAnsi"/>
          <w:lang w:val="en-US"/>
        </w:rPr>
      </w:pPr>
    </w:p>
    <w:tbl>
      <w:tblPr>
        <w:tblStyle w:val="ListTable6Colorful"/>
        <w:tblW w:w="7940" w:type="dxa"/>
        <w:tblLook w:val="04A0" w:firstRow="1" w:lastRow="0" w:firstColumn="1" w:lastColumn="0" w:noHBand="0" w:noVBand="1"/>
      </w:tblPr>
      <w:tblGrid>
        <w:gridCol w:w="1740"/>
        <w:gridCol w:w="1420"/>
        <w:gridCol w:w="1617"/>
        <w:gridCol w:w="1900"/>
        <w:gridCol w:w="1420"/>
      </w:tblGrid>
      <w:tr w:rsidR="00722784" w:rsidRPr="00724BDD" w14:paraId="2F72F3C4" w14:textId="77777777" w:rsidTr="0072278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B5F3A7A" w14:textId="77777777" w:rsidR="00722784" w:rsidRPr="00724BDD" w:rsidRDefault="00722784" w:rsidP="00722784">
            <w:pPr>
              <w:rPr>
                <w:rFonts w:asciiTheme="minorHAnsi" w:hAnsiTheme="minorHAnsi" w:cstheme="minorHAnsi"/>
                <w:color w:val="000000"/>
                <w:lang w:val="en-US"/>
              </w:rPr>
            </w:pPr>
            <w:r w:rsidRPr="00724BDD">
              <w:rPr>
                <w:rFonts w:asciiTheme="minorHAnsi" w:hAnsiTheme="minorHAnsi" w:cstheme="minorHAnsi"/>
                <w:color w:val="000000"/>
                <w:lang w:val="en-US"/>
              </w:rPr>
              <w:t>Antigen/Target</w:t>
            </w:r>
          </w:p>
        </w:tc>
        <w:tc>
          <w:tcPr>
            <w:tcW w:w="1420" w:type="dxa"/>
            <w:noWrap/>
            <w:hideMark/>
          </w:tcPr>
          <w:p w14:paraId="5F5313CA"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Clone</w:t>
            </w:r>
          </w:p>
        </w:tc>
        <w:tc>
          <w:tcPr>
            <w:tcW w:w="1540" w:type="dxa"/>
            <w:noWrap/>
            <w:hideMark/>
          </w:tcPr>
          <w:p w14:paraId="112B1270"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Fluorochrome</w:t>
            </w:r>
          </w:p>
        </w:tc>
        <w:tc>
          <w:tcPr>
            <w:tcW w:w="1900" w:type="dxa"/>
            <w:noWrap/>
            <w:hideMark/>
          </w:tcPr>
          <w:p w14:paraId="3C6F154D"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Manufacturer</w:t>
            </w:r>
          </w:p>
        </w:tc>
        <w:tc>
          <w:tcPr>
            <w:tcW w:w="1420" w:type="dxa"/>
            <w:noWrap/>
            <w:hideMark/>
          </w:tcPr>
          <w:p w14:paraId="0C90F0CF" w14:textId="77777777" w:rsidR="00722784" w:rsidRPr="00724BDD" w:rsidRDefault="00722784" w:rsidP="007227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Cat. nr.</w:t>
            </w:r>
          </w:p>
        </w:tc>
      </w:tr>
      <w:tr w:rsidR="00722784" w:rsidRPr="00724BDD" w14:paraId="10F86801"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7FE7361"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w:t>
            </w:r>
          </w:p>
        </w:tc>
        <w:tc>
          <w:tcPr>
            <w:tcW w:w="1420" w:type="dxa"/>
            <w:noWrap/>
            <w:hideMark/>
          </w:tcPr>
          <w:p w14:paraId="279D2D87"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UCHT1</w:t>
            </w:r>
          </w:p>
        </w:tc>
        <w:tc>
          <w:tcPr>
            <w:tcW w:w="1540" w:type="dxa"/>
            <w:noWrap/>
            <w:hideMark/>
          </w:tcPr>
          <w:p w14:paraId="53E84CFD"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PerCP</w:t>
            </w:r>
            <w:proofErr w:type="spellEnd"/>
          </w:p>
        </w:tc>
        <w:tc>
          <w:tcPr>
            <w:tcW w:w="1900" w:type="dxa"/>
            <w:noWrap/>
            <w:hideMark/>
          </w:tcPr>
          <w:p w14:paraId="11DE618D"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1B511752"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300428</w:t>
            </w:r>
          </w:p>
        </w:tc>
      </w:tr>
      <w:tr w:rsidR="00722784" w:rsidRPr="00724BDD" w14:paraId="1E248753"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4BA9F38"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CD4</w:t>
            </w:r>
          </w:p>
        </w:tc>
        <w:tc>
          <w:tcPr>
            <w:tcW w:w="1420" w:type="dxa"/>
            <w:noWrap/>
            <w:hideMark/>
          </w:tcPr>
          <w:p w14:paraId="267AEB4E"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OKT-4</w:t>
            </w:r>
          </w:p>
        </w:tc>
        <w:tc>
          <w:tcPr>
            <w:tcW w:w="1540" w:type="dxa"/>
            <w:noWrap/>
            <w:hideMark/>
          </w:tcPr>
          <w:p w14:paraId="54A1DF82"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FITC</w:t>
            </w:r>
          </w:p>
        </w:tc>
        <w:tc>
          <w:tcPr>
            <w:tcW w:w="1900" w:type="dxa"/>
            <w:noWrap/>
            <w:hideMark/>
          </w:tcPr>
          <w:p w14:paraId="610865B3"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1A327E50"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317408</w:t>
            </w:r>
          </w:p>
        </w:tc>
      </w:tr>
      <w:tr w:rsidR="00722784" w:rsidRPr="00724BDD" w14:paraId="00D92E87"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A6840D5"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CD8</w:t>
            </w:r>
          </w:p>
        </w:tc>
        <w:tc>
          <w:tcPr>
            <w:tcW w:w="1420" w:type="dxa"/>
            <w:noWrap/>
            <w:hideMark/>
          </w:tcPr>
          <w:p w14:paraId="0C8C28BD"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HIT8a</w:t>
            </w:r>
          </w:p>
        </w:tc>
        <w:tc>
          <w:tcPr>
            <w:tcW w:w="1540" w:type="dxa"/>
            <w:noWrap/>
            <w:hideMark/>
          </w:tcPr>
          <w:p w14:paraId="780389C9"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AF700</w:t>
            </w:r>
          </w:p>
        </w:tc>
        <w:tc>
          <w:tcPr>
            <w:tcW w:w="1900" w:type="dxa"/>
            <w:noWrap/>
            <w:hideMark/>
          </w:tcPr>
          <w:p w14:paraId="3AC9EDE3"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6FB7FFB1"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300920</w:t>
            </w:r>
          </w:p>
        </w:tc>
      </w:tr>
      <w:tr w:rsidR="00722784" w:rsidRPr="00724BDD" w14:paraId="10443D25" w14:textId="77777777" w:rsidTr="00722784">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6DAA306" w14:textId="77777777"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Ki-67</w:t>
            </w:r>
          </w:p>
        </w:tc>
        <w:tc>
          <w:tcPr>
            <w:tcW w:w="1420" w:type="dxa"/>
            <w:noWrap/>
            <w:hideMark/>
          </w:tcPr>
          <w:p w14:paraId="2CACD694"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Ki-67</w:t>
            </w:r>
          </w:p>
        </w:tc>
        <w:tc>
          <w:tcPr>
            <w:tcW w:w="1540" w:type="dxa"/>
            <w:noWrap/>
            <w:hideMark/>
          </w:tcPr>
          <w:p w14:paraId="7DB0AFFC"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AF647</w:t>
            </w:r>
          </w:p>
        </w:tc>
        <w:tc>
          <w:tcPr>
            <w:tcW w:w="1900" w:type="dxa"/>
            <w:noWrap/>
            <w:hideMark/>
          </w:tcPr>
          <w:p w14:paraId="7E5C524A"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36CDCD28" w14:textId="77777777" w:rsidR="00722784" w:rsidRPr="00724BDD" w:rsidRDefault="00722784" w:rsidP="007227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350510</w:t>
            </w:r>
          </w:p>
        </w:tc>
      </w:tr>
      <w:tr w:rsidR="00722784" w:rsidRPr="00724BDD" w14:paraId="6F1480D1" w14:textId="77777777" w:rsidTr="007227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4EA5E1B" w14:textId="6FBA4AC5" w:rsidR="00722784" w:rsidRPr="00724BDD" w:rsidRDefault="00722784" w:rsidP="00722784">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 xml:space="preserve">  </w:t>
            </w:r>
            <w:r w:rsidR="006F4F79" w:rsidRPr="00724BDD">
              <w:rPr>
                <w:rFonts w:asciiTheme="minorHAnsi" w:hAnsiTheme="minorHAnsi" w:cstheme="minorHAnsi"/>
                <w:b w:val="0"/>
                <w:bCs w:val="0"/>
                <w:color w:val="000000"/>
                <w:lang w:val="en-US"/>
              </w:rPr>
              <w:t xml:space="preserve">  </w:t>
            </w:r>
            <w:r w:rsidRPr="00724BDD">
              <w:rPr>
                <w:rFonts w:asciiTheme="minorHAnsi" w:hAnsiTheme="minorHAnsi" w:cstheme="minorHAnsi"/>
                <w:b w:val="0"/>
                <w:bCs w:val="0"/>
                <w:color w:val="000000"/>
                <w:lang w:val="en-US"/>
              </w:rPr>
              <w:t xml:space="preserve"> Isotype</w:t>
            </w:r>
          </w:p>
        </w:tc>
        <w:tc>
          <w:tcPr>
            <w:tcW w:w="1420" w:type="dxa"/>
            <w:noWrap/>
            <w:hideMark/>
          </w:tcPr>
          <w:p w14:paraId="4E28E4FC"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MOPC-21</w:t>
            </w:r>
          </w:p>
        </w:tc>
        <w:tc>
          <w:tcPr>
            <w:tcW w:w="1540" w:type="dxa"/>
            <w:noWrap/>
            <w:hideMark/>
          </w:tcPr>
          <w:p w14:paraId="11E573B6"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AF647</w:t>
            </w:r>
          </w:p>
        </w:tc>
        <w:tc>
          <w:tcPr>
            <w:tcW w:w="1900" w:type="dxa"/>
            <w:noWrap/>
            <w:hideMark/>
          </w:tcPr>
          <w:p w14:paraId="2A94D0A1"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2A147D37" w14:textId="77777777" w:rsidR="00722784" w:rsidRPr="00724BDD" w:rsidRDefault="00722784" w:rsidP="00722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400130</w:t>
            </w:r>
          </w:p>
        </w:tc>
      </w:tr>
    </w:tbl>
    <w:p w14:paraId="3A31A8CD" w14:textId="77777777" w:rsidR="00446C2B" w:rsidRPr="00724BDD" w:rsidRDefault="00446C2B">
      <w:pPr>
        <w:rPr>
          <w:rFonts w:asciiTheme="minorHAnsi" w:hAnsiTheme="minorHAnsi" w:cstheme="minorHAnsi"/>
          <w:b/>
          <w:sz w:val="32"/>
          <w:szCs w:val="32"/>
          <w:lang w:val="en-US"/>
        </w:rPr>
      </w:pPr>
      <w:r w:rsidRPr="00724BDD">
        <w:rPr>
          <w:rFonts w:asciiTheme="minorHAnsi" w:hAnsiTheme="minorHAnsi" w:cstheme="minorHAnsi"/>
          <w:lang w:val="en-US"/>
        </w:rPr>
        <w:br w:type="page"/>
      </w:r>
    </w:p>
    <w:p w14:paraId="231E823B" w14:textId="0CD48C28" w:rsidR="004338E9" w:rsidRPr="00724BDD" w:rsidRDefault="001D7956" w:rsidP="004338E9">
      <w:pPr>
        <w:pStyle w:val="Heading1"/>
        <w:rPr>
          <w:rFonts w:asciiTheme="minorHAnsi" w:hAnsiTheme="minorHAnsi" w:cstheme="minorHAnsi"/>
        </w:rPr>
      </w:pPr>
      <w:bookmarkStart w:id="5" w:name="_Toc107775935"/>
      <w:r>
        <w:rPr>
          <w:rFonts w:asciiTheme="minorHAnsi" w:hAnsiTheme="minorHAnsi" w:cstheme="minorHAnsi"/>
        </w:rPr>
        <w:lastRenderedPageBreak/>
        <w:t xml:space="preserve">SDC, </w:t>
      </w:r>
      <w:r w:rsidR="004338E9" w:rsidRPr="00724BDD">
        <w:rPr>
          <w:rFonts w:asciiTheme="minorHAnsi" w:hAnsiTheme="minorHAnsi" w:cstheme="minorHAnsi"/>
        </w:rPr>
        <w:t>Table 5</w:t>
      </w:r>
      <w:bookmarkEnd w:id="5"/>
    </w:p>
    <w:p w14:paraId="6476D697" w14:textId="77777777" w:rsidR="004338E9" w:rsidRPr="00724BDD" w:rsidRDefault="004338E9" w:rsidP="004338E9">
      <w:pPr>
        <w:rPr>
          <w:rFonts w:asciiTheme="minorHAnsi" w:hAnsiTheme="minorHAnsi" w:cstheme="minorHAnsi"/>
          <w:lang w:val="en-US"/>
        </w:rPr>
      </w:pPr>
    </w:p>
    <w:p w14:paraId="3E1351CC" w14:textId="77777777" w:rsidR="004338E9" w:rsidRPr="00724BDD" w:rsidRDefault="004338E9" w:rsidP="004338E9">
      <w:pPr>
        <w:rPr>
          <w:rFonts w:asciiTheme="minorHAnsi" w:hAnsiTheme="minorHAnsi" w:cstheme="minorHAnsi"/>
          <w:lang w:val="en-US"/>
        </w:rPr>
      </w:pPr>
    </w:p>
    <w:tbl>
      <w:tblPr>
        <w:tblStyle w:val="ListTable6Colorful"/>
        <w:tblW w:w="7940" w:type="dxa"/>
        <w:tblLook w:val="04A0" w:firstRow="1" w:lastRow="0" w:firstColumn="1" w:lastColumn="0" w:noHBand="0" w:noVBand="1"/>
      </w:tblPr>
      <w:tblGrid>
        <w:gridCol w:w="1740"/>
        <w:gridCol w:w="1420"/>
        <w:gridCol w:w="1617"/>
        <w:gridCol w:w="1900"/>
        <w:gridCol w:w="1420"/>
      </w:tblGrid>
      <w:tr w:rsidR="004338E9" w:rsidRPr="00724BDD" w14:paraId="366B651D" w14:textId="77777777" w:rsidTr="00F45A7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635CB04" w14:textId="77777777" w:rsidR="004338E9" w:rsidRPr="00724BDD" w:rsidRDefault="004338E9" w:rsidP="00F45A7B">
            <w:pPr>
              <w:rPr>
                <w:rFonts w:asciiTheme="minorHAnsi" w:hAnsiTheme="minorHAnsi" w:cstheme="minorHAnsi"/>
                <w:color w:val="000000"/>
                <w:lang w:val="en-US"/>
              </w:rPr>
            </w:pPr>
            <w:r w:rsidRPr="00724BDD">
              <w:rPr>
                <w:rFonts w:asciiTheme="minorHAnsi" w:hAnsiTheme="minorHAnsi" w:cstheme="minorHAnsi"/>
                <w:color w:val="000000"/>
                <w:lang w:val="en-US"/>
              </w:rPr>
              <w:t>Antigen/Target</w:t>
            </w:r>
          </w:p>
        </w:tc>
        <w:tc>
          <w:tcPr>
            <w:tcW w:w="1420" w:type="dxa"/>
            <w:noWrap/>
            <w:hideMark/>
          </w:tcPr>
          <w:p w14:paraId="58BA0C01" w14:textId="77777777" w:rsidR="004338E9" w:rsidRPr="00724BDD" w:rsidRDefault="004338E9" w:rsidP="00F45A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Clone</w:t>
            </w:r>
          </w:p>
        </w:tc>
        <w:tc>
          <w:tcPr>
            <w:tcW w:w="1540" w:type="dxa"/>
            <w:noWrap/>
            <w:hideMark/>
          </w:tcPr>
          <w:p w14:paraId="746B5B00" w14:textId="77777777" w:rsidR="004338E9" w:rsidRPr="00724BDD" w:rsidRDefault="004338E9" w:rsidP="00F45A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Fluorochrome</w:t>
            </w:r>
          </w:p>
        </w:tc>
        <w:tc>
          <w:tcPr>
            <w:tcW w:w="1900" w:type="dxa"/>
            <w:noWrap/>
            <w:hideMark/>
          </w:tcPr>
          <w:p w14:paraId="558F0AA1" w14:textId="77777777" w:rsidR="004338E9" w:rsidRPr="00724BDD" w:rsidRDefault="004338E9" w:rsidP="00F45A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Manufacturer</w:t>
            </w:r>
          </w:p>
        </w:tc>
        <w:tc>
          <w:tcPr>
            <w:tcW w:w="1420" w:type="dxa"/>
            <w:noWrap/>
            <w:hideMark/>
          </w:tcPr>
          <w:p w14:paraId="6B97B799" w14:textId="77777777" w:rsidR="004338E9" w:rsidRPr="00724BDD" w:rsidRDefault="004338E9" w:rsidP="00F45A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Cat. nr.</w:t>
            </w:r>
          </w:p>
        </w:tc>
      </w:tr>
      <w:tr w:rsidR="004338E9" w:rsidRPr="00724BDD" w14:paraId="5FB4521E" w14:textId="77777777" w:rsidTr="00F45A7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112DF2D"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w:t>
            </w:r>
          </w:p>
        </w:tc>
        <w:tc>
          <w:tcPr>
            <w:tcW w:w="1420" w:type="dxa"/>
            <w:noWrap/>
            <w:hideMark/>
          </w:tcPr>
          <w:p w14:paraId="5C08B2CA"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Sk7</w:t>
            </w:r>
          </w:p>
        </w:tc>
        <w:tc>
          <w:tcPr>
            <w:tcW w:w="1540" w:type="dxa"/>
            <w:noWrap/>
            <w:hideMark/>
          </w:tcPr>
          <w:p w14:paraId="54BFC95F"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PerCP-Cy5.5</w:t>
            </w:r>
          </w:p>
        </w:tc>
        <w:tc>
          <w:tcPr>
            <w:tcW w:w="1900" w:type="dxa"/>
            <w:noWrap/>
            <w:hideMark/>
          </w:tcPr>
          <w:p w14:paraId="5C9D211E"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130C736A"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332771</w:t>
            </w:r>
          </w:p>
        </w:tc>
      </w:tr>
      <w:tr w:rsidR="004338E9" w:rsidRPr="00724BDD" w14:paraId="666E7059" w14:textId="77777777" w:rsidTr="00F45A7B">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3BF33F9"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w:t>
            </w:r>
          </w:p>
        </w:tc>
        <w:tc>
          <w:tcPr>
            <w:tcW w:w="1420" w:type="dxa"/>
            <w:noWrap/>
            <w:hideMark/>
          </w:tcPr>
          <w:p w14:paraId="7939A095"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Sk7</w:t>
            </w:r>
          </w:p>
        </w:tc>
        <w:tc>
          <w:tcPr>
            <w:tcW w:w="1540" w:type="dxa"/>
            <w:noWrap/>
            <w:hideMark/>
          </w:tcPr>
          <w:p w14:paraId="32D27F1F"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PE-Cy7</w:t>
            </w:r>
          </w:p>
        </w:tc>
        <w:tc>
          <w:tcPr>
            <w:tcW w:w="1900" w:type="dxa"/>
            <w:noWrap/>
            <w:hideMark/>
          </w:tcPr>
          <w:p w14:paraId="5063A001"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18FE14BE"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341111</w:t>
            </w:r>
          </w:p>
        </w:tc>
      </w:tr>
      <w:tr w:rsidR="004338E9" w:rsidRPr="00724BDD" w14:paraId="645A846F" w14:textId="77777777" w:rsidTr="00F45A7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5D8F06E"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w:t>
            </w:r>
          </w:p>
        </w:tc>
        <w:tc>
          <w:tcPr>
            <w:tcW w:w="1420" w:type="dxa"/>
            <w:noWrap/>
            <w:hideMark/>
          </w:tcPr>
          <w:p w14:paraId="5E8C8D97"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Sk7</w:t>
            </w:r>
          </w:p>
        </w:tc>
        <w:tc>
          <w:tcPr>
            <w:tcW w:w="1540" w:type="dxa"/>
            <w:noWrap/>
            <w:hideMark/>
          </w:tcPr>
          <w:p w14:paraId="5120CDB2"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APC</w:t>
            </w:r>
          </w:p>
        </w:tc>
        <w:tc>
          <w:tcPr>
            <w:tcW w:w="1900" w:type="dxa"/>
            <w:noWrap/>
            <w:hideMark/>
          </w:tcPr>
          <w:p w14:paraId="727FF875"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326B95B1"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345767</w:t>
            </w:r>
          </w:p>
        </w:tc>
      </w:tr>
      <w:tr w:rsidR="004338E9" w:rsidRPr="00724BDD" w14:paraId="626EA5A6" w14:textId="77777777" w:rsidTr="00F45A7B">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F978E0E"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CD4</w:t>
            </w:r>
          </w:p>
        </w:tc>
        <w:tc>
          <w:tcPr>
            <w:tcW w:w="1420" w:type="dxa"/>
            <w:noWrap/>
            <w:hideMark/>
          </w:tcPr>
          <w:p w14:paraId="7431B953"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SK3</w:t>
            </w:r>
          </w:p>
        </w:tc>
        <w:tc>
          <w:tcPr>
            <w:tcW w:w="1540" w:type="dxa"/>
            <w:noWrap/>
            <w:hideMark/>
          </w:tcPr>
          <w:p w14:paraId="329FAA4D"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APC</w:t>
            </w:r>
          </w:p>
        </w:tc>
        <w:tc>
          <w:tcPr>
            <w:tcW w:w="1900" w:type="dxa"/>
            <w:noWrap/>
            <w:hideMark/>
          </w:tcPr>
          <w:p w14:paraId="32551D45"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0650BCFB"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345771</w:t>
            </w:r>
          </w:p>
        </w:tc>
      </w:tr>
      <w:tr w:rsidR="004338E9" w:rsidRPr="00724BDD" w14:paraId="6970B748" w14:textId="77777777" w:rsidTr="00F45A7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9D5C18C"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CD8</w:t>
            </w:r>
          </w:p>
        </w:tc>
        <w:tc>
          <w:tcPr>
            <w:tcW w:w="1420" w:type="dxa"/>
            <w:noWrap/>
            <w:hideMark/>
          </w:tcPr>
          <w:p w14:paraId="286EF572"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Sk1</w:t>
            </w:r>
          </w:p>
        </w:tc>
        <w:tc>
          <w:tcPr>
            <w:tcW w:w="1540" w:type="dxa"/>
            <w:noWrap/>
            <w:hideMark/>
          </w:tcPr>
          <w:p w14:paraId="43CAEB3C"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PE-Cy7</w:t>
            </w:r>
          </w:p>
        </w:tc>
        <w:tc>
          <w:tcPr>
            <w:tcW w:w="1900" w:type="dxa"/>
            <w:noWrap/>
            <w:hideMark/>
          </w:tcPr>
          <w:p w14:paraId="5AAF27F3"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0C9C763D"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335822</w:t>
            </w:r>
          </w:p>
        </w:tc>
      </w:tr>
      <w:tr w:rsidR="004338E9" w:rsidRPr="00724BDD" w14:paraId="645330EE" w14:textId="77777777" w:rsidTr="00F45A7B">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4343D0B"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CD19</w:t>
            </w:r>
          </w:p>
        </w:tc>
        <w:tc>
          <w:tcPr>
            <w:tcW w:w="1420" w:type="dxa"/>
            <w:noWrap/>
            <w:hideMark/>
          </w:tcPr>
          <w:p w14:paraId="03169A74"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SJ25C1</w:t>
            </w:r>
          </w:p>
        </w:tc>
        <w:tc>
          <w:tcPr>
            <w:tcW w:w="1540" w:type="dxa"/>
            <w:noWrap/>
            <w:hideMark/>
          </w:tcPr>
          <w:p w14:paraId="1530043F"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PE-Cy7</w:t>
            </w:r>
          </w:p>
        </w:tc>
        <w:tc>
          <w:tcPr>
            <w:tcW w:w="1900" w:type="dxa"/>
            <w:noWrap/>
            <w:hideMark/>
          </w:tcPr>
          <w:p w14:paraId="6E1FAFE4"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50ABA7DA"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341113</w:t>
            </w:r>
          </w:p>
        </w:tc>
      </w:tr>
      <w:tr w:rsidR="004338E9" w:rsidRPr="00724BDD" w14:paraId="74A2EAD9" w14:textId="77777777" w:rsidTr="00F45A7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6891963"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CD19</w:t>
            </w:r>
          </w:p>
        </w:tc>
        <w:tc>
          <w:tcPr>
            <w:tcW w:w="1420" w:type="dxa"/>
            <w:noWrap/>
            <w:hideMark/>
          </w:tcPr>
          <w:p w14:paraId="349FDFA1"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SJ25C1</w:t>
            </w:r>
          </w:p>
        </w:tc>
        <w:tc>
          <w:tcPr>
            <w:tcW w:w="1540" w:type="dxa"/>
            <w:noWrap/>
            <w:hideMark/>
          </w:tcPr>
          <w:p w14:paraId="7452F635"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APC</w:t>
            </w:r>
          </w:p>
        </w:tc>
        <w:tc>
          <w:tcPr>
            <w:tcW w:w="1900" w:type="dxa"/>
            <w:noWrap/>
            <w:hideMark/>
          </w:tcPr>
          <w:p w14:paraId="2DBC3D7A"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298F2C4A"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345791</w:t>
            </w:r>
          </w:p>
        </w:tc>
      </w:tr>
      <w:tr w:rsidR="004338E9" w:rsidRPr="00724BDD" w14:paraId="59C989F8" w14:textId="77777777" w:rsidTr="00F45A7B">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9186A1D"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CD19</w:t>
            </w:r>
          </w:p>
        </w:tc>
        <w:tc>
          <w:tcPr>
            <w:tcW w:w="1420" w:type="dxa"/>
            <w:noWrap/>
            <w:hideMark/>
          </w:tcPr>
          <w:p w14:paraId="28ABA7F0"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J3,119</w:t>
            </w:r>
          </w:p>
        </w:tc>
        <w:tc>
          <w:tcPr>
            <w:tcW w:w="1540" w:type="dxa"/>
            <w:noWrap/>
            <w:hideMark/>
          </w:tcPr>
          <w:p w14:paraId="5C566E03"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PE-Cy5</w:t>
            </w:r>
          </w:p>
        </w:tc>
        <w:tc>
          <w:tcPr>
            <w:tcW w:w="1900" w:type="dxa"/>
            <w:noWrap/>
            <w:hideMark/>
          </w:tcPr>
          <w:p w14:paraId="7AC76265"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Beckman Coulter</w:t>
            </w:r>
          </w:p>
        </w:tc>
        <w:tc>
          <w:tcPr>
            <w:tcW w:w="1420" w:type="dxa"/>
            <w:noWrap/>
            <w:hideMark/>
          </w:tcPr>
          <w:p w14:paraId="4E16BFD1"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AO7771</w:t>
            </w:r>
          </w:p>
        </w:tc>
      </w:tr>
      <w:tr w:rsidR="004338E9" w:rsidRPr="00724BDD" w14:paraId="4B252FA7" w14:textId="77777777" w:rsidTr="00F45A7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3BECF27"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CD20</w:t>
            </w:r>
          </w:p>
        </w:tc>
        <w:tc>
          <w:tcPr>
            <w:tcW w:w="1420" w:type="dxa"/>
            <w:noWrap/>
            <w:hideMark/>
          </w:tcPr>
          <w:p w14:paraId="6A1DDFC3"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L27</w:t>
            </w:r>
          </w:p>
        </w:tc>
        <w:tc>
          <w:tcPr>
            <w:tcW w:w="1540" w:type="dxa"/>
            <w:noWrap/>
            <w:hideMark/>
          </w:tcPr>
          <w:p w14:paraId="171E1874"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w:t>
            </w:r>
          </w:p>
        </w:tc>
        <w:tc>
          <w:tcPr>
            <w:tcW w:w="1900" w:type="dxa"/>
            <w:noWrap/>
            <w:hideMark/>
          </w:tcPr>
          <w:p w14:paraId="789CE118"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35745672"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345793</w:t>
            </w:r>
          </w:p>
        </w:tc>
      </w:tr>
      <w:tr w:rsidR="004338E9" w:rsidRPr="00724BDD" w14:paraId="6BE298BC" w14:textId="77777777" w:rsidTr="00F45A7B">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CA1E425"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CD20</w:t>
            </w:r>
          </w:p>
        </w:tc>
        <w:tc>
          <w:tcPr>
            <w:tcW w:w="1420" w:type="dxa"/>
            <w:noWrap/>
            <w:hideMark/>
          </w:tcPr>
          <w:p w14:paraId="19BA4E6A"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L27</w:t>
            </w:r>
          </w:p>
        </w:tc>
        <w:tc>
          <w:tcPr>
            <w:tcW w:w="1540" w:type="dxa"/>
            <w:noWrap/>
            <w:hideMark/>
          </w:tcPr>
          <w:p w14:paraId="1B5EEC70"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PerCP-Cy5.5</w:t>
            </w:r>
          </w:p>
        </w:tc>
        <w:tc>
          <w:tcPr>
            <w:tcW w:w="1900" w:type="dxa"/>
            <w:noWrap/>
            <w:hideMark/>
          </w:tcPr>
          <w:p w14:paraId="23A13372"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7A3F5D13"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332781</w:t>
            </w:r>
          </w:p>
        </w:tc>
      </w:tr>
      <w:tr w:rsidR="004338E9" w:rsidRPr="00724BDD" w14:paraId="04901101" w14:textId="77777777" w:rsidTr="00F45A7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F0A67CB"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CD33</w:t>
            </w:r>
          </w:p>
        </w:tc>
        <w:tc>
          <w:tcPr>
            <w:tcW w:w="1420" w:type="dxa"/>
            <w:noWrap/>
            <w:hideMark/>
          </w:tcPr>
          <w:p w14:paraId="7D3CCE8E"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P67,6</w:t>
            </w:r>
          </w:p>
        </w:tc>
        <w:tc>
          <w:tcPr>
            <w:tcW w:w="1540" w:type="dxa"/>
            <w:noWrap/>
            <w:hideMark/>
          </w:tcPr>
          <w:p w14:paraId="20CD0883"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PerCP-Cy5.5</w:t>
            </w:r>
          </w:p>
        </w:tc>
        <w:tc>
          <w:tcPr>
            <w:tcW w:w="1900" w:type="dxa"/>
            <w:noWrap/>
            <w:hideMark/>
          </w:tcPr>
          <w:p w14:paraId="74CC44DB"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5B7A7965"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333146</w:t>
            </w:r>
          </w:p>
        </w:tc>
      </w:tr>
      <w:tr w:rsidR="004338E9" w:rsidRPr="00724BDD" w14:paraId="5BD35F66" w14:textId="77777777" w:rsidTr="00F45A7B">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5E909C3"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CD33</w:t>
            </w:r>
          </w:p>
        </w:tc>
        <w:tc>
          <w:tcPr>
            <w:tcW w:w="1420" w:type="dxa"/>
            <w:noWrap/>
            <w:hideMark/>
          </w:tcPr>
          <w:p w14:paraId="782852BB"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P67,6</w:t>
            </w:r>
          </w:p>
        </w:tc>
        <w:tc>
          <w:tcPr>
            <w:tcW w:w="1540" w:type="dxa"/>
            <w:noWrap/>
            <w:hideMark/>
          </w:tcPr>
          <w:p w14:paraId="3DFAC86B"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PE-Cy7</w:t>
            </w:r>
          </w:p>
        </w:tc>
        <w:tc>
          <w:tcPr>
            <w:tcW w:w="1900" w:type="dxa"/>
            <w:noWrap/>
            <w:hideMark/>
          </w:tcPr>
          <w:p w14:paraId="58E78DB5"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4634349E"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333952</w:t>
            </w:r>
          </w:p>
        </w:tc>
      </w:tr>
      <w:tr w:rsidR="004338E9" w:rsidRPr="00724BDD" w14:paraId="467C8FCD" w14:textId="77777777" w:rsidTr="00F45A7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6FFA944"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CD45</w:t>
            </w:r>
          </w:p>
        </w:tc>
        <w:tc>
          <w:tcPr>
            <w:tcW w:w="1420" w:type="dxa"/>
            <w:noWrap/>
            <w:hideMark/>
          </w:tcPr>
          <w:p w14:paraId="290D6E0C"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HI30</w:t>
            </w:r>
          </w:p>
        </w:tc>
        <w:tc>
          <w:tcPr>
            <w:tcW w:w="1540" w:type="dxa"/>
            <w:noWrap/>
            <w:hideMark/>
          </w:tcPr>
          <w:p w14:paraId="03437BC2"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PerCP-Cy5.5</w:t>
            </w:r>
          </w:p>
        </w:tc>
        <w:tc>
          <w:tcPr>
            <w:tcW w:w="1900" w:type="dxa"/>
            <w:noWrap/>
            <w:hideMark/>
          </w:tcPr>
          <w:p w14:paraId="4EEF7A32"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BioLegend</w:t>
            </w:r>
            <w:proofErr w:type="spellEnd"/>
          </w:p>
        </w:tc>
        <w:tc>
          <w:tcPr>
            <w:tcW w:w="1420" w:type="dxa"/>
            <w:noWrap/>
            <w:hideMark/>
          </w:tcPr>
          <w:p w14:paraId="542FBD43"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304028</w:t>
            </w:r>
          </w:p>
        </w:tc>
      </w:tr>
      <w:tr w:rsidR="004338E9" w:rsidRPr="00724BDD" w14:paraId="03B7C0E9" w14:textId="77777777" w:rsidTr="00F45A7B">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3A58ADC"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CD56</w:t>
            </w:r>
          </w:p>
        </w:tc>
        <w:tc>
          <w:tcPr>
            <w:tcW w:w="1420" w:type="dxa"/>
            <w:noWrap/>
            <w:hideMark/>
          </w:tcPr>
          <w:p w14:paraId="70CCD629"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NCAM16,2</w:t>
            </w:r>
          </w:p>
        </w:tc>
        <w:tc>
          <w:tcPr>
            <w:tcW w:w="1540" w:type="dxa"/>
            <w:noWrap/>
            <w:hideMark/>
          </w:tcPr>
          <w:p w14:paraId="7D40E498"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FITC</w:t>
            </w:r>
          </w:p>
        </w:tc>
        <w:tc>
          <w:tcPr>
            <w:tcW w:w="1900" w:type="dxa"/>
            <w:noWrap/>
            <w:hideMark/>
          </w:tcPr>
          <w:p w14:paraId="3D8E853E"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1F9A7644"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345811</w:t>
            </w:r>
          </w:p>
        </w:tc>
      </w:tr>
      <w:tr w:rsidR="004338E9" w:rsidRPr="00724BDD" w14:paraId="34155BDB" w14:textId="77777777" w:rsidTr="00F45A7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B705295"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CD56</w:t>
            </w:r>
          </w:p>
        </w:tc>
        <w:tc>
          <w:tcPr>
            <w:tcW w:w="1420" w:type="dxa"/>
            <w:noWrap/>
            <w:hideMark/>
          </w:tcPr>
          <w:p w14:paraId="5F1CF0D9"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MY31</w:t>
            </w:r>
          </w:p>
        </w:tc>
        <w:tc>
          <w:tcPr>
            <w:tcW w:w="1540" w:type="dxa"/>
            <w:noWrap/>
            <w:hideMark/>
          </w:tcPr>
          <w:p w14:paraId="7450A30C"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w:t>
            </w:r>
          </w:p>
        </w:tc>
        <w:tc>
          <w:tcPr>
            <w:tcW w:w="1900" w:type="dxa"/>
            <w:noWrap/>
            <w:hideMark/>
          </w:tcPr>
          <w:p w14:paraId="548C0AFB"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1B8E1055" w14:textId="77777777" w:rsidR="004338E9" w:rsidRPr="00724BDD" w:rsidRDefault="004338E9" w:rsidP="00F45A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345810</w:t>
            </w:r>
          </w:p>
        </w:tc>
      </w:tr>
      <w:tr w:rsidR="004338E9" w:rsidRPr="00724BDD" w14:paraId="6C3C79A2" w14:textId="77777777" w:rsidTr="00F45A7B">
        <w:trPr>
          <w:trHeight w:val="32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271A545" w14:textId="77777777" w:rsidR="004338E9" w:rsidRPr="00724BDD" w:rsidRDefault="004338E9" w:rsidP="00F45A7B">
            <w:pPr>
              <w:rPr>
                <w:rFonts w:asciiTheme="minorHAnsi" w:hAnsiTheme="minorHAnsi" w:cstheme="minorHAnsi"/>
                <w:b w:val="0"/>
                <w:bCs w:val="0"/>
                <w:color w:val="000000"/>
                <w:lang w:val="en-US"/>
              </w:rPr>
            </w:pPr>
            <w:r w:rsidRPr="00724BDD">
              <w:rPr>
                <w:rFonts w:asciiTheme="minorHAnsi" w:hAnsiTheme="minorHAnsi" w:cstheme="minorHAnsi"/>
                <w:b w:val="0"/>
                <w:bCs w:val="0"/>
                <w:color w:val="000000"/>
                <w:lang w:val="en-US"/>
              </w:rPr>
              <w:t>CD56</w:t>
            </w:r>
          </w:p>
        </w:tc>
        <w:tc>
          <w:tcPr>
            <w:tcW w:w="1420" w:type="dxa"/>
            <w:noWrap/>
            <w:hideMark/>
          </w:tcPr>
          <w:p w14:paraId="4CDE1132"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NCAM16,2</w:t>
            </w:r>
          </w:p>
        </w:tc>
        <w:tc>
          <w:tcPr>
            <w:tcW w:w="1540" w:type="dxa"/>
            <w:noWrap/>
            <w:hideMark/>
          </w:tcPr>
          <w:p w14:paraId="7E468FCA"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PE-Cy7</w:t>
            </w:r>
          </w:p>
        </w:tc>
        <w:tc>
          <w:tcPr>
            <w:tcW w:w="1900" w:type="dxa"/>
            <w:noWrap/>
            <w:hideMark/>
          </w:tcPr>
          <w:p w14:paraId="74073669"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BD Biosciences</w:t>
            </w:r>
          </w:p>
        </w:tc>
        <w:tc>
          <w:tcPr>
            <w:tcW w:w="1420" w:type="dxa"/>
            <w:noWrap/>
            <w:hideMark/>
          </w:tcPr>
          <w:p w14:paraId="53BF4810" w14:textId="77777777" w:rsidR="004338E9" w:rsidRPr="00724BDD" w:rsidRDefault="004338E9" w:rsidP="00F4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335826</w:t>
            </w:r>
          </w:p>
        </w:tc>
      </w:tr>
    </w:tbl>
    <w:p w14:paraId="6713244D" w14:textId="77777777" w:rsidR="004338E9" w:rsidRPr="00724BDD" w:rsidRDefault="004338E9" w:rsidP="004338E9">
      <w:pPr>
        <w:rPr>
          <w:rFonts w:asciiTheme="minorHAnsi" w:hAnsiTheme="minorHAnsi" w:cstheme="minorHAnsi"/>
          <w:lang w:val="en-US"/>
        </w:rPr>
      </w:pPr>
      <w:r w:rsidRPr="00724BDD">
        <w:rPr>
          <w:rFonts w:asciiTheme="minorHAnsi" w:hAnsiTheme="minorHAnsi" w:cstheme="minorHAnsi"/>
          <w:lang w:val="en-US"/>
        </w:rPr>
        <w:br w:type="page"/>
      </w:r>
    </w:p>
    <w:p w14:paraId="64647FE7" w14:textId="2D1CE94D" w:rsidR="004338E9" w:rsidRDefault="001D7956" w:rsidP="004338E9">
      <w:pPr>
        <w:pStyle w:val="Heading1"/>
        <w:rPr>
          <w:rFonts w:asciiTheme="minorHAnsi" w:hAnsiTheme="minorHAnsi" w:cstheme="minorHAnsi"/>
        </w:rPr>
      </w:pPr>
      <w:bookmarkStart w:id="6" w:name="_Toc107775936"/>
      <w:r>
        <w:rPr>
          <w:rFonts w:asciiTheme="minorHAnsi" w:hAnsiTheme="minorHAnsi" w:cstheme="minorHAnsi"/>
        </w:rPr>
        <w:lastRenderedPageBreak/>
        <w:t xml:space="preserve">SDC, </w:t>
      </w:r>
      <w:r w:rsidR="004338E9" w:rsidRPr="00724BDD">
        <w:rPr>
          <w:rFonts w:asciiTheme="minorHAnsi" w:hAnsiTheme="minorHAnsi" w:cstheme="minorHAnsi"/>
        </w:rPr>
        <w:t>Table 6</w:t>
      </w:r>
      <w:bookmarkEnd w:id="6"/>
    </w:p>
    <w:p w14:paraId="17AAE2DB" w14:textId="77777777" w:rsidR="00155251" w:rsidRPr="00155251" w:rsidRDefault="00155251" w:rsidP="00155251">
      <w:pPr>
        <w:rPr>
          <w:lang w:val="en-US"/>
        </w:rPr>
      </w:pPr>
    </w:p>
    <w:p w14:paraId="1FC375FA" w14:textId="2891B5A3" w:rsidR="00F45A7B" w:rsidRDefault="00F45A7B" w:rsidP="00F45A7B">
      <w:pPr>
        <w:rPr>
          <w:lang w:val="en-US"/>
        </w:rPr>
      </w:pPr>
    </w:p>
    <w:tbl>
      <w:tblPr>
        <w:tblStyle w:val="PlainTable1"/>
        <w:tblW w:w="0" w:type="auto"/>
        <w:tblLook w:val="04A0" w:firstRow="1" w:lastRow="0" w:firstColumn="1" w:lastColumn="0" w:noHBand="0" w:noVBand="1"/>
      </w:tblPr>
      <w:tblGrid>
        <w:gridCol w:w="1898"/>
        <w:gridCol w:w="5451"/>
      </w:tblGrid>
      <w:tr w:rsidR="00F45A7B" w:rsidRPr="00384ED1" w14:paraId="7B312769" w14:textId="77777777" w:rsidTr="00D43CB1">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8" w:type="dxa"/>
          </w:tcPr>
          <w:p w14:paraId="1DB20D61" w14:textId="77777777" w:rsidR="00F45A7B" w:rsidRPr="00384ED1" w:rsidRDefault="00F45A7B" w:rsidP="00D43CB1">
            <w:pPr>
              <w:spacing w:before="40" w:after="40"/>
              <w:rPr>
                <w:rFonts w:asciiTheme="minorHAnsi" w:hAnsiTheme="minorHAnsi"/>
                <w:lang w:val="en-US"/>
              </w:rPr>
            </w:pPr>
            <w:r w:rsidRPr="00384ED1">
              <w:rPr>
                <w:rFonts w:asciiTheme="minorHAnsi" w:hAnsiTheme="minorHAnsi"/>
                <w:lang w:val="en-US"/>
              </w:rPr>
              <w:t>Cell subsets</w:t>
            </w:r>
          </w:p>
        </w:tc>
        <w:tc>
          <w:tcPr>
            <w:tcW w:w="5450" w:type="dxa"/>
          </w:tcPr>
          <w:p w14:paraId="52B81602" w14:textId="77777777" w:rsidR="00F45A7B" w:rsidRPr="00384ED1" w:rsidRDefault="00F45A7B" w:rsidP="00D43CB1">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r w:rsidRPr="00384ED1">
              <w:rPr>
                <w:rFonts w:asciiTheme="minorHAnsi" w:hAnsiTheme="minorHAnsi"/>
                <w:lang w:val="en-US"/>
              </w:rPr>
              <w:t>Markers</w:t>
            </w:r>
          </w:p>
        </w:tc>
      </w:tr>
      <w:tr w:rsidR="00F45A7B" w:rsidRPr="00384ED1" w14:paraId="0F8B2224" w14:textId="77777777" w:rsidTr="00D43C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8" w:type="dxa"/>
            <w:shd w:val="clear" w:color="auto" w:fill="BFBFBF" w:themeFill="background1" w:themeFillShade="BF"/>
          </w:tcPr>
          <w:p w14:paraId="27C1DB6F" w14:textId="77777777" w:rsidR="00F45A7B" w:rsidRPr="00384ED1" w:rsidRDefault="00F45A7B" w:rsidP="00D43CB1">
            <w:pPr>
              <w:spacing w:before="40" w:after="40"/>
              <w:rPr>
                <w:rFonts w:asciiTheme="minorHAnsi" w:hAnsiTheme="minorHAnsi"/>
                <w:b w:val="0"/>
                <w:lang w:val="en-US"/>
              </w:rPr>
            </w:pPr>
            <w:r w:rsidRPr="00384ED1">
              <w:rPr>
                <w:rFonts w:asciiTheme="minorHAnsi" w:hAnsiTheme="minorHAnsi"/>
                <w:b w:val="0"/>
                <w:lang w:val="en-US"/>
              </w:rPr>
              <w:t>B cells</w:t>
            </w:r>
          </w:p>
        </w:tc>
        <w:tc>
          <w:tcPr>
            <w:tcW w:w="5450" w:type="dxa"/>
            <w:shd w:val="clear" w:color="auto" w:fill="BFBFBF" w:themeFill="background1" w:themeFillShade="BF"/>
          </w:tcPr>
          <w:p w14:paraId="530C0791" w14:textId="77777777" w:rsidR="00F45A7B" w:rsidRPr="00384ED1" w:rsidRDefault="00F45A7B" w:rsidP="00D43CB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384ED1">
              <w:rPr>
                <w:rFonts w:asciiTheme="minorHAnsi" w:hAnsiTheme="minorHAnsi"/>
                <w:lang w:val="en-US"/>
              </w:rPr>
              <w:t>CD45</w:t>
            </w:r>
            <w:r w:rsidRPr="00384ED1">
              <w:rPr>
                <w:rFonts w:asciiTheme="minorHAnsi" w:hAnsiTheme="minorHAnsi"/>
                <w:vertAlign w:val="superscript"/>
                <w:lang w:val="en-US"/>
              </w:rPr>
              <w:t>+</w:t>
            </w:r>
            <w:r w:rsidRPr="00384ED1">
              <w:rPr>
                <w:rFonts w:asciiTheme="minorHAnsi" w:hAnsiTheme="minorHAnsi"/>
                <w:lang w:val="en-US"/>
              </w:rPr>
              <w:t>, CD3</w:t>
            </w:r>
            <w:r w:rsidRPr="00384ED1">
              <w:rPr>
                <w:rFonts w:asciiTheme="minorHAnsi" w:hAnsiTheme="minorHAnsi"/>
                <w:vertAlign w:val="superscript"/>
                <w:lang w:val="en-US"/>
              </w:rPr>
              <w:t>-</w:t>
            </w:r>
            <w:r w:rsidRPr="00384ED1">
              <w:rPr>
                <w:rFonts w:asciiTheme="minorHAnsi" w:hAnsiTheme="minorHAnsi"/>
                <w:lang w:val="en-US"/>
              </w:rPr>
              <w:t>, CD19</w:t>
            </w:r>
            <w:r w:rsidRPr="00384ED1">
              <w:rPr>
                <w:rFonts w:asciiTheme="minorHAnsi" w:hAnsiTheme="minorHAnsi"/>
                <w:vertAlign w:val="superscript"/>
                <w:lang w:val="en-US"/>
              </w:rPr>
              <w:t>+</w:t>
            </w:r>
          </w:p>
        </w:tc>
      </w:tr>
      <w:tr w:rsidR="00F45A7B" w:rsidRPr="00384ED1" w14:paraId="71BEF046" w14:textId="77777777" w:rsidTr="00D43CB1">
        <w:trPr>
          <w:trHeight w:val="262"/>
        </w:trPr>
        <w:tc>
          <w:tcPr>
            <w:cnfStyle w:val="001000000000" w:firstRow="0" w:lastRow="0" w:firstColumn="1" w:lastColumn="0" w:oddVBand="0" w:evenVBand="0" w:oddHBand="0" w:evenHBand="0" w:firstRowFirstColumn="0" w:firstRowLastColumn="0" w:lastRowFirstColumn="0" w:lastRowLastColumn="0"/>
            <w:tcW w:w="1898" w:type="dxa"/>
          </w:tcPr>
          <w:p w14:paraId="67A97819" w14:textId="77777777" w:rsidR="00F45A7B" w:rsidRPr="00384ED1" w:rsidRDefault="00F45A7B" w:rsidP="00D43CB1">
            <w:pPr>
              <w:spacing w:before="40" w:after="40"/>
              <w:rPr>
                <w:rFonts w:asciiTheme="minorHAnsi" w:hAnsiTheme="minorHAnsi"/>
                <w:b w:val="0"/>
                <w:lang w:val="en-US"/>
              </w:rPr>
            </w:pPr>
            <w:r w:rsidRPr="00384ED1">
              <w:rPr>
                <w:rFonts w:asciiTheme="minorHAnsi" w:hAnsiTheme="minorHAnsi"/>
                <w:b w:val="0"/>
                <w:lang w:val="en-US"/>
              </w:rPr>
              <w:t>T cells</w:t>
            </w:r>
          </w:p>
        </w:tc>
        <w:tc>
          <w:tcPr>
            <w:tcW w:w="5450" w:type="dxa"/>
          </w:tcPr>
          <w:p w14:paraId="6B7139AF" w14:textId="77777777" w:rsidR="00F45A7B" w:rsidRPr="00384ED1" w:rsidRDefault="00F45A7B" w:rsidP="00D43CB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384ED1">
              <w:rPr>
                <w:rFonts w:asciiTheme="minorHAnsi" w:hAnsiTheme="minorHAnsi"/>
                <w:lang w:val="en-US"/>
              </w:rPr>
              <w:t>CD45</w:t>
            </w:r>
            <w:r w:rsidRPr="00384ED1">
              <w:rPr>
                <w:rFonts w:asciiTheme="minorHAnsi" w:hAnsiTheme="minorHAnsi"/>
                <w:vertAlign w:val="superscript"/>
                <w:lang w:val="en-US"/>
              </w:rPr>
              <w:t>+</w:t>
            </w:r>
            <w:r w:rsidRPr="00384ED1">
              <w:rPr>
                <w:rFonts w:asciiTheme="minorHAnsi" w:hAnsiTheme="minorHAnsi"/>
                <w:lang w:val="en-US"/>
              </w:rPr>
              <w:t>, CD19</w:t>
            </w:r>
            <w:r w:rsidRPr="00384ED1">
              <w:rPr>
                <w:rFonts w:asciiTheme="minorHAnsi" w:hAnsiTheme="minorHAnsi"/>
                <w:vertAlign w:val="superscript"/>
                <w:lang w:val="en-US"/>
              </w:rPr>
              <w:t>-</w:t>
            </w:r>
            <w:r w:rsidRPr="00384ED1">
              <w:rPr>
                <w:rFonts w:asciiTheme="minorHAnsi" w:hAnsiTheme="minorHAnsi"/>
                <w:lang w:val="en-US"/>
              </w:rPr>
              <w:t>, CD3</w:t>
            </w:r>
            <w:r w:rsidRPr="00384ED1">
              <w:rPr>
                <w:rFonts w:asciiTheme="minorHAnsi" w:hAnsiTheme="minorHAnsi"/>
                <w:vertAlign w:val="superscript"/>
                <w:lang w:val="en-US"/>
              </w:rPr>
              <w:t>+</w:t>
            </w:r>
          </w:p>
        </w:tc>
      </w:tr>
      <w:tr w:rsidR="00F45A7B" w:rsidRPr="00384ED1" w14:paraId="0BB7EB4F" w14:textId="77777777" w:rsidTr="00D43C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8" w:type="dxa"/>
            <w:shd w:val="clear" w:color="auto" w:fill="BFBFBF" w:themeFill="background1" w:themeFillShade="BF"/>
          </w:tcPr>
          <w:p w14:paraId="45149774" w14:textId="77777777" w:rsidR="00F45A7B" w:rsidRPr="00384ED1" w:rsidRDefault="00F45A7B" w:rsidP="00D43CB1">
            <w:pPr>
              <w:spacing w:before="40" w:after="40"/>
              <w:rPr>
                <w:rFonts w:asciiTheme="minorHAnsi" w:hAnsiTheme="minorHAnsi"/>
                <w:b w:val="0"/>
                <w:lang w:val="en-US"/>
              </w:rPr>
            </w:pPr>
            <w:r w:rsidRPr="00384ED1">
              <w:rPr>
                <w:rFonts w:asciiTheme="minorHAnsi" w:hAnsiTheme="minorHAnsi"/>
                <w:b w:val="0"/>
                <w:lang w:val="en-US"/>
              </w:rPr>
              <w:t>CD4</w:t>
            </w:r>
            <w:r w:rsidRPr="000B192E">
              <w:rPr>
                <w:rFonts w:asciiTheme="minorHAnsi" w:hAnsiTheme="minorHAnsi"/>
                <w:b w:val="0"/>
                <w:vertAlign w:val="superscript"/>
                <w:lang w:val="en-US"/>
              </w:rPr>
              <w:t>+</w:t>
            </w:r>
            <w:r w:rsidRPr="00384ED1">
              <w:rPr>
                <w:rFonts w:asciiTheme="minorHAnsi" w:hAnsiTheme="minorHAnsi"/>
                <w:b w:val="0"/>
                <w:lang w:val="en-US"/>
              </w:rPr>
              <w:t xml:space="preserve"> T cells</w:t>
            </w:r>
          </w:p>
        </w:tc>
        <w:tc>
          <w:tcPr>
            <w:tcW w:w="5450" w:type="dxa"/>
            <w:shd w:val="clear" w:color="auto" w:fill="BFBFBF" w:themeFill="background1" w:themeFillShade="BF"/>
          </w:tcPr>
          <w:p w14:paraId="420317E1" w14:textId="77777777" w:rsidR="00F45A7B" w:rsidRPr="00384ED1" w:rsidRDefault="00F45A7B" w:rsidP="00D43CB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384ED1">
              <w:rPr>
                <w:rFonts w:asciiTheme="minorHAnsi" w:hAnsiTheme="minorHAnsi"/>
                <w:lang w:val="en-US"/>
              </w:rPr>
              <w:t>CD45</w:t>
            </w:r>
            <w:r w:rsidRPr="00384ED1">
              <w:rPr>
                <w:rFonts w:asciiTheme="minorHAnsi" w:hAnsiTheme="minorHAnsi"/>
                <w:vertAlign w:val="superscript"/>
                <w:lang w:val="en-US"/>
              </w:rPr>
              <w:t>+</w:t>
            </w:r>
            <w:r w:rsidRPr="00384ED1">
              <w:rPr>
                <w:rFonts w:asciiTheme="minorHAnsi" w:hAnsiTheme="minorHAnsi"/>
                <w:lang w:val="en-US"/>
              </w:rPr>
              <w:t>, CD19</w:t>
            </w:r>
            <w:r w:rsidRPr="00384ED1">
              <w:rPr>
                <w:rFonts w:asciiTheme="minorHAnsi" w:hAnsiTheme="minorHAnsi"/>
                <w:vertAlign w:val="superscript"/>
                <w:lang w:val="en-US"/>
              </w:rPr>
              <w:t>-</w:t>
            </w:r>
            <w:r w:rsidRPr="00384ED1">
              <w:rPr>
                <w:rFonts w:asciiTheme="minorHAnsi" w:hAnsiTheme="minorHAnsi"/>
                <w:lang w:val="en-US"/>
              </w:rPr>
              <w:t>, CD3</w:t>
            </w:r>
            <w:r w:rsidRPr="00384ED1">
              <w:rPr>
                <w:rFonts w:asciiTheme="minorHAnsi" w:hAnsiTheme="minorHAnsi"/>
                <w:vertAlign w:val="superscript"/>
                <w:lang w:val="en-US"/>
              </w:rPr>
              <w:t>+</w:t>
            </w:r>
            <w:r w:rsidRPr="00384ED1">
              <w:rPr>
                <w:rFonts w:asciiTheme="minorHAnsi" w:hAnsiTheme="minorHAnsi"/>
                <w:lang w:val="en-US"/>
              </w:rPr>
              <w:t>, CD4</w:t>
            </w:r>
            <w:r w:rsidRPr="00384ED1">
              <w:rPr>
                <w:rFonts w:asciiTheme="minorHAnsi" w:hAnsiTheme="minorHAnsi"/>
                <w:vertAlign w:val="superscript"/>
                <w:lang w:val="en-US"/>
              </w:rPr>
              <w:t>+</w:t>
            </w:r>
            <w:r w:rsidRPr="00384ED1">
              <w:rPr>
                <w:rFonts w:asciiTheme="minorHAnsi" w:hAnsiTheme="minorHAnsi"/>
                <w:lang w:val="en-US"/>
              </w:rPr>
              <w:t>, CD8</w:t>
            </w:r>
            <w:r w:rsidRPr="00384ED1">
              <w:rPr>
                <w:rFonts w:asciiTheme="minorHAnsi" w:hAnsiTheme="minorHAnsi"/>
                <w:vertAlign w:val="superscript"/>
                <w:lang w:val="en-US"/>
              </w:rPr>
              <w:t>-</w:t>
            </w:r>
          </w:p>
        </w:tc>
      </w:tr>
      <w:tr w:rsidR="00F45A7B" w:rsidRPr="00384ED1" w14:paraId="7783270A" w14:textId="77777777" w:rsidTr="00D43CB1">
        <w:trPr>
          <w:trHeight w:val="275"/>
        </w:trPr>
        <w:tc>
          <w:tcPr>
            <w:cnfStyle w:val="001000000000" w:firstRow="0" w:lastRow="0" w:firstColumn="1" w:lastColumn="0" w:oddVBand="0" w:evenVBand="0" w:oddHBand="0" w:evenHBand="0" w:firstRowFirstColumn="0" w:firstRowLastColumn="0" w:lastRowFirstColumn="0" w:lastRowLastColumn="0"/>
            <w:tcW w:w="1898" w:type="dxa"/>
          </w:tcPr>
          <w:p w14:paraId="29CADDA3" w14:textId="77777777" w:rsidR="00F45A7B" w:rsidRPr="00384ED1" w:rsidRDefault="00F45A7B" w:rsidP="00D43CB1">
            <w:pPr>
              <w:spacing w:before="40" w:after="40"/>
              <w:rPr>
                <w:rFonts w:asciiTheme="minorHAnsi" w:hAnsiTheme="minorHAnsi"/>
                <w:b w:val="0"/>
                <w:lang w:val="en-US"/>
              </w:rPr>
            </w:pPr>
            <w:r w:rsidRPr="00384ED1">
              <w:rPr>
                <w:rFonts w:asciiTheme="minorHAnsi" w:hAnsiTheme="minorHAnsi"/>
                <w:b w:val="0"/>
                <w:lang w:val="en-US"/>
              </w:rPr>
              <w:t>CD8</w:t>
            </w:r>
            <w:r w:rsidRPr="000B192E">
              <w:rPr>
                <w:rFonts w:asciiTheme="minorHAnsi" w:hAnsiTheme="minorHAnsi"/>
                <w:b w:val="0"/>
                <w:vertAlign w:val="superscript"/>
                <w:lang w:val="en-US"/>
              </w:rPr>
              <w:t>+</w:t>
            </w:r>
            <w:r w:rsidRPr="00384ED1">
              <w:rPr>
                <w:rFonts w:asciiTheme="minorHAnsi" w:hAnsiTheme="minorHAnsi"/>
                <w:b w:val="0"/>
                <w:lang w:val="en-US"/>
              </w:rPr>
              <w:t xml:space="preserve"> T cells</w:t>
            </w:r>
          </w:p>
        </w:tc>
        <w:tc>
          <w:tcPr>
            <w:tcW w:w="5450" w:type="dxa"/>
          </w:tcPr>
          <w:p w14:paraId="66A588EF" w14:textId="77777777" w:rsidR="00F45A7B" w:rsidRPr="00384ED1" w:rsidRDefault="00F45A7B" w:rsidP="00D43CB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384ED1">
              <w:rPr>
                <w:rFonts w:asciiTheme="minorHAnsi" w:hAnsiTheme="minorHAnsi"/>
                <w:lang w:val="en-US"/>
              </w:rPr>
              <w:t>CD45</w:t>
            </w:r>
            <w:r w:rsidRPr="00384ED1">
              <w:rPr>
                <w:rFonts w:asciiTheme="minorHAnsi" w:hAnsiTheme="minorHAnsi"/>
                <w:vertAlign w:val="superscript"/>
                <w:lang w:val="en-US"/>
              </w:rPr>
              <w:t>+</w:t>
            </w:r>
            <w:r w:rsidRPr="00384ED1">
              <w:rPr>
                <w:rFonts w:asciiTheme="minorHAnsi" w:hAnsiTheme="minorHAnsi"/>
                <w:lang w:val="en-US"/>
              </w:rPr>
              <w:t>, CD19</w:t>
            </w:r>
            <w:r w:rsidRPr="00384ED1">
              <w:rPr>
                <w:rFonts w:asciiTheme="minorHAnsi" w:hAnsiTheme="minorHAnsi"/>
                <w:vertAlign w:val="superscript"/>
                <w:lang w:val="en-US"/>
              </w:rPr>
              <w:t>-</w:t>
            </w:r>
            <w:r w:rsidRPr="00384ED1">
              <w:rPr>
                <w:rFonts w:asciiTheme="minorHAnsi" w:hAnsiTheme="minorHAnsi"/>
                <w:lang w:val="en-US"/>
              </w:rPr>
              <w:t>, CD3</w:t>
            </w:r>
            <w:r w:rsidRPr="00384ED1">
              <w:rPr>
                <w:rFonts w:asciiTheme="minorHAnsi" w:hAnsiTheme="minorHAnsi"/>
                <w:vertAlign w:val="superscript"/>
                <w:lang w:val="en-US"/>
              </w:rPr>
              <w:t>+</w:t>
            </w:r>
            <w:r w:rsidRPr="00384ED1">
              <w:rPr>
                <w:rFonts w:asciiTheme="minorHAnsi" w:hAnsiTheme="minorHAnsi"/>
                <w:lang w:val="en-US"/>
              </w:rPr>
              <w:t>, CD8</w:t>
            </w:r>
            <w:r w:rsidRPr="00384ED1">
              <w:rPr>
                <w:rFonts w:asciiTheme="minorHAnsi" w:hAnsiTheme="minorHAnsi"/>
                <w:vertAlign w:val="superscript"/>
                <w:lang w:val="en-US"/>
              </w:rPr>
              <w:t>+</w:t>
            </w:r>
            <w:r w:rsidRPr="00384ED1">
              <w:rPr>
                <w:rFonts w:asciiTheme="minorHAnsi" w:hAnsiTheme="minorHAnsi"/>
                <w:lang w:val="en-US"/>
              </w:rPr>
              <w:t>, CD4</w:t>
            </w:r>
            <w:r w:rsidRPr="00384ED1">
              <w:rPr>
                <w:rFonts w:asciiTheme="minorHAnsi" w:hAnsiTheme="minorHAnsi"/>
                <w:vertAlign w:val="superscript"/>
                <w:lang w:val="en-US"/>
              </w:rPr>
              <w:t>-</w:t>
            </w:r>
          </w:p>
        </w:tc>
      </w:tr>
      <w:tr w:rsidR="00F45A7B" w:rsidRPr="00384ED1" w14:paraId="6D8A5FE3" w14:textId="77777777" w:rsidTr="00D43C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8" w:type="dxa"/>
            <w:shd w:val="clear" w:color="auto" w:fill="BFBFBF" w:themeFill="background1" w:themeFillShade="BF"/>
          </w:tcPr>
          <w:p w14:paraId="7D7DB240" w14:textId="77777777" w:rsidR="00F45A7B" w:rsidRPr="00384ED1" w:rsidRDefault="00F45A7B" w:rsidP="00D43CB1">
            <w:pPr>
              <w:spacing w:before="40" w:after="40"/>
              <w:rPr>
                <w:rFonts w:asciiTheme="minorHAnsi" w:hAnsiTheme="minorHAnsi"/>
                <w:b w:val="0"/>
                <w:lang w:val="en-US"/>
              </w:rPr>
            </w:pPr>
            <w:r w:rsidRPr="00384ED1">
              <w:rPr>
                <w:rFonts w:asciiTheme="minorHAnsi" w:hAnsiTheme="minorHAnsi"/>
                <w:b w:val="0"/>
                <w:lang w:val="en-US"/>
              </w:rPr>
              <w:t>NK cells</w:t>
            </w:r>
          </w:p>
        </w:tc>
        <w:tc>
          <w:tcPr>
            <w:tcW w:w="5450" w:type="dxa"/>
            <w:shd w:val="clear" w:color="auto" w:fill="BFBFBF" w:themeFill="background1" w:themeFillShade="BF"/>
          </w:tcPr>
          <w:p w14:paraId="5A2C38C2" w14:textId="77777777" w:rsidR="00F45A7B" w:rsidRPr="00384ED1" w:rsidRDefault="00F45A7B" w:rsidP="00D43CB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384ED1">
              <w:rPr>
                <w:rFonts w:asciiTheme="minorHAnsi" w:hAnsiTheme="minorHAnsi"/>
                <w:lang w:val="en-US"/>
              </w:rPr>
              <w:t>CD45</w:t>
            </w:r>
            <w:r w:rsidRPr="00384ED1">
              <w:rPr>
                <w:rFonts w:asciiTheme="minorHAnsi" w:hAnsiTheme="minorHAnsi"/>
                <w:vertAlign w:val="superscript"/>
                <w:lang w:val="en-US"/>
              </w:rPr>
              <w:t>+</w:t>
            </w:r>
            <w:r w:rsidRPr="00384ED1">
              <w:rPr>
                <w:rFonts w:asciiTheme="minorHAnsi" w:hAnsiTheme="minorHAnsi"/>
                <w:lang w:val="en-US"/>
              </w:rPr>
              <w:t>, CD3</w:t>
            </w:r>
            <w:r w:rsidRPr="00384ED1">
              <w:rPr>
                <w:rFonts w:asciiTheme="minorHAnsi" w:hAnsiTheme="minorHAnsi"/>
                <w:vertAlign w:val="superscript"/>
                <w:lang w:val="en-US"/>
              </w:rPr>
              <w:t>-</w:t>
            </w:r>
            <w:r w:rsidRPr="00384ED1">
              <w:rPr>
                <w:rFonts w:asciiTheme="minorHAnsi" w:hAnsiTheme="minorHAnsi"/>
                <w:lang w:val="en-US"/>
              </w:rPr>
              <w:t>, CD56</w:t>
            </w:r>
            <w:r w:rsidRPr="00384ED1">
              <w:rPr>
                <w:rFonts w:asciiTheme="minorHAnsi" w:hAnsiTheme="minorHAnsi"/>
                <w:vertAlign w:val="superscript"/>
                <w:lang w:val="en-US"/>
              </w:rPr>
              <w:t>+</w:t>
            </w:r>
            <w:r w:rsidRPr="00384ED1">
              <w:rPr>
                <w:rFonts w:asciiTheme="minorHAnsi" w:hAnsiTheme="minorHAnsi"/>
                <w:lang w:val="en-US"/>
              </w:rPr>
              <w:t>, CD16</w:t>
            </w:r>
            <w:r w:rsidRPr="00384ED1">
              <w:rPr>
                <w:rFonts w:asciiTheme="minorHAnsi" w:hAnsiTheme="minorHAnsi"/>
                <w:vertAlign w:val="superscript"/>
                <w:lang w:val="en-US"/>
              </w:rPr>
              <w:t>+</w:t>
            </w:r>
          </w:p>
        </w:tc>
      </w:tr>
      <w:tr w:rsidR="00F45A7B" w:rsidRPr="00384ED1" w14:paraId="57BBE39E" w14:textId="77777777" w:rsidTr="00D43CB1">
        <w:trPr>
          <w:trHeight w:val="275"/>
        </w:trPr>
        <w:tc>
          <w:tcPr>
            <w:cnfStyle w:val="001000000000" w:firstRow="0" w:lastRow="0" w:firstColumn="1" w:lastColumn="0" w:oddVBand="0" w:evenVBand="0" w:oddHBand="0" w:evenHBand="0" w:firstRowFirstColumn="0" w:firstRowLastColumn="0" w:lastRowFirstColumn="0" w:lastRowLastColumn="0"/>
            <w:tcW w:w="1898" w:type="dxa"/>
          </w:tcPr>
          <w:p w14:paraId="708D7981" w14:textId="77777777" w:rsidR="00F45A7B" w:rsidRPr="00384ED1" w:rsidRDefault="00F45A7B" w:rsidP="00D43CB1">
            <w:pPr>
              <w:spacing w:before="40" w:after="40"/>
              <w:rPr>
                <w:rFonts w:asciiTheme="minorHAnsi" w:hAnsiTheme="minorHAnsi"/>
                <w:b w:val="0"/>
                <w:lang w:val="en-US"/>
              </w:rPr>
            </w:pPr>
            <w:r w:rsidRPr="00384ED1">
              <w:rPr>
                <w:rFonts w:asciiTheme="minorHAnsi" w:hAnsiTheme="minorHAnsi"/>
                <w:b w:val="0"/>
                <w:lang w:val="en-US"/>
              </w:rPr>
              <w:t>CD56</w:t>
            </w:r>
            <w:r w:rsidRPr="00384ED1">
              <w:rPr>
                <w:rFonts w:asciiTheme="minorHAnsi" w:hAnsiTheme="minorHAnsi"/>
                <w:b w:val="0"/>
                <w:vertAlign w:val="superscript"/>
                <w:lang w:val="en-US"/>
              </w:rPr>
              <w:t>bright</w:t>
            </w:r>
          </w:p>
        </w:tc>
        <w:tc>
          <w:tcPr>
            <w:tcW w:w="5450" w:type="dxa"/>
          </w:tcPr>
          <w:p w14:paraId="7E7B3562" w14:textId="77777777" w:rsidR="00F45A7B" w:rsidRPr="00384ED1" w:rsidRDefault="00F45A7B" w:rsidP="00D43CB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384ED1">
              <w:rPr>
                <w:rFonts w:asciiTheme="minorHAnsi" w:hAnsiTheme="minorHAnsi"/>
                <w:lang w:val="en-US"/>
              </w:rPr>
              <w:t>CD19</w:t>
            </w:r>
            <w:r w:rsidRPr="00384ED1">
              <w:rPr>
                <w:rFonts w:asciiTheme="minorHAnsi" w:hAnsiTheme="minorHAnsi"/>
                <w:vertAlign w:val="superscript"/>
                <w:lang w:val="en-US"/>
              </w:rPr>
              <w:t>-</w:t>
            </w:r>
            <w:r w:rsidRPr="00384ED1">
              <w:rPr>
                <w:rFonts w:asciiTheme="minorHAnsi" w:hAnsiTheme="minorHAnsi"/>
                <w:lang w:val="en-US"/>
              </w:rPr>
              <w:t>, CD3</w:t>
            </w:r>
            <w:r w:rsidRPr="00384ED1">
              <w:rPr>
                <w:rFonts w:asciiTheme="minorHAnsi" w:hAnsiTheme="minorHAnsi"/>
                <w:vertAlign w:val="superscript"/>
                <w:lang w:val="en-US"/>
              </w:rPr>
              <w:t>-</w:t>
            </w:r>
            <w:r w:rsidRPr="00384ED1">
              <w:rPr>
                <w:rFonts w:asciiTheme="minorHAnsi" w:hAnsiTheme="minorHAnsi"/>
                <w:lang w:val="en-US"/>
              </w:rPr>
              <w:t>, CD56</w:t>
            </w:r>
            <w:r w:rsidRPr="00384ED1">
              <w:rPr>
                <w:rFonts w:asciiTheme="minorHAnsi" w:hAnsiTheme="minorHAnsi"/>
                <w:vertAlign w:val="superscript"/>
                <w:lang w:val="en-US"/>
              </w:rPr>
              <w:t>++</w:t>
            </w:r>
            <w:r w:rsidRPr="00384ED1">
              <w:rPr>
                <w:rFonts w:asciiTheme="minorHAnsi" w:hAnsiTheme="minorHAnsi"/>
                <w:lang w:val="en-US"/>
              </w:rPr>
              <w:t>, CD16</w:t>
            </w:r>
            <w:r w:rsidRPr="00384ED1">
              <w:rPr>
                <w:rFonts w:asciiTheme="minorHAnsi" w:hAnsiTheme="minorHAnsi"/>
                <w:vertAlign w:val="superscript"/>
                <w:lang w:val="en-US"/>
              </w:rPr>
              <w:t>+/-</w:t>
            </w:r>
          </w:p>
        </w:tc>
      </w:tr>
      <w:tr w:rsidR="00F45A7B" w:rsidRPr="00384ED1" w14:paraId="2C9325D4" w14:textId="77777777" w:rsidTr="00D43C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8" w:type="dxa"/>
            <w:shd w:val="clear" w:color="auto" w:fill="BFBFBF" w:themeFill="background1" w:themeFillShade="BF"/>
          </w:tcPr>
          <w:p w14:paraId="5E17F758" w14:textId="77777777" w:rsidR="00F45A7B" w:rsidRPr="00384ED1" w:rsidRDefault="00F45A7B" w:rsidP="00D43CB1">
            <w:pPr>
              <w:spacing w:before="40" w:after="40"/>
              <w:rPr>
                <w:rFonts w:asciiTheme="minorHAnsi" w:hAnsiTheme="minorHAnsi"/>
                <w:b w:val="0"/>
                <w:lang w:val="en-US"/>
              </w:rPr>
            </w:pPr>
            <w:r w:rsidRPr="00384ED1">
              <w:rPr>
                <w:rFonts w:asciiTheme="minorHAnsi" w:hAnsiTheme="minorHAnsi"/>
                <w:b w:val="0"/>
                <w:lang w:val="en-US"/>
              </w:rPr>
              <w:t xml:space="preserve">CD56 </w:t>
            </w:r>
            <w:r w:rsidRPr="00384ED1">
              <w:rPr>
                <w:rFonts w:asciiTheme="minorHAnsi" w:hAnsiTheme="minorHAnsi"/>
                <w:b w:val="0"/>
                <w:vertAlign w:val="superscript"/>
                <w:lang w:val="en-US"/>
              </w:rPr>
              <w:t>dim</w:t>
            </w:r>
          </w:p>
        </w:tc>
        <w:tc>
          <w:tcPr>
            <w:tcW w:w="5450" w:type="dxa"/>
            <w:shd w:val="clear" w:color="auto" w:fill="BFBFBF" w:themeFill="background1" w:themeFillShade="BF"/>
          </w:tcPr>
          <w:p w14:paraId="5878C7BB" w14:textId="77777777" w:rsidR="00F45A7B" w:rsidRPr="00384ED1" w:rsidRDefault="00F45A7B" w:rsidP="00D43CB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384ED1">
              <w:rPr>
                <w:rFonts w:asciiTheme="minorHAnsi" w:hAnsiTheme="minorHAnsi"/>
                <w:lang w:val="en-US"/>
              </w:rPr>
              <w:t>CD19</w:t>
            </w:r>
            <w:r w:rsidRPr="00384ED1">
              <w:rPr>
                <w:rFonts w:asciiTheme="minorHAnsi" w:hAnsiTheme="minorHAnsi"/>
                <w:vertAlign w:val="superscript"/>
                <w:lang w:val="en-US"/>
              </w:rPr>
              <w:t>-</w:t>
            </w:r>
            <w:r w:rsidRPr="00384ED1">
              <w:rPr>
                <w:rFonts w:asciiTheme="minorHAnsi" w:hAnsiTheme="minorHAnsi"/>
                <w:lang w:val="en-US"/>
              </w:rPr>
              <w:t>, CD3</w:t>
            </w:r>
            <w:r w:rsidRPr="00384ED1">
              <w:rPr>
                <w:rFonts w:asciiTheme="minorHAnsi" w:hAnsiTheme="minorHAnsi"/>
                <w:vertAlign w:val="superscript"/>
                <w:lang w:val="en-US"/>
              </w:rPr>
              <w:t>-</w:t>
            </w:r>
            <w:r w:rsidRPr="00384ED1">
              <w:rPr>
                <w:rFonts w:asciiTheme="minorHAnsi" w:hAnsiTheme="minorHAnsi"/>
                <w:lang w:val="en-US"/>
              </w:rPr>
              <w:t>, CD56</w:t>
            </w:r>
            <w:r w:rsidRPr="00384ED1">
              <w:rPr>
                <w:rFonts w:asciiTheme="minorHAnsi" w:hAnsiTheme="minorHAnsi"/>
                <w:vertAlign w:val="superscript"/>
                <w:lang w:val="en-US"/>
              </w:rPr>
              <w:t>+</w:t>
            </w:r>
            <w:r w:rsidRPr="00384ED1">
              <w:rPr>
                <w:rFonts w:asciiTheme="minorHAnsi" w:hAnsiTheme="minorHAnsi"/>
                <w:lang w:val="en-US"/>
              </w:rPr>
              <w:t>, CD16</w:t>
            </w:r>
            <w:r w:rsidRPr="00384ED1">
              <w:rPr>
                <w:rFonts w:asciiTheme="minorHAnsi" w:hAnsiTheme="minorHAnsi"/>
                <w:vertAlign w:val="superscript"/>
                <w:lang w:val="en-US"/>
              </w:rPr>
              <w:t>+</w:t>
            </w:r>
          </w:p>
        </w:tc>
      </w:tr>
      <w:tr w:rsidR="00F45A7B" w:rsidRPr="00384ED1" w14:paraId="5DFD1415" w14:textId="77777777" w:rsidTr="00D43CB1">
        <w:trPr>
          <w:trHeight w:val="262"/>
        </w:trPr>
        <w:tc>
          <w:tcPr>
            <w:cnfStyle w:val="001000000000" w:firstRow="0" w:lastRow="0" w:firstColumn="1" w:lastColumn="0" w:oddVBand="0" w:evenVBand="0" w:oddHBand="0" w:evenHBand="0" w:firstRowFirstColumn="0" w:firstRowLastColumn="0" w:lastRowFirstColumn="0" w:lastRowLastColumn="0"/>
            <w:tcW w:w="1898" w:type="dxa"/>
          </w:tcPr>
          <w:p w14:paraId="241F0824" w14:textId="77777777" w:rsidR="00F45A7B" w:rsidRPr="00384ED1" w:rsidRDefault="00F45A7B" w:rsidP="00D43CB1">
            <w:pPr>
              <w:spacing w:before="40" w:after="40"/>
              <w:rPr>
                <w:rFonts w:asciiTheme="minorHAnsi" w:hAnsiTheme="minorHAnsi"/>
                <w:b w:val="0"/>
                <w:lang w:val="en-US"/>
              </w:rPr>
            </w:pPr>
            <w:r w:rsidRPr="00384ED1">
              <w:rPr>
                <w:rFonts w:asciiTheme="minorHAnsi" w:hAnsiTheme="minorHAnsi"/>
                <w:b w:val="0"/>
                <w:lang w:val="en-US"/>
              </w:rPr>
              <w:t>Tregs</w:t>
            </w:r>
          </w:p>
        </w:tc>
        <w:tc>
          <w:tcPr>
            <w:tcW w:w="5450" w:type="dxa"/>
          </w:tcPr>
          <w:p w14:paraId="5588038D" w14:textId="77777777" w:rsidR="00F45A7B" w:rsidRPr="00384ED1" w:rsidRDefault="00F45A7B" w:rsidP="00D43CB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384ED1">
              <w:rPr>
                <w:rFonts w:asciiTheme="minorHAnsi" w:hAnsiTheme="minorHAnsi"/>
                <w:lang w:val="en-US"/>
              </w:rPr>
              <w:t>CD3</w:t>
            </w:r>
            <w:r w:rsidRPr="00384ED1">
              <w:rPr>
                <w:rFonts w:asciiTheme="minorHAnsi" w:hAnsiTheme="minorHAnsi"/>
                <w:vertAlign w:val="superscript"/>
                <w:lang w:val="en-US"/>
              </w:rPr>
              <w:t>+</w:t>
            </w:r>
            <w:r w:rsidRPr="00384ED1">
              <w:rPr>
                <w:rFonts w:asciiTheme="minorHAnsi" w:hAnsiTheme="minorHAnsi"/>
                <w:lang w:val="en-US"/>
              </w:rPr>
              <w:t>, CD4</w:t>
            </w:r>
            <w:r w:rsidRPr="00384ED1">
              <w:rPr>
                <w:rFonts w:asciiTheme="minorHAnsi" w:hAnsiTheme="minorHAnsi"/>
                <w:vertAlign w:val="superscript"/>
                <w:lang w:val="en-US"/>
              </w:rPr>
              <w:t>+</w:t>
            </w:r>
            <w:r w:rsidRPr="00384ED1">
              <w:rPr>
                <w:rFonts w:asciiTheme="minorHAnsi" w:hAnsiTheme="minorHAnsi"/>
                <w:lang w:val="en-US"/>
              </w:rPr>
              <w:t>, CD25</w:t>
            </w:r>
            <w:r w:rsidRPr="00384ED1">
              <w:rPr>
                <w:rFonts w:asciiTheme="minorHAnsi" w:hAnsiTheme="minorHAnsi"/>
                <w:vertAlign w:val="superscript"/>
                <w:lang w:val="en-US"/>
              </w:rPr>
              <w:t>+</w:t>
            </w:r>
            <w:r w:rsidRPr="00384ED1">
              <w:rPr>
                <w:rFonts w:asciiTheme="minorHAnsi" w:hAnsiTheme="minorHAnsi"/>
                <w:lang w:val="en-US"/>
              </w:rPr>
              <w:t>, CD127</w:t>
            </w:r>
            <w:r w:rsidRPr="00384ED1">
              <w:rPr>
                <w:rFonts w:asciiTheme="minorHAnsi" w:hAnsiTheme="minorHAnsi"/>
                <w:vertAlign w:val="superscript"/>
                <w:lang w:val="en-US"/>
              </w:rPr>
              <w:t>-/low</w:t>
            </w:r>
            <w:r w:rsidRPr="00384ED1">
              <w:rPr>
                <w:rFonts w:asciiTheme="minorHAnsi" w:hAnsiTheme="minorHAnsi"/>
                <w:lang w:val="en-US"/>
              </w:rPr>
              <w:t>, CD194</w:t>
            </w:r>
            <w:r w:rsidRPr="00384ED1">
              <w:rPr>
                <w:rFonts w:asciiTheme="minorHAnsi" w:hAnsiTheme="minorHAnsi"/>
                <w:vertAlign w:val="superscript"/>
                <w:lang w:val="en-US"/>
              </w:rPr>
              <w:t>+</w:t>
            </w:r>
          </w:p>
        </w:tc>
      </w:tr>
      <w:tr w:rsidR="00F45A7B" w:rsidRPr="00384ED1" w14:paraId="5E778B63" w14:textId="77777777" w:rsidTr="00D43CB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98" w:type="dxa"/>
            <w:shd w:val="clear" w:color="auto" w:fill="BFBFBF" w:themeFill="background1" w:themeFillShade="BF"/>
          </w:tcPr>
          <w:p w14:paraId="50F85DFE" w14:textId="77777777" w:rsidR="00F45A7B" w:rsidRPr="00384ED1" w:rsidRDefault="00F45A7B" w:rsidP="00D43CB1">
            <w:pPr>
              <w:spacing w:before="40" w:after="40"/>
              <w:rPr>
                <w:rFonts w:asciiTheme="minorHAnsi" w:hAnsiTheme="minorHAnsi"/>
                <w:b w:val="0"/>
                <w:lang w:val="en-US"/>
              </w:rPr>
            </w:pPr>
            <w:r w:rsidRPr="00384ED1">
              <w:rPr>
                <w:rFonts w:asciiTheme="minorHAnsi" w:hAnsiTheme="minorHAnsi"/>
                <w:b w:val="0"/>
                <w:lang w:val="en-US"/>
              </w:rPr>
              <w:t>Th</w:t>
            </w:r>
            <w:r w:rsidRPr="00384ED1">
              <w:rPr>
                <w:rFonts w:asciiTheme="minorHAnsi" w:hAnsiTheme="minorHAnsi"/>
                <w:b w:val="0"/>
                <w:vertAlign w:val="subscript"/>
                <w:lang w:val="en-US"/>
              </w:rPr>
              <w:t>1</w:t>
            </w:r>
          </w:p>
        </w:tc>
        <w:tc>
          <w:tcPr>
            <w:tcW w:w="5450" w:type="dxa"/>
            <w:shd w:val="clear" w:color="auto" w:fill="BFBFBF" w:themeFill="background1" w:themeFillShade="BF"/>
          </w:tcPr>
          <w:p w14:paraId="633AB67B" w14:textId="77777777" w:rsidR="00F45A7B" w:rsidRPr="00384ED1" w:rsidRDefault="00F45A7B" w:rsidP="00D43CB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384ED1">
              <w:rPr>
                <w:rFonts w:asciiTheme="minorHAnsi" w:hAnsiTheme="minorHAnsi"/>
                <w:lang w:val="en-US"/>
              </w:rPr>
              <w:t>CD3</w:t>
            </w:r>
            <w:r w:rsidRPr="00384ED1">
              <w:rPr>
                <w:rFonts w:asciiTheme="minorHAnsi" w:hAnsiTheme="minorHAnsi"/>
                <w:vertAlign w:val="superscript"/>
                <w:lang w:val="en-US"/>
              </w:rPr>
              <w:t>+</w:t>
            </w:r>
            <w:r w:rsidRPr="00384ED1">
              <w:rPr>
                <w:rFonts w:asciiTheme="minorHAnsi" w:hAnsiTheme="minorHAnsi"/>
                <w:lang w:val="en-US"/>
              </w:rPr>
              <w:t>, CD8</w:t>
            </w:r>
            <w:r w:rsidRPr="00384ED1">
              <w:rPr>
                <w:rFonts w:asciiTheme="minorHAnsi" w:hAnsiTheme="minorHAnsi"/>
                <w:vertAlign w:val="superscript"/>
                <w:lang w:val="en-US"/>
              </w:rPr>
              <w:t>-</w:t>
            </w:r>
            <w:r w:rsidRPr="00384ED1">
              <w:rPr>
                <w:rFonts w:asciiTheme="minorHAnsi" w:hAnsiTheme="minorHAnsi"/>
                <w:lang w:val="en-US"/>
              </w:rPr>
              <w:t>, CD4</w:t>
            </w:r>
            <w:r w:rsidRPr="00384ED1">
              <w:rPr>
                <w:rFonts w:asciiTheme="minorHAnsi" w:hAnsiTheme="minorHAnsi"/>
                <w:vertAlign w:val="superscript"/>
                <w:lang w:val="en-US"/>
              </w:rPr>
              <w:t>+</w:t>
            </w:r>
            <w:r w:rsidRPr="00384ED1">
              <w:rPr>
                <w:rFonts w:asciiTheme="minorHAnsi" w:hAnsiTheme="minorHAnsi"/>
                <w:lang w:val="en-US"/>
              </w:rPr>
              <w:t>, CD183</w:t>
            </w:r>
            <w:r w:rsidRPr="00384ED1">
              <w:rPr>
                <w:rFonts w:asciiTheme="minorHAnsi" w:hAnsiTheme="minorHAnsi"/>
                <w:vertAlign w:val="superscript"/>
                <w:lang w:val="en-US"/>
              </w:rPr>
              <w:t>+</w:t>
            </w:r>
            <w:r w:rsidRPr="00384ED1">
              <w:rPr>
                <w:rFonts w:asciiTheme="minorHAnsi" w:hAnsiTheme="minorHAnsi"/>
                <w:lang w:val="en-US"/>
              </w:rPr>
              <w:t>, CD196</w:t>
            </w:r>
            <w:r w:rsidRPr="00384ED1">
              <w:rPr>
                <w:rFonts w:asciiTheme="minorHAnsi" w:hAnsiTheme="minorHAnsi"/>
                <w:vertAlign w:val="superscript"/>
                <w:lang w:val="en-US"/>
              </w:rPr>
              <w:t>-</w:t>
            </w:r>
          </w:p>
        </w:tc>
      </w:tr>
      <w:tr w:rsidR="00F45A7B" w:rsidRPr="00384ED1" w14:paraId="15B70FFB" w14:textId="77777777" w:rsidTr="00D43CB1">
        <w:trPr>
          <w:trHeight w:val="282"/>
        </w:trPr>
        <w:tc>
          <w:tcPr>
            <w:cnfStyle w:val="001000000000" w:firstRow="0" w:lastRow="0" w:firstColumn="1" w:lastColumn="0" w:oddVBand="0" w:evenVBand="0" w:oddHBand="0" w:evenHBand="0" w:firstRowFirstColumn="0" w:firstRowLastColumn="0" w:lastRowFirstColumn="0" w:lastRowLastColumn="0"/>
            <w:tcW w:w="1898" w:type="dxa"/>
          </w:tcPr>
          <w:p w14:paraId="2B2B34BA" w14:textId="77777777" w:rsidR="00F45A7B" w:rsidRPr="00384ED1" w:rsidRDefault="00F45A7B" w:rsidP="00D43CB1">
            <w:pPr>
              <w:spacing w:before="40" w:after="40"/>
              <w:rPr>
                <w:rFonts w:asciiTheme="minorHAnsi" w:hAnsiTheme="minorHAnsi"/>
                <w:b w:val="0"/>
                <w:lang w:val="en-US"/>
              </w:rPr>
            </w:pPr>
            <w:r w:rsidRPr="00384ED1">
              <w:rPr>
                <w:rFonts w:asciiTheme="minorHAnsi" w:hAnsiTheme="minorHAnsi"/>
                <w:b w:val="0"/>
                <w:lang w:val="en-US"/>
              </w:rPr>
              <w:t>Th</w:t>
            </w:r>
            <w:r w:rsidRPr="00384ED1">
              <w:rPr>
                <w:rFonts w:asciiTheme="minorHAnsi" w:hAnsiTheme="minorHAnsi"/>
                <w:b w:val="0"/>
                <w:vertAlign w:val="subscript"/>
                <w:lang w:val="en-US"/>
              </w:rPr>
              <w:t>2</w:t>
            </w:r>
          </w:p>
        </w:tc>
        <w:tc>
          <w:tcPr>
            <w:tcW w:w="5450" w:type="dxa"/>
          </w:tcPr>
          <w:p w14:paraId="33927C4B" w14:textId="77777777" w:rsidR="00F45A7B" w:rsidRPr="00384ED1" w:rsidRDefault="00F45A7B" w:rsidP="00D43CB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384ED1">
              <w:rPr>
                <w:rFonts w:asciiTheme="minorHAnsi" w:hAnsiTheme="minorHAnsi"/>
                <w:lang w:val="en-US"/>
              </w:rPr>
              <w:t>CD3</w:t>
            </w:r>
            <w:r w:rsidRPr="00384ED1">
              <w:rPr>
                <w:rFonts w:asciiTheme="minorHAnsi" w:hAnsiTheme="minorHAnsi"/>
                <w:vertAlign w:val="superscript"/>
                <w:lang w:val="en-US"/>
              </w:rPr>
              <w:t>+</w:t>
            </w:r>
            <w:r w:rsidRPr="00384ED1">
              <w:rPr>
                <w:rFonts w:asciiTheme="minorHAnsi" w:hAnsiTheme="minorHAnsi"/>
                <w:lang w:val="en-US"/>
              </w:rPr>
              <w:t>, CD8</w:t>
            </w:r>
            <w:r w:rsidRPr="00384ED1">
              <w:rPr>
                <w:rFonts w:asciiTheme="minorHAnsi" w:hAnsiTheme="minorHAnsi"/>
                <w:vertAlign w:val="superscript"/>
                <w:lang w:val="en-US"/>
              </w:rPr>
              <w:t>-</w:t>
            </w:r>
            <w:r w:rsidRPr="00384ED1">
              <w:rPr>
                <w:rFonts w:asciiTheme="minorHAnsi" w:hAnsiTheme="minorHAnsi"/>
                <w:lang w:val="en-US"/>
              </w:rPr>
              <w:t>, CD4</w:t>
            </w:r>
            <w:r w:rsidRPr="00384ED1">
              <w:rPr>
                <w:rFonts w:asciiTheme="minorHAnsi" w:hAnsiTheme="minorHAnsi"/>
                <w:vertAlign w:val="superscript"/>
                <w:lang w:val="en-US"/>
              </w:rPr>
              <w:t>+</w:t>
            </w:r>
            <w:r w:rsidRPr="00384ED1">
              <w:rPr>
                <w:rFonts w:asciiTheme="minorHAnsi" w:hAnsiTheme="minorHAnsi"/>
                <w:lang w:val="en-US"/>
              </w:rPr>
              <w:t>, CD183</w:t>
            </w:r>
            <w:r w:rsidRPr="00384ED1">
              <w:rPr>
                <w:rFonts w:asciiTheme="minorHAnsi" w:hAnsiTheme="minorHAnsi"/>
                <w:vertAlign w:val="superscript"/>
                <w:lang w:val="en-US"/>
              </w:rPr>
              <w:t>-</w:t>
            </w:r>
            <w:r w:rsidRPr="00384ED1">
              <w:rPr>
                <w:rFonts w:asciiTheme="minorHAnsi" w:hAnsiTheme="minorHAnsi"/>
                <w:lang w:val="en-US"/>
              </w:rPr>
              <w:t>, CD196</w:t>
            </w:r>
            <w:r w:rsidRPr="00384ED1">
              <w:rPr>
                <w:rFonts w:asciiTheme="minorHAnsi" w:hAnsiTheme="minorHAnsi"/>
                <w:vertAlign w:val="superscript"/>
                <w:lang w:val="en-US"/>
              </w:rPr>
              <w:t>-</w:t>
            </w:r>
          </w:p>
        </w:tc>
      </w:tr>
      <w:tr w:rsidR="00F45A7B" w:rsidRPr="00384ED1" w14:paraId="00483754" w14:textId="77777777" w:rsidTr="00D43CB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98" w:type="dxa"/>
            <w:shd w:val="clear" w:color="auto" w:fill="BFBFBF" w:themeFill="background1" w:themeFillShade="BF"/>
          </w:tcPr>
          <w:p w14:paraId="2AECD5A5" w14:textId="77777777" w:rsidR="00F45A7B" w:rsidRPr="00384ED1" w:rsidRDefault="00F45A7B" w:rsidP="00D43CB1">
            <w:pPr>
              <w:spacing w:before="40" w:after="40"/>
              <w:rPr>
                <w:rFonts w:asciiTheme="minorHAnsi" w:hAnsiTheme="minorHAnsi"/>
                <w:b w:val="0"/>
                <w:lang w:val="en-US"/>
              </w:rPr>
            </w:pPr>
            <w:r w:rsidRPr="00384ED1">
              <w:rPr>
                <w:rFonts w:asciiTheme="minorHAnsi" w:hAnsiTheme="minorHAnsi"/>
                <w:b w:val="0"/>
                <w:lang w:val="en-US"/>
              </w:rPr>
              <w:t>Th</w:t>
            </w:r>
            <w:r w:rsidRPr="00384ED1">
              <w:rPr>
                <w:rFonts w:asciiTheme="minorHAnsi" w:hAnsiTheme="minorHAnsi"/>
                <w:b w:val="0"/>
                <w:vertAlign w:val="subscript"/>
                <w:lang w:val="en-US"/>
              </w:rPr>
              <w:t>17</w:t>
            </w:r>
          </w:p>
        </w:tc>
        <w:tc>
          <w:tcPr>
            <w:tcW w:w="5450" w:type="dxa"/>
            <w:shd w:val="clear" w:color="auto" w:fill="BFBFBF" w:themeFill="background1" w:themeFillShade="BF"/>
          </w:tcPr>
          <w:p w14:paraId="5ACCDD07" w14:textId="77777777" w:rsidR="00F45A7B" w:rsidRPr="00384ED1" w:rsidRDefault="00F45A7B" w:rsidP="00D43CB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384ED1">
              <w:rPr>
                <w:rFonts w:asciiTheme="minorHAnsi" w:hAnsiTheme="minorHAnsi"/>
                <w:lang w:val="en-US"/>
              </w:rPr>
              <w:t>CD3</w:t>
            </w:r>
            <w:r w:rsidRPr="00384ED1">
              <w:rPr>
                <w:rFonts w:asciiTheme="minorHAnsi" w:hAnsiTheme="minorHAnsi"/>
                <w:vertAlign w:val="superscript"/>
                <w:lang w:val="en-US"/>
              </w:rPr>
              <w:t>+</w:t>
            </w:r>
            <w:r w:rsidRPr="00384ED1">
              <w:rPr>
                <w:rFonts w:asciiTheme="minorHAnsi" w:hAnsiTheme="minorHAnsi"/>
                <w:lang w:val="en-US"/>
              </w:rPr>
              <w:t>, CD8</w:t>
            </w:r>
            <w:r w:rsidRPr="00384ED1">
              <w:rPr>
                <w:rFonts w:asciiTheme="minorHAnsi" w:hAnsiTheme="minorHAnsi"/>
                <w:vertAlign w:val="superscript"/>
                <w:lang w:val="en-US"/>
              </w:rPr>
              <w:t>-</w:t>
            </w:r>
            <w:r w:rsidRPr="00384ED1">
              <w:rPr>
                <w:rFonts w:asciiTheme="minorHAnsi" w:hAnsiTheme="minorHAnsi"/>
                <w:lang w:val="en-US"/>
              </w:rPr>
              <w:t>, CD4</w:t>
            </w:r>
            <w:r w:rsidRPr="00384ED1">
              <w:rPr>
                <w:rFonts w:asciiTheme="minorHAnsi" w:hAnsiTheme="minorHAnsi"/>
                <w:vertAlign w:val="superscript"/>
                <w:lang w:val="en-US"/>
              </w:rPr>
              <w:t>+</w:t>
            </w:r>
            <w:r w:rsidRPr="00384ED1">
              <w:rPr>
                <w:rFonts w:asciiTheme="minorHAnsi" w:hAnsiTheme="minorHAnsi"/>
                <w:lang w:val="en-US"/>
              </w:rPr>
              <w:t>, CD183</w:t>
            </w:r>
            <w:r w:rsidRPr="00384ED1">
              <w:rPr>
                <w:rFonts w:asciiTheme="minorHAnsi" w:hAnsiTheme="minorHAnsi"/>
                <w:vertAlign w:val="superscript"/>
                <w:lang w:val="en-US"/>
              </w:rPr>
              <w:t>-</w:t>
            </w:r>
            <w:r w:rsidRPr="00384ED1">
              <w:rPr>
                <w:rFonts w:asciiTheme="minorHAnsi" w:hAnsiTheme="minorHAnsi"/>
                <w:lang w:val="en-US"/>
              </w:rPr>
              <w:t>, CD196</w:t>
            </w:r>
            <w:r w:rsidRPr="00384ED1">
              <w:rPr>
                <w:rFonts w:asciiTheme="minorHAnsi" w:hAnsiTheme="minorHAnsi"/>
                <w:vertAlign w:val="superscript"/>
                <w:lang w:val="en-US"/>
              </w:rPr>
              <w:t>+</w:t>
            </w:r>
          </w:p>
        </w:tc>
      </w:tr>
      <w:tr w:rsidR="00384ED1" w:rsidRPr="00384ED1" w14:paraId="7881468D" w14:textId="77777777" w:rsidTr="00D43CB1">
        <w:trPr>
          <w:trHeight w:val="275"/>
        </w:trPr>
        <w:tc>
          <w:tcPr>
            <w:cnfStyle w:val="001000000000" w:firstRow="0" w:lastRow="0" w:firstColumn="1" w:lastColumn="0" w:oddVBand="0" w:evenVBand="0" w:oddHBand="0" w:evenHBand="0" w:firstRowFirstColumn="0" w:firstRowLastColumn="0" w:lastRowFirstColumn="0" w:lastRowLastColumn="0"/>
            <w:tcW w:w="7349" w:type="dxa"/>
            <w:gridSpan w:val="2"/>
          </w:tcPr>
          <w:p w14:paraId="71663161" w14:textId="77777777" w:rsidR="00384ED1" w:rsidRPr="00384ED1" w:rsidRDefault="00384ED1" w:rsidP="00D43CB1">
            <w:pPr>
              <w:spacing w:before="40" w:after="40"/>
              <w:rPr>
                <w:rFonts w:asciiTheme="minorHAnsi" w:hAnsiTheme="minorHAnsi"/>
                <w:b w:val="0"/>
                <w:i/>
                <w:lang w:val="en-US"/>
              </w:rPr>
            </w:pPr>
          </w:p>
        </w:tc>
      </w:tr>
      <w:tr w:rsidR="00F45A7B" w:rsidRPr="00384ED1" w14:paraId="46C2F33B" w14:textId="77777777" w:rsidTr="00D43C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349" w:type="dxa"/>
            <w:gridSpan w:val="2"/>
            <w:shd w:val="clear" w:color="auto" w:fill="BFBFBF" w:themeFill="background1" w:themeFillShade="BF"/>
          </w:tcPr>
          <w:p w14:paraId="6D7F4690" w14:textId="77777777" w:rsidR="00F45A7B" w:rsidRPr="00384ED1" w:rsidRDefault="00F45A7B" w:rsidP="00D43CB1">
            <w:pPr>
              <w:spacing w:before="40" w:after="40"/>
              <w:rPr>
                <w:rFonts w:asciiTheme="minorHAnsi" w:hAnsiTheme="minorHAnsi"/>
                <w:b w:val="0"/>
                <w:i/>
                <w:lang w:val="en-US"/>
              </w:rPr>
            </w:pPr>
            <w:r w:rsidRPr="00384ED1">
              <w:rPr>
                <w:rFonts w:asciiTheme="minorHAnsi" w:hAnsiTheme="minorHAnsi"/>
                <w:b w:val="0"/>
                <w:i/>
                <w:lang w:val="en-US"/>
              </w:rPr>
              <w:t>Teff/mem cells within CD4 and CD8 subpopulations</w:t>
            </w:r>
          </w:p>
        </w:tc>
      </w:tr>
      <w:tr w:rsidR="00F45A7B" w:rsidRPr="00384ED1" w14:paraId="570553B6" w14:textId="77777777" w:rsidTr="00D43CB1">
        <w:trPr>
          <w:trHeight w:val="275"/>
        </w:trPr>
        <w:tc>
          <w:tcPr>
            <w:cnfStyle w:val="001000000000" w:firstRow="0" w:lastRow="0" w:firstColumn="1" w:lastColumn="0" w:oddVBand="0" w:evenVBand="0" w:oddHBand="0" w:evenHBand="0" w:firstRowFirstColumn="0" w:firstRowLastColumn="0" w:lastRowFirstColumn="0" w:lastRowLastColumn="0"/>
            <w:tcW w:w="1898" w:type="dxa"/>
          </w:tcPr>
          <w:p w14:paraId="3FF9FC78" w14:textId="77777777" w:rsidR="00F45A7B" w:rsidRPr="00384ED1" w:rsidRDefault="00F45A7B" w:rsidP="00D43CB1">
            <w:pPr>
              <w:spacing w:before="40" w:after="40"/>
              <w:rPr>
                <w:rFonts w:asciiTheme="minorHAnsi" w:hAnsiTheme="minorHAnsi"/>
                <w:b w:val="0"/>
                <w:lang w:val="en-US"/>
              </w:rPr>
            </w:pPr>
            <w:r w:rsidRPr="00384ED1">
              <w:rPr>
                <w:rFonts w:asciiTheme="minorHAnsi" w:hAnsiTheme="minorHAnsi"/>
                <w:b w:val="0"/>
                <w:lang w:val="en-US"/>
              </w:rPr>
              <w:t>T</w:t>
            </w:r>
            <w:r w:rsidRPr="00384ED1">
              <w:rPr>
                <w:rFonts w:asciiTheme="minorHAnsi" w:hAnsiTheme="minorHAnsi"/>
                <w:b w:val="0"/>
                <w:vertAlign w:val="subscript"/>
                <w:lang w:val="en-US"/>
              </w:rPr>
              <w:t>N</w:t>
            </w:r>
          </w:p>
        </w:tc>
        <w:tc>
          <w:tcPr>
            <w:tcW w:w="5450" w:type="dxa"/>
          </w:tcPr>
          <w:p w14:paraId="74575FDB" w14:textId="127C9A38" w:rsidR="00F45A7B" w:rsidRPr="00384ED1" w:rsidRDefault="00F45A7B" w:rsidP="00D43CB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384ED1">
              <w:rPr>
                <w:rFonts w:asciiTheme="minorHAnsi" w:hAnsiTheme="minorHAnsi"/>
                <w:lang w:val="en-US"/>
              </w:rPr>
              <w:t>CD3</w:t>
            </w:r>
            <w:r w:rsidRPr="00384ED1">
              <w:rPr>
                <w:rFonts w:asciiTheme="minorHAnsi" w:hAnsiTheme="minorHAnsi"/>
                <w:vertAlign w:val="superscript"/>
                <w:lang w:val="en-US"/>
              </w:rPr>
              <w:t>+</w:t>
            </w:r>
            <w:r w:rsidRPr="00384ED1">
              <w:rPr>
                <w:rFonts w:asciiTheme="minorHAnsi" w:hAnsiTheme="minorHAnsi"/>
                <w:lang w:val="en-US"/>
              </w:rPr>
              <w:t>, CD4</w:t>
            </w:r>
            <w:r w:rsidRPr="00384ED1">
              <w:rPr>
                <w:rFonts w:asciiTheme="minorHAnsi" w:hAnsiTheme="minorHAnsi"/>
                <w:vertAlign w:val="superscript"/>
                <w:lang w:val="en-US"/>
              </w:rPr>
              <w:t>+/-</w:t>
            </w:r>
            <w:r w:rsidRPr="00384ED1">
              <w:rPr>
                <w:rFonts w:asciiTheme="minorHAnsi" w:hAnsiTheme="minorHAnsi"/>
                <w:lang w:val="en-US"/>
              </w:rPr>
              <w:t>, CD8</w:t>
            </w:r>
            <w:r w:rsidRPr="00384ED1">
              <w:rPr>
                <w:rFonts w:asciiTheme="minorHAnsi" w:hAnsiTheme="minorHAnsi"/>
                <w:vertAlign w:val="superscript"/>
                <w:lang w:val="en-US"/>
              </w:rPr>
              <w:t>+/-</w:t>
            </w:r>
            <w:r w:rsidRPr="00384ED1">
              <w:rPr>
                <w:rFonts w:asciiTheme="minorHAnsi" w:hAnsiTheme="minorHAnsi"/>
                <w:lang w:val="en-US"/>
              </w:rPr>
              <w:t>, CD45RA</w:t>
            </w:r>
            <w:r w:rsidRPr="00384ED1">
              <w:rPr>
                <w:rFonts w:asciiTheme="minorHAnsi" w:hAnsiTheme="minorHAnsi"/>
                <w:vertAlign w:val="superscript"/>
                <w:lang w:val="en-US"/>
              </w:rPr>
              <w:t>+</w:t>
            </w:r>
            <w:r w:rsidRPr="00384ED1">
              <w:rPr>
                <w:rFonts w:asciiTheme="minorHAnsi" w:hAnsiTheme="minorHAnsi"/>
                <w:lang w:val="en-US"/>
              </w:rPr>
              <w:t>, CCR7</w:t>
            </w:r>
            <w:r w:rsidRPr="00384ED1">
              <w:rPr>
                <w:rFonts w:asciiTheme="minorHAnsi" w:hAnsiTheme="minorHAnsi"/>
                <w:vertAlign w:val="superscript"/>
                <w:lang w:val="en-US"/>
              </w:rPr>
              <w:t>+</w:t>
            </w:r>
          </w:p>
        </w:tc>
      </w:tr>
      <w:tr w:rsidR="00F45A7B" w:rsidRPr="00384ED1" w14:paraId="74534276" w14:textId="77777777" w:rsidTr="00D43C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8" w:type="dxa"/>
            <w:shd w:val="clear" w:color="auto" w:fill="BFBFBF" w:themeFill="background1" w:themeFillShade="BF"/>
          </w:tcPr>
          <w:p w14:paraId="02695067" w14:textId="77777777" w:rsidR="00F45A7B" w:rsidRPr="00384ED1" w:rsidRDefault="00F45A7B" w:rsidP="00D43CB1">
            <w:pPr>
              <w:spacing w:before="40" w:after="40"/>
              <w:rPr>
                <w:rFonts w:asciiTheme="minorHAnsi" w:hAnsiTheme="minorHAnsi"/>
                <w:b w:val="0"/>
                <w:lang w:val="en-US"/>
              </w:rPr>
            </w:pPr>
            <w:r w:rsidRPr="00384ED1">
              <w:rPr>
                <w:rFonts w:asciiTheme="minorHAnsi" w:hAnsiTheme="minorHAnsi"/>
                <w:b w:val="0"/>
                <w:lang w:val="en-US"/>
              </w:rPr>
              <w:t>T</w:t>
            </w:r>
            <w:r w:rsidRPr="00384ED1">
              <w:rPr>
                <w:rFonts w:asciiTheme="minorHAnsi" w:hAnsiTheme="minorHAnsi"/>
                <w:b w:val="0"/>
                <w:vertAlign w:val="subscript"/>
                <w:lang w:val="en-US"/>
              </w:rPr>
              <w:t>CM</w:t>
            </w:r>
          </w:p>
        </w:tc>
        <w:tc>
          <w:tcPr>
            <w:tcW w:w="5450" w:type="dxa"/>
            <w:shd w:val="clear" w:color="auto" w:fill="BFBFBF" w:themeFill="background1" w:themeFillShade="BF"/>
          </w:tcPr>
          <w:p w14:paraId="1D3E2662" w14:textId="513507B9" w:rsidR="00F45A7B" w:rsidRPr="00384ED1" w:rsidRDefault="00F45A7B" w:rsidP="00D43CB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384ED1">
              <w:rPr>
                <w:rFonts w:asciiTheme="minorHAnsi" w:hAnsiTheme="minorHAnsi"/>
                <w:lang w:val="en-US"/>
              </w:rPr>
              <w:t>CD3</w:t>
            </w:r>
            <w:r w:rsidRPr="00384ED1">
              <w:rPr>
                <w:rFonts w:asciiTheme="minorHAnsi" w:hAnsiTheme="minorHAnsi"/>
                <w:vertAlign w:val="superscript"/>
                <w:lang w:val="en-US"/>
              </w:rPr>
              <w:t>+</w:t>
            </w:r>
            <w:r w:rsidRPr="00384ED1">
              <w:rPr>
                <w:rFonts w:asciiTheme="minorHAnsi" w:hAnsiTheme="minorHAnsi"/>
                <w:lang w:val="en-US"/>
              </w:rPr>
              <w:t>, CD4</w:t>
            </w:r>
            <w:r w:rsidRPr="00384ED1">
              <w:rPr>
                <w:rFonts w:asciiTheme="minorHAnsi" w:hAnsiTheme="minorHAnsi"/>
                <w:vertAlign w:val="superscript"/>
                <w:lang w:val="en-US"/>
              </w:rPr>
              <w:t>+/-</w:t>
            </w:r>
            <w:r w:rsidRPr="00384ED1">
              <w:rPr>
                <w:rFonts w:asciiTheme="minorHAnsi" w:hAnsiTheme="minorHAnsi"/>
                <w:lang w:val="en-US"/>
              </w:rPr>
              <w:t>, CD8</w:t>
            </w:r>
            <w:r w:rsidRPr="00384ED1">
              <w:rPr>
                <w:rFonts w:asciiTheme="minorHAnsi" w:hAnsiTheme="minorHAnsi"/>
                <w:vertAlign w:val="superscript"/>
                <w:lang w:val="en-US"/>
              </w:rPr>
              <w:t>+/-</w:t>
            </w:r>
            <w:r w:rsidRPr="00384ED1">
              <w:rPr>
                <w:rFonts w:asciiTheme="minorHAnsi" w:hAnsiTheme="minorHAnsi"/>
                <w:lang w:val="en-US"/>
              </w:rPr>
              <w:t>, CD45RA</w:t>
            </w:r>
            <w:r w:rsidRPr="00384ED1">
              <w:rPr>
                <w:rFonts w:asciiTheme="minorHAnsi" w:hAnsiTheme="minorHAnsi"/>
                <w:vertAlign w:val="superscript"/>
                <w:lang w:val="en-US"/>
              </w:rPr>
              <w:t>-</w:t>
            </w:r>
            <w:r w:rsidRPr="00384ED1">
              <w:rPr>
                <w:rFonts w:asciiTheme="minorHAnsi" w:hAnsiTheme="minorHAnsi"/>
                <w:lang w:val="en-US"/>
              </w:rPr>
              <w:t>, CCR7</w:t>
            </w:r>
            <w:r w:rsidRPr="00384ED1">
              <w:rPr>
                <w:rFonts w:asciiTheme="minorHAnsi" w:hAnsiTheme="minorHAnsi"/>
                <w:vertAlign w:val="superscript"/>
                <w:lang w:val="en-US"/>
              </w:rPr>
              <w:t>+</w:t>
            </w:r>
          </w:p>
        </w:tc>
      </w:tr>
      <w:tr w:rsidR="00F45A7B" w:rsidRPr="00384ED1" w14:paraId="393D5C56" w14:textId="77777777" w:rsidTr="00D43CB1">
        <w:trPr>
          <w:trHeight w:val="275"/>
        </w:trPr>
        <w:tc>
          <w:tcPr>
            <w:cnfStyle w:val="001000000000" w:firstRow="0" w:lastRow="0" w:firstColumn="1" w:lastColumn="0" w:oddVBand="0" w:evenVBand="0" w:oddHBand="0" w:evenHBand="0" w:firstRowFirstColumn="0" w:firstRowLastColumn="0" w:lastRowFirstColumn="0" w:lastRowLastColumn="0"/>
            <w:tcW w:w="1898" w:type="dxa"/>
          </w:tcPr>
          <w:p w14:paraId="392996F0" w14:textId="77777777" w:rsidR="00F45A7B" w:rsidRPr="00384ED1" w:rsidRDefault="00F45A7B" w:rsidP="00D43CB1">
            <w:pPr>
              <w:spacing w:before="40" w:after="40"/>
              <w:rPr>
                <w:rFonts w:asciiTheme="minorHAnsi" w:hAnsiTheme="minorHAnsi"/>
                <w:b w:val="0"/>
                <w:lang w:val="en-US"/>
              </w:rPr>
            </w:pPr>
            <w:r w:rsidRPr="00384ED1">
              <w:rPr>
                <w:rFonts w:asciiTheme="minorHAnsi" w:hAnsiTheme="minorHAnsi"/>
                <w:b w:val="0"/>
                <w:lang w:val="en-US"/>
              </w:rPr>
              <w:t>T</w:t>
            </w:r>
            <w:r w:rsidRPr="00384ED1">
              <w:rPr>
                <w:rFonts w:asciiTheme="minorHAnsi" w:hAnsiTheme="minorHAnsi"/>
                <w:b w:val="0"/>
                <w:vertAlign w:val="subscript"/>
                <w:lang w:val="en-US"/>
              </w:rPr>
              <w:t>E</w:t>
            </w:r>
          </w:p>
        </w:tc>
        <w:tc>
          <w:tcPr>
            <w:tcW w:w="5450" w:type="dxa"/>
          </w:tcPr>
          <w:p w14:paraId="0B904896" w14:textId="7A761294" w:rsidR="00F45A7B" w:rsidRPr="00384ED1" w:rsidRDefault="00F45A7B" w:rsidP="00D43CB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384ED1">
              <w:rPr>
                <w:rFonts w:asciiTheme="minorHAnsi" w:hAnsiTheme="minorHAnsi"/>
                <w:lang w:val="en-US"/>
              </w:rPr>
              <w:t>CD3</w:t>
            </w:r>
            <w:r w:rsidRPr="00384ED1">
              <w:rPr>
                <w:rFonts w:asciiTheme="minorHAnsi" w:hAnsiTheme="minorHAnsi"/>
                <w:vertAlign w:val="superscript"/>
                <w:lang w:val="en-US"/>
              </w:rPr>
              <w:t>+</w:t>
            </w:r>
            <w:r w:rsidRPr="00384ED1">
              <w:rPr>
                <w:rFonts w:asciiTheme="minorHAnsi" w:hAnsiTheme="minorHAnsi"/>
                <w:lang w:val="en-US"/>
              </w:rPr>
              <w:t>, CD4</w:t>
            </w:r>
            <w:r w:rsidRPr="00384ED1">
              <w:rPr>
                <w:rFonts w:asciiTheme="minorHAnsi" w:hAnsiTheme="minorHAnsi"/>
                <w:vertAlign w:val="superscript"/>
                <w:lang w:val="en-US"/>
              </w:rPr>
              <w:t>+/-</w:t>
            </w:r>
            <w:r w:rsidRPr="00384ED1">
              <w:rPr>
                <w:rFonts w:asciiTheme="minorHAnsi" w:hAnsiTheme="minorHAnsi"/>
                <w:lang w:val="en-US"/>
              </w:rPr>
              <w:t>, CD8</w:t>
            </w:r>
            <w:r w:rsidRPr="00384ED1">
              <w:rPr>
                <w:rFonts w:asciiTheme="minorHAnsi" w:hAnsiTheme="minorHAnsi"/>
                <w:vertAlign w:val="superscript"/>
                <w:lang w:val="en-US"/>
              </w:rPr>
              <w:t>+/-</w:t>
            </w:r>
            <w:r w:rsidRPr="00384ED1">
              <w:rPr>
                <w:rFonts w:asciiTheme="minorHAnsi" w:hAnsiTheme="minorHAnsi"/>
                <w:lang w:val="en-US"/>
              </w:rPr>
              <w:t>, CD45RA</w:t>
            </w:r>
            <w:r w:rsidRPr="00384ED1">
              <w:rPr>
                <w:rFonts w:asciiTheme="minorHAnsi" w:hAnsiTheme="minorHAnsi"/>
                <w:vertAlign w:val="superscript"/>
                <w:lang w:val="en-US"/>
              </w:rPr>
              <w:t>+</w:t>
            </w:r>
            <w:r w:rsidRPr="00384ED1">
              <w:rPr>
                <w:rFonts w:asciiTheme="minorHAnsi" w:hAnsiTheme="minorHAnsi"/>
                <w:lang w:val="en-US"/>
              </w:rPr>
              <w:t>, CCR7</w:t>
            </w:r>
            <w:r w:rsidRPr="00384ED1">
              <w:rPr>
                <w:rFonts w:asciiTheme="minorHAnsi" w:hAnsiTheme="minorHAnsi"/>
                <w:vertAlign w:val="superscript"/>
                <w:lang w:val="en-US"/>
              </w:rPr>
              <w:t>-</w:t>
            </w:r>
          </w:p>
        </w:tc>
      </w:tr>
      <w:tr w:rsidR="00F45A7B" w:rsidRPr="00384ED1" w14:paraId="73484AAE" w14:textId="77777777" w:rsidTr="00D43CB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98" w:type="dxa"/>
            <w:shd w:val="clear" w:color="auto" w:fill="BFBFBF" w:themeFill="background1" w:themeFillShade="BF"/>
          </w:tcPr>
          <w:p w14:paraId="020C31C7" w14:textId="77777777" w:rsidR="00F45A7B" w:rsidRPr="00384ED1" w:rsidRDefault="00F45A7B" w:rsidP="00D43CB1">
            <w:pPr>
              <w:spacing w:before="40" w:after="40"/>
              <w:rPr>
                <w:rFonts w:asciiTheme="minorHAnsi" w:hAnsiTheme="minorHAnsi"/>
                <w:b w:val="0"/>
                <w:lang w:val="en-US"/>
              </w:rPr>
            </w:pPr>
            <w:r w:rsidRPr="00384ED1">
              <w:rPr>
                <w:rFonts w:asciiTheme="minorHAnsi" w:hAnsiTheme="minorHAnsi"/>
                <w:b w:val="0"/>
                <w:lang w:val="en-US"/>
              </w:rPr>
              <w:t>T</w:t>
            </w:r>
            <w:r w:rsidRPr="00384ED1">
              <w:rPr>
                <w:rFonts w:asciiTheme="minorHAnsi" w:hAnsiTheme="minorHAnsi"/>
                <w:b w:val="0"/>
                <w:vertAlign w:val="subscript"/>
                <w:lang w:val="en-US"/>
              </w:rPr>
              <w:t>EM</w:t>
            </w:r>
          </w:p>
        </w:tc>
        <w:tc>
          <w:tcPr>
            <w:tcW w:w="5450" w:type="dxa"/>
            <w:shd w:val="clear" w:color="auto" w:fill="BFBFBF" w:themeFill="background1" w:themeFillShade="BF"/>
          </w:tcPr>
          <w:p w14:paraId="28DE4D4D" w14:textId="1EB3B7D2" w:rsidR="00F45A7B" w:rsidRPr="00384ED1" w:rsidRDefault="00F45A7B" w:rsidP="00D43CB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384ED1">
              <w:rPr>
                <w:rFonts w:asciiTheme="minorHAnsi" w:hAnsiTheme="minorHAnsi"/>
                <w:lang w:val="en-US"/>
              </w:rPr>
              <w:t>CD3</w:t>
            </w:r>
            <w:r w:rsidRPr="00384ED1">
              <w:rPr>
                <w:rFonts w:asciiTheme="minorHAnsi" w:hAnsiTheme="minorHAnsi"/>
                <w:vertAlign w:val="superscript"/>
                <w:lang w:val="en-US"/>
              </w:rPr>
              <w:t>+</w:t>
            </w:r>
            <w:r w:rsidRPr="00384ED1">
              <w:rPr>
                <w:rFonts w:asciiTheme="minorHAnsi" w:hAnsiTheme="minorHAnsi"/>
                <w:lang w:val="en-US"/>
              </w:rPr>
              <w:t>, CD4</w:t>
            </w:r>
            <w:r w:rsidRPr="00384ED1">
              <w:rPr>
                <w:rFonts w:asciiTheme="minorHAnsi" w:hAnsiTheme="minorHAnsi"/>
                <w:vertAlign w:val="superscript"/>
                <w:lang w:val="en-US"/>
              </w:rPr>
              <w:t>+/-</w:t>
            </w:r>
            <w:r w:rsidRPr="00384ED1">
              <w:rPr>
                <w:rFonts w:asciiTheme="minorHAnsi" w:hAnsiTheme="minorHAnsi"/>
                <w:lang w:val="en-US"/>
              </w:rPr>
              <w:t>, CD8</w:t>
            </w:r>
            <w:r w:rsidRPr="00384ED1">
              <w:rPr>
                <w:rFonts w:asciiTheme="minorHAnsi" w:hAnsiTheme="minorHAnsi"/>
                <w:vertAlign w:val="superscript"/>
                <w:lang w:val="en-US"/>
              </w:rPr>
              <w:t>+/-</w:t>
            </w:r>
            <w:r w:rsidRPr="00384ED1">
              <w:rPr>
                <w:rFonts w:asciiTheme="minorHAnsi" w:hAnsiTheme="minorHAnsi"/>
                <w:lang w:val="en-US"/>
              </w:rPr>
              <w:t>, CD45RA</w:t>
            </w:r>
            <w:r w:rsidRPr="00384ED1">
              <w:rPr>
                <w:rFonts w:asciiTheme="minorHAnsi" w:hAnsiTheme="minorHAnsi"/>
                <w:vertAlign w:val="superscript"/>
                <w:lang w:val="en-US"/>
              </w:rPr>
              <w:t>-</w:t>
            </w:r>
            <w:r w:rsidRPr="00384ED1">
              <w:rPr>
                <w:rFonts w:asciiTheme="minorHAnsi" w:hAnsiTheme="minorHAnsi"/>
                <w:lang w:val="en-US"/>
              </w:rPr>
              <w:t>, CCR7</w:t>
            </w:r>
            <w:r w:rsidRPr="00384ED1">
              <w:rPr>
                <w:rFonts w:asciiTheme="minorHAnsi" w:hAnsiTheme="minorHAnsi"/>
                <w:vertAlign w:val="superscript"/>
                <w:lang w:val="en-US"/>
              </w:rPr>
              <w:t>-</w:t>
            </w:r>
          </w:p>
        </w:tc>
      </w:tr>
    </w:tbl>
    <w:p w14:paraId="78F2026E" w14:textId="77777777" w:rsidR="00F45A7B" w:rsidRPr="00F45A7B" w:rsidRDefault="00F45A7B" w:rsidP="00F45A7B">
      <w:pPr>
        <w:rPr>
          <w:lang w:val="en-US"/>
        </w:rPr>
      </w:pPr>
    </w:p>
    <w:p w14:paraId="7E8BAA43" w14:textId="77777777" w:rsidR="004338E9" w:rsidRPr="00724BDD" w:rsidRDefault="004338E9" w:rsidP="004338E9">
      <w:pPr>
        <w:rPr>
          <w:rFonts w:asciiTheme="minorHAnsi" w:hAnsiTheme="minorHAnsi" w:cstheme="minorHAnsi"/>
          <w:lang w:val="en-US"/>
        </w:rPr>
      </w:pPr>
    </w:p>
    <w:p w14:paraId="4F0FDB61" w14:textId="3765DF89" w:rsidR="00F45A7B" w:rsidRDefault="00F45A7B">
      <w:pPr>
        <w:rPr>
          <w:rFonts w:asciiTheme="minorHAnsi" w:hAnsiTheme="minorHAnsi" w:cstheme="minorHAnsi"/>
          <w:lang w:val="en-US"/>
        </w:rPr>
      </w:pPr>
      <w:r>
        <w:rPr>
          <w:rFonts w:asciiTheme="minorHAnsi" w:hAnsiTheme="minorHAnsi" w:cstheme="minorHAnsi"/>
          <w:lang w:val="en-US"/>
        </w:rPr>
        <w:br w:type="page"/>
      </w:r>
    </w:p>
    <w:p w14:paraId="7C7EC55A" w14:textId="310566C6" w:rsidR="00F45A7B" w:rsidRDefault="00F45A7B" w:rsidP="00F45A7B">
      <w:pPr>
        <w:pStyle w:val="Heading1"/>
        <w:rPr>
          <w:rFonts w:asciiTheme="minorHAnsi" w:hAnsiTheme="minorHAnsi" w:cstheme="minorHAnsi"/>
        </w:rPr>
      </w:pPr>
      <w:r>
        <w:rPr>
          <w:rFonts w:asciiTheme="minorHAnsi" w:hAnsiTheme="minorHAnsi" w:cstheme="minorHAnsi"/>
        </w:rPr>
        <w:lastRenderedPageBreak/>
        <w:t xml:space="preserve">SDC, </w:t>
      </w:r>
      <w:r w:rsidRPr="00724BDD">
        <w:rPr>
          <w:rFonts w:asciiTheme="minorHAnsi" w:hAnsiTheme="minorHAnsi" w:cstheme="minorHAnsi"/>
        </w:rPr>
        <w:t xml:space="preserve">Table </w:t>
      </w:r>
      <w:r>
        <w:rPr>
          <w:rFonts w:asciiTheme="minorHAnsi" w:hAnsiTheme="minorHAnsi" w:cstheme="minorHAnsi"/>
        </w:rPr>
        <w:t>7</w:t>
      </w:r>
    </w:p>
    <w:p w14:paraId="5A3D5B04" w14:textId="77777777" w:rsidR="004338E9" w:rsidRPr="00724BDD" w:rsidRDefault="004338E9" w:rsidP="004338E9">
      <w:pPr>
        <w:rPr>
          <w:rFonts w:asciiTheme="minorHAnsi" w:hAnsiTheme="minorHAnsi" w:cstheme="minorHAnsi"/>
          <w:lang w:val="en-US"/>
        </w:rPr>
      </w:pPr>
    </w:p>
    <w:tbl>
      <w:tblPr>
        <w:tblStyle w:val="ListTable6Colorful"/>
        <w:tblW w:w="9214" w:type="dxa"/>
        <w:tblLayout w:type="fixed"/>
        <w:tblLook w:val="04A0" w:firstRow="1" w:lastRow="0" w:firstColumn="1" w:lastColumn="0" w:noHBand="0" w:noVBand="1"/>
      </w:tblPr>
      <w:tblGrid>
        <w:gridCol w:w="1727"/>
        <w:gridCol w:w="5759"/>
        <w:gridCol w:w="1728"/>
      </w:tblGrid>
      <w:tr w:rsidR="003F1A59" w:rsidRPr="00724BDD" w14:paraId="3D38D34F" w14:textId="77777777" w:rsidTr="0080244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E5FE8A3" w14:textId="7CC0B239" w:rsidR="00F80E53" w:rsidRPr="00724BDD" w:rsidRDefault="00F80E53" w:rsidP="00F45A7B">
            <w:pPr>
              <w:rPr>
                <w:rFonts w:asciiTheme="minorHAnsi" w:hAnsiTheme="minorHAnsi" w:cstheme="minorHAnsi"/>
                <w:color w:val="000000"/>
                <w:lang w:val="en-US"/>
              </w:rPr>
            </w:pPr>
            <w:r w:rsidRPr="00724BDD">
              <w:rPr>
                <w:rFonts w:asciiTheme="minorHAnsi" w:hAnsiTheme="minorHAnsi" w:cstheme="minorHAnsi"/>
                <w:color w:val="000000"/>
                <w:lang w:val="en-US"/>
              </w:rPr>
              <w:t>Protein name abbreviation</w:t>
            </w:r>
          </w:p>
        </w:tc>
        <w:tc>
          <w:tcPr>
            <w:tcW w:w="5670" w:type="dxa"/>
          </w:tcPr>
          <w:p w14:paraId="0401044A" w14:textId="11EF7E21" w:rsidR="00F80E53" w:rsidRPr="00724BDD" w:rsidRDefault="00F80E53" w:rsidP="00440929">
            <w:pPr>
              <w:ind w:right="-14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Protein name</w:t>
            </w:r>
          </w:p>
        </w:tc>
        <w:tc>
          <w:tcPr>
            <w:tcW w:w="1701" w:type="dxa"/>
            <w:noWrap/>
            <w:hideMark/>
          </w:tcPr>
          <w:p w14:paraId="306C8B3C" w14:textId="01C5D004" w:rsidR="00F80E53" w:rsidRPr="00724BDD" w:rsidRDefault="00F80E53" w:rsidP="003F1A59">
            <w:pPr>
              <w:ind w:left="-108" w:right="-10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roofErr w:type="spellStart"/>
            <w:r w:rsidRPr="00724BDD">
              <w:rPr>
                <w:rFonts w:asciiTheme="minorHAnsi" w:hAnsiTheme="minorHAnsi" w:cstheme="minorHAnsi"/>
                <w:color w:val="000000"/>
                <w:lang w:val="en-US"/>
              </w:rPr>
              <w:t>Uniprot</w:t>
            </w:r>
            <w:proofErr w:type="spellEnd"/>
            <w:r w:rsidRPr="00724BDD">
              <w:rPr>
                <w:rFonts w:asciiTheme="minorHAnsi" w:hAnsiTheme="minorHAnsi" w:cstheme="minorHAnsi"/>
                <w:color w:val="000000"/>
                <w:lang w:val="en-US"/>
              </w:rPr>
              <w:t xml:space="preserve"> ID</w:t>
            </w:r>
          </w:p>
        </w:tc>
      </w:tr>
      <w:tr w:rsidR="003F1A59" w:rsidRPr="00724BDD" w14:paraId="19C9DE71"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38AC3BF"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ADA</w:t>
            </w:r>
          </w:p>
        </w:tc>
        <w:tc>
          <w:tcPr>
            <w:tcW w:w="5670" w:type="dxa"/>
          </w:tcPr>
          <w:p w14:paraId="5C1939FB" w14:textId="1B07FC2A" w:rsidR="00F80E53" w:rsidRPr="00724BDD" w:rsidRDefault="00F80E53"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Adenosine deaminase</w:t>
            </w:r>
          </w:p>
        </w:tc>
        <w:tc>
          <w:tcPr>
            <w:tcW w:w="1701" w:type="dxa"/>
            <w:noWrap/>
            <w:hideMark/>
          </w:tcPr>
          <w:p w14:paraId="3D845BFD" w14:textId="099A4C34"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P00813</w:t>
            </w:r>
          </w:p>
        </w:tc>
      </w:tr>
      <w:tr w:rsidR="003F1A59" w:rsidRPr="00724BDD" w14:paraId="3A85390F"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0674D3F"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ADGRG1</w:t>
            </w:r>
          </w:p>
        </w:tc>
        <w:tc>
          <w:tcPr>
            <w:tcW w:w="5670" w:type="dxa"/>
          </w:tcPr>
          <w:p w14:paraId="70658E8C" w14:textId="5C423FF9" w:rsidR="00F80E53" w:rsidRPr="00B81BA9" w:rsidRDefault="00F80E53"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Adhesion G-protein coupled receptor G1</w:t>
            </w:r>
          </w:p>
        </w:tc>
        <w:tc>
          <w:tcPr>
            <w:tcW w:w="1701" w:type="dxa"/>
            <w:noWrap/>
            <w:hideMark/>
          </w:tcPr>
          <w:p w14:paraId="460B4C91" w14:textId="26B8A058"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Q9Y653</w:t>
            </w:r>
          </w:p>
        </w:tc>
      </w:tr>
      <w:tr w:rsidR="003F1A59" w:rsidRPr="00724BDD" w14:paraId="2D76054C"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3EABAE2"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ANGPT1</w:t>
            </w:r>
          </w:p>
        </w:tc>
        <w:tc>
          <w:tcPr>
            <w:tcW w:w="5670" w:type="dxa"/>
          </w:tcPr>
          <w:p w14:paraId="2AD7A02F" w14:textId="09F1DB6B" w:rsidR="00F80E53" w:rsidRPr="00724BDD" w:rsidRDefault="00F80E53"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Angiopoietin-1</w:t>
            </w:r>
          </w:p>
        </w:tc>
        <w:tc>
          <w:tcPr>
            <w:tcW w:w="1701" w:type="dxa"/>
            <w:noWrap/>
            <w:hideMark/>
          </w:tcPr>
          <w:p w14:paraId="7F10400C" w14:textId="650FC740"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Q15389</w:t>
            </w:r>
          </w:p>
        </w:tc>
      </w:tr>
      <w:tr w:rsidR="003F1A59" w:rsidRPr="00724BDD" w14:paraId="2A9E6A87"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3B5EEAE"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ANGPT2</w:t>
            </w:r>
          </w:p>
        </w:tc>
        <w:tc>
          <w:tcPr>
            <w:tcW w:w="5670" w:type="dxa"/>
          </w:tcPr>
          <w:p w14:paraId="1544C083" w14:textId="61E65E4A" w:rsidR="00F80E53" w:rsidRPr="00724BDD" w:rsidRDefault="00F80E53"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Angiopoietin-2</w:t>
            </w:r>
          </w:p>
        </w:tc>
        <w:tc>
          <w:tcPr>
            <w:tcW w:w="1701" w:type="dxa"/>
            <w:noWrap/>
            <w:hideMark/>
          </w:tcPr>
          <w:p w14:paraId="15925A49" w14:textId="41D532CD"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O15123</w:t>
            </w:r>
          </w:p>
        </w:tc>
      </w:tr>
      <w:tr w:rsidR="003F1A59" w:rsidRPr="00724BDD" w14:paraId="3B4EF924"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A6985E0"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ARG1</w:t>
            </w:r>
          </w:p>
        </w:tc>
        <w:tc>
          <w:tcPr>
            <w:tcW w:w="5670" w:type="dxa"/>
          </w:tcPr>
          <w:p w14:paraId="76F900EA" w14:textId="48368F6C" w:rsidR="00F80E53" w:rsidRPr="00724BDD" w:rsidRDefault="001A6EA0"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Arginase-1</w:t>
            </w:r>
          </w:p>
        </w:tc>
        <w:tc>
          <w:tcPr>
            <w:tcW w:w="1701" w:type="dxa"/>
            <w:noWrap/>
            <w:hideMark/>
          </w:tcPr>
          <w:p w14:paraId="5D41AB21" w14:textId="543DADE0"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P05089</w:t>
            </w:r>
          </w:p>
        </w:tc>
      </w:tr>
      <w:tr w:rsidR="003F1A59" w:rsidRPr="00724BDD" w14:paraId="18D94879"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FB89FFC"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CAIX</w:t>
            </w:r>
          </w:p>
        </w:tc>
        <w:tc>
          <w:tcPr>
            <w:tcW w:w="5670" w:type="dxa"/>
          </w:tcPr>
          <w:p w14:paraId="5AE2E9C3" w14:textId="6F90CD16" w:rsidR="00F80E53" w:rsidRPr="00724BDD" w:rsidRDefault="001A6EA0"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Carbonic anhydrase 9</w:t>
            </w:r>
          </w:p>
        </w:tc>
        <w:tc>
          <w:tcPr>
            <w:tcW w:w="1701" w:type="dxa"/>
            <w:noWrap/>
            <w:hideMark/>
          </w:tcPr>
          <w:p w14:paraId="48DE7272" w14:textId="1E530B28"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Q16790</w:t>
            </w:r>
          </w:p>
        </w:tc>
      </w:tr>
      <w:tr w:rsidR="003F1A59" w:rsidRPr="00724BDD" w14:paraId="59F39473"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2BE0141"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CASP-8</w:t>
            </w:r>
          </w:p>
        </w:tc>
        <w:tc>
          <w:tcPr>
            <w:tcW w:w="5670" w:type="dxa"/>
          </w:tcPr>
          <w:p w14:paraId="72EA2D21" w14:textId="6919264D" w:rsidR="00F80E53" w:rsidRPr="00724BDD" w:rsidRDefault="001A6EA0"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Caspase-8</w:t>
            </w:r>
          </w:p>
        </w:tc>
        <w:tc>
          <w:tcPr>
            <w:tcW w:w="1701" w:type="dxa"/>
            <w:noWrap/>
            <w:hideMark/>
          </w:tcPr>
          <w:p w14:paraId="2E42F667" w14:textId="0BD85CEB"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Q14790</w:t>
            </w:r>
          </w:p>
        </w:tc>
      </w:tr>
      <w:tr w:rsidR="003F1A59" w:rsidRPr="00724BDD" w14:paraId="2A2E6D25"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092E11B"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CCL17</w:t>
            </w:r>
          </w:p>
        </w:tc>
        <w:tc>
          <w:tcPr>
            <w:tcW w:w="5670" w:type="dxa"/>
          </w:tcPr>
          <w:p w14:paraId="473A2F8D" w14:textId="70D4B5B7" w:rsidR="00F80E53" w:rsidRPr="00724BDD" w:rsidRDefault="001A6EA0"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C-C motif chemokine 17</w:t>
            </w:r>
          </w:p>
        </w:tc>
        <w:tc>
          <w:tcPr>
            <w:tcW w:w="1701" w:type="dxa"/>
            <w:noWrap/>
            <w:hideMark/>
          </w:tcPr>
          <w:p w14:paraId="4DD2C723" w14:textId="44E41717"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Q92583</w:t>
            </w:r>
          </w:p>
        </w:tc>
      </w:tr>
      <w:tr w:rsidR="003F1A59" w:rsidRPr="00724BDD" w14:paraId="430E3754"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21DFFB4"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CCL19</w:t>
            </w:r>
          </w:p>
        </w:tc>
        <w:tc>
          <w:tcPr>
            <w:tcW w:w="5670" w:type="dxa"/>
          </w:tcPr>
          <w:p w14:paraId="723C824E" w14:textId="3FBB1058" w:rsidR="00F80E53" w:rsidRPr="00724BDD" w:rsidRDefault="00204B65"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C-C motif chemokine 19</w:t>
            </w:r>
          </w:p>
        </w:tc>
        <w:tc>
          <w:tcPr>
            <w:tcW w:w="1701" w:type="dxa"/>
            <w:noWrap/>
            <w:hideMark/>
          </w:tcPr>
          <w:p w14:paraId="63E77F5E" w14:textId="012231CA"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Q99731</w:t>
            </w:r>
          </w:p>
        </w:tc>
      </w:tr>
      <w:tr w:rsidR="003F1A59" w:rsidRPr="00724BDD" w14:paraId="666434E2"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36D66DD"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CCL20</w:t>
            </w:r>
          </w:p>
        </w:tc>
        <w:tc>
          <w:tcPr>
            <w:tcW w:w="5670" w:type="dxa"/>
          </w:tcPr>
          <w:p w14:paraId="74969144" w14:textId="01D96153" w:rsidR="00F80E53" w:rsidRPr="00724BDD" w:rsidRDefault="00204B65"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C-C motif chemokine 20</w:t>
            </w:r>
          </w:p>
        </w:tc>
        <w:tc>
          <w:tcPr>
            <w:tcW w:w="1701" w:type="dxa"/>
            <w:noWrap/>
            <w:hideMark/>
          </w:tcPr>
          <w:p w14:paraId="670FDB7D" w14:textId="08917DC6"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P78556</w:t>
            </w:r>
          </w:p>
        </w:tc>
      </w:tr>
      <w:tr w:rsidR="003F1A59" w:rsidRPr="00724BDD" w14:paraId="4F617DDD"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D4DA037"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CCL23</w:t>
            </w:r>
          </w:p>
        </w:tc>
        <w:tc>
          <w:tcPr>
            <w:tcW w:w="5670" w:type="dxa"/>
          </w:tcPr>
          <w:p w14:paraId="429FA608" w14:textId="7C08B3D9" w:rsidR="00F80E53" w:rsidRPr="00724BDD" w:rsidRDefault="00204B65"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C-C motif chemokine 23</w:t>
            </w:r>
          </w:p>
        </w:tc>
        <w:tc>
          <w:tcPr>
            <w:tcW w:w="1701" w:type="dxa"/>
            <w:noWrap/>
            <w:hideMark/>
          </w:tcPr>
          <w:p w14:paraId="160816DB" w14:textId="2D08FDE5"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P55773</w:t>
            </w:r>
          </w:p>
        </w:tc>
      </w:tr>
      <w:tr w:rsidR="003F1A59" w:rsidRPr="00724BDD" w14:paraId="1A4D34CA"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A266ADD"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CCL3</w:t>
            </w:r>
          </w:p>
        </w:tc>
        <w:tc>
          <w:tcPr>
            <w:tcW w:w="5670" w:type="dxa"/>
          </w:tcPr>
          <w:p w14:paraId="0A2457E2" w14:textId="046D77F4" w:rsidR="00F80E53" w:rsidRPr="00724BDD" w:rsidRDefault="00204B65"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C-C motif chemokine 3</w:t>
            </w:r>
          </w:p>
        </w:tc>
        <w:tc>
          <w:tcPr>
            <w:tcW w:w="1701" w:type="dxa"/>
            <w:noWrap/>
            <w:hideMark/>
          </w:tcPr>
          <w:p w14:paraId="5EDE897C" w14:textId="3B2E4251"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P10147</w:t>
            </w:r>
          </w:p>
        </w:tc>
      </w:tr>
      <w:tr w:rsidR="003F1A59" w:rsidRPr="00724BDD" w14:paraId="39E55978"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EEEDB96"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CCL4</w:t>
            </w:r>
          </w:p>
        </w:tc>
        <w:tc>
          <w:tcPr>
            <w:tcW w:w="5670" w:type="dxa"/>
          </w:tcPr>
          <w:p w14:paraId="19F7DFAE" w14:textId="2BF50FB9" w:rsidR="00F80E53" w:rsidRPr="00724BDD" w:rsidRDefault="007939C7"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C-C motif chemokine 4</w:t>
            </w:r>
          </w:p>
        </w:tc>
        <w:tc>
          <w:tcPr>
            <w:tcW w:w="1701" w:type="dxa"/>
            <w:noWrap/>
            <w:hideMark/>
          </w:tcPr>
          <w:p w14:paraId="4C6AD7CB" w14:textId="011E8769"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P13236</w:t>
            </w:r>
          </w:p>
        </w:tc>
      </w:tr>
      <w:tr w:rsidR="003F1A59" w:rsidRPr="00724BDD" w14:paraId="156D8B45"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EA61874"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CD244</w:t>
            </w:r>
          </w:p>
        </w:tc>
        <w:tc>
          <w:tcPr>
            <w:tcW w:w="5670" w:type="dxa"/>
          </w:tcPr>
          <w:p w14:paraId="025BB314" w14:textId="06758DE8" w:rsidR="00F80E53" w:rsidRPr="00B81BA9" w:rsidRDefault="007939C7"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Natural killer cell receptor 2B4</w:t>
            </w:r>
          </w:p>
        </w:tc>
        <w:tc>
          <w:tcPr>
            <w:tcW w:w="1701" w:type="dxa"/>
            <w:noWrap/>
            <w:hideMark/>
          </w:tcPr>
          <w:p w14:paraId="3504D509" w14:textId="50063DE6"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Q9BZW8</w:t>
            </w:r>
          </w:p>
        </w:tc>
      </w:tr>
      <w:tr w:rsidR="003F1A59" w:rsidRPr="00724BDD" w14:paraId="3AEE0839"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684971B"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CD27</w:t>
            </w:r>
          </w:p>
        </w:tc>
        <w:tc>
          <w:tcPr>
            <w:tcW w:w="5670" w:type="dxa"/>
          </w:tcPr>
          <w:p w14:paraId="5C9AF4C7" w14:textId="79460F39" w:rsidR="00F80E53" w:rsidRPr="00B81BA9" w:rsidRDefault="0034104E"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Tumor necrosis factor receptor superfamily member 7</w:t>
            </w:r>
          </w:p>
        </w:tc>
        <w:tc>
          <w:tcPr>
            <w:tcW w:w="1701" w:type="dxa"/>
            <w:noWrap/>
            <w:hideMark/>
          </w:tcPr>
          <w:p w14:paraId="47A5B3C3" w14:textId="780B6AC0"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P26842</w:t>
            </w:r>
          </w:p>
        </w:tc>
      </w:tr>
      <w:tr w:rsidR="003F1A59" w:rsidRPr="00724BDD" w14:paraId="52D8ACC1"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8BE3804"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CD28</w:t>
            </w:r>
          </w:p>
        </w:tc>
        <w:tc>
          <w:tcPr>
            <w:tcW w:w="5670" w:type="dxa"/>
          </w:tcPr>
          <w:p w14:paraId="7777B38E" w14:textId="5C7E20B2" w:rsidR="00F80E53" w:rsidRPr="00B81BA9" w:rsidRDefault="007939C7"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T-cell-specific surface glycoprotein CD28</w:t>
            </w:r>
          </w:p>
        </w:tc>
        <w:tc>
          <w:tcPr>
            <w:tcW w:w="1701" w:type="dxa"/>
            <w:noWrap/>
            <w:hideMark/>
          </w:tcPr>
          <w:p w14:paraId="1477CBF8" w14:textId="6FD17906"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P10747</w:t>
            </w:r>
          </w:p>
        </w:tc>
      </w:tr>
      <w:tr w:rsidR="003F1A59" w:rsidRPr="00724BDD" w14:paraId="5B74063F"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D6842C6"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CD4</w:t>
            </w:r>
          </w:p>
        </w:tc>
        <w:tc>
          <w:tcPr>
            <w:tcW w:w="5670" w:type="dxa"/>
          </w:tcPr>
          <w:p w14:paraId="4418067A" w14:textId="07986832" w:rsidR="00F80E53" w:rsidRPr="00B81BA9" w:rsidRDefault="007939C7"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T-cell surface glycoprotein CD4</w:t>
            </w:r>
          </w:p>
        </w:tc>
        <w:tc>
          <w:tcPr>
            <w:tcW w:w="1701" w:type="dxa"/>
            <w:noWrap/>
            <w:hideMark/>
          </w:tcPr>
          <w:p w14:paraId="03D69DE5" w14:textId="372A7B02"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P01730</w:t>
            </w:r>
          </w:p>
        </w:tc>
      </w:tr>
      <w:tr w:rsidR="003F1A59" w:rsidRPr="00724BDD" w14:paraId="4B8D13DE"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D20979A"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CD40</w:t>
            </w:r>
          </w:p>
        </w:tc>
        <w:tc>
          <w:tcPr>
            <w:tcW w:w="5670" w:type="dxa"/>
          </w:tcPr>
          <w:p w14:paraId="430397B2" w14:textId="57A92579" w:rsidR="00F80E53" w:rsidRPr="00B81BA9" w:rsidRDefault="007939C7"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Tumor necrosis factor receptor superfamily member 5</w:t>
            </w:r>
          </w:p>
        </w:tc>
        <w:tc>
          <w:tcPr>
            <w:tcW w:w="1701" w:type="dxa"/>
            <w:noWrap/>
            <w:hideMark/>
          </w:tcPr>
          <w:p w14:paraId="366493F6" w14:textId="542A13AF"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P25942</w:t>
            </w:r>
          </w:p>
        </w:tc>
      </w:tr>
      <w:tr w:rsidR="003F1A59" w:rsidRPr="00724BDD" w14:paraId="2A13FEBB"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E3FFAC5"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CD40-L</w:t>
            </w:r>
          </w:p>
        </w:tc>
        <w:tc>
          <w:tcPr>
            <w:tcW w:w="5670" w:type="dxa"/>
          </w:tcPr>
          <w:p w14:paraId="4192DBB8" w14:textId="0B664800" w:rsidR="00F80E53" w:rsidRPr="00B81BA9" w:rsidRDefault="007939C7"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Tumor necrosis factor ligand superfamily member 5</w:t>
            </w:r>
          </w:p>
        </w:tc>
        <w:tc>
          <w:tcPr>
            <w:tcW w:w="1701" w:type="dxa"/>
            <w:noWrap/>
            <w:hideMark/>
          </w:tcPr>
          <w:p w14:paraId="77845093" w14:textId="18A6355F"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P29965</w:t>
            </w:r>
          </w:p>
        </w:tc>
      </w:tr>
      <w:tr w:rsidR="003F1A59" w:rsidRPr="00724BDD" w14:paraId="3B123033"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C2011FD"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CD5</w:t>
            </w:r>
          </w:p>
        </w:tc>
        <w:tc>
          <w:tcPr>
            <w:tcW w:w="5670" w:type="dxa"/>
          </w:tcPr>
          <w:p w14:paraId="464E3513" w14:textId="50F716E5" w:rsidR="00F80E53" w:rsidRPr="00B81BA9" w:rsidRDefault="007939C7"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T-cell surface glycoprotein CD5</w:t>
            </w:r>
          </w:p>
        </w:tc>
        <w:tc>
          <w:tcPr>
            <w:tcW w:w="1701" w:type="dxa"/>
            <w:noWrap/>
            <w:hideMark/>
          </w:tcPr>
          <w:p w14:paraId="555F10BE" w14:textId="0E38AA09"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P06127</w:t>
            </w:r>
          </w:p>
        </w:tc>
      </w:tr>
      <w:tr w:rsidR="003F1A59" w:rsidRPr="00724BDD" w14:paraId="0BFB5603"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3CFF2F0"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CD70</w:t>
            </w:r>
          </w:p>
        </w:tc>
        <w:tc>
          <w:tcPr>
            <w:tcW w:w="5670" w:type="dxa"/>
          </w:tcPr>
          <w:p w14:paraId="3E0B6621" w14:textId="64EEF7AA" w:rsidR="00F80E53" w:rsidRPr="00B81BA9" w:rsidRDefault="0034104E"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Tumor necrosis factor ligand superfamily member 7</w:t>
            </w:r>
          </w:p>
        </w:tc>
        <w:tc>
          <w:tcPr>
            <w:tcW w:w="1701" w:type="dxa"/>
            <w:noWrap/>
            <w:hideMark/>
          </w:tcPr>
          <w:p w14:paraId="1BA7B5EF" w14:textId="59509AF9"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P32970</w:t>
            </w:r>
          </w:p>
        </w:tc>
      </w:tr>
      <w:tr w:rsidR="003F1A59" w:rsidRPr="00724BDD" w14:paraId="7A2A9B51"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41F6FCE"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CD83</w:t>
            </w:r>
          </w:p>
        </w:tc>
        <w:tc>
          <w:tcPr>
            <w:tcW w:w="5670" w:type="dxa"/>
          </w:tcPr>
          <w:p w14:paraId="4FCCEE46" w14:textId="5999C0CA" w:rsidR="00F80E53" w:rsidRPr="00724BDD" w:rsidRDefault="0034104E"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CD83 antigen</w:t>
            </w:r>
          </w:p>
        </w:tc>
        <w:tc>
          <w:tcPr>
            <w:tcW w:w="1701" w:type="dxa"/>
            <w:noWrap/>
            <w:hideMark/>
          </w:tcPr>
          <w:p w14:paraId="05110CF4" w14:textId="79963E1A"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Q01151</w:t>
            </w:r>
          </w:p>
        </w:tc>
      </w:tr>
      <w:tr w:rsidR="003F1A59" w:rsidRPr="00724BDD" w14:paraId="13C57EF4"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F9578D9"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CD8A</w:t>
            </w:r>
          </w:p>
        </w:tc>
        <w:tc>
          <w:tcPr>
            <w:tcW w:w="5670" w:type="dxa"/>
          </w:tcPr>
          <w:p w14:paraId="6FE1D8AF" w14:textId="63A09C3E" w:rsidR="00F80E53" w:rsidRPr="00B81BA9" w:rsidRDefault="0034104E"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T-cell surface glycoprotein CD8 alpha chain</w:t>
            </w:r>
          </w:p>
        </w:tc>
        <w:tc>
          <w:tcPr>
            <w:tcW w:w="1701" w:type="dxa"/>
            <w:noWrap/>
            <w:hideMark/>
          </w:tcPr>
          <w:p w14:paraId="3449F194" w14:textId="15B06051"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P01732</w:t>
            </w:r>
          </w:p>
        </w:tc>
      </w:tr>
      <w:tr w:rsidR="003F1A59" w:rsidRPr="00724BDD" w14:paraId="1BBCB008"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AA4155C"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CRTAM</w:t>
            </w:r>
          </w:p>
        </w:tc>
        <w:tc>
          <w:tcPr>
            <w:tcW w:w="5670" w:type="dxa"/>
          </w:tcPr>
          <w:p w14:paraId="049D1438" w14:textId="4B56DE6E" w:rsidR="00F80E53" w:rsidRPr="00B81BA9" w:rsidRDefault="0034104E"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Cytotoxic and regulatory T-cell molecule</w:t>
            </w:r>
          </w:p>
        </w:tc>
        <w:tc>
          <w:tcPr>
            <w:tcW w:w="1701" w:type="dxa"/>
            <w:noWrap/>
            <w:hideMark/>
          </w:tcPr>
          <w:p w14:paraId="23D41F2C" w14:textId="007177D0"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O95727</w:t>
            </w:r>
          </w:p>
        </w:tc>
      </w:tr>
      <w:tr w:rsidR="003F1A59" w:rsidRPr="00724BDD" w14:paraId="68F68EBE"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0B9DC9A"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CSF-1</w:t>
            </w:r>
          </w:p>
        </w:tc>
        <w:tc>
          <w:tcPr>
            <w:tcW w:w="5670" w:type="dxa"/>
          </w:tcPr>
          <w:p w14:paraId="18945F3A" w14:textId="5B571555" w:rsidR="00F80E53" w:rsidRPr="00724BDD" w:rsidRDefault="0034104E"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Macrophage colony-stimulating factor 1</w:t>
            </w:r>
          </w:p>
        </w:tc>
        <w:tc>
          <w:tcPr>
            <w:tcW w:w="1701" w:type="dxa"/>
            <w:noWrap/>
            <w:hideMark/>
          </w:tcPr>
          <w:p w14:paraId="6550D48A" w14:textId="61048618"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P09603</w:t>
            </w:r>
          </w:p>
        </w:tc>
      </w:tr>
      <w:tr w:rsidR="003F1A59" w:rsidRPr="00724BDD" w14:paraId="049B16F8"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5CEFC58"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CX3CL1</w:t>
            </w:r>
          </w:p>
        </w:tc>
        <w:tc>
          <w:tcPr>
            <w:tcW w:w="5670" w:type="dxa"/>
          </w:tcPr>
          <w:p w14:paraId="59E46F0D" w14:textId="2AF8755D" w:rsidR="00F80E53" w:rsidRPr="00B81BA9" w:rsidRDefault="00171C50"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C-X3-C motif chemokine 1</w:t>
            </w:r>
            <w:r w:rsidRPr="00724BDD">
              <w:rPr>
                <w:rFonts w:asciiTheme="minorHAnsi" w:hAnsiTheme="minorHAnsi" w:cstheme="minorHAnsi"/>
                <w:color w:val="000000"/>
                <w:lang w:val="en-US"/>
              </w:rPr>
              <w:t xml:space="preserve">, </w:t>
            </w:r>
            <w:r w:rsidRPr="00B81BA9">
              <w:rPr>
                <w:rFonts w:asciiTheme="minorHAnsi" w:hAnsiTheme="minorHAnsi" w:cstheme="minorHAnsi"/>
                <w:color w:val="000000"/>
                <w:lang w:val="en-US"/>
              </w:rPr>
              <w:t>Fractalkine</w:t>
            </w:r>
          </w:p>
        </w:tc>
        <w:tc>
          <w:tcPr>
            <w:tcW w:w="1701" w:type="dxa"/>
            <w:noWrap/>
            <w:hideMark/>
          </w:tcPr>
          <w:p w14:paraId="00B39656" w14:textId="5F92835C"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P78423</w:t>
            </w:r>
          </w:p>
        </w:tc>
      </w:tr>
      <w:tr w:rsidR="003F1A59" w:rsidRPr="00724BDD" w14:paraId="2DB6D775"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CCCE4A3"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CXCL1</w:t>
            </w:r>
          </w:p>
        </w:tc>
        <w:tc>
          <w:tcPr>
            <w:tcW w:w="5670" w:type="dxa"/>
          </w:tcPr>
          <w:p w14:paraId="2F3230CD" w14:textId="51874CE1" w:rsidR="00F80E53" w:rsidRPr="00724BDD" w:rsidRDefault="00171C50"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Growth-regulated alpha protein</w:t>
            </w:r>
          </w:p>
        </w:tc>
        <w:tc>
          <w:tcPr>
            <w:tcW w:w="1701" w:type="dxa"/>
            <w:noWrap/>
            <w:hideMark/>
          </w:tcPr>
          <w:p w14:paraId="6B6C1D8F" w14:textId="5DFFFC9C"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P09341</w:t>
            </w:r>
          </w:p>
        </w:tc>
      </w:tr>
      <w:tr w:rsidR="003F1A59" w:rsidRPr="00724BDD" w14:paraId="41E30198"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A747B8B"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CXCL10</w:t>
            </w:r>
          </w:p>
        </w:tc>
        <w:tc>
          <w:tcPr>
            <w:tcW w:w="5670" w:type="dxa"/>
          </w:tcPr>
          <w:p w14:paraId="5CDDEF54" w14:textId="5BA7F2A1" w:rsidR="00F80E53" w:rsidRPr="00B81BA9" w:rsidRDefault="00DC5E8C"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C-X-C motif chemokine 10</w:t>
            </w:r>
          </w:p>
        </w:tc>
        <w:tc>
          <w:tcPr>
            <w:tcW w:w="1701" w:type="dxa"/>
            <w:noWrap/>
            <w:hideMark/>
          </w:tcPr>
          <w:p w14:paraId="41B46DBF" w14:textId="26A9645E"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P02778</w:t>
            </w:r>
          </w:p>
        </w:tc>
      </w:tr>
      <w:tr w:rsidR="003F1A59" w:rsidRPr="00724BDD" w14:paraId="677A59B7"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CC0E974"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CXCL11</w:t>
            </w:r>
          </w:p>
        </w:tc>
        <w:tc>
          <w:tcPr>
            <w:tcW w:w="5670" w:type="dxa"/>
          </w:tcPr>
          <w:p w14:paraId="515ACCD2" w14:textId="25E0ADCC" w:rsidR="00F80E53" w:rsidRPr="00B81BA9" w:rsidRDefault="00DC5E8C"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C-X-C motif chemokine 11</w:t>
            </w:r>
          </w:p>
        </w:tc>
        <w:tc>
          <w:tcPr>
            <w:tcW w:w="1701" w:type="dxa"/>
            <w:noWrap/>
            <w:hideMark/>
          </w:tcPr>
          <w:p w14:paraId="4FC8DAAF" w14:textId="76CAEF4A"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O14625</w:t>
            </w:r>
          </w:p>
        </w:tc>
      </w:tr>
      <w:tr w:rsidR="003F1A59" w:rsidRPr="00724BDD" w14:paraId="0DF24DA0"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BD0C222"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CXCL12</w:t>
            </w:r>
          </w:p>
        </w:tc>
        <w:tc>
          <w:tcPr>
            <w:tcW w:w="5670" w:type="dxa"/>
          </w:tcPr>
          <w:p w14:paraId="2D0C84D7" w14:textId="13D7E59E" w:rsidR="00F80E53" w:rsidRPr="00724BDD" w:rsidRDefault="00DC5E8C"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Stromal cell-derived factor 1</w:t>
            </w:r>
          </w:p>
        </w:tc>
        <w:tc>
          <w:tcPr>
            <w:tcW w:w="1701" w:type="dxa"/>
            <w:noWrap/>
            <w:hideMark/>
          </w:tcPr>
          <w:p w14:paraId="72B46778" w14:textId="6E11AA9A"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P48061</w:t>
            </w:r>
          </w:p>
        </w:tc>
      </w:tr>
      <w:tr w:rsidR="003F1A59" w:rsidRPr="00724BDD" w14:paraId="6079C358"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3989D50"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CXCL13</w:t>
            </w:r>
          </w:p>
        </w:tc>
        <w:tc>
          <w:tcPr>
            <w:tcW w:w="5670" w:type="dxa"/>
          </w:tcPr>
          <w:p w14:paraId="419A9AE4" w14:textId="1111EE8F" w:rsidR="00F80E53" w:rsidRPr="00B81BA9" w:rsidRDefault="00DC5E8C"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C-X-C motif chemokine 13</w:t>
            </w:r>
          </w:p>
        </w:tc>
        <w:tc>
          <w:tcPr>
            <w:tcW w:w="1701" w:type="dxa"/>
            <w:noWrap/>
            <w:hideMark/>
          </w:tcPr>
          <w:p w14:paraId="30D7C3A8" w14:textId="19E3170A"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O43927</w:t>
            </w:r>
          </w:p>
        </w:tc>
      </w:tr>
      <w:tr w:rsidR="003F1A59" w:rsidRPr="00724BDD" w14:paraId="312AE12D"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A47F377"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CXCL5</w:t>
            </w:r>
          </w:p>
        </w:tc>
        <w:tc>
          <w:tcPr>
            <w:tcW w:w="5670" w:type="dxa"/>
          </w:tcPr>
          <w:p w14:paraId="0110397F" w14:textId="2DA2DCFD" w:rsidR="00F80E53" w:rsidRPr="00B81BA9" w:rsidRDefault="00DC5E8C"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C-X-C motif chemokine 5</w:t>
            </w:r>
          </w:p>
        </w:tc>
        <w:tc>
          <w:tcPr>
            <w:tcW w:w="1701" w:type="dxa"/>
            <w:noWrap/>
            <w:hideMark/>
          </w:tcPr>
          <w:p w14:paraId="7553F6AA" w14:textId="33328A62"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P42830</w:t>
            </w:r>
          </w:p>
        </w:tc>
      </w:tr>
      <w:tr w:rsidR="003F1A59" w:rsidRPr="00724BDD" w14:paraId="3EB50020"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50D5A48"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CXCL9</w:t>
            </w:r>
          </w:p>
        </w:tc>
        <w:tc>
          <w:tcPr>
            <w:tcW w:w="5670" w:type="dxa"/>
          </w:tcPr>
          <w:p w14:paraId="028125BD" w14:textId="5AF545F1" w:rsidR="00F80E53" w:rsidRPr="00B81BA9" w:rsidRDefault="00DC5E8C"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C-X-C motif chemokine 9</w:t>
            </w:r>
          </w:p>
        </w:tc>
        <w:tc>
          <w:tcPr>
            <w:tcW w:w="1701" w:type="dxa"/>
            <w:noWrap/>
            <w:hideMark/>
          </w:tcPr>
          <w:p w14:paraId="7C4D5B50" w14:textId="0083DC91"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Q07325</w:t>
            </w:r>
          </w:p>
        </w:tc>
      </w:tr>
      <w:tr w:rsidR="003F1A59" w:rsidRPr="00724BDD" w14:paraId="255341F9"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0D2B367"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DCN</w:t>
            </w:r>
          </w:p>
        </w:tc>
        <w:tc>
          <w:tcPr>
            <w:tcW w:w="5670" w:type="dxa"/>
          </w:tcPr>
          <w:p w14:paraId="7986178B" w14:textId="7F91A21B" w:rsidR="00F80E53" w:rsidRPr="00724BDD" w:rsidRDefault="00DC5E8C"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Decorin</w:t>
            </w:r>
          </w:p>
        </w:tc>
        <w:tc>
          <w:tcPr>
            <w:tcW w:w="1701" w:type="dxa"/>
            <w:noWrap/>
            <w:hideMark/>
          </w:tcPr>
          <w:p w14:paraId="6E393FD8" w14:textId="7788FF97"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P07585</w:t>
            </w:r>
          </w:p>
        </w:tc>
      </w:tr>
      <w:tr w:rsidR="003F1A59" w:rsidRPr="00724BDD" w14:paraId="48578EA9"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616B4B8"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EGF</w:t>
            </w:r>
          </w:p>
        </w:tc>
        <w:tc>
          <w:tcPr>
            <w:tcW w:w="5670" w:type="dxa"/>
          </w:tcPr>
          <w:p w14:paraId="0C5DECAD" w14:textId="018E3AA2" w:rsidR="00F80E53" w:rsidRPr="00724BDD" w:rsidRDefault="00DC5E8C"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Pro-epidermal growth factor</w:t>
            </w:r>
          </w:p>
        </w:tc>
        <w:tc>
          <w:tcPr>
            <w:tcW w:w="1701" w:type="dxa"/>
            <w:noWrap/>
            <w:hideMark/>
          </w:tcPr>
          <w:p w14:paraId="301FA05B" w14:textId="7D4A2CC4"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P01133</w:t>
            </w:r>
          </w:p>
        </w:tc>
      </w:tr>
      <w:tr w:rsidR="003F1A59" w:rsidRPr="00724BDD" w14:paraId="59657591"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208CDCC"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FASLG</w:t>
            </w:r>
          </w:p>
        </w:tc>
        <w:tc>
          <w:tcPr>
            <w:tcW w:w="5670" w:type="dxa"/>
          </w:tcPr>
          <w:p w14:paraId="52D3653B" w14:textId="753F1ABC" w:rsidR="00F80E53" w:rsidRPr="00B81BA9" w:rsidRDefault="00DC5E8C"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Tumor necrosis factor ligand superfamily member 6</w:t>
            </w:r>
          </w:p>
        </w:tc>
        <w:tc>
          <w:tcPr>
            <w:tcW w:w="1701" w:type="dxa"/>
            <w:noWrap/>
            <w:hideMark/>
          </w:tcPr>
          <w:p w14:paraId="06CBF43D" w14:textId="398FD3BD"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P48023</w:t>
            </w:r>
          </w:p>
        </w:tc>
      </w:tr>
      <w:tr w:rsidR="003F1A59" w:rsidRPr="00724BDD" w14:paraId="5DF39D5C"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45C185D"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FGF2</w:t>
            </w:r>
          </w:p>
        </w:tc>
        <w:tc>
          <w:tcPr>
            <w:tcW w:w="5670" w:type="dxa"/>
          </w:tcPr>
          <w:p w14:paraId="21452C86" w14:textId="3766EAA6" w:rsidR="00F80E53" w:rsidRPr="00724BDD" w:rsidRDefault="001D0115"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Fibroblast growth factor 2</w:t>
            </w:r>
          </w:p>
        </w:tc>
        <w:tc>
          <w:tcPr>
            <w:tcW w:w="1701" w:type="dxa"/>
            <w:noWrap/>
            <w:hideMark/>
          </w:tcPr>
          <w:p w14:paraId="7C1F75B5" w14:textId="61C6D8E3"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P09038</w:t>
            </w:r>
          </w:p>
        </w:tc>
      </w:tr>
      <w:tr w:rsidR="003F1A59" w:rsidRPr="00724BDD" w14:paraId="7795288A"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5E8AEF5"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Gal-1</w:t>
            </w:r>
          </w:p>
        </w:tc>
        <w:tc>
          <w:tcPr>
            <w:tcW w:w="5670" w:type="dxa"/>
          </w:tcPr>
          <w:p w14:paraId="59E413C7" w14:textId="45AA26D9" w:rsidR="00F80E53" w:rsidRPr="00724BDD" w:rsidRDefault="001D0115"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Galectin-1</w:t>
            </w:r>
          </w:p>
        </w:tc>
        <w:tc>
          <w:tcPr>
            <w:tcW w:w="1701" w:type="dxa"/>
            <w:noWrap/>
            <w:hideMark/>
          </w:tcPr>
          <w:p w14:paraId="2A8CD35C" w14:textId="2EB87153"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P09382</w:t>
            </w:r>
          </w:p>
        </w:tc>
      </w:tr>
      <w:tr w:rsidR="003F1A59" w:rsidRPr="00724BDD" w14:paraId="5B300BAA"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0413836"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Gal-9</w:t>
            </w:r>
          </w:p>
        </w:tc>
        <w:tc>
          <w:tcPr>
            <w:tcW w:w="5670" w:type="dxa"/>
          </w:tcPr>
          <w:p w14:paraId="7433FA00" w14:textId="6A2FE247" w:rsidR="00F80E53" w:rsidRPr="00724BDD" w:rsidRDefault="001D0115"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Galectin-9</w:t>
            </w:r>
          </w:p>
        </w:tc>
        <w:tc>
          <w:tcPr>
            <w:tcW w:w="1701" w:type="dxa"/>
            <w:noWrap/>
            <w:hideMark/>
          </w:tcPr>
          <w:p w14:paraId="51162FAE" w14:textId="58E9F452"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O00182</w:t>
            </w:r>
          </w:p>
        </w:tc>
      </w:tr>
      <w:tr w:rsidR="003F1A59" w:rsidRPr="00724BDD" w14:paraId="4412F348"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D3C5059"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lastRenderedPageBreak/>
              <w:t>GZMA</w:t>
            </w:r>
          </w:p>
        </w:tc>
        <w:tc>
          <w:tcPr>
            <w:tcW w:w="5670" w:type="dxa"/>
          </w:tcPr>
          <w:p w14:paraId="7E6B6F6E" w14:textId="7CF8EA00" w:rsidR="00F80E53" w:rsidRPr="00724BDD" w:rsidRDefault="001D0115"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Granzyme A</w:t>
            </w:r>
          </w:p>
        </w:tc>
        <w:tc>
          <w:tcPr>
            <w:tcW w:w="1701" w:type="dxa"/>
            <w:noWrap/>
            <w:hideMark/>
          </w:tcPr>
          <w:p w14:paraId="6DE34D22" w14:textId="46275C50"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P12544</w:t>
            </w:r>
          </w:p>
        </w:tc>
      </w:tr>
      <w:tr w:rsidR="003F1A59" w:rsidRPr="00724BDD" w14:paraId="6A255B58"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60BFA95"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GZMB</w:t>
            </w:r>
          </w:p>
        </w:tc>
        <w:tc>
          <w:tcPr>
            <w:tcW w:w="5670" w:type="dxa"/>
          </w:tcPr>
          <w:p w14:paraId="367912DE" w14:textId="494CB4A1" w:rsidR="00F80E53" w:rsidRPr="00724BDD" w:rsidRDefault="001D0115"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Granzyme B</w:t>
            </w:r>
          </w:p>
        </w:tc>
        <w:tc>
          <w:tcPr>
            <w:tcW w:w="1701" w:type="dxa"/>
            <w:noWrap/>
            <w:hideMark/>
          </w:tcPr>
          <w:p w14:paraId="3498EF69" w14:textId="69177D3F"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P10144</w:t>
            </w:r>
          </w:p>
        </w:tc>
      </w:tr>
      <w:tr w:rsidR="003F1A59" w:rsidRPr="00724BDD" w14:paraId="2260239F"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62E34C2"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GZMH</w:t>
            </w:r>
          </w:p>
        </w:tc>
        <w:tc>
          <w:tcPr>
            <w:tcW w:w="5670" w:type="dxa"/>
          </w:tcPr>
          <w:p w14:paraId="6A1D8487" w14:textId="0450F07E" w:rsidR="00F80E53" w:rsidRPr="00724BDD" w:rsidRDefault="001D0115"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Granzyme H</w:t>
            </w:r>
          </w:p>
        </w:tc>
        <w:tc>
          <w:tcPr>
            <w:tcW w:w="1701" w:type="dxa"/>
            <w:noWrap/>
            <w:hideMark/>
          </w:tcPr>
          <w:p w14:paraId="25AABEA2" w14:textId="60CF2308"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P20718</w:t>
            </w:r>
          </w:p>
        </w:tc>
      </w:tr>
      <w:tr w:rsidR="003F1A59" w:rsidRPr="00724BDD" w14:paraId="48F26CBE"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D434B46"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HGF</w:t>
            </w:r>
          </w:p>
        </w:tc>
        <w:tc>
          <w:tcPr>
            <w:tcW w:w="5670" w:type="dxa"/>
          </w:tcPr>
          <w:p w14:paraId="782A47FE" w14:textId="02B64539" w:rsidR="00F80E53" w:rsidRPr="00724BDD" w:rsidRDefault="001D0115"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Hepatocyte growth factor</w:t>
            </w:r>
          </w:p>
        </w:tc>
        <w:tc>
          <w:tcPr>
            <w:tcW w:w="1701" w:type="dxa"/>
            <w:noWrap/>
            <w:hideMark/>
          </w:tcPr>
          <w:p w14:paraId="79ABA553" w14:textId="13A76F7D"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P14210</w:t>
            </w:r>
          </w:p>
        </w:tc>
      </w:tr>
      <w:tr w:rsidR="003F1A59" w:rsidRPr="00724BDD" w14:paraId="048F4318"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7429E27"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HO-1</w:t>
            </w:r>
          </w:p>
        </w:tc>
        <w:tc>
          <w:tcPr>
            <w:tcW w:w="5670" w:type="dxa"/>
          </w:tcPr>
          <w:p w14:paraId="18FC30D4" w14:textId="0406486A" w:rsidR="00F80E53" w:rsidRPr="00724BDD" w:rsidRDefault="001D0115"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Heme oxygenase 1</w:t>
            </w:r>
          </w:p>
        </w:tc>
        <w:tc>
          <w:tcPr>
            <w:tcW w:w="1701" w:type="dxa"/>
            <w:noWrap/>
            <w:hideMark/>
          </w:tcPr>
          <w:p w14:paraId="71B9EB92" w14:textId="7FA9CCDA"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P09601</w:t>
            </w:r>
          </w:p>
        </w:tc>
      </w:tr>
      <w:tr w:rsidR="003F1A59" w:rsidRPr="00724BDD" w14:paraId="1DDE3E69"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70D975C"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ICOSLG</w:t>
            </w:r>
          </w:p>
        </w:tc>
        <w:tc>
          <w:tcPr>
            <w:tcW w:w="5670" w:type="dxa"/>
          </w:tcPr>
          <w:p w14:paraId="351272B5" w14:textId="327D6C82" w:rsidR="00F80E53" w:rsidRPr="00B81BA9" w:rsidRDefault="00ED2488"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 xml:space="preserve">Inducible T cell </w:t>
            </w:r>
            <w:proofErr w:type="spellStart"/>
            <w:r w:rsidRPr="00B81BA9">
              <w:rPr>
                <w:rFonts w:asciiTheme="minorHAnsi" w:hAnsiTheme="minorHAnsi" w:cstheme="minorHAnsi"/>
                <w:color w:val="000000"/>
                <w:lang w:val="en-US"/>
              </w:rPr>
              <w:t>costimulator</w:t>
            </w:r>
            <w:proofErr w:type="spellEnd"/>
            <w:r w:rsidR="001D0115" w:rsidRPr="00B81BA9">
              <w:rPr>
                <w:rFonts w:asciiTheme="minorHAnsi" w:hAnsiTheme="minorHAnsi" w:cstheme="minorHAnsi"/>
                <w:color w:val="000000"/>
                <w:lang w:val="en-US"/>
              </w:rPr>
              <w:t xml:space="preserve"> ligand</w:t>
            </w:r>
          </w:p>
        </w:tc>
        <w:tc>
          <w:tcPr>
            <w:tcW w:w="1701" w:type="dxa"/>
            <w:noWrap/>
            <w:hideMark/>
          </w:tcPr>
          <w:p w14:paraId="2F745B45" w14:textId="0F1C1921"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O75144</w:t>
            </w:r>
          </w:p>
        </w:tc>
      </w:tr>
      <w:tr w:rsidR="003F1A59" w:rsidRPr="00724BDD" w14:paraId="57B37726"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20CFB89"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IFN-gamma</w:t>
            </w:r>
          </w:p>
        </w:tc>
        <w:tc>
          <w:tcPr>
            <w:tcW w:w="5670" w:type="dxa"/>
          </w:tcPr>
          <w:p w14:paraId="4021E5EF" w14:textId="182EC736" w:rsidR="00F80E53" w:rsidRPr="00724BDD" w:rsidRDefault="001D0115"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Interferon gamma</w:t>
            </w:r>
          </w:p>
        </w:tc>
        <w:tc>
          <w:tcPr>
            <w:tcW w:w="1701" w:type="dxa"/>
            <w:noWrap/>
            <w:hideMark/>
          </w:tcPr>
          <w:p w14:paraId="771ABC37" w14:textId="553BEE5A"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P01579</w:t>
            </w:r>
          </w:p>
        </w:tc>
      </w:tr>
      <w:tr w:rsidR="003F1A59" w:rsidRPr="00724BDD" w14:paraId="11EF7CE9"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AEEDFAC"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IL-1 alpha</w:t>
            </w:r>
          </w:p>
        </w:tc>
        <w:tc>
          <w:tcPr>
            <w:tcW w:w="5670" w:type="dxa"/>
          </w:tcPr>
          <w:p w14:paraId="6F1D0D2E" w14:textId="1B6769C2" w:rsidR="00F80E53" w:rsidRPr="00724BDD" w:rsidRDefault="001D0115"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Interleukin-1 alpha</w:t>
            </w:r>
          </w:p>
        </w:tc>
        <w:tc>
          <w:tcPr>
            <w:tcW w:w="1701" w:type="dxa"/>
            <w:noWrap/>
            <w:hideMark/>
          </w:tcPr>
          <w:p w14:paraId="59078E6B" w14:textId="1CF1EAA3"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P01583</w:t>
            </w:r>
          </w:p>
        </w:tc>
      </w:tr>
      <w:tr w:rsidR="003F1A59" w:rsidRPr="00724BDD" w14:paraId="04DC5284"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B97A88C"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IL10</w:t>
            </w:r>
          </w:p>
        </w:tc>
        <w:tc>
          <w:tcPr>
            <w:tcW w:w="5670" w:type="dxa"/>
          </w:tcPr>
          <w:p w14:paraId="462BC877" w14:textId="75D4C7A7" w:rsidR="00F80E53" w:rsidRPr="00724BDD" w:rsidRDefault="001D0115"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Interleukin-10</w:t>
            </w:r>
          </w:p>
        </w:tc>
        <w:tc>
          <w:tcPr>
            <w:tcW w:w="1701" w:type="dxa"/>
            <w:noWrap/>
            <w:hideMark/>
          </w:tcPr>
          <w:p w14:paraId="7429DBA6" w14:textId="6694D543"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P22301</w:t>
            </w:r>
          </w:p>
        </w:tc>
      </w:tr>
      <w:tr w:rsidR="003F1A59" w:rsidRPr="00724BDD" w14:paraId="2961BAAC"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35631F3"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IL12</w:t>
            </w:r>
          </w:p>
        </w:tc>
        <w:tc>
          <w:tcPr>
            <w:tcW w:w="5670" w:type="dxa"/>
          </w:tcPr>
          <w:p w14:paraId="2650FE0D" w14:textId="596879DF" w:rsidR="00F80E53" w:rsidRPr="00724BDD" w:rsidRDefault="00E56397"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Interleukin-12</w:t>
            </w:r>
          </w:p>
        </w:tc>
        <w:tc>
          <w:tcPr>
            <w:tcW w:w="1701" w:type="dxa"/>
            <w:noWrap/>
            <w:hideMark/>
          </w:tcPr>
          <w:p w14:paraId="6CC70041" w14:textId="3027BE13"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P29459,P29460</w:t>
            </w:r>
          </w:p>
        </w:tc>
      </w:tr>
      <w:tr w:rsidR="003F1A59" w:rsidRPr="00724BDD" w14:paraId="24657A0F"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543121B"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IL12RB1</w:t>
            </w:r>
          </w:p>
        </w:tc>
        <w:tc>
          <w:tcPr>
            <w:tcW w:w="5670" w:type="dxa"/>
          </w:tcPr>
          <w:p w14:paraId="7F47D0C6" w14:textId="71FDCB45" w:rsidR="00F80E53" w:rsidRPr="00724BDD" w:rsidRDefault="00E56397"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Interleukin-12 receptor subunit beta-1</w:t>
            </w:r>
          </w:p>
        </w:tc>
        <w:tc>
          <w:tcPr>
            <w:tcW w:w="1701" w:type="dxa"/>
            <w:noWrap/>
            <w:hideMark/>
          </w:tcPr>
          <w:p w14:paraId="191A6370" w14:textId="287ED3D7"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P42701</w:t>
            </w:r>
          </w:p>
        </w:tc>
      </w:tr>
      <w:tr w:rsidR="003F1A59" w:rsidRPr="00724BDD" w14:paraId="612C1E13"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4085808"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IL13</w:t>
            </w:r>
          </w:p>
        </w:tc>
        <w:tc>
          <w:tcPr>
            <w:tcW w:w="5670" w:type="dxa"/>
          </w:tcPr>
          <w:p w14:paraId="71F022D3" w14:textId="6EDCFCD4" w:rsidR="00F80E53" w:rsidRPr="00724BDD" w:rsidRDefault="00E56397"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Interleukin-13</w:t>
            </w:r>
          </w:p>
        </w:tc>
        <w:tc>
          <w:tcPr>
            <w:tcW w:w="1701" w:type="dxa"/>
            <w:noWrap/>
            <w:hideMark/>
          </w:tcPr>
          <w:p w14:paraId="2F2608CB" w14:textId="045CFA01"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P35225</w:t>
            </w:r>
          </w:p>
        </w:tc>
      </w:tr>
      <w:tr w:rsidR="003F1A59" w:rsidRPr="00724BDD" w14:paraId="2F9475B5"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48A9FEE"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IL15</w:t>
            </w:r>
          </w:p>
        </w:tc>
        <w:tc>
          <w:tcPr>
            <w:tcW w:w="5670" w:type="dxa"/>
          </w:tcPr>
          <w:p w14:paraId="3450FFBB" w14:textId="29029462" w:rsidR="00F80E53" w:rsidRPr="00724BDD" w:rsidRDefault="00E56397"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Interleukin-15</w:t>
            </w:r>
          </w:p>
        </w:tc>
        <w:tc>
          <w:tcPr>
            <w:tcW w:w="1701" w:type="dxa"/>
            <w:noWrap/>
            <w:hideMark/>
          </w:tcPr>
          <w:p w14:paraId="05267649" w14:textId="705AD4DC"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P40933</w:t>
            </w:r>
          </w:p>
        </w:tc>
      </w:tr>
      <w:tr w:rsidR="003F1A59" w:rsidRPr="00724BDD" w14:paraId="45EC9C67"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D747A84"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IL18</w:t>
            </w:r>
          </w:p>
        </w:tc>
        <w:tc>
          <w:tcPr>
            <w:tcW w:w="5670" w:type="dxa"/>
          </w:tcPr>
          <w:p w14:paraId="29356BE8" w14:textId="6C8578D4" w:rsidR="00F80E53" w:rsidRPr="00724BDD" w:rsidRDefault="00E56397"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Interleukin-18</w:t>
            </w:r>
          </w:p>
        </w:tc>
        <w:tc>
          <w:tcPr>
            <w:tcW w:w="1701" w:type="dxa"/>
            <w:noWrap/>
            <w:hideMark/>
          </w:tcPr>
          <w:p w14:paraId="288D0B06" w14:textId="3C38CE1A"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Q14116</w:t>
            </w:r>
          </w:p>
        </w:tc>
      </w:tr>
      <w:tr w:rsidR="003F1A59" w:rsidRPr="00724BDD" w14:paraId="626F2105"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138F03D"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IL2</w:t>
            </w:r>
          </w:p>
        </w:tc>
        <w:tc>
          <w:tcPr>
            <w:tcW w:w="5670" w:type="dxa"/>
          </w:tcPr>
          <w:p w14:paraId="2BEA49A2" w14:textId="55C1936C" w:rsidR="00F80E53" w:rsidRPr="00724BDD" w:rsidRDefault="00E56397"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Interleukin-2</w:t>
            </w:r>
          </w:p>
        </w:tc>
        <w:tc>
          <w:tcPr>
            <w:tcW w:w="1701" w:type="dxa"/>
            <w:noWrap/>
            <w:hideMark/>
          </w:tcPr>
          <w:p w14:paraId="20651F51" w14:textId="555C9887"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P60568</w:t>
            </w:r>
          </w:p>
        </w:tc>
      </w:tr>
      <w:tr w:rsidR="003F1A59" w:rsidRPr="00724BDD" w14:paraId="754BF85F"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C52984D"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IL33</w:t>
            </w:r>
          </w:p>
        </w:tc>
        <w:tc>
          <w:tcPr>
            <w:tcW w:w="5670" w:type="dxa"/>
          </w:tcPr>
          <w:p w14:paraId="647E717F" w14:textId="284E0FD4" w:rsidR="00F80E53" w:rsidRPr="00724BDD" w:rsidRDefault="00E56397"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Interleukin-33</w:t>
            </w:r>
          </w:p>
        </w:tc>
        <w:tc>
          <w:tcPr>
            <w:tcW w:w="1701" w:type="dxa"/>
            <w:noWrap/>
            <w:hideMark/>
          </w:tcPr>
          <w:p w14:paraId="67A9B9DB" w14:textId="2D2F7C92"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O95760</w:t>
            </w:r>
          </w:p>
        </w:tc>
      </w:tr>
      <w:tr w:rsidR="003F1A59" w:rsidRPr="00724BDD" w14:paraId="43744E4B"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E845157"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IL4</w:t>
            </w:r>
          </w:p>
        </w:tc>
        <w:tc>
          <w:tcPr>
            <w:tcW w:w="5670" w:type="dxa"/>
          </w:tcPr>
          <w:p w14:paraId="460DE2DF" w14:textId="3B86A7EB" w:rsidR="00F80E53" w:rsidRPr="00724BDD" w:rsidRDefault="00E56397"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Interleukin-4</w:t>
            </w:r>
          </w:p>
        </w:tc>
        <w:tc>
          <w:tcPr>
            <w:tcW w:w="1701" w:type="dxa"/>
            <w:noWrap/>
            <w:hideMark/>
          </w:tcPr>
          <w:p w14:paraId="3531681F" w14:textId="29F7A607"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P05112</w:t>
            </w:r>
          </w:p>
        </w:tc>
      </w:tr>
      <w:tr w:rsidR="003F1A59" w:rsidRPr="00724BDD" w14:paraId="0E0B0294"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FEC75B3"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IL5</w:t>
            </w:r>
          </w:p>
        </w:tc>
        <w:tc>
          <w:tcPr>
            <w:tcW w:w="5670" w:type="dxa"/>
          </w:tcPr>
          <w:p w14:paraId="3A83A3F5" w14:textId="28388C62" w:rsidR="00F80E53" w:rsidRPr="00724BDD" w:rsidRDefault="00E56397"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Interleukin-5</w:t>
            </w:r>
          </w:p>
        </w:tc>
        <w:tc>
          <w:tcPr>
            <w:tcW w:w="1701" w:type="dxa"/>
            <w:noWrap/>
            <w:hideMark/>
          </w:tcPr>
          <w:p w14:paraId="0D6C47CC" w14:textId="1D467F16"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P05113</w:t>
            </w:r>
          </w:p>
        </w:tc>
      </w:tr>
      <w:tr w:rsidR="003F1A59" w:rsidRPr="00724BDD" w14:paraId="0C3D289E"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76E9459"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IL6</w:t>
            </w:r>
          </w:p>
        </w:tc>
        <w:tc>
          <w:tcPr>
            <w:tcW w:w="5670" w:type="dxa"/>
          </w:tcPr>
          <w:p w14:paraId="170F4652" w14:textId="578D3F48" w:rsidR="00F80E53" w:rsidRPr="00724BDD" w:rsidRDefault="00E56397"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Interleukin-6</w:t>
            </w:r>
          </w:p>
        </w:tc>
        <w:tc>
          <w:tcPr>
            <w:tcW w:w="1701" w:type="dxa"/>
            <w:noWrap/>
            <w:hideMark/>
          </w:tcPr>
          <w:p w14:paraId="483DF718" w14:textId="18EDC6E1"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P05231</w:t>
            </w:r>
          </w:p>
        </w:tc>
      </w:tr>
      <w:tr w:rsidR="003F1A59" w:rsidRPr="00724BDD" w14:paraId="46272A03"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14BE129"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IL7</w:t>
            </w:r>
          </w:p>
        </w:tc>
        <w:tc>
          <w:tcPr>
            <w:tcW w:w="5670" w:type="dxa"/>
          </w:tcPr>
          <w:p w14:paraId="48615377" w14:textId="5A3BB53D" w:rsidR="00F80E53" w:rsidRPr="00724BDD" w:rsidRDefault="00E56397"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Interleukin-7</w:t>
            </w:r>
          </w:p>
        </w:tc>
        <w:tc>
          <w:tcPr>
            <w:tcW w:w="1701" w:type="dxa"/>
            <w:noWrap/>
            <w:hideMark/>
          </w:tcPr>
          <w:p w14:paraId="7709985D" w14:textId="3A86988E"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P13232</w:t>
            </w:r>
          </w:p>
        </w:tc>
      </w:tr>
      <w:tr w:rsidR="003F1A59" w:rsidRPr="00724BDD" w14:paraId="534EF4CC"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783833D"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IL8</w:t>
            </w:r>
          </w:p>
        </w:tc>
        <w:tc>
          <w:tcPr>
            <w:tcW w:w="5670" w:type="dxa"/>
          </w:tcPr>
          <w:p w14:paraId="1E08ABEA" w14:textId="2BF724D6" w:rsidR="00F80E53" w:rsidRPr="00724BDD" w:rsidRDefault="00E56397"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Interleukin-8</w:t>
            </w:r>
          </w:p>
        </w:tc>
        <w:tc>
          <w:tcPr>
            <w:tcW w:w="1701" w:type="dxa"/>
            <w:noWrap/>
            <w:hideMark/>
          </w:tcPr>
          <w:p w14:paraId="3B4EA64F" w14:textId="3D9FA6B0"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P10145</w:t>
            </w:r>
          </w:p>
        </w:tc>
      </w:tr>
      <w:tr w:rsidR="003F1A59" w:rsidRPr="00724BDD" w14:paraId="449149F0"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712169F"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KIR3DL1</w:t>
            </w:r>
          </w:p>
        </w:tc>
        <w:tc>
          <w:tcPr>
            <w:tcW w:w="5670" w:type="dxa"/>
          </w:tcPr>
          <w:p w14:paraId="22E0FABF" w14:textId="4612B103" w:rsidR="00F80E53" w:rsidRPr="00B81BA9" w:rsidRDefault="00E56397"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Killer cell immunoglobulin-like receptor 3DL1</w:t>
            </w:r>
          </w:p>
        </w:tc>
        <w:tc>
          <w:tcPr>
            <w:tcW w:w="1701" w:type="dxa"/>
            <w:noWrap/>
            <w:hideMark/>
          </w:tcPr>
          <w:p w14:paraId="2BFA8371" w14:textId="660F6038"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P43629</w:t>
            </w:r>
          </w:p>
        </w:tc>
      </w:tr>
      <w:tr w:rsidR="003F1A59" w:rsidRPr="00724BDD" w14:paraId="32826FA5"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4CE4565"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KLRD1</w:t>
            </w:r>
          </w:p>
        </w:tc>
        <w:tc>
          <w:tcPr>
            <w:tcW w:w="5670" w:type="dxa"/>
          </w:tcPr>
          <w:p w14:paraId="1F8CC1B0" w14:textId="3CC3A4B8" w:rsidR="00F80E53" w:rsidRPr="00724BDD" w:rsidRDefault="00E56397"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Natural killer cells antigen CD94</w:t>
            </w:r>
          </w:p>
        </w:tc>
        <w:tc>
          <w:tcPr>
            <w:tcW w:w="1701" w:type="dxa"/>
            <w:noWrap/>
            <w:hideMark/>
          </w:tcPr>
          <w:p w14:paraId="4848F8ED" w14:textId="3936119A"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Q13241</w:t>
            </w:r>
          </w:p>
        </w:tc>
      </w:tr>
      <w:tr w:rsidR="003F1A59" w:rsidRPr="00724BDD" w14:paraId="1EA2B842"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101D4B9"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LAG3</w:t>
            </w:r>
          </w:p>
        </w:tc>
        <w:tc>
          <w:tcPr>
            <w:tcW w:w="5670" w:type="dxa"/>
          </w:tcPr>
          <w:p w14:paraId="7720A1A6" w14:textId="421F9220" w:rsidR="00F80E53" w:rsidRPr="00724BDD" w:rsidRDefault="00E56397"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Lymphocyte activation gene 3 protein</w:t>
            </w:r>
          </w:p>
        </w:tc>
        <w:tc>
          <w:tcPr>
            <w:tcW w:w="1701" w:type="dxa"/>
            <w:noWrap/>
            <w:hideMark/>
          </w:tcPr>
          <w:p w14:paraId="4E4A977F" w14:textId="5263574F"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P18627</w:t>
            </w:r>
          </w:p>
        </w:tc>
      </w:tr>
      <w:tr w:rsidR="003F1A59" w:rsidRPr="00724BDD" w14:paraId="3D447FB6"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3837CA3"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LAMP3</w:t>
            </w:r>
          </w:p>
        </w:tc>
        <w:tc>
          <w:tcPr>
            <w:tcW w:w="5670" w:type="dxa"/>
          </w:tcPr>
          <w:p w14:paraId="51A483C1" w14:textId="55FEA302" w:rsidR="00F80E53" w:rsidRPr="00724BDD" w:rsidRDefault="00E56397"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Lysosome-associated membrane glycoprotein 3</w:t>
            </w:r>
          </w:p>
        </w:tc>
        <w:tc>
          <w:tcPr>
            <w:tcW w:w="1701" w:type="dxa"/>
            <w:noWrap/>
            <w:hideMark/>
          </w:tcPr>
          <w:p w14:paraId="4651700D" w14:textId="10875B5F"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Q9UQV4</w:t>
            </w:r>
          </w:p>
        </w:tc>
      </w:tr>
      <w:tr w:rsidR="003F1A59" w:rsidRPr="00724BDD" w14:paraId="7F0952ED"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7E42C8E" w14:textId="216F8301"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LAP</w:t>
            </w:r>
            <w:r w:rsidR="00351783" w:rsidRPr="00724BDD">
              <w:rPr>
                <w:rFonts w:asciiTheme="minorHAnsi" w:hAnsiTheme="minorHAnsi" w:cstheme="minorHAnsi"/>
                <w:color w:val="000000"/>
              </w:rPr>
              <w:t>,</w:t>
            </w:r>
            <w:r w:rsidRPr="00724BDD">
              <w:rPr>
                <w:rFonts w:asciiTheme="minorHAnsi" w:hAnsiTheme="minorHAnsi" w:cstheme="minorHAnsi"/>
                <w:color w:val="000000"/>
              </w:rPr>
              <w:t xml:space="preserve"> </w:t>
            </w:r>
            <w:r w:rsidR="00440929">
              <w:rPr>
                <w:rFonts w:asciiTheme="minorHAnsi" w:hAnsiTheme="minorHAnsi" w:cstheme="minorHAnsi"/>
                <w:color w:val="000000"/>
              </w:rPr>
              <w:br/>
            </w:r>
            <w:r w:rsidRPr="00724BDD">
              <w:rPr>
                <w:rFonts w:asciiTheme="minorHAnsi" w:hAnsiTheme="minorHAnsi" w:cstheme="minorHAnsi"/>
                <w:color w:val="000000"/>
              </w:rPr>
              <w:t>TGF-beta-1</w:t>
            </w:r>
          </w:p>
        </w:tc>
        <w:tc>
          <w:tcPr>
            <w:tcW w:w="5670" w:type="dxa"/>
          </w:tcPr>
          <w:p w14:paraId="79A0213F" w14:textId="4E018BBD" w:rsidR="00F80E53" w:rsidRPr="00B81BA9" w:rsidRDefault="00351783"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 xml:space="preserve">Latency-associated peptide, </w:t>
            </w:r>
            <w:r w:rsidR="00440929">
              <w:rPr>
                <w:rFonts w:asciiTheme="minorHAnsi" w:hAnsiTheme="minorHAnsi" w:cstheme="minorHAnsi"/>
                <w:color w:val="000000"/>
                <w:lang w:val="en-US"/>
              </w:rPr>
              <w:br/>
            </w:r>
            <w:r w:rsidRPr="00B81BA9">
              <w:rPr>
                <w:rFonts w:asciiTheme="minorHAnsi" w:hAnsiTheme="minorHAnsi" w:cstheme="minorHAnsi"/>
                <w:color w:val="000000"/>
                <w:lang w:val="en-US"/>
              </w:rPr>
              <w:t>Transforming growth factor beta-1 proprotein</w:t>
            </w:r>
          </w:p>
        </w:tc>
        <w:tc>
          <w:tcPr>
            <w:tcW w:w="1701" w:type="dxa"/>
            <w:noWrap/>
            <w:hideMark/>
          </w:tcPr>
          <w:p w14:paraId="578E0958" w14:textId="441B5CDB"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P01137</w:t>
            </w:r>
          </w:p>
        </w:tc>
      </w:tr>
      <w:tr w:rsidR="003F1A59" w:rsidRPr="00724BDD" w14:paraId="74F298AA"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3BF45C3" w14:textId="3D7627B6"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MCP-1</w:t>
            </w:r>
            <w:r w:rsidR="00351783" w:rsidRPr="00724BDD">
              <w:rPr>
                <w:rFonts w:asciiTheme="minorHAnsi" w:hAnsiTheme="minorHAnsi" w:cstheme="minorHAnsi"/>
                <w:color w:val="000000"/>
              </w:rPr>
              <w:t>, CCL2</w:t>
            </w:r>
          </w:p>
        </w:tc>
        <w:tc>
          <w:tcPr>
            <w:tcW w:w="5670" w:type="dxa"/>
          </w:tcPr>
          <w:p w14:paraId="1DE050FF" w14:textId="58C8F951" w:rsidR="00F80E53" w:rsidRPr="00B81BA9" w:rsidRDefault="00351783"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B81BA9">
              <w:rPr>
                <w:rFonts w:asciiTheme="minorHAnsi" w:hAnsiTheme="minorHAnsi" w:cstheme="minorHAnsi"/>
                <w:color w:val="000000"/>
                <w:lang w:val="en-US"/>
              </w:rPr>
              <w:t>Monocyte chemotactic protein 1, C-C motif chemokine 2</w:t>
            </w:r>
          </w:p>
        </w:tc>
        <w:tc>
          <w:tcPr>
            <w:tcW w:w="1701" w:type="dxa"/>
            <w:noWrap/>
            <w:hideMark/>
          </w:tcPr>
          <w:p w14:paraId="7BE40076" w14:textId="0F7FD821"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P13500</w:t>
            </w:r>
          </w:p>
        </w:tc>
      </w:tr>
      <w:tr w:rsidR="003F1A59" w:rsidRPr="00724BDD" w14:paraId="0167EA33"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9D79DE2" w14:textId="0AF4ECAB"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MCP-2</w:t>
            </w:r>
            <w:r w:rsidR="00351783" w:rsidRPr="00724BDD">
              <w:rPr>
                <w:rFonts w:asciiTheme="minorHAnsi" w:hAnsiTheme="minorHAnsi" w:cstheme="minorHAnsi"/>
                <w:color w:val="000000"/>
              </w:rPr>
              <w:t>, CCL8</w:t>
            </w:r>
          </w:p>
        </w:tc>
        <w:tc>
          <w:tcPr>
            <w:tcW w:w="5670" w:type="dxa"/>
          </w:tcPr>
          <w:p w14:paraId="4FA56C3A" w14:textId="1608490C" w:rsidR="00F80E53" w:rsidRPr="00724BDD" w:rsidRDefault="00351783"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Monocyte chemotactic protein 2, C-C motif chemokine 8</w:t>
            </w:r>
          </w:p>
        </w:tc>
        <w:tc>
          <w:tcPr>
            <w:tcW w:w="1701" w:type="dxa"/>
            <w:noWrap/>
            <w:hideMark/>
          </w:tcPr>
          <w:p w14:paraId="7FD09EC5" w14:textId="481A0AA8"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P80075</w:t>
            </w:r>
          </w:p>
        </w:tc>
      </w:tr>
      <w:tr w:rsidR="003F1A59" w:rsidRPr="00724BDD" w14:paraId="34100979"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A90591C" w14:textId="15CEF05C"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MCP-3</w:t>
            </w:r>
            <w:r w:rsidR="008F7684" w:rsidRPr="00724BDD">
              <w:rPr>
                <w:rFonts w:asciiTheme="minorHAnsi" w:hAnsiTheme="minorHAnsi" w:cstheme="minorHAnsi"/>
                <w:color w:val="000000"/>
              </w:rPr>
              <w:t>, CCL7</w:t>
            </w:r>
          </w:p>
        </w:tc>
        <w:tc>
          <w:tcPr>
            <w:tcW w:w="5670" w:type="dxa"/>
          </w:tcPr>
          <w:p w14:paraId="62E30164" w14:textId="045CCB34" w:rsidR="00F80E53" w:rsidRPr="00B81BA9" w:rsidRDefault="00351783"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 xml:space="preserve">Monocyte chemotactic protein 3, </w:t>
            </w:r>
            <w:r w:rsidRPr="00B81BA9">
              <w:rPr>
                <w:rFonts w:asciiTheme="minorHAnsi" w:hAnsiTheme="minorHAnsi" w:cstheme="minorHAnsi"/>
                <w:color w:val="000000"/>
                <w:lang w:val="en-US"/>
              </w:rPr>
              <w:t>C-C motif chemokine 7</w:t>
            </w:r>
          </w:p>
        </w:tc>
        <w:tc>
          <w:tcPr>
            <w:tcW w:w="1701" w:type="dxa"/>
            <w:noWrap/>
            <w:hideMark/>
          </w:tcPr>
          <w:p w14:paraId="5EB72B96" w14:textId="69010152"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P80098</w:t>
            </w:r>
          </w:p>
        </w:tc>
      </w:tr>
      <w:tr w:rsidR="003F1A59" w:rsidRPr="00724BDD" w14:paraId="21602D20"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6483F5F" w14:textId="76B1B82B"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MCP-4</w:t>
            </w:r>
            <w:r w:rsidR="008F7684" w:rsidRPr="00724BDD">
              <w:rPr>
                <w:rFonts w:asciiTheme="minorHAnsi" w:hAnsiTheme="minorHAnsi" w:cstheme="minorHAnsi"/>
                <w:color w:val="000000"/>
              </w:rPr>
              <w:t>, CCL13</w:t>
            </w:r>
          </w:p>
        </w:tc>
        <w:tc>
          <w:tcPr>
            <w:tcW w:w="5670" w:type="dxa"/>
          </w:tcPr>
          <w:p w14:paraId="143CC425" w14:textId="5DD5F4B1" w:rsidR="00F80E53" w:rsidRPr="00B81BA9" w:rsidRDefault="008F7684"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724BDD">
              <w:rPr>
                <w:rFonts w:asciiTheme="minorHAnsi" w:hAnsiTheme="minorHAnsi" w:cstheme="minorHAnsi"/>
                <w:color w:val="000000"/>
                <w:lang w:val="en-US"/>
              </w:rPr>
              <w:t>Monocyte chemotactic protein</w:t>
            </w:r>
            <w:r w:rsidR="00440929">
              <w:rPr>
                <w:rFonts w:asciiTheme="minorHAnsi" w:hAnsiTheme="minorHAnsi" w:cstheme="minorHAnsi"/>
                <w:color w:val="000000"/>
                <w:lang w:val="en-US"/>
              </w:rPr>
              <w:t xml:space="preserve"> </w:t>
            </w:r>
            <w:r w:rsidRPr="00724BDD">
              <w:rPr>
                <w:rFonts w:asciiTheme="minorHAnsi" w:hAnsiTheme="minorHAnsi" w:cstheme="minorHAnsi"/>
                <w:color w:val="000000"/>
                <w:lang w:val="en-US"/>
              </w:rPr>
              <w:t xml:space="preserve">4, </w:t>
            </w:r>
            <w:r w:rsidRPr="00B81BA9">
              <w:rPr>
                <w:rFonts w:asciiTheme="minorHAnsi" w:hAnsiTheme="minorHAnsi" w:cstheme="minorHAnsi"/>
                <w:color w:val="000000"/>
                <w:lang w:val="en-US"/>
              </w:rPr>
              <w:t>C-C motif chemokine 13</w:t>
            </w:r>
          </w:p>
        </w:tc>
        <w:tc>
          <w:tcPr>
            <w:tcW w:w="1701" w:type="dxa"/>
            <w:noWrap/>
            <w:hideMark/>
          </w:tcPr>
          <w:p w14:paraId="7CB4063C" w14:textId="1E1EE53B"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Q99616</w:t>
            </w:r>
          </w:p>
        </w:tc>
      </w:tr>
      <w:tr w:rsidR="003F1A59" w:rsidRPr="00724BDD" w14:paraId="71739E6C"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1AFEBE3"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MIC-A/B</w:t>
            </w:r>
          </w:p>
        </w:tc>
        <w:tc>
          <w:tcPr>
            <w:tcW w:w="5670" w:type="dxa"/>
          </w:tcPr>
          <w:p w14:paraId="24263F42" w14:textId="1A32271E" w:rsidR="00F80E53" w:rsidRPr="00724BDD" w:rsidRDefault="008F7684"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MHC class I polypeptide-related sequence A/</w:t>
            </w:r>
            <w:r w:rsidRPr="00724BDD">
              <w:rPr>
                <w:rFonts w:asciiTheme="minorHAnsi" w:hAnsiTheme="minorHAnsi" w:cstheme="minorHAnsi"/>
                <w:color w:val="000000"/>
                <w:lang w:val="en-US"/>
              </w:rPr>
              <w:t>B</w:t>
            </w:r>
          </w:p>
        </w:tc>
        <w:tc>
          <w:tcPr>
            <w:tcW w:w="1701" w:type="dxa"/>
            <w:noWrap/>
            <w:hideMark/>
          </w:tcPr>
          <w:p w14:paraId="54F90CF9" w14:textId="763BDB05" w:rsidR="00F80E53" w:rsidRPr="00724BDD" w:rsidRDefault="00F80E53" w:rsidP="003F1A59">
            <w:pPr>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Q29983,Q29980</w:t>
            </w:r>
          </w:p>
        </w:tc>
      </w:tr>
      <w:tr w:rsidR="003F1A59" w:rsidRPr="00724BDD" w14:paraId="736EF8C0"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B9190A3"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MMP12</w:t>
            </w:r>
          </w:p>
        </w:tc>
        <w:tc>
          <w:tcPr>
            <w:tcW w:w="5670" w:type="dxa"/>
          </w:tcPr>
          <w:p w14:paraId="6F77E115" w14:textId="2F224F90" w:rsidR="00F80E53" w:rsidRPr="00724BDD" w:rsidRDefault="008F7684"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Macrophage metalloelastase</w:t>
            </w:r>
          </w:p>
        </w:tc>
        <w:tc>
          <w:tcPr>
            <w:tcW w:w="1701" w:type="dxa"/>
            <w:noWrap/>
            <w:hideMark/>
          </w:tcPr>
          <w:p w14:paraId="1A66C3B7" w14:textId="611568C6"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P39900</w:t>
            </w:r>
          </w:p>
        </w:tc>
      </w:tr>
      <w:tr w:rsidR="003F1A59" w:rsidRPr="00724BDD" w14:paraId="1F63BAFF"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349E393"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MMP7</w:t>
            </w:r>
          </w:p>
        </w:tc>
        <w:tc>
          <w:tcPr>
            <w:tcW w:w="5670" w:type="dxa"/>
          </w:tcPr>
          <w:p w14:paraId="37C83987" w14:textId="344EBD97" w:rsidR="00F80E53" w:rsidRPr="00724BDD" w:rsidRDefault="008F7684"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Matrilysin</w:t>
            </w:r>
          </w:p>
        </w:tc>
        <w:tc>
          <w:tcPr>
            <w:tcW w:w="1701" w:type="dxa"/>
            <w:noWrap/>
            <w:hideMark/>
          </w:tcPr>
          <w:p w14:paraId="44AC41C3" w14:textId="6A613FAF"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P09237</w:t>
            </w:r>
          </w:p>
        </w:tc>
      </w:tr>
      <w:tr w:rsidR="003F1A59" w:rsidRPr="00724BDD" w14:paraId="793DE50C"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0099B5B"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MUC-16</w:t>
            </w:r>
          </w:p>
        </w:tc>
        <w:tc>
          <w:tcPr>
            <w:tcW w:w="5670" w:type="dxa"/>
          </w:tcPr>
          <w:p w14:paraId="02FC25B8" w14:textId="56897626" w:rsidR="00F80E53" w:rsidRPr="00724BDD" w:rsidRDefault="008F7684"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Mucin-16</w:t>
            </w:r>
          </w:p>
        </w:tc>
        <w:tc>
          <w:tcPr>
            <w:tcW w:w="1701" w:type="dxa"/>
            <w:noWrap/>
            <w:hideMark/>
          </w:tcPr>
          <w:p w14:paraId="1B99E048" w14:textId="195CC268"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Q8WXI7</w:t>
            </w:r>
          </w:p>
        </w:tc>
      </w:tr>
      <w:tr w:rsidR="003F1A59" w:rsidRPr="00724BDD" w14:paraId="149503B6"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688F4B8"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NCR1</w:t>
            </w:r>
          </w:p>
        </w:tc>
        <w:tc>
          <w:tcPr>
            <w:tcW w:w="5670" w:type="dxa"/>
          </w:tcPr>
          <w:p w14:paraId="0DC1B275" w14:textId="6E1BFCE4" w:rsidR="00F80E53" w:rsidRPr="00724BDD" w:rsidRDefault="008F7684"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Natural cytotoxicity triggering receptor 1</w:t>
            </w:r>
          </w:p>
        </w:tc>
        <w:tc>
          <w:tcPr>
            <w:tcW w:w="1701" w:type="dxa"/>
            <w:noWrap/>
            <w:hideMark/>
          </w:tcPr>
          <w:p w14:paraId="5F211E51" w14:textId="49951468"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O76036</w:t>
            </w:r>
          </w:p>
        </w:tc>
      </w:tr>
      <w:tr w:rsidR="003F1A59" w:rsidRPr="00724BDD" w14:paraId="23C273BA"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3BC2161"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NOS3</w:t>
            </w:r>
          </w:p>
        </w:tc>
        <w:tc>
          <w:tcPr>
            <w:tcW w:w="5670" w:type="dxa"/>
          </w:tcPr>
          <w:p w14:paraId="0EEA0ECA" w14:textId="712EB91D" w:rsidR="00F80E53" w:rsidRPr="00724BDD" w:rsidRDefault="008F7684"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Nitric oxide synthase, endothelial</w:t>
            </w:r>
          </w:p>
        </w:tc>
        <w:tc>
          <w:tcPr>
            <w:tcW w:w="1701" w:type="dxa"/>
            <w:noWrap/>
            <w:hideMark/>
          </w:tcPr>
          <w:p w14:paraId="53594BEC" w14:textId="7141CFB8"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P29474</w:t>
            </w:r>
          </w:p>
        </w:tc>
      </w:tr>
      <w:tr w:rsidR="003F1A59" w:rsidRPr="00724BDD" w14:paraId="17717CD8"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5DE7BFC"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PD-L1</w:t>
            </w:r>
          </w:p>
        </w:tc>
        <w:tc>
          <w:tcPr>
            <w:tcW w:w="5670" w:type="dxa"/>
          </w:tcPr>
          <w:p w14:paraId="4D9B2C44" w14:textId="3ECABC4D" w:rsidR="00F80E53" w:rsidRPr="00724BDD" w:rsidRDefault="008F7684"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Programmed cell death 1 ligand 1</w:t>
            </w:r>
          </w:p>
        </w:tc>
        <w:tc>
          <w:tcPr>
            <w:tcW w:w="1701" w:type="dxa"/>
            <w:noWrap/>
            <w:hideMark/>
          </w:tcPr>
          <w:p w14:paraId="73477572" w14:textId="72EB82CB"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Q9NZQ7</w:t>
            </w:r>
          </w:p>
        </w:tc>
      </w:tr>
      <w:tr w:rsidR="003F1A59" w:rsidRPr="00724BDD" w14:paraId="150540FA"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7CF29A1"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PD-L2</w:t>
            </w:r>
          </w:p>
        </w:tc>
        <w:tc>
          <w:tcPr>
            <w:tcW w:w="5670" w:type="dxa"/>
          </w:tcPr>
          <w:p w14:paraId="3344B207" w14:textId="2AAE4099" w:rsidR="00F80E53" w:rsidRPr="00724BDD" w:rsidRDefault="00BA7CBB"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Programmed cell death 1 ligand 2</w:t>
            </w:r>
          </w:p>
        </w:tc>
        <w:tc>
          <w:tcPr>
            <w:tcW w:w="1701" w:type="dxa"/>
            <w:noWrap/>
            <w:hideMark/>
          </w:tcPr>
          <w:p w14:paraId="617D0A69" w14:textId="007D727A"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Q9BQ51</w:t>
            </w:r>
          </w:p>
        </w:tc>
      </w:tr>
      <w:tr w:rsidR="003F1A59" w:rsidRPr="00724BDD" w14:paraId="537DCBDA"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59A80B4"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PDCD1</w:t>
            </w:r>
          </w:p>
        </w:tc>
        <w:tc>
          <w:tcPr>
            <w:tcW w:w="5670" w:type="dxa"/>
          </w:tcPr>
          <w:p w14:paraId="4383A9D8" w14:textId="72078E5D" w:rsidR="00F80E53" w:rsidRPr="00724BDD" w:rsidRDefault="00724BDD"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Programmed cell death protein 1</w:t>
            </w:r>
          </w:p>
        </w:tc>
        <w:tc>
          <w:tcPr>
            <w:tcW w:w="1701" w:type="dxa"/>
            <w:noWrap/>
            <w:hideMark/>
          </w:tcPr>
          <w:p w14:paraId="1348309E" w14:textId="1E9E9A88"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Q15116</w:t>
            </w:r>
          </w:p>
        </w:tc>
      </w:tr>
      <w:tr w:rsidR="003F1A59" w:rsidRPr="00724BDD" w14:paraId="0E785265"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C025BB7" w14:textId="77777777" w:rsidR="00F80E53" w:rsidRPr="00724BDD" w:rsidRDefault="00F80E53" w:rsidP="00440929">
            <w:pPr>
              <w:ind w:right="-88"/>
              <w:rPr>
                <w:rFonts w:asciiTheme="minorHAnsi" w:hAnsiTheme="minorHAnsi" w:cstheme="minorHAnsi"/>
                <w:color w:val="000000"/>
              </w:rPr>
            </w:pPr>
            <w:r w:rsidRPr="00724BDD">
              <w:rPr>
                <w:rFonts w:asciiTheme="minorHAnsi" w:hAnsiTheme="minorHAnsi" w:cstheme="minorHAnsi"/>
                <w:color w:val="000000"/>
              </w:rPr>
              <w:t>PDGF subunit B</w:t>
            </w:r>
          </w:p>
        </w:tc>
        <w:tc>
          <w:tcPr>
            <w:tcW w:w="5670" w:type="dxa"/>
          </w:tcPr>
          <w:p w14:paraId="004516FE" w14:textId="55F1AF5E" w:rsidR="00F80E53" w:rsidRPr="00B81BA9" w:rsidRDefault="00724BDD"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Platelet-derived growth factor subunit B</w:t>
            </w:r>
          </w:p>
        </w:tc>
        <w:tc>
          <w:tcPr>
            <w:tcW w:w="1701" w:type="dxa"/>
            <w:noWrap/>
            <w:hideMark/>
          </w:tcPr>
          <w:p w14:paraId="21853614" w14:textId="6A26FDF5"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P01127</w:t>
            </w:r>
          </w:p>
        </w:tc>
      </w:tr>
      <w:tr w:rsidR="003F1A59" w:rsidRPr="00724BDD" w14:paraId="5AC423C5"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8FD97DA"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PGF</w:t>
            </w:r>
          </w:p>
        </w:tc>
        <w:tc>
          <w:tcPr>
            <w:tcW w:w="5670" w:type="dxa"/>
          </w:tcPr>
          <w:p w14:paraId="2775EF83" w14:textId="6D0E6B26" w:rsidR="00F80E53" w:rsidRPr="00724BDD" w:rsidRDefault="00724BDD"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Placenta growth factor</w:t>
            </w:r>
          </w:p>
        </w:tc>
        <w:tc>
          <w:tcPr>
            <w:tcW w:w="1701" w:type="dxa"/>
            <w:noWrap/>
            <w:hideMark/>
          </w:tcPr>
          <w:p w14:paraId="73B751A5" w14:textId="3F2FFFE5"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P49763</w:t>
            </w:r>
          </w:p>
        </w:tc>
      </w:tr>
      <w:tr w:rsidR="003F1A59" w:rsidRPr="00724BDD" w14:paraId="2238A1FB"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19D2E15"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PTN</w:t>
            </w:r>
          </w:p>
        </w:tc>
        <w:tc>
          <w:tcPr>
            <w:tcW w:w="5670" w:type="dxa"/>
          </w:tcPr>
          <w:p w14:paraId="2215D33A" w14:textId="32D782E8" w:rsidR="00F80E53" w:rsidRPr="00724BDD" w:rsidRDefault="00724BDD"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Pleiotrophin</w:t>
            </w:r>
          </w:p>
        </w:tc>
        <w:tc>
          <w:tcPr>
            <w:tcW w:w="1701" w:type="dxa"/>
            <w:noWrap/>
            <w:hideMark/>
          </w:tcPr>
          <w:p w14:paraId="75FDBC95" w14:textId="48D556F5"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P21246</w:t>
            </w:r>
          </w:p>
        </w:tc>
      </w:tr>
      <w:tr w:rsidR="003F1A59" w:rsidRPr="00724BDD" w14:paraId="176F139D"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1AAEBC7"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lastRenderedPageBreak/>
              <w:t>TIE2</w:t>
            </w:r>
          </w:p>
        </w:tc>
        <w:tc>
          <w:tcPr>
            <w:tcW w:w="5670" w:type="dxa"/>
          </w:tcPr>
          <w:p w14:paraId="6EAB28DF" w14:textId="1489FEFC" w:rsidR="00F80E53" w:rsidRPr="00724BDD" w:rsidRDefault="00724BDD"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Angiopoietin-1 receptor</w:t>
            </w:r>
          </w:p>
        </w:tc>
        <w:tc>
          <w:tcPr>
            <w:tcW w:w="1701" w:type="dxa"/>
            <w:noWrap/>
            <w:hideMark/>
          </w:tcPr>
          <w:p w14:paraId="45242A14" w14:textId="3170476F"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Q02763</w:t>
            </w:r>
          </w:p>
        </w:tc>
      </w:tr>
      <w:tr w:rsidR="003F1A59" w:rsidRPr="00724BDD" w14:paraId="69F786D9"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B50396A"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TNF</w:t>
            </w:r>
          </w:p>
        </w:tc>
        <w:tc>
          <w:tcPr>
            <w:tcW w:w="5670" w:type="dxa"/>
          </w:tcPr>
          <w:p w14:paraId="7323CBBF" w14:textId="1CDEEA37" w:rsidR="00F80E53" w:rsidRPr="00724BDD" w:rsidRDefault="00724BDD"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Tumor necrosis factor</w:t>
            </w:r>
          </w:p>
        </w:tc>
        <w:tc>
          <w:tcPr>
            <w:tcW w:w="1701" w:type="dxa"/>
            <w:noWrap/>
            <w:hideMark/>
          </w:tcPr>
          <w:p w14:paraId="6FB76701" w14:textId="041FE3CC"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P01375</w:t>
            </w:r>
          </w:p>
        </w:tc>
      </w:tr>
      <w:tr w:rsidR="003F1A59" w:rsidRPr="00724BDD" w14:paraId="409E8E70"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7FD2BD7"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TNFRSF12A</w:t>
            </w:r>
          </w:p>
        </w:tc>
        <w:tc>
          <w:tcPr>
            <w:tcW w:w="5670" w:type="dxa"/>
          </w:tcPr>
          <w:p w14:paraId="710EEA6E" w14:textId="3BB7D6E7" w:rsidR="00F80E53" w:rsidRPr="00B81BA9" w:rsidRDefault="00724BDD"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Tumor necrosis factor receptor superfamily member 12A</w:t>
            </w:r>
          </w:p>
        </w:tc>
        <w:tc>
          <w:tcPr>
            <w:tcW w:w="1701" w:type="dxa"/>
            <w:noWrap/>
            <w:hideMark/>
          </w:tcPr>
          <w:p w14:paraId="2687BE5C" w14:textId="082475EA"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Q9NP84</w:t>
            </w:r>
          </w:p>
        </w:tc>
      </w:tr>
      <w:tr w:rsidR="003F1A59" w:rsidRPr="00724BDD" w14:paraId="1703B952"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DCB2F50"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TNFRSF21</w:t>
            </w:r>
          </w:p>
        </w:tc>
        <w:tc>
          <w:tcPr>
            <w:tcW w:w="5670" w:type="dxa"/>
          </w:tcPr>
          <w:p w14:paraId="2E8432CD" w14:textId="6E9B8BA3" w:rsidR="00F80E53" w:rsidRPr="00B81BA9" w:rsidRDefault="00724BDD"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Tumor necrosis factor receptor superfamily member 21</w:t>
            </w:r>
          </w:p>
        </w:tc>
        <w:tc>
          <w:tcPr>
            <w:tcW w:w="1701" w:type="dxa"/>
            <w:noWrap/>
            <w:hideMark/>
          </w:tcPr>
          <w:p w14:paraId="16E2D4A0" w14:textId="2AD20BE5"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O75509</w:t>
            </w:r>
          </w:p>
        </w:tc>
      </w:tr>
      <w:tr w:rsidR="003F1A59" w:rsidRPr="00724BDD" w14:paraId="19A2487F"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4E9454D"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TNFRSF4</w:t>
            </w:r>
          </w:p>
        </w:tc>
        <w:tc>
          <w:tcPr>
            <w:tcW w:w="5670" w:type="dxa"/>
          </w:tcPr>
          <w:p w14:paraId="5E3FBB61" w14:textId="44B3E231" w:rsidR="00F80E53" w:rsidRPr="00B81BA9" w:rsidRDefault="00724BDD"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Tumor necrosis factor receptor superfamily member 4</w:t>
            </w:r>
          </w:p>
        </w:tc>
        <w:tc>
          <w:tcPr>
            <w:tcW w:w="1701" w:type="dxa"/>
            <w:noWrap/>
            <w:hideMark/>
          </w:tcPr>
          <w:p w14:paraId="04144B88" w14:textId="602C5721"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P43489</w:t>
            </w:r>
          </w:p>
        </w:tc>
      </w:tr>
      <w:tr w:rsidR="003F1A59" w:rsidRPr="00724BDD" w14:paraId="6DD7D032"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1C3EA6F"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TNFRSF9</w:t>
            </w:r>
          </w:p>
        </w:tc>
        <w:tc>
          <w:tcPr>
            <w:tcW w:w="5670" w:type="dxa"/>
          </w:tcPr>
          <w:p w14:paraId="19D2D827" w14:textId="18EE343C" w:rsidR="00F80E53" w:rsidRPr="00B81BA9" w:rsidRDefault="00724BDD"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Tumor necrosis factor receptor superfamily member 9</w:t>
            </w:r>
          </w:p>
        </w:tc>
        <w:tc>
          <w:tcPr>
            <w:tcW w:w="1701" w:type="dxa"/>
            <w:noWrap/>
            <w:hideMark/>
          </w:tcPr>
          <w:p w14:paraId="540563F0" w14:textId="410F33CD"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Q07011</w:t>
            </w:r>
          </w:p>
        </w:tc>
      </w:tr>
      <w:tr w:rsidR="003F1A59" w:rsidRPr="00724BDD" w14:paraId="67637E03"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B5AEF20"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TNFSF14</w:t>
            </w:r>
          </w:p>
        </w:tc>
        <w:tc>
          <w:tcPr>
            <w:tcW w:w="5670" w:type="dxa"/>
          </w:tcPr>
          <w:p w14:paraId="4A0EBC89" w14:textId="67BF023A" w:rsidR="00F80E53" w:rsidRPr="00B81BA9" w:rsidRDefault="00724BDD"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Tumor necrosis factor ligand superfamily member 14</w:t>
            </w:r>
          </w:p>
        </w:tc>
        <w:tc>
          <w:tcPr>
            <w:tcW w:w="1701" w:type="dxa"/>
            <w:noWrap/>
            <w:hideMark/>
          </w:tcPr>
          <w:p w14:paraId="3A9453E6" w14:textId="4E624A63"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O43557</w:t>
            </w:r>
          </w:p>
        </w:tc>
      </w:tr>
      <w:tr w:rsidR="003F1A59" w:rsidRPr="00724BDD" w14:paraId="7FC7FCC7"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EE622A9"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TRAIL</w:t>
            </w:r>
          </w:p>
        </w:tc>
        <w:tc>
          <w:tcPr>
            <w:tcW w:w="5670" w:type="dxa"/>
          </w:tcPr>
          <w:p w14:paraId="34AEEF5B" w14:textId="2D81BC55" w:rsidR="00F80E53" w:rsidRPr="00B81BA9" w:rsidRDefault="009435E5"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Tumor necrosis factor ligand superfamily member 10</w:t>
            </w:r>
          </w:p>
        </w:tc>
        <w:tc>
          <w:tcPr>
            <w:tcW w:w="1701" w:type="dxa"/>
            <w:noWrap/>
            <w:hideMark/>
          </w:tcPr>
          <w:p w14:paraId="0DCCAAFA" w14:textId="61A661A5"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P50591</w:t>
            </w:r>
          </w:p>
        </w:tc>
      </w:tr>
      <w:tr w:rsidR="003F1A59" w:rsidRPr="00724BDD" w14:paraId="2DEEE570"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63954D5"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TWEAK</w:t>
            </w:r>
          </w:p>
        </w:tc>
        <w:tc>
          <w:tcPr>
            <w:tcW w:w="5670" w:type="dxa"/>
          </w:tcPr>
          <w:p w14:paraId="3317C95D" w14:textId="2612D550" w:rsidR="00F80E53" w:rsidRPr="00B81BA9" w:rsidRDefault="009435E5"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Tumor necrosis factor ligand superfamily member 12</w:t>
            </w:r>
          </w:p>
        </w:tc>
        <w:tc>
          <w:tcPr>
            <w:tcW w:w="1701" w:type="dxa"/>
            <w:noWrap/>
            <w:hideMark/>
          </w:tcPr>
          <w:p w14:paraId="507830A4" w14:textId="6E54FE22"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O43508</w:t>
            </w:r>
          </w:p>
        </w:tc>
      </w:tr>
      <w:tr w:rsidR="003F1A59" w:rsidRPr="00724BDD" w14:paraId="3CE9AC63" w14:textId="77777777" w:rsidTr="0080244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0E4B5B5"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VEGFA</w:t>
            </w:r>
          </w:p>
        </w:tc>
        <w:tc>
          <w:tcPr>
            <w:tcW w:w="5670" w:type="dxa"/>
          </w:tcPr>
          <w:p w14:paraId="0EC82455" w14:textId="044CFBC1" w:rsidR="00F80E53" w:rsidRPr="00B81BA9" w:rsidRDefault="009435E5" w:rsidP="00440929">
            <w:pPr>
              <w:ind w:right="-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Vascular endothelial growth factor A</w:t>
            </w:r>
          </w:p>
        </w:tc>
        <w:tc>
          <w:tcPr>
            <w:tcW w:w="1701" w:type="dxa"/>
            <w:noWrap/>
            <w:hideMark/>
          </w:tcPr>
          <w:p w14:paraId="211BA730" w14:textId="000DDBCA" w:rsidR="00F80E53" w:rsidRPr="00724BDD" w:rsidRDefault="00F80E53" w:rsidP="003F1A59">
            <w:pPr>
              <w:tabs>
                <w:tab w:val="left" w:pos="1346"/>
              </w:tabs>
              <w:ind w:left="-108"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P15692</w:t>
            </w:r>
          </w:p>
        </w:tc>
      </w:tr>
      <w:tr w:rsidR="003F1A59" w:rsidRPr="00724BDD" w14:paraId="7A50E84B" w14:textId="77777777" w:rsidTr="00802446">
        <w:trPr>
          <w:trHeight w:val="32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B872489" w14:textId="77777777" w:rsidR="00F80E53" w:rsidRPr="00724BDD" w:rsidRDefault="00F80E53" w:rsidP="00312C82">
            <w:pPr>
              <w:rPr>
                <w:rFonts w:asciiTheme="minorHAnsi" w:hAnsiTheme="minorHAnsi" w:cstheme="minorHAnsi"/>
                <w:color w:val="000000"/>
              </w:rPr>
            </w:pPr>
            <w:r w:rsidRPr="00724BDD">
              <w:rPr>
                <w:rFonts w:asciiTheme="minorHAnsi" w:hAnsiTheme="minorHAnsi" w:cstheme="minorHAnsi"/>
                <w:color w:val="000000"/>
              </w:rPr>
              <w:t>VEGFR-2</w:t>
            </w:r>
          </w:p>
        </w:tc>
        <w:tc>
          <w:tcPr>
            <w:tcW w:w="5670" w:type="dxa"/>
          </w:tcPr>
          <w:p w14:paraId="71CA9E95" w14:textId="16FB0B46" w:rsidR="00F80E53" w:rsidRPr="00B81BA9" w:rsidRDefault="009435E5" w:rsidP="00440929">
            <w:pPr>
              <w:ind w:right="-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B81BA9">
              <w:rPr>
                <w:rFonts w:asciiTheme="minorHAnsi" w:hAnsiTheme="minorHAnsi" w:cstheme="minorHAnsi"/>
                <w:color w:val="000000"/>
                <w:lang w:val="en-US"/>
              </w:rPr>
              <w:t>Vascular endothelial growth factor receptor 2</w:t>
            </w:r>
          </w:p>
        </w:tc>
        <w:tc>
          <w:tcPr>
            <w:tcW w:w="1701" w:type="dxa"/>
            <w:noWrap/>
            <w:hideMark/>
          </w:tcPr>
          <w:p w14:paraId="3A917C0E" w14:textId="040781A9" w:rsidR="00F80E53" w:rsidRPr="00724BDD" w:rsidRDefault="00F80E53" w:rsidP="003F1A59">
            <w:pPr>
              <w:tabs>
                <w:tab w:val="left" w:pos="1346"/>
              </w:tabs>
              <w:ind w:left="-10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24BDD">
              <w:rPr>
                <w:rFonts w:asciiTheme="minorHAnsi" w:hAnsiTheme="minorHAnsi" w:cstheme="minorHAnsi"/>
                <w:color w:val="000000"/>
              </w:rPr>
              <w:t>P35968</w:t>
            </w:r>
          </w:p>
        </w:tc>
      </w:tr>
    </w:tbl>
    <w:p w14:paraId="0F08C38A" w14:textId="77777777" w:rsidR="004338E9" w:rsidRPr="00724BDD" w:rsidRDefault="004338E9" w:rsidP="004338E9">
      <w:pPr>
        <w:rPr>
          <w:rFonts w:asciiTheme="minorHAnsi" w:hAnsiTheme="minorHAnsi" w:cstheme="minorHAnsi"/>
          <w:lang w:val="en-US"/>
        </w:rPr>
      </w:pPr>
      <w:r w:rsidRPr="00724BDD">
        <w:rPr>
          <w:rFonts w:asciiTheme="minorHAnsi" w:hAnsiTheme="minorHAnsi" w:cstheme="minorHAnsi"/>
          <w:lang w:val="en-US"/>
        </w:rPr>
        <w:br w:type="page"/>
      </w:r>
    </w:p>
    <w:p w14:paraId="0C54B557" w14:textId="46E80236" w:rsidR="005A1F8E" w:rsidRPr="00724BDD" w:rsidRDefault="001D7956" w:rsidP="005A1F8E">
      <w:pPr>
        <w:pStyle w:val="Heading1"/>
        <w:rPr>
          <w:rFonts w:asciiTheme="minorHAnsi" w:hAnsiTheme="minorHAnsi" w:cstheme="minorHAnsi"/>
        </w:rPr>
      </w:pPr>
      <w:bookmarkStart w:id="7" w:name="_Toc107775937"/>
      <w:r>
        <w:rPr>
          <w:rFonts w:asciiTheme="minorHAnsi" w:hAnsiTheme="minorHAnsi" w:cstheme="minorHAnsi"/>
        </w:rPr>
        <w:lastRenderedPageBreak/>
        <w:t xml:space="preserve">SDC, </w:t>
      </w:r>
      <w:r w:rsidR="005A1F8E" w:rsidRPr="00724BDD">
        <w:rPr>
          <w:rFonts w:asciiTheme="minorHAnsi" w:hAnsiTheme="minorHAnsi" w:cstheme="minorHAnsi"/>
        </w:rPr>
        <w:t>Figure 1</w:t>
      </w:r>
      <w:bookmarkEnd w:id="7"/>
    </w:p>
    <w:p w14:paraId="28BD7817" w14:textId="77777777" w:rsidR="005A1F8E" w:rsidRPr="00724BDD" w:rsidRDefault="005A1F8E" w:rsidP="005A1F8E">
      <w:pPr>
        <w:rPr>
          <w:rFonts w:asciiTheme="minorHAnsi" w:hAnsiTheme="minorHAnsi" w:cstheme="minorHAnsi"/>
          <w:lang w:val="en-US"/>
        </w:rPr>
      </w:pPr>
    </w:p>
    <w:p w14:paraId="07B4C7A7" w14:textId="77777777" w:rsidR="005A1F8E" w:rsidRPr="00724BDD" w:rsidRDefault="005A1F8E" w:rsidP="005A1F8E">
      <w:pPr>
        <w:rPr>
          <w:rFonts w:asciiTheme="minorHAnsi" w:hAnsiTheme="minorHAnsi" w:cstheme="minorHAnsi"/>
          <w:lang w:val="en-US"/>
        </w:rPr>
      </w:pPr>
    </w:p>
    <w:p w14:paraId="63933D16" w14:textId="756C4FAD" w:rsidR="005A1F8E" w:rsidRPr="00724BDD" w:rsidRDefault="00725E75" w:rsidP="0080434D">
      <w:pPr>
        <w:jc w:val="center"/>
        <w:rPr>
          <w:rFonts w:asciiTheme="minorHAnsi" w:hAnsiTheme="minorHAnsi" w:cstheme="minorHAnsi"/>
          <w:lang w:val="en-US"/>
        </w:rPr>
      </w:pPr>
      <w:r w:rsidRPr="00724BDD">
        <w:rPr>
          <w:rFonts w:asciiTheme="minorHAnsi" w:hAnsiTheme="minorHAnsi" w:cstheme="minorHAnsi"/>
          <w:noProof/>
          <w:lang w:val="en-US"/>
        </w:rPr>
        <w:drawing>
          <wp:inline distT="0" distB="0" distL="0" distR="0" wp14:anchorId="57398BD1" wp14:editId="39AF0179">
            <wp:extent cx="5740400" cy="405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40400" cy="4051300"/>
                    </a:xfrm>
                    <a:prstGeom prst="rect">
                      <a:avLst/>
                    </a:prstGeom>
                  </pic:spPr>
                </pic:pic>
              </a:graphicData>
            </a:graphic>
          </wp:inline>
        </w:drawing>
      </w:r>
    </w:p>
    <w:p w14:paraId="30024B0F" w14:textId="56F6F3F0" w:rsidR="005A1F8E" w:rsidRPr="00724BDD" w:rsidRDefault="001D7956">
      <w:pPr>
        <w:rPr>
          <w:rFonts w:asciiTheme="minorHAnsi" w:hAnsiTheme="minorHAnsi" w:cstheme="minorHAnsi"/>
          <w:lang w:val="en-US"/>
        </w:rPr>
      </w:pPr>
      <w:r w:rsidRPr="001D7956">
        <w:rPr>
          <w:rFonts w:asciiTheme="minorHAnsi" w:hAnsiTheme="minorHAnsi" w:cstheme="minorHAnsi"/>
          <w:b/>
          <w:bCs/>
          <w:sz w:val="20"/>
          <w:szCs w:val="20"/>
          <w:lang w:val="en-US"/>
        </w:rPr>
        <w:t>SDC,</w:t>
      </w:r>
      <w:r>
        <w:rPr>
          <w:rFonts w:asciiTheme="minorHAnsi" w:hAnsiTheme="minorHAnsi" w:cstheme="minorHAnsi"/>
          <w:b/>
          <w:bCs/>
          <w:sz w:val="20"/>
          <w:szCs w:val="20"/>
          <w:lang w:val="en-US"/>
        </w:rPr>
        <w:t xml:space="preserve"> </w:t>
      </w:r>
      <w:r w:rsidR="0080434D" w:rsidRPr="00724BDD">
        <w:rPr>
          <w:rFonts w:asciiTheme="minorHAnsi" w:hAnsiTheme="minorHAnsi" w:cstheme="minorHAnsi"/>
          <w:b/>
          <w:bCs/>
          <w:sz w:val="20"/>
          <w:szCs w:val="20"/>
          <w:lang w:val="en-US"/>
        </w:rPr>
        <w:t xml:space="preserve">Figure 1. Absolute numbers and percentages of exhausted T cells in </w:t>
      </w:r>
      <w:r w:rsidR="0062451A" w:rsidRPr="00724BDD">
        <w:rPr>
          <w:rFonts w:asciiTheme="minorHAnsi" w:hAnsiTheme="minorHAnsi" w:cstheme="minorHAnsi"/>
          <w:b/>
          <w:bCs/>
          <w:sz w:val="20"/>
          <w:szCs w:val="20"/>
          <w:lang w:val="en-US"/>
        </w:rPr>
        <w:t xml:space="preserve">the PB of </w:t>
      </w:r>
      <w:r w:rsidR="0080434D" w:rsidRPr="00724BDD">
        <w:rPr>
          <w:rFonts w:asciiTheme="minorHAnsi" w:hAnsiTheme="minorHAnsi" w:cstheme="minorHAnsi"/>
          <w:b/>
          <w:bCs/>
          <w:sz w:val="20"/>
          <w:szCs w:val="20"/>
          <w:lang w:val="en-US"/>
        </w:rPr>
        <w:t xml:space="preserve">limited-stage and advanced-stage </w:t>
      </w:r>
      <w:proofErr w:type="spellStart"/>
      <w:r w:rsidR="0080434D" w:rsidRPr="00724BDD">
        <w:rPr>
          <w:rFonts w:asciiTheme="minorHAnsi" w:hAnsiTheme="minorHAnsi" w:cstheme="minorHAnsi"/>
          <w:b/>
          <w:bCs/>
          <w:sz w:val="20"/>
          <w:szCs w:val="20"/>
          <w:lang w:val="en-US"/>
        </w:rPr>
        <w:t>cHL</w:t>
      </w:r>
      <w:proofErr w:type="spellEnd"/>
      <w:r w:rsidR="0080434D" w:rsidRPr="00724BDD">
        <w:rPr>
          <w:rFonts w:asciiTheme="minorHAnsi" w:hAnsiTheme="minorHAnsi" w:cstheme="minorHAnsi"/>
          <w:b/>
          <w:bCs/>
          <w:sz w:val="20"/>
          <w:szCs w:val="20"/>
          <w:lang w:val="en-US"/>
        </w:rPr>
        <w:t xml:space="preserve"> patients</w:t>
      </w:r>
      <w:r w:rsidR="006F4F79" w:rsidRPr="00724BDD">
        <w:rPr>
          <w:rFonts w:asciiTheme="minorHAnsi" w:hAnsiTheme="minorHAnsi" w:cstheme="minorHAnsi"/>
          <w:b/>
          <w:bCs/>
          <w:sz w:val="20"/>
          <w:szCs w:val="20"/>
          <w:lang w:val="en-US"/>
        </w:rPr>
        <w:t xml:space="preserve"> before primary treatment</w:t>
      </w:r>
      <w:r w:rsidR="0080434D" w:rsidRPr="00724BDD">
        <w:rPr>
          <w:rFonts w:asciiTheme="minorHAnsi" w:hAnsiTheme="minorHAnsi" w:cstheme="minorHAnsi"/>
          <w:b/>
          <w:bCs/>
          <w:sz w:val="20"/>
          <w:szCs w:val="20"/>
          <w:lang w:val="en-US"/>
        </w:rPr>
        <w:t>.</w:t>
      </w:r>
      <w:r w:rsidR="0080434D" w:rsidRPr="00724BDD">
        <w:rPr>
          <w:rFonts w:asciiTheme="minorHAnsi" w:hAnsiTheme="minorHAnsi" w:cstheme="minorHAnsi"/>
          <w:sz w:val="20"/>
          <w:szCs w:val="20"/>
          <w:lang w:val="en-US"/>
        </w:rPr>
        <w:t xml:space="preserve"> </w:t>
      </w:r>
      <w:r w:rsidR="0062451A" w:rsidRPr="00724BDD">
        <w:rPr>
          <w:rFonts w:asciiTheme="minorHAnsi" w:hAnsiTheme="minorHAnsi" w:cstheme="minorHAnsi"/>
          <w:sz w:val="20"/>
          <w:szCs w:val="20"/>
          <w:lang w:val="en-US"/>
        </w:rPr>
        <w:t>Percentages (left) and a</w:t>
      </w:r>
      <w:r w:rsidR="0080434D" w:rsidRPr="00724BDD">
        <w:rPr>
          <w:rFonts w:asciiTheme="minorHAnsi" w:hAnsiTheme="minorHAnsi" w:cstheme="minorHAnsi"/>
          <w:sz w:val="20"/>
          <w:szCs w:val="20"/>
          <w:lang w:val="en-US"/>
        </w:rPr>
        <w:t xml:space="preserve">bsolute numbers </w:t>
      </w:r>
      <w:r w:rsidR="0062451A" w:rsidRPr="00724BDD">
        <w:rPr>
          <w:rFonts w:asciiTheme="minorHAnsi" w:hAnsiTheme="minorHAnsi" w:cstheme="minorHAnsi"/>
          <w:sz w:val="20"/>
          <w:szCs w:val="20"/>
          <w:lang w:val="en-US"/>
        </w:rPr>
        <w:t>(right) o</w:t>
      </w:r>
      <w:r w:rsidR="0080434D" w:rsidRPr="00724BDD">
        <w:rPr>
          <w:rFonts w:asciiTheme="minorHAnsi" w:hAnsiTheme="minorHAnsi" w:cstheme="minorHAnsi"/>
          <w:sz w:val="20"/>
          <w:szCs w:val="20"/>
          <w:lang w:val="en-US"/>
        </w:rPr>
        <w:t>f T cells that are double-positive for PD-1 and TIM-3</w:t>
      </w:r>
      <w:r w:rsidR="0062451A" w:rsidRPr="00724BDD">
        <w:rPr>
          <w:rFonts w:asciiTheme="minorHAnsi" w:hAnsiTheme="minorHAnsi" w:cstheme="minorHAnsi"/>
          <w:sz w:val="20"/>
          <w:szCs w:val="20"/>
          <w:lang w:val="en-US"/>
        </w:rPr>
        <w:t xml:space="preserve"> in the PB of healthy controls (n=7), LIM </w:t>
      </w:r>
      <w:proofErr w:type="spellStart"/>
      <w:r w:rsidR="0062451A" w:rsidRPr="00724BDD">
        <w:rPr>
          <w:rFonts w:asciiTheme="minorHAnsi" w:hAnsiTheme="minorHAnsi" w:cstheme="minorHAnsi"/>
          <w:sz w:val="20"/>
          <w:szCs w:val="20"/>
          <w:lang w:val="en-US"/>
        </w:rPr>
        <w:t>cHL</w:t>
      </w:r>
      <w:proofErr w:type="spellEnd"/>
      <w:r w:rsidR="0062451A" w:rsidRPr="00724BDD">
        <w:rPr>
          <w:rFonts w:asciiTheme="minorHAnsi" w:hAnsiTheme="minorHAnsi" w:cstheme="minorHAnsi"/>
          <w:sz w:val="20"/>
          <w:szCs w:val="20"/>
          <w:lang w:val="en-US"/>
        </w:rPr>
        <w:t xml:space="preserve"> patients (n=13), and ADV </w:t>
      </w:r>
      <w:proofErr w:type="spellStart"/>
      <w:r w:rsidR="0062451A" w:rsidRPr="00724BDD">
        <w:rPr>
          <w:rFonts w:asciiTheme="minorHAnsi" w:hAnsiTheme="minorHAnsi" w:cstheme="minorHAnsi"/>
          <w:sz w:val="20"/>
          <w:szCs w:val="20"/>
          <w:lang w:val="en-US"/>
        </w:rPr>
        <w:t>cHL</w:t>
      </w:r>
      <w:proofErr w:type="spellEnd"/>
      <w:r w:rsidR="0062451A" w:rsidRPr="00724BDD">
        <w:rPr>
          <w:rFonts w:asciiTheme="minorHAnsi" w:hAnsiTheme="minorHAnsi" w:cstheme="minorHAnsi"/>
          <w:sz w:val="20"/>
          <w:szCs w:val="20"/>
          <w:lang w:val="en-US"/>
        </w:rPr>
        <w:t xml:space="preserve"> patients (n=6). D</w:t>
      </w:r>
      <w:r w:rsidR="0080434D" w:rsidRPr="00724BDD">
        <w:rPr>
          <w:rFonts w:asciiTheme="minorHAnsi" w:hAnsiTheme="minorHAnsi" w:cstheme="minorHAnsi"/>
          <w:sz w:val="20"/>
          <w:szCs w:val="20"/>
          <w:lang w:val="en-US"/>
        </w:rPr>
        <w:t xml:space="preserve">ata are depicted as violin plots with a thick line at the median and thin lines at the quartiles. Stars indicate the P value of </w:t>
      </w:r>
      <w:r w:rsidR="006F4F79" w:rsidRPr="00724BDD">
        <w:rPr>
          <w:rFonts w:asciiTheme="minorHAnsi" w:hAnsiTheme="minorHAnsi" w:cstheme="minorHAnsi"/>
          <w:sz w:val="20"/>
          <w:szCs w:val="20"/>
          <w:lang w:val="en-US"/>
        </w:rPr>
        <w:t xml:space="preserve">a </w:t>
      </w:r>
      <w:r w:rsidR="0080434D" w:rsidRPr="00724BDD">
        <w:rPr>
          <w:rFonts w:asciiTheme="minorHAnsi" w:hAnsiTheme="minorHAnsi" w:cstheme="minorHAnsi"/>
          <w:sz w:val="20"/>
          <w:szCs w:val="20"/>
          <w:lang w:val="en-US"/>
        </w:rPr>
        <w:t>Mann Whitney test comparing the indicated groups. *: P&lt;0.05; **: P&lt;0.01; ***: P&lt;0.001; ****: P&lt;0.0001</w:t>
      </w:r>
      <w:r w:rsidR="0062451A" w:rsidRPr="00724BDD">
        <w:rPr>
          <w:rFonts w:asciiTheme="minorHAnsi" w:hAnsiTheme="minorHAnsi" w:cstheme="minorHAnsi"/>
          <w:sz w:val="20"/>
          <w:szCs w:val="20"/>
          <w:lang w:val="en-US"/>
        </w:rPr>
        <w:t xml:space="preserve">. </w:t>
      </w:r>
      <w:r w:rsidR="0080434D" w:rsidRPr="00724BDD">
        <w:rPr>
          <w:rFonts w:asciiTheme="minorHAnsi" w:hAnsiTheme="minorHAnsi" w:cstheme="minorHAnsi"/>
          <w:sz w:val="20"/>
          <w:szCs w:val="20"/>
          <w:lang w:val="en-US"/>
        </w:rPr>
        <w:t xml:space="preserve">LIM: limited-stage; </w:t>
      </w:r>
      <w:proofErr w:type="spellStart"/>
      <w:r w:rsidR="006F4F79" w:rsidRPr="00724BDD">
        <w:rPr>
          <w:rFonts w:asciiTheme="minorHAnsi" w:hAnsiTheme="minorHAnsi" w:cstheme="minorHAnsi"/>
          <w:sz w:val="20"/>
          <w:szCs w:val="20"/>
          <w:lang w:val="en-US"/>
        </w:rPr>
        <w:t>cHL</w:t>
      </w:r>
      <w:proofErr w:type="spellEnd"/>
      <w:r w:rsidR="006F4F79" w:rsidRPr="00724BDD">
        <w:rPr>
          <w:rFonts w:asciiTheme="minorHAnsi" w:hAnsiTheme="minorHAnsi" w:cstheme="minorHAnsi"/>
          <w:sz w:val="20"/>
          <w:szCs w:val="20"/>
          <w:lang w:val="en-US"/>
        </w:rPr>
        <w:t xml:space="preserve">: classical Hodgkin lymphoma; </w:t>
      </w:r>
      <w:r w:rsidR="0080434D" w:rsidRPr="00724BDD">
        <w:rPr>
          <w:rFonts w:asciiTheme="minorHAnsi" w:hAnsiTheme="minorHAnsi" w:cstheme="minorHAnsi"/>
          <w:sz w:val="20"/>
          <w:szCs w:val="20"/>
          <w:lang w:val="en-US"/>
        </w:rPr>
        <w:t>ADV: advanced-stage.</w:t>
      </w:r>
      <w:r w:rsidR="005A1F8E" w:rsidRPr="00724BDD">
        <w:rPr>
          <w:rFonts w:asciiTheme="minorHAnsi" w:hAnsiTheme="minorHAnsi" w:cstheme="minorHAnsi"/>
          <w:lang w:val="en-US"/>
        </w:rPr>
        <w:br w:type="page"/>
      </w:r>
    </w:p>
    <w:p w14:paraId="1BE10933" w14:textId="0057625D" w:rsidR="00DE7039" w:rsidRPr="00724BDD" w:rsidRDefault="001D7956" w:rsidP="00B049C3">
      <w:pPr>
        <w:pStyle w:val="Heading1"/>
        <w:rPr>
          <w:rFonts w:asciiTheme="minorHAnsi" w:hAnsiTheme="minorHAnsi" w:cstheme="minorHAnsi"/>
        </w:rPr>
      </w:pPr>
      <w:bookmarkStart w:id="8" w:name="_Toc107775938"/>
      <w:r>
        <w:rPr>
          <w:rFonts w:asciiTheme="minorHAnsi" w:hAnsiTheme="minorHAnsi" w:cstheme="minorHAnsi"/>
        </w:rPr>
        <w:lastRenderedPageBreak/>
        <w:t xml:space="preserve">SDC, </w:t>
      </w:r>
      <w:r w:rsidR="00DE7039" w:rsidRPr="00724BDD">
        <w:rPr>
          <w:rFonts w:asciiTheme="minorHAnsi" w:hAnsiTheme="minorHAnsi" w:cstheme="minorHAnsi"/>
        </w:rPr>
        <w:t>Figure 2</w:t>
      </w:r>
      <w:bookmarkEnd w:id="8"/>
    </w:p>
    <w:p w14:paraId="330E9F77" w14:textId="0B3CA7F5" w:rsidR="00A90A6E" w:rsidRPr="008466EA" w:rsidRDefault="00A90A6E" w:rsidP="008466EA">
      <w:pPr>
        <w:rPr>
          <w:rFonts w:asciiTheme="minorHAnsi" w:hAnsiTheme="minorHAnsi" w:cstheme="minorHAnsi"/>
          <w:b/>
          <w:bCs/>
          <w:lang w:val="en-US"/>
        </w:rPr>
      </w:pPr>
    </w:p>
    <w:p w14:paraId="31041EC6" w14:textId="0D619826" w:rsidR="008466EA" w:rsidRPr="008466EA" w:rsidRDefault="008466EA" w:rsidP="008466EA">
      <w:pPr>
        <w:rPr>
          <w:rFonts w:asciiTheme="minorHAnsi" w:hAnsiTheme="minorHAnsi" w:cstheme="minorHAnsi"/>
          <w:b/>
          <w:bCs/>
          <w:lang w:val="en-US"/>
        </w:rPr>
      </w:pPr>
    </w:p>
    <w:p w14:paraId="351AFDEF" w14:textId="17D89505" w:rsidR="00DE7039" w:rsidRPr="00724BDD" w:rsidRDefault="008466EA" w:rsidP="00DE7039">
      <w:pPr>
        <w:rPr>
          <w:rFonts w:asciiTheme="minorHAnsi" w:hAnsiTheme="minorHAnsi" w:cstheme="minorHAnsi"/>
          <w:lang w:val="en-US"/>
        </w:rPr>
      </w:pPr>
      <w:r>
        <w:rPr>
          <w:rFonts w:asciiTheme="minorHAnsi" w:hAnsiTheme="minorHAnsi" w:cstheme="minorHAnsi"/>
          <w:b/>
          <w:bCs/>
          <w:noProof/>
          <w:sz w:val="20"/>
          <w:szCs w:val="20"/>
          <w:lang w:val="en-US"/>
        </w:rPr>
        <w:drawing>
          <wp:anchor distT="0" distB="0" distL="114300" distR="114300" simplePos="0" relativeHeight="251660288" behindDoc="0" locked="0" layoutInCell="1" allowOverlap="1" wp14:anchorId="6E0467B3" wp14:editId="12E92558">
            <wp:simplePos x="0" y="0"/>
            <wp:positionH relativeFrom="column">
              <wp:posOffset>0</wp:posOffset>
            </wp:positionH>
            <wp:positionV relativeFrom="paragraph">
              <wp:posOffset>0</wp:posOffset>
            </wp:positionV>
            <wp:extent cx="4660900" cy="7670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660900" cy="7670800"/>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001D7956" w:rsidRPr="001D7956">
        <w:rPr>
          <w:rFonts w:asciiTheme="minorHAnsi" w:hAnsiTheme="minorHAnsi" w:cstheme="minorHAnsi"/>
          <w:b/>
          <w:bCs/>
          <w:sz w:val="20"/>
          <w:szCs w:val="20"/>
          <w:lang w:val="en-US"/>
        </w:rPr>
        <w:t>SDC,</w:t>
      </w:r>
      <w:r w:rsidR="00DE7039" w:rsidRPr="00724BDD">
        <w:rPr>
          <w:rFonts w:asciiTheme="minorHAnsi" w:hAnsiTheme="minorHAnsi" w:cstheme="minorHAnsi"/>
          <w:b/>
          <w:bCs/>
          <w:sz w:val="20"/>
          <w:szCs w:val="20"/>
          <w:lang w:val="en-US"/>
        </w:rPr>
        <w:t>Figure</w:t>
      </w:r>
      <w:proofErr w:type="spellEnd"/>
      <w:proofErr w:type="gramEnd"/>
      <w:r w:rsidR="00DE7039" w:rsidRPr="00724BDD">
        <w:rPr>
          <w:rFonts w:asciiTheme="minorHAnsi" w:hAnsiTheme="minorHAnsi" w:cstheme="minorHAnsi"/>
          <w:b/>
          <w:bCs/>
          <w:sz w:val="20"/>
          <w:szCs w:val="20"/>
          <w:lang w:val="en-US"/>
        </w:rPr>
        <w:t xml:space="preserve"> </w:t>
      </w:r>
      <w:r w:rsidR="00E17C3F" w:rsidRPr="00724BDD">
        <w:rPr>
          <w:rFonts w:asciiTheme="minorHAnsi" w:hAnsiTheme="minorHAnsi" w:cstheme="minorHAnsi"/>
          <w:b/>
          <w:bCs/>
          <w:sz w:val="20"/>
          <w:szCs w:val="20"/>
          <w:lang w:val="en-US"/>
        </w:rPr>
        <w:t>2</w:t>
      </w:r>
      <w:r w:rsidR="00DE7039" w:rsidRPr="00724BDD">
        <w:rPr>
          <w:rFonts w:asciiTheme="minorHAnsi" w:hAnsiTheme="minorHAnsi" w:cstheme="minorHAnsi"/>
          <w:b/>
          <w:bCs/>
          <w:sz w:val="20"/>
          <w:szCs w:val="20"/>
          <w:lang w:val="en-US"/>
        </w:rPr>
        <w:t xml:space="preserve">. </w:t>
      </w:r>
      <w:r w:rsidR="00441FC4">
        <w:rPr>
          <w:rFonts w:asciiTheme="minorHAnsi" w:hAnsiTheme="minorHAnsi" w:cstheme="minorHAnsi"/>
          <w:b/>
          <w:bCs/>
          <w:sz w:val="20"/>
          <w:szCs w:val="20"/>
          <w:lang w:val="en-US"/>
        </w:rPr>
        <w:t>Heatmap of disease-related plasma protein biomarkers</w:t>
      </w:r>
      <w:r w:rsidR="00E17C3F" w:rsidRPr="00724BDD">
        <w:rPr>
          <w:rFonts w:asciiTheme="minorHAnsi" w:hAnsiTheme="minorHAnsi" w:cstheme="minorHAnsi"/>
          <w:b/>
          <w:bCs/>
          <w:sz w:val="20"/>
          <w:szCs w:val="20"/>
          <w:lang w:val="en-US"/>
        </w:rPr>
        <w:t>.</w:t>
      </w:r>
      <w:r w:rsidR="00441FC4">
        <w:rPr>
          <w:rFonts w:asciiTheme="minorHAnsi" w:hAnsiTheme="minorHAnsi" w:cstheme="minorHAnsi"/>
          <w:sz w:val="20"/>
          <w:szCs w:val="20"/>
          <w:lang w:val="en-US"/>
        </w:rPr>
        <w:t xml:space="preserve"> The left column shows the results of </w:t>
      </w:r>
      <w:r w:rsidR="005E565D">
        <w:rPr>
          <w:rFonts w:asciiTheme="minorHAnsi" w:hAnsiTheme="minorHAnsi" w:cstheme="minorHAnsi"/>
          <w:sz w:val="20"/>
          <w:szCs w:val="20"/>
          <w:lang w:val="en-US"/>
        </w:rPr>
        <w:t xml:space="preserve">multiple </w:t>
      </w:r>
      <w:r w:rsidR="00D92A4E" w:rsidRPr="00D92A4E">
        <w:rPr>
          <w:rFonts w:asciiTheme="minorHAnsi" w:hAnsiTheme="minorHAnsi" w:cstheme="minorHAnsi"/>
          <w:sz w:val="20"/>
          <w:szCs w:val="20"/>
          <w:lang w:val="en-US"/>
        </w:rPr>
        <w:t>Kruskal-Wallis test</w:t>
      </w:r>
      <w:r w:rsidR="005E565D">
        <w:rPr>
          <w:rFonts w:asciiTheme="minorHAnsi" w:hAnsiTheme="minorHAnsi" w:cstheme="minorHAnsi"/>
          <w:sz w:val="20"/>
          <w:szCs w:val="20"/>
          <w:lang w:val="en-US"/>
        </w:rPr>
        <w:t>s</w:t>
      </w:r>
      <w:r w:rsidR="00D92A4E" w:rsidRPr="00D92A4E">
        <w:rPr>
          <w:rFonts w:asciiTheme="minorHAnsi" w:hAnsiTheme="minorHAnsi" w:cstheme="minorHAnsi"/>
          <w:sz w:val="20"/>
          <w:szCs w:val="20"/>
          <w:lang w:val="en-US"/>
        </w:rPr>
        <w:t xml:space="preserve"> with Dun</w:t>
      </w:r>
      <w:r w:rsidR="00886301">
        <w:rPr>
          <w:rFonts w:asciiTheme="minorHAnsi" w:hAnsiTheme="minorHAnsi" w:cstheme="minorHAnsi"/>
          <w:sz w:val="20"/>
          <w:szCs w:val="20"/>
          <w:lang w:val="en-US"/>
        </w:rPr>
        <w:t>’</w:t>
      </w:r>
      <w:r w:rsidR="00D92A4E" w:rsidRPr="00D92A4E">
        <w:rPr>
          <w:rFonts w:asciiTheme="minorHAnsi" w:hAnsiTheme="minorHAnsi" w:cstheme="minorHAnsi"/>
          <w:sz w:val="20"/>
          <w:szCs w:val="20"/>
          <w:lang w:val="en-US"/>
        </w:rPr>
        <w:t xml:space="preserve">s </w:t>
      </w:r>
      <w:r w:rsidR="00886301" w:rsidRPr="00886301">
        <w:rPr>
          <w:rFonts w:asciiTheme="minorHAnsi" w:hAnsiTheme="minorHAnsi" w:cstheme="minorHAnsi"/>
          <w:i/>
          <w:iCs/>
          <w:sz w:val="20"/>
          <w:szCs w:val="20"/>
          <w:lang w:val="en-US"/>
        </w:rPr>
        <w:t>post</w:t>
      </w:r>
      <w:r w:rsidR="00886301">
        <w:rPr>
          <w:rFonts w:asciiTheme="minorHAnsi" w:hAnsiTheme="minorHAnsi" w:cstheme="minorHAnsi"/>
          <w:i/>
          <w:iCs/>
          <w:sz w:val="20"/>
          <w:szCs w:val="20"/>
          <w:lang w:val="en-US"/>
        </w:rPr>
        <w:t>-</w:t>
      </w:r>
      <w:r w:rsidR="00886301" w:rsidRPr="00886301">
        <w:rPr>
          <w:rFonts w:asciiTheme="minorHAnsi" w:hAnsiTheme="minorHAnsi" w:cstheme="minorHAnsi"/>
          <w:i/>
          <w:iCs/>
          <w:sz w:val="20"/>
          <w:szCs w:val="20"/>
          <w:lang w:val="en-US"/>
        </w:rPr>
        <w:t>hoc</w:t>
      </w:r>
      <w:r w:rsidR="00886301" w:rsidRPr="00D92A4E">
        <w:rPr>
          <w:rFonts w:asciiTheme="minorHAnsi" w:hAnsiTheme="minorHAnsi" w:cstheme="minorHAnsi"/>
          <w:sz w:val="20"/>
          <w:szCs w:val="20"/>
          <w:lang w:val="en-US"/>
        </w:rPr>
        <w:t xml:space="preserve"> </w:t>
      </w:r>
      <w:r w:rsidR="00D92A4E" w:rsidRPr="00D92A4E">
        <w:rPr>
          <w:rFonts w:asciiTheme="minorHAnsi" w:hAnsiTheme="minorHAnsi" w:cstheme="minorHAnsi"/>
          <w:sz w:val="20"/>
          <w:szCs w:val="20"/>
          <w:lang w:val="en-US"/>
        </w:rPr>
        <w:t>test</w:t>
      </w:r>
      <w:r w:rsidR="00440692">
        <w:rPr>
          <w:rFonts w:asciiTheme="minorHAnsi" w:hAnsiTheme="minorHAnsi" w:cstheme="minorHAnsi"/>
          <w:sz w:val="20"/>
          <w:szCs w:val="20"/>
          <w:lang w:val="en-US"/>
        </w:rPr>
        <w:t>. The middle column depicts the median row-normalized n</w:t>
      </w:r>
      <w:r w:rsidR="00440692" w:rsidRPr="00440692">
        <w:rPr>
          <w:rFonts w:asciiTheme="minorHAnsi" w:hAnsiTheme="minorHAnsi" w:cstheme="minorHAnsi"/>
          <w:sz w:val="20"/>
          <w:szCs w:val="20"/>
          <w:lang w:val="en-US"/>
        </w:rPr>
        <w:t xml:space="preserve">ormalized protein expression (NPX) values </w:t>
      </w:r>
      <w:r w:rsidR="00440692">
        <w:rPr>
          <w:rFonts w:asciiTheme="minorHAnsi" w:hAnsiTheme="minorHAnsi" w:cstheme="minorHAnsi"/>
          <w:sz w:val="20"/>
          <w:szCs w:val="20"/>
          <w:lang w:val="en-US"/>
        </w:rPr>
        <w:t xml:space="preserve">of the respective groups. </w:t>
      </w:r>
      <w:r w:rsidR="0002206C">
        <w:rPr>
          <w:rFonts w:asciiTheme="minorHAnsi" w:hAnsiTheme="minorHAnsi" w:cstheme="minorHAnsi"/>
          <w:sz w:val="20"/>
          <w:szCs w:val="20"/>
          <w:lang w:val="en-US"/>
        </w:rPr>
        <w:t xml:space="preserve">The right column shows the individual </w:t>
      </w:r>
      <w:proofErr w:type="gramStart"/>
      <w:r w:rsidR="0002206C">
        <w:rPr>
          <w:rFonts w:asciiTheme="minorHAnsi" w:hAnsiTheme="minorHAnsi" w:cstheme="minorHAnsi"/>
          <w:sz w:val="20"/>
          <w:szCs w:val="20"/>
          <w:lang w:val="en-US"/>
        </w:rPr>
        <w:t>row-normalized</w:t>
      </w:r>
      <w:proofErr w:type="gramEnd"/>
      <w:r w:rsidR="0002206C">
        <w:rPr>
          <w:rFonts w:asciiTheme="minorHAnsi" w:hAnsiTheme="minorHAnsi" w:cstheme="minorHAnsi"/>
          <w:sz w:val="20"/>
          <w:szCs w:val="20"/>
          <w:lang w:val="en-US"/>
        </w:rPr>
        <w:t xml:space="preserve"> </w:t>
      </w:r>
      <w:r w:rsidR="0002206C" w:rsidRPr="00440692">
        <w:rPr>
          <w:rFonts w:asciiTheme="minorHAnsi" w:hAnsiTheme="minorHAnsi" w:cstheme="minorHAnsi"/>
          <w:sz w:val="20"/>
          <w:szCs w:val="20"/>
          <w:lang w:val="en-US"/>
        </w:rPr>
        <w:t xml:space="preserve">NPX values </w:t>
      </w:r>
      <w:r w:rsidR="0002206C">
        <w:rPr>
          <w:rFonts w:asciiTheme="minorHAnsi" w:hAnsiTheme="minorHAnsi" w:cstheme="minorHAnsi"/>
          <w:sz w:val="20"/>
          <w:szCs w:val="20"/>
          <w:lang w:val="en-US"/>
        </w:rPr>
        <w:t>of the healthy individuals and patients clustered by group</w:t>
      </w:r>
      <w:r w:rsidR="00416312">
        <w:rPr>
          <w:rFonts w:asciiTheme="minorHAnsi" w:hAnsiTheme="minorHAnsi" w:cstheme="minorHAnsi"/>
          <w:sz w:val="20"/>
          <w:szCs w:val="20"/>
          <w:lang w:val="en-US"/>
        </w:rPr>
        <w:t xml:space="preserve">. </w:t>
      </w:r>
      <w:r w:rsidR="00083911">
        <w:rPr>
          <w:rFonts w:asciiTheme="minorHAnsi" w:hAnsiTheme="minorHAnsi" w:cstheme="minorHAnsi"/>
          <w:sz w:val="20"/>
          <w:szCs w:val="20"/>
          <w:lang w:val="en-US"/>
        </w:rPr>
        <w:t xml:space="preserve">Since </w:t>
      </w:r>
      <w:r w:rsidR="00E3687B" w:rsidRPr="00E3687B">
        <w:rPr>
          <w:rFonts w:asciiTheme="minorHAnsi" w:hAnsiTheme="minorHAnsi" w:cstheme="minorHAnsi"/>
          <w:bCs/>
          <w:iCs/>
          <w:sz w:val="20"/>
          <w:szCs w:val="20"/>
          <w:lang w:val="en-US"/>
        </w:rPr>
        <w:t xml:space="preserve">MIC-A and MIC-B were </w:t>
      </w:r>
      <w:r w:rsidR="00E3687B">
        <w:rPr>
          <w:rFonts w:asciiTheme="minorHAnsi" w:hAnsiTheme="minorHAnsi" w:cstheme="minorHAnsi"/>
          <w:bCs/>
          <w:iCs/>
          <w:sz w:val="20"/>
          <w:szCs w:val="20"/>
          <w:lang w:val="en-US"/>
        </w:rPr>
        <w:t>measured</w:t>
      </w:r>
      <w:r w:rsidR="00E3687B" w:rsidRPr="00E3687B">
        <w:rPr>
          <w:rFonts w:asciiTheme="minorHAnsi" w:hAnsiTheme="minorHAnsi" w:cstheme="minorHAnsi"/>
          <w:bCs/>
          <w:iCs/>
          <w:sz w:val="20"/>
          <w:szCs w:val="20"/>
          <w:lang w:val="en-US"/>
        </w:rPr>
        <w:t xml:space="preserve"> </w:t>
      </w:r>
      <w:r w:rsidR="00083911">
        <w:rPr>
          <w:rFonts w:asciiTheme="minorHAnsi" w:hAnsiTheme="minorHAnsi" w:cstheme="minorHAnsi"/>
          <w:bCs/>
          <w:iCs/>
          <w:sz w:val="20"/>
          <w:szCs w:val="20"/>
          <w:lang w:val="en-US"/>
        </w:rPr>
        <w:t>with</w:t>
      </w:r>
      <w:r w:rsidR="00E3687B" w:rsidRPr="00E3687B">
        <w:rPr>
          <w:rFonts w:asciiTheme="minorHAnsi" w:hAnsiTheme="minorHAnsi" w:cstheme="minorHAnsi"/>
          <w:bCs/>
          <w:iCs/>
          <w:sz w:val="20"/>
          <w:szCs w:val="20"/>
          <w:lang w:val="en-US"/>
        </w:rPr>
        <w:t xml:space="preserve"> the same probe </w:t>
      </w:r>
      <w:r w:rsidR="00083911">
        <w:rPr>
          <w:rFonts w:asciiTheme="minorHAnsi" w:hAnsiTheme="minorHAnsi" w:cstheme="minorHAnsi"/>
          <w:bCs/>
          <w:iCs/>
          <w:sz w:val="20"/>
          <w:szCs w:val="20"/>
          <w:lang w:val="en-US"/>
        </w:rPr>
        <w:t xml:space="preserve">it was regarded as </w:t>
      </w:r>
      <w:r w:rsidR="00E3687B" w:rsidRPr="00E3687B">
        <w:rPr>
          <w:rFonts w:asciiTheme="minorHAnsi" w:hAnsiTheme="minorHAnsi" w:cstheme="minorHAnsi"/>
          <w:bCs/>
          <w:iCs/>
          <w:sz w:val="20"/>
          <w:szCs w:val="20"/>
          <w:lang w:val="en-US"/>
        </w:rPr>
        <w:t>one unique protein.</w:t>
      </w:r>
      <w:r w:rsidR="00E3687B">
        <w:rPr>
          <w:rFonts w:asciiTheme="minorHAnsi" w:hAnsiTheme="minorHAnsi" w:cstheme="minorHAnsi"/>
          <w:bCs/>
          <w:iCs/>
          <w:sz w:val="20"/>
          <w:szCs w:val="20"/>
          <w:lang w:val="en-US"/>
        </w:rPr>
        <w:t xml:space="preserve"> </w:t>
      </w:r>
      <w:r w:rsidR="00416312">
        <w:rPr>
          <w:rFonts w:asciiTheme="minorHAnsi" w:hAnsiTheme="minorHAnsi" w:cstheme="minorHAnsi"/>
          <w:sz w:val="20"/>
          <w:szCs w:val="20"/>
          <w:lang w:val="en-US"/>
        </w:rPr>
        <w:t xml:space="preserve">ADV </w:t>
      </w:r>
      <w:proofErr w:type="spellStart"/>
      <w:r w:rsidR="00416312">
        <w:rPr>
          <w:rFonts w:asciiTheme="minorHAnsi" w:hAnsiTheme="minorHAnsi" w:cstheme="minorHAnsi"/>
          <w:sz w:val="20"/>
          <w:szCs w:val="20"/>
          <w:lang w:val="en-US"/>
        </w:rPr>
        <w:t>cHL</w:t>
      </w:r>
      <w:proofErr w:type="spellEnd"/>
      <w:r w:rsidR="00416312">
        <w:rPr>
          <w:rFonts w:asciiTheme="minorHAnsi" w:hAnsiTheme="minorHAnsi" w:cstheme="minorHAnsi"/>
          <w:sz w:val="20"/>
          <w:szCs w:val="20"/>
          <w:lang w:val="en-US"/>
        </w:rPr>
        <w:t>: advanced-stage classical Hodgkin lymphoma</w:t>
      </w:r>
      <w:r w:rsidR="00F53326">
        <w:rPr>
          <w:rFonts w:asciiTheme="minorHAnsi" w:hAnsiTheme="minorHAnsi" w:cstheme="minorHAnsi"/>
          <w:sz w:val="20"/>
          <w:szCs w:val="20"/>
          <w:lang w:val="en-US"/>
        </w:rPr>
        <w:t>;</w:t>
      </w:r>
      <w:r w:rsidR="00416312">
        <w:rPr>
          <w:rFonts w:asciiTheme="minorHAnsi" w:hAnsiTheme="minorHAnsi" w:cstheme="minorHAnsi"/>
          <w:sz w:val="20"/>
          <w:szCs w:val="20"/>
          <w:lang w:val="en-US"/>
        </w:rPr>
        <w:t xml:space="preserve"> Healthy: healthy individuals</w:t>
      </w:r>
      <w:r w:rsidR="00F53326">
        <w:rPr>
          <w:rFonts w:asciiTheme="minorHAnsi" w:hAnsiTheme="minorHAnsi" w:cstheme="minorHAnsi"/>
          <w:sz w:val="20"/>
          <w:szCs w:val="20"/>
          <w:lang w:val="en-US"/>
        </w:rPr>
        <w:t>;</w:t>
      </w:r>
      <w:r w:rsidR="00416312">
        <w:rPr>
          <w:rFonts w:asciiTheme="minorHAnsi" w:hAnsiTheme="minorHAnsi" w:cstheme="minorHAnsi"/>
          <w:sz w:val="20"/>
          <w:szCs w:val="20"/>
          <w:lang w:val="en-US"/>
        </w:rPr>
        <w:t xml:space="preserve"> LIM </w:t>
      </w:r>
      <w:proofErr w:type="spellStart"/>
      <w:r w:rsidR="00416312">
        <w:rPr>
          <w:rFonts w:asciiTheme="minorHAnsi" w:hAnsiTheme="minorHAnsi" w:cstheme="minorHAnsi"/>
          <w:sz w:val="20"/>
          <w:szCs w:val="20"/>
          <w:lang w:val="en-US"/>
        </w:rPr>
        <w:t>cHL</w:t>
      </w:r>
      <w:proofErr w:type="spellEnd"/>
      <w:r w:rsidR="00416312">
        <w:rPr>
          <w:rFonts w:asciiTheme="minorHAnsi" w:hAnsiTheme="minorHAnsi" w:cstheme="minorHAnsi"/>
          <w:sz w:val="20"/>
          <w:szCs w:val="20"/>
          <w:lang w:val="en-US"/>
        </w:rPr>
        <w:t>: limited-stage classical Hodgkin lymphoma.</w:t>
      </w:r>
      <w:r w:rsidR="00DE7039" w:rsidRPr="00724BDD">
        <w:rPr>
          <w:rFonts w:asciiTheme="minorHAnsi" w:hAnsiTheme="minorHAnsi" w:cstheme="minorHAnsi"/>
          <w:lang w:val="en-US"/>
        </w:rPr>
        <w:br w:type="page"/>
      </w:r>
    </w:p>
    <w:p w14:paraId="1ABAC077" w14:textId="4BB5BE7D" w:rsidR="005A1F8E" w:rsidRPr="00724BDD" w:rsidRDefault="001D7956" w:rsidP="005A1F8E">
      <w:pPr>
        <w:pStyle w:val="Heading1"/>
        <w:rPr>
          <w:rFonts w:asciiTheme="minorHAnsi" w:hAnsiTheme="minorHAnsi" w:cstheme="minorHAnsi"/>
        </w:rPr>
      </w:pPr>
      <w:bookmarkStart w:id="9" w:name="_Toc107775939"/>
      <w:r>
        <w:rPr>
          <w:rFonts w:asciiTheme="minorHAnsi" w:hAnsiTheme="minorHAnsi" w:cstheme="minorHAnsi"/>
        </w:rPr>
        <w:lastRenderedPageBreak/>
        <w:t xml:space="preserve">SDC, </w:t>
      </w:r>
      <w:r w:rsidR="005A1F8E" w:rsidRPr="00724BDD">
        <w:rPr>
          <w:rFonts w:asciiTheme="minorHAnsi" w:hAnsiTheme="minorHAnsi" w:cstheme="minorHAnsi"/>
        </w:rPr>
        <w:t xml:space="preserve">Figure </w:t>
      </w:r>
      <w:r w:rsidR="00DE7039" w:rsidRPr="00724BDD">
        <w:rPr>
          <w:rFonts w:asciiTheme="minorHAnsi" w:hAnsiTheme="minorHAnsi" w:cstheme="minorHAnsi"/>
        </w:rPr>
        <w:t>3</w:t>
      </w:r>
      <w:bookmarkEnd w:id="9"/>
    </w:p>
    <w:p w14:paraId="097650F4" w14:textId="31716A9B" w:rsidR="005A1F8E" w:rsidRPr="00724BDD" w:rsidRDefault="005A1F8E" w:rsidP="003D4582">
      <w:pPr>
        <w:rPr>
          <w:rFonts w:asciiTheme="minorHAnsi" w:hAnsiTheme="minorHAnsi" w:cstheme="minorHAnsi"/>
          <w:lang w:val="en-US"/>
        </w:rPr>
      </w:pPr>
    </w:p>
    <w:p w14:paraId="1B0C4B34" w14:textId="3622735D" w:rsidR="005A1F8E" w:rsidRPr="00724BDD" w:rsidRDefault="005A1F8E" w:rsidP="003D4582">
      <w:pPr>
        <w:rPr>
          <w:rFonts w:asciiTheme="minorHAnsi" w:hAnsiTheme="minorHAnsi" w:cstheme="minorHAnsi"/>
          <w:lang w:val="en-US"/>
        </w:rPr>
      </w:pPr>
    </w:p>
    <w:p w14:paraId="1C7E217B" w14:textId="464060FA" w:rsidR="00DE7039" w:rsidRPr="00724BDD" w:rsidRDefault="00725E75" w:rsidP="003D4582">
      <w:pPr>
        <w:rPr>
          <w:rFonts w:asciiTheme="minorHAnsi" w:hAnsiTheme="minorHAnsi" w:cstheme="minorHAnsi"/>
          <w:sz w:val="20"/>
          <w:szCs w:val="20"/>
          <w:lang w:val="en-US"/>
        </w:rPr>
      </w:pPr>
      <w:r w:rsidRPr="00724BDD">
        <w:rPr>
          <w:rFonts w:asciiTheme="minorHAnsi" w:hAnsiTheme="minorHAnsi" w:cstheme="minorHAnsi"/>
          <w:b/>
          <w:noProof/>
          <w:lang w:val="en-US"/>
        </w:rPr>
        <w:drawing>
          <wp:anchor distT="0" distB="0" distL="114300" distR="114300" simplePos="0" relativeHeight="251658240" behindDoc="0" locked="0" layoutInCell="1" allowOverlap="1" wp14:anchorId="7DC2D2B7" wp14:editId="264E22CF">
            <wp:simplePos x="0" y="0"/>
            <wp:positionH relativeFrom="column">
              <wp:posOffset>0</wp:posOffset>
            </wp:positionH>
            <wp:positionV relativeFrom="paragraph">
              <wp:posOffset>3175</wp:posOffset>
            </wp:positionV>
            <wp:extent cx="3959860" cy="7552055"/>
            <wp:effectExtent l="0" t="0" r="254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959860" cy="7552055"/>
                    </a:xfrm>
                    <a:prstGeom prst="rect">
                      <a:avLst/>
                    </a:prstGeom>
                  </pic:spPr>
                </pic:pic>
              </a:graphicData>
            </a:graphic>
            <wp14:sizeRelH relativeFrom="page">
              <wp14:pctWidth>0</wp14:pctWidth>
            </wp14:sizeRelH>
            <wp14:sizeRelV relativeFrom="page">
              <wp14:pctHeight>0</wp14:pctHeight>
            </wp14:sizeRelV>
          </wp:anchor>
        </w:drawing>
      </w:r>
      <w:r w:rsidR="001D7956" w:rsidRPr="001D7956">
        <w:rPr>
          <w:rFonts w:asciiTheme="minorHAnsi" w:hAnsiTheme="minorHAnsi" w:cstheme="minorHAnsi"/>
          <w:b/>
          <w:bCs/>
          <w:sz w:val="20"/>
          <w:szCs w:val="20"/>
          <w:lang w:val="en-US"/>
        </w:rPr>
        <w:t xml:space="preserve">SDC, </w:t>
      </w:r>
      <w:r w:rsidR="00F96407" w:rsidRPr="00724BDD">
        <w:rPr>
          <w:rFonts w:asciiTheme="minorHAnsi" w:hAnsiTheme="minorHAnsi" w:cstheme="minorHAnsi"/>
          <w:b/>
          <w:sz w:val="20"/>
          <w:szCs w:val="20"/>
          <w:lang w:val="en-US"/>
        </w:rPr>
        <w:t xml:space="preserve">Figure </w:t>
      </w:r>
      <w:r w:rsidR="00E17C3F" w:rsidRPr="00724BDD">
        <w:rPr>
          <w:rFonts w:asciiTheme="minorHAnsi" w:hAnsiTheme="minorHAnsi" w:cstheme="minorHAnsi"/>
          <w:b/>
          <w:sz w:val="20"/>
          <w:szCs w:val="20"/>
          <w:lang w:val="en-US"/>
        </w:rPr>
        <w:t>3</w:t>
      </w:r>
      <w:r w:rsidR="00F96407" w:rsidRPr="00724BDD">
        <w:rPr>
          <w:rFonts w:asciiTheme="minorHAnsi" w:hAnsiTheme="minorHAnsi" w:cstheme="minorHAnsi"/>
          <w:b/>
          <w:sz w:val="20"/>
          <w:szCs w:val="20"/>
          <w:lang w:val="en-US"/>
        </w:rPr>
        <w:t xml:space="preserve">. Immune profiles of </w:t>
      </w:r>
      <w:proofErr w:type="spellStart"/>
      <w:r w:rsidR="00F96407" w:rsidRPr="00724BDD">
        <w:rPr>
          <w:rFonts w:asciiTheme="minorHAnsi" w:hAnsiTheme="minorHAnsi" w:cstheme="minorHAnsi"/>
          <w:b/>
          <w:sz w:val="20"/>
          <w:szCs w:val="20"/>
          <w:lang w:val="en-US"/>
        </w:rPr>
        <w:t>cHL</w:t>
      </w:r>
      <w:proofErr w:type="spellEnd"/>
      <w:r w:rsidR="00F96407" w:rsidRPr="00724BDD">
        <w:rPr>
          <w:rFonts w:asciiTheme="minorHAnsi" w:hAnsiTheme="minorHAnsi" w:cstheme="minorHAnsi"/>
          <w:b/>
          <w:sz w:val="20"/>
          <w:szCs w:val="20"/>
          <w:lang w:val="en-US"/>
        </w:rPr>
        <w:t xml:space="preserve"> patients with combinations of high ESR and high tumor burden before primary treatment. </w:t>
      </w:r>
      <w:r w:rsidR="00F96407" w:rsidRPr="00724BDD">
        <w:rPr>
          <w:rFonts w:asciiTheme="minorHAnsi" w:hAnsiTheme="minorHAnsi" w:cstheme="minorHAnsi"/>
          <w:sz w:val="20"/>
          <w:szCs w:val="20"/>
          <w:lang w:val="en-US"/>
        </w:rPr>
        <w:t>High erythrocyte sedimentation rate (ESR) was defined as ≥50 mm. High tumor burden (TB) was defined as any of the following: bulky disease, &gt;2 nodal sites and stage IV. Multiple comparisons between patients with A) the combination of low ESR and low TB (n=11) vs. low ESR and high TB (n=18), B) the combination of low ESR and low TB (n=11) vs. high ESR and high TB (n=19), and C) the combination of low ESR and high TB (n=18) vs. high ESR and high TB (n=19). None of the patients had a combination of high ESR and low TB. Data are depicted as volcano plots of multiple Mann-Whitney tests with a P-value threshold of 0.05 and without correction for multiple comparisons. Y-axes depict the negative log10-transformed P values, so dots that are plotted above the horizontal line have a P value that is lower than 0.05. X-axes show the mean rank difference between the two indicated groups. A positive X-value means that the difference is in favor of the latter group in the graph titl</w:t>
      </w:r>
      <w:r w:rsidR="00DE7039" w:rsidRPr="00724BDD">
        <w:rPr>
          <w:rFonts w:asciiTheme="minorHAnsi" w:hAnsiTheme="minorHAnsi" w:cstheme="minorHAnsi"/>
          <w:sz w:val="20"/>
          <w:szCs w:val="20"/>
          <w:lang w:val="en-US"/>
        </w:rPr>
        <w:t>e.</w:t>
      </w:r>
    </w:p>
    <w:p w14:paraId="0560878E" w14:textId="77777777" w:rsidR="00DE7039" w:rsidRPr="00724BDD" w:rsidRDefault="00DE7039" w:rsidP="003D4582">
      <w:pPr>
        <w:rPr>
          <w:rFonts w:asciiTheme="minorHAnsi" w:hAnsiTheme="minorHAnsi" w:cstheme="minorHAnsi"/>
          <w:lang w:val="en-US"/>
        </w:rPr>
      </w:pPr>
    </w:p>
    <w:p w14:paraId="339EF95E" w14:textId="77777777" w:rsidR="00DE7039" w:rsidRPr="00724BDD" w:rsidRDefault="00DE7039">
      <w:pPr>
        <w:rPr>
          <w:rFonts w:asciiTheme="minorHAnsi" w:hAnsiTheme="minorHAnsi" w:cstheme="minorHAnsi"/>
          <w:b/>
          <w:sz w:val="32"/>
          <w:szCs w:val="32"/>
          <w:lang w:val="en-US"/>
        </w:rPr>
      </w:pPr>
      <w:r w:rsidRPr="00724BDD">
        <w:rPr>
          <w:rFonts w:asciiTheme="minorHAnsi" w:hAnsiTheme="minorHAnsi" w:cstheme="minorHAnsi"/>
          <w:lang w:val="en-US"/>
        </w:rPr>
        <w:br w:type="page"/>
      </w:r>
    </w:p>
    <w:p w14:paraId="1558F1D5" w14:textId="09AAF523" w:rsidR="00DE7039" w:rsidRPr="00724BDD" w:rsidRDefault="001D7956" w:rsidP="00DE7039">
      <w:pPr>
        <w:pStyle w:val="Heading1"/>
        <w:rPr>
          <w:rFonts w:asciiTheme="minorHAnsi" w:hAnsiTheme="minorHAnsi" w:cstheme="minorHAnsi"/>
        </w:rPr>
      </w:pPr>
      <w:bookmarkStart w:id="10" w:name="_Toc107775940"/>
      <w:r>
        <w:rPr>
          <w:rFonts w:asciiTheme="minorHAnsi" w:hAnsiTheme="minorHAnsi" w:cstheme="minorHAnsi"/>
        </w:rPr>
        <w:lastRenderedPageBreak/>
        <w:t xml:space="preserve">SDC, </w:t>
      </w:r>
      <w:r w:rsidR="00DE7039" w:rsidRPr="00724BDD">
        <w:rPr>
          <w:rFonts w:asciiTheme="minorHAnsi" w:hAnsiTheme="minorHAnsi" w:cstheme="minorHAnsi"/>
        </w:rPr>
        <w:t>Figure 4</w:t>
      </w:r>
      <w:bookmarkEnd w:id="10"/>
    </w:p>
    <w:p w14:paraId="10424628" w14:textId="77777777" w:rsidR="00DE7039" w:rsidRPr="00724BDD" w:rsidRDefault="00DE7039" w:rsidP="00DE7039">
      <w:pPr>
        <w:rPr>
          <w:rFonts w:asciiTheme="minorHAnsi" w:hAnsiTheme="minorHAnsi" w:cstheme="minorHAnsi"/>
          <w:lang w:val="en-US"/>
        </w:rPr>
      </w:pPr>
    </w:p>
    <w:p w14:paraId="598A34D6" w14:textId="77777777" w:rsidR="00DE7039" w:rsidRPr="00724BDD" w:rsidRDefault="00DE7039" w:rsidP="00DE7039">
      <w:pPr>
        <w:rPr>
          <w:rFonts w:asciiTheme="minorHAnsi" w:hAnsiTheme="minorHAnsi" w:cstheme="minorHAnsi"/>
          <w:lang w:val="en-US"/>
        </w:rPr>
      </w:pPr>
    </w:p>
    <w:p w14:paraId="48DE260C" w14:textId="21D40516" w:rsidR="00DE7039" w:rsidRPr="00724BDD" w:rsidRDefault="00374516" w:rsidP="00DE7039">
      <w:pPr>
        <w:rPr>
          <w:rFonts w:asciiTheme="minorHAnsi" w:hAnsiTheme="minorHAnsi" w:cstheme="minorHAnsi"/>
          <w:lang w:val="en-US"/>
        </w:rPr>
      </w:pPr>
      <w:r>
        <w:rPr>
          <w:rFonts w:asciiTheme="minorHAnsi" w:hAnsiTheme="minorHAnsi" w:cstheme="minorHAnsi"/>
          <w:noProof/>
          <w:lang w:val="en-US"/>
        </w:rPr>
        <w:drawing>
          <wp:anchor distT="0" distB="0" distL="114300" distR="114300" simplePos="0" relativeHeight="251659264" behindDoc="0" locked="0" layoutInCell="1" allowOverlap="1" wp14:anchorId="3E9987BF" wp14:editId="7C3445EF">
            <wp:simplePos x="0" y="0"/>
            <wp:positionH relativeFrom="column">
              <wp:posOffset>0</wp:posOffset>
            </wp:positionH>
            <wp:positionV relativeFrom="paragraph">
              <wp:posOffset>4445</wp:posOffset>
            </wp:positionV>
            <wp:extent cx="4381500" cy="7912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381500" cy="7912100"/>
                    </a:xfrm>
                    <a:prstGeom prst="rect">
                      <a:avLst/>
                    </a:prstGeom>
                  </pic:spPr>
                </pic:pic>
              </a:graphicData>
            </a:graphic>
            <wp14:sizeRelH relativeFrom="page">
              <wp14:pctWidth>0</wp14:pctWidth>
            </wp14:sizeRelH>
            <wp14:sizeRelV relativeFrom="page">
              <wp14:pctHeight>0</wp14:pctHeight>
            </wp14:sizeRelV>
          </wp:anchor>
        </w:drawing>
      </w:r>
      <w:r w:rsidR="001D7956" w:rsidRPr="001D7956">
        <w:rPr>
          <w:rFonts w:asciiTheme="minorHAnsi" w:hAnsiTheme="minorHAnsi" w:cstheme="minorHAnsi"/>
          <w:b/>
          <w:bCs/>
          <w:sz w:val="20"/>
          <w:szCs w:val="20"/>
          <w:lang w:val="en-US"/>
        </w:rPr>
        <w:t xml:space="preserve">SDC, </w:t>
      </w:r>
      <w:r w:rsidR="00DE7039" w:rsidRPr="00724BDD">
        <w:rPr>
          <w:rFonts w:asciiTheme="minorHAnsi" w:hAnsiTheme="minorHAnsi" w:cstheme="minorHAnsi"/>
          <w:b/>
          <w:bCs/>
          <w:sz w:val="20"/>
          <w:szCs w:val="20"/>
          <w:lang w:val="en-US"/>
        </w:rPr>
        <w:t xml:space="preserve">Figure 4. </w:t>
      </w:r>
      <w:r w:rsidR="000E0D98">
        <w:rPr>
          <w:rFonts w:asciiTheme="minorHAnsi" w:hAnsiTheme="minorHAnsi" w:cstheme="minorHAnsi"/>
          <w:b/>
          <w:bCs/>
          <w:sz w:val="20"/>
          <w:szCs w:val="20"/>
          <w:lang w:val="en-US"/>
        </w:rPr>
        <w:t>Heatmap of plasma protein biomarkers</w:t>
      </w:r>
      <w:r w:rsidR="007770E5">
        <w:rPr>
          <w:rFonts w:asciiTheme="minorHAnsi" w:hAnsiTheme="minorHAnsi" w:cstheme="minorHAnsi"/>
          <w:b/>
          <w:bCs/>
          <w:sz w:val="20"/>
          <w:szCs w:val="20"/>
          <w:lang w:val="en-US"/>
        </w:rPr>
        <w:t xml:space="preserve"> that changed after treatment</w:t>
      </w:r>
      <w:r w:rsidR="000E0D98" w:rsidRPr="00724BDD">
        <w:rPr>
          <w:rFonts w:asciiTheme="minorHAnsi" w:hAnsiTheme="minorHAnsi" w:cstheme="minorHAnsi"/>
          <w:b/>
          <w:bCs/>
          <w:sz w:val="20"/>
          <w:szCs w:val="20"/>
          <w:lang w:val="en-US"/>
        </w:rPr>
        <w:t>.</w:t>
      </w:r>
      <w:r w:rsidR="000E0D98">
        <w:rPr>
          <w:rFonts w:asciiTheme="minorHAnsi" w:hAnsiTheme="minorHAnsi" w:cstheme="minorHAnsi"/>
          <w:sz w:val="20"/>
          <w:szCs w:val="20"/>
          <w:lang w:val="en-US"/>
        </w:rPr>
        <w:t xml:space="preserve"> The left column shows the results of multiple </w:t>
      </w:r>
      <w:r w:rsidR="007770E5" w:rsidRPr="007770E5">
        <w:rPr>
          <w:rFonts w:asciiTheme="minorHAnsi" w:hAnsiTheme="minorHAnsi" w:cstheme="minorHAnsi"/>
          <w:sz w:val="20"/>
          <w:szCs w:val="20"/>
          <w:lang w:val="en-US"/>
        </w:rPr>
        <w:t>Wilcoxon signed-rank tests</w:t>
      </w:r>
      <w:r w:rsidR="000E0D98">
        <w:rPr>
          <w:rFonts w:asciiTheme="minorHAnsi" w:hAnsiTheme="minorHAnsi" w:cstheme="minorHAnsi"/>
          <w:sz w:val="20"/>
          <w:szCs w:val="20"/>
          <w:lang w:val="en-US"/>
        </w:rPr>
        <w:t xml:space="preserve">, which are corrected for multiple testing using the </w:t>
      </w:r>
      <w:proofErr w:type="spellStart"/>
      <w:r w:rsidR="000E0D98">
        <w:rPr>
          <w:rFonts w:asciiTheme="minorHAnsi" w:hAnsiTheme="minorHAnsi" w:cstheme="minorHAnsi"/>
          <w:sz w:val="20"/>
          <w:szCs w:val="20"/>
          <w:lang w:val="en-US"/>
        </w:rPr>
        <w:t>Benjamini</w:t>
      </w:r>
      <w:proofErr w:type="spellEnd"/>
      <w:r w:rsidR="000E0D98">
        <w:rPr>
          <w:rFonts w:asciiTheme="minorHAnsi" w:hAnsiTheme="minorHAnsi" w:cstheme="minorHAnsi"/>
          <w:sz w:val="20"/>
          <w:szCs w:val="20"/>
          <w:lang w:val="en-US"/>
        </w:rPr>
        <w:t xml:space="preserve">-Hochberg procedure, between the respective </w:t>
      </w:r>
      <w:r w:rsidR="007770E5">
        <w:rPr>
          <w:rFonts w:asciiTheme="minorHAnsi" w:hAnsiTheme="minorHAnsi" w:cstheme="minorHAnsi"/>
          <w:sz w:val="20"/>
          <w:szCs w:val="20"/>
          <w:lang w:val="en-US"/>
        </w:rPr>
        <w:t>timepoints</w:t>
      </w:r>
      <w:r w:rsidR="000E0D98">
        <w:rPr>
          <w:rFonts w:asciiTheme="minorHAnsi" w:hAnsiTheme="minorHAnsi" w:cstheme="minorHAnsi"/>
          <w:sz w:val="20"/>
          <w:szCs w:val="20"/>
          <w:lang w:val="en-US"/>
        </w:rPr>
        <w:t>. The middle column depicts the median row-normalized n</w:t>
      </w:r>
      <w:r w:rsidR="000E0D98" w:rsidRPr="00440692">
        <w:rPr>
          <w:rFonts w:asciiTheme="minorHAnsi" w:hAnsiTheme="minorHAnsi" w:cstheme="minorHAnsi"/>
          <w:sz w:val="20"/>
          <w:szCs w:val="20"/>
          <w:lang w:val="en-US"/>
        </w:rPr>
        <w:t xml:space="preserve">ormalized protein expression (NPX) values </w:t>
      </w:r>
      <w:r w:rsidR="000E0D98">
        <w:rPr>
          <w:rFonts w:asciiTheme="minorHAnsi" w:hAnsiTheme="minorHAnsi" w:cstheme="minorHAnsi"/>
          <w:sz w:val="20"/>
          <w:szCs w:val="20"/>
          <w:lang w:val="en-US"/>
        </w:rPr>
        <w:t xml:space="preserve">of the </w:t>
      </w:r>
      <w:r w:rsidR="0002206C">
        <w:rPr>
          <w:rFonts w:asciiTheme="minorHAnsi" w:hAnsiTheme="minorHAnsi" w:cstheme="minorHAnsi"/>
          <w:sz w:val="20"/>
          <w:szCs w:val="20"/>
          <w:lang w:val="en-US"/>
        </w:rPr>
        <w:t xml:space="preserve">healthy individuals and the patients at the </w:t>
      </w:r>
      <w:r w:rsidR="000E0D98">
        <w:rPr>
          <w:rFonts w:asciiTheme="minorHAnsi" w:hAnsiTheme="minorHAnsi" w:cstheme="minorHAnsi"/>
          <w:sz w:val="20"/>
          <w:szCs w:val="20"/>
          <w:lang w:val="en-US"/>
        </w:rPr>
        <w:t xml:space="preserve">respective </w:t>
      </w:r>
      <w:r w:rsidR="007770E5">
        <w:rPr>
          <w:rFonts w:asciiTheme="minorHAnsi" w:hAnsiTheme="minorHAnsi" w:cstheme="minorHAnsi"/>
          <w:sz w:val="20"/>
          <w:szCs w:val="20"/>
          <w:lang w:val="en-US"/>
        </w:rPr>
        <w:t>timepoints</w:t>
      </w:r>
      <w:r w:rsidR="000E0D98">
        <w:rPr>
          <w:rFonts w:asciiTheme="minorHAnsi" w:hAnsiTheme="minorHAnsi" w:cstheme="minorHAnsi"/>
          <w:sz w:val="20"/>
          <w:szCs w:val="20"/>
          <w:lang w:val="en-US"/>
        </w:rPr>
        <w:t xml:space="preserve">. The right column shows the </w:t>
      </w:r>
      <w:r w:rsidR="0002206C">
        <w:rPr>
          <w:rFonts w:asciiTheme="minorHAnsi" w:hAnsiTheme="minorHAnsi" w:cstheme="minorHAnsi"/>
          <w:sz w:val="20"/>
          <w:szCs w:val="20"/>
          <w:lang w:val="en-US"/>
        </w:rPr>
        <w:t xml:space="preserve">individual </w:t>
      </w:r>
      <w:proofErr w:type="gramStart"/>
      <w:r w:rsidR="000E0D98">
        <w:rPr>
          <w:rFonts w:asciiTheme="minorHAnsi" w:hAnsiTheme="minorHAnsi" w:cstheme="minorHAnsi"/>
          <w:sz w:val="20"/>
          <w:szCs w:val="20"/>
          <w:lang w:val="en-US"/>
        </w:rPr>
        <w:t>row-normalized</w:t>
      </w:r>
      <w:proofErr w:type="gramEnd"/>
      <w:r w:rsidR="000E0D98">
        <w:rPr>
          <w:rFonts w:asciiTheme="minorHAnsi" w:hAnsiTheme="minorHAnsi" w:cstheme="minorHAnsi"/>
          <w:sz w:val="20"/>
          <w:szCs w:val="20"/>
          <w:lang w:val="en-US"/>
        </w:rPr>
        <w:t xml:space="preserve"> </w:t>
      </w:r>
      <w:r w:rsidR="000E0D98" w:rsidRPr="00440692">
        <w:rPr>
          <w:rFonts w:asciiTheme="minorHAnsi" w:hAnsiTheme="minorHAnsi" w:cstheme="minorHAnsi"/>
          <w:sz w:val="20"/>
          <w:szCs w:val="20"/>
          <w:lang w:val="en-US"/>
        </w:rPr>
        <w:t xml:space="preserve">NPX values </w:t>
      </w:r>
      <w:r w:rsidR="000E0D98">
        <w:rPr>
          <w:rFonts w:asciiTheme="minorHAnsi" w:hAnsiTheme="minorHAnsi" w:cstheme="minorHAnsi"/>
          <w:sz w:val="20"/>
          <w:szCs w:val="20"/>
          <w:lang w:val="en-US"/>
        </w:rPr>
        <w:t xml:space="preserve">of the </w:t>
      </w:r>
      <w:r w:rsidR="0002206C">
        <w:rPr>
          <w:rFonts w:asciiTheme="minorHAnsi" w:hAnsiTheme="minorHAnsi" w:cstheme="minorHAnsi"/>
          <w:sz w:val="20"/>
          <w:szCs w:val="20"/>
          <w:lang w:val="en-US"/>
        </w:rPr>
        <w:t xml:space="preserve">healthy individuals and </w:t>
      </w:r>
      <w:r w:rsidR="000E0D98">
        <w:rPr>
          <w:rFonts w:asciiTheme="minorHAnsi" w:hAnsiTheme="minorHAnsi" w:cstheme="minorHAnsi"/>
          <w:sz w:val="20"/>
          <w:szCs w:val="20"/>
          <w:lang w:val="en-US"/>
        </w:rPr>
        <w:t xml:space="preserve">patients clustered by </w:t>
      </w:r>
      <w:r w:rsidR="0002206C">
        <w:rPr>
          <w:rFonts w:asciiTheme="minorHAnsi" w:hAnsiTheme="minorHAnsi" w:cstheme="minorHAnsi"/>
          <w:sz w:val="20"/>
          <w:szCs w:val="20"/>
          <w:lang w:val="en-US"/>
        </w:rPr>
        <w:t>timepoint</w:t>
      </w:r>
      <w:r w:rsidR="000E0D98">
        <w:rPr>
          <w:rFonts w:asciiTheme="minorHAnsi" w:hAnsiTheme="minorHAnsi" w:cstheme="minorHAnsi"/>
          <w:sz w:val="20"/>
          <w:szCs w:val="20"/>
          <w:lang w:val="en-US"/>
        </w:rPr>
        <w:t xml:space="preserve">. </w:t>
      </w:r>
      <w:r w:rsidR="00083911">
        <w:rPr>
          <w:rFonts w:asciiTheme="minorHAnsi" w:hAnsiTheme="minorHAnsi" w:cstheme="minorHAnsi"/>
          <w:sz w:val="20"/>
          <w:szCs w:val="20"/>
          <w:lang w:val="en-US"/>
        </w:rPr>
        <w:t xml:space="preserve">Since </w:t>
      </w:r>
      <w:r w:rsidR="00083911" w:rsidRPr="00E3687B">
        <w:rPr>
          <w:rFonts w:asciiTheme="minorHAnsi" w:hAnsiTheme="minorHAnsi" w:cstheme="minorHAnsi"/>
          <w:bCs/>
          <w:iCs/>
          <w:sz w:val="20"/>
          <w:szCs w:val="20"/>
          <w:lang w:val="en-US"/>
        </w:rPr>
        <w:t xml:space="preserve">MIC-A and MIC-B were </w:t>
      </w:r>
      <w:r w:rsidR="00083911">
        <w:rPr>
          <w:rFonts w:asciiTheme="minorHAnsi" w:hAnsiTheme="minorHAnsi" w:cstheme="minorHAnsi"/>
          <w:bCs/>
          <w:iCs/>
          <w:sz w:val="20"/>
          <w:szCs w:val="20"/>
          <w:lang w:val="en-US"/>
        </w:rPr>
        <w:t>measured</w:t>
      </w:r>
      <w:r w:rsidR="00083911" w:rsidRPr="00E3687B">
        <w:rPr>
          <w:rFonts w:asciiTheme="minorHAnsi" w:hAnsiTheme="minorHAnsi" w:cstheme="minorHAnsi"/>
          <w:bCs/>
          <w:iCs/>
          <w:sz w:val="20"/>
          <w:szCs w:val="20"/>
          <w:lang w:val="en-US"/>
        </w:rPr>
        <w:t xml:space="preserve"> </w:t>
      </w:r>
      <w:r w:rsidR="00083911">
        <w:rPr>
          <w:rFonts w:asciiTheme="minorHAnsi" w:hAnsiTheme="minorHAnsi" w:cstheme="minorHAnsi"/>
          <w:bCs/>
          <w:iCs/>
          <w:sz w:val="20"/>
          <w:szCs w:val="20"/>
          <w:lang w:val="en-US"/>
        </w:rPr>
        <w:t>with</w:t>
      </w:r>
      <w:r w:rsidR="00083911" w:rsidRPr="00E3687B">
        <w:rPr>
          <w:rFonts w:asciiTheme="minorHAnsi" w:hAnsiTheme="minorHAnsi" w:cstheme="minorHAnsi"/>
          <w:bCs/>
          <w:iCs/>
          <w:sz w:val="20"/>
          <w:szCs w:val="20"/>
          <w:lang w:val="en-US"/>
        </w:rPr>
        <w:t xml:space="preserve"> the same probe </w:t>
      </w:r>
      <w:r w:rsidR="00083911">
        <w:rPr>
          <w:rFonts w:asciiTheme="minorHAnsi" w:hAnsiTheme="minorHAnsi" w:cstheme="minorHAnsi"/>
          <w:bCs/>
          <w:iCs/>
          <w:sz w:val="20"/>
          <w:szCs w:val="20"/>
          <w:lang w:val="en-US"/>
        </w:rPr>
        <w:t xml:space="preserve">it was regarded as </w:t>
      </w:r>
      <w:r w:rsidR="00083911" w:rsidRPr="00E3687B">
        <w:rPr>
          <w:rFonts w:asciiTheme="minorHAnsi" w:hAnsiTheme="minorHAnsi" w:cstheme="minorHAnsi"/>
          <w:bCs/>
          <w:iCs/>
          <w:sz w:val="20"/>
          <w:szCs w:val="20"/>
          <w:lang w:val="en-US"/>
        </w:rPr>
        <w:t>one unique protein.</w:t>
      </w:r>
      <w:r w:rsidR="00083911">
        <w:rPr>
          <w:rFonts w:asciiTheme="minorHAnsi" w:hAnsiTheme="minorHAnsi" w:cstheme="minorHAnsi"/>
          <w:bCs/>
          <w:iCs/>
          <w:sz w:val="20"/>
          <w:szCs w:val="20"/>
          <w:lang w:val="en-US"/>
        </w:rPr>
        <w:t xml:space="preserve"> </w:t>
      </w:r>
      <w:r w:rsidR="0002206C">
        <w:rPr>
          <w:rFonts w:asciiTheme="minorHAnsi" w:hAnsiTheme="minorHAnsi" w:cstheme="minorHAnsi"/>
          <w:sz w:val="20"/>
          <w:szCs w:val="20"/>
          <w:lang w:val="en-US"/>
        </w:rPr>
        <w:t>BL: baseline</w:t>
      </w:r>
      <w:r w:rsidR="00F53326">
        <w:rPr>
          <w:rFonts w:asciiTheme="minorHAnsi" w:hAnsiTheme="minorHAnsi" w:cstheme="minorHAnsi"/>
          <w:sz w:val="20"/>
          <w:szCs w:val="20"/>
          <w:lang w:val="en-US"/>
        </w:rPr>
        <w:t>;</w:t>
      </w:r>
      <w:r w:rsidR="000E0D98">
        <w:rPr>
          <w:rFonts w:asciiTheme="minorHAnsi" w:hAnsiTheme="minorHAnsi" w:cstheme="minorHAnsi"/>
          <w:sz w:val="20"/>
          <w:szCs w:val="20"/>
          <w:lang w:val="en-US"/>
        </w:rPr>
        <w:t xml:space="preserve"> </w:t>
      </w:r>
      <w:proofErr w:type="spellStart"/>
      <w:r w:rsidR="0002206C">
        <w:rPr>
          <w:rFonts w:asciiTheme="minorHAnsi" w:hAnsiTheme="minorHAnsi" w:cstheme="minorHAnsi"/>
          <w:sz w:val="20"/>
          <w:szCs w:val="20"/>
          <w:lang w:val="en-US"/>
        </w:rPr>
        <w:t>EoT</w:t>
      </w:r>
      <w:proofErr w:type="spellEnd"/>
      <w:r w:rsidR="0002206C">
        <w:rPr>
          <w:rFonts w:asciiTheme="minorHAnsi" w:hAnsiTheme="minorHAnsi" w:cstheme="minorHAnsi"/>
          <w:sz w:val="20"/>
          <w:szCs w:val="20"/>
          <w:lang w:val="en-US"/>
        </w:rPr>
        <w:t>: end of treatment</w:t>
      </w:r>
      <w:r w:rsidR="00F53326">
        <w:rPr>
          <w:rFonts w:asciiTheme="minorHAnsi" w:hAnsiTheme="minorHAnsi" w:cstheme="minorHAnsi"/>
          <w:sz w:val="20"/>
          <w:szCs w:val="20"/>
          <w:lang w:val="en-US"/>
        </w:rPr>
        <w:t>;</w:t>
      </w:r>
      <w:r w:rsidR="0002206C">
        <w:rPr>
          <w:rFonts w:asciiTheme="minorHAnsi" w:hAnsiTheme="minorHAnsi" w:cstheme="minorHAnsi"/>
          <w:sz w:val="20"/>
          <w:szCs w:val="20"/>
          <w:lang w:val="en-US"/>
        </w:rPr>
        <w:t xml:space="preserve"> FU: </w:t>
      </w:r>
      <w:r w:rsidR="00AC2329" w:rsidRPr="00AC2329">
        <w:rPr>
          <w:rFonts w:asciiTheme="minorHAnsi" w:hAnsiTheme="minorHAnsi" w:cstheme="minorHAnsi"/>
          <w:sz w:val="20"/>
          <w:szCs w:val="20"/>
          <w:lang w:val="en-US"/>
        </w:rPr>
        <w:t>follow</w:t>
      </w:r>
      <w:r w:rsidR="00044D18">
        <w:rPr>
          <w:rFonts w:asciiTheme="minorHAnsi" w:hAnsiTheme="minorHAnsi" w:cstheme="minorHAnsi"/>
          <w:sz w:val="20"/>
          <w:szCs w:val="20"/>
          <w:lang w:val="en-US"/>
        </w:rPr>
        <w:t xml:space="preserve"> </w:t>
      </w:r>
      <w:r w:rsidR="00AC2329" w:rsidRPr="00AC2329">
        <w:rPr>
          <w:rFonts w:asciiTheme="minorHAnsi" w:hAnsiTheme="minorHAnsi" w:cstheme="minorHAnsi"/>
          <w:sz w:val="20"/>
          <w:szCs w:val="20"/>
          <w:lang w:val="en-US"/>
        </w:rPr>
        <w:t xml:space="preserve">up 6 months after </w:t>
      </w:r>
      <w:proofErr w:type="spellStart"/>
      <w:r w:rsidR="00044D18">
        <w:rPr>
          <w:rFonts w:asciiTheme="minorHAnsi" w:hAnsiTheme="minorHAnsi" w:cstheme="minorHAnsi"/>
          <w:sz w:val="20"/>
          <w:szCs w:val="20"/>
          <w:lang w:val="en-US"/>
        </w:rPr>
        <w:t>EoT</w:t>
      </w:r>
      <w:proofErr w:type="spellEnd"/>
      <w:r w:rsidR="00F53326">
        <w:rPr>
          <w:rFonts w:asciiTheme="minorHAnsi" w:hAnsiTheme="minorHAnsi" w:cstheme="minorHAnsi"/>
          <w:sz w:val="20"/>
          <w:szCs w:val="20"/>
          <w:lang w:val="en-US"/>
        </w:rPr>
        <w:t>;</w:t>
      </w:r>
      <w:r w:rsidR="0002206C">
        <w:rPr>
          <w:rFonts w:asciiTheme="minorHAnsi" w:hAnsiTheme="minorHAnsi" w:cstheme="minorHAnsi"/>
          <w:sz w:val="20"/>
          <w:szCs w:val="20"/>
          <w:lang w:val="en-US"/>
        </w:rPr>
        <w:t xml:space="preserve"> </w:t>
      </w:r>
      <w:r w:rsidR="000E0D98">
        <w:rPr>
          <w:rFonts w:asciiTheme="minorHAnsi" w:hAnsiTheme="minorHAnsi" w:cstheme="minorHAnsi"/>
          <w:sz w:val="20"/>
          <w:szCs w:val="20"/>
          <w:lang w:val="en-US"/>
        </w:rPr>
        <w:t>Healthy</w:t>
      </w:r>
      <w:r w:rsidR="00F53326">
        <w:rPr>
          <w:rFonts w:asciiTheme="minorHAnsi" w:hAnsiTheme="minorHAnsi" w:cstheme="minorHAnsi"/>
          <w:sz w:val="20"/>
          <w:szCs w:val="20"/>
          <w:lang w:val="en-US"/>
        </w:rPr>
        <w:t>:</w:t>
      </w:r>
      <w:r w:rsidR="000E0D98">
        <w:rPr>
          <w:rFonts w:asciiTheme="minorHAnsi" w:hAnsiTheme="minorHAnsi" w:cstheme="minorHAnsi"/>
          <w:sz w:val="20"/>
          <w:szCs w:val="20"/>
          <w:lang w:val="en-US"/>
        </w:rPr>
        <w:t xml:space="preserve"> healthy individuals</w:t>
      </w:r>
      <w:r w:rsidR="00AC2329">
        <w:rPr>
          <w:rFonts w:asciiTheme="minorHAnsi" w:hAnsiTheme="minorHAnsi" w:cstheme="minorHAnsi"/>
          <w:sz w:val="20"/>
          <w:szCs w:val="20"/>
          <w:lang w:val="en-US"/>
        </w:rPr>
        <w:t>.</w:t>
      </w:r>
      <w:r w:rsidR="00DE7039" w:rsidRPr="00724BDD">
        <w:rPr>
          <w:rFonts w:asciiTheme="minorHAnsi" w:hAnsiTheme="minorHAnsi" w:cstheme="minorHAnsi"/>
          <w:lang w:val="en-US"/>
        </w:rPr>
        <w:br w:type="page"/>
      </w:r>
    </w:p>
    <w:p w14:paraId="74D147D6" w14:textId="34278A65" w:rsidR="00DE7039" w:rsidRPr="00724BDD" w:rsidRDefault="001D7956" w:rsidP="00DE7039">
      <w:pPr>
        <w:pStyle w:val="Heading1"/>
        <w:rPr>
          <w:rFonts w:asciiTheme="minorHAnsi" w:hAnsiTheme="minorHAnsi" w:cstheme="minorHAnsi"/>
        </w:rPr>
      </w:pPr>
      <w:bookmarkStart w:id="11" w:name="_Toc107775941"/>
      <w:r>
        <w:rPr>
          <w:rFonts w:asciiTheme="minorHAnsi" w:hAnsiTheme="minorHAnsi" w:cstheme="minorHAnsi"/>
        </w:rPr>
        <w:lastRenderedPageBreak/>
        <w:t xml:space="preserve">SDC, </w:t>
      </w:r>
      <w:r w:rsidR="00DE7039" w:rsidRPr="00724BDD">
        <w:rPr>
          <w:rFonts w:asciiTheme="minorHAnsi" w:hAnsiTheme="minorHAnsi" w:cstheme="minorHAnsi"/>
        </w:rPr>
        <w:t>Figure 5</w:t>
      </w:r>
      <w:bookmarkEnd w:id="11"/>
    </w:p>
    <w:p w14:paraId="1BBDE1E4" w14:textId="77777777" w:rsidR="00DE7039" w:rsidRPr="00724BDD" w:rsidRDefault="00DE7039" w:rsidP="00DE7039">
      <w:pPr>
        <w:rPr>
          <w:rFonts w:asciiTheme="minorHAnsi" w:hAnsiTheme="minorHAnsi" w:cstheme="minorHAnsi"/>
          <w:lang w:val="en-US"/>
        </w:rPr>
      </w:pPr>
    </w:p>
    <w:p w14:paraId="5E8FB920" w14:textId="77777777" w:rsidR="00DE7039" w:rsidRPr="00724BDD" w:rsidRDefault="00DE7039" w:rsidP="00DE7039">
      <w:pPr>
        <w:rPr>
          <w:rFonts w:asciiTheme="minorHAnsi" w:hAnsiTheme="minorHAnsi" w:cstheme="minorHAnsi"/>
          <w:lang w:val="en-US"/>
        </w:rPr>
      </w:pPr>
    </w:p>
    <w:p w14:paraId="4ABDDD89" w14:textId="17E1FEE2" w:rsidR="00DE7039" w:rsidRPr="00724BDD" w:rsidRDefault="003C7B4A" w:rsidP="00DE7039">
      <w:pPr>
        <w:jc w:val="center"/>
        <w:rPr>
          <w:rFonts w:asciiTheme="minorHAnsi" w:hAnsiTheme="minorHAnsi" w:cstheme="minorHAnsi"/>
          <w:lang w:val="en-US"/>
        </w:rPr>
      </w:pPr>
      <w:r>
        <w:rPr>
          <w:rFonts w:asciiTheme="minorHAnsi" w:hAnsiTheme="minorHAnsi" w:cstheme="minorHAnsi"/>
          <w:noProof/>
          <w:lang w:val="en-US"/>
        </w:rPr>
        <w:drawing>
          <wp:inline distT="0" distB="0" distL="0" distR="0" wp14:anchorId="53FBE537" wp14:editId="532A4CEA">
            <wp:extent cx="4320000" cy="26849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a:extLst>
                        <a:ext uri="{28A0092B-C50C-407E-A947-70E740481C1C}">
                          <a14:useLocalDpi xmlns:a14="http://schemas.microsoft.com/office/drawing/2010/main" val="0"/>
                        </a:ext>
                      </a:extLst>
                    </a:blip>
                    <a:srcRect l="18310" t="8028" r="30399" b="69447"/>
                    <a:stretch/>
                  </pic:blipFill>
                  <pic:spPr bwMode="auto">
                    <a:xfrm>
                      <a:off x="0" y="0"/>
                      <a:ext cx="4320000" cy="2684903"/>
                    </a:xfrm>
                    <a:prstGeom prst="rect">
                      <a:avLst/>
                    </a:prstGeom>
                    <a:ln>
                      <a:noFill/>
                    </a:ln>
                    <a:extLst>
                      <a:ext uri="{53640926-AAD7-44D8-BBD7-CCE9431645EC}">
                        <a14:shadowObscured xmlns:a14="http://schemas.microsoft.com/office/drawing/2010/main"/>
                      </a:ext>
                    </a:extLst>
                  </pic:spPr>
                </pic:pic>
              </a:graphicData>
            </a:graphic>
          </wp:inline>
        </w:drawing>
      </w:r>
    </w:p>
    <w:p w14:paraId="06455650" w14:textId="43013ED3" w:rsidR="00F96407" w:rsidRPr="00724BDD" w:rsidRDefault="001D7956" w:rsidP="00C2536E">
      <w:pPr>
        <w:rPr>
          <w:rFonts w:asciiTheme="minorHAnsi" w:hAnsiTheme="minorHAnsi" w:cstheme="minorHAnsi"/>
          <w:lang w:val="en-US"/>
        </w:rPr>
      </w:pPr>
      <w:r w:rsidRPr="001D7956">
        <w:rPr>
          <w:rFonts w:asciiTheme="minorHAnsi" w:hAnsiTheme="minorHAnsi" w:cstheme="minorHAnsi"/>
          <w:b/>
          <w:bCs/>
          <w:sz w:val="20"/>
          <w:szCs w:val="20"/>
        </w:rPr>
        <w:t xml:space="preserve">SDC, </w:t>
      </w:r>
      <w:r w:rsidR="00DE7039" w:rsidRPr="00724BDD">
        <w:rPr>
          <w:rFonts w:asciiTheme="minorHAnsi" w:hAnsiTheme="minorHAnsi" w:cstheme="minorHAnsi"/>
          <w:b/>
          <w:bCs/>
          <w:sz w:val="20"/>
          <w:szCs w:val="20"/>
          <w:lang w:val="en-US"/>
        </w:rPr>
        <w:t xml:space="preserve">Figure </w:t>
      </w:r>
      <w:r w:rsidR="00DE7039" w:rsidRPr="00135594">
        <w:rPr>
          <w:rFonts w:asciiTheme="minorHAnsi" w:hAnsiTheme="minorHAnsi" w:cstheme="minorHAnsi"/>
          <w:b/>
          <w:bCs/>
          <w:sz w:val="20"/>
          <w:szCs w:val="20"/>
          <w:lang w:val="en-US"/>
        </w:rPr>
        <w:t xml:space="preserve">5. </w:t>
      </w:r>
      <w:r w:rsidR="00135594" w:rsidRPr="00135594">
        <w:rPr>
          <w:rFonts w:asciiTheme="minorHAnsi" w:hAnsiTheme="minorHAnsi" w:cstheme="minorHAnsi"/>
          <w:b/>
          <w:bCs/>
          <w:sz w:val="20"/>
          <w:szCs w:val="20"/>
          <w:lang w:val="en-US"/>
        </w:rPr>
        <w:t xml:space="preserve">Heatmap of plasma protein biomarkers that </w:t>
      </w:r>
      <w:r w:rsidR="00850DD6">
        <w:rPr>
          <w:rFonts w:asciiTheme="minorHAnsi" w:hAnsiTheme="minorHAnsi" w:cstheme="minorHAnsi"/>
          <w:b/>
          <w:bCs/>
          <w:sz w:val="20"/>
          <w:szCs w:val="20"/>
          <w:lang w:val="en-US"/>
        </w:rPr>
        <w:t>had</w:t>
      </w:r>
      <w:r w:rsidR="00135594">
        <w:rPr>
          <w:rFonts w:asciiTheme="minorHAnsi" w:hAnsiTheme="minorHAnsi" w:cstheme="minorHAnsi"/>
          <w:b/>
          <w:bCs/>
          <w:sz w:val="20"/>
          <w:szCs w:val="20"/>
          <w:lang w:val="en-US"/>
        </w:rPr>
        <w:t xml:space="preserve"> significantly differ</w:t>
      </w:r>
      <w:r w:rsidR="00850DD6">
        <w:rPr>
          <w:rFonts w:asciiTheme="minorHAnsi" w:hAnsiTheme="minorHAnsi" w:cstheme="minorHAnsi"/>
          <w:b/>
          <w:bCs/>
          <w:sz w:val="20"/>
          <w:szCs w:val="20"/>
          <w:lang w:val="en-US"/>
        </w:rPr>
        <w:t xml:space="preserve">ent levels </w:t>
      </w:r>
      <w:r w:rsidR="00135594">
        <w:rPr>
          <w:rFonts w:asciiTheme="minorHAnsi" w:hAnsiTheme="minorHAnsi" w:cstheme="minorHAnsi"/>
          <w:b/>
          <w:bCs/>
          <w:sz w:val="20"/>
          <w:szCs w:val="20"/>
          <w:lang w:val="en-US"/>
        </w:rPr>
        <w:t>between patients</w:t>
      </w:r>
      <w:r w:rsidR="00135594" w:rsidRPr="00135594">
        <w:rPr>
          <w:rFonts w:asciiTheme="minorHAnsi" w:hAnsiTheme="minorHAnsi" w:cstheme="minorHAnsi"/>
          <w:b/>
          <w:bCs/>
          <w:sz w:val="20"/>
          <w:szCs w:val="20"/>
          <w:lang w:val="en-US"/>
        </w:rPr>
        <w:t xml:space="preserve"> after treatment</w:t>
      </w:r>
      <w:r w:rsidR="00135594">
        <w:rPr>
          <w:rFonts w:asciiTheme="minorHAnsi" w:hAnsiTheme="minorHAnsi" w:cstheme="minorHAnsi"/>
          <w:b/>
          <w:bCs/>
          <w:sz w:val="20"/>
          <w:szCs w:val="20"/>
          <w:lang w:val="en-US"/>
        </w:rPr>
        <w:t xml:space="preserve"> with or without radiotherapy</w:t>
      </w:r>
      <w:r w:rsidR="00135594" w:rsidRPr="00135594">
        <w:rPr>
          <w:rFonts w:asciiTheme="minorHAnsi" w:hAnsiTheme="minorHAnsi" w:cstheme="minorHAnsi"/>
          <w:b/>
          <w:bCs/>
          <w:sz w:val="20"/>
          <w:szCs w:val="20"/>
          <w:lang w:val="en-US"/>
        </w:rPr>
        <w:t>.</w:t>
      </w:r>
      <w:r w:rsidR="00135594" w:rsidRPr="00135594">
        <w:rPr>
          <w:rFonts w:asciiTheme="minorHAnsi" w:hAnsiTheme="minorHAnsi" w:cstheme="minorHAnsi"/>
          <w:sz w:val="20"/>
          <w:szCs w:val="20"/>
          <w:lang w:val="en-US"/>
        </w:rPr>
        <w:t xml:space="preserve"> The left column shows the results of multiple </w:t>
      </w:r>
      <w:r w:rsidR="00850DD6">
        <w:rPr>
          <w:rFonts w:asciiTheme="minorHAnsi" w:hAnsiTheme="minorHAnsi" w:cstheme="minorHAnsi"/>
          <w:sz w:val="20"/>
          <w:szCs w:val="20"/>
          <w:lang w:val="en-US"/>
        </w:rPr>
        <w:t>Mann-Whitney</w:t>
      </w:r>
      <w:r w:rsidR="00135594" w:rsidRPr="00135594">
        <w:rPr>
          <w:rFonts w:asciiTheme="minorHAnsi" w:hAnsiTheme="minorHAnsi" w:cstheme="minorHAnsi"/>
          <w:sz w:val="20"/>
          <w:szCs w:val="20"/>
          <w:lang w:val="en-US"/>
        </w:rPr>
        <w:t xml:space="preserve"> tests, which are corrected for multiple testing using the </w:t>
      </w:r>
      <w:proofErr w:type="spellStart"/>
      <w:r w:rsidR="00135594" w:rsidRPr="00135594">
        <w:rPr>
          <w:rFonts w:asciiTheme="minorHAnsi" w:hAnsiTheme="minorHAnsi" w:cstheme="minorHAnsi"/>
          <w:sz w:val="20"/>
          <w:szCs w:val="20"/>
          <w:lang w:val="en-US"/>
        </w:rPr>
        <w:t>Benjamini</w:t>
      </w:r>
      <w:proofErr w:type="spellEnd"/>
      <w:r w:rsidR="00135594" w:rsidRPr="00135594">
        <w:rPr>
          <w:rFonts w:asciiTheme="minorHAnsi" w:hAnsiTheme="minorHAnsi" w:cstheme="minorHAnsi"/>
          <w:sz w:val="20"/>
          <w:szCs w:val="20"/>
          <w:lang w:val="en-US"/>
        </w:rPr>
        <w:t xml:space="preserve">-Hochberg procedure, between the respective </w:t>
      </w:r>
      <w:r w:rsidR="00850DD6">
        <w:rPr>
          <w:rFonts w:asciiTheme="minorHAnsi" w:hAnsiTheme="minorHAnsi" w:cstheme="minorHAnsi"/>
          <w:sz w:val="20"/>
          <w:szCs w:val="20"/>
          <w:lang w:val="en-US"/>
        </w:rPr>
        <w:t>groups</w:t>
      </w:r>
      <w:r w:rsidR="00135594" w:rsidRPr="00135594">
        <w:rPr>
          <w:rFonts w:asciiTheme="minorHAnsi" w:hAnsiTheme="minorHAnsi" w:cstheme="minorHAnsi"/>
          <w:sz w:val="20"/>
          <w:szCs w:val="20"/>
          <w:lang w:val="en-US"/>
        </w:rPr>
        <w:t xml:space="preserve">. The middle column depicts the median row-normalized normalized protein expression </w:t>
      </w:r>
      <w:r w:rsidR="00850DD6" w:rsidRPr="00440692">
        <w:rPr>
          <w:rFonts w:asciiTheme="minorHAnsi" w:hAnsiTheme="minorHAnsi" w:cstheme="minorHAnsi"/>
          <w:sz w:val="20"/>
          <w:szCs w:val="20"/>
          <w:lang w:val="en-US"/>
        </w:rPr>
        <w:t xml:space="preserve">(NPX) values </w:t>
      </w:r>
      <w:r w:rsidR="00850DD6">
        <w:rPr>
          <w:rFonts w:asciiTheme="minorHAnsi" w:hAnsiTheme="minorHAnsi" w:cstheme="minorHAnsi"/>
          <w:sz w:val="20"/>
          <w:szCs w:val="20"/>
          <w:lang w:val="en-US"/>
        </w:rPr>
        <w:t xml:space="preserve">of the respective groups. The right column shows the individual </w:t>
      </w:r>
      <w:proofErr w:type="gramStart"/>
      <w:r w:rsidR="00850DD6">
        <w:rPr>
          <w:rFonts w:asciiTheme="minorHAnsi" w:hAnsiTheme="minorHAnsi" w:cstheme="minorHAnsi"/>
          <w:sz w:val="20"/>
          <w:szCs w:val="20"/>
          <w:lang w:val="en-US"/>
        </w:rPr>
        <w:t>row-normalized</w:t>
      </w:r>
      <w:proofErr w:type="gramEnd"/>
      <w:r w:rsidR="00850DD6">
        <w:rPr>
          <w:rFonts w:asciiTheme="minorHAnsi" w:hAnsiTheme="minorHAnsi" w:cstheme="minorHAnsi"/>
          <w:sz w:val="20"/>
          <w:szCs w:val="20"/>
          <w:lang w:val="en-US"/>
        </w:rPr>
        <w:t xml:space="preserve"> </w:t>
      </w:r>
      <w:r w:rsidR="00850DD6" w:rsidRPr="00440692">
        <w:rPr>
          <w:rFonts w:asciiTheme="minorHAnsi" w:hAnsiTheme="minorHAnsi" w:cstheme="minorHAnsi"/>
          <w:sz w:val="20"/>
          <w:szCs w:val="20"/>
          <w:lang w:val="en-US"/>
        </w:rPr>
        <w:t xml:space="preserve">NPX values </w:t>
      </w:r>
      <w:r w:rsidR="00850DD6">
        <w:rPr>
          <w:rFonts w:asciiTheme="minorHAnsi" w:hAnsiTheme="minorHAnsi" w:cstheme="minorHAnsi"/>
          <w:sz w:val="20"/>
          <w:szCs w:val="20"/>
          <w:lang w:val="en-US"/>
        </w:rPr>
        <w:t xml:space="preserve">of the patients clustered by group. </w:t>
      </w:r>
      <w:proofErr w:type="spellStart"/>
      <w:r w:rsidR="00135594" w:rsidRPr="00135594">
        <w:rPr>
          <w:rFonts w:asciiTheme="minorHAnsi" w:hAnsiTheme="minorHAnsi" w:cstheme="minorHAnsi"/>
          <w:sz w:val="20"/>
          <w:szCs w:val="20"/>
          <w:lang w:val="en-US"/>
        </w:rPr>
        <w:t>EoT</w:t>
      </w:r>
      <w:proofErr w:type="spellEnd"/>
      <w:r w:rsidR="00135594" w:rsidRPr="00135594">
        <w:rPr>
          <w:rFonts w:asciiTheme="minorHAnsi" w:hAnsiTheme="minorHAnsi" w:cstheme="minorHAnsi"/>
          <w:sz w:val="20"/>
          <w:szCs w:val="20"/>
          <w:lang w:val="en-US"/>
        </w:rPr>
        <w:t>: end of treatment</w:t>
      </w:r>
      <w:r w:rsidR="00F53326">
        <w:rPr>
          <w:rFonts w:asciiTheme="minorHAnsi" w:hAnsiTheme="minorHAnsi" w:cstheme="minorHAnsi"/>
          <w:sz w:val="20"/>
          <w:szCs w:val="20"/>
          <w:lang w:val="en-US"/>
        </w:rPr>
        <w:t>;</w:t>
      </w:r>
      <w:r w:rsidR="00135594" w:rsidRPr="00135594">
        <w:rPr>
          <w:rFonts w:asciiTheme="minorHAnsi" w:hAnsiTheme="minorHAnsi" w:cstheme="minorHAnsi"/>
          <w:sz w:val="20"/>
          <w:szCs w:val="20"/>
          <w:lang w:val="en-US"/>
        </w:rPr>
        <w:t xml:space="preserve"> FU: follow</w:t>
      </w:r>
      <w:r w:rsidR="00044D18">
        <w:rPr>
          <w:rFonts w:asciiTheme="minorHAnsi" w:hAnsiTheme="minorHAnsi" w:cstheme="minorHAnsi"/>
          <w:sz w:val="20"/>
          <w:szCs w:val="20"/>
          <w:lang w:val="en-US"/>
        </w:rPr>
        <w:t xml:space="preserve"> </w:t>
      </w:r>
      <w:r w:rsidR="00135594" w:rsidRPr="00135594">
        <w:rPr>
          <w:rFonts w:asciiTheme="minorHAnsi" w:hAnsiTheme="minorHAnsi" w:cstheme="minorHAnsi"/>
          <w:sz w:val="20"/>
          <w:szCs w:val="20"/>
          <w:lang w:val="en-US"/>
        </w:rPr>
        <w:t xml:space="preserve">up 6 months after </w:t>
      </w:r>
      <w:proofErr w:type="spellStart"/>
      <w:r w:rsidR="00044D18">
        <w:rPr>
          <w:rFonts w:asciiTheme="minorHAnsi" w:hAnsiTheme="minorHAnsi" w:cstheme="minorHAnsi"/>
          <w:sz w:val="20"/>
          <w:szCs w:val="20"/>
          <w:lang w:val="en-US"/>
        </w:rPr>
        <w:t>EoT</w:t>
      </w:r>
      <w:proofErr w:type="spellEnd"/>
      <w:r w:rsidR="00F53326">
        <w:rPr>
          <w:rFonts w:asciiTheme="minorHAnsi" w:hAnsiTheme="minorHAnsi" w:cstheme="minorHAnsi"/>
          <w:sz w:val="20"/>
          <w:szCs w:val="20"/>
          <w:lang w:val="en-US"/>
        </w:rPr>
        <w:t>;</w:t>
      </w:r>
      <w:r w:rsidR="009260F2">
        <w:rPr>
          <w:rFonts w:asciiTheme="minorHAnsi" w:hAnsiTheme="minorHAnsi" w:cstheme="minorHAnsi"/>
          <w:sz w:val="20"/>
          <w:szCs w:val="20"/>
          <w:lang w:val="en-US"/>
        </w:rPr>
        <w:t xml:space="preserve"> RT: radiotherapy.</w:t>
      </w:r>
    </w:p>
    <w:sectPr w:rsidR="00F96407" w:rsidRPr="00724BDD" w:rsidSect="006F3619">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60FE" w14:textId="77777777" w:rsidR="00800667" w:rsidRDefault="00800667" w:rsidP="00F10C55">
      <w:r>
        <w:separator/>
      </w:r>
    </w:p>
  </w:endnote>
  <w:endnote w:type="continuationSeparator" w:id="0">
    <w:p w14:paraId="076AB28C" w14:textId="77777777" w:rsidR="00800667" w:rsidRDefault="00800667" w:rsidP="00F1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9668945"/>
      <w:docPartObj>
        <w:docPartGallery w:val="Page Numbers (Bottom of Page)"/>
        <w:docPartUnique/>
      </w:docPartObj>
    </w:sdtPr>
    <w:sdtEndPr>
      <w:rPr>
        <w:rStyle w:val="PageNumber"/>
      </w:rPr>
    </w:sdtEndPr>
    <w:sdtContent>
      <w:p w14:paraId="6FA0E605" w14:textId="77777777" w:rsidR="00F45A7B" w:rsidRDefault="00F45A7B" w:rsidP="00F45A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A53C90" w14:textId="77777777" w:rsidR="00F45A7B" w:rsidRDefault="00F45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0772457"/>
      <w:docPartObj>
        <w:docPartGallery w:val="Page Numbers (Bottom of Page)"/>
        <w:docPartUnique/>
      </w:docPartObj>
    </w:sdtPr>
    <w:sdtEndPr>
      <w:rPr>
        <w:rStyle w:val="PageNumber"/>
      </w:rPr>
    </w:sdtEndPr>
    <w:sdtContent>
      <w:p w14:paraId="2CE2DF05" w14:textId="77777777" w:rsidR="00F45A7B" w:rsidRDefault="00F45A7B" w:rsidP="00F45A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927E3D" w14:textId="77777777" w:rsidR="00F45A7B" w:rsidRDefault="00F45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1CEB" w14:textId="77777777" w:rsidR="00800667" w:rsidRDefault="00800667" w:rsidP="00F10C55">
      <w:r>
        <w:separator/>
      </w:r>
    </w:p>
  </w:footnote>
  <w:footnote w:type="continuationSeparator" w:id="0">
    <w:p w14:paraId="6A077D22" w14:textId="77777777" w:rsidR="00800667" w:rsidRDefault="00800667" w:rsidP="00F10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zMjEwMTc3tjA2MTJQ0lEKTi0uzszPAykwrAUAjAknEiwAAAA="/>
  </w:docVars>
  <w:rsids>
    <w:rsidRoot w:val="00F10C55"/>
    <w:rsid w:val="0000148C"/>
    <w:rsid w:val="00002AFD"/>
    <w:rsid w:val="000104B6"/>
    <w:rsid w:val="0001274F"/>
    <w:rsid w:val="00017158"/>
    <w:rsid w:val="00020ABD"/>
    <w:rsid w:val="0002206C"/>
    <w:rsid w:val="00035E8A"/>
    <w:rsid w:val="00044D18"/>
    <w:rsid w:val="00045C97"/>
    <w:rsid w:val="00046F9A"/>
    <w:rsid w:val="00054F57"/>
    <w:rsid w:val="00055314"/>
    <w:rsid w:val="00060FCF"/>
    <w:rsid w:val="00062210"/>
    <w:rsid w:val="00065586"/>
    <w:rsid w:val="00073F51"/>
    <w:rsid w:val="00076A03"/>
    <w:rsid w:val="00077EBC"/>
    <w:rsid w:val="00080243"/>
    <w:rsid w:val="00083911"/>
    <w:rsid w:val="000911FB"/>
    <w:rsid w:val="00094C51"/>
    <w:rsid w:val="00096D28"/>
    <w:rsid w:val="000A195E"/>
    <w:rsid w:val="000A4DED"/>
    <w:rsid w:val="000B15A0"/>
    <w:rsid w:val="000B192E"/>
    <w:rsid w:val="000B43A0"/>
    <w:rsid w:val="000C1E60"/>
    <w:rsid w:val="000C2769"/>
    <w:rsid w:val="000C514A"/>
    <w:rsid w:val="000C6457"/>
    <w:rsid w:val="000C73E8"/>
    <w:rsid w:val="000C768C"/>
    <w:rsid w:val="000D11A9"/>
    <w:rsid w:val="000D58FB"/>
    <w:rsid w:val="000E0D98"/>
    <w:rsid w:val="000E6F9A"/>
    <w:rsid w:val="000F2795"/>
    <w:rsid w:val="000F3E3A"/>
    <w:rsid w:val="00100521"/>
    <w:rsid w:val="00101C18"/>
    <w:rsid w:val="00101E6F"/>
    <w:rsid w:val="00102428"/>
    <w:rsid w:val="00104367"/>
    <w:rsid w:val="001053CE"/>
    <w:rsid w:val="00112910"/>
    <w:rsid w:val="0011497A"/>
    <w:rsid w:val="001228AF"/>
    <w:rsid w:val="0012314B"/>
    <w:rsid w:val="00131C4B"/>
    <w:rsid w:val="00135594"/>
    <w:rsid w:val="0014055A"/>
    <w:rsid w:val="00142BED"/>
    <w:rsid w:val="001437B0"/>
    <w:rsid w:val="0014453A"/>
    <w:rsid w:val="00145F79"/>
    <w:rsid w:val="0014756F"/>
    <w:rsid w:val="00147AE2"/>
    <w:rsid w:val="00150A97"/>
    <w:rsid w:val="00150BD5"/>
    <w:rsid w:val="00152B1F"/>
    <w:rsid w:val="001551E2"/>
    <w:rsid w:val="00155251"/>
    <w:rsid w:val="0016093A"/>
    <w:rsid w:val="001638D6"/>
    <w:rsid w:val="00165027"/>
    <w:rsid w:val="00165EF1"/>
    <w:rsid w:val="00171C50"/>
    <w:rsid w:val="00171F5C"/>
    <w:rsid w:val="00176224"/>
    <w:rsid w:val="0018621F"/>
    <w:rsid w:val="00186575"/>
    <w:rsid w:val="0019245A"/>
    <w:rsid w:val="001A372A"/>
    <w:rsid w:val="001A5C30"/>
    <w:rsid w:val="001A6EA0"/>
    <w:rsid w:val="001A6F3C"/>
    <w:rsid w:val="001B3672"/>
    <w:rsid w:val="001B3EA0"/>
    <w:rsid w:val="001B3FE1"/>
    <w:rsid w:val="001B4A61"/>
    <w:rsid w:val="001B6972"/>
    <w:rsid w:val="001B7E24"/>
    <w:rsid w:val="001C0DA4"/>
    <w:rsid w:val="001C4793"/>
    <w:rsid w:val="001C6684"/>
    <w:rsid w:val="001D0115"/>
    <w:rsid w:val="001D3800"/>
    <w:rsid w:val="001D46FE"/>
    <w:rsid w:val="001D7956"/>
    <w:rsid w:val="001E226A"/>
    <w:rsid w:val="001E2DCD"/>
    <w:rsid w:val="001E679E"/>
    <w:rsid w:val="001E6E9A"/>
    <w:rsid w:val="001F1B3F"/>
    <w:rsid w:val="001F2211"/>
    <w:rsid w:val="001F309B"/>
    <w:rsid w:val="001F335C"/>
    <w:rsid w:val="001F3D38"/>
    <w:rsid w:val="001F3F27"/>
    <w:rsid w:val="001F597E"/>
    <w:rsid w:val="001F660C"/>
    <w:rsid w:val="00204B65"/>
    <w:rsid w:val="00204C27"/>
    <w:rsid w:val="00206B6F"/>
    <w:rsid w:val="00211546"/>
    <w:rsid w:val="00213028"/>
    <w:rsid w:val="0022391A"/>
    <w:rsid w:val="00225BFA"/>
    <w:rsid w:val="002264B2"/>
    <w:rsid w:val="002276E4"/>
    <w:rsid w:val="00234B2C"/>
    <w:rsid w:val="00234E73"/>
    <w:rsid w:val="0024588C"/>
    <w:rsid w:val="00251026"/>
    <w:rsid w:val="0025413A"/>
    <w:rsid w:val="00254CDC"/>
    <w:rsid w:val="0025786F"/>
    <w:rsid w:val="00260B07"/>
    <w:rsid w:val="00260B51"/>
    <w:rsid w:val="00261CC7"/>
    <w:rsid w:val="00265B46"/>
    <w:rsid w:val="00270953"/>
    <w:rsid w:val="002726A6"/>
    <w:rsid w:val="002734BB"/>
    <w:rsid w:val="00274252"/>
    <w:rsid w:val="00275117"/>
    <w:rsid w:val="00275EC9"/>
    <w:rsid w:val="0028228A"/>
    <w:rsid w:val="0028294D"/>
    <w:rsid w:val="002852F2"/>
    <w:rsid w:val="0028707D"/>
    <w:rsid w:val="00290F94"/>
    <w:rsid w:val="00291A2E"/>
    <w:rsid w:val="00295924"/>
    <w:rsid w:val="00296790"/>
    <w:rsid w:val="002A2544"/>
    <w:rsid w:val="002B4DD3"/>
    <w:rsid w:val="002B657A"/>
    <w:rsid w:val="002B6F04"/>
    <w:rsid w:val="002C1959"/>
    <w:rsid w:val="002C2476"/>
    <w:rsid w:val="002C3DF1"/>
    <w:rsid w:val="002C53D6"/>
    <w:rsid w:val="002C6D58"/>
    <w:rsid w:val="002C7465"/>
    <w:rsid w:val="002D4912"/>
    <w:rsid w:val="002D782B"/>
    <w:rsid w:val="002E5833"/>
    <w:rsid w:val="002E7793"/>
    <w:rsid w:val="00304AC6"/>
    <w:rsid w:val="0031187D"/>
    <w:rsid w:val="003123AF"/>
    <w:rsid w:val="00312C82"/>
    <w:rsid w:val="00312CAA"/>
    <w:rsid w:val="0031780F"/>
    <w:rsid w:val="00317933"/>
    <w:rsid w:val="003203F3"/>
    <w:rsid w:val="00321BC4"/>
    <w:rsid w:val="00323C30"/>
    <w:rsid w:val="00324E79"/>
    <w:rsid w:val="00326B62"/>
    <w:rsid w:val="00327379"/>
    <w:rsid w:val="00335B10"/>
    <w:rsid w:val="0034104E"/>
    <w:rsid w:val="00341C90"/>
    <w:rsid w:val="00341CA9"/>
    <w:rsid w:val="0034619A"/>
    <w:rsid w:val="003461D1"/>
    <w:rsid w:val="00347D3B"/>
    <w:rsid w:val="003510E5"/>
    <w:rsid w:val="00351783"/>
    <w:rsid w:val="003551D3"/>
    <w:rsid w:val="00355D5B"/>
    <w:rsid w:val="003579F0"/>
    <w:rsid w:val="00374299"/>
    <w:rsid w:val="00374516"/>
    <w:rsid w:val="00375695"/>
    <w:rsid w:val="003769D9"/>
    <w:rsid w:val="0038234E"/>
    <w:rsid w:val="00384ED1"/>
    <w:rsid w:val="00391602"/>
    <w:rsid w:val="003964C5"/>
    <w:rsid w:val="003A381C"/>
    <w:rsid w:val="003B013A"/>
    <w:rsid w:val="003B1059"/>
    <w:rsid w:val="003B36AE"/>
    <w:rsid w:val="003B3A41"/>
    <w:rsid w:val="003B4856"/>
    <w:rsid w:val="003B59C4"/>
    <w:rsid w:val="003C22D1"/>
    <w:rsid w:val="003C2E53"/>
    <w:rsid w:val="003C3B01"/>
    <w:rsid w:val="003C64E4"/>
    <w:rsid w:val="003C7B4A"/>
    <w:rsid w:val="003D0FA8"/>
    <w:rsid w:val="003D10C4"/>
    <w:rsid w:val="003D3F80"/>
    <w:rsid w:val="003D4582"/>
    <w:rsid w:val="003D7D73"/>
    <w:rsid w:val="003E331C"/>
    <w:rsid w:val="003E433A"/>
    <w:rsid w:val="003F1A59"/>
    <w:rsid w:val="003F406D"/>
    <w:rsid w:val="003F5C56"/>
    <w:rsid w:val="003F6EFE"/>
    <w:rsid w:val="004026E0"/>
    <w:rsid w:val="00402F4E"/>
    <w:rsid w:val="004061B6"/>
    <w:rsid w:val="004065E6"/>
    <w:rsid w:val="00406938"/>
    <w:rsid w:val="00406BC0"/>
    <w:rsid w:val="00412581"/>
    <w:rsid w:val="00412D42"/>
    <w:rsid w:val="00412FB1"/>
    <w:rsid w:val="00416312"/>
    <w:rsid w:val="00420754"/>
    <w:rsid w:val="00423BC1"/>
    <w:rsid w:val="00431504"/>
    <w:rsid w:val="00433160"/>
    <w:rsid w:val="004338E9"/>
    <w:rsid w:val="00440692"/>
    <w:rsid w:val="00440929"/>
    <w:rsid w:val="00441C9B"/>
    <w:rsid w:val="00441FC4"/>
    <w:rsid w:val="00443E9A"/>
    <w:rsid w:val="00446454"/>
    <w:rsid w:val="00446C2B"/>
    <w:rsid w:val="004540B0"/>
    <w:rsid w:val="0045735C"/>
    <w:rsid w:val="00461043"/>
    <w:rsid w:val="004630A3"/>
    <w:rsid w:val="00471698"/>
    <w:rsid w:val="00474987"/>
    <w:rsid w:val="0047582A"/>
    <w:rsid w:val="0048091A"/>
    <w:rsid w:val="00480FE4"/>
    <w:rsid w:val="00481CE7"/>
    <w:rsid w:val="004953F6"/>
    <w:rsid w:val="00497F97"/>
    <w:rsid w:val="004A1A39"/>
    <w:rsid w:val="004A223F"/>
    <w:rsid w:val="004B3805"/>
    <w:rsid w:val="004B3AFF"/>
    <w:rsid w:val="004B468F"/>
    <w:rsid w:val="004C0E72"/>
    <w:rsid w:val="004C476C"/>
    <w:rsid w:val="004C7657"/>
    <w:rsid w:val="004D0025"/>
    <w:rsid w:val="004D0315"/>
    <w:rsid w:val="004D74D5"/>
    <w:rsid w:val="004E308E"/>
    <w:rsid w:val="004E5233"/>
    <w:rsid w:val="004E6EF6"/>
    <w:rsid w:val="004E7E88"/>
    <w:rsid w:val="004F147D"/>
    <w:rsid w:val="004F43F4"/>
    <w:rsid w:val="004F6DA5"/>
    <w:rsid w:val="00500A00"/>
    <w:rsid w:val="005011A7"/>
    <w:rsid w:val="00502071"/>
    <w:rsid w:val="005048F7"/>
    <w:rsid w:val="005217DD"/>
    <w:rsid w:val="005269D6"/>
    <w:rsid w:val="00532A9A"/>
    <w:rsid w:val="00533444"/>
    <w:rsid w:val="00534EA5"/>
    <w:rsid w:val="00541FF5"/>
    <w:rsid w:val="00544EB3"/>
    <w:rsid w:val="00546CED"/>
    <w:rsid w:val="00550B22"/>
    <w:rsid w:val="005525D0"/>
    <w:rsid w:val="00555E4A"/>
    <w:rsid w:val="00556F85"/>
    <w:rsid w:val="00560868"/>
    <w:rsid w:val="00564F4C"/>
    <w:rsid w:val="00565779"/>
    <w:rsid w:val="00567B80"/>
    <w:rsid w:val="00570109"/>
    <w:rsid w:val="00571E2D"/>
    <w:rsid w:val="00586EA8"/>
    <w:rsid w:val="00590429"/>
    <w:rsid w:val="00592723"/>
    <w:rsid w:val="00593E7A"/>
    <w:rsid w:val="005A1F8E"/>
    <w:rsid w:val="005B0D96"/>
    <w:rsid w:val="005B34EB"/>
    <w:rsid w:val="005B4101"/>
    <w:rsid w:val="005B4391"/>
    <w:rsid w:val="005B5A20"/>
    <w:rsid w:val="005B5FCA"/>
    <w:rsid w:val="005C1E0C"/>
    <w:rsid w:val="005C4515"/>
    <w:rsid w:val="005C66F5"/>
    <w:rsid w:val="005D6724"/>
    <w:rsid w:val="005E2E58"/>
    <w:rsid w:val="005E565D"/>
    <w:rsid w:val="005F0F94"/>
    <w:rsid w:val="005F56A4"/>
    <w:rsid w:val="0060114E"/>
    <w:rsid w:val="00604A59"/>
    <w:rsid w:val="00606BEC"/>
    <w:rsid w:val="00606CA2"/>
    <w:rsid w:val="00607A4D"/>
    <w:rsid w:val="00611F81"/>
    <w:rsid w:val="00613354"/>
    <w:rsid w:val="00616B3B"/>
    <w:rsid w:val="006170FB"/>
    <w:rsid w:val="00622B23"/>
    <w:rsid w:val="00624060"/>
    <w:rsid w:val="0062451A"/>
    <w:rsid w:val="006246D6"/>
    <w:rsid w:val="00625EA7"/>
    <w:rsid w:val="00632D71"/>
    <w:rsid w:val="006359B5"/>
    <w:rsid w:val="006363AE"/>
    <w:rsid w:val="006379D4"/>
    <w:rsid w:val="00637C72"/>
    <w:rsid w:val="0064720B"/>
    <w:rsid w:val="00647C4E"/>
    <w:rsid w:val="00651BB7"/>
    <w:rsid w:val="00653028"/>
    <w:rsid w:val="006549DC"/>
    <w:rsid w:val="00660748"/>
    <w:rsid w:val="006705A2"/>
    <w:rsid w:val="00673264"/>
    <w:rsid w:val="00681E35"/>
    <w:rsid w:val="00685F99"/>
    <w:rsid w:val="00691189"/>
    <w:rsid w:val="006927C2"/>
    <w:rsid w:val="006A0785"/>
    <w:rsid w:val="006A486F"/>
    <w:rsid w:val="006A5216"/>
    <w:rsid w:val="006B3839"/>
    <w:rsid w:val="006B4B07"/>
    <w:rsid w:val="006B4B0B"/>
    <w:rsid w:val="006C1754"/>
    <w:rsid w:val="006C3226"/>
    <w:rsid w:val="006C4532"/>
    <w:rsid w:val="006C5FEA"/>
    <w:rsid w:val="006C71DD"/>
    <w:rsid w:val="006D7076"/>
    <w:rsid w:val="006E06C4"/>
    <w:rsid w:val="006E57F5"/>
    <w:rsid w:val="006F0807"/>
    <w:rsid w:val="006F3619"/>
    <w:rsid w:val="006F4F79"/>
    <w:rsid w:val="0070041F"/>
    <w:rsid w:val="00700DA2"/>
    <w:rsid w:val="00711327"/>
    <w:rsid w:val="00711C82"/>
    <w:rsid w:val="00713C71"/>
    <w:rsid w:val="007165B6"/>
    <w:rsid w:val="007220CA"/>
    <w:rsid w:val="00722784"/>
    <w:rsid w:val="007235F7"/>
    <w:rsid w:val="00723E5E"/>
    <w:rsid w:val="00724BDD"/>
    <w:rsid w:val="00725000"/>
    <w:rsid w:val="00725E75"/>
    <w:rsid w:val="00731185"/>
    <w:rsid w:val="007321D8"/>
    <w:rsid w:val="00732820"/>
    <w:rsid w:val="00735C49"/>
    <w:rsid w:val="00744C1B"/>
    <w:rsid w:val="007466AF"/>
    <w:rsid w:val="00747AF7"/>
    <w:rsid w:val="0075447A"/>
    <w:rsid w:val="00756C3E"/>
    <w:rsid w:val="0076172D"/>
    <w:rsid w:val="0076384E"/>
    <w:rsid w:val="00771DF0"/>
    <w:rsid w:val="00777031"/>
    <w:rsid w:val="007770E5"/>
    <w:rsid w:val="00777FA6"/>
    <w:rsid w:val="00786C21"/>
    <w:rsid w:val="00786E9C"/>
    <w:rsid w:val="0078720A"/>
    <w:rsid w:val="00790D73"/>
    <w:rsid w:val="00792BB4"/>
    <w:rsid w:val="007939C7"/>
    <w:rsid w:val="00793A31"/>
    <w:rsid w:val="00795875"/>
    <w:rsid w:val="007967BB"/>
    <w:rsid w:val="00797C70"/>
    <w:rsid w:val="007A2E7B"/>
    <w:rsid w:val="007A44CB"/>
    <w:rsid w:val="007A5A7B"/>
    <w:rsid w:val="007B3AA9"/>
    <w:rsid w:val="007B68E4"/>
    <w:rsid w:val="007C3095"/>
    <w:rsid w:val="007C30F0"/>
    <w:rsid w:val="007D07D4"/>
    <w:rsid w:val="007D2A27"/>
    <w:rsid w:val="007D316B"/>
    <w:rsid w:val="007D5FAA"/>
    <w:rsid w:val="007E0D13"/>
    <w:rsid w:val="007E2783"/>
    <w:rsid w:val="007E27DE"/>
    <w:rsid w:val="007E755F"/>
    <w:rsid w:val="00800667"/>
    <w:rsid w:val="0080107A"/>
    <w:rsid w:val="00801868"/>
    <w:rsid w:val="00802446"/>
    <w:rsid w:val="0080434D"/>
    <w:rsid w:val="008046E6"/>
    <w:rsid w:val="008056CB"/>
    <w:rsid w:val="0080579B"/>
    <w:rsid w:val="00805A63"/>
    <w:rsid w:val="00805E31"/>
    <w:rsid w:val="00806598"/>
    <w:rsid w:val="008104A7"/>
    <w:rsid w:val="00816A64"/>
    <w:rsid w:val="00817DD8"/>
    <w:rsid w:val="008227CC"/>
    <w:rsid w:val="0082480A"/>
    <w:rsid w:val="00825AB6"/>
    <w:rsid w:val="00827346"/>
    <w:rsid w:val="0084070F"/>
    <w:rsid w:val="00844E60"/>
    <w:rsid w:val="008466EA"/>
    <w:rsid w:val="00846A86"/>
    <w:rsid w:val="00846F8C"/>
    <w:rsid w:val="008471F6"/>
    <w:rsid w:val="00850297"/>
    <w:rsid w:val="00850DD6"/>
    <w:rsid w:val="00854386"/>
    <w:rsid w:val="0086015A"/>
    <w:rsid w:val="008620A7"/>
    <w:rsid w:val="00863B7A"/>
    <w:rsid w:val="00865BA7"/>
    <w:rsid w:val="00867D04"/>
    <w:rsid w:val="00874853"/>
    <w:rsid w:val="00883104"/>
    <w:rsid w:val="0088439C"/>
    <w:rsid w:val="008861A3"/>
    <w:rsid w:val="00886301"/>
    <w:rsid w:val="0089155F"/>
    <w:rsid w:val="008936BF"/>
    <w:rsid w:val="00897D5B"/>
    <w:rsid w:val="008A11FC"/>
    <w:rsid w:val="008A3641"/>
    <w:rsid w:val="008A5873"/>
    <w:rsid w:val="008B0A4A"/>
    <w:rsid w:val="008B2D10"/>
    <w:rsid w:val="008B5A23"/>
    <w:rsid w:val="008B76BD"/>
    <w:rsid w:val="008B79E4"/>
    <w:rsid w:val="008B7A9E"/>
    <w:rsid w:val="008C24EA"/>
    <w:rsid w:val="008C2F0F"/>
    <w:rsid w:val="008C6A10"/>
    <w:rsid w:val="008D2073"/>
    <w:rsid w:val="008E13BB"/>
    <w:rsid w:val="008E1427"/>
    <w:rsid w:val="008E5109"/>
    <w:rsid w:val="008F08CD"/>
    <w:rsid w:val="008F0C3B"/>
    <w:rsid w:val="008F18B8"/>
    <w:rsid w:val="008F340D"/>
    <w:rsid w:val="008F4EF9"/>
    <w:rsid w:val="008F68D1"/>
    <w:rsid w:val="008F7684"/>
    <w:rsid w:val="00904B89"/>
    <w:rsid w:val="00906D0E"/>
    <w:rsid w:val="009135B8"/>
    <w:rsid w:val="00913DF7"/>
    <w:rsid w:val="00916195"/>
    <w:rsid w:val="009260F2"/>
    <w:rsid w:val="00926393"/>
    <w:rsid w:val="0092761F"/>
    <w:rsid w:val="0093432C"/>
    <w:rsid w:val="009375B3"/>
    <w:rsid w:val="009401B0"/>
    <w:rsid w:val="00940E8D"/>
    <w:rsid w:val="009435E5"/>
    <w:rsid w:val="00944FDF"/>
    <w:rsid w:val="00945B37"/>
    <w:rsid w:val="00945B95"/>
    <w:rsid w:val="00947B28"/>
    <w:rsid w:val="00950FC3"/>
    <w:rsid w:val="00961945"/>
    <w:rsid w:val="009621AF"/>
    <w:rsid w:val="00963230"/>
    <w:rsid w:val="00964B9B"/>
    <w:rsid w:val="00965E64"/>
    <w:rsid w:val="00966758"/>
    <w:rsid w:val="00972E07"/>
    <w:rsid w:val="00976228"/>
    <w:rsid w:val="00976238"/>
    <w:rsid w:val="00984F9B"/>
    <w:rsid w:val="009A1737"/>
    <w:rsid w:val="009A3C18"/>
    <w:rsid w:val="009A40BD"/>
    <w:rsid w:val="009A46CA"/>
    <w:rsid w:val="009A611F"/>
    <w:rsid w:val="009A65DA"/>
    <w:rsid w:val="009A6668"/>
    <w:rsid w:val="009B0220"/>
    <w:rsid w:val="009B4FDA"/>
    <w:rsid w:val="009C02BF"/>
    <w:rsid w:val="009C06B3"/>
    <w:rsid w:val="009C687C"/>
    <w:rsid w:val="009C7F72"/>
    <w:rsid w:val="009D0C25"/>
    <w:rsid w:val="009D2DD1"/>
    <w:rsid w:val="009D6A69"/>
    <w:rsid w:val="009E17AB"/>
    <w:rsid w:val="009E18DD"/>
    <w:rsid w:val="009E4E9D"/>
    <w:rsid w:val="009F02AF"/>
    <w:rsid w:val="009F4CCF"/>
    <w:rsid w:val="009F669E"/>
    <w:rsid w:val="00A00C09"/>
    <w:rsid w:val="00A01A7F"/>
    <w:rsid w:val="00A0396D"/>
    <w:rsid w:val="00A045B5"/>
    <w:rsid w:val="00A05972"/>
    <w:rsid w:val="00A10F8E"/>
    <w:rsid w:val="00A13461"/>
    <w:rsid w:val="00A14698"/>
    <w:rsid w:val="00A3028B"/>
    <w:rsid w:val="00A30AFA"/>
    <w:rsid w:val="00A31CC3"/>
    <w:rsid w:val="00A3534E"/>
    <w:rsid w:val="00A37180"/>
    <w:rsid w:val="00A54C7A"/>
    <w:rsid w:val="00A56167"/>
    <w:rsid w:val="00A6030C"/>
    <w:rsid w:val="00A65E5C"/>
    <w:rsid w:val="00A662AA"/>
    <w:rsid w:val="00A70373"/>
    <w:rsid w:val="00A70DF6"/>
    <w:rsid w:val="00A716CB"/>
    <w:rsid w:val="00A725F3"/>
    <w:rsid w:val="00A74DED"/>
    <w:rsid w:val="00A7540E"/>
    <w:rsid w:val="00A8297E"/>
    <w:rsid w:val="00A87B70"/>
    <w:rsid w:val="00A90A6E"/>
    <w:rsid w:val="00A945CC"/>
    <w:rsid w:val="00AA1DA9"/>
    <w:rsid w:val="00AA3F89"/>
    <w:rsid w:val="00AB2F5E"/>
    <w:rsid w:val="00AB3FF5"/>
    <w:rsid w:val="00AB6832"/>
    <w:rsid w:val="00AC2329"/>
    <w:rsid w:val="00AC611F"/>
    <w:rsid w:val="00AC6792"/>
    <w:rsid w:val="00AC71B2"/>
    <w:rsid w:val="00AD10EE"/>
    <w:rsid w:val="00AD1EE0"/>
    <w:rsid w:val="00AD30A1"/>
    <w:rsid w:val="00AD3795"/>
    <w:rsid w:val="00AD58D3"/>
    <w:rsid w:val="00AD6B34"/>
    <w:rsid w:val="00AD6C97"/>
    <w:rsid w:val="00AE0A76"/>
    <w:rsid w:val="00AE41BB"/>
    <w:rsid w:val="00AF1BE5"/>
    <w:rsid w:val="00AF536F"/>
    <w:rsid w:val="00AF60B9"/>
    <w:rsid w:val="00AF631C"/>
    <w:rsid w:val="00B00B63"/>
    <w:rsid w:val="00B0134E"/>
    <w:rsid w:val="00B0343F"/>
    <w:rsid w:val="00B049C3"/>
    <w:rsid w:val="00B074B2"/>
    <w:rsid w:val="00B1433D"/>
    <w:rsid w:val="00B150B2"/>
    <w:rsid w:val="00B1587B"/>
    <w:rsid w:val="00B20F40"/>
    <w:rsid w:val="00B23C55"/>
    <w:rsid w:val="00B23CDC"/>
    <w:rsid w:val="00B248E9"/>
    <w:rsid w:val="00B257A7"/>
    <w:rsid w:val="00B279C7"/>
    <w:rsid w:val="00B31A44"/>
    <w:rsid w:val="00B32DAD"/>
    <w:rsid w:val="00B36505"/>
    <w:rsid w:val="00B404CD"/>
    <w:rsid w:val="00B409B4"/>
    <w:rsid w:val="00B4516C"/>
    <w:rsid w:val="00B52896"/>
    <w:rsid w:val="00B547BB"/>
    <w:rsid w:val="00B643D4"/>
    <w:rsid w:val="00B70BFB"/>
    <w:rsid w:val="00B731EB"/>
    <w:rsid w:val="00B73D17"/>
    <w:rsid w:val="00B810AA"/>
    <w:rsid w:val="00B81BA9"/>
    <w:rsid w:val="00B878A4"/>
    <w:rsid w:val="00B91705"/>
    <w:rsid w:val="00B918F2"/>
    <w:rsid w:val="00B91ED5"/>
    <w:rsid w:val="00B9343C"/>
    <w:rsid w:val="00B952AD"/>
    <w:rsid w:val="00B96EBF"/>
    <w:rsid w:val="00BA4F17"/>
    <w:rsid w:val="00BA51C5"/>
    <w:rsid w:val="00BA59DA"/>
    <w:rsid w:val="00BA64D9"/>
    <w:rsid w:val="00BA7A30"/>
    <w:rsid w:val="00BA7CBB"/>
    <w:rsid w:val="00BB12A9"/>
    <w:rsid w:val="00BB254F"/>
    <w:rsid w:val="00BB3048"/>
    <w:rsid w:val="00BB316C"/>
    <w:rsid w:val="00BB3A2C"/>
    <w:rsid w:val="00BB42BB"/>
    <w:rsid w:val="00BB45C1"/>
    <w:rsid w:val="00BB59B9"/>
    <w:rsid w:val="00BB6B2D"/>
    <w:rsid w:val="00BC1EA2"/>
    <w:rsid w:val="00BC25F6"/>
    <w:rsid w:val="00BC2BD4"/>
    <w:rsid w:val="00BC3D60"/>
    <w:rsid w:val="00BC4560"/>
    <w:rsid w:val="00BD1ECD"/>
    <w:rsid w:val="00BD3D9F"/>
    <w:rsid w:val="00BD44C8"/>
    <w:rsid w:val="00BD4DF8"/>
    <w:rsid w:val="00BD6C45"/>
    <w:rsid w:val="00BE1E31"/>
    <w:rsid w:val="00BE337F"/>
    <w:rsid w:val="00BE495F"/>
    <w:rsid w:val="00BE542B"/>
    <w:rsid w:val="00BF3281"/>
    <w:rsid w:val="00BF3443"/>
    <w:rsid w:val="00BF3F83"/>
    <w:rsid w:val="00BF428B"/>
    <w:rsid w:val="00BF48A4"/>
    <w:rsid w:val="00C0202F"/>
    <w:rsid w:val="00C04EF8"/>
    <w:rsid w:val="00C103BC"/>
    <w:rsid w:val="00C10987"/>
    <w:rsid w:val="00C1280B"/>
    <w:rsid w:val="00C14319"/>
    <w:rsid w:val="00C14372"/>
    <w:rsid w:val="00C17982"/>
    <w:rsid w:val="00C201C6"/>
    <w:rsid w:val="00C21BFA"/>
    <w:rsid w:val="00C2446A"/>
    <w:rsid w:val="00C24899"/>
    <w:rsid w:val="00C2536E"/>
    <w:rsid w:val="00C3417E"/>
    <w:rsid w:val="00C34303"/>
    <w:rsid w:val="00C3648F"/>
    <w:rsid w:val="00C366F6"/>
    <w:rsid w:val="00C36DD9"/>
    <w:rsid w:val="00C4351D"/>
    <w:rsid w:val="00C44192"/>
    <w:rsid w:val="00C454FE"/>
    <w:rsid w:val="00C46383"/>
    <w:rsid w:val="00C46D48"/>
    <w:rsid w:val="00C476C6"/>
    <w:rsid w:val="00C52C12"/>
    <w:rsid w:val="00C5439A"/>
    <w:rsid w:val="00C55B54"/>
    <w:rsid w:val="00C55CFE"/>
    <w:rsid w:val="00C56210"/>
    <w:rsid w:val="00C5690A"/>
    <w:rsid w:val="00C72FB6"/>
    <w:rsid w:val="00C74376"/>
    <w:rsid w:val="00C74F03"/>
    <w:rsid w:val="00C75424"/>
    <w:rsid w:val="00C8032F"/>
    <w:rsid w:val="00C808CA"/>
    <w:rsid w:val="00C8394B"/>
    <w:rsid w:val="00C85863"/>
    <w:rsid w:val="00CA39B1"/>
    <w:rsid w:val="00CA56E9"/>
    <w:rsid w:val="00CB0AB6"/>
    <w:rsid w:val="00CB1293"/>
    <w:rsid w:val="00CB2C83"/>
    <w:rsid w:val="00CB2F12"/>
    <w:rsid w:val="00CB3303"/>
    <w:rsid w:val="00CB5A9D"/>
    <w:rsid w:val="00CC08FE"/>
    <w:rsid w:val="00CC0F37"/>
    <w:rsid w:val="00CC169B"/>
    <w:rsid w:val="00CC4DCB"/>
    <w:rsid w:val="00CC6012"/>
    <w:rsid w:val="00CD1BF8"/>
    <w:rsid w:val="00CD5F50"/>
    <w:rsid w:val="00CD61F9"/>
    <w:rsid w:val="00CE24CF"/>
    <w:rsid w:val="00CE4538"/>
    <w:rsid w:val="00CE7D4A"/>
    <w:rsid w:val="00CF6936"/>
    <w:rsid w:val="00D04FD0"/>
    <w:rsid w:val="00D11251"/>
    <w:rsid w:val="00D20EC4"/>
    <w:rsid w:val="00D25A39"/>
    <w:rsid w:val="00D25B6F"/>
    <w:rsid w:val="00D25E26"/>
    <w:rsid w:val="00D26191"/>
    <w:rsid w:val="00D31AFF"/>
    <w:rsid w:val="00D330D2"/>
    <w:rsid w:val="00D35714"/>
    <w:rsid w:val="00D43CB1"/>
    <w:rsid w:val="00D43EC4"/>
    <w:rsid w:val="00D45D5A"/>
    <w:rsid w:val="00D45E22"/>
    <w:rsid w:val="00D50E11"/>
    <w:rsid w:val="00D52638"/>
    <w:rsid w:val="00D53C4B"/>
    <w:rsid w:val="00D53E57"/>
    <w:rsid w:val="00D5440E"/>
    <w:rsid w:val="00D54B8A"/>
    <w:rsid w:val="00D54D93"/>
    <w:rsid w:val="00D62AF6"/>
    <w:rsid w:val="00D65496"/>
    <w:rsid w:val="00D73360"/>
    <w:rsid w:val="00D7514A"/>
    <w:rsid w:val="00D76799"/>
    <w:rsid w:val="00D81CC0"/>
    <w:rsid w:val="00D824F6"/>
    <w:rsid w:val="00D84E93"/>
    <w:rsid w:val="00D91A47"/>
    <w:rsid w:val="00D92A4E"/>
    <w:rsid w:val="00D97607"/>
    <w:rsid w:val="00DA5FC5"/>
    <w:rsid w:val="00DB5854"/>
    <w:rsid w:val="00DB6534"/>
    <w:rsid w:val="00DC0461"/>
    <w:rsid w:val="00DC53A6"/>
    <w:rsid w:val="00DC562D"/>
    <w:rsid w:val="00DC5E8C"/>
    <w:rsid w:val="00DD00B9"/>
    <w:rsid w:val="00DD0922"/>
    <w:rsid w:val="00DD34C9"/>
    <w:rsid w:val="00DD5355"/>
    <w:rsid w:val="00DD64EF"/>
    <w:rsid w:val="00DE0467"/>
    <w:rsid w:val="00DE0FBF"/>
    <w:rsid w:val="00DE22B1"/>
    <w:rsid w:val="00DE590F"/>
    <w:rsid w:val="00DE7039"/>
    <w:rsid w:val="00DF01FD"/>
    <w:rsid w:val="00DF38E9"/>
    <w:rsid w:val="00DF469F"/>
    <w:rsid w:val="00E022C6"/>
    <w:rsid w:val="00E028CC"/>
    <w:rsid w:val="00E13CC0"/>
    <w:rsid w:val="00E16739"/>
    <w:rsid w:val="00E17433"/>
    <w:rsid w:val="00E17C3F"/>
    <w:rsid w:val="00E304BC"/>
    <w:rsid w:val="00E30D04"/>
    <w:rsid w:val="00E3599B"/>
    <w:rsid w:val="00E3687B"/>
    <w:rsid w:val="00E36DD3"/>
    <w:rsid w:val="00E42901"/>
    <w:rsid w:val="00E447CA"/>
    <w:rsid w:val="00E51A48"/>
    <w:rsid w:val="00E53FC7"/>
    <w:rsid w:val="00E5528A"/>
    <w:rsid w:val="00E55DAF"/>
    <w:rsid w:val="00E56397"/>
    <w:rsid w:val="00E56B0C"/>
    <w:rsid w:val="00E5711D"/>
    <w:rsid w:val="00E63C63"/>
    <w:rsid w:val="00E63E40"/>
    <w:rsid w:val="00E67A54"/>
    <w:rsid w:val="00E7055B"/>
    <w:rsid w:val="00E714A9"/>
    <w:rsid w:val="00E722E2"/>
    <w:rsid w:val="00E7577B"/>
    <w:rsid w:val="00E76171"/>
    <w:rsid w:val="00E77EDF"/>
    <w:rsid w:val="00E85EC8"/>
    <w:rsid w:val="00E871AA"/>
    <w:rsid w:val="00E87F5D"/>
    <w:rsid w:val="00E91A01"/>
    <w:rsid w:val="00E91E12"/>
    <w:rsid w:val="00E93F9A"/>
    <w:rsid w:val="00E94F11"/>
    <w:rsid w:val="00EA1789"/>
    <w:rsid w:val="00EA250B"/>
    <w:rsid w:val="00EA489F"/>
    <w:rsid w:val="00EA76DE"/>
    <w:rsid w:val="00EA778D"/>
    <w:rsid w:val="00EB0E68"/>
    <w:rsid w:val="00EB33AD"/>
    <w:rsid w:val="00ED2488"/>
    <w:rsid w:val="00ED3148"/>
    <w:rsid w:val="00ED36A6"/>
    <w:rsid w:val="00ED43F5"/>
    <w:rsid w:val="00EE684B"/>
    <w:rsid w:val="00EF071C"/>
    <w:rsid w:val="00EF455A"/>
    <w:rsid w:val="00EF7F10"/>
    <w:rsid w:val="00F0021D"/>
    <w:rsid w:val="00F02561"/>
    <w:rsid w:val="00F054B4"/>
    <w:rsid w:val="00F10C55"/>
    <w:rsid w:val="00F12326"/>
    <w:rsid w:val="00F12880"/>
    <w:rsid w:val="00F1299E"/>
    <w:rsid w:val="00F12A43"/>
    <w:rsid w:val="00F12E0B"/>
    <w:rsid w:val="00F13964"/>
    <w:rsid w:val="00F237B5"/>
    <w:rsid w:val="00F27435"/>
    <w:rsid w:val="00F27F14"/>
    <w:rsid w:val="00F30059"/>
    <w:rsid w:val="00F421AB"/>
    <w:rsid w:val="00F42DD9"/>
    <w:rsid w:val="00F44DC8"/>
    <w:rsid w:val="00F45A7B"/>
    <w:rsid w:val="00F45E17"/>
    <w:rsid w:val="00F475EC"/>
    <w:rsid w:val="00F515E6"/>
    <w:rsid w:val="00F53326"/>
    <w:rsid w:val="00F53552"/>
    <w:rsid w:val="00F53959"/>
    <w:rsid w:val="00F56B7D"/>
    <w:rsid w:val="00F63A15"/>
    <w:rsid w:val="00F6634F"/>
    <w:rsid w:val="00F66E08"/>
    <w:rsid w:val="00F70CB8"/>
    <w:rsid w:val="00F70DBF"/>
    <w:rsid w:val="00F74718"/>
    <w:rsid w:val="00F74805"/>
    <w:rsid w:val="00F76332"/>
    <w:rsid w:val="00F76C86"/>
    <w:rsid w:val="00F80E53"/>
    <w:rsid w:val="00F8481D"/>
    <w:rsid w:val="00F93BA5"/>
    <w:rsid w:val="00F94A27"/>
    <w:rsid w:val="00F95364"/>
    <w:rsid w:val="00F96407"/>
    <w:rsid w:val="00FA2915"/>
    <w:rsid w:val="00FB1BDA"/>
    <w:rsid w:val="00FB66A1"/>
    <w:rsid w:val="00FC2BA1"/>
    <w:rsid w:val="00FC7185"/>
    <w:rsid w:val="00FD4897"/>
    <w:rsid w:val="00FE212A"/>
    <w:rsid w:val="00FE2165"/>
    <w:rsid w:val="00FE39C7"/>
    <w:rsid w:val="00FE5B6F"/>
    <w:rsid w:val="00FF3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40F3"/>
  <w15:chartTrackingRefBased/>
  <w15:docId w15:val="{2FD42FA5-7151-D74E-B0B2-ED099B8C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8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46C2B"/>
    <w:pPr>
      <w:outlineLvl w:val="0"/>
    </w:pPr>
    <w:rPr>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0C55"/>
    <w:pPr>
      <w:tabs>
        <w:tab w:val="center" w:pos="4703"/>
        <w:tab w:val="right" w:pos="9406"/>
      </w:tabs>
    </w:pPr>
  </w:style>
  <w:style w:type="character" w:customStyle="1" w:styleId="FooterChar">
    <w:name w:val="Footer Char"/>
    <w:basedOn w:val="DefaultParagraphFont"/>
    <w:link w:val="Footer"/>
    <w:uiPriority w:val="99"/>
    <w:rsid w:val="00F10C55"/>
  </w:style>
  <w:style w:type="character" w:styleId="PageNumber">
    <w:name w:val="page number"/>
    <w:basedOn w:val="DefaultParagraphFont"/>
    <w:uiPriority w:val="99"/>
    <w:semiHidden/>
    <w:unhideWhenUsed/>
    <w:rsid w:val="00F10C55"/>
  </w:style>
  <w:style w:type="character" w:customStyle="1" w:styleId="Heading1Char">
    <w:name w:val="Heading 1 Char"/>
    <w:basedOn w:val="DefaultParagraphFont"/>
    <w:link w:val="Heading1"/>
    <w:uiPriority w:val="9"/>
    <w:rsid w:val="00446C2B"/>
    <w:rPr>
      <w:b/>
      <w:sz w:val="32"/>
      <w:szCs w:val="32"/>
      <w:lang w:val="en-US"/>
    </w:rPr>
  </w:style>
  <w:style w:type="paragraph" w:styleId="TOCHeading">
    <w:name w:val="TOC Heading"/>
    <w:basedOn w:val="Heading1"/>
    <w:next w:val="Normal"/>
    <w:uiPriority w:val="39"/>
    <w:unhideWhenUsed/>
    <w:qFormat/>
    <w:rsid w:val="00F10C55"/>
    <w:pPr>
      <w:spacing w:before="480" w:line="276" w:lineRule="auto"/>
      <w:outlineLvl w:val="9"/>
    </w:pPr>
    <w:rPr>
      <w:b w:val="0"/>
      <w:bCs/>
      <w:sz w:val="28"/>
      <w:szCs w:val="28"/>
    </w:rPr>
  </w:style>
  <w:style w:type="paragraph" w:styleId="TOC1">
    <w:name w:val="toc 1"/>
    <w:basedOn w:val="Normal"/>
    <w:next w:val="Normal"/>
    <w:autoRedefine/>
    <w:uiPriority w:val="39"/>
    <w:unhideWhenUsed/>
    <w:rsid w:val="00F10C55"/>
    <w:pPr>
      <w:spacing w:before="120"/>
    </w:pPr>
    <w:rPr>
      <w:rFonts w:cstheme="minorHAnsi"/>
      <w:b/>
      <w:bCs/>
      <w:i/>
      <w:iCs/>
    </w:rPr>
  </w:style>
  <w:style w:type="paragraph" w:styleId="TOC2">
    <w:name w:val="toc 2"/>
    <w:basedOn w:val="Normal"/>
    <w:next w:val="Normal"/>
    <w:autoRedefine/>
    <w:uiPriority w:val="39"/>
    <w:semiHidden/>
    <w:unhideWhenUsed/>
    <w:rsid w:val="00F10C55"/>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F10C55"/>
    <w:pPr>
      <w:ind w:left="480"/>
    </w:pPr>
    <w:rPr>
      <w:rFonts w:cstheme="minorHAnsi"/>
      <w:sz w:val="20"/>
      <w:szCs w:val="20"/>
    </w:rPr>
  </w:style>
  <w:style w:type="paragraph" w:styleId="TOC4">
    <w:name w:val="toc 4"/>
    <w:basedOn w:val="Normal"/>
    <w:next w:val="Normal"/>
    <w:autoRedefine/>
    <w:uiPriority w:val="39"/>
    <w:semiHidden/>
    <w:unhideWhenUsed/>
    <w:rsid w:val="00F10C55"/>
    <w:pPr>
      <w:ind w:left="720"/>
    </w:pPr>
    <w:rPr>
      <w:rFonts w:cstheme="minorHAnsi"/>
      <w:sz w:val="20"/>
      <w:szCs w:val="20"/>
    </w:rPr>
  </w:style>
  <w:style w:type="paragraph" w:styleId="TOC5">
    <w:name w:val="toc 5"/>
    <w:basedOn w:val="Normal"/>
    <w:next w:val="Normal"/>
    <w:autoRedefine/>
    <w:uiPriority w:val="39"/>
    <w:semiHidden/>
    <w:unhideWhenUsed/>
    <w:rsid w:val="00F10C55"/>
    <w:pPr>
      <w:ind w:left="960"/>
    </w:pPr>
    <w:rPr>
      <w:rFonts w:cstheme="minorHAnsi"/>
      <w:sz w:val="20"/>
      <w:szCs w:val="20"/>
    </w:rPr>
  </w:style>
  <w:style w:type="paragraph" w:styleId="TOC6">
    <w:name w:val="toc 6"/>
    <w:basedOn w:val="Normal"/>
    <w:next w:val="Normal"/>
    <w:autoRedefine/>
    <w:uiPriority w:val="39"/>
    <w:semiHidden/>
    <w:unhideWhenUsed/>
    <w:rsid w:val="00F10C55"/>
    <w:pPr>
      <w:ind w:left="1200"/>
    </w:pPr>
    <w:rPr>
      <w:rFonts w:cstheme="minorHAnsi"/>
      <w:sz w:val="20"/>
      <w:szCs w:val="20"/>
    </w:rPr>
  </w:style>
  <w:style w:type="paragraph" w:styleId="TOC7">
    <w:name w:val="toc 7"/>
    <w:basedOn w:val="Normal"/>
    <w:next w:val="Normal"/>
    <w:autoRedefine/>
    <w:uiPriority w:val="39"/>
    <w:semiHidden/>
    <w:unhideWhenUsed/>
    <w:rsid w:val="00F10C55"/>
    <w:pPr>
      <w:ind w:left="1440"/>
    </w:pPr>
    <w:rPr>
      <w:rFonts w:cstheme="minorHAnsi"/>
      <w:sz w:val="20"/>
      <w:szCs w:val="20"/>
    </w:rPr>
  </w:style>
  <w:style w:type="paragraph" w:styleId="TOC8">
    <w:name w:val="toc 8"/>
    <w:basedOn w:val="Normal"/>
    <w:next w:val="Normal"/>
    <w:autoRedefine/>
    <w:uiPriority w:val="39"/>
    <w:semiHidden/>
    <w:unhideWhenUsed/>
    <w:rsid w:val="00F10C55"/>
    <w:pPr>
      <w:ind w:left="1680"/>
    </w:pPr>
    <w:rPr>
      <w:rFonts w:cstheme="minorHAnsi"/>
      <w:sz w:val="20"/>
      <w:szCs w:val="20"/>
    </w:rPr>
  </w:style>
  <w:style w:type="paragraph" w:styleId="TOC9">
    <w:name w:val="toc 9"/>
    <w:basedOn w:val="Normal"/>
    <w:next w:val="Normal"/>
    <w:autoRedefine/>
    <w:uiPriority w:val="39"/>
    <w:semiHidden/>
    <w:unhideWhenUsed/>
    <w:rsid w:val="00F10C55"/>
    <w:pPr>
      <w:ind w:left="1920"/>
    </w:pPr>
    <w:rPr>
      <w:rFonts w:cstheme="minorHAnsi"/>
      <w:sz w:val="20"/>
      <w:szCs w:val="20"/>
    </w:rPr>
  </w:style>
  <w:style w:type="character" w:styleId="Hyperlink">
    <w:name w:val="Hyperlink"/>
    <w:basedOn w:val="DefaultParagraphFont"/>
    <w:uiPriority w:val="99"/>
    <w:unhideWhenUsed/>
    <w:rsid w:val="00F10C55"/>
    <w:rPr>
      <w:color w:val="0563C1" w:themeColor="hyperlink"/>
      <w:u w:val="single"/>
    </w:rPr>
  </w:style>
  <w:style w:type="table" w:styleId="GridTable6Colorful">
    <w:name w:val="Grid Table 6 Colorful"/>
    <w:basedOn w:val="TableNormal"/>
    <w:uiPriority w:val="51"/>
    <w:rsid w:val="0072278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72278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72278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72278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260B51"/>
    <w:pPr>
      <w:tabs>
        <w:tab w:val="center" w:pos="4513"/>
        <w:tab w:val="right" w:pos="9026"/>
      </w:tabs>
    </w:pPr>
  </w:style>
  <w:style w:type="character" w:customStyle="1" w:styleId="HeaderChar">
    <w:name w:val="Header Char"/>
    <w:basedOn w:val="DefaultParagraphFont"/>
    <w:link w:val="Header"/>
    <w:uiPriority w:val="99"/>
    <w:rsid w:val="00260B51"/>
    <w:rPr>
      <w:rFonts w:ascii="Times New Roman" w:eastAsia="Times New Roman" w:hAnsi="Times New Roman" w:cs="Times New Roman"/>
      <w:lang w:eastAsia="en-GB"/>
    </w:rPr>
  </w:style>
  <w:style w:type="paragraph" w:styleId="Revision">
    <w:name w:val="Revision"/>
    <w:hidden/>
    <w:uiPriority w:val="99"/>
    <w:semiHidden/>
    <w:rsid w:val="00406938"/>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65779"/>
    <w:rPr>
      <w:sz w:val="18"/>
      <w:szCs w:val="18"/>
    </w:rPr>
  </w:style>
  <w:style w:type="character" w:customStyle="1" w:styleId="BalloonTextChar">
    <w:name w:val="Balloon Text Char"/>
    <w:basedOn w:val="DefaultParagraphFont"/>
    <w:link w:val="BalloonText"/>
    <w:uiPriority w:val="99"/>
    <w:semiHidden/>
    <w:rsid w:val="00565779"/>
    <w:rPr>
      <w:rFonts w:ascii="Times New Roman" w:eastAsia="Times New Roman" w:hAnsi="Times New Roman" w:cs="Times New Roman"/>
      <w:sz w:val="18"/>
      <w:szCs w:val="18"/>
      <w:lang w:eastAsia="en-GB"/>
    </w:rPr>
  </w:style>
  <w:style w:type="table" w:styleId="TableGrid">
    <w:name w:val="Table Grid"/>
    <w:basedOn w:val="TableNormal"/>
    <w:uiPriority w:val="39"/>
    <w:rsid w:val="00F45A7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84E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144">
      <w:bodyDiv w:val="1"/>
      <w:marLeft w:val="0"/>
      <w:marRight w:val="0"/>
      <w:marTop w:val="0"/>
      <w:marBottom w:val="0"/>
      <w:divBdr>
        <w:top w:val="none" w:sz="0" w:space="0" w:color="auto"/>
        <w:left w:val="none" w:sz="0" w:space="0" w:color="auto"/>
        <w:bottom w:val="none" w:sz="0" w:space="0" w:color="auto"/>
        <w:right w:val="none" w:sz="0" w:space="0" w:color="auto"/>
      </w:divBdr>
    </w:div>
    <w:div w:id="100993986">
      <w:bodyDiv w:val="1"/>
      <w:marLeft w:val="0"/>
      <w:marRight w:val="0"/>
      <w:marTop w:val="0"/>
      <w:marBottom w:val="0"/>
      <w:divBdr>
        <w:top w:val="none" w:sz="0" w:space="0" w:color="auto"/>
        <w:left w:val="none" w:sz="0" w:space="0" w:color="auto"/>
        <w:bottom w:val="none" w:sz="0" w:space="0" w:color="auto"/>
        <w:right w:val="none" w:sz="0" w:space="0" w:color="auto"/>
      </w:divBdr>
    </w:div>
    <w:div w:id="103115798">
      <w:bodyDiv w:val="1"/>
      <w:marLeft w:val="0"/>
      <w:marRight w:val="0"/>
      <w:marTop w:val="0"/>
      <w:marBottom w:val="0"/>
      <w:divBdr>
        <w:top w:val="none" w:sz="0" w:space="0" w:color="auto"/>
        <w:left w:val="none" w:sz="0" w:space="0" w:color="auto"/>
        <w:bottom w:val="none" w:sz="0" w:space="0" w:color="auto"/>
        <w:right w:val="none" w:sz="0" w:space="0" w:color="auto"/>
      </w:divBdr>
    </w:div>
    <w:div w:id="144669014">
      <w:bodyDiv w:val="1"/>
      <w:marLeft w:val="0"/>
      <w:marRight w:val="0"/>
      <w:marTop w:val="0"/>
      <w:marBottom w:val="0"/>
      <w:divBdr>
        <w:top w:val="none" w:sz="0" w:space="0" w:color="auto"/>
        <w:left w:val="none" w:sz="0" w:space="0" w:color="auto"/>
        <w:bottom w:val="none" w:sz="0" w:space="0" w:color="auto"/>
        <w:right w:val="none" w:sz="0" w:space="0" w:color="auto"/>
      </w:divBdr>
    </w:div>
    <w:div w:id="167408154">
      <w:bodyDiv w:val="1"/>
      <w:marLeft w:val="0"/>
      <w:marRight w:val="0"/>
      <w:marTop w:val="0"/>
      <w:marBottom w:val="0"/>
      <w:divBdr>
        <w:top w:val="none" w:sz="0" w:space="0" w:color="auto"/>
        <w:left w:val="none" w:sz="0" w:space="0" w:color="auto"/>
        <w:bottom w:val="none" w:sz="0" w:space="0" w:color="auto"/>
        <w:right w:val="none" w:sz="0" w:space="0" w:color="auto"/>
      </w:divBdr>
    </w:div>
    <w:div w:id="175047925">
      <w:bodyDiv w:val="1"/>
      <w:marLeft w:val="0"/>
      <w:marRight w:val="0"/>
      <w:marTop w:val="0"/>
      <w:marBottom w:val="0"/>
      <w:divBdr>
        <w:top w:val="none" w:sz="0" w:space="0" w:color="auto"/>
        <w:left w:val="none" w:sz="0" w:space="0" w:color="auto"/>
        <w:bottom w:val="none" w:sz="0" w:space="0" w:color="auto"/>
        <w:right w:val="none" w:sz="0" w:space="0" w:color="auto"/>
      </w:divBdr>
    </w:div>
    <w:div w:id="209348985">
      <w:bodyDiv w:val="1"/>
      <w:marLeft w:val="0"/>
      <w:marRight w:val="0"/>
      <w:marTop w:val="0"/>
      <w:marBottom w:val="0"/>
      <w:divBdr>
        <w:top w:val="none" w:sz="0" w:space="0" w:color="auto"/>
        <w:left w:val="none" w:sz="0" w:space="0" w:color="auto"/>
        <w:bottom w:val="none" w:sz="0" w:space="0" w:color="auto"/>
        <w:right w:val="none" w:sz="0" w:space="0" w:color="auto"/>
      </w:divBdr>
    </w:div>
    <w:div w:id="215245538">
      <w:bodyDiv w:val="1"/>
      <w:marLeft w:val="0"/>
      <w:marRight w:val="0"/>
      <w:marTop w:val="0"/>
      <w:marBottom w:val="0"/>
      <w:divBdr>
        <w:top w:val="none" w:sz="0" w:space="0" w:color="auto"/>
        <w:left w:val="none" w:sz="0" w:space="0" w:color="auto"/>
        <w:bottom w:val="none" w:sz="0" w:space="0" w:color="auto"/>
        <w:right w:val="none" w:sz="0" w:space="0" w:color="auto"/>
      </w:divBdr>
    </w:div>
    <w:div w:id="252008560">
      <w:bodyDiv w:val="1"/>
      <w:marLeft w:val="0"/>
      <w:marRight w:val="0"/>
      <w:marTop w:val="0"/>
      <w:marBottom w:val="0"/>
      <w:divBdr>
        <w:top w:val="none" w:sz="0" w:space="0" w:color="auto"/>
        <w:left w:val="none" w:sz="0" w:space="0" w:color="auto"/>
        <w:bottom w:val="none" w:sz="0" w:space="0" w:color="auto"/>
        <w:right w:val="none" w:sz="0" w:space="0" w:color="auto"/>
      </w:divBdr>
    </w:div>
    <w:div w:id="266160473">
      <w:bodyDiv w:val="1"/>
      <w:marLeft w:val="0"/>
      <w:marRight w:val="0"/>
      <w:marTop w:val="0"/>
      <w:marBottom w:val="0"/>
      <w:divBdr>
        <w:top w:val="none" w:sz="0" w:space="0" w:color="auto"/>
        <w:left w:val="none" w:sz="0" w:space="0" w:color="auto"/>
        <w:bottom w:val="none" w:sz="0" w:space="0" w:color="auto"/>
        <w:right w:val="none" w:sz="0" w:space="0" w:color="auto"/>
      </w:divBdr>
    </w:div>
    <w:div w:id="289631855">
      <w:bodyDiv w:val="1"/>
      <w:marLeft w:val="0"/>
      <w:marRight w:val="0"/>
      <w:marTop w:val="0"/>
      <w:marBottom w:val="0"/>
      <w:divBdr>
        <w:top w:val="none" w:sz="0" w:space="0" w:color="auto"/>
        <w:left w:val="none" w:sz="0" w:space="0" w:color="auto"/>
        <w:bottom w:val="none" w:sz="0" w:space="0" w:color="auto"/>
        <w:right w:val="none" w:sz="0" w:space="0" w:color="auto"/>
      </w:divBdr>
    </w:div>
    <w:div w:id="305209712">
      <w:bodyDiv w:val="1"/>
      <w:marLeft w:val="0"/>
      <w:marRight w:val="0"/>
      <w:marTop w:val="0"/>
      <w:marBottom w:val="0"/>
      <w:divBdr>
        <w:top w:val="none" w:sz="0" w:space="0" w:color="auto"/>
        <w:left w:val="none" w:sz="0" w:space="0" w:color="auto"/>
        <w:bottom w:val="none" w:sz="0" w:space="0" w:color="auto"/>
        <w:right w:val="none" w:sz="0" w:space="0" w:color="auto"/>
      </w:divBdr>
    </w:div>
    <w:div w:id="307438676">
      <w:bodyDiv w:val="1"/>
      <w:marLeft w:val="0"/>
      <w:marRight w:val="0"/>
      <w:marTop w:val="0"/>
      <w:marBottom w:val="0"/>
      <w:divBdr>
        <w:top w:val="none" w:sz="0" w:space="0" w:color="auto"/>
        <w:left w:val="none" w:sz="0" w:space="0" w:color="auto"/>
        <w:bottom w:val="none" w:sz="0" w:space="0" w:color="auto"/>
        <w:right w:val="none" w:sz="0" w:space="0" w:color="auto"/>
      </w:divBdr>
    </w:div>
    <w:div w:id="317270997">
      <w:bodyDiv w:val="1"/>
      <w:marLeft w:val="0"/>
      <w:marRight w:val="0"/>
      <w:marTop w:val="0"/>
      <w:marBottom w:val="0"/>
      <w:divBdr>
        <w:top w:val="none" w:sz="0" w:space="0" w:color="auto"/>
        <w:left w:val="none" w:sz="0" w:space="0" w:color="auto"/>
        <w:bottom w:val="none" w:sz="0" w:space="0" w:color="auto"/>
        <w:right w:val="none" w:sz="0" w:space="0" w:color="auto"/>
      </w:divBdr>
    </w:div>
    <w:div w:id="325977233">
      <w:bodyDiv w:val="1"/>
      <w:marLeft w:val="0"/>
      <w:marRight w:val="0"/>
      <w:marTop w:val="0"/>
      <w:marBottom w:val="0"/>
      <w:divBdr>
        <w:top w:val="none" w:sz="0" w:space="0" w:color="auto"/>
        <w:left w:val="none" w:sz="0" w:space="0" w:color="auto"/>
        <w:bottom w:val="none" w:sz="0" w:space="0" w:color="auto"/>
        <w:right w:val="none" w:sz="0" w:space="0" w:color="auto"/>
      </w:divBdr>
    </w:div>
    <w:div w:id="328992465">
      <w:bodyDiv w:val="1"/>
      <w:marLeft w:val="0"/>
      <w:marRight w:val="0"/>
      <w:marTop w:val="0"/>
      <w:marBottom w:val="0"/>
      <w:divBdr>
        <w:top w:val="none" w:sz="0" w:space="0" w:color="auto"/>
        <w:left w:val="none" w:sz="0" w:space="0" w:color="auto"/>
        <w:bottom w:val="none" w:sz="0" w:space="0" w:color="auto"/>
        <w:right w:val="none" w:sz="0" w:space="0" w:color="auto"/>
      </w:divBdr>
    </w:div>
    <w:div w:id="329332917">
      <w:bodyDiv w:val="1"/>
      <w:marLeft w:val="0"/>
      <w:marRight w:val="0"/>
      <w:marTop w:val="0"/>
      <w:marBottom w:val="0"/>
      <w:divBdr>
        <w:top w:val="none" w:sz="0" w:space="0" w:color="auto"/>
        <w:left w:val="none" w:sz="0" w:space="0" w:color="auto"/>
        <w:bottom w:val="none" w:sz="0" w:space="0" w:color="auto"/>
        <w:right w:val="none" w:sz="0" w:space="0" w:color="auto"/>
      </w:divBdr>
    </w:div>
    <w:div w:id="331295701">
      <w:bodyDiv w:val="1"/>
      <w:marLeft w:val="0"/>
      <w:marRight w:val="0"/>
      <w:marTop w:val="0"/>
      <w:marBottom w:val="0"/>
      <w:divBdr>
        <w:top w:val="none" w:sz="0" w:space="0" w:color="auto"/>
        <w:left w:val="none" w:sz="0" w:space="0" w:color="auto"/>
        <w:bottom w:val="none" w:sz="0" w:space="0" w:color="auto"/>
        <w:right w:val="none" w:sz="0" w:space="0" w:color="auto"/>
      </w:divBdr>
    </w:div>
    <w:div w:id="354231364">
      <w:bodyDiv w:val="1"/>
      <w:marLeft w:val="0"/>
      <w:marRight w:val="0"/>
      <w:marTop w:val="0"/>
      <w:marBottom w:val="0"/>
      <w:divBdr>
        <w:top w:val="none" w:sz="0" w:space="0" w:color="auto"/>
        <w:left w:val="none" w:sz="0" w:space="0" w:color="auto"/>
        <w:bottom w:val="none" w:sz="0" w:space="0" w:color="auto"/>
        <w:right w:val="none" w:sz="0" w:space="0" w:color="auto"/>
      </w:divBdr>
    </w:div>
    <w:div w:id="388263444">
      <w:bodyDiv w:val="1"/>
      <w:marLeft w:val="0"/>
      <w:marRight w:val="0"/>
      <w:marTop w:val="0"/>
      <w:marBottom w:val="0"/>
      <w:divBdr>
        <w:top w:val="none" w:sz="0" w:space="0" w:color="auto"/>
        <w:left w:val="none" w:sz="0" w:space="0" w:color="auto"/>
        <w:bottom w:val="none" w:sz="0" w:space="0" w:color="auto"/>
        <w:right w:val="none" w:sz="0" w:space="0" w:color="auto"/>
      </w:divBdr>
    </w:div>
    <w:div w:id="388572039">
      <w:bodyDiv w:val="1"/>
      <w:marLeft w:val="0"/>
      <w:marRight w:val="0"/>
      <w:marTop w:val="0"/>
      <w:marBottom w:val="0"/>
      <w:divBdr>
        <w:top w:val="none" w:sz="0" w:space="0" w:color="auto"/>
        <w:left w:val="none" w:sz="0" w:space="0" w:color="auto"/>
        <w:bottom w:val="none" w:sz="0" w:space="0" w:color="auto"/>
        <w:right w:val="none" w:sz="0" w:space="0" w:color="auto"/>
      </w:divBdr>
    </w:div>
    <w:div w:id="424036560">
      <w:bodyDiv w:val="1"/>
      <w:marLeft w:val="0"/>
      <w:marRight w:val="0"/>
      <w:marTop w:val="0"/>
      <w:marBottom w:val="0"/>
      <w:divBdr>
        <w:top w:val="none" w:sz="0" w:space="0" w:color="auto"/>
        <w:left w:val="none" w:sz="0" w:space="0" w:color="auto"/>
        <w:bottom w:val="none" w:sz="0" w:space="0" w:color="auto"/>
        <w:right w:val="none" w:sz="0" w:space="0" w:color="auto"/>
      </w:divBdr>
    </w:div>
    <w:div w:id="489560766">
      <w:bodyDiv w:val="1"/>
      <w:marLeft w:val="0"/>
      <w:marRight w:val="0"/>
      <w:marTop w:val="0"/>
      <w:marBottom w:val="0"/>
      <w:divBdr>
        <w:top w:val="none" w:sz="0" w:space="0" w:color="auto"/>
        <w:left w:val="none" w:sz="0" w:space="0" w:color="auto"/>
        <w:bottom w:val="none" w:sz="0" w:space="0" w:color="auto"/>
        <w:right w:val="none" w:sz="0" w:space="0" w:color="auto"/>
      </w:divBdr>
    </w:div>
    <w:div w:id="494221097">
      <w:bodyDiv w:val="1"/>
      <w:marLeft w:val="0"/>
      <w:marRight w:val="0"/>
      <w:marTop w:val="0"/>
      <w:marBottom w:val="0"/>
      <w:divBdr>
        <w:top w:val="none" w:sz="0" w:space="0" w:color="auto"/>
        <w:left w:val="none" w:sz="0" w:space="0" w:color="auto"/>
        <w:bottom w:val="none" w:sz="0" w:space="0" w:color="auto"/>
        <w:right w:val="none" w:sz="0" w:space="0" w:color="auto"/>
      </w:divBdr>
    </w:div>
    <w:div w:id="494616698">
      <w:bodyDiv w:val="1"/>
      <w:marLeft w:val="0"/>
      <w:marRight w:val="0"/>
      <w:marTop w:val="0"/>
      <w:marBottom w:val="0"/>
      <w:divBdr>
        <w:top w:val="none" w:sz="0" w:space="0" w:color="auto"/>
        <w:left w:val="none" w:sz="0" w:space="0" w:color="auto"/>
        <w:bottom w:val="none" w:sz="0" w:space="0" w:color="auto"/>
        <w:right w:val="none" w:sz="0" w:space="0" w:color="auto"/>
      </w:divBdr>
    </w:div>
    <w:div w:id="509100215">
      <w:bodyDiv w:val="1"/>
      <w:marLeft w:val="0"/>
      <w:marRight w:val="0"/>
      <w:marTop w:val="0"/>
      <w:marBottom w:val="0"/>
      <w:divBdr>
        <w:top w:val="none" w:sz="0" w:space="0" w:color="auto"/>
        <w:left w:val="none" w:sz="0" w:space="0" w:color="auto"/>
        <w:bottom w:val="none" w:sz="0" w:space="0" w:color="auto"/>
        <w:right w:val="none" w:sz="0" w:space="0" w:color="auto"/>
      </w:divBdr>
    </w:div>
    <w:div w:id="532501665">
      <w:bodyDiv w:val="1"/>
      <w:marLeft w:val="0"/>
      <w:marRight w:val="0"/>
      <w:marTop w:val="0"/>
      <w:marBottom w:val="0"/>
      <w:divBdr>
        <w:top w:val="none" w:sz="0" w:space="0" w:color="auto"/>
        <w:left w:val="none" w:sz="0" w:space="0" w:color="auto"/>
        <w:bottom w:val="none" w:sz="0" w:space="0" w:color="auto"/>
        <w:right w:val="none" w:sz="0" w:space="0" w:color="auto"/>
      </w:divBdr>
    </w:div>
    <w:div w:id="571308616">
      <w:bodyDiv w:val="1"/>
      <w:marLeft w:val="0"/>
      <w:marRight w:val="0"/>
      <w:marTop w:val="0"/>
      <w:marBottom w:val="0"/>
      <w:divBdr>
        <w:top w:val="none" w:sz="0" w:space="0" w:color="auto"/>
        <w:left w:val="none" w:sz="0" w:space="0" w:color="auto"/>
        <w:bottom w:val="none" w:sz="0" w:space="0" w:color="auto"/>
        <w:right w:val="none" w:sz="0" w:space="0" w:color="auto"/>
      </w:divBdr>
    </w:div>
    <w:div w:id="586034989">
      <w:bodyDiv w:val="1"/>
      <w:marLeft w:val="0"/>
      <w:marRight w:val="0"/>
      <w:marTop w:val="0"/>
      <w:marBottom w:val="0"/>
      <w:divBdr>
        <w:top w:val="none" w:sz="0" w:space="0" w:color="auto"/>
        <w:left w:val="none" w:sz="0" w:space="0" w:color="auto"/>
        <w:bottom w:val="none" w:sz="0" w:space="0" w:color="auto"/>
        <w:right w:val="none" w:sz="0" w:space="0" w:color="auto"/>
      </w:divBdr>
    </w:div>
    <w:div w:id="627781681">
      <w:bodyDiv w:val="1"/>
      <w:marLeft w:val="0"/>
      <w:marRight w:val="0"/>
      <w:marTop w:val="0"/>
      <w:marBottom w:val="0"/>
      <w:divBdr>
        <w:top w:val="none" w:sz="0" w:space="0" w:color="auto"/>
        <w:left w:val="none" w:sz="0" w:space="0" w:color="auto"/>
        <w:bottom w:val="none" w:sz="0" w:space="0" w:color="auto"/>
        <w:right w:val="none" w:sz="0" w:space="0" w:color="auto"/>
      </w:divBdr>
    </w:div>
    <w:div w:id="631330565">
      <w:bodyDiv w:val="1"/>
      <w:marLeft w:val="0"/>
      <w:marRight w:val="0"/>
      <w:marTop w:val="0"/>
      <w:marBottom w:val="0"/>
      <w:divBdr>
        <w:top w:val="none" w:sz="0" w:space="0" w:color="auto"/>
        <w:left w:val="none" w:sz="0" w:space="0" w:color="auto"/>
        <w:bottom w:val="none" w:sz="0" w:space="0" w:color="auto"/>
        <w:right w:val="none" w:sz="0" w:space="0" w:color="auto"/>
      </w:divBdr>
    </w:div>
    <w:div w:id="663243552">
      <w:bodyDiv w:val="1"/>
      <w:marLeft w:val="0"/>
      <w:marRight w:val="0"/>
      <w:marTop w:val="0"/>
      <w:marBottom w:val="0"/>
      <w:divBdr>
        <w:top w:val="none" w:sz="0" w:space="0" w:color="auto"/>
        <w:left w:val="none" w:sz="0" w:space="0" w:color="auto"/>
        <w:bottom w:val="none" w:sz="0" w:space="0" w:color="auto"/>
        <w:right w:val="none" w:sz="0" w:space="0" w:color="auto"/>
      </w:divBdr>
    </w:div>
    <w:div w:id="675573630">
      <w:bodyDiv w:val="1"/>
      <w:marLeft w:val="0"/>
      <w:marRight w:val="0"/>
      <w:marTop w:val="0"/>
      <w:marBottom w:val="0"/>
      <w:divBdr>
        <w:top w:val="none" w:sz="0" w:space="0" w:color="auto"/>
        <w:left w:val="none" w:sz="0" w:space="0" w:color="auto"/>
        <w:bottom w:val="none" w:sz="0" w:space="0" w:color="auto"/>
        <w:right w:val="none" w:sz="0" w:space="0" w:color="auto"/>
      </w:divBdr>
    </w:div>
    <w:div w:id="688720500">
      <w:bodyDiv w:val="1"/>
      <w:marLeft w:val="0"/>
      <w:marRight w:val="0"/>
      <w:marTop w:val="0"/>
      <w:marBottom w:val="0"/>
      <w:divBdr>
        <w:top w:val="none" w:sz="0" w:space="0" w:color="auto"/>
        <w:left w:val="none" w:sz="0" w:space="0" w:color="auto"/>
        <w:bottom w:val="none" w:sz="0" w:space="0" w:color="auto"/>
        <w:right w:val="none" w:sz="0" w:space="0" w:color="auto"/>
      </w:divBdr>
    </w:div>
    <w:div w:id="755980921">
      <w:bodyDiv w:val="1"/>
      <w:marLeft w:val="0"/>
      <w:marRight w:val="0"/>
      <w:marTop w:val="0"/>
      <w:marBottom w:val="0"/>
      <w:divBdr>
        <w:top w:val="none" w:sz="0" w:space="0" w:color="auto"/>
        <w:left w:val="none" w:sz="0" w:space="0" w:color="auto"/>
        <w:bottom w:val="none" w:sz="0" w:space="0" w:color="auto"/>
        <w:right w:val="none" w:sz="0" w:space="0" w:color="auto"/>
      </w:divBdr>
    </w:div>
    <w:div w:id="759251946">
      <w:bodyDiv w:val="1"/>
      <w:marLeft w:val="0"/>
      <w:marRight w:val="0"/>
      <w:marTop w:val="0"/>
      <w:marBottom w:val="0"/>
      <w:divBdr>
        <w:top w:val="none" w:sz="0" w:space="0" w:color="auto"/>
        <w:left w:val="none" w:sz="0" w:space="0" w:color="auto"/>
        <w:bottom w:val="none" w:sz="0" w:space="0" w:color="auto"/>
        <w:right w:val="none" w:sz="0" w:space="0" w:color="auto"/>
      </w:divBdr>
    </w:div>
    <w:div w:id="776949681">
      <w:bodyDiv w:val="1"/>
      <w:marLeft w:val="0"/>
      <w:marRight w:val="0"/>
      <w:marTop w:val="0"/>
      <w:marBottom w:val="0"/>
      <w:divBdr>
        <w:top w:val="none" w:sz="0" w:space="0" w:color="auto"/>
        <w:left w:val="none" w:sz="0" w:space="0" w:color="auto"/>
        <w:bottom w:val="none" w:sz="0" w:space="0" w:color="auto"/>
        <w:right w:val="none" w:sz="0" w:space="0" w:color="auto"/>
      </w:divBdr>
    </w:div>
    <w:div w:id="786117740">
      <w:bodyDiv w:val="1"/>
      <w:marLeft w:val="0"/>
      <w:marRight w:val="0"/>
      <w:marTop w:val="0"/>
      <w:marBottom w:val="0"/>
      <w:divBdr>
        <w:top w:val="none" w:sz="0" w:space="0" w:color="auto"/>
        <w:left w:val="none" w:sz="0" w:space="0" w:color="auto"/>
        <w:bottom w:val="none" w:sz="0" w:space="0" w:color="auto"/>
        <w:right w:val="none" w:sz="0" w:space="0" w:color="auto"/>
      </w:divBdr>
    </w:div>
    <w:div w:id="824978976">
      <w:bodyDiv w:val="1"/>
      <w:marLeft w:val="0"/>
      <w:marRight w:val="0"/>
      <w:marTop w:val="0"/>
      <w:marBottom w:val="0"/>
      <w:divBdr>
        <w:top w:val="none" w:sz="0" w:space="0" w:color="auto"/>
        <w:left w:val="none" w:sz="0" w:space="0" w:color="auto"/>
        <w:bottom w:val="none" w:sz="0" w:space="0" w:color="auto"/>
        <w:right w:val="none" w:sz="0" w:space="0" w:color="auto"/>
      </w:divBdr>
    </w:div>
    <w:div w:id="836992349">
      <w:bodyDiv w:val="1"/>
      <w:marLeft w:val="0"/>
      <w:marRight w:val="0"/>
      <w:marTop w:val="0"/>
      <w:marBottom w:val="0"/>
      <w:divBdr>
        <w:top w:val="none" w:sz="0" w:space="0" w:color="auto"/>
        <w:left w:val="none" w:sz="0" w:space="0" w:color="auto"/>
        <w:bottom w:val="none" w:sz="0" w:space="0" w:color="auto"/>
        <w:right w:val="none" w:sz="0" w:space="0" w:color="auto"/>
      </w:divBdr>
    </w:div>
    <w:div w:id="839849111">
      <w:bodyDiv w:val="1"/>
      <w:marLeft w:val="0"/>
      <w:marRight w:val="0"/>
      <w:marTop w:val="0"/>
      <w:marBottom w:val="0"/>
      <w:divBdr>
        <w:top w:val="none" w:sz="0" w:space="0" w:color="auto"/>
        <w:left w:val="none" w:sz="0" w:space="0" w:color="auto"/>
        <w:bottom w:val="none" w:sz="0" w:space="0" w:color="auto"/>
        <w:right w:val="none" w:sz="0" w:space="0" w:color="auto"/>
      </w:divBdr>
    </w:div>
    <w:div w:id="862476584">
      <w:bodyDiv w:val="1"/>
      <w:marLeft w:val="0"/>
      <w:marRight w:val="0"/>
      <w:marTop w:val="0"/>
      <w:marBottom w:val="0"/>
      <w:divBdr>
        <w:top w:val="none" w:sz="0" w:space="0" w:color="auto"/>
        <w:left w:val="none" w:sz="0" w:space="0" w:color="auto"/>
        <w:bottom w:val="none" w:sz="0" w:space="0" w:color="auto"/>
        <w:right w:val="none" w:sz="0" w:space="0" w:color="auto"/>
      </w:divBdr>
    </w:div>
    <w:div w:id="874848777">
      <w:bodyDiv w:val="1"/>
      <w:marLeft w:val="0"/>
      <w:marRight w:val="0"/>
      <w:marTop w:val="0"/>
      <w:marBottom w:val="0"/>
      <w:divBdr>
        <w:top w:val="none" w:sz="0" w:space="0" w:color="auto"/>
        <w:left w:val="none" w:sz="0" w:space="0" w:color="auto"/>
        <w:bottom w:val="none" w:sz="0" w:space="0" w:color="auto"/>
        <w:right w:val="none" w:sz="0" w:space="0" w:color="auto"/>
      </w:divBdr>
    </w:div>
    <w:div w:id="890193513">
      <w:bodyDiv w:val="1"/>
      <w:marLeft w:val="0"/>
      <w:marRight w:val="0"/>
      <w:marTop w:val="0"/>
      <w:marBottom w:val="0"/>
      <w:divBdr>
        <w:top w:val="none" w:sz="0" w:space="0" w:color="auto"/>
        <w:left w:val="none" w:sz="0" w:space="0" w:color="auto"/>
        <w:bottom w:val="none" w:sz="0" w:space="0" w:color="auto"/>
        <w:right w:val="none" w:sz="0" w:space="0" w:color="auto"/>
      </w:divBdr>
    </w:div>
    <w:div w:id="918247694">
      <w:bodyDiv w:val="1"/>
      <w:marLeft w:val="0"/>
      <w:marRight w:val="0"/>
      <w:marTop w:val="0"/>
      <w:marBottom w:val="0"/>
      <w:divBdr>
        <w:top w:val="none" w:sz="0" w:space="0" w:color="auto"/>
        <w:left w:val="none" w:sz="0" w:space="0" w:color="auto"/>
        <w:bottom w:val="none" w:sz="0" w:space="0" w:color="auto"/>
        <w:right w:val="none" w:sz="0" w:space="0" w:color="auto"/>
      </w:divBdr>
    </w:div>
    <w:div w:id="922031787">
      <w:bodyDiv w:val="1"/>
      <w:marLeft w:val="0"/>
      <w:marRight w:val="0"/>
      <w:marTop w:val="0"/>
      <w:marBottom w:val="0"/>
      <w:divBdr>
        <w:top w:val="none" w:sz="0" w:space="0" w:color="auto"/>
        <w:left w:val="none" w:sz="0" w:space="0" w:color="auto"/>
        <w:bottom w:val="none" w:sz="0" w:space="0" w:color="auto"/>
        <w:right w:val="none" w:sz="0" w:space="0" w:color="auto"/>
      </w:divBdr>
    </w:div>
    <w:div w:id="935597461">
      <w:bodyDiv w:val="1"/>
      <w:marLeft w:val="0"/>
      <w:marRight w:val="0"/>
      <w:marTop w:val="0"/>
      <w:marBottom w:val="0"/>
      <w:divBdr>
        <w:top w:val="none" w:sz="0" w:space="0" w:color="auto"/>
        <w:left w:val="none" w:sz="0" w:space="0" w:color="auto"/>
        <w:bottom w:val="none" w:sz="0" w:space="0" w:color="auto"/>
        <w:right w:val="none" w:sz="0" w:space="0" w:color="auto"/>
      </w:divBdr>
    </w:div>
    <w:div w:id="944002881">
      <w:bodyDiv w:val="1"/>
      <w:marLeft w:val="0"/>
      <w:marRight w:val="0"/>
      <w:marTop w:val="0"/>
      <w:marBottom w:val="0"/>
      <w:divBdr>
        <w:top w:val="none" w:sz="0" w:space="0" w:color="auto"/>
        <w:left w:val="none" w:sz="0" w:space="0" w:color="auto"/>
        <w:bottom w:val="none" w:sz="0" w:space="0" w:color="auto"/>
        <w:right w:val="none" w:sz="0" w:space="0" w:color="auto"/>
      </w:divBdr>
    </w:div>
    <w:div w:id="950356110">
      <w:bodyDiv w:val="1"/>
      <w:marLeft w:val="0"/>
      <w:marRight w:val="0"/>
      <w:marTop w:val="0"/>
      <w:marBottom w:val="0"/>
      <w:divBdr>
        <w:top w:val="none" w:sz="0" w:space="0" w:color="auto"/>
        <w:left w:val="none" w:sz="0" w:space="0" w:color="auto"/>
        <w:bottom w:val="none" w:sz="0" w:space="0" w:color="auto"/>
        <w:right w:val="none" w:sz="0" w:space="0" w:color="auto"/>
      </w:divBdr>
    </w:div>
    <w:div w:id="952130247">
      <w:bodyDiv w:val="1"/>
      <w:marLeft w:val="0"/>
      <w:marRight w:val="0"/>
      <w:marTop w:val="0"/>
      <w:marBottom w:val="0"/>
      <w:divBdr>
        <w:top w:val="none" w:sz="0" w:space="0" w:color="auto"/>
        <w:left w:val="none" w:sz="0" w:space="0" w:color="auto"/>
        <w:bottom w:val="none" w:sz="0" w:space="0" w:color="auto"/>
        <w:right w:val="none" w:sz="0" w:space="0" w:color="auto"/>
      </w:divBdr>
    </w:div>
    <w:div w:id="954478692">
      <w:bodyDiv w:val="1"/>
      <w:marLeft w:val="0"/>
      <w:marRight w:val="0"/>
      <w:marTop w:val="0"/>
      <w:marBottom w:val="0"/>
      <w:divBdr>
        <w:top w:val="none" w:sz="0" w:space="0" w:color="auto"/>
        <w:left w:val="none" w:sz="0" w:space="0" w:color="auto"/>
        <w:bottom w:val="none" w:sz="0" w:space="0" w:color="auto"/>
        <w:right w:val="none" w:sz="0" w:space="0" w:color="auto"/>
      </w:divBdr>
    </w:div>
    <w:div w:id="975329400">
      <w:bodyDiv w:val="1"/>
      <w:marLeft w:val="0"/>
      <w:marRight w:val="0"/>
      <w:marTop w:val="0"/>
      <w:marBottom w:val="0"/>
      <w:divBdr>
        <w:top w:val="none" w:sz="0" w:space="0" w:color="auto"/>
        <w:left w:val="none" w:sz="0" w:space="0" w:color="auto"/>
        <w:bottom w:val="none" w:sz="0" w:space="0" w:color="auto"/>
        <w:right w:val="none" w:sz="0" w:space="0" w:color="auto"/>
      </w:divBdr>
    </w:div>
    <w:div w:id="997921366">
      <w:bodyDiv w:val="1"/>
      <w:marLeft w:val="0"/>
      <w:marRight w:val="0"/>
      <w:marTop w:val="0"/>
      <w:marBottom w:val="0"/>
      <w:divBdr>
        <w:top w:val="none" w:sz="0" w:space="0" w:color="auto"/>
        <w:left w:val="none" w:sz="0" w:space="0" w:color="auto"/>
        <w:bottom w:val="none" w:sz="0" w:space="0" w:color="auto"/>
        <w:right w:val="none" w:sz="0" w:space="0" w:color="auto"/>
      </w:divBdr>
    </w:div>
    <w:div w:id="998734129">
      <w:bodyDiv w:val="1"/>
      <w:marLeft w:val="0"/>
      <w:marRight w:val="0"/>
      <w:marTop w:val="0"/>
      <w:marBottom w:val="0"/>
      <w:divBdr>
        <w:top w:val="none" w:sz="0" w:space="0" w:color="auto"/>
        <w:left w:val="none" w:sz="0" w:space="0" w:color="auto"/>
        <w:bottom w:val="none" w:sz="0" w:space="0" w:color="auto"/>
        <w:right w:val="none" w:sz="0" w:space="0" w:color="auto"/>
      </w:divBdr>
    </w:div>
    <w:div w:id="1029530945">
      <w:bodyDiv w:val="1"/>
      <w:marLeft w:val="0"/>
      <w:marRight w:val="0"/>
      <w:marTop w:val="0"/>
      <w:marBottom w:val="0"/>
      <w:divBdr>
        <w:top w:val="none" w:sz="0" w:space="0" w:color="auto"/>
        <w:left w:val="none" w:sz="0" w:space="0" w:color="auto"/>
        <w:bottom w:val="none" w:sz="0" w:space="0" w:color="auto"/>
        <w:right w:val="none" w:sz="0" w:space="0" w:color="auto"/>
      </w:divBdr>
    </w:div>
    <w:div w:id="1039741534">
      <w:bodyDiv w:val="1"/>
      <w:marLeft w:val="0"/>
      <w:marRight w:val="0"/>
      <w:marTop w:val="0"/>
      <w:marBottom w:val="0"/>
      <w:divBdr>
        <w:top w:val="none" w:sz="0" w:space="0" w:color="auto"/>
        <w:left w:val="none" w:sz="0" w:space="0" w:color="auto"/>
        <w:bottom w:val="none" w:sz="0" w:space="0" w:color="auto"/>
        <w:right w:val="none" w:sz="0" w:space="0" w:color="auto"/>
      </w:divBdr>
    </w:div>
    <w:div w:id="1048869908">
      <w:bodyDiv w:val="1"/>
      <w:marLeft w:val="0"/>
      <w:marRight w:val="0"/>
      <w:marTop w:val="0"/>
      <w:marBottom w:val="0"/>
      <w:divBdr>
        <w:top w:val="none" w:sz="0" w:space="0" w:color="auto"/>
        <w:left w:val="none" w:sz="0" w:space="0" w:color="auto"/>
        <w:bottom w:val="none" w:sz="0" w:space="0" w:color="auto"/>
        <w:right w:val="none" w:sz="0" w:space="0" w:color="auto"/>
      </w:divBdr>
    </w:div>
    <w:div w:id="1053886132">
      <w:bodyDiv w:val="1"/>
      <w:marLeft w:val="0"/>
      <w:marRight w:val="0"/>
      <w:marTop w:val="0"/>
      <w:marBottom w:val="0"/>
      <w:divBdr>
        <w:top w:val="none" w:sz="0" w:space="0" w:color="auto"/>
        <w:left w:val="none" w:sz="0" w:space="0" w:color="auto"/>
        <w:bottom w:val="none" w:sz="0" w:space="0" w:color="auto"/>
        <w:right w:val="none" w:sz="0" w:space="0" w:color="auto"/>
      </w:divBdr>
    </w:div>
    <w:div w:id="1057625862">
      <w:bodyDiv w:val="1"/>
      <w:marLeft w:val="0"/>
      <w:marRight w:val="0"/>
      <w:marTop w:val="0"/>
      <w:marBottom w:val="0"/>
      <w:divBdr>
        <w:top w:val="none" w:sz="0" w:space="0" w:color="auto"/>
        <w:left w:val="none" w:sz="0" w:space="0" w:color="auto"/>
        <w:bottom w:val="none" w:sz="0" w:space="0" w:color="auto"/>
        <w:right w:val="none" w:sz="0" w:space="0" w:color="auto"/>
      </w:divBdr>
    </w:div>
    <w:div w:id="1077557156">
      <w:bodyDiv w:val="1"/>
      <w:marLeft w:val="0"/>
      <w:marRight w:val="0"/>
      <w:marTop w:val="0"/>
      <w:marBottom w:val="0"/>
      <w:divBdr>
        <w:top w:val="none" w:sz="0" w:space="0" w:color="auto"/>
        <w:left w:val="none" w:sz="0" w:space="0" w:color="auto"/>
        <w:bottom w:val="none" w:sz="0" w:space="0" w:color="auto"/>
        <w:right w:val="none" w:sz="0" w:space="0" w:color="auto"/>
      </w:divBdr>
    </w:div>
    <w:div w:id="1102992788">
      <w:bodyDiv w:val="1"/>
      <w:marLeft w:val="0"/>
      <w:marRight w:val="0"/>
      <w:marTop w:val="0"/>
      <w:marBottom w:val="0"/>
      <w:divBdr>
        <w:top w:val="none" w:sz="0" w:space="0" w:color="auto"/>
        <w:left w:val="none" w:sz="0" w:space="0" w:color="auto"/>
        <w:bottom w:val="none" w:sz="0" w:space="0" w:color="auto"/>
        <w:right w:val="none" w:sz="0" w:space="0" w:color="auto"/>
      </w:divBdr>
    </w:div>
    <w:div w:id="1121193465">
      <w:bodyDiv w:val="1"/>
      <w:marLeft w:val="0"/>
      <w:marRight w:val="0"/>
      <w:marTop w:val="0"/>
      <w:marBottom w:val="0"/>
      <w:divBdr>
        <w:top w:val="none" w:sz="0" w:space="0" w:color="auto"/>
        <w:left w:val="none" w:sz="0" w:space="0" w:color="auto"/>
        <w:bottom w:val="none" w:sz="0" w:space="0" w:color="auto"/>
        <w:right w:val="none" w:sz="0" w:space="0" w:color="auto"/>
      </w:divBdr>
    </w:div>
    <w:div w:id="1145467694">
      <w:bodyDiv w:val="1"/>
      <w:marLeft w:val="0"/>
      <w:marRight w:val="0"/>
      <w:marTop w:val="0"/>
      <w:marBottom w:val="0"/>
      <w:divBdr>
        <w:top w:val="none" w:sz="0" w:space="0" w:color="auto"/>
        <w:left w:val="none" w:sz="0" w:space="0" w:color="auto"/>
        <w:bottom w:val="none" w:sz="0" w:space="0" w:color="auto"/>
        <w:right w:val="none" w:sz="0" w:space="0" w:color="auto"/>
      </w:divBdr>
    </w:div>
    <w:div w:id="1152064341">
      <w:bodyDiv w:val="1"/>
      <w:marLeft w:val="0"/>
      <w:marRight w:val="0"/>
      <w:marTop w:val="0"/>
      <w:marBottom w:val="0"/>
      <w:divBdr>
        <w:top w:val="none" w:sz="0" w:space="0" w:color="auto"/>
        <w:left w:val="none" w:sz="0" w:space="0" w:color="auto"/>
        <w:bottom w:val="none" w:sz="0" w:space="0" w:color="auto"/>
        <w:right w:val="none" w:sz="0" w:space="0" w:color="auto"/>
      </w:divBdr>
    </w:div>
    <w:div w:id="1159081157">
      <w:bodyDiv w:val="1"/>
      <w:marLeft w:val="0"/>
      <w:marRight w:val="0"/>
      <w:marTop w:val="0"/>
      <w:marBottom w:val="0"/>
      <w:divBdr>
        <w:top w:val="none" w:sz="0" w:space="0" w:color="auto"/>
        <w:left w:val="none" w:sz="0" w:space="0" w:color="auto"/>
        <w:bottom w:val="none" w:sz="0" w:space="0" w:color="auto"/>
        <w:right w:val="none" w:sz="0" w:space="0" w:color="auto"/>
      </w:divBdr>
    </w:div>
    <w:div w:id="1163930063">
      <w:bodyDiv w:val="1"/>
      <w:marLeft w:val="0"/>
      <w:marRight w:val="0"/>
      <w:marTop w:val="0"/>
      <w:marBottom w:val="0"/>
      <w:divBdr>
        <w:top w:val="none" w:sz="0" w:space="0" w:color="auto"/>
        <w:left w:val="none" w:sz="0" w:space="0" w:color="auto"/>
        <w:bottom w:val="none" w:sz="0" w:space="0" w:color="auto"/>
        <w:right w:val="none" w:sz="0" w:space="0" w:color="auto"/>
      </w:divBdr>
    </w:div>
    <w:div w:id="1192958154">
      <w:bodyDiv w:val="1"/>
      <w:marLeft w:val="0"/>
      <w:marRight w:val="0"/>
      <w:marTop w:val="0"/>
      <w:marBottom w:val="0"/>
      <w:divBdr>
        <w:top w:val="none" w:sz="0" w:space="0" w:color="auto"/>
        <w:left w:val="none" w:sz="0" w:space="0" w:color="auto"/>
        <w:bottom w:val="none" w:sz="0" w:space="0" w:color="auto"/>
        <w:right w:val="none" w:sz="0" w:space="0" w:color="auto"/>
      </w:divBdr>
    </w:div>
    <w:div w:id="1235631274">
      <w:bodyDiv w:val="1"/>
      <w:marLeft w:val="0"/>
      <w:marRight w:val="0"/>
      <w:marTop w:val="0"/>
      <w:marBottom w:val="0"/>
      <w:divBdr>
        <w:top w:val="none" w:sz="0" w:space="0" w:color="auto"/>
        <w:left w:val="none" w:sz="0" w:space="0" w:color="auto"/>
        <w:bottom w:val="none" w:sz="0" w:space="0" w:color="auto"/>
        <w:right w:val="none" w:sz="0" w:space="0" w:color="auto"/>
      </w:divBdr>
    </w:div>
    <w:div w:id="1284965574">
      <w:bodyDiv w:val="1"/>
      <w:marLeft w:val="0"/>
      <w:marRight w:val="0"/>
      <w:marTop w:val="0"/>
      <w:marBottom w:val="0"/>
      <w:divBdr>
        <w:top w:val="none" w:sz="0" w:space="0" w:color="auto"/>
        <w:left w:val="none" w:sz="0" w:space="0" w:color="auto"/>
        <w:bottom w:val="none" w:sz="0" w:space="0" w:color="auto"/>
        <w:right w:val="none" w:sz="0" w:space="0" w:color="auto"/>
      </w:divBdr>
    </w:div>
    <w:div w:id="1295525189">
      <w:bodyDiv w:val="1"/>
      <w:marLeft w:val="0"/>
      <w:marRight w:val="0"/>
      <w:marTop w:val="0"/>
      <w:marBottom w:val="0"/>
      <w:divBdr>
        <w:top w:val="none" w:sz="0" w:space="0" w:color="auto"/>
        <w:left w:val="none" w:sz="0" w:space="0" w:color="auto"/>
        <w:bottom w:val="none" w:sz="0" w:space="0" w:color="auto"/>
        <w:right w:val="none" w:sz="0" w:space="0" w:color="auto"/>
      </w:divBdr>
    </w:div>
    <w:div w:id="1371569346">
      <w:bodyDiv w:val="1"/>
      <w:marLeft w:val="0"/>
      <w:marRight w:val="0"/>
      <w:marTop w:val="0"/>
      <w:marBottom w:val="0"/>
      <w:divBdr>
        <w:top w:val="none" w:sz="0" w:space="0" w:color="auto"/>
        <w:left w:val="none" w:sz="0" w:space="0" w:color="auto"/>
        <w:bottom w:val="none" w:sz="0" w:space="0" w:color="auto"/>
        <w:right w:val="none" w:sz="0" w:space="0" w:color="auto"/>
      </w:divBdr>
    </w:div>
    <w:div w:id="1398094772">
      <w:bodyDiv w:val="1"/>
      <w:marLeft w:val="0"/>
      <w:marRight w:val="0"/>
      <w:marTop w:val="0"/>
      <w:marBottom w:val="0"/>
      <w:divBdr>
        <w:top w:val="none" w:sz="0" w:space="0" w:color="auto"/>
        <w:left w:val="none" w:sz="0" w:space="0" w:color="auto"/>
        <w:bottom w:val="none" w:sz="0" w:space="0" w:color="auto"/>
        <w:right w:val="none" w:sz="0" w:space="0" w:color="auto"/>
      </w:divBdr>
    </w:div>
    <w:div w:id="1405830921">
      <w:bodyDiv w:val="1"/>
      <w:marLeft w:val="0"/>
      <w:marRight w:val="0"/>
      <w:marTop w:val="0"/>
      <w:marBottom w:val="0"/>
      <w:divBdr>
        <w:top w:val="none" w:sz="0" w:space="0" w:color="auto"/>
        <w:left w:val="none" w:sz="0" w:space="0" w:color="auto"/>
        <w:bottom w:val="none" w:sz="0" w:space="0" w:color="auto"/>
        <w:right w:val="none" w:sz="0" w:space="0" w:color="auto"/>
      </w:divBdr>
    </w:div>
    <w:div w:id="1442842660">
      <w:bodyDiv w:val="1"/>
      <w:marLeft w:val="0"/>
      <w:marRight w:val="0"/>
      <w:marTop w:val="0"/>
      <w:marBottom w:val="0"/>
      <w:divBdr>
        <w:top w:val="none" w:sz="0" w:space="0" w:color="auto"/>
        <w:left w:val="none" w:sz="0" w:space="0" w:color="auto"/>
        <w:bottom w:val="none" w:sz="0" w:space="0" w:color="auto"/>
        <w:right w:val="none" w:sz="0" w:space="0" w:color="auto"/>
      </w:divBdr>
    </w:div>
    <w:div w:id="1465153627">
      <w:bodyDiv w:val="1"/>
      <w:marLeft w:val="0"/>
      <w:marRight w:val="0"/>
      <w:marTop w:val="0"/>
      <w:marBottom w:val="0"/>
      <w:divBdr>
        <w:top w:val="none" w:sz="0" w:space="0" w:color="auto"/>
        <w:left w:val="none" w:sz="0" w:space="0" w:color="auto"/>
        <w:bottom w:val="none" w:sz="0" w:space="0" w:color="auto"/>
        <w:right w:val="none" w:sz="0" w:space="0" w:color="auto"/>
      </w:divBdr>
    </w:div>
    <w:div w:id="1470903267">
      <w:bodyDiv w:val="1"/>
      <w:marLeft w:val="0"/>
      <w:marRight w:val="0"/>
      <w:marTop w:val="0"/>
      <w:marBottom w:val="0"/>
      <w:divBdr>
        <w:top w:val="none" w:sz="0" w:space="0" w:color="auto"/>
        <w:left w:val="none" w:sz="0" w:space="0" w:color="auto"/>
        <w:bottom w:val="none" w:sz="0" w:space="0" w:color="auto"/>
        <w:right w:val="none" w:sz="0" w:space="0" w:color="auto"/>
      </w:divBdr>
    </w:div>
    <w:div w:id="1594899184">
      <w:bodyDiv w:val="1"/>
      <w:marLeft w:val="0"/>
      <w:marRight w:val="0"/>
      <w:marTop w:val="0"/>
      <w:marBottom w:val="0"/>
      <w:divBdr>
        <w:top w:val="none" w:sz="0" w:space="0" w:color="auto"/>
        <w:left w:val="none" w:sz="0" w:space="0" w:color="auto"/>
        <w:bottom w:val="none" w:sz="0" w:space="0" w:color="auto"/>
        <w:right w:val="none" w:sz="0" w:space="0" w:color="auto"/>
      </w:divBdr>
    </w:div>
    <w:div w:id="1606377374">
      <w:bodyDiv w:val="1"/>
      <w:marLeft w:val="0"/>
      <w:marRight w:val="0"/>
      <w:marTop w:val="0"/>
      <w:marBottom w:val="0"/>
      <w:divBdr>
        <w:top w:val="none" w:sz="0" w:space="0" w:color="auto"/>
        <w:left w:val="none" w:sz="0" w:space="0" w:color="auto"/>
        <w:bottom w:val="none" w:sz="0" w:space="0" w:color="auto"/>
        <w:right w:val="none" w:sz="0" w:space="0" w:color="auto"/>
      </w:divBdr>
    </w:div>
    <w:div w:id="1607889233">
      <w:bodyDiv w:val="1"/>
      <w:marLeft w:val="0"/>
      <w:marRight w:val="0"/>
      <w:marTop w:val="0"/>
      <w:marBottom w:val="0"/>
      <w:divBdr>
        <w:top w:val="none" w:sz="0" w:space="0" w:color="auto"/>
        <w:left w:val="none" w:sz="0" w:space="0" w:color="auto"/>
        <w:bottom w:val="none" w:sz="0" w:space="0" w:color="auto"/>
        <w:right w:val="none" w:sz="0" w:space="0" w:color="auto"/>
      </w:divBdr>
    </w:div>
    <w:div w:id="1613635086">
      <w:bodyDiv w:val="1"/>
      <w:marLeft w:val="0"/>
      <w:marRight w:val="0"/>
      <w:marTop w:val="0"/>
      <w:marBottom w:val="0"/>
      <w:divBdr>
        <w:top w:val="none" w:sz="0" w:space="0" w:color="auto"/>
        <w:left w:val="none" w:sz="0" w:space="0" w:color="auto"/>
        <w:bottom w:val="none" w:sz="0" w:space="0" w:color="auto"/>
        <w:right w:val="none" w:sz="0" w:space="0" w:color="auto"/>
      </w:divBdr>
    </w:div>
    <w:div w:id="1635527643">
      <w:bodyDiv w:val="1"/>
      <w:marLeft w:val="0"/>
      <w:marRight w:val="0"/>
      <w:marTop w:val="0"/>
      <w:marBottom w:val="0"/>
      <w:divBdr>
        <w:top w:val="none" w:sz="0" w:space="0" w:color="auto"/>
        <w:left w:val="none" w:sz="0" w:space="0" w:color="auto"/>
        <w:bottom w:val="none" w:sz="0" w:space="0" w:color="auto"/>
        <w:right w:val="none" w:sz="0" w:space="0" w:color="auto"/>
      </w:divBdr>
    </w:div>
    <w:div w:id="1636373864">
      <w:bodyDiv w:val="1"/>
      <w:marLeft w:val="0"/>
      <w:marRight w:val="0"/>
      <w:marTop w:val="0"/>
      <w:marBottom w:val="0"/>
      <w:divBdr>
        <w:top w:val="none" w:sz="0" w:space="0" w:color="auto"/>
        <w:left w:val="none" w:sz="0" w:space="0" w:color="auto"/>
        <w:bottom w:val="none" w:sz="0" w:space="0" w:color="auto"/>
        <w:right w:val="none" w:sz="0" w:space="0" w:color="auto"/>
      </w:divBdr>
    </w:div>
    <w:div w:id="1649091462">
      <w:bodyDiv w:val="1"/>
      <w:marLeft w:val="0"/>
      <w:marRight w:val="0"/>
      <w:marTop w:val="0"/>
      <w:marBottom w:val="0"/>
      <w:divBdr>
        <w:top w:val="none" w:sz="0" w:space="0" w:color="auto"/>
        <w:left w:val="none" w:sz="0" w:space="0" w:color="auto"/>
        <w:bottom w:val="none" w:sz="0" w:space="0" w:color="auto"/>
        <w:right w:val="none" w:sz="0" w:space="0" w:color="auto"/>
      </w:divBdr>
    </w:div>
    <w:div w:id="1675185291">
      <w:bodyDiv w:val="1"/>
      <w:marLeft w:val="0"/>
      <w:marRight w:val="0"/>
      <w:marTop w:val="0"/>
      <w:marBottom w:val="0"/>
      <w:divBdr>
        <w:top w:val="none" w:sz="0" w:space="0" w:color="auto"/>
        <w:left w:val="none" w:sz="0" w:space="0" w:color="auto"/>
        <w:bottom w:val="none" w:sz="0" w:space="0" w:color="auto"/>
        <w:right w:val="none" w:sz="0" w:space="0" w:color="auto"/>
      </w:divBdr>
    </w:div>
    <w:div w:id="1682387961">
      <w:bodyDiv w:val="1"/>
      <w:marLeft w:val="0"/>
      <w:marRight w:val="0"/>
      <w:marTop w:val="0"/>
      <w:marBottom w:val="0"/>
      <w:divBdr>
        <w:top w:val="none" w:sz="0" w:space="0" w:color="auto"/>
        <w:left w:val="none" w:sz="0" w:space="0" w:color="auto"/>
        <w:bottom w:val="none" w:sz="0" w:space="0" w:color="auto"/>
        <w:right w:val="none" w:sz="0" w:space="0" w:color="auto"/>
      </w:divBdr>
    </w:div>
    <w:div w:id="1685747166">
      <w:bodyDiv w:val="1"/>
      <w:marLeft w:val="0"/>
      <w:marRight w:val="0"/>
      <w:marTop w:val="0"/>
      <w:marBottom w:val="0"/>
      <w:divBdr>
        <w:top w:val="none" w:sz="0" w:space="0" w:color="auto"/>
        <w:left w:val="none" w:sz="0" w:space="0" w:color="auto"/>
        <w:bottom w:val="none" w:sz="0" w:space="0" w:color="auto"/>
        <w:right w:val="none" w:sz="0" w:space="0" w:color="auto"/>
      </w:divBdr>
    </w:div>
    <w:div w:id="1690908566">
      <w:bodyDiv w:val="1"/>
      <w:marLeft w:val="0"/>
      <w:marRight w:val="0"/>
      <w:marTop w:val="0"/>
      <w:marBottom w:val="0"/>
      <w:divBdr>
        <w:top w:val="none" w:sz="0" w:space="0" w:color="auto"/>
        <w:left w:val="none" w:sz="0" w:space="0" w:color="auto"/>
        <w:bottom w:val="none" w:sz="0" w:space="0" w:color="auto"/>
        <w:right w:val="none" w:sz="0" w:space="0" w:color="auto"/>
      </w:divBdr>
    </w:div>
    <w:div w:id="1705445891">
      <w:bodyDiv w:val="1"/>
      <w:marLeft w:val="0"/>
      <w:marRight w:val="0"/>
      <w:marTop w:val="0"/>
      <w:marBottom w:val="0"/>
      <w:divBdr>
        <w:top w:val="none" w:sz="0" w:space="0" w:color="auto"/>
        <w:left w:val="none" w:sz="0" w:space="0" w:color="auto"/>
        <w:bottom w:val="none" w:sz="0" w:space="0" w:color="auto"/>
        <w:right w:val="none" w:sz="0" w:space="0" w:color="auto"/>
      </w:divBdr>
    </w:div>
    <w:div w:id="1707025831">
      <w:bodyDiv w:val="1"/>
      <w:marLeft w:val="0"/>
      <w:marRight w:val="0"/>
      <w:marTop w:val="0"/>
      <w:marBottom w:val="0"/>
      <w:divBdr>
        <w:top w:val="none" w:sz="0" w:space="0" w:color="auto"/>
        <w:left w:val="none" w:sz="0" w:space="0" w:color="auto"/>
        <w:bottom w:val="none" w:sz="0" w:space="0" w:color="auto"/>
        <w:right w:val="none" w:sz="0" w:space="0" w:color="auto"/>
      </w:divBdr>
    </w:div>
    <w:div w:id="1714033666">
      <w:bodyDiv w:val="1"/>
      <w:marLeft w:val="0"/>
      <w:marRight w:val="0"/>
      <w:marTop w:val="0"/>
      <w:marBottom w:val="0"/>
      <w:divBdr>
        <w:top w:val="none" w:sz="0" w:space="0" w:color="auto"/>
        <w:left w:val="none" w:sz="0" w:space="0" w:color="auto"/>
        <w:bottom w:val="none" w:sz="0" w:space="0" w:color="auto"/>
        <w:right w:val="none" w:sz="0" w:space="0" w:color="auto"/>
      </w:divBdr>
    </w:div>
    <w:div w:id="1728842117">
      <w:bodyDiv w:val="1"/>
      <w:marLeft w:val="0"/>
      <w:marRight w:val="0"/>
      <w:marTop w:val="0"/>
      <w:marBottom w:val="0"/>
      <w:divBdr>
        <w:top w:val="none" w:sz="0" w:space="0" w:color="auto"/>
        <w:left w:val="none" w:sz="0" w:space="0" w:color="auto"/>
        <w:bottom w:val="none" w:sz="0" w:space="0" w:color="auto"/>
        <w:right w:val="none" w:sz="0" w:space="0" w:color="auto"/>
      </w:divBdr>
    </w:div>
    <w:div w:id="1733117153">
      <w:bodyDiv w:val="1"/>
      <w:marLeft w:val="0"/>
      <w:marRight w:val="0"/>
      <w:marTop w:val="0"/>
      <w:marBottom w:val="0"/>
      <w:divBdr>
        <w:top w:val="none" w:sz="0" w:space="0" w:color="auto"/>
        <w:left w:val="none" w:sz="0" w:space="0" w:color="auto"/>
        <w:bottom w:val="none" w:sz="0" w:space="0" w:color="auto"/>
        <w:right w:val="none" w:sz="0" w:space="0" w:color="auto"/>
      </w:divBdr>
    </w:div>
    <w:div w:id="1746880133">
      <w:bodyDiv w:val="1"/>
      <w:marLeft w:val="0"/>
      <w:marRight w:val="0"/>
      <w:marTop w:val="0"/>
      <w:marBottom w:val="0"/>
      <w:divBdr>
        <w:top w:val="none" w:sz="0" w:space="0" w:color="auto"/>
        <w:left w:val="none" w:sz="0" w:space="0" w:color="auto"/>
        <w:bottom w:val="none" w:sz="0" w:space="0" w:color="auto"/>
        <w:right w:val="none" w:sz="0" w:space="0" w:color="auto"/>
      </w:divBdr>
    </w:div>
    <w:div w:id="1747724100">
      <w:bodyDiv w:val="1"/>
      <w:marLeft w:val="0"/>
      <w:marRight w:val="0"/>
      <w:marTop w:val="0"/>
      <w:marBottom w:val="0"/>
      <w:divBdr>
        <w:top w:val="none" w:sz="0" w:space="0" w:color="auto"/>
        <w:left w:val="none" w:sz="0" w:space="0" w:color="auto"/>
        <w:bottom w:val="none" w:sz="0" w:space="0" w:color="auto"/>
        <w:right w:val="none" w:sz="0" w:space="0" w:color="auto"/>
      </w:divBdr>
    </w:div>
    <w:div w:id="1817722898">
      <w:bodyDiv w:val="1"/>
      <w:marLeft w:val="0"/>
      <w:marRight w:val="0"/>
      <w:marTop w:val="0"/>
      <w:marBottom w:val="0"/>
      <w:divBdr>
        <w:top w:val="none" w:sz="0" w:space="0" w:color="auto"/>
        <w:left w:val="none" w:sz="0" w:space="0" w:color="auto"/>
        <w:bottom w:val="none" w:sz="0" w:space="0" w:color="auto"/>
        <w:right w:val="none" w:sz="0" w:space="0" w:color="auto"/>
      </w:divBdr>
    </w:div>
    <w:div w:id="1824808760">
      <w:bodyDiv w:val="1"/>
      <w:marLeft w:val="0"/>
      <w:marRight w:val="0"/>
      <w:marTop w:val="0"/>
      <w:marBottom w:val="0"/>
      <w:divBdr>
        <w:top w:val="none" w:sz="0" w:space="0" w:color="auto"/>
        <w:left w:val="none" w:sz="0" w:space="0" w:color="auto"/>
        <w:bottom w:val="none" w:sz="0" w:space="0" w:color="auto"/>
        <w:right w:val="none" w:sz="0" w:space="0" w:color="auto"/>
      </w:divBdr>
    </w:div>
    <w:div w:id="1839804578">
      <w:bodyDiv w:val="1"/>
      <w:marLeft w:val="0"/>
      <w:marRight w:val="0"/>
      <w:marTop w:val="0"/>
      <w:marBottom w:val="0"/>
      <w:divBdr>
        <w:top w:val="none" w:sz="0" w:space="0" w:color="auto"/>
        <w:left w:val="none" w:sz="0" w:space="0" w:color="auto"/>
        <w:bottom w:val="none" w:sz="0" w:space="0" w:color="auto"/>
        <w:right w:val="none" w:sz="0" w:space="0" w:color="auto"/>
      </w:divBdr>
    </w:div>
    <w:div w:id="1841504255">
      <w:bodyDiv w:val="1"/>
      <w:marLeft w:val="0"/>
      <w:marRight w:val="0"/>
      <w:marTop w:val="0"/>
      <w:marBottom w:val="0"/>
      <w:divBdr>
        <w:top w:val="none" w:sz="0" w:space="0" w:color="auto"/>
        <w:left w:val="none" w:sz="0" w:space="0" w:color="auto"/>
        <w:bottom w:val="none" w:sz="0" w:space="0" w:color="auto"/>
        <w:right w:val="none" w:sz="0" w:space="0" w:color="auto"/>
      </w:divBdr>
    </w:div>
    <w:div w:id="1861316339">
      <w:bodyDiv w:val="1"/>
      <w:marLeft w:val="0"/>
      <w:marRight w:val="0"/>
      <w:marTop w:val="0"/>
      <w:marBottom w:val="0"/>
      <w:divBdr>
        <w:top w:val="none" w:sz="0" w:space="0" w:color="auto"/>
        <w:left w:val="none" w:sz="0" w:space="0" w:color="auto"/>
        <w:bottom w:val="none" w:sz="0" w:space="0" w:color="auto"/>
        <w:right w:val="none" w:sz="0" w:space="0" w:color="auto"/>
      </w:divBdr>
    </w:div>
    <w:div w:id="1861357481">
      <w:bodyDiv w:val="1"/>
      <w:marLeft w:val="0"/>
      <w:marRight w:val="0"/>
      <w:marTop w:val="0"/>
      <w:marBottom w:val="0"/>
      <w:divBdr>
        <w:top w:val="none" w:sz="0" w:space="0" w:color="auto"/>
        <w:left w:val="none" w:sz="0" w:space="0" w:color="auto"/>
        <w:bottom w:val="none" w:sz="0" w:space="0" w:color="auto"/>
        <w:right w:val="none" w:sz="0" w:space="0" w:color="auto"/>
      </w:divBdr>
    </w:div>
    <w:div w:id="1862012444">
      <w:bodyDiv w:val="1"/>
      <w:marLeft w:val="0"/>
      <w:marRight w:val="0"/>
      <w:marTop w:val="0"/>
      <w:marBottom w:val="0"/>
      <w:divBdr>
        <w:top w:val="none" w:sz="0" w:space="0" w:color="auto"/>
        <w:left w:val="none" w:sz="0" w:space="0" w:color="auto"/>
        <w:bottom w:val="none" w:sz="0" w:space="0" w:color="auto"/>
        <w:right w:val="none" w:sz="0" w:space="0" w:color="auto"/>
      </w:divBdr>
    </w:div>
    <w:div w:id="1894152492">
      <w:bodyDiv w:val="1"/>
      <w:marLeft w:val="0"/>
      <w:marRight w:val="0"/>
      <w:marTop w:val="0"/>
      <w:marBottom w:val="0"/>
      <w:divBdr>
        <w:top w:val="none" w:sz="0" w:space="0" w:color="auto"/>
        <w:left w:val="none" w:sz="0" w:space="0" w:color="auto"/>
        <w:bottom w:val="none" w:sz="0" w:space="0" w:color="auto"/>
        <w:right w:val="none" w:sz="0" w:space="0" w:color="auto"/>
      </w:divBdr>
    </w:div>
    <w:div w:id="1940212510">
      <w:bodyDiv w:val="1"/>
      <w:marLeft w:val="0"/>
      <w:marRight w:val="0"/>
      <w:marTop w:val="0"/>
      <w:marBottom w:val="0"/>
      <w:divBdr>
        <w:top w:val="none" w:sz="0" w:space="0" w:color="auto"/>
        <w:left w:val="none" w:sz="0" w:space="0" w:color="auto"/>
        <w:bottom w:val="none" w:sz="0" w:space="0" w:color="auto"/>
        <w:right w:val="none" w:sz="0" w:space="0" w:color="auto"/>
      </w:divBdr>
    </w:div>
    <w:div w:id="1942495268">
      <w:bodyDiv w:val="1"/>
      <w:marLeft w:val="0"/>
      <w:marRight w:val="0"/>
      <w:marTop w:val="0"/>
      <w:marBottom w:val="0"/>
      <w:divBdr>
        <w:top w:val="none" w:sz="0" w:space="0" w:color="auto"/>
        <w:left w:val="none" w:sz="0" w:space="0" w:color="auto"/>
        <w:bottom w:val="none" w:sz="0" w:space="0" w:color="auto"/>
        <w:right w:val="none" w:sz="0" w:space="0" w:color="auto"/>
      </w:divBdr>
    </w:div>
    <w:div w:id="1954168832">
      <w:bodyDiv w:val="1"/>
      <w:marLeft w:val="0"/>
      <w:marRight w:val="0"/>
      <w:marTop w:val="0"/>
      <w:marBottom w:val="0"/>
      <w:divBdr>
        <w:top w:val="none" w:sz="0" w:space="0" w:color="auto"/>
        <w:left w:val="none" w:sz="0" w:space="0" w:color="auto"/>
        <w:bottom w:val="none" w:sz="0" w:space="0" w:color="auto"/>
        <w:right w:val="none" w:sz="0" w:space="0" w:color="auto"/>
      </w:divBdr>
    </w:div>
    <w:div w:id="1971007155">
      <w:bodyDiv w:val="1"/>
      <w:marLeft w:val="0"/>
      <w:marRight w:val="0"/>
      <w:marTop w:val="0"/>
      <w:marBottom w:val="0"/>
      <w:divBdr>
        <w:top w:val="none" w:sz="0" w:space="0" w:color="auto"/>
        <w:left w:val="none" w:sz="0" w:space="0" w:color="auto"/>
        <w:bottom w:val="none" w:sz="0" w:space="0" w:color="auto"/>
        <w:right w:val="none" w:sz="0" w:space="0" w:color="auto"/>
      </w:divBdr>
    </w:div>
    <w:div w:id="1983610799">
      <w:bodyDiv w:val="1"/>
      <w:marLeft w:val="0"/>
      <w:marRight w:val="0"/>
      <w:marTop w:val="0"/>
      <w:marBottom w:val="0"/>
      <w:divBdr>
        <w:top w:val="none" w:sz="0" w:space="0" w:color="auto"/>
        <w:left w:val="none" w:sz="0" w:space="0" w:color="auto"/>
        <w:bottom w:val="none" w:sz="0" w:space="0" w:color="auto"/>
        <w:right w:val="none" w:sz="0" w:space="0" w:color="auto"/>
      </w:divBdr>
    </w:div>
    <w:div w:id="1987661030">
      <w:bodyDiv w:val="1"/>
      <w:marLeft w:val="0"/>
      <w:marRight w:val="0"/>
      <w:marTop w:val="0"/>
      <w:marBottom w:val="0"/>
      <w:divBdr>
        <w:top w:val="none" w:sz="0" w:space="0" w:color="auto"/>
        <w:left w:val="none" w:sz="0" w:space="0" w:color="auto"/>
        <w:bottom w:val="none" w:sz="0" w:space="0" w:color="auto"/>
        <w:right w:val="none" w:sz="0" w:space="0" w:color="auto"/>
      </w:divBdr>
    </w:div>
    <w:div w:id="1993676430">
      <w:bodyDiv w:val="1"/>
      <w:marLeft w:val="0"/>
      <w:marRight w:val="0"/>
      <w:marTop w:val="0"/>
      <w:marBottom w:val="0"/>
      <w:divBdr>
        <w:top w:val="none" w:sz="0" w:space="0" w:color="auto"/>
        <w:left w:val="none" w:sz="0" w:space="0" w:color="auto"/>
        <w:bottom w:val="none" w:sz="0" w:space="0" w:color="auto"/>
        <w:right w:val="none" w:sz="0" w:space="0" w:color="auto"/>
      </w:divBdr>
    </w:div>
    <w:div w:id="1997413607">
      <w:bodyDiv w:val="1"/>
      <w:marLeft w:val="0"/>
      <w:marRight w:val="0"/>
      <w:marTop w:val="0"/>
      <w:marBottom w:val="0"/>
      <w:divBdr>
        <w:top w:val="none" w:sz="0" w:space="0" w:color="auto"/>
        <w:left w:val="none" w:sz="0" w:space="0" w:color="auto"/>
        <w:bottom w:val="none" w:sz="0" w:space="0" w:color="auto"/>
        <w:right w:val="none" w:sz="0" w:space="0" w:color="auto"/>
      </w:divBdr>
    </w:div>
    <w:div w:id="2008822917">
      <w:bodyDiv w:val="1"/>
      <w:marLeft w:val="0"/>
      <w:marRight w:val="0"/>
      <w:marTop w:val="0"/>
      <w:marBottom w:val="0"/>
      <w:divBdr>
        <w:top w:val="none" w:sz="0" w:space="0" w:color="auto"/>
        <w:left w:val="none" w:sz="0" w:space="0" w:color="auto"/>
        <w:bottom w:val="none" w:sz="0" w:space="0" w:color="auto"/>
        <w:right w:val="none" w:sz="0" w:space="0" w:color="auto"/>
      </w:divBdr>
    </w:div>
    <w:div w:id="2021815900">
      <w:bodyDiv w:val="1"/>
      <w:marLeft w:val="0"/>
      <w:marRight w:val="0"/>
      <w:marTop w:val="0"/>
      <w:marBottom w:val="0"/>
      <w:divBdr>
        <w:top w:val="none" w:sz="0" w:space="0" w:color="auto"/>
        <w:left w:val="none" w:sz="0" w:space="0" w:color="auto"/>
        <w:bottom w:val="none" w:sz="0" w:space="0" w:color="auto"/>
        <w:right w:val="none" w:sz="0" w:space="0" w:color="auto"/>
      </w:divBdr>
    </w:div>
    <w:div w:id="2045135037">
      <w:bodyDiv w:val="1"/>
      <w:marLeft w:val="0"/>
      <w:marRight w:val="0"/>
      <w:marTop w:val="0"/>
      <w:marBottom w:val="0"/>
      <w:divBdr>
        <w:top w:val="none" w:sz="0" w:space="0" w:color="auto"/>
        <w:left w:val="none" w:sz="0" w:space="0" w:color="auto"/>
        <w:bottom w:val="none" w:sz="0" w:space="0" w:color="auto"/>
        <w:right w:val="none" w:sz="0" w:space="0" w:color="auto"/>
      </w:divBdr>
    </w:div>
    <w:div w:id="2071077467">
      <w:bodyDiv w:val="1"/>
      <w:marLeft w:val="0"/>
      <w:marRight w:val="0"/>
      <w:marTop w:val="0"/>
      <w:marBottom w:val="0"/>
      <w:divBdr>
        <w:top w:val="none" w:sz="0" w:space="0" w:color="auto"/>
        <w:left w:val="none" w:sz="0" w:space="0" w:color="auto"/>
        <w:bottom w:val="none" w:sz="0" w:space="0" w:color="auto"/>
        <w:right w:val="none" w:sz="0" w:space="0" w:color="auto"/>
      </w:divBdr>
    </w:div>
    <w:div w:id="2072993137">
      <w:bodyDiv w:val="1"/>
      <w:marLeft w:val="0"/>
      <w:marRight w:val="0"/>
      <w:marTop w:val="0"/>
      <w:marBottom w:val="0"/>
      <w:divBdr>
        <w:top w:val="none" w:sz="0" w:space="0" w:color="auto"/>
        <w:left w:val="none" w:sz="0" w:space="0" w:color="auto"/>
        <w:bottom w:val="none" w:sz="0" w:space="0" w:color="auto"/>
        <w:right w:val="none" w:sz="0" w:space="0" w:color="auto"/>
      </w:divBdr>
    </w:div>
    <w:div w:id="2085645204">
      <w:bodyDiv w:val="1"/>
      <w:marLeft w:val="0"/>
      <w:marRight w:val="0"/>
      <w:marTop w:val="0"/>
      <w:marBottom w:val="0"/>
      <w:divBdr>
        <w:top w:val="none" w:sz="0" w:space="0" w:color="auto"/>
        <w:left w:val="none" w:sz="0" w:space="0" w:color="auto"/>
        <w:bottom w:val="none" w:sz="0" w:space="0" w:color="auto"/>
        <w:right w:val="none" w:sz="0" w:space="0" w:color="auto"/>
      </w:divBdr>
    </w:div>
    <w:div w:id="2086107476">
      <w:bodyDiv w:val="1"/>
      <w:marLeft w:val="0"/>
      <w:marRight w:val="0"/>
      <w:marTop w:val="0"/>
      <w:marBottom w:val="0"/>
      <w:divBdr>
        <w:top w:val="none" w:sz="0" w:space="0" w:color="auto"/>
        <w:left w:val="none" w:sz="0" w:space="0" w:color="auto"/>
        <w:bottom w:val="none" w:sz="0" w:space="0" w:color="auto"/>
        <w:right w:val="none" w:sz="0" w:space="0" w:color="auto"/>
      </w:divBdr>
    </w:div>
    <w:div w:id="2112427826">
      <w:bodyDiv w:val="1"/>
      <w:marLeft w:val="0"/>
      <w:marRight w:val="0"/>
      <w:marTop w:val="0"/>
      <w:marBottom w:val="0"/>
      <w:divBdr>
        <w:top w:val="none" w:sz="0" w:space="0" w:color="auto"/>
        <w:left w:val="none" w:sz="0" w:space="0" w:color="auto"/>
        <w:bottom w:val="none" w:sz="0" w:space="0" w:color="auto"/>
        <w:right w:val="none" w:sz="0" w:space="0" w:color="auto"/>
      </w:divBdr>
    </w:div>
    <w:div w:id="21382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D829-36FB-A240-9E9A-121A22E0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Samantha Porter</cp:lastModifiedBy>
  <cp:revision>2</cp:revision>
  <dcterms:created xsi:type="dcterms:W3CDTF">2022-09-26T00:02:00Z</dcterms:created>
  <dcterms:modified xsi:type="dcterms:W3CDTF">2022-09-26T00:02:00Z</dcterms:modified>
</cp:coreProperties>
</file>