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CDD4D" w14:textId="46B11A29" w:rsidR="00C43C92" w:rsidRPr="00A97A20" w:rsidRDefault="00C43C92" w:rsidP="008B471B">
      <w:pPr>
        <w:spacing w:after="200" w:line="360" w:lineRule="auto"/>
        <w:rPr>
          <w:rFonts w:eastAsia="Calibri" w:cstheme="minorHAnsi"/>
          <w:b/>
          <w:sz w:val="28"/>
          <w:lang w:val="en-US"/>
        </w:rPr>
      </w:pPr>
      <w:r w:rsidRPr="00A97A20">
        <w:rPr>
          <w:rFonts w:eastAsia="Calibri" w:cstheme="minorHAnsi"/>
          <w:b/>
          <w:sz w:val="28"/>
          <w:lang w:val="en-US"/>
        </w:rPr>
        <w:t>SUPPLEMENTAL DATA</w:t>
      </w:r>
    </w:p>
    <w:p w14:paraId="6DF84830" w14:textId="083886F0" w:rsidR="008B471B" w:rsidRPr="00A97A20" w:rsidRDefault="008B471B" w:rsidP="008B471B">
      <w:pPr>
        <w:spacing w:after="200" w:line="360" w:lineRule="auto"/>
        <w:rPr>
          <w:rFonts w:eastAsia="Calibri" w:cstheme="minorHAnsi"/>
          <w:b/>
          <w:sz w:val="28"/>
          <w:lang w:val="en-US"/>
        </w:rPr>
      </w:pPr>
      <w:r w:rsidRPr="00A97A20">
        <w:rPr>
          <w:rFonts w:eastAsia="Calibri" w:cstheme="minorHAnsi"/>
          <w:b/>
          <w:sz w:val="28"/>
          <w:lang w:val="en-US"/>
        </w:rPr>
        <w:t xml:space="preserve">NK cell phenotype </w:t>
      </w:r>
      <w:r w:rsidR="00557CBC" w:rsidRPr="00A97A20">
        <w:rPr>
          <w:rFonts w:eastAsia="Calibri" w:cstheme="minorHAnsi"/>
          <w:b/>
          <w:sz w:val="28"/>
          <w:lang w:val="en-US"/>
        </w:rPr>
        <w:t>is associated with</w:t>
      </w:r>
      <w:r w:rsidRPr="00A97A20">
        <w:rPr>
          <w:rFonts w:eastAsia="Calibri" w:cstheme="minorHAnsi"/>
          <w:b/>
          <w:sz w:val="28"/>
          <w:lang w:val="en-US"/>
        </w:rPr>
        <w:t xml:space="preserve"> response and resistance to daratumumab in relap</w:t>
      </w:r>
      <w:r w:rsidR="00F13CC6" w:rsidRPr="00A97A20">
        <w:rPr>
          <w:rFonts w:eastAsia="Calibri" w:cstheme="minorHAnsi"/>
          <w:b/>
          <w:sz w:val="28"/>
          <w:lang w:val="en-US"/>
        </w:rPr>
        <w:t>sed/refractory multiple myeloma</w:t>
      </w:r>
    </w:p>
    <w:p w14:paraId="491F3A72" w14:textId="77777777" w:rsidR="003524E0" w:rsidRPr="00A97A20" w:rsidRDefault="003524E0" w:rsidP="003A052C">
      <w:pPr>
        <w:spacing w:line="360" w:lineRule="auto"/>
        <w:jc w:val="both"/>
        <w:rPr>
          <w:rFonts w:cstheme="minorHAnsi"/>
          <w:b/>
          <w:lang w:val="en-US"/>
        </w:rPr>
      </w:pPr>
    </w:p>
    <w:p w14:paraId="32AF333F" w14:textId="27FA51C2" w:rsidR="00C43C92" w:rsidRPr="00A97A20" w:rsidRDefault="00C43C92" w:rsidP="003A052C">
      <w:pPr>
        <w:spacing w:line="360" w:lineRule="auto"/>
        <w:jc w:val="both"/>
        <w:rPr>
          <w:rFonts w:cstheme="minorHAnsi"/>
          <w:b/>
          <w:lang w:val="en-US"/>
        </w:rPr>
      </w:pPr>
      <w:r w:rsidRPr="00A97A20">
        <w:rPr>
          <w:rFonts w:cstheme="minorHAnsi"/>
          <w:b/>
          <w:lang w:val="en-US"/>
        </w:rPr>
        <w:t>Supplemental material and methods</w:t>
      </w:r>
    </w:p>
    <w:p w14:paraId="2E56EAA4" w14:textId="77777777" w:rsidR="003A052C" w:rsidRPr="00A97A20" w:rsidRDefault="003A052C" w:rsidP="003A052C">
      <w:pPr>
        <w:spacing w:line="360" w:lineRule="auto"/>
        <w:rPr>
          <w:lang w:val="en-US"/>
        </w:rPr>
      </w:pPr>
    </w:p>
    <w:p w14:paraId="577469A6" w14:textId="77777777" w:rsidR="003A052C" w:rsidRPr="00A97A20" w:rsidRDefault="003A052C" w:rsidP="003A052C">
      <w:pPr>
        <w:spacing w:line="360" w:lineRule="auto"/>
        <w:rPr>
          <w:i/>
          <w:iCs/>
          <w:lang w:val="en-US"/>
        </w:rPr>
      </w:pPr>
      <w:r w:rsidRPr="00A97A20">
        <w:rPr>
          <w:i/>
          <w:iCs/>
          <w:lang w:val="en-US"/>
        </w:rPr>
        <w:t>Flow cytometric analysis of bone marrow samples</w:t>
      </w:r>
    </w:p>
    <w:p w14:paraId="2805D781" w14:textId="77777777" w:rsidR="003A052C" w:rsidRPr="00A97A20" w:rsidRDefault="003A052C" w:rsidP="003A052C">
      <w:pPr>
        <w:spacing w:line="360" w:lineRule="auto"/>
        <w:rPr>
          <w:lang w:val="en-US"/>
        </w:rPr>
      </w:pPr>
      <w:r w:rsidRPr="00A97A20">
        <w:rPr>
          <w:lang w:val="en-US"/>
        </w:rPr>
        <w:t xml:space="preserve">Bone marrow (BM) aspirates were obtained at baseline prior to initiation of daratumumab treatment (Baseline; n=51). BM aspirates were also collected at the time of insufficient response to daratumumab monotherapy or at the time of disease progression, before initiation of ATRA treatment in part B (end of treatment part A, EOT-A; n=47). </w:t>
      </w:r>
    </w:p>
    <w:p w14:paraId="03292D4F" w14:textId="20D05D39" w:rsidR="003A052C" w:rsidRPr="00A97A20" w:rsidRDefault="003A052C" w:rsidP="003A052C">
      <w:pPr>
        <w:spacing w:line="360" w:lineRule="auto"/>
        <w:rPr>
          <w:lang w:val="en-US" w:bidi="en-US"/>
        </w:rPr>
      </w:pPr>
      <w:r w:rsidRPr="00A97A20">
        <w:rPr>
          <w:lang w:val="en-US"/>
        </w:rPr>
        <w:t xml:space="preserve">Bone marrow mononuclear cells (BM-MNCs) were isolated by Ficoll-Hypaque density-gradient centrifugation, and cryopreserved until analysis. </w:t>
      </w:r>
      <w:r w:rsidRPr="00A97A20">
        <w:rPr>
          <w:lang w:val="en-US" w:bidi="en-US"/>
        </w:rPr>
        <w:t>These BM samples were used to assess the frequency of NK cells, T-cells, and B cells, and to characterize the NK cell phenotype by staining 1x10</w:t>
      </w:r>
      <w:r w:rsidRPr="00A97A20">
        <w:rPr>
          <w:vertAlign w:val="superscript"/>
          <w:lang w:val="en-US" w:bidi="en-US"/>
        </w:rPr>
        <w:t xml:space="preserve">6 </w:t>
      </w:r>
      <w:r w:rsidRPr="00A97A20">
        <w:rPr>
          <w:lang w:val="en-US" w:bidi="en-US"/>
        </w:rPr>
        <w:t>nucleated cells with CD45 Krome Orange (Beckman Coulter), CD56 BUV737, CD3 BUV395, CD19 PE-CF594, and CD16 BV421 (all Becton Dickinson). Cells were also stained with Human Leukocyte Antigen-DR isotype (HLA-DR) APC-H7 to evaluate NK-cell activation, and with CD279 (PD-1) BV711, CD366 (T-cell immunoglobulin and mucin-domain containing-3 [TIM-3]) BV605 (all Becton Dickinson), and with CD223 (Lymphocyte-activation gene 3 [LAG3]) APC (Invitrogen) to assess the expression of immune checkpoints. The LIVE/DEAD Fixable Dead cell staining kit (Invitrogen) was used to determine sample viability. HuMax-003 FITC (Genmab/Janssen) was used to assess CD38 expression on NK cells. This antibody binds to a CD38 epitope distinct from the epitope recognized by daratumumab and binding is therefore unaffected by daratumumab treatment</w:t>
      </w:r>
      <w:r w:rsidRPr="00A97A20">
        <w:rPr>
          <w:lang w:val="en-US" w:bidi="en-US"/>
        </w:rPr>
        <w:fldChar w:fldCharType="begin">
          <w:fldData xml:space="preserve">PEVuZE5vdGU+PENpdGU+PEF1dGhvcj5LcmVqY2lrPC9BdXRob3I+PFllYXI+MjAxNzwvWWVhcj48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</w:fldData>
        </w:fldChar>
      </w:r>
      <w:r w:rsidR="00DE2528" w:rsidRPr="00A97A20">
        <w:rPr>
          <w:lang w:val="en-US" w:bidi="en-US"/>
        </w:rPr>
        <w:instrText xml:space="preserve"> ADDIN EN.CITE </w:instrText>
      </w:r>
      <w:r w:rsidR="00DE2528" w:rsidRPr="00A97A20">
        <w:rPr>
          <w:lang w:val="en-US" w:bidi="en-US"/>
        </w:rPr>
        <w:fldChar w:fldCharType="begin">
          <w:fldData xml:space="preserve">PEVuZE5vdGU+PENpdGU+PEF1dGhvcj5LcmVqY2lrPC9BdXRob3I+PFllYXI+MjAxNzwvWWVhcj48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</w:fldData>
        </w:fldChar>
      </w:r>
      <w:r w:rsidR="00DE2528" w:rsidRPr="00A97A20">
        <w:rPr>
          <w:lang w:val="en-US" w:bidi="en-US"/>
        </w:rPr>
        <w:instrText xml:space="preserve"> ADDIN EN.CITE.DATA </w:instrText>
      </w:r>
      <w:r w:rsidR="00DE2528" w:rsidRPr="00A97A20">
        <w:rPr>
          <w:lang w:val="en-US" w:bidi="en-US"/>
        </w:rPr>
      </w:r>
      <w:r w:rsidR="00DE2528" w:rsidRPr="00A97A20">
        <w:rPr>
          <w:lang w:val="en-US" w:bidi="en-US"/>
        </w:rPr>
        <w:fldChar w:fldCharType="end"/>
      </w:r>
      <w:r w:rsidRPr="00A97A20">
        <w:rPr>
          <w:lang w:val="en-US" w:bidi="en-US"/>
        </w:rPr>
      </w:r>
      <w:r w:rsidRPr="00A97A20">
        <w:rPr>
          <w:lang w:val="en-US" w:bidi="en-US"/>
        </w:rPr>
        <w:fldChar w:fldCharType="separate"/>
      </w:r>
      <w:r w:rsidR="00DE2528" w:rsidRPr="00A97A20">
        <w:rPr>
          <w:noProof/>
          <w:vertAlign w:val="superscript"/>
          <w:lang w:val="en-US" w:bidi="en-US"/>
        </w:rPr>
        <w:t>1</w:t>
      </w:r>
      <w:r w:rsidRPr="00A97A20">
        <w:rPr>
          <w:lang w:val="en-US" w:bidi="en-US"/>
        </w:rPr>
        <w:fldChar w:fldCharType="end"/>
      </w:r>
      <w:r w:rsidRPr="00A97A20">
        <w:rPr>
          <w:lang w:val="en-US" w:bidi="en-US"/>
        </w:rPr>
        <w:t xml:space="preserve">. </w:t>
      </w:r>
    </w:p>
    <w:p w14:paraId="5DBBE113" w14:textId="77777777" w:rsidR="003A052C" w:rsidRPr="00A97A20" w:rsidRDefault="003A052C" w:rsidP="003A052C">
      <w:pPr>
        <w:spacing w:line="360" w:lineRule="auto"/>
        <w:rPr>
          <w:lang w:val="en-US" w:bidi="en-US"/>
        </w:rPr>
      </w:pPr>
      <w:r w:rsidRPr="00A97A20">
        <w:rPr>
          <w:lang w:val="en-US" w:bidi="en-US"/>
        </w:rPr>
        <w:t>NK cells were defined as viable CD45</w:t>
      </w:r>
      <w:r w:rsidRPr="00A97A20">
        <w:rPr>
          <w:vertAlign w:val="superscript"/>
          <w:lang w:val="en-US" w:bidi="en-US"/>
        </w:rPr>
        <w:t xml:space="preserve">high </w:t>
      </w:r>
      <w:r w:rsidRPr="00A97A20">
        <w:rPr>
          <w:lang w:val="en-US" w:bidi="en-US"/>
        </w:rPr>
        <w:t>lymphocytes with CD56</w:t>
      </w:r>
      <w:r w:rsidRPr="00A97A20">
        <w:rPr>
          <w:vertAlign w:val="superscript"/>
          <w:lang w:val="en-US" w:bidi="en-US"/>
        </w:rPr>
        <w:t>+</w:t>
      </w:r>
      <w:r w:rsidRPr="00A97A20">
        <w:rPr>
          <w:lang w:val="en-US" w:bidi="en-US"/>
        </w:rPr>
        <w:t>CD3</w:t>
      </w:r>
      <w:r w:rsidRPr="00A97A20">
        <w:rPr>
          <w:vertAlign w:val="superscript"/>
          <w:lang w:val="en-US" w:bidi="en-US"/>
        </w:rPr>
        <w:t>-</w:t>
      </w:r>
      <w:r w:rsidRPr="00A97A20">
        <w:rPr>
          <w:lang w:val="en-US" w:bidi="en-US"/>
        </w:rPr>
        <w:t xml:space="preserve"> expression.  </w:t>
      </w:r>
    </w:p>
    <w:p w14:paraId="0BB68AA5" w14:textId="77777777" w:rsidR="003A052C" w:rsidRPr="00A97A20" w:rsidRDefault="003A052C" w:rsidP="003A052C">
      <w:pPr>
        <w:spacing w:line="360" w:lineRule="auto"/>
        <w:rPr>
          <w:lang w:val="en-US"/>
        </w:rPr>
      </w:pPr>
      <w:r w:rsidRPr="00A97A20">
        <w:rPr>
          <w:lang w:val="en-US"/>
        </w:rPr>
        <w:t xml:space="preserve">Flow cytometry was performed using a LSRFORTESSA instrument (Becton Dickinson). Fluorescent labeled beads (CS&amp;T beads, Becton Dickinson) were used daily to monitor the performance of the flow cytometer and verify optical path and stream flow. This procedure enables controlled standardized results and allows the determination of long-term drifts and incidental changes within the flow cytometer. No changes were observed which affected the </w:t>
      </w:r>
      <w:r w:rsidRPr="00A97A20">
        <w:rPr>
          <w:lang w:val="en-US"/>
        </w:rPr>
        <w:lastRenderedPageBreak/>
        <w:t xml:space="preserve">results. Compensation beads were used to determine spectral overlap, compensation was automatically calculated using FACSDiva software (BD Biosciences). Flow cytometry data were analyzed using FCS express software, version 6 (DeNovo software). </w:t>
      </w:r>
    </w:p>
    <w:p w14:paraId="74F1A644" w14:textId="77777777" w:rsidR="003A052C" w:rsidRPr="00A97A20" w:rsidRDefault="003A052C" w:rsidP="003A052C">
      <w:pPr>
        <w:spacing w:line="360" w:lineRule="auto"/>
        <w:rPr>
          <w:lang w:val="en-US"/>
        </w:rPr>
      </w:pPr>
    </w:p>
    <w:p w14:paraId="75848618" w14:textId="77777777" w:rsidR="003A052C" w:rsidRPr="00A97A20" w:rsidRDefault="003A052C" w:rsidP="003A052C">
      <w:pPr>
        <w:spacing w:line="360" w:lineRule="auto"/>
        <w:rPr>
          <w:i/>
          <w:iCs/>
          <w:lang w:val="en-US"/>
        </w:rPr>
      </w:pPr>
      <w:r w:rsidRPr="00A97A20">
        <w:rPr>
          <w:i/>
          <w:iCs/>
          <w:lang w:val="en-US"/>
        </w:rPr>
        <w:t>Flow cytometric analysis of fresh peripheral blood samples</w:t>
      </w:r>
    </w:p>
    <w:p w14:paraId="78194F9C" w14:textId="77777777" w:rsidR="003A052C" w:rsidRPr="00A97A20" w:rsidRDefault="003A052C" w:rsidP="003A052C">
      <w:pPr>
        <w:spacing w:line="360" w:lineRule="auto"/>
        <w:rPr>
          <w:lang w:val="en-US"/>
        </w:rPr>
      </w:pPr>
      <w:r w:rsidRPr="00A97A20">
        <w:rPr>
          <w:lang w:val="en-US"/>
        </w:rPr>
        <w:t>Peripheral blood (PB) samples were obtained from 61 patients at baseline prior to initiation of daratumumab treatment (baseline; n=53), after one cycle of daratumumab monotherapy (cycle 2 day 1, C2D1; n=51), and at the time of disease progression or insufficient response in part A, before initiation of ATRA treatment in part B (EOT-A; n=52).</w:t>
      </w:r>
    </w:p>
    <w:p w14:paraId="7E100E7A" w14:textId="7219E3F5" w:rsidR="003A052C" w:rsidRPr="00A97A20" w:rsidRDefault="003A052C" w:rsidP="003A052C">
      <w:pPr>
        <w:spacing w:line="360" w:lineRule="auto"/>
        <w:rPr>
          <w:lang w:val="en-US"/>
        </w:rPr>
      </w:pPr>
      <w:r w:rsidRPr="00A97A20">
        <w:rPr>
          <w:lang w:val="en-US"/>
        </w:rPr>
        <w:t>These samples were analyzed within 24 hours after PB sampling, as described previously</w:t>
      </w:r>
      <w:r w:rsidRPr="00A97A20">
        <w:rPr>
          <w:lang w:val="en-US"/>
        </w:rPr>
        <w:fldChar w:fldCharType="begin">
          <w:fldData xml:space="preserve">PEVuZE5vdGU+PENpdGU+PEF1dGhvcj5GcmVyaWNoczwvQXV0aG9yPjxZZWFyPjIwMjE8L1llYXI+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</w:fldData>
        </w:fldChar>
      </w:r>
      <w:r w:rsidR="00DE2528" w:rsidRPr="00A97A20">
        <w:rPr>
          <w:lang w:val="en-US"/>
        </w:rPr>
        <w:instrText xml:space="preserve"> ADDIN EN.CITE </w:instrText>
      </w:r>
      <w:r w:rsidR="00DE2528" w:rsidRPr="00A97A20">
        <w:rPr>
          <w:lang w:val="en-US"/>
        </w:rPr>
        <w:fldChar w:fldCharType="begin">
          <w:fldData xml:space="preserve">PEVuZE5vdGU+PENpdGU+PEF1dGhvcj5GcmVyaWNoczwvQXV0aG9yPjxZZWFyPjIwMjE8L1llYXI+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</w:fldData>
        </w:fldChar>
      </w:r>
      <w:r w:rsidR="00DE2528" w:rsidRPr="00A97A20">
        <w:rPr>
          <w:lang w:val="en-US"/>
        </w:rPr>
        <w:instrText xml:space="preserve"> ADDIN EN.CITE.DATA </w:instrText>
      </w:r>
      <w:r w:rsidR="00DE2528" w:rsidRPr="00A97A20">
        <w:rPr>
          <w:lang w:val="en-US"/>
        </w:rPr>
      </w:r>
      <w:r w:rsidR="00DE2528" w:rsidRPr="00A97A20">
        <w:rPr>
          <w:lang w:val="en-US"/>
        </w:rPr>
        <w:fldChar w:fldCharType="end"/>
      </w:r>
      <w:r w:rsidRPr="00A97A20">
        <w:rPr>
          <w:lang w:val="en-US"/>
        </w:rPr>
      </w:r>
      <w:r w:rsidRPr="00A97A20">
        <w:rPr>
          <w:lang w:val="en-US"/>
        </w:rPr>
        <w:fldChar w:fldCharType="separate"/>
      </w:r>
      <w:r w:rsidR="00DE2528" w:rsidRPr="00A97A20">
        <w:rPr>
          <w:noProof/>
          <w:vertAlign w:val="superscript"/>
          <w:lang w:val="en-US"/>
        </w:rPr>
        <w:t>2</w:t>
      </w:r>
      <w:r w:rsidRPr="00A97A20">
        <w:rPr>
          <w:lang w:val="en-US"/>
        </w:rPr>
        <w:fldChar w:fldCharType="end"/>
      </w:r>
      <w:r w:rsidRPr="00A97A20">
        <w:rPr>
          <w:lang w:val="en-US"/>
        </w:rPr>
        <w:t>. Briefly, in these samples the frequency of NK cells was assessed by staining 1x10</w:t>
      </w:r>
      <w:r w:rsidRPr="00A97A20">
        <w:rPr>
          <w:vertAlign w:val="superscript"/>
          <w:lang w:val="en-US"/>
        </w:rPr>
        <w:t>6</w:t>
      </w:r>
      <w:r w:rsidRPr="00A97A20">
        <w:rPr>
          <w:lang w:val="en-US"/>
        </w:rPr>
        <w:t xml:space="preserve"> nucleated cells with CD45 Krome Orange, CD56 PE-Cy7 (both Beckman Coulter), CD3 V450 and CD16 PE (both Beckton Dickinson). Red blood cells were lysed with NH</w:t>
      </w:r>
      <w:r w:rsidRPr="00A97A20">
        <w:rPr>
          <w:vertAlign w:val="subscript"/>
          <w:lang w:val="en-US"/>
        </w:rPr>
        <w:t>4</w:t>
      </w:r>
      <w:r w:rsidRPr="00A97A20">
        <w:rPr>
          <w:lang w:val="en-US"/>
        </w:rPr>
        <w:t xml:space="preserve">Cl directly before analysis. Flow cytometry was performed using a FACSCelesta instrument (Becton Dickinson). </w:t>
      </w:r>
    </w:p>
    <w:p w14:paraId="4908536F" w14:textId="77777777" w:rsidR="003A052C" w:rsidRPr="00A97A20" w:rsidRDefault="003A052C" w:rsidP="003A052C">
      <w:pPr>
        <w:spacing w:line="360" w:lineRule="auto"/>
        <w:rPr>
          <w:lang w:val="en-US"/>
        </w:rPr>
      </w:pPr>
    </w:p>
    <w:p w14:paraId="5F759F91" w14:textId="77777777" w:rsidR="003A052C" w:rsidRPr="00A97A20" w:rsidRDefault="003A052C" w:rsidP="003A052C">
      <w:pPr>
        <w:spacing w:line="360" w:lineRule="auto"/>
        <w:rPr>
          <w:i/>
          <w:iCs/>
          <w:lang w:val="en-US"/>
        </w:rPr>
      </w:pPr>
      <w:r w:rsidRPr="00A97A20">
        <w:rPr>
          <w:i/>
          <w:iCs/>
          <w:lang w:val="en-US"/>
        </w:rPr>
        <w:t>Flow cytometric analysis of cryopreserved peripheral blood samples</w:t>
      </w:r>
    </w:p>
    <w:p w14:paraId="3E775A23" w14:textId="77777777" w:rsidR="003A052C" w:rsidRPr="00A97A20" w:rsidRDefault="003A052C" w:rsidP="003A052C">
      <w:pPr>
        <w:spacing w:line="360" w:lineRule="auto"/>
        <w:rPr>
          <w:lang w:val="en-US"/>
        </w:rPr>
      </w:pPr>
      <w:r w:rsidRPr="00A97A20">
        <w:rPr>
          <w:lang w:val="en-US"/>
        </w:rPr>
        <w:t>In depth flow cytometric analysis was performed with longitudinal PB samples, obtained at baseline (n=20), at day 1 of the second treatment cycle (C2D1, n=20) and at EOT-A (n=20). PB-mononuclear cells (PB-MNCs) were isolated by Ficoll-Hypaque density-gradient centrifugation, and cryopreserved until analysis. In these samples, the frequency and phenotype of NK cells was characterized by staining 2x10</w:t>
      </w:r>
      <w:r w:rsidRPr="00A97A20">
        <w:rPr>
          <w:vertAlign w:val="superscript"/>
          <w:lang w:val="en-US"/>
        </w:rPr>
        <w:t>6</w:t>
      </w:r>
      <w:r w:rsidRPr="00A97A20">
        <w:rPr>
          <w:lang w:val="en-US"/>
        </w:rPr>
        <w:t xml:space="preserve"> nucleated cells (1x10</w:t>
      </w:r>
      <w:r w:rsidRPr="00A97A20">
        <w:rPr>
          <w:vertAlign w:val="superscript"/>
          <w:lang w:val="en-US"/>
        </w:rPr>
        <w:t>6</w:t>
      </w:r>
      <w:r w:rsidRPr="00A97A20">
        <w:rPr>
          <w:lang w:val="en-US"/>
        </w:rPr>
        <w:t xml:space="preserve"> per panel) with CD45 Krome Orange (Beckman Coulter), CD56 PE (Biolegend), CD14 BB700, CD3 BUV395, CD16 BUV737 (all Beckton Dickinson), and with the following antibodies in panel 1: CD57 FITC, Natural Killer Protein 30 [NKp30] BV421, DNAX Accessory Molecule-1 [DNAM-1] BV711, HLA-DR BV786 (all Beckton Dickinson), T-cell immunoreceptor with Ig and ITIM Domains [TIGIT] PE-Cy7, PD-1 BV605 (both Biolegend), and Killer Cell Lectin Like Receptor G1 [KLRG1] APC (ThermoFisher); and with the following antibodies in panel 2: NK Cell Group 2 isoform C [NKG2C] AF488 (R&amp;D systems), CD160 PE-Cy7, NKG2A APC, NKG2D BV421, TIM-3 BV711 (all Biolegend), and Natural Killer Protein 46 [NKp46] BV786 (Beckton Dickinson). </w:t>
      </w:r>
      <w:r w:rsidRPr="00A97A20">
        <w:rPr>
          <w:rFonts w:cstheme="minorHAnsi"/>
          <w:lang w:val="en-US"/>
        </w:rPr>
        <w:t>LIVE/DEAD</w:t>
      </w:r>
      <w:r w:rsidRPr="00A97A20">
        <w:rPr>
          <w:rFonts w:cstheme="minorHAnsi"/>
          <w:vertAlign w:val="superscript"/>
          <w:lang w:val="en-US"/>
        </w:rPr>
        <w:t>TM</w:t>
      </w:r>
      <w:r w:rsidRPr="00A97A20">
        <w:rPr>
          <w:rFonts w:cstheme="minorHAnsi"/>
          <w:lang w:val="en-US"/>
        </w:rPr>
        <w:t xml:space="preserve"> Fixable Near-IR Dead Cell fluorescent dye (Invitrogen)</w:t>
      </w:r>
      <w:r w:rsidRPr="00A97A20">
        <w:rPr>
          <w:lang w:val="en-US"/>
        </w:rPr>
        <w:t xml:space="preserve"> was used to determine viability. In order to prevent non-specific binding, human normal immunoglobulins </w:t>
      </w:r>
      <w:r w:rsidRPr="00A97A20">
        <w:rPr>
          <w:lang w:val="en-US"/>
        </w:rPr>
        <w:lastRenderedPageBreak/>
        <w:t>(Nanogam, Sanquin Plasma Products B.V.) were added to the staining procedure as Fc-blocking reagent.</w:t>
      </w:r>
    </w:p>
    <w:p w14:paraId="03C9D01A" w14:textId="6FD20E70" w:rsidR="003A052C" w:rsidRPr="00A97A20" w:rsidRDefault="003A052C" w:rsidP="003A052C">
      <w:pPr>
        <w:spacing w:line="360" w:lineRule="auto"/>
        <w:rPr>
          <w:lang w:val="en-US"/>
        </w:rPr>
      </w:pPr>
      <w:r w:rsidRPr="00A97A20">
        <w:rPr>
          <w:lang w:val="en-US"/>
        </w:rPr>
        <w:t>Flow cytometry was performed using a LSRFORTESSA instrument (Becton Dickinson). Fluorescent labeled beads (CS&amp;T beads, Becton Dickinson) were used daily to monitor the performance of the flow cytometer and verify optical path and stream flow. Compensation beads were used to determine spectral overlap; compensation was automatically calculated using FACSDiva software (BD Biosciences). OneFlow Beads (Beckton Dickonson) and Alignflow</w:t>
      </w:r>
      <w:r w:rsidRPr="00A97A20">
        <w:rPr>
          <w:vertAlign w:val="superscript"/>
          <w:lang w:val="en-US"/>
        </w:rPr>
        <w:t>TM</w:t>
      </w:r>
      <w:r w:rsidRPr="00A97A20">
        <w:rPr>
          <w:lang w:val="en-US"/>
        </w:rPr>
        <w:t xml:space="preserve"> Flow Cytometry Alignment Beads for UV (ThermoFisher) were used daily to maintain PMT values within 2% of the reference value. Flow cytometry data were analyzed using FCS express software, version 6 (DeNovo software).</w:t>
      </w:r>
    </w:p>
    <w:p w14:paraId="704131AF" w14:textId="377D214C" w:rsidR="003A052C" w:rsidRPr="00A97A20" w:rsidRDefault="003A052C" w:rsidP="003A052C">
      <w:pPr>
        <w:spacing w:line="360" w:lineRule="auto"/>
        <w:rPr>
          <w:lang w:val="en-US"/>
        </w:rPr>
      </w:pPr>
      <w:r w:rsidRPr="00A97A20">
        <w:rPr>
          <w:lang w:val="en-US"/>
        </w:rPr>
        <w:t>In addition, manually gated NK cells were exported, and computational flow cytometry analyses were performed in RStudio and R version 4.</w:t>
      </w:r>
      <w:r w:rsidR="00DE4D05" w:rsidRPr="00A97A20">
        <w:rPr>
          <w:lang w:val="en-US"/>
        </w:rPr>
        <w:t>0</w:t>
      </w:r>
      <w:r w:rsidRPr="00A97A20">
        <w:rPr>
          <w:lang w:val="en-US"/>
        </w:rPr>
        <w:t>.</w:t>
      </w:r>
      <w:r w:rsidR="00DE4D05" w:rsidRPr="00A97A20">
        <w:rPr>
          <w:lang w:val="en-US"/>
        </w:rPr>
        <w:t>3</w:t>
      </w:r>
      <w:r w:rsidRPr="00A97A20">
        <w:rPr>
          <w:lang w:val="en-US"/>
        </w:rPr>
        <w:t>. To optimize the pre-gated flow cytometry data for computational flow cytometry analyses, several preprocessing steps were used. First, the peacoQC algorithm was used to select high quality cells based on timegating</w:t>
      </w:r>
      <w:r w:rsidRPr="00A97A20">
        <w:rPr>
          <w:lang w:val="en-US"/>
        </w:rPr>
        <w:fldChar w:fldCharType="begin"/>
      </w:r>
      <w:r w:rsidR="00DE2528" w:rsidRPr="00A97A20">
        <w:rPr>
          <w:lang w:val="en-US"/>
        </w:rPr>
        <w:instrText xml:space="preserve"> ADDIN EN.CITE &lt;EndNote&gt;&lt;Cite&gt;&lt;Author&gt;Emmaneel&lt;/Author&gt;&lt;RecNum&gt;154&lt;/RecNum&gt;&lt;DisplayText&gt;&lt;style face="superscript"&gt;3&lt;/style&gt;&lt;/DisplayText&gt;&lt;record&gt;&lt;rec-number&gt;154&lt;/rec-number&gt;&lt;foreign-keys&gt;&lt;key app="EN" db-id="fzwawe22q5fp0fep52hpdps0ppdvtfa5z0fa" timestamp="1634555546"&gt;154&lt;/key&gt;&lt;/foreign-keys&gt;&lt;ref-type name="Journal Article"&gt;17&lt;/ref-type&gt;&lt;contributors&gt;&lt;authors&gt;&lt;author&gt;Emmaneel, Annelies&lt;/author&gt;&lt;author&gt;Quintelier, Katrien&lt;/author&gt;&lt;author&gt;Sichien, Dorine&lt;/author&gt;&lt;author&gt;Rybakowska, Paulina&lt;/author&gt;&lt;author&gt;Marañón, Concepción&lt;/author&gt;&lt;author&gt;Alarcón-Riquelme, Marta E.&lt;/author&gt;&lt;author&gt;Van Isterdael, Gert&lt;/author&gt;&lt;author&gt;Van Gassen, Sofie&lt;/author&gt;&lt;author&gt;Saeys, Yvan&lt;/author&gt;&lt;/authors&gt;&lt;/contributors&gt;&lt;titles&gt;&lt;title&gt;PeacoQC: Peak-based selection of high quality cytometry data&lt;/title&gt;&lt;secondary-title&gt;Cytometry Part A&lt;/secondary-title&gt;&lt;/titles&gt;&lt;periodical&gt;&lt;full-title&gt;Cytometry Part A&lt;/full-title&gt;&lt;/periodical&gt;&lt;volume&gt;n/a&lt;/volume&gt;&lt;number&gt;n/a&lt;/number&gt;&lt;dates&gt;&lt;/dates&gt;&lt;isbn&gt;1552-4922&lt;/isbn&gt;&lt;urls&gt;&lt;related-urls&gt;&lt;url&gt;https://onlinelibrary.wiley.com/doi/abs/10.1002/cyto.a.24501&lt;/url&gt;&lt;/related-urls&gt;&lt;/urls&gt;&lt;electronic-resource-num&gt;https://doi.org/10.1002/cyto.a.24501&lt;/electronic-resource-num&gt;&lt;/record&gt;&lt;/Cite&gt;&lt;/EndNote&gt;</w:instrText>
      </w:r>
      <w:r w:rsidRPr="00A97A20">
        <w:rPr>
          <w:lang w:val="en-US"/>
        </w:rPr>
        <w:fldChar w:fldCharType="separate"/>
      </w:r>
      <w:r w:rsidR="00DE2528" w:rsidRPr="00A97A20">
        <w:rPr>
          <w:noProof/>
          <w:vertAlign w:val="superscript"/>
          <w:lang w:val="en-US"/>
        </w:rPr>
        <w:t>3</w:t>
      </w:r>
      <w:r w:rsidRPr="00A97A20">
        <w:rPr>
          <w:lang w:val="en-US"/>
        </w:rPr>
        <w:fldChar w:fldCharType="end"/>
      </w:r>
      <w:r w:rsidRPr="00A97A20">
        <w:rPr>
          <w:lang w:val="en-US"/>
        </w:rPr>
        <w:t>. Second, hyperbolic arcsin transformation was used for all expression parameters with an optimized cofactor (either 50, 150, 300, 500 or 1000)</w:t>
      </w:r>
      <w:r w:rsidRPr="00A97A20">
        <w:rPr>
          <w:lang w:val="en-US"/>
        </w:rPr>
        <w:fldChar w:fldCharType="begin"/>
      </w:r>
      <w:r w:rsidR="00DE2528" w:rsidRPr="00A97A20">
        <w:rPr>
          <w:lang w:val="en-US"/>
        </w:rPr>
        <w:instrText xml:space="preserve"> ADDIN EN.CITE &lt;EndNote&gt;&lt;Cite&gt;&lt;Author&gt;Liechti&lt;/Author&gt;&lt;Year&gt;2021&lt;/Year&gt;&lt;RecNum&gt;155&lt;/RecNum&gt;&lt;DisplayText&gt;&lt;style face="superscript"&gt;4&lt;/style&gt;&lt;/DisplayText&gt;&lt;record&gt;&lt;rec-number&gt;155&lt;/rec-number&gt;&lt;foreign-keys&gt;&lt;key app="EN" db-id="fzwawe22q5fp0fep52hpdps0ppdvtfa5z0fa" timestamp="1634555703"&gt;155&lt;/key&gt;&lt;/foreign-keys&gt;&lt;ref-type name="Journal Article"&gt;17&lt;/ref-type&gt;&lt;contributors&gt;&lt;authors&gt;&lt;author&gt;Liechti, Thomas&lt;/author&gt;&lt;author&gt;Weber, Lukas M.&lt;/author&gt;&lt;author&gt;Ashhurst, Thomas M.&lt;/author&gt;&lt;author&gt;Stanley, Natalie&lt;/author&gt;&lt;author&gt;Prlic, Martin&lt;/author&gt;&lt;author&gt;Van Gassen, Sofie&lt;/author&gt;&lt;author&gt;Mair, Florian&lt;/author&gt;&lt;/authors&gt;&lt;/contributors&gt;&lt;titles&gt;&lt;title&gt;An updated guide for the perplexed: cytometry in the high-dimensional era&lt;/title&gt;&lt;secondary-title&gt;Nature Immunology&lt;/secondary-title&gt;&lt;/titles&gt;&lt;periodical&gt;&lt;full-title&gt;Nature Immunology&lt;/full-title&gt;&lt;/periodical&gt;&lt;pages&gt;1190-1197&lt;/pages&gt;&lt;volume&gt;22&lt;/volume&gt;&lt;number&gt;10&lt;/number&gt;&lt;dates&gt;&lt;year&gt;2021&lt;/year&gt;&lt;pub-dates&gt;&lt;date&gt;2021/10/01&lt;/date&gt;&lt;/pub-dates&gt;&lt;/dates&gt;&lt;isbn&gt;1529-2916&lt;/isbn&gt;&lt;urls&gt;&lt;related-urls&gt;&lt;url&gt;https://doi.org/10.1038/s41590-021-01006-z&lt;/url&gt;&lt;/related-urls&gt;&lt;/urls&gt;&lt;electronic-resource-num&gt;10.1038/s41590-021-01006-z&lt;/electronic-resource-num&gt;&lt;/record&gt;&lt;/Cite&gt;&lt;/EndNote&gt;</w:instrText>
      </w:r>
      <w:r w:rsidRPr="00A97A20">
        <w:rPr>
          <w:lang w:val="en-US"/>
        </w:rPr>
        <w:fldChar w:fldCharType="separate"/>
      </w:r>
      <w:r w:rsidR="00DE2528" w:rsidRPr="00A97A20">
        <w:rPr>
          <w:noProof/>
          <w:vertAlign w:val="superscript"/>
          <w:lang w:val="en-US"/>
        </w:rPr>
        <w:t>4</w:t>
      </w:r>
      <w:r w:rsidRPr="00A97A20">
        <w:rPr>
          <w:lang w:val="en-US"/>
        </w:rPr>
        <w:fldChar w:fldCharType="end"/>
      </w:r>
      <w:r w:rsidRPr="00A97A20">
        <w:rPr>
          <w:lang w:val="en-US"/>
        </w:rPr>
        <w:t>. Lastly, all expression parameters were scaled between 0 and 1 based on the lowest and upper 0.1% of all individual expression markers from 10 randomly selected files. A maximum of 20.000 cells per fcs file were aggregated, and FlowSOM was used to automatically identify cell populations using 225 clusters and 20 metaclusters for NK cell panels 1 and 2</w:t>
      </w:r>
      <w:r w:rsidRPr="00A97A20">
        <w:rPr>
          <w:lang w:val="en-US"/>
        </w:rPr>
        <w:fldChar w:fldCharType="begin">
          <w:fldData xml:space="preserve">PEVuZE5vdGU+PENpdGU+PEF1dGhvcj5RdWludGVsaWVyPC9BdXRob3I+PFllYXI+MjAyMTwvWWVh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</w:fldData>
        </w:fldChar>
      </w:r>
      <w:r w:rsidR="00DE2528" w:rsidRPr="00A97A20">
        <w:rPr>
          <w:lang w:val="en-US"/>
        </w:rPr>
        <w:instrText xml:space="preserve"> ADDIN EN.CITE </w:instrText>
      </w:r>
      <w:r w:rsidR="00DE2528" w:rsidRPr="00A97A20">
        <w:rPr>
          <w:lang w:val="en-US"/>
        </w:rPr>
        <w:fldChar w:fldCharType="begin">
          <w:fldData xml:space="preserve">PEVuZE5vdGU+PENpdGU+PEF1dGhvcj5RdWludGVsaWVyPC9BdXRob3I+PFllYXI+MjAyMTwvWWVh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</w:fldData>
        </w:fldChar>
      </w:r>
      <w:r w:rsidR="00DE2528" w:rsidRPr="00A97A20">
        <w:rPr>
          <w:lang w:val="en-US"/>
        </w:rPr>
        <w:instrText xml:space="preserve"> ADDIN EN.CITE.DATA </w:instrText>
      </w:r>
      <w:r w:rsidR="00DE2528" w:rsidRPr="00A97A20">
        <w:rPr>
          <w:lang w:val="en-US"/>
        </w:rPr>
      </w:r>
      <w:r w:rsidR="00DE2528" w:rsidRPr="00A97A20">
        <w:rPr>
          <w:lang w:val="en-US"/>
        </w:rPr>
        <w:fldChar w:fldCharType="end"/>
      </w:r>
      <w:r w:rsidRPr="00A97A20">
        <w:rPr>
          <w:lang w:val="en-US"/>
        </w:rPr>
      </w:r>
      <w:r w:rsidRPr="00A97A20">
        <w:rPr>
          <w:lang w:val="en-US"/>
        </w:rPr>
        <w:fldChar w:fldCharType="separate"/>
      </w:r>
      <w:r w:rsidR="00DE2528" w:rsidRPr="00A97A20">
        <w:rPr>
          <w:noProof/>
          <w:vertAlign w:val="superscript"/>
          <w:lang w:val="en-US"/>
        </w:rPr>
        <w:t>5,6</w:t>
      </w:r>
      <w:r w:rsidRPr="00A97A20">
        <w:rPr>
          <w:lang w:val="en-US"/>
        </w:rPr>
        <w:fldChar w:fldCharType="end"/>
      </w:r>
      <w:r w:rsidRPr="00A97A20">
        <w:rPr>
          <w:lang w:val="en-US"/>
        </w:rPr>
        <w:t>. The number of metaclusters was optimized based on visual inspection of the starplots and 2D scatterplots. Initially, FlowSOM was applied using 15 metaclusters, and the number of metaclusters was increased by 5 in case one metacluster contained both positive and negative cell populations of a certain marker. To calculate metacluster percentages and mean fluorescence intensities, all cells of the pre-gated NK cells were mapped over the optimized FlowSOM tree. UMAP was used for dimensionality reduction and visualization of the flow cytometry data in a 2D manner</w:t>
      </w:r>
      <w:r w:rsidRPr="00A97A20">
        <w:rPr>
          <w:lang w:val="en-US"/>
        </w:rPr>
        <w:fldChar w:fldCharType="begin"/>
      </w:r>
      <w:r w:rsidR="00DE2528" w:rsidRPr="00A97A20">
        <w:rPr>
          <w:lang w:val="en-US"/>
        </w:rPr>
        <w:instrText xml:space="preserve"> ADDIN EN.CITE &lt;EndNote&gt;&lt;Cite&gt;&lt;Author&gt;Becht&lt;/Author&gt;&lt;Year&gt;2018&lt;/Year&gt;&lt;RecNum&gt;2072&lt;/RecNum&gt;&lt;DisplayText&gt;&lt;style face="superscript"&gt;7&lt;/style&gt;&lt;/DisplayText&gt;&lt;record&gt;&lt;rec-number&gt;2072&lt;/rec-number&gt;&lt;foreign-keys&gt;&lt;key app="EN" db-id="29dsaf2wawxdvke9x96vspea2wraszrewp0r" timestamp="1651322963"&gt;2072&lt;/key&gt;&lt;/foreign-keys&gt;&lt;ref-type name="Journal Article"&gt;17&lt;/ref-type&gt;&lt;contributors&gt;&lt;authors&gt;&lt;author&gt;Becht, E.&lt;/author&gt;&lt;author&gt;McInnes, L.&lt;/author&gt;&lt;author&gt;Healy, J.&lt;/author&gt;&lt;author&gt;Dutertre, C. A.&lt;/author&gt;&lt;author&gt;Kwok, I. W. H.&lt;/author&gt;&lt;author&gt;Ng, L. G.&lt;/author&gt;&lt;author&gt;Ginhoux, F.&lt;/author&gt;&lt;author&gt;Newell, E. W.&lt;/author&gt;&lt;/authors&gt;&lt;/contributors&gt;&lt;auth-address&gt;Singapore Immunology Network (SIgN), Agency for Science, Technology and Research (A*STAR), Singapore, Singapore.&amp;#xD;Tutte Institute for Mathematics and Computing, Ottawa, Ontario, Canada.&amp;#xD;Fred Hutchinson Cancer Research Center, Vaccine and Infectious Disease Division, Seattle, Washington, USA.&lt;/auth-address&gt;&lt;titles&gt;&lt;title&gt;Dimensionality reduction for visualizing single-cell data using UMAP&lt;/title&gt;&lt;secondary-title&gt;Nat Biotechnol&lt;/secondary-title&gt;&lt;/titles&gt;&lt;periodical&gt;&lt;full-title&gt;Nat Biotechnol&lt;/full-title&gt;&lt;abbr-1&gt;Nature biotechnology&lt;/abbr-1&gt;&lt;/periodical&gt;&lt;edition&gt;2018/12/12&lt;/edition&gt;&lt;dates&gt;&lt;year&gt;2018&lt;/year&gt;&lt;pub-dates&gt;&lt;date&gt;Dec 3&lt;/date&gt;&lt;/pub-dates&gt;&lt;/dates&gt;&lt;isbn&gt;1087-0156&lt;/isbn&gt;&lt;accession-num&gt;30531897&lt;/accession-num&gt;&lt;urls&gt;&lt;/urls&gt;&lt;electronic-resource-num&gt;10.1038/nbt.4314&lt;/electronic-resource-num&gt;&lt;remote-database-provider&gt;NLM&lt;/remote-database-provider&gt;&lt;language&gt;eng&lt;/language&gt;&lt;/record&gt;&lt;/Cite&gt;&lt;/EndNote&gt;</w:instrText>
      </w:r>
      <w:r w:rsidRPr="00A97A20">
        <w:rPr>
          <w:lang w:val="en-US"/>
        </w:rPr>
        <w:fldChar w:fldCharType="separate"/>
      </w:r>
      <w:r w:rsidR="00DE2528" w:rsidRPr="00A97A20">
        <w:rPr>
          <w:noProof/>
          <w:vertAlign w:val="superscript"/>
          <w:lang w:val="en-US"/>
        </w:rPr>
        <w:t>7</w:t>
      </w:r>
      <w:r w:rsidRPr="00A97A20">
        <w:rPr>
          <w:lang w:val="en-US"/>
        </w:rPr>
        <w:fldChar w:fldCharType="end"/>
      </w:r>
      <w:r w:rsidRPr="00A97A20">
        <w:rPr>
          <w:lang w:val="en-US"/>
        </w:rPr>
        <w:t>.</w:t>
      </w:r>
    </w:p>
    <w:p w14:paraId="101C0847" w14:textId="77777777" w:rsidR="003A052C" w:rsidRPr="00A97A20" w:rsidRDefault="003A052C" w:rsidP="003A052C">
      <w:pPr>
        <w:spacing w:line="360" w:lineRule="auto"/>
        <w:rPr>
          <w:lang w:val="en-US"/>
        </w:rPr>
      </w:pPr>
    </w:p>
    <w:p w14:paraId="1E764F75" w14:textId="3F9A4AF9" w:rsidR="003A052C" w:rsidRPr="00A97A20" w:rsidRDefault="003A052C" w:rsidP="003A052C">
      <w:pPr>
        <w:spacing w:line="360" w:lineRule="auto"/>
        <w:rPr>
          <w:i/>
          <w:iCs/>
          <w:lang w:val="en-US"/>
        </w:rPr>
      </w:pPr>
      <w:r w:rsidRPr="00A97A20">
        <w:rPr>
          <w:i/>
          <w:lang w:val="en-US"/>
        </w:rPr>
        <w:t>Cytometry by time of flight (</w:t>
      </w:r>
      <w:r w:rsidRPr="00A97A20">
        <w:rPr>
          <w:i/>
          <w:iCs/>
          <w:lang w:val="en-US"/>
        </w:rPr>
        <w:t>CyTOF) analysis on bone marrow samples</w:t>
      </w:r>
    </w:p>
    <w:p w14:paraId="3BD2EFCE" w14:textId="22C90C87" w:rsidR="003A052C" w:rsidRPr="00A97A20" w:rsidRDefault="003A052C" w:rsidP="003A052C">
      <w:pPr>
        <w:spacing w:line="360" w:lineRule="auto"/>
        <w:rPr>
          <w:lang w:val="en-US"/>
        </w:rPr>
      </w:pPr>
      <w:r w:rsidRPr="00A97A20">
        <w:rPr>
          <w:lang w:val="en-US"/>
        </w:rPr>
        <w:t xml:space="preserve">Patient PB and BM were collected and fixed in SmartTubes® (Smart Tube, Inc.) for 10 minutes at room temperature and stored at −80°C until analysis. CyTOF profiling was done in BM aspirates, obtained at baseline prior to initiation of daratumumab treatment (baseline), </w:t>
      </w:r>
      <w:r w:rsidRPr="00A97A20">
        <w:rPr>
          <w:lang w:val="en-US"/>
        </w:rPr>
        <w:lastRenderedPageBreak/>
        <w:t xml:space="preserve">and in samples collected at the time of insufficient response to daratumumab monotherapy or at the time of disease progression, before initiation of ATRA treatment in part B (EOT-A). </w:t>
      </w:r>
    </w:p>
    <w:p w14:paraId="2646836F" w14:textId="32A56946" w:rsidR="003A052C" w:rsidRPr="00A97A20" w:rsidRDefault="003A052C" w:rsidP="003A052C">
      <w:pPr>
        <w:spacing w:line="360" w:lineRule="auto"/>
        <w:rPr>
          <w:lang w:val="en-US"/>
        </w:rPr>
      </w:pPr>
      <w:r w:rsidRPr="00A97A20">
        <w:rPr>
          <w:lang w:val="en-US"/>
        </w:rPr>
        <w:t>Purified metal-conjugated antibodies from Fluidigm (Fluidigm Corp) or labeled in-house using the Maxpar® Antibody Labeling Kit (Fluidigm), according to the manufacturer’s protocol, were used for CyTOF staining and analysis. Prior to staining, samples were thawed and red blood cells were lysed with the addition of a hypotonic thaw-lyse buffer (SmartTube®), according to the manufacturer’s protocol. Samples still containing red blood cells after 3 lysis steps were further purified by CD235 depletion (MACSxpress Erythrocyte Depletion Kit; Miltenyi Biotec). To block surface Fc receptors, each sample received 10 µl of Human TruStain FcX (BioLegend). Cells were then incubated with a mixture of 36 surface marker metal-conjugated antibodies (not yet including antibodies for intracellula</w:t>
      </w:r>
      <w:r w:rsidR="00BE0B0B" w:rsidRPr="00A97A20">
        <w:rPr>
          <w:lang w:val="en-US"/>
        </w:rPr>
        <w:t>r staining; Supplemental Table 3</w:t>
      </w:r>
      <w:r w:rsidRPr="00A97A20">
        <w:rPr>
          <w:lang w:val="en-US"/>
        </w:rPr>
        <w:t>), and subsequently permeabilized with 1 mL of ice cold PermWash buffer (BD Biosciences). Next, intracellular staining was performed using anti-caspase-3, anti-granzyme B, and anti-CTLA4 antibodies. Cells were further permeabilized using PermIII buffer (BD Biosciences), stained with nucleic acid-intercalator (191Ir, 193Ir) (Fluidigm) and barcoded using Cell-IDTM 20-Plex Pd Barcoding Kit (Fluidigm). Labeled cells were then dissolved in ultrapure water with EQ™ Four Element Calibration Beads at a concentration of 3.3×10</w:t>
      </w:r>
      <w:r w:rsidRPr="00A97A20">
        <w:rPr>
          <w:vertAlign w:val="superscript"/>
          <w:lang w:val="en-US"/>
        </w:rPr>
        <w:t>4</w:t>
      </w:r>
      <w:r w:rsidRPr="00A97A20">
        <w:rPr>
          <w:lang w:val="en-US"/>
        </w:rPr>
        <w:t xml:space="preserve"> beads/mL (Fluidigm) for analysis with a CyTOF® C5 system (Fluidigm). Samples were run at an acquisition rate of 300 to 500 cells/min. Each experiment was run with a maximum of 20 samples per experiment, including an aliquot of PB from a healthy donor for quality control. </w:t>
      </w:r>
    </w:p>
    <w:p w14:paraId="7A2D0BBE" w14:textId="77777777" w:rsidR="003A052C" w:rsidRPr="00A97A20" w:rsidRDefault="003A052C" w:rsidP="003A052C">
      <w:pPr>
        <w:spacing w:line="360" w:lineRule="auto"/>
        <w:rPr>
          <w:lang w:val="en-US"/>
        </w:rPr>
      </w:pPr>
      <w:r w:rsidRPr="00A97A20">
        <w:rPr>
          <w:lang w:val="en-US"/>
        </w:rPr>
        <w:t xml:space="preserve">Data acquired on CyTOF® were obtained in FCS file format and normalized using CyTOF® Software 6.5.358 for Stand-Alone Processing Workstations (Fluidigm). Manual gating was performed using Cytobank software. Channel intensities were normalized with calibration beads. The arcsinh function with a cofactor of five was used to transform the channel intensities. Subsequent data analysis was performed using in house scripts and the R 4.0.3 and RStudio 1.1.442 software. </w:t>
      </w:r>
    </w:p>
    <w:p w14:paraId="2D2870BC" w14:textId="32F64F29" w:rsidR="003A052C" w:rsidRPr="00A97A20" w:rsidRDefault="003A052C" w:rsidP="003A052C">
      <w:pPr>
        <w:spacing w:line="360" w:lineRule="auto"/>
        <w:rPr>
          <w:i/>
          <w:lang w:val="en-US"/>
        </w:rPr>
      </w:pPr>
      <w:r w:rsidRPr="00A97A20">
        <w:rPr>
          <w:lang w:val="en-US"/>
        </w:rPr>
        <w:t>Sample quality was assessed by performing marker enrichment modelling to evaluate marker stability, and by relying on the Hilbert similarity and Earth Movers Distance methods to research sample similarity using clustering and dimensionality reduction</w:t>
      </w:r>
      <w:r w:rsidRPr="00A97A20">
        <w:rPr>
          <w:lang w:val="en-US"/>
        </w:rPr>
        <w:fldChar w:fldCharType="begin"/>
      </w:r>
      <w:r w:rsidR="00DE2528" w:rsidRPr="00A97A20">
        <w:rPr>
          <w:lang w:val="en-US"/>
        </w:rPr>
        <w:instrText xml:space="preserve"> ADDIN EN.CITE &lt;EndNote&gt;&lt;Cite&gt;&lt;Author&gt;Diggins&lt;/Author&gt;&lt;Year&gt;2017&lt;/Year&gt;&lt;RecNum&gt;2077&lt;/RecNum&gt;&lt;DisplayText&gt;&lt;style face="superscript"&gt;8&lt;/style&gt;&lt;/DisplayText&gt;&lt;record&gt;&lt;rec-number&gt;2077&lt;/rec-number&gt;&lt;foreign-keys&gt;&lt;key app="EN" db-id="29dsaf2wawxdvke9x96vspea2wraszrewp0r" timestamp="1651324880"&gt;2077&lt;/key&gt;&lt;/foreign-keys&gt;&lt;ref-type name="Journal Article"&gt;17&lt;/ref-type&gt;&lt;contributors&gt;&lt;authors&gt;&lt;author&gt;Diggins, K. E.&lt;/author&gt;&lt;author&gt;Greenplate, A. R.&lt;/author&gt;&lt;author&gt;Leelatian, N.&lt;/author&gt;&lt;author&gt;Wogsland, C. E.&lt;/author&gt;&lt;author&gt;Irish, J. M.&lt;/author&gt;&lt;/authors&gt;&lt;/contributors&gt;&lt;auth-address&gt;Department of Cancer Biology, Vanderbilt University School of Medicine, Nashville, Tennessee, USA.&amp;#xD;Vanderbilt-Ingram Cancer Center, Vanderbilt University School of Medicine, Nashville, Tennessee, USA.&amp;#xD;Department of Pathology, Microbiology and Immunology, Vanderbilt University School of Medicine, Nashville, Tennessee, USA.&lt;/auth-address&gt;&lt;titles&gt;&lt;title&gt;Characterizing cell subsets using marker enrichment modeling&lt;/title&gt;&lt;secondary-title&gt;Nat Methods&lt;/secondary-title&gt;&lt;/titles&gt;&lt;periodical&gt;&lt;full-title&gt;Nat Methods&lt;/full-title&gt;&lt;/periodical&gt;&lt;pages&gt;275-278&lt;/pages&gt;&lt;volume&gt;14&lt;/volume&gt;&lt;number&gt;3&lt;/number&gt;&lt;edition&gt;2017/01/31&lt;/edition&gt;&lt;keywords&gt;&lt;keyword&gt;*Algorithms&lt;/keyword&gt;&lt;keyword&gt;Biomarkers/analysis&lt;/keyword&gt;&lt;keyword&gt;Brain Neoplasms/immunology/*pathology&lt;/keyword&gt;&lt;keyword&gt;Computational Biology/*methods&lt;/keyword&gt;&lt;keyword&gt;Flow Cytometry/*methods&lt;/keyword&gt;&lt;keyword&gt;Glioblastoma/immunology/*pathology&lt;/keyword&gt;&lt;keyword&gt;Humans&lt;/keyword&gt;&lt;keyword&gt;Single-Cell Analysis/methods&lt;/keyword&gt;&lt;keyword&gt;T-Lymphocytes/cytology&lt;/keyword&gt;&lt;/keywords&gt;&lt;dates&gt;&lt;year&gt;2017&lt;/year&gt;&lt;pub-dates&gt;&lt;date&gt;Mar&lt;/date&gt;&lt;/pub-dates&gt;&lt;/dates&gt;&lt;isbn&gt;1548-7091 (Print)&amp;#xD;1548-7091&lt;/isbn&gt;&lt;accession-num&gt;28135256&lt;/accession-num&gt;&lt;urls&gt;&lt;/urls&gt;&lt;custom2&gt;PMC5330853&lt;/custom2&gt;&lt;custom6&gt;NIHMS838883&lt;/custom6&gt;&lt;electronic-resource-num&gt;10.1038/nmeth.4149&lt;/electronic-resource-num&gt;&lt;remote-database-provider&gt;NLM&lt;/remote-database-provider&gt;&lt;language&gt;eng&lt;/language&gt;&lt;/record&gt;&lt;/Cite&gt;&lt;/EndNote&gt;</w:instrText>
      </w:r>
      <w:r w:rsidRPr="00A97A20">
        <w:rPr>
          <w:lang w:val="en-US"/>
        </w:rPr>
        <w:fldChar w:fldCharType="separate"/>
      </w:r>
      <w:r w:rsidR="00DE2528" w:rsidRPr="00A97A20">
        <w:rPr>
          <w:noProof/>
          <w:vertAlign w:val="superscript"/>
          <w:lang w:val="en-US"/>
        </w:rPr>
        <w:t>8</w:t>
      </w:r>
      <w:r w:rsidRPr="00A97A20">
        <w:rPr>
          <w:lang w:val="en-US"/>
        </w:rPr>
        <w:fldChar w:fldCharType="end"/>
      </w:r>
      <w:r w:rsidRPr="00A97A20">
        <w:rPr>
          <w:lang w:val="en-US"/>
        </w:rPr>
        <w:t xml:space="preserve">. BM samples from 11 patients were not included in the NK cell analysis, because of difficulties to </w:t>
      </w:r>
      <w:r w:rsidRPr="00A97A20">
        <w:rPr>
          <w:lang w:val="en-US"/>
        </w:rPr>
        <w:lastRenderedPageBreak/>
        <w:t>adequately differentiate NK cells from CD56</w:t>
      </w:r>
      <w:r w:rsidRPr="00A97A20">
        <w:rPr>
          <w:vertAlign w:val="superscript"/>
          <w:lang w:val="en-US"/>
        </w:rPr>
        <w:t>+</w:t>
      </w:r>
      <w:r w:rsidRPr="00A97A20">
        <w:rPr>
          <w:lang w:val="en-US"/>
        </w:rPr>
        <w:t xml:space="preserve"> MM cells (analysis was performed with samples from 37 patients: 29 baseline and 23 EOT-A samples).</w:t>
      </w:r>
    </w:p>
    <w:p w14:paraId="0379A7C1" w14:textId="551BC9B9" w:rsidR="003A052C" w:rsidRPr="00A97A20" w:rsidRDefault="003A052C" w:rsidP="003A052C">
      <w:pPr>
        <w:spacing w:line="360" w:lineRule="auto"/>
        <w:rPr>
          <w:lang w:val="en-US"/>
        </w:rPr>
      </w:pPr>
      <w:r w:rsidRPr="00A97A20">
        <w:rPr>
          <w:lang w:val="en-US"/>
        </w:rPr>
        <w:t>Manually gated NK cells were analyzed using a supervised learning approach to identify differences in composition driven by time, response to treatment and relapse. Briefly, cells were projected in the context of channels used for the analysis using the FreeViz method implemented in the Radviz package</w:t>
      </w:r>
      <w:r w:rsidRPr="00A97A20">
        <w:rPr>
          <w:lang w:val="en-US"/>
        </w:rPr>
        <w:fldChar w:fldCharType="begin">
          <w:fldData xml:space="preserve">PEVuZE5vdGU+PENpdGU+PEF1dGhvcj5EZW1zYXI8L0F1dGhvcj48WWVhcj4yMDA3PC9ZZWFyPjxS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</w:fldData>
        </w:fldChar>
      </w:r>
      <w:r w:rsidR="00DE2528" w:rsidRPr="00A97A20">
        <w:rPr>
          <w:lang w:val="en-US"/>
        </w:rPr>
        <w:instrText xml:space="preserve"> ADDIN EN.CITE </w:instrText>
      </w:r>
      <w:r w:rsidR="00DE2528" w:rsidRPr="00A97A20">
        <w:rPr>
          <w:lang w:val="en-US"/>
        </w:rPr>
        <w:fldChar w:fldCharType="begin">
          <w:fldData xml:space="preserve">PEVuZE5vdGU+PENpdGU+PEF1dGhvcj5EZW1zYXI8L0F1dGhvcj48WWVhcj4yMDA3PC9ZZWFyPjxS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</w:fldData>
        </w:fldChar>
      </w:r>
      <w:r w:rsidR="00DE2528" w:rsidRPr="00A97A20">
        <w:rPr>
          <w:lang w:val="en-US"/>
        </w:rPr>
        <w:instrText xml:space="preserve"> ADDIN EN.CITE.DATA </w:instrText>
      </w:r>
      <w:r w:rsidR="00DE2528" w:rsidRPr="00A97A20">
        <w:rPr>
          <w:lang w:val="en-US"/>
        </w:rPr>
      </w:r>
      <w:r w:rsidR="00DE2528" w:rsidRPr="00A97A20">
        <w:rPr>
          <w:lang w:val="en-US"/>
        </w:rPr>
        <w:fldChar w:fldCharType="end"/>
      </w:r>
      <w:r w:rsidRPr="00A97A20">
        <w:rPr>
          <w:lang w:val="en-US"/>
        </w:rPr>
      </w:r>
      <w:r w:rsidRPr="00A97A20">
        <w:rPr>
          <w:lang w:val="en-US"/>
        </w:rPr>
        <w:fldChar w:fldCharType="separate"/>
      </w:r>
      <w:r w:rsidR="00DE2528" w:rsidRPr="00A97A20">
        <w:rPr>
          <w:noProof/>
          <w:vertAlign w:val="superscript"/>
          <w:lang w:val="en-US"/>
        </w:rPr>
        <w:t>9,10</w:t>
      </w:r>
      <w:r w:rsidRPr="00A97A20">
        <w:rPr>
          <w:lang w:val="en-US"/>
        </w:rPr>
        <w:fldChar w:fldCharType="end"/>
      </w:r>
      <w:r w:rsidRPr="00A97A20">
        <w:rPr>
          <w:lang w:val="en-US"/>
        </w:rPr>
        <w:t>. The position of the channels was updated using a supervised algorithm to maximize the distance between cells from different categories. Shifts in composition were visualized using density plots and interpreted relative to the position of channels after optimization. To estimate the significance of those shifts, a Self-Organizing Map (SOM) was trained on down-sampled projected data and used to predict cluster assignments for all projected cells</w:t>
      </w:r>
      <w:r w:rsidRPr="00A97A20">
        <w:rPr>
          <w:lang w:val="en-US"/>
        </w:rPr>
        <w:fldChar w:fldCharType="begin"/>
      </w:r>
      <w:r w:rsidR="00DE2528" w:rsidRPr="00A97A20">
        <w:rPr>
          <w:lang w:val="en-US"/>
        </w:rPr>
        <w:instrText xml:space="preserve"> ADDIN EN.CITE &lt;EndNote&gt;&lt;Cite&gt;&lt;Author&gt;Wehrens&lt;/Author&gt;&lt;Year&gt;2018&lt;/Year&gt;&lt;RecNum&gt;2074&lt;/RecNum&gt;&lt;DisplayText&gt;&lt;style face="superscript"&gt;11&lt;/style&gt;&lt;/DisplayText&gt;&lt;record&gt;&lt;rec-number&gt;2074&lt;/rec-number&gt;&lt;foreign-keys&gt;&lt;key app="EN" db-id="29dsaf2wawxdvke9x96vspea2wraszrewp0r" timestamp="1651324550"&gt;2074&lt;/key&gt;&lt;/foreign-keys&gt;&lt;ref-type name="Journal Article"&gt;17&lt;/ref-type&gt;&lt;contributors&gt;&lt;authors&gt;&lt;author&gt;Wehrens, Ron&lt;/author&gt;&lt;author&gt;Kruisselbrink, Johannes&lt;/author&gt;&lt;/authors&gt;&lt;/contributors&gt;&lt;titles&gt;&lt;title&gt;Flexible Self-Organizing Maps in kohonen 3.0&lt;/title&gt;&lt;secondary-title&gt;Journal of Statistical Software&lt;/secondary-title&gt;&lt;/titles&gt;&lt;periodical&gt;&lt;full-title&gt;Journal of Statistical Software&lt;/full-title&gt;&lt;/periodical&gt;&lt;pages&gt;1 - 18&lt;/pages&gt;&lt;volume&gt;87&lt;/volume&gt;&lt;number&gt;7&lt;/number&gt;&lt;section&gt;Articles&lt;/section&gt;&lt;dates&gt;&lt;year&gt;2018&lt;/year&gt;&lt;pub-dates&gt;&lt;date&gt;11/12&lt;/date&gt;&lt;/pub-dates&gt;&lt;/dates&gt;&lt;urls&gt;&lt;related-urls&gt;&lt;url&gt;https://www.jstatsoft.org/index.php/jss/article/view/v087i07&lt;/url&gt;&lt;/related-urls&gt;&lt;/urls&gt;&lt;electronic-resource-num&gt;10.18637/jss.v087.i07&lt;/electronic-resource-num&gt;&lt;access-date&gt;2022/04/30&lt;/access-date&gt;&lt;/record&gt;&lt;/Cite&gt;&lt;/EndNote&gt;</w:instrText>
      </w:r>
      <w:r w:rsidRPr="00A97A20">
        <w:rPr>
          <w:lang w:val="en-US"/>
        </w:rPr>
        <w:fldChar w:fldCharType="separate"/>
      </w:r>
      <w:r w:rsidR="00DE2528" w:rsidRPr="00A97A20">
        <w:rPr>
          <w:noProof/>
          <w:vertAlign w:val="superscript"/>
          <w:lang w:val="en-US"/>
        </w:rPr>
        <w:t>11</w:t>
      </w:r>
      <w:r w:rsidRPr="00A97A20">
        <w:rPr>
          <w:lang w:val="en-US"/>
        </w:rPr>
        <w:fldChar w:fldCharType="end"/>
      </w:r>
      <w:r w:rsidRPr="00A97A20">
        <w:rPr>
          <w:lang w:val="en-US"/>
        </w:rPr>
        <w:t xml:space="preserve">. The size of SOM clusters was computed for all conditions and transformed into a Centered Log Ratio (clr); the clr values were used as input to a Linear Mixed Model, where fold changes and </w:t>
      </w:r>
      <w:r w:rsidRPr="00A97A20">
        <w:rPr>
          <w:i/>
          <w:lang w:val="en-US"/>
        </w:rPr>
        <w:t>P-</w:t>
      </w:r>
      <w:r w:rsidRPr="00A97A20">
        <w:rPr>
          <w:lang w:val="en-US"/>
        </w:rPr>
        <w:t>values were computed for contrasts of interest.</w:t>
      </w:r>
    </w:p>
    <w:p w14:paraId="6D254737" w14:textId="77777777" w:rsidR="003A052C" w:rsidRPr="00A97A20" w:rsidRDefault="003A052C" w:rsidP="003A052C">
      <w:pPr>
        <w:spacing w:line="360" w:lineRule="auto"/>
        <w:rPr>
          <w:i/>
          <w:lang w:val="en-US"/>
        </w:rPr>
      </w:pPr>
    </w:p>
    <w:p w14:paraId="1872B283" w14:textId="77777777" w:rsidR="008976B7" w:rsidRPr="00A97A20" w:rsidRDefault="008976B7">
      <w:pPr>
        <w:rPr>
          <w:lang w:val="en-US"/>
        </w:rPr>
      </w:pPr>
      <w:r w:rsidRPr="00A97A20">
        <w:rPr>
          <w:lang w:val="en-US"/>
        </w:rPr>
        <w:br w:type="page"/>
      </w:r>
    </w:p>
    <w:p w14:paraId="5BEBE76C" w14:textId="77777777" w:rsidR="008976B7" w:rsidRPr="00A97A20" w:rsidRDefault="008976B7" w:rsidP="008976B7">
      <w:pPr>
        <w:rPr>
          <w:b/>
          <w:bCs/>
          <w:lang w:val="en-US"/>
        </w:rPr>
      </w:pPr>
      <w:r w:rsidRPr="00A97A20">
        <w:rPr>
          <w:b/>
          <w:bCs/>
          <w:lang w:val="en-US"/>
        </w:rPr>
        <w:lastRenderedPageBreak/>
        <w:t xml:space="preserve">Supplemental Table 1. </w:t>
      </w:r>
      <w:r w:rsidRPr="00A97A20">
        <w:rPr>
          <w:b/>
          <w:lang w:val="en-US"/>
        </w:rPr>
        <w:t xml:space="preserve">Univariate analysis of clinical baseline characteristics for overall response rate part A (ORR(A)), progression-free survival part A+B (PFS-AB) and overall survival (OS). </w:t>
      </w:r>
    </w:p>
    <w:tbl>
      <w:tblPr>
        <w:tblStyle w:val="Lijsttabel7kleurrijk"/>
        <w:tblW w:w="11000" w:type="dxa"/>
        <w:tblLook w:val="04A0" w:firstRow="1" w:lastRow="0" w:firstColumn="1" w:lastColumn="0" w:noHBand="0" w:noVBand="1"/>
      </w:tblPr>
      <w:tblGrid>
        <w:gridCol w:w="3690"/>
        <w:gridCol w:w="893"/>
        <w:gridCol w:w="2086"/>
        <w:gridCol w:w="975"/>
        <w:gridCol w:w="2142"/>
        <w:gridCol w:w="1182"/>
        <w:gridCol w:w="32"/>
      </w:tblGrid>
      <w:tr w:rsidR="008976B7" w:rsidRPr="00A97A20" w14:paraId="556F37FB" w14:textId="77777777" w:rsidTr="000E05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shd w:val="clear" w:color="auto" w:fill="auto"/>
          </w:tcPr>
          <w:p w14:paraId="0419FB92" w14:textId="77777777" w:rsidR="008976B7" w:rsidRPr="00A97A20" w:rsidRDefault="008976B7" w:rsidP="001B2186">
            <w:pPr>
              <w:spacing w:line="360" w:lineRule="auto"/>
              <w:rPr>
                <w:b/>
                <w:bCs/>
                <w:i w:val="0"/>
                <w:iCs w:val="0"/>
                <w:sz w:val="20"/>
                <w:szCs w:val="20"/>
                <w:lang w:val="en-US"/>
              </w:rPr>
            </w:pPr>
          </w:p>
        </w:tc>
        <w:tc>
          <w:tcPr>
            <w:tcW w:w="893" w:type="dxa"/>
            <w:shd w:val="clear" w:color="auto" w:fill="auto"/>
          </w:tcPr>
          <w:p w14:paraId="73D4C1A4" w14:textId="77777777" w:rsidR="008976B7" w:rsidRPr="00A97A20" w:rsidRDefault="008976B7" w:rsidP="000E05EA">
            <w:pPr>
              <w:spacing w:line="360" w:lineRule="auto"/>
              <w:cnfStyle w:val="100000000000" w:firstRow="1" w:lastRow="0" w:firstColumn="0" w:lastColumn="0" w:oddVBand="0" w:evenVBand="0" w:oddHBand="0" w:evenHBand="0" w:firstRowFirstColumn="0" w:firstRowLastColumn="0" w:lastRowFirstColumn="0" w:lastRowLastColumn="0"/>
              <w:rPr>
                <w:b/>
                <w:bCs/>
                <w:i w:val="0"/>
                <w:iCs w:val="0"/>
                <w:sz w:val="20"/>
                <w:szCs w:val="20"/>
                <w:lang w:val="en-US"/>
              </w:rPr>
            </w:pPr>
            <w:r w:rsidRPr="00A97A20">
              <w:rPr>
                <w:b/>
                <w:bCs/>
                <w:i w:val="0"/>
                <w:iCs w:val="0"/>
                <w:sz w:val="20"/>
                <w:szCs w:val="20"/>
                <w:lang w:val="en-US"/>
              </w:rPr>
              <w:t>ORR(A)</w:t>
            </w:r>
          </w:p>
        </w:tc>
        <w:tc>
          <w:tcPr>
            <w:tcW w:w="3061" w:type="dxa"/>
            <w:gridSpan w:val="2"/>
            <w:shd w:val="clear" w:color="auto" w:fill="auto"/>
          </w:tcPr>
          <w:p w14:paraId="441593DC" w14:textId="77777777" w:rsidR="008976B7" w:rsidRPr="00A97A20" w:rsidRDefault="008976B7" w:rsidP="000E05EA">
            <w:pPr>
              <w:spacing w:line="360" w:lineRule="auto"/>
              <w:cnfStyle w:val="100000000000" w:firstRow="1" w:lastRow="0" w:firstColumn="0" w:lastColumn="0" w:oddVBand="0" w:evenVBand="0" w:oddHBand="0" w:evenHBand="0" w:firstRowFirstColumn="0" w:firstRowLastColumn="0" w:lastRowFirstColumn="0" w:lastRowLastColumn="0"/>
              <w:rPr>
                <w:b/>
                <w:bCs/>
                <w:i w:val="0"/>
                <w:iCs w:val="0"/>
                <w:sz w:val="20"/>
                <w:szCs w:val="20"/>
                <w:lang w:val="en-US"/>
              </w:rPr>
            </w:pPr>
            <w:r w:rsidRPr="00A97A20">
              <w:rPr>
                <w:b/>
                <w:bCs/>
                <w:i w:val="0"/>
                <w:iCs w:val="0"/>
                <w:sz w:val="20"/>
                <w:szCs w:val="20"/>
                <w:lang w:val="en-US"/>
              </w:rPr>
              <w:t>PFS-AB</w:t>
            </w:r>
          </w:p>
        </w:tc>
        <w:tc>
          <w:tcPr>
            <w:tcW w:w="3356" w:type="dxa"/>
            <w:gridSpan w:val="3"/>
            <w:shd w:val="clear" w:color="auto" w:fill="auto"/>
          </w:tcPr>
          <w:p w14:paraId="0AD62C54" w14:textId="77777777" w:rsidR="008976B7" w:rsidRPr="00A97A20" w:rsidRDefault="008976B7" w:rsidP="000E05EA">
            <w:pPr>
              <w:spacing w:line="360" w:lineRule="auto"/>
              <w:cnfStyle w:val="100000000000" w:firstRow="1" w:lastRow="0" w:firstColumn="0" w:lastColumn="0" w:oddVBand="0" w:evenVBand="0" w:oddHBand="0" w:evenHBand="0" w:firstRowFirstColumn="0" w:firstRowLastColumn="0" w:lastRowFirstColumn="0" w:lastRowLastColumn="0"/>
              <w:rPr>
                <w:b/>
                <w:bCs/>
                <w:i w:val="0"/>
                <w:iCs w:val="0"/>
                <w:sz w:val="20"/>
                <w:szCs w:val="20"/>
                <w:lang w:val="en-US"/>
              </w:rPr>
            </w:pPr>
            <w:r w:rsidRPr="00A97A20">
              <w:rPr>
                <w:b/>
                <w:bCs/>
                <w:i w:val="0"/>
                <w:iCs w:val="0"/>
                <w:sz w:val="20"/>
                <w:szCs w:val="20"/>
                <w:lang w:val="en-US"/>
              </w:rPr>
              <w:t>OS</w:t>
            </w:r>
          </w:p>
        </w:tc>
      </w:tr>
      <w:tr w:rsidR="008976B7" w:rsidRPr="00A97A20" w14:paraId="0B36FCA0" w14:textId="77777777" w:rsidTr="000E05EA">
        <w:trPr>
          <w:gridAfter w:val="1"/>
          <w:cnfStyle w:val="000000100000" w:firstRow="0" w:lastRow="0" w:firstColumn="0" w:lastColumn="0" w:oddVBand="0" w:evenVBand="0" w:oddHBand="1" w:evenHBand="0" w:firstRowFirstColumn="0" w:firstRowLastColumn="0" w:lastRowFirstColumn="0" w:lastRowLastColumn="0"/>
          <w:wAfter w:w="32" w:type="dxa"/>
        </w:trPr>
        <w:tc>
          <w:tcPr>
            <w:cnfStyle w:val="001000000000" w:firstRow="0" w:lastRow="0" w:firstColumn="1" w:lastColumn="0" w:oddVBand="0" w:evenVBand="0" w:oddHBand="0" w:evenHBand="0" w:firstRowFirstColumn="0" w:firstRowLastColumn="0" w:lastRowFirstColumn="0" w:lastRowLastColumn="0"/>
            <w:tcW w:w="3690" w:type="dxa"/>
            <w:tcBorders>
              <w:bottom w:val="single" w:sz="4" w:space="0" w:color="auto"/>
            </w:tcBorders>
            <w:shd w:val="clear" w:color="auto" w:fill="auto"/>
          </w:tcPr>
          <w:p w14:paraId="26C36B22" w14:textId="1E431F8C" w:rsidR="008976B7" w:rsidRPr="00A97A20" w:rsidRDefault="000E05EA" w:rsidP="001B2186">
            <w:pPr>
              <w:spacing w:line="360" w:lineRule="auto"/>
              <w:jc w:val="left"/>
              <w:rPr>
                <w:rFonts w:ascii="Calibri Light" w:hAnsi="Calibri Light" w:cs="Calibri Light"/>
                <w:b/>
                <w:i w:val="0"/>
                <w:iCs w:val="0"/>
                <w:sz w:val="16"/>
                <w:szCs w:val="16"/>
                <w:lang w:val="en-US"/>
              </w:rPr>
            </w:pPr>
            <w:r w:rsidRPr="00A97A20">
              <w:rPr>
                <w:rFonts w:ascii="Calibri Light" w:hAnsi="Calibri Light" w:cs="Calibri Light"/>
                <w:b/>
                <w:i w:val="0"/>
                <w:iCs w:val="0"/>
                <w:sz w:val="16"/>
                <w:szCs w:val="16"/>
                <w:lang w:val="en-US"/>
              </w:rPr>
              <w:t>Characteristic</w:t>
            </w:r>
          </w:p>
        </w:tc>
        <w:tc>
          <w:tcPr>
            <w:tcW w:w="893" w:type="dxa"/>
            <w:tcBorders>
              <w:bottom w:val="single" w:sz="4" w:space="0" w:color="auto"/>
            </w:tcBorders>
            <w:shd w:val="clear" w:color="auto" w:fill="auto"/>
          </w:tcPr>
          <w:p w14:paraId="31F1ADC0"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i/>
                <w:iCs/>
                <w:caps/>
                <w:sz w:val="16"/>
                <w:szCs w:val="16"/>
                <w:lang w:val="en-US"/>
              </w:rPr>
            </w:pPr>
            <w:r w:rsidRPr="00A97A20">
              <w:rPr>
                <w:rFonts w:ascii="Calibri Light" w:hAnsi="Calibri Light" w:cs="Calibri Light"/>
                <w:b/>
                <w:bCs/>
                <w:i/>
                <w:iCs/>
                <w:caps/>
                <w:sz w:val="16"/>
                <w:szCs w:val="16"/>
                <w:lang w:val="en-US"/>
              </w:rPr>
              <w:t>P</w:t>
            </w:r>
          </w:p>
        </w:tc>
        <w:tc>
          <w:tcPr>
            <w:tcW w:w="2086" w:type="dxa"/>
            <w:tcBorders>
              <w:bottom w:val="single" w:sz="4" w:space="0" w:color="auto"/>
            </w:tcBorders>
            <w:shd w:val="clear" w:color="auto" w:fill="auto"/>
          </w:tcPr>
          <w:p w14:paraId="1FA373A5"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aps/>
                <w:sz w:val="16"/>
                <w:szCs w:val="16"/>
                <w:lang w:val="en-US"/>
              </w:rPr>
            </w:pPr>
            <w:r w:rsidRPr="00A97A20">
              <w:rPr>
                <w:rFonts w:ascii="Calibri Light" w:hAnsi="Calibri Light" w:cs="Calibri Light"/>
                <w:b/>
                <w:bCs/>
                <w:caps/>
                <w:sz w:val="16"/>
                <w:szCs w:val="16"/>
                <w:lang w:val="en-US"/>
              </w:rPr>
              <w:t>HR (95% CI)</w:t>
            </w:r>
          </w:p>
        </w:tc>
        <w:tc>
          <w:tcPr>
            <w:tcW w:w="975" w:type="dxa"/>
            <w:tcBorders>
              <w:bottom w:val="single" w:sz="4" w:space="0" w:color="auto"/>
            </w:tcBorders>
            <w:shd w:val="clear" w:color="auto" w:fill="auto"/>
          </w:tcPr>
          <w:p w14:paraId="5C985310"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aps/>
                <w:sz w:val="16"/>
                <w:szCs w:val="16"/>
                <w:lang w:val="en-US"/>
              </w:rPr>
            </w:pPr>
            <w:r w:rsidRPr="00A97A20">
              <w:rPr>
                <w:rFonts w:ascii="Calibri Light" w:hAnsi="Calibri Light" w:cs="Calibri Light"/>
                <w:b/>
                <w:bCs/>
                <w:i/>
                <w:iCs/>
                <w:sz w:val="16"/>
                <w:szCs w:val="16"/>
                <w:lang w:val="en-US"/>
              </w:rPr>
              <w:t>P</w:t>
            </w:r>
          </w:p>
        </w:tc>
        <w:tc>
          <w:tcPr>
            <w:tcW w:w="2142" w:type="dxa"/>
            <w:tcBorders>
              <w:bottom w:val="single" w:sz="4" w:space="0" w:color="auto"/>
            </w:tcBorders>
            <w:shd w:val="clear" w:color="auto" w:fill="auto"/>
          </w:tcPr>
          <w:p w14:paraId="5AB769A6"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6"/>
                <w:szCs w:val="16"/>
                <w:lang w:val="en-US"/>
              </w:rPr>
            </w:pPr>
            <w:r w:rsidRPr="00A97A20">
              <w:rPr>
                <w:rFonts w:ascii="Calibri Light" w:hAnsi="Calibri Light" w:cs="Calibri Light"/>
                <w:b/>
                <w:bCs/>
                <w:sz w:val="16"/>
                <w:szCs w:val="16"/>
                <w:lang w:val="en-US"/>
              </w:rPr>
              <w:t xml:space="preserve">HR (95% CI) </w:t>
            </w:r>
          </w:p>
        </w:tc>
        <w:tc>
          <w:tcPr>
            <w:tcW w:w="1182" w:type="dxa"/>
            <w:tcBorders>
              <w:bottom w:val="single" w:sz="4" w:space="0" w:color="auto"/>
            </w:tcBorders>
            <w:shd w:val="clear" w:color="auto" w:fill="auto"/>
          </w:tcPr>
          <w:p w14:paraId="495CE12B"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i/>
                <w:iCs/>
                <w:sz w:val="16"/>
                <w:szCs w:val="16"/>
                <w:lang w:val="en-US"/>
              </w:rPr>
            </w:pPr>
            <w:r w:rsidRPr="00A97A20">
              <w:rPr>
                <w:rFonts w:ascii="Calibri Light" w:hAnsi="Calibri Light" w:cs="Calibri Light"/>
                <w:b/>
                <w:bCs/>
                <w:i/>
                <w:iCs/>
                <w:sz w:val="16"/>
                <w:szCs w:val="16"/>
                <w:lang w:val="en-US"/>
              </w:rPr>
              <w:t xml:space="preserve">P </w:t>
            </w:r>
          </w:p>
        </w:tc>
      </w:tr>
      <w:tr w:rsidR="008976B7" w:rsidRPr="00A97A20" w14:paraId="0E638F3D" w14:textId="77777777" w:rsidTr="000E05EA">
        <w:trPr>
          <w:gridAfter w:val="1"/>
          <w:wAfter w:w="32" w:type="dxa"/>
        </w:trPr>
        <w:tc>
          <w:tcPr>
            <w:cnfStyle w:val="001000000000" w:firstRow="0" w:lastRow="0" w:firstColumn="1" w:lastColumn="0" w:oddVBand="0" w:evenVBand="0" w:oddHBand="0" w:evenHBand="0" w:firstRowFirstColumn="0" w:firstRowLastColumn="0" w:lastRowFirstColumn="0" w:lastRowLastColumn="0"/>
            <w:tcW w:w="3690" w:type="dxa"/>
            <w:tcBorders>
              <w:top w:val="single" w:sz="4" w:space="0" w:color="auto"/>
            </w:tcBorders>
            <w:shd w:val="clear" w:color="auto" w:fill="auto"/>
          </w:tcPr>
          <w:p w14:paraId="57863CF9"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 xml:space="preserve">Age (years) </w:t>
            </w:r>
          </w:p>
        </w:tc>
        <w:tc>
          <w:tcPr>
            <w:tcW w:w="893" w:type="dxa"/>
            <w:tcBorders>
              <w:top w:val="single" w:sz="4" w:space="0" w:color="auto"/>
            </w:tcBorders>
            <w:shd w:val="clear" w:color="auto" w:fill="auto"/>
          </w:tcPr>
          <w:p w14:paraId="53DDF4CC"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0.872 </w:t>
            </w:r>
          </w:p>
        </w:tc>
        <w:tc>
          <w:tcPr>
            <w:tcW w:w="2086" w:type="dxa"/>
            <w:tcBorders>
              <w:top w:val="single" w:sz="4" w:space="0" w:color="auto"/>
            </w:tcBorders>
            <w:shd w:val="clear" w:color="auto" w:fill="auto"/>
          </w:tcPr>
          <w:p w14:paraId="050515DF"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0.998 (0.969 – 1.028) </w:t>
            </w:r>
          </w:p>
        </w:tc>
        <w:tc>
          <w:tcPr>
            <w:tcW w:w="975" w:type="dxa"/>
            <w:tcBorders>
              <w:top w:val="single" w:sz="4" w:space="0" w:color="auto"/>
            </w:tcBorders>
            <w:shd w:val="clear" w:color="auto" w:fill="auto"/>
          </w:tcPr>
          <w:p w14:paraId="2F24C4BC"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0.883 </w:t>
            </w:r>
          </w:p>
        </w:tc>
        <w:tc>
          <w:tcPr>
            <w:tcW w:w="2142" w:type="dxa"/>
            <w:tcBorders>
              <w:top w:val="single" w:sz="4" w:space="0" w:color="auto"/>
            </w:tcBorders>
            <w:shd w:val="clear" w:color="auto" w:fill="auto"/>
          </w:tcPr>
          <w:p w14:paraId="309C2708"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1.000 (0.967 – 1.034)</w:t>
            </w:r>
          </w:p>
        </w:tc>
        <w:tc>
          <w:tcPr>
            <w:tcW w:w="1182" w:type="dxa"/>
            <w:tcBorders>
              <w:top w:val="single" w:sz="4" w:space="0" w:color="auto"/>
            </w:tcBorders>
            <w:shd w:val="clear" w:color="auto" w:fill="auto"/>
          </w:tcPr>
          <w:p w14:paraId="7192235D"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0.995</w:t>
            </w:r>
          </w:p>
        </w:tc>
      </w:tr>
      <w:tr w:rsidR="008976B7" w:rsidRPr="00A97A20" w14:paraId="4FE552D9" w14:textId="77777777" w:rsidTr="001B2186">
        <w:trPr>
          <w:gridAfter w:val="1"/>
          <w:cnfStyle w:val="000000100000" w:firstRow="0" w:lastRow="0" w:firstColumn="0" w:lastColumn="0" w:oddVBand="0" w:evenVBand="0" w:oddHBand="1" w:evenHBand="0" w:firstRowFirstColumn="0" w:firstRowLastColumn="0" w:lastRowFirstColumn="0" w:lastRowLastColumn="0"/>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1C7AD2BB" w14:textId="77777777" w:rsidR="008976B7" w:rsidRPr="00A97A20" w:rsidRDefault="008976B7" w:rsidP="001B2186">
            <w:pPr>
              <w:spacing w:line="360" w:lineRule="auto"/>
              <w:jc w:val="left"/>
              <w:rPr>
                <w:rFonts w:asciiTheme="minorHAnsi" w:hAnsiTheme="minorHAnsi" w:cstheme="minorHAnsi"/>
                <w:b/>
                <w:bCs/>
                <w:i w:val="0"/>
                <w:iCs w:val="0"/>
                <w:sz w:val="16"/>
                <w:szCs w:val="16"/>
                <w:lang w:val="en-US"/>
              </w:rPr>
            </w:pPr>
            <w:r w:rsidRPr="00A97A20">
              <w:rPr>
                <w:rFonts w:asciiTheme="minorHAnsi" w:hAnsiTheme="minorHAnsi" w:cstheme="minorHAnsi"/>
                <w:i w:val="0"/>
                <w:iCs w:val="0"/>
                <w:sz w:val="16"/>
                <w:szCs w:val="16"/>
                <w:lang w:val="en-US"/>
              </w:rPr>
              <w:t>WHO PS 1-2</w:t>
            </w:r>
          </w:p>
        </w:tc>
        <w:tc>
          <w:tcPr>
            <w:tcW w:w="893" w:type="dxa"/>
            <w:shd w:val="clear" w:color="auto" w:fill="auto"/>
          </w:tcPr>
          <w:p w14:paraId="2EF312EC"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0.040 </w:t>
            </w:r>
          </w:p>
        </w:tc>
        <w:tc>
          <w:tcPr>
            <w:tcW w:w="2086" w:type="dxa"/>
            <w:shd w:val="clear" w:color="auto" w:fill="auto"/>
          </w:tcPr>
          <w:p w14:paraId="3E29AA0C"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1.912 (1.108 – 3.301) </w:t>
            </w:r>
          </w:p>
        </w:tc>
        <w:tc>
          <w:tcPr>
            <w:tcW w:w="975" w:type="dxa"/>
            <w:shd w:val="clear" w:color="auto" w:fill="auto"/>
          </w:tcPr>
          <w:p w14:paraId="5F6D5EAE"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0.020 </w:t>
            </w:r>
          </w:p>
        </w:tc>
        <w:tc>
          <w:tcPr>
            <w:tcW w:w="2142" w:type="dxa"/>
            <w:shd w:val="clear" w:color="auto" w:fill="auto"/>
          </w:tcPr>
          <w:p w14:paraId="01D62EA1"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0.669 (0.366 – 1.223) </w:t>
            </w:r>
          </w:p>
        </w:tc>
        <w:tc>
          <w:tcPr>
            <w:tcW w:w="1182" w:type="dxa"/>
            <w:shd w:val="clear" w:color="auto" w:fill="auto"/>
          </w:tcPr>
          <w:p w14:paraId="10C77BCE"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0.192 </w:t>
            </w:r>
          </w:p>
        </w:tc>
      </w:tr>
      <w:tr w:rsidR="008976B7" w:rsidRPr="00A97A20" w14:paraId="58690898" w14:textId="77777777" w:rsidTr="001B2186">
        <w:trPr>
          <w:gridAfter w:val="1"/>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2BA8247A"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 xml:space="preserve">Prior lines of treatment (n) </w:t>
            </w:r>
          </w:p>
        </w:tc>
        <w:tc>
          <w:tcPr>
            <w:tcW w:w="893" w:type="dxa"/>
            <w:shd w:val="clear" w:color="auto" w:fill="auto"/>
          </w:tcPr>
          <w:p w14:paraId="6C8C2765"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0.533 </w:t>
            </w:r>
          </w:p>
        </w:tc>
        <w:tc>
          <w:tcPr>
            <w:tcW w:w="2086" w:type="dxa"/>
            <w:shd w:val="clear" w:color="auto" w:fill="auto"/>
          </w:tcPr>
          <w:p w14:paraId="57D04E0B"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1.095 (0.977 – 1.227) </w:t>
            </w:r>
          </w:p>
        </w:tc>
        <w:tc>
          <w:tcPr>
            <w:tcW w:w="975" w:type="dxa"/>
            <w:shd w:val="clear" w:color="auto" w:fill="auto"/>
          </w:tcPr>
          <w:p w14:paraId="6D4EDBAD"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0.120 </w:t>
            </w:r>
          </w:p>
        </w:tc>
        <w:tc>
          <w:tcPr>
            <w:tcW w:w="2142" w:type="dxa"/>
            <w:shd w:val="clear" w:color="auto" w:fill="auto"/>
          </w:tcPr>
          <w:p w14:paraId="054E7A55"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1.035 (0.916 – 1.170)</w:t>
            </w:r>
          </w:p>
        </w:tc>
        <w:tc>
          <w:tcPr>
            <w:tcW w:w="1182" w:type="dxa"/>
            <w:shd w:val="clear" w:color="auto" w:fill="auto"/>
          </w:tcPr>
          <w:p w14:paraId="2EB7B35F"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0.582 </w:t>
            </w:r>
          </w:p>
        </w:tc>
      </w:tr>
      <w:tr w:rsidR="008976B7" w:rsidRPr="00A97A20" w14:paraId="69A84016" w14:textId="77777777" w:rsidTr="001B2186">
        <w:trPr>
          <w:gridAfter w:val="1"/>
          <w:cnfStyle w:val="000000100000" w:firstRow="0" w:lastRow="0" w:firstColumn="0" w:lastColumn="0" w:oddVBand="0" w:evenVBand="0" w:oddHBand="1" w:evenHBand="0" w:firstRowFirstColumn="0" w:firstRowLastColumn="0" w:lastRowFirstColumn="0" w:lastRowLastColumn="0"/>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07B9B31" w14:textId="77777777" w:rsidR="008976B7" w:rsidRPr="00A97A20" w:rsidRDefault="008976B7" w:rsidP="001B2186">
            <w:pPr>
              <w:spacing w:line="360" w:lineRule="auto"/>
              <w:jc w:val="left"/>
              <w:rPr>
                <w:rFonts w:asciiTheme="minorHAnsi" w:hAnsiTheme="minorHAnsi" w:cstheme="minorHAnsi"/>
                <w:b/>
                <w:bCs/>
                <w:i w:val="0"/>
                <w:iCs w:val="0"/>
                <w:sz w:val="16"/>
                <w:szCs w:val="16"/>
                <w:lang w:val="en-US"/>
              </w:rPr>
            </w:pPr>
            <w:r w:rsidRPr="00A97A20">
              <w:rPr>
                <w:rFonts w:asciiTheme="minorHAnsi" w:hAnsiTheme="minorHAnsi" w:cstheme="minorHAnsi"/>
                <w:i w:val="0"/>
                <w:iCs w:val="0"/>
                <w:sz w:val="16"/>
                <w:szCs w:val="16"/>
                <w:lang w:val="en-US"/>
              </w:rPr>
              <w:t xml:space="preserve">Prior allogeneic stem cell transplantation </w:t>
            </w:r>
          </w:p>
        </w:tc>
        <w:tc>
          <w:tcPr>
            <w:tcW w:w="893" w:type="dxa"/>
            <w:shd w:val="clear" w:color="auto" w:fill="auto"/>
          </w:tcPr>
          <w:p w14:paraId="30FD76D3"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0.707</w:t>
            </w:r>
          </w:p>
        </w:tc>
        <w:tc>
          <w:tcPr>
            <w:tcW w:w="2086" w:type="dxa"/>
            <w:shd w:val="clear" w:color="auto" w:fill="auto"/>
          </w:tcPr>
          <w:p w14:paraId="06C45632"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0.432 (0.183 – 1.021)</w:t>
            </w:r>
          </w:p>
        </w:tc>
        <w:tc>
          <w:tcPr>
            <w:tcW w:w="975" w:type="dxa"/>
            <w:shd w:val="clear" w:color="auto" w:fill="auto"/>
          </w:tcPr>
          <w:p w14:paraId="352B71F7"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0.056</w:t>
            </w:r>
          </w:p>
        </w:tc>
        <w:tc>
          <w:tcPr>
            <w:tcW w:w="2142" w:type="dxa"/>
            <w:shd w:val="clear" w:color="auto" w:fill="auto"/>
          </w:tcPr>
          <w:p w14:paraId="5EBFD43D"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0.502 (0.179 – 1.408)</w:t>
            </w:r>
          </w:p>
        </w:tc>
        <w:tc>
          <w:tcPr>
            <w:tcW w:w="1182" w:type="dxa"/>
            <w:shd w:val="clear" w:color="auto" w:fill="auto"/>
          </w:tcPr>
          <w:p w14:paraId="003E1B41"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0.191</w:t>
            </w:r>
          </w:p>
        </w:tc>
      </w:tr>
      <w:tr w:rsidR="008976B7" w:rsidRPr="00A97A20" w14:paraId="7E5A6D91" w14:textId="77777777" w:rsidTr="001B2186">
        <w:trPr>
          <w:gridAfter w:val="1"/>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76AF8407"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Platelet count (x10</w:t>
            </w:r>
            <w:r w:rsidRPr="00A97A20">
              <w:rPr>
                <w:rFonts w:asciiTheme="minorHAnsi" w:hAnsiTheme="minorHAnsi" w:cstheme="minorHAnsi"/>
                <w:i w:val="0"/>
                <w:iCs w:val="0"/>
                <w:sz w:val="16"/>
                <w:szCs w:val="16"/>
                <w:vertAlign w:val="superscript"/>
                <w:lang w:val="en-US"/>
              </w:rPr>
              <w:t>9</w:t>
            </w:r>
            <w:r w:rsidRPr="00A97A20">
              <w:rPr>
                <w:rFonts w:asciiTheme="minorHAnsi" w:hAnsiTheme="minorHAnsi" w:cstheme="minorHAnsi"/>
                <w:i w:val="0"/>
                <w:iCs w:val="0"/>
                <w:sz w:val="16"/>
                <w:szCs w:val="16"/>
                <w:lang w:val="en-US"/>
              </w:rPr>
              <w:t>/L)</w:t>
            </w:r>
          </w:p>
        </w:tc>
        <w:tc>
          <w:tcPr>
            <w:tcW w:w="893" w:type="dxa"/>
            <w:shd w:val="clear" w:color="auto" w:fill="auto"/>
          </w:tcPr>
          <w:p w14:paraId="4668E852"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0.562</w:t>
            </w:r>
          </w:p>
        </w:tc>
        <w:tc>
          <w:tcPr>
            <w:tcW w:w="2086" w:type="dxa"/>
            <w:shd w:val="clear" w:color="auto" w:fill="auto"/>
          </w:tcPr>
          <w:p w14:paraId="41A55B4B"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1.000 (0.998 – 1.003) </w:t>
            </w:r>
          </w:p>
        </w:tc>
        <w:tc>
          <w:tcPr>
            <w:tcW w:w="975" w:type="dxa"/>
            <w:shd w:val="clear" w:color="auto" w:fill="auto"/>
          </w:tcPr>
          <w:p w14:paraId="7FAC2D59"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0.764 </w:t>
            </w:r>
          </w:p>
        </w:tc>
        <w:tc>
          <w:tcPr>
            <w:tcW w:w="2142" w:type="dxa"/>
            <w:shd w:val="clear" w:color="auto" w:fill="auto"/>
          </w:tcPr>
          <w:p w14:paraId="0B54BF1F"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1.001 (0997 – 1.004) </w:t>
            </w:r>
          </w:p>
        </w:tc>
        <w:tc>
          <w:tcPr>
            <w:tcW w:w="1182" w:type="dxa"/>
            <w:shd w:val="clear" w:color="auto" w:fill="auto"/>
          </w:tcPr>
          <w:p w14:paraId="4D34D19E"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0.692 </w:t>
            </w:r>
          </w:p>
        </w:tc>
      </w:tr>
      <w:tr w:rsidR="008976B7" w:rsidRPr="00A97A20" w14:paraId="3B4E8588" w14:textId="77777777" w:rsidTr="001B2186">
        <w:trPr>
          <w:gridAfter w:val="1"/>
          <w:cnfStyle w:val="000000100000" w:firstRow="0" w:lastRow="0" w:firstColumn="0" w:lastColumn="0" w:oddVBand="0" w:evenVBand="0" w:oddHBand="1" w:evenHBand="0" w:firstRowFirstColumn="0" w:firstRowLastColumn="0" w:lastRowFirstColumn="0" w:lastRowLastColumn="0"/>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6E2A4557"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 xml:space="preserve">LDH (U/L) </w:t>
            </w:r>
          </w:p>
        </w:tc>
        <w:tc>
          <w:tcPr>
            <w:tcW w:w="893" w:type="dxa"/>
            <w:shd w:val="clear" w:color="auto" w:fill="auto"/>
          </w:tcPr>
          <w:p w14:paraId="66B30992"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0.812 </w:t>
            </w:r>
          </w:p>
        </w:tc>
        <w:tc>
          <w:tcPr>
            <w:tcW w:w="2086" w:type="dxa"/>
            <w:shd w:val="clear" w:color="auto" w:fill="auto"/>
          </w:tcPr>
          <w:p w14:paraId="7D8326B0"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1.003 (1.001 – 1.006) </w:t>
            </w:r>
          </w:p>
        </w:tc>
        <w:tc>
          <w:tcPr>
            <w:tcW w:w="975" w:type="dxa"/>
            <w:shd w:val="clear" w:color="auto" w:fill="auto"/>
          </w:tcPr>
          <w:p w14:paraId="2B70296C"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0.016 </w:t>
            </w:r>
          </w:p>
        </w:tc>
        <w:tc>
          <w:tcPr>
            <w:tcW w:w="2142" w:type="dxa"/>
            <w:shd w:val="clear" w:color="auto" w:fill="auto"/>
          </w:tcPr>
          <w:p w14:paraId="08F1D4E7"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1.002 (1.000 – 1.004) </w:t>
            </w:r>
          </w:p>
        </w:tc>
        <w:tc>
          <w:tcPr>
            <w:tcW w:w="1182" w:type="dxa"/>
            <w:shd w:val="clear" w:color="auto" w:fill="auto"/>
          </w:tcPr>
          <w:p w14:paraId="40814C07"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0.016 </w:t>
            </w:r>
          </w:p>
        </w:tc>
      </w:tr>
      <w:tr w:rsidR="008976B7" w:rsidRPr="00A97A20" w14:paraId="1375E61C" w14:textId="77777777" w:rsidTr="001B2186">
        <w:trPr>
          <w:gridAfter w:val="1"/>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4E6575D7"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 xml:space="preserve">eGFR (ml/min) </w:t>
            </w:r>
          </w:p>
        </w:tc>
        <w:tc>
          <w:tcPr>
            <w:tcW w:w="893" w:type="dxa"/>
            <w:shd w:val="clear" w:color="auto" w:fill="auto"/>
          </w:tcPr>
          <w:p w14:paraId="2566A53B"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0.463</w:t>
            </w:r>
          </w:p>
        </w:tc>
        <w:tc>
          <w:tcPr>
            <w:tcW w:w="2086" w:type="dxa"/>
            <w:shd w:val="clear" w:color="auto" w:fill="auto"/>
          </w:tcPr>
          <w:p w14:paraId="6DDD8007"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1.002 (0.988 – 1.016) </w:t>
            </w:r>
          </w:p>
        </w:tc>
        <w:tc>
          <w:tcPr>
            <w:tcW w:w="975" w:type="dxa"/>
            <w:shd w:val="clear" w:color="auto" w:fill="auto"/>
          </w:tcPr>
          <w:p w14:paraId="65858434"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0.769 </w:t>
            </w:r>
          </w:p>
        </w:tc>
        <w:tc>
          <w:tcPr>
            <w:tcW w:w="2142" w:type="dxa"/>
            <w:shd w:val="clear" w:color="auto" w:fill="auto"/>
          </w:tcPr>
          <w:p w14:paraId="4E2D9BE0"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0.997 (0.981 – 1.013)</w:t>
            </w:r>
          </w:p>
        </w:tc>
        <w:tc>
          <w:tcPr>
            <w:tcW w:w="1182" w:type="dxa"/>
            <w:shd w:val="clear" w:color="auto" w:fill="auto"/>
          </w:tcPr>
          <w:p w14:paraId="46C1CA2C"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0.678 </w:t>
            </w:r>
          </w:p>
        </w:tc>
      </w:tr>
      <w:tr w:rsidR="008976B7" w:rsidRPr="00A97A20" w14:paraId="0E697C08" w14:textId="77777777" w:rsidTr="001B2186">
        <w:trPr>
          <w:gridAfter w:val="1"/>
          <w:cnfStyle w:val="000000100000" w:firstRow="0" w:lastRow="0" w:firstColumn="0" w:lastColumn="0" w:oddVBand="0" w:evenVBand="0" w:oddHBand="1" w:evenHBand="0" w:firstRowFirstColumn="0" w:firstRowLastColumn="0" w:lastRowFirstColumn="0" w:lastRowLastColumn="0"/>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2D0977C5"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Beta2-microglobulin (mg/L)</w:t>
            </w:r>
          </w:p>
        </w:tc>
        <w:tc>
          <w:tcPr>
            <w:tcW w:w="893" w:type="dxa"/>
            <w:shd w:val="clear" w:color="auto" w:fill="auto"/>
          </w:tcPr>
          <w:p w14:paraId="5F4491DD"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0.954 </w:t>
            </w:r>
          </w:p>
        </w:tc>
        <w:tc>
          <w:tcPr>
            <w:tcW w:w="2086" w:type="dxa"/>
            <w:shd w:val="clear" w:color="auto" w:fill="auto"/>
          </w:tcPr>
          <w:p w14:paraId="649CA832"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1.127 (1.033 – 1.230) </w:t>
            </w:r>
          </w:p>
        </w:tc>
        <w:tc>
          <w:tcPr>
            <w:tcW w:w="975" w:type="dxa"/>
            <w:shd w:val="clear" w:color="auto" w:fill="auto"/>
          </w:tcPr>
          <w:p w14:paraId="68ED68FE"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0.007 </w:t>
            </w:r>
          </w:p>
        </w:tc>
        <w:tc>
          <w:tcPr>
            <w:tcW w:w="2142" w:type="dxa"/>
            <w:shd w:val="clear" w:color="auto" w:fill="auto"/>
          </w:tcPr>
          <w:p w14:paraId="76E1C883"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1.107 (1.007 – 1.217)</w:t>
            </w:r>
          </w:p>
        </w:tc>
        <w:tc>
          <w:tcPr>
            <w:tcW w:w="1182" w:type="dxa"/>
            <w:shd w:val="clear" w:color="auto" w:fill="auto"/>
          </w:tcPr>
          <w:p w14:paraId="4ED64D8A"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0.035 </w:t>
            </w:r>
          </w:p>
        </w:tc>
      </w:tr>
      <w:tr w:rsidR="008976B7" w:rsidRPr="00A97A20" w14:paraId="217ADB47" w14:textId="77777777" w:rsidTr="001B2186">
        <w:trPr>
          <w:gridAfter w:val="1"/>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7FC7EAA9" w14:textId="77777777" w:rsidR="008976B7" w:rsidRPr="00A97A20" w:rsidRDefault="008976B7" w:rsidP="001B2186">
            <w:pPr>
              <w:spacing w:line="360" w:lineRule="auto"/>
              <w:jc w:val="left"/>
              <w:rPr>
                <w:rFonts w:asciiTheme="minorHAnsi" w:hAnsiTheme="minorHAnsi" w:cstheme="minorHAnsi"/>
                <w:b/>
                <w:bCs/>
                <w:i w:val="0"/>
                <w:iCs w:val="0"/>
                <w:sz w:val="16"/>
                <w:szCs w:val="16"/>
                <w:lang w:val="en-US"/>
              </w:rPr>
            </w:pPr>
            <w:r w:rsidRPr="00A97A20">
              <w:rPr>
                <w:rFonts w:asciiTheme="minorHAnsi" w:hAnsiTheme="minorHAnsi" w:cstheme="minorHAnsi"/>
                <w:i w:val="0"/>
                <w:iCs w:val="0"/>
                <w:sz w:val="16"/>
                <w:szCs w:val="16"/>
                <w:lang w:val="en-US"/>
              </w:rPr>
              <w:t>Albumin g/L</w:t>
            </w:r>
          </w:p>
        </w:tc>
        <w:tc>
          <w:tcPr>
            <w:tcW w:w="893" w:type="dxa"/>
            <w:shd w:val="clear" w:color="auto" w:fill="auto"/>
          </w:tcPr>
          <w:p w14:paraId="33825898"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0.737 </w:t>
            </w:r>
          </w:p>
        </w:tc>
        <w:tc>
          <w:tcPr>
            <w:tcW w:w="2086" w:type="dxa"/>
            <w:shd w:val="clear" w:color="auto" w:fill="auto"/>
          </w:tcPr>
          <w:p w14:paraId="2A8D9B28"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1.000 (0.944 – 1.058) </w:t>
            </w:r>
          </w:p>
        </w:tc>
        <w:tc>
          <w:tcPr>
            <w:tcW w:w="975" w:type="dxa"/>
            <w:shd w:val="clear" w:color="auto" w:fill="auto"/>
          </w:tcPr>
          <w:p w14:paraId="15862281"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0.990 </w:t>
            </w:r>
          </w:p>
        </w:tc>
        <w:tc>
          <w:tcPr>
            <w:tcW w:w="2142" w:type="dxa"/>
            <w:shd w:val="clear" w:color="auto" w:fill="auto"/>
          </w:tcPr>
          <w:p w14:paraId="55E66197"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0.935 (0.884 – 0.988) </w:t>
            </w:r>
          </w:p>
        </w:tc>
        <w:tc>
          <w:tcPr>
            <w:tcW w:w="1182" w:type="dxa"/>
            <w:shd w:val="clear" w:color="auto" w:fill="auto"/>
          </w:tcPr>
          <w:p w14:paraId="023AB693"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0.018 </w:t>
            </w:r>
          </w:p>
        </w:tc>
      </w:tr>
      <w:tr w:rsidR="008976B7" w:rsidRPr="00A97A20" w14:paraId="28A52FB4" w14:textId="77777777" w:rsidTr="001B2186">
        <w:trPr>
          <w:gridAfter w:val="1"/>
          <w:cnfStyle w:val="000000100000" w:firstRow="0" w:lastRow="0" w:firstColumn="0" w:lastColumn="0" w:oddVBand="0" w:evenVBand="0" w:oddHBand="1" w:evenHBand="0" w:firstRowFirstColumn="0" w:firstRowLastColumn="0" w:lastRowFirstColumn="0" w:lastRowLastColumn="0"/>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013AFD47"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ISS stadium II‡</w:t>
            </w:r>
          </w:p>
        </w:tc>
        <w:tc>
          <w:tcPr>
            <w:tcW w:w="893" w:type="dxa"/>
            <w:shd w:val="clear" w:color="auto" w:fill="auto"/>
          </w:tcPr>
          <w:p w14:paraId="4F13460A"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0.777</w:t>
            </w:r>
          </w:p>
        </w:tc>
        <w:tc>
          <w:tcPr>
            <w:tcW w:w="2086" w:type="dxa"/>
            <w:shd w:val="clear" w:color="auto" w:fill="auto"/>
          </w:tcPr>
          <w:p w14:paraId="3172BEC8"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0.629 (0.321 – 1232)</w:t>
            </w:r>
          </w:p>
        </w:tc>
        <w:tc>
          <w:tcPr>
            <w:tcW w:w="975" w:type="dxa"/>
            <w:shd w:val="clear" w:color="auto" w:fill="auto"/>
          </w:tcPr>
          <w:p w14:paraId="1A0DD919"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0.177</w:t>
            </w:r>
          </w:p>
        </w:tc>
        <w:tc>
          <w:tcPr>
            <w:tcW w:w="2142" w:type="dxa"/>
            <w:shd w:val="clear" w:color="auto" w:fill="auto"/>
          </w:tcPr>
          <w:p w14:paraId="204E50C7"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0.691 (0.324 – 1.477)</w:t>
            </w:r>
          </w:p>
        </w:tc>
        <w:tc>
          <w:tcPr>
            <w:tcW w:w="1182" w:type="dxa"/>
            <w:shd w:val="clear" w:color="auto" w:fill="auto"/>
          </w:tcPr>
          <w:p w14:paraId="777D9AB6"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0.341</w:t>
            </w:r>
          </w:p>
        </w:tc>
      </w:tr>
      <w:tr w:rsidR="008976B7" w:rsidRPr="00A97A20" w14:paraId="3ED46BFA" w14:textId="77777777" w:rsidTr="001B2186">
        <w:trPr>
          <w:gridAfter w:val="1"/>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6423E255"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ISS stadium III‡</w:t>
            </w:r>
          </w:p>
        </w:tc>
        <w:tc>
          <w:tcPr>
            <w:tcW w:w="893" w:type="dxa"/>
            <w:shd w:val="clear" w:color="auto" w:fill="auto"/>
          </w:tcPr>
          <w:p w14:paraId="4FAEBDD4"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0.717</w:t>
            </w:r>
          </w:p>
        </w:tc>
        <w:tc>
          <w:tcPr>
            <w:tcW w:w="2086" w:type="dxa"/>
            <w:shd w:val="clear" w:color="auto" w:fill="auto"/>
          </w:tcPr>
          <w:p w14:paraId="7DB55DE1"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2.516 (1.193 – 5.304)</w:t>
            </w:r>
          </w:p>
        </w:tc>
        <w:tc>
          <w:tcPr>
            <w:tcW w:w="975" w:type="dxa"/>
            <w:shd w:val="clear" w:color="auto" w:fill="auto"/>
          </w:tcPr>
          <w:p w14:paraId="31DF8836"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0.015</w:t>
            </w:r>
          </w:p>
        </w:tc>
        <w:tc>
          <w:tcPr>
            <w:tcW w:w="2142" w:type="dxa"/>
            <w:shd w:val="clear" w:color="auto" w:fill="auto"/>
          </w:tcPr>
          <w:p w14:paraId="677942AD"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2.934 (1.340 – 6.423)</w:t>
            </w:r>
          </w:p>
        </w:tc>
        <w:tc>
          <w:tcPr>
            <w:tcW w:w="1182" w:type="dxa"/>
            <w:shd w:val="clear" w:color="auto" w:fill="auto"/>
          </w:tcPr>
          <w:p w14:paraId="31FFD67E"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0.007 </w:t>
            </w:r>
          </w:p>
        </w:tc>
      </w:tr>
      <w:tr w:rsidR="008976B7" w:rsidRPr="00A97A20" w14:paraId="33339198" w14:textId="77777777" w:rsidTr="001B2186">
        <w:trPr>
          <w:gridAfter w:val="1"/>
          <w:cnfStyle w:val="000000100000" w:firstRow="0" w:lastRow="0" w:firstColumn="0" w:lastColumn="0" w:oddVBand="0" w:evenVBand="0" w:oddHBand="1" w:evenHBand="0" w:firstRowFirstColumn="0" w:firstRowLastColumn="0" w:lastRowFirstColumn="0" w:lastRowLastColumn="0"/>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763F253E"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R-ISS stadium II‡</w:t>
            </w:r>
          </w:p>
        </w:tc>
        <w:tc>
          <w:tcPr>
            <w:tcW w:w="893" w:type="dxa"/>
            <w:shd w:val="clear" w:color="auto" w:fill="auto"/>
          </w:tcPr>
          <w:p w14:paraId="6F84AA0A"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1.000</w:t>
            </w:r>
          </w:p>
        </w:tc>
        <w:tc>
          <w:tcPr>
            <w:tcW w:w="2086" w:type="dxa"/>
            <w:shd w:val="clear" w:color="auto" w:fill="auto"/>
          </w:tcPr>
          <w:p w14:paraId="4F7C3ED6"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0.755 (0.347 – 1.642)</w:t>
            </w:r>
          </w:p>
        </w:tc>
        <w:tc>
          <w:tcPr>
            <w:tcW w:w="975" w:type="dxa"/>
            <w:shd w:val="clear" w:color="auto" w:fill="auto"/>
          </w:tcPr>
          <w:p w14:paraId="6C8385A9"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0.478</w:t>
            </w:r>
          </w:p>
        </w:tc>
        <w:tc>
          <w:tcPr>
            <w:tcW w:w="2142" w:type="dxa"/>
            <w:shd w:val="clear" w:color="auto" w:fill="auto"/>
          </w:tcPr>
          <w:p w14:paraId="0CAB9025"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0.604 (0.250 – 1.455)</w:t>
            </w:r>
          </w:p>
        </w:tc>
        <w:tc>
          <w:tcPr>
            <w:tcW w:w="1182" w:type="dxa"/>
            <w:shd w:val="clear" w:color="auto" w:fill="auto"/>
          </w:tcPr>
          <w:p w14:paraId="2CC596B6"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0.261</w:t>
            </w:r>
          </w:p>
        </w:tc>
      </w:tr>
      <w:tr w:rsidR="008976B7" w:rsidRPr="00A97A20" w14:paraId="51504931" w14:textId="77777777" w:rsidTr="001B2186">
        <w:trPr>
          <w:gridAfter w:val="1"/>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C654703"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R-ISS stadium III‡</w:t>
            </w:r>
          </w:p>
        </w:tc>
        <w:tc>
          <w:tcPr>
            <w:tcW w:w="893" w:type="dxa"/>
            <w:shd w:val="clear" w:color="auto" w:fill="auto"/>
          </w:tcPr>
          <w:p w14:paraId="34623347"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0.304</w:t>
            </w:r>
          </w:p>
        </w:tc>
        <w:tc>
          <w:tcPr>
            <w:tcW w:w="2086" w:type="dxa"/>
            <w:shd w:val="clear" w:color="auto" w:fill="auto"/>
          </w:tcPr>
          <w:p w14:paraId="365607EE"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2.257 (0.804 – 6.335)</w:t>
            </w:r>
          </w:p>
        </w:tc>
        <w:tc>
          <w:tcPr>
            <w:tcW w:w="975" w:type="dxa"/>
            <w:shd w:val="clear" w:color="auto" w:fill="auto"/>
          </w:tcPr>
          <w:p w14:paraId="1D7B06D6"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0.122</w:t>
            </w:r>
          </w:p>
        </w:tc>
        <w:tc>
          <w:tcPr>
            <w:tcW w:w="2142" w:type="dxa"/>
            <w:shd w:val="clear" w:color="auto" w:fill="auto"/>
          </w:tcPr>
          <w:p w14:paraId="13C1FD43"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3.683 (1.295 – 10.474)</w:t>
            </w:r>
          </w:p>
        </w:tc>
        <w:tc>
          <w:tcPr>
            <w:tcW w:w="1182" w:type="dxa"/>
            <w:shd w:val="clear" w:color="auto" w:fill="auto"/>
          </w:tcPr>
          <w:p w14:paraId="141DABB0"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0.014</w:t>
            </w:r>
          </w:p>
        </w:tc>
      </w:tr>
      <w:tr w:rsidR="008976B7" w:rsidRPr="00A97A20" w14:paraId="16B05EBA" w14:textId="77777777" w:rsidTr="000E05EA">
        <w:trPr>
          <w:gridAfter w:val="1"/>
          <w:cnfStyle w:val="000000100000" w:firstRow="0" w:lastRow="0" w:firstColumn="0" w:lastColumn="0" w:oddVBand="0" w:evenVBand="0" w:oddHBand="1" w:evenHBand="0" w:firstRowFirstColumn="0" w:firstRowLastColumn="0" w:lastRowFirstColumn="0" w:lastRowLastColumn="0"/>
          <w:wAfter w:w="32" w:type="dxa"/>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1014B6DE" w14:textId="77777777" w:rsidR="008976B7" w:rsidRPr="00A97A20" w:rsidRDefault="008976B7" w:rsidP="001B2186">
            <w:pPr>
              <w:spacing w:line="360" w:lineRule="auto"/>
              <w:jc w:val="left"/>
              <w:rPr>
                <w:rFonts w:asciiTheme="minorHAnsi" w:hAnsiTheme="minorHAnsi" w:cstheme="minorHAnsi"/>
                <w:b/>
                <w:bCs/>
                <w:i w:val="0"/>
                <w:iCs w:val="0"/>
                <w:sz w:val="16"/>
                <w:szCs w:val="16"/>
                <w:lang w:val="en-US"/>
              </w:rPr>
            </w:pPr>
            <w:r w:rsidRPr="00A97A20">
              <w:rPr>
                <w:rFonts w:asciiTheme="minorHAnsi" w:hAnsiTheme="minorHAnsi" w:cstheme="minorHAnsi"/>
                <w:i w:val="0"/>
                <w:iCs w:val="0"/>
                <w:sz w:val="16"/>
                <w:szCs w:val="16"/>
                <w:lang w:val="en-US"/>
              </w:rPr>
              <w:t>Extramedullary plasmacytomas</w:t>
            </w:r>
          </w:p>
        </w:tc>
        <w:tc>
          <w:tcPr>
            <w:tcW w:w="893" w:type="dxa"/>
            <w:shd w:val="clear" w:color="auto" w:fill="auto"/>
          </w:tcPr>
          <w:p w14:paraId="05B822DE"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0.122</w:t>
            </w:r>
          </w:p>
        </w:tc>
        <w:tc>
          <w:tcPr>
            <w:tcW w:w="2086" w:type="dxa"/>
            <w:shd w:val="clear" w:color="auto" w:fill="auto"/>
          </w:tcPr>
          <w:p w14:paraId="041E4551"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3.773 (1.699 – 8.379) </w:t>
            </w:r>
          </w:p>
        </w:tc>
        <w:tc>
          <w:tcPr>
            <w:tcW w:w="975" w:type="dxa"/>
            <w:shd w:val="clear" w:color="auto" w:fill="auto"/>
          </w:tcPr>
          <w:p w14:paraId="1855DD6A"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0.001</w:t>
            </w:r>
          </w:p>
        </w:tc>
        <w:tc>
          <w:tcPr>
            <w:tcW w:w="2142" w:type="dxa"/>
            <w:shd w:val="clear" w:color="auto" w:fill="auto"/>
          </w:tcPr>
          <w:p w14:paraId="311BECB2"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4.421 (1.998 – 9.785)</w:t>
            </w:r>
          </w:p>
        </w:tc>
        <w:tc>
          <w:tcPr>
            <w:tcW w:w="1182" w:type="dxa"/>
            <w:shd w:val="clear" w:color="auto" w:fill="auto"/>
          </w:tcPr>
          <w:p w14:paraId="1754438E" w14:textId="77777777" w:rsidR="008976B7" w:rsidRPr="00A97A20" w:rsidRDefault="008976B7" w:rsidP="001B2186">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A97A20">
              <w:rPr>
                <w:rFonts w:cstheme="minorHAnsi"/>
                <w:sz w:val="16"/>
                <w:szCs w:val="16"/>
                <w:lang w:val="en-US"/>
              </w:rPr>
              <w:t>&lt;0.0001</w:t>
            </w:r>
          </w:p>
        </w:tc>
      </w:tr>
      <w:tr w:rsidR="008976B7" w:rsidRPr="00A97A20" w14:paraId="451300DF" w14:textId="77777777" w:rsidTr="000E05EA">
        <w:trPr>
          <w:gridAfter w:val="1"/>
          <w:wAfter w:w="32" w:type="dxa"/>
        </w:trPr>
        <w:tc>
          <w:tcPr>
            <w:cnfStyle w:val="001000000000" w:firstRow="0" w:lastRow="0" w:firstColumn="1" w:lastColumn="0" w:oddVBand="0" w:evenVBand="0" w:oddHBand="0" w:evenHBand="0" w:firstRowFirstColumn="0" w:firstRowLastColumn="0" w:lastRowFirstColumn="0" w:lastRowLastColumn="0"/>
            <w:tcW w:w="3690" w:type="dxa"/>
            <w:tcBorders>
              <w:bottom w:val="single" w:sz="4" w:space="0" w:color="auto"/>
            </w:tcBorders>
            <w:shd w:val="clear" w:color="auto" w:fill="auto"/>
          </w:tcPr>
          <w:p w14:paraId="072ECBA2" w14:textId="77777777" w:rsidR="008976B7" w:rsidRPr="00A97A20" w:rsidRDefault="008976B7" w:rsidP="001B2186">
            <w:pPr>
              <w:spacing w:line="360" w:lineRule="auto"/>
              <w:jc w:val="left"/>
              <w:rPr>
                <w:rFonts w:asciiTheme="minorHAnsi" w:hAnsiTheme="minorHAnsi" w:cstheme="minorHAnsi"/>
                <w:i w:val="0"/>
                <w:iCs w:val="0"/>
                <w:sz w:val="16"/>
                <w:szCs w:val="16"/>
                <w:lang w:val="en-US"/>
              </w:rPr>
            </w:pPr>
            <w:r w:rsidRPr="00A97A20">
              <w:rPr>
                <w:rFonts w:asciiTheme="minorHAnsi" w:hAnsiTheme="minorHAnsi" w:cstheme="minorHAnsi"/>
                <w:i w:val="0"/>
                <w:iCs w:val="0"/>
                <w:sz w:val="16"/>
                <w:szCs w:val="16"/>
                <w:lang w:val="en-US"/>
              </w:rPr>
              <w:t>High risk cytogenetics</w:t>
            </w:r>
            <w:r w:rsidRPr="00A97A20">
              <w:rPr>
                <w:rFonts w:asciiTheme="minorHAnsi" w:hAnsiTheme="minorHAnsi" w:cstheme="minorHAnsi"/>
                <w:i w:val="0"/>
                <w:iCs w:val="0"/>
                <w:sz w:val="16"/>
                <w:szCs w:val="16"/>
                <w:vertAlign w:val="superscript"/>
                <w:lang w:val="en-US"/>
              </w:rPr>
              <w:t>*</w:t>
            </w:r>
          </w:p>
        </w:tc>
        <w:tc>
          <w:tcPr>
            <w:tcW w:w="893" w:type="dxa"/>
            <w:tcBorders>
              <w:bottom w:val="single" w:sz="4" w:space="0" w:color="auto"/>
            </w:tcBorders>
            <w:shd w:val="clear" w:color="auto" w:fill="auto"/>
          </w:tcPr>
          <w:p w14:paraId="2946B2F6"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0.761</w:t>
            </w:r>
          </w:p>
        </w:tc>
        <w:tc>
          <w:tcPr>
            <w:tcW w:w="2086" w:type="dxa"/>
            <w:tcBorders>
              <w:bottom w:val="single" w:sz="4" w:space="0" w:color="auto"/>
            </w:tcBorders>
            <w:shd w:val="clear" w:color="auto" w:fill="auto"/>
          </w:tcPr>
          <w:p w14:paraId="184C482F"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1.143 (0.597 – 2.190) </w:t>
            </w:r>
          </w:p>
        </w:tc>
        <w:tc>
          <w:tcPr>
            <w:tcW w:w="975" w:type="dxa"/>
            <w:tcBorders>
              <w:bottom w:val="single" w:sz="4" w:space="0" w:color="auto"/>
            </w:tcBorders>
            <w:shd w:val="clear" w:color="auto" w:fill="auto"/>
          </w:tcPr>
          <w:p w14:paraId="4179EB1F"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caps/>
                <w:sz w:val="16"/>
                <w:szCs w:val="16"/>
                <w:lang w:val="en-US"/>
              </w:rPr>
            </w:pPr>
            <w:r w:rsidRPr="00A97A20">
              <w:rPr>
                <w:rFonts w:cstheme="minorHAnsi"/>
                <w:caps/>
                <w:sz w:val="16"/>
                <w:szCs w:val="16"/>
                <w:lang w:val="en-US"/>
              </w:rPr>
              <w:t xml:space="preserve">0.687 </w:t>
            </w:r>
          </w:p>
        </w:tc>
        <w:tc>
          <w:tcPr>
            <w:tcW w:w="2142" w:type="dxa"/>
            <w:tcBorders>
              <w:bottom w:val="single" w:sz="4" w:space="0" w:color="auto"/>
            </w:tcBorders>
            <w:shd w:val="clear" w:color="auto" w:fill="auto"/>
          </w:tcPr>
          <w:p w14:paraId="7D3DD901"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1.094 (0.521 – 2.297)</w:t>
            </w:r>
          </w:p>
        </w:tc>
        <w:tc>
          <w:tcPr>
            <w:tcW w:w="1182" w:type="dxa"/>
            <w:tcBorders>
              <w:bottom w:val="single" w:sz="4" w:space="0" w:color="auto"/>
            </w:tcBorders>
            <w:shd w:val="clear" w:color="auto" w:fill="auto"/>
          </w:tcPr>
          <w:p w14:paraId="48BAE5E9" w14:textId="77777777" w:rsidR="008976B7" w:rsidRPr="00A97A20" w:rsidRDefault="008976B7" w:rsidP="001B218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A97A20">
              <w:rPr>
                <w:rFonts w:cstheme="minorHAnsi"/>
                <w:sz w:val="16"/>
                <w:szCs w:val="16"/>
                <w:lang w:val="en-US"/>
              </w:rPr>
              <w:t xml:space="preserve">0.813 </w:t>
            </w:r>
          </w:p>
        </w:tc>
      </w:tr>
    </w:tbl>
    <w:p w14:paraId="05155411" w14:textId="77777777" w:rsidR="008976B7" w:rsidRPr="00A97A20" w:rsidRDefault="008976B7" w:rsidP="008976B7">
      <w:pPr>
        <w:rPr>
          <w:rFonts w:ascii="Calibri" w:eastAsia="Calibri" w:hAnsi="Calibri" w:cs="Calibri"/>
          <w:sz w:val="20"/>
          <w:szCs w:val="20"/>
          <w:lang w:val="en-US"/>
        </w:rPr>
      </w:pPr>
      <w:r w:rsidRPr="00A97A20">
        <w:rPr>
          <w:rFonts w:ascii="Calibri" w:eastAsia="Calibri" w:hAnsi="Calibri" w:cs="Calibri"/>
          <w:sz w:val="20"/>
          <w:szCs w:val="20"/>
          <w:lang w:val="en-US"/>
        </w:rPr>
        <w:t>‡Referenced to (R-)ISS stadium I.</w:t>
      </w:r>
    </w:p>
    <w:p w14:paraId="1E46B69E" w14:textId="77777777" w:rsidR="008976B7" w:rsidRPr="00A97A20" w:rsidRDefault="008976B7" w:rsidP="008976B7">
      <w:pPr>
        <w:rPr>
          <w:rFonts w:ascii="Calibri" w:eastAsia="Calibri" w:hAnsi="Calibri" w:cs="Calibri"/>
          <w:sz w:val="20"/>
          <w:szCs w:val="20"/>
          <w:lang w:val="en-US"/>
        </w:rPr>
      </w:pPr>
      <w:r w:rsidRPr="00A97A20">
        <w:rPr>
          <w:sz w:val="20"/>
          <w:szCs w:val="20"/>
          <w:lang w:val="en-US"/>
        </w:rPr>
        <w:t>*</w:t>
      </w:r>
      <w:r w:rsidRPr="00A97A20">
        <w:rPr>
          <w:rFonts w:ascii="Calibri" w:eastAsia="Calibri" w:hAnsi="Calibri" w:cs="Calibri"/>
          <w:sz w:val="20"/>
          <w:szCs w:val="20"/>
          <w:lang w:val="en-US"/>
        </w:rPr>
        <w:t xml:space="preserve">According to the criteria proposed by Sonneveld et al. Blood 2016: high risk disease is defined by the presence of t(4;14), t(14;16), t(14;20), del(17/17p), and/or gain(1q). </w:t>
      </w:r>
    </w:p>
    <w:p w14:paraId="19D885D8" w14:textId="77777777" w:rsidR="008976B7" w:rsidRPr="00A97A20" w:rsidRDefault="008976B7" w:rsidP="008976B7">
      <w:pPr>
        <w:rPr>
          <w:sz w:val="20"/>
          <w:szCs w:val="20"/>
          <w:lang w:val="en-US"/>
        </w:rPr>
      </w:pPr>
      <w:r w:rsidRPr="00A97A20">
        <w:rPr>
          <w:sz w:val="20"/>
          <w:szCs w:val="20"/>
          <w:lang w:val="en-US"/>
        </w:rPr>
        <w:t xml:space="preserve">Abbreviations: ORR(A), overall response rate part A; PFS-AB, progression free survival part A and B; OS, overall survival; HR, hazard ratio; CI, confidence interval; WHO PS, world health organization performance status; LDH, lactate dehydrogenase; eGFR, estimated glomerular filtration rate; ISS, International Staging System. </w:t>
      </w:r>
    </w:p>
    <w:p w14:paraId="22937D06" w14:textId="77777777" w:rsidR="008976B7" w:rsidRPr="00A97A20" w:rsidRDefault="008976B7" w:rsidP="008976B7">
      <w:pPr>
        <w:rPr>
          <w:lang w:val="en-US"/>
        </w:rPr>
      </w:pPr>
      <w:r w:rsidRPr="00A97A20">
        <w:rPr>
          <w:lang w:val="en-US"/>
        </w:rPr>
        <w:br w:type="page"/>
      </w:r>
    </w:p>
    <w:p w14:paraId="723398B9" w14:textId="63772C69" w:rsidR="008976B7" w:rsidRPr="00A97A20" w:rsidRDefault="008976B7" w:rsidP="008976B7">
      <w:pPr>
        <w:rPr>
          <w:lang w:val="en-US"/>
        </w:rPr>
      </w:pPr>
      <w:r w:rsidRPr="00A97A20">
        <w:rPr>
          <w:b/>
          <w:bCs/>
          <w:lang w:val="en-US"/>
        </w:rPr>
        <w:lastRenderedPageBreak/>
        <w:t xml:space="preserve">Supplemental Table 2. </w:t>
      </w:r>
      <w:r w:rsidRPr="00A97A20">
        <w:rPr>
          <w:b/>
          <w:lang w:val="en-US"/>
        </w:rPr>
        <w:t>Univariate analysis of BM-resident NK cell characteristics on progression-free survival and overall survival.</w:t>
      </w:r>
      <w:r w:rsidRPr="00A97A20">
        <w:rPr>
          <w:lang w:val="en-US"/>
        </w:rPr>
        <w:t xml:space="preserve"> </w:t>
      </w:r>
    </w:p>
    <w:p w14:paraId="4076E652" w14:textId="77777777" w:rsidR="008976B7" w:rsidRPr="00A97A20" w:rsidRDefault="008976B7" w:rsidP="008976B7">
      <w:pPr>
        <w:rPr>
          <w:lang w:val="en-US"/>
        </w:rPr>
      </w:pPr>
    </w:p>
    <w:tbl>
      <w:tblPr>
        <w:tblStyle w:val="Lijsttabel7kleurrijk"/>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40"/>
        <w:gridCol w:w="1842"/>
        <w:gridCol w:w="1134"/>
        <w:gridCol w:w="1843"/>
        <w:gridCol w:w="1275"/>
      </w:tblGrid>
      <w:tr w:rsidR="00113A2B" w:rsidRPr="00A97A20" w14:paraId="36E29FE6" w14:textId="77777777" w:rsidTr="00113A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Borders>
              <w:top w:val="nil"/>
              <w:left w:val="nil"/>
            </w:tcBorders>
          </w:tcPr>
          <w:p w14:paraId="6FA9B59D" w14:textId="77777777" w:rsidR="00113A2B" w:rsidRPr="00A97A20" w:rsidRDefault="00113A2B">
            <w:pPr>
              <w:spacing w:line="360" w:lineRule="auto"/>
              <w:rPr>
                <w:rFonts w:asciiTheme="minorHAnsi" w:hAnsiTheme="minorHAnsi" w:cstheme="majorHAnsi"/>
                <w:b/>
                <w:bCs/>
                <w:i w:val="0"/>
                <w:iCs w:val="0"/>
                <w:sz w:val="20"/>
                <w:szCs w:val="20"/>
                <w:lang w:val="en-US"/>
              </w:rPr>
            </w:pPr>
          </w:p>
        </w:tc>
        <w:tc>
          <w:tcPr>
            <w:tcW w:w="1140" w:type="dxa"/>
            <w:tcBorders>
              <w:top w:val="nil"/>
              <w:left w:val="single" w:sz="4" w:space="0" w:color="auto"/>
              <w:right w:val="single" w:sz="4" w:space="0" w:color="auto"/>
            </w:tcBorders>
            <w:hideMark/>
          </w:tcPr>
          <w:p w14:paraId="5CA9282B" w14:textId="77777777" w:rsidR="00113A2B" w:rsidRPr="00A97A20" w:rsidRDefault="00113A2B">
            <w:pPr>
              <w:spacing w:line="360" w:lineRule="auto"/>
              <w:cnfStyle w:val="100000000000" w:firstRow="1" w:lastRow="0" w:firstColumn="0" w:lastColumn="0" w:oddVBand="0" w:evenVBand="0" w:oddHBand="0" w:evenHBand="0" w:firstRowFirstColumn="0" w:firstRowLastColumn="0" w:lastRowFirstColumn="0" w:lastRowLastColumn="0"/>
              <w:rPr>
                <w:b/>
                <w:bCs/>
                <w:sz w:val="20"/>
                <w:szCs w:val="20"/>
                <w:lang w:val="en-US"/>
              </w:rPr>
            </w:pPr>
            <w:r w:rsidRPr="00A97A20">
              <w:rPr>
                <w:b/>
                <w:bCs/>
                <w:i w:val="0"/>
                <w:iCs w:val="0"/>
                <w:sz w:val="20"/>
                <w:szCs w:val="20"/>
                <w:lang w:val="en-US"/>
              </w:rPr>
              <w:t>ORR(A)</w:t>
            </w:r>
          </w:p>
        </w:tc>
        <w:tc>
          <w:tcPr>
            <w:tcW w:w="2976" w:type="dxa"/>
            <w:gridSpan w:val="2"/>
            <w:tcBorders>
              <w:top w:val="nil"/>
              <w:left w:val="single" w:sz="4" w:space="0" w:color="auto"/>
              <w:right w:val="single" w:sz="4" w:space="0" w:color="auto"/>
            </w:tcBorders>
            <w:hideMark/>
          </w:tcPr>
          <w:p w14:paraId="6076D542" w14:textId="77777777" w:rsidR="00113A2B" w:rsidRPr="00A97A20" w:rsidRDefault="00113A2B">
            <w:pPr>
              <w:spacing w:line="360" w:lineRule="auto"/>
              <w:cnfStyle w:val="100000000000" w:firstRow="1" w:lastRow="0" w:firstColumn="0" w:lastColumn="0" w:oddVBand="0" w:evenVBand="0" w:oddHBand="0" w:evenHBand="0" w:firstRowFirstColumn="0" w:firstRowLastColumn="0" w:lastRowFirstColumn="0" w:lastRowLastColumn="0"/>
              <w:rPr>
                <w:b/>
                <w:bCs/>
                <w:i w:val="0"/>
                <w:iCs w:val="0"/>
                <w:sz w:val="20"/>
                <w:szCs w:val="20"/>
                <w:lang w:val="en-US"/>
              </w:rPr>
            </w:pPr>
            <w:r w:rsidRPr="00A97A20">
              <w:rPr>
                <w:b/>
                <w:bCs/>
                <w:i w:val="0"/>
                <w:iCs w:val="0"/>
                <w:sz w:val="20"/>
                <w:szCs w:val="20"/>
                <w:lang w:val="en-US"/>
              </w:rPr>
              <w:t>PFS-AB</w:t>
            </w:r>
          </w:p>
        </w:tc>
        <w:tc>
          <w:tcPr>
            <w:tcW w:w="3118" w:type="dxa"/>
            <w:gridSpan w:val="2"/>
            <w:tcBorders>
              <w:top w:val="nil"/>
              <w:left w:val="single" w:sz="4" w:space="0" w:color="auto"/>
              <w:right w:val="nil"/>
            </w:tcBorders>
            <w:hideMark/>
          </w:tcPr>
          <w:p w14:paraId="49E0246F" w14:textId="77777777" w:rsidR="00113A2B" w:rsidRPr="00A97A20" w:rsidRDefault="00113A2B">
            <w:pPr>
              <w:spacing w:line="360" w:lineRule="auto"/>
              <w:cnfStyle w:val="100000000000" w:firstRow="1" w:lastRow="0" w:firstColumn="0" w:lastColumn="0" w:oddVBand="0" w:evenVBand="0" w:oddHBand="0" w:evenHBand="0" w:firstRowFirstColumn="0" w:firstRowLastColumn="0" w:lastRowFirstColumn="0" w:lastRowLastColumn="0"/>
              <w:rPr>
                <w:b/>
                <w:bCs/>
                <w:i w:val="0"/>
                <w:iCs w:val="0"/>
                <w:sz w:val="20"/>
                <w:szCs w:val="20"/>
                <w:lang w:val="en-US"/>
              </w:rPr>
            </w:pPr>
            <w:r w:rsidRPr="00A97A20">
              <w:rPr>
                <w:b/>
                <w:bCs/>
                <w:i w:val="0"/>
                <w:iCs w:val="0"/>
                <w:sz w:val="20"/>
                <w:szCs w:val="20"/>
                <w:lang w:val="en-US"/>
              </w:rPr>
              <w:t>OS</w:t>
            </w:r>
          </w:p>
        </w:tc>
      </w:tr>
      <w:tr w:rsidR="00113A2B" w:rsidRPr="00A97A20" w14:paraId="26DED0B4" w14:textId="77777777" w:rsidTr="00113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nil"/>
              <w:bottom w:val="single" w:sz="4" w:space="0" w:color="auto"/>
            </w:tcBorders>
            <w:hideMark/>
          </w:tcPr>
          <w:p w14:paraId="2F1D11C6" w14:textId="77777777" w:rsidR="00113A2B" w:rsidRPr="00A97A20" w:rsidRDefault="00113A2B">
            <w:pPr>
              <w:spacing w:line="360" w:lineRule="auto"/>
              <w:jc w:val="left"/>
              <w:rPr>
                <w:rFonts w:asciiTheme="minorHAnsi" w:hAnsiTheme="minorHAnsi" w:cstheme="majorHAnsi"/>
                <w:b/>
                <w:i w:val="0"/>
                <w:iCs w:val="0"/>
                <w:sz w:val="16"/>
                <w:szCs w:val="16"/>
                <w:lang w:val="en-US"/>
              </w:rPr>
            </w:pPr>
            <w:r w:rsidRPr="00A97A20">
              <w:rPr>
                <w:rFonts w:asciiTheme="minorHAnsi" w:hAnsiTheme="minorHAnsi" w:cstheme="majorHAnsi"/>
                <w:b/>
                <w:i w:val="0"/>
                <w:iCs w:val="0"/>
                <w:sz w:val="16"/>
                <w:szCs w:val="16"/>
                <w:lang w:val="en-US"/>
              </w:rPr>
              <w:t>Characteristic</w:t>
            </w:r>
          </w:p>
        </w:tc>
        <w:tc>
          <w:tcPr>
            <w:tcW w:w="1140" w:type="dxa"/>
            <w:tcBorders>
              <w:top w:val="single" w:sz="4" w:space="0" w:color="auto"/>
              <w:left w:val="single" w:sz="4" w:space="0" w:color="auto"/>
              <w:bottom w:val="single" w:sz="4" w:space="0" w:color="auto"/>
              <w:right w:val="single" w:sz="4" w:space="0" w:color="auto"/>
            </w:tcBorders>
            <w:shd w:val="clear" w:color="auto" w:fill="auto"/>
            <w:hideMark/>
          </w:tcPr>
          <w:p w14:paraId="093F9CE5"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b/>
                <w:bCs/>
                <w:caps/>
                <w:sz w:val="16"/>
                <w:szCs w:val="16"/>
                <w:lang w:val="en-US"/>
              </w:rPr>
            </w:pPr>
            <w:r w:rsidRPr="00A97A20">
              <w:rPr>
                <w:b/>
                <w:bCs/>
                <w:i/>
                <w:iCs/>
                <w:sz w:val="16"/>
                <w:szCs w:val="16"/>
                <w:lang w:val="en-US"/>
              </w:rPr>
              <w:t>P</w:t>
            </w:r>
          </w:p>
        </w:tc>
        <w:tc>
          <w:tcPr>
            <w:tcW w:w="1842" w:type="dxa"/>
            <w:tcBorders>
              <w:top w:val="single" w:sz="4" w:space="0" w:color="auto"/>
              <w:left w:val="single" w:sz="4" w:space="0" w:color="auto"/>
              <w:bottom w:val="single" w:sz="4" w:space="0" w:color="auto"/>
              <w:right w:val="nil"/>
            </w:tcBorders>
            <w:shd w:val="clear" w:color="auto" w:fill="auto"/>
            <w:hideMark/>
          </w:tcPr>
          <w:p w14:paraId="6872A700"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b/>
                <w:bCs/>
                <w:caps/>
                <w:sz w:val="16"/>
                <w:szCs w:val="16"/>
                <w:lang w:val="en-US"/>
              </w:rPr>
            </w:pPr>
            <w:r w:rsidRPr="00A97A20">
              <w:rPr>
                <w:b/>
                <w:bCs/>
                <w:caps/>
                <w:sz w:val="16"/>
                <w:szCs w:val="16"/>
                <w:lang w:val="en-US"/>
              </w:rPr>
              <w:t>HR (95% CI)</w:t>
            </w:r>
          </w:p>
        </w:tc>
        <w:tc>
          <w:tcPr>
            <w:tcW w:w="1134" w:type="dxa"/>
            <w:tcBorders>
              <w:top w:val="single" w:sz="4" w:space="0" w:color="auto"/>
              <w:left w:val="nil"/>
              <w:bottom w:val="single" w:sz="4" w:space="0" w:color="auto"/>
              <w:right w:val="single" w:sz="4" w:space="0" w:color="auto"/>
            </w:tcBorders>
            <w:shd w:val="clear" w:color="auto" w:fill="auto"/>
            <w:hideMark/>
          </w:tcPr>
          <w:p w14:paraId="117D927B"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b/>
                <w:bCs/>
                <w:caps/>
                <w:sz w:val="16"/>
                <w:szCs w:val="16"/>
                <w:lang w:val="en-US"/>
              </w:rPr>
            </w:pPr>
            <w:r w:rsidRPr="00A97A20">
              <w:rPr>
                <w:b/>
                <w:bCs/>
                <w:i/>
                <w:iCs/>
                <w:sz w:val="16"/>
                <w:szCs w:val="16"/>
                <w:lang w:val="en-US"/>
              </w:rPr>
              <w:t>P</w:t>
            </w:r>
          </w:p>
        </w:tc>
        <w:tc>
          <w:tcPr>
            <w:tcW w:w="1843" w:type="dxa"/>
            <w:tcBorders>
              <w:top w:val="single" w:sz="4" w:space="0" w:color="auto"/>
              <w:left w:val="single" w:sz="4" w:space="0" w:color="auto"/>
              <w:bottom w:val="single" w:sz="4" w:space="0" w:color="auto"/>
              <w:right w:val="nil"/>
            </w:tcBorders>
            <w:shd w:val="clear" w:color="auto" w:fill="auto"/>
            <w:hideMark/>
          </w:tcPr>
          <w:p w14:paraId="1969263E"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A97A20">
              <w:rPr>
                <w:b/>
                <w:bCs/>
                <w:sz w:val="16"/>
                <w:szCs w:val="16"/>
                <w:lang w:val="en-US"/>
              </w:rPr>
              <w:t xml:space="preserve">HR (95% CI) </w:t>
            </w:r>
          </w:p>
        </w:tc>
        <w:tc>
          <w:tcPr>
            <w:tcW w:w="1275" w:type="dxa"/>
            <w:tcBorders>
              <w:top w:val="single" w:sz="4" w:space="0" w:color="auto"/>
              <w:left w:val="nil"/>
              <w:bottom w:val="single" w:sz="4" w:space="0" w:color="auto"/>
              <w:right w:val="nil"/>
            </w:tcBorders>
            <w:shd w:val="clear" w:color="auto" w:fill="auto"/>
            <w:hideMark/>
          </w:tcPr>
          <w:p w14:paraId="71ECDCC8"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b/>
                <w:bCs/>
                <w:i/>
                <w:iCs/>
                <w:sz w:val="16"/>
                <w:szCs w:val="16"/>
                <w:lang w:val="en-US"/>
              </w:rPr>
            </w:pPr>
            <w:r w:rsidRPr="00A97A20">
              <w:rPr>
                <w:b/>
                <w:bCs/>
                <w:i/>
                <w:iCs/>
                <w:sz w:val="16"/>
                <w:szCs w:val="16"/>
                <w:lang w:val="en-US"/>
              </w:rPr>
              <w:t xml:space="preserve">P </w:t>
            </w:r>
          </w:p>
        </w:tc>
      </w:tr>
      <w:tr w:rsidR="00113A2B" w:rsidRPr="00A97A20" w14:paraId="1389A39A" w14:textId="77777777" w:rsidTr="00113A2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nil"/>
              <w:bottom w:val="nil"/>
            </w:tcBorders>
            <w:hideMark/>
          </w:tcPr>
          <w:p w14:paraId="4CF96088" w14:textId="77777777" w:rsidR="00113A2B" w:rsidRPr="00A97A20" w:rsidRDefault="00113A2B">
            <w:pPr>
              <w:spacing w:line="360" w:lineRule="auto"/>
              <w:jc w:val="left"/>
              <w:rPr>
                <w:rFonts w:asciiTheme="minorHAnsi" w:hAnsiTheme="minorHAnsi" w:cstheme="majorHAnsi"/>
                <w:i w:val="0"/>
                <w:iCs w:val="0"/>
                <w:sz w:val="16"/>
                <w:szCs w:val="16"/>
                <w:lang w:val="en-US"/>
              </w:rPr>
            </w:pPr>
            <w:r w:rsidRPr="00A97A20">
              <w:rPr>
                <w:rFonts w:asciiTheme="minorHAnsi" w:hAnsiTheme="minorHAnsi" w:cstheme="majorHAnsi"/>
                <w:i w:val="0"/>
                <w:iCs w:val="0"/>
                <w:sz w:val="16"/>
                <w:szCs w:val="16"/>
                <w:lang w:val="en-US"/>
              </w:rPr>
              <w:t xml:space="preserve">NK cells (%) </w:t>
            </w:r>
          </w:p>
        </w:tc>
        <w:tc>
          <w:tcPr>
            <w:tcW w:w="1140" w:type="dxa"/>
            <w:tcBorders>
              <w:top w:val="single" w:sz="4" w:space="0" w:color="auto"/>
              <w:left w:val="single" w:sz="4" w:space="0" w:color="auto"/>
              <w:bottom w:val="nil"/>
              <w:right w:val="single" w:sz="4" w:space="0" w:color="auto"/>
            </w:tcBorders>
            <w:shd w:val="clear" w:color="auto" w:fill="auto"/>
            <w:hideMark/>
          </w:tcPr>
          <w:p w14:paraId="15F924C4"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r w:rsidRPr="00A97A20">
              <w:rPr>
                <w:caps/>
                <w:sz w:val="16"/>
                <w:szCs w:val="16"/>
                <w:lang w:val="en-US"/>
              </w:rPr>
              <w:t>0.150</w:t>
            </w:r>
          </w:p>
        </w:tc>
        <w:tc>
          <w:tcPr>
            <w:tcW w:w="1842" w:type="dxa"/>
            <w:tcBorders>
              <w:top w:val="single" w:sz="4" w:space="0" w:color="auto"/>
              <w:left w:val="single" w:sz="4" w:space="0" w:color="auto"/>
              <w:bottom w:val="nil"/>
              <w:right w:val="nil"/>
            </w:tcBorders>
            <w:shd w:val="clear" w:color="auto" w:fill="auto"/>
            <w:hideMark/>
          </w:tcPr>
          <w:p w14:paraId="12042123"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r w:rsidRPr="00A97A20">
              <w:rPr>
                <w:caps/>
                <w:sz w:val="16"/>
                <w:szCs w:val="16"/>
                <w:lang w:val="en-US"/>
              </w:rPr>
              <w:t>0.970 (0.918 – 1.024)</w:t>
            </w:r>
          </w:p>
        </w:tc>
        <w:tc>
          <w:tcPr>
            <w:tcW w:w="1134" w:type="dxa"/>
            <w:tcBorders>
              <w:top w:val="single" w:sz="4" w:space="0" w:color="auto"/>
              <w:left w:val="nil"/>
              <w:bottom w:val="nil"/>
              <w:right w:val="single" w:sz="4" w:space="0" w:color="auto"/>
            </w:tcBorders>
            <w:shd w:val="clear" w:color="auto" w:fill="auto"/>
            <w:hideMark/>
          </w:tcPr>
          <w:p w14:paraId="4377FC74"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r w:rsidRPr="00A97A20">
              <w:rPr>
                <w:caps/>
                <w:sz w:val="16"/>
                <w:szCs w:val="16"/>
                <w:lang w:val="en-US"/>
              </w:rPr>
              <w:t>0.271</w:t>
            </w:r>
          </w:p>
        </w:tc>
        <w:tc>
          <w:tcPr>
            <w:tcW w:w="1843" w:type="dxa"/>
            <w:tcBorders>
              <w:top w:val="single" w:sz="4" w:space="0" w:color="auto"/>
              <w:left w:val="single" w:sz="4" w:space="0" w:color="auto"/>
              <w:bottom w:val="nil"/>
              <w:right w:val="nil"/>
            </w:tcBorders>
            <w:shd w:val="clear" w:color="auto" w:fill="auto"/>
            <w:hideMark/>
          </w:tcPr>
          <w:p w14:paraId="6D1CC594"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r w:rsidRPr="00A97A20">
              <w:rPr>
                <w:sz w:val="16"/>
                <w:szCs w:val="16"/>
                <w:lang w:val="en-US"/>
              </w:rPr>
              <w:t>0.957 (0.896 – 1.021)</w:t>
            </w:r>
          </w:p>
        </w:tc>
        <w:tc>
          <w:tcPr>
            <w:tcW w:w="1275" w:type="dxa"/>
            <w:tcBorders>
              <w:top w:val="single" w:sz="4" w:space="0" w:color="auto"/>
              <w:left w:val="nil"/>
              <w:bottom w:val="nil"/>
              <w:right w:val="nil"/>
            </w:tcBorders>
            <w:shd w:val="clear" w:color="auto" w:fill="auto"/>
            <w:hideMark/>
          </w:tcPr>
          <w:p w14:paraId="03D4BDFF"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r w:rsidRPr="00A97A20">
              <w:rPr>
                <w:sz w:val="16"/>
                <w:szCs w:val="16"/>
                <w:lang w:val="en-US"/>
              </w:rPr>
              <w:t>0.185</w:t>
            </w:r>
          </w:p>
        </w:tc>
      </w:tr>
      <w:tr w:rsidR="00113A2B" w:rsidRPr="00A97A20" w14:paraId="3F5C4F5C" w14:textId="77777777" w:rsidTr="00113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tcBorders>
            <w:hideMark/>
          </w:tcPr>
          <w:p w14:paraId="2255F4C2" w14:textId="77777777" w:rsidR="00113A2B" w:rsidRPr="00A97A20" w:rsidRDefault="00113A2B">
            <w:pPr>
              <w:spacing w:line="360" w:lineRule="auto"/>
              <w:jc w:val="left"/>
              <w:rPr>
                <w:rFonts w:asciiTheme="minorHAnsi" w:hAnsiTheme="minorHAnsi" w:cstheme="majorHAnsi"/>
                <w:i w:val="0"/>
                <w:iCs w:val="0"/>
                <w:sz w:val="16"/>
                <w:szCs w:val="16"/>
                <w:lang w:val="en-US"/>
              </w:rPr>
            </w:pPr>
            <w:r w:rsidRPr="00A97A20">
              <w:rPr>
                <w:rFonts w:asciiTheme="minorHAnsi" w:hAnsiTheme="minorHAnsi" w:cstheme="majorHAnsi"/>
                <w:i w:val="0"/>
                <w:iCs w:val="0"/>
                <w:sz w:val="16"/>
                <w:szCs w:val="16"/>
                <w:lang w:val="en-US"/>
              </w:rPr>
              <w:t>NK cells expressing activating receptors</w:t>
            </w:r>
          </w:p>
          <w:p w14:paraId="569B7797" w14:textId="77777777" w:rsidR="00113A2B" w:rsidRPr="00A97A20" w:rsidRDefault="00113A2B" w:rsidP="00113A2B">
            <w:pPr>
              <w:pStyle w:val="Lijstalinea"/>
              <w:numPr>
                <w:ilvl w:val="0"/>
                <w:numId w:val="9"/>
              </w:numPr>
              <w:spacing w:line="360" w:lineRule="auto"/>
              <w:jc w:val="left"/>
              <w:rPr>
                <w:rFonts w:cstheme="majorHAnsi"/>
                <w:i w:val="0"/>
                <w:iCs w:val="0"/>
                <w:sz w:val="16"/>
                <w:szCs w:val="16"/>
                <w:lang w:val="en-US"/>
              </w:rPr>
            </w:pPr>
            <w:r w:rsidRPr="00A97A20">
              <w:rPr>
                <w:rFonts w:asciiTheme="minorHAnsi" w:hAnsiTheme="minorHAnsi" w:cstheme="majorHAnsi"/>
                <w:i w:val="0"/>
                <w:iCs w:val="0"/>
                <w:sz w:val="16"/>
                <w:szCs w:val="16"/>
                <w:lang w:val="en-US"/>
              </w:rPr>
              <w:t>CD16</w:t>
            </w:r>
            <w:r w:rsidRPr="00A97A20">
              <w:rPr>
                <w:rFonts w:asciiTheme="minorHAnsi" w:hAnsiTheme="minorHAnsi" w:cstheme="majorHAnsi"/>
                <w:i w:val="0"/>
                <w:iCs w:val="0"/>
                <w:sz w:val="16"/>
                <w:szCs w:val="16"/>
                <w:vertAlign w:val="superscript"/>
                <w:lang w:val="en-US"/>
              </w:rPr>
              <w:t>+</w:t>
            </w:r>
            <w:r w:rsidRPr="00A97A20">
              <w:rPr>
                <w:rFonts w:asciiTheme="minorHAnsi" w:hAnsiTheme="minorHAnsi" w:cstheme="majorHAnsi"/>
                <w:i w:val="0"/>
                <w:iCs w:val="0"/>
                <w:sz w:val="16"/>
                <w:szCs w:val="16"/>
                <w:lang w:val="en-US"/>
              </w:rPr>
              <w:t xml:space="preserve"> NK cells </w:t>
            </w:r>
          </w:p>
        </w:tc>
        <w:tc>
          <w:tcPr>
            <w:tcW w:w="1140" w:type="dxa"/>
            <w:tcBorders>
              <w:top w:val="nil"/>
              <w:left w:val="single" w:sz="4" w:space="0" w:color="auto"/>
              <w:bottom w:val="nil"/>
              <w:right w:val="single" w:sz="4" w:space="0" w:color="auto"/>
            </w:tcBorders>
            <w:shd w:val="clear" w:color="auto" w:fill="auto"/>
          </w:tcPr>
          <w:p w14:paraId="2547AFC7"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p>
          <w:p w14:paraId="4A2F298D"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caps/>
                <w:sz w:val="16"/>
                <w:szCs w:val="16"/>
                <w:lang w:val="en-US"/>
              </w:rPr>
              <w:t>0.017</w:t>
            </w:r>
          </w:p>
        </w:tc>
        <w:tc>
          <w:tcPr>
            <w:tcW w:w="1842" w:type="dxa"/>
            <w:tcBorders>
              <w:top w:val="nil"/>
              <w:left w:val="single" w:sz="4" w:space="0" w:color="auto"/>
              <w:bottom w:val="nil"/>
              <w:right w:val="nil"/>
            </w:tcBorders>
            <w:shd w:val="clear" w:color="auto" w:fill="auto"/>
          </w:tcPr>
          <w:p w14:paraId="0E59F246"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p>
          <w:p w14:paraId="2BB0180F"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caps/>
                <w:sz w:val="16"/>
                <w:szCs w:val="16"/>
                <w:lang w:val="en-US"/>
              </w:rPr>
              <w:t xml:space="preserve">0.976 (0.957 – 0.997) </w:t>
            </w:r>
          </w:p>
        </w:tc>
        <w:tc>
          <w:tcPr>
            <w:tcW w:w="1134" w:type="dxa"/>
            <w:tcBorders>
              <w:top w:val="nil"/>
              <w:left w:val="nil"/>
              <w:bottom w:val="nil"/>
              <w:right w:val="single" w:sz="4" w:space="0" w:color="auto"/>
            </w:tcBorders>
            <w:shd w:val="clear" w:color="auto" w:fill="auto"/>
          </w:tcPr>
          <w:p w14:paraId="1D97CCDF"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p>
          <w:p w14:paraId="639B3D2F"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caps/>
                <w:sz w:val="16"/>
                <w:szCs w:val="16"/>
                <w:lang w:val="en-US"/>
              </w:rPr>
              <w:t>0.023</w:t>
            </w:r>
          </w:p>
        </w:tc>
        <w:tc>
          <w:tcPr>
            <w:tcW w:w="1843" w:type="dxa"/>
            <w:tcBorders>
              <w:top w:val="nil"/>
              <w:left w:val="single" w:sz="4" w:space="0" w:color="auto"/>
              <w:bottom w:val="nil"/>
              <w:right w:val="nil"/>
            </w:tcBorders>
            <w:shd w:val="clear" w:color="auto" w:fill="auto"/>
          </w:tcPr>
          <w:p w14:paraId="55871A6D"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p>
          <w:p w14:paraId="3B0DA615"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0.978 (0.959 – 0.998)</w:t>
            </w:r>
          </w:p>
        </w:tc>
        <w:tc>
          <w:tcPr>
            <w:tcW w:w="1275" w:type="dxa"/>
            <w:tcBorders>
              <w:top w:val="nil"/>
              <w:left w:val="nil"/>
              <w:bottom w:val="nil"/>
              <w:right w:val="nil"/>
            </w:tcBorders>
            <w:shd w:val="clear" w:color="auto" w:fill="auto"/>
          </w:tcPr>
          <w:p w14:paraId="15A94F58"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p>
          <w:p w14:paraId="1B55A309"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0.033</w:t>
            </w:r>
          </w:p>
        </w:tc>
      </w:tr>
      <w:tr w:rsidR="00113A2B" w:rsidRPr="00A97A20" w14:paraId="610DB27E" w14:textId="77777777" w:rsidTr="00113A2B">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tcBorders>
            <w:hideMark/>
          </w:tcPr>
          <w:p w14:paraId="535D5403" w14:textId="77777777" w:rsidR="00113A2B" w:rsidRPr="00A97A20" w:rsidRDefault="00113A2B">
            <w:pPr>
              <w:spacing w:line="360" w:lineRule="auto"/>
              <w:jc w:val="left"/>
              <w:rPr>
                <w:rFonts w:asciiTheme="minorHAnsi" w:hAnsiTheme="minorHAnsi" w:cstheme="majorHAnsi"/>
                <w:i w:val="0"/>
                <w:iCs w:val="0"/>
                <w:sz w:val="16"/>
                <w:szCs w:val="16"/>
                <w:lang w:val="en-US"/>
              </w:rPr>
            </w:pPr>
            <w:r w:rsidRPr="00A97A20">
              <w:rPr>
                <w:rFonts w:asciiTheme="minorHAnsi" w:hAnsiTheme="minorHAnsi" w:cstheme="majorHAnsi"/>
                <w:i w:val="0"/>
                <w:iCs w:val="0"/>
                <w:sz w:val="16"/>
                <w:szCs w:val="16"/>
                <w:lang w:val="en-US"/>
              </w:rPr>
              <w:t xml:space="preserve">NK cells expressing activation markers (%)  </w:t>
            </w:r>
          </w:p>
          <w:p w14:paraId="3E6CDDE4" w14:textId="77777777" w:rsidR="00113A2B" w:rsidRPr="00A97A20" w:rsidRDefault="00113A2B" w:rsidP="00113A2B">
            <w:pPr>
              <w:pStyle w:val="Lijstalinea"/>
              <w:numPr>
                <w:ilvl w:val="0"/>
                <w:numId w:val="9"/>
              </w:numPr>
              <w:spacing w:line="360" w:lineRule="auto"/>
              <w:jc w:val="left"/>
              <w:rPr>
                <w:rFonts w:asciiTheme="minorHAnsi" w:hAnsiTheme="minorHAnsi" w:cstheme="majorHAnsi"/>
                <w:i w:val="0"/>
                <w:iCs w:val="0"/>
                <w:sz w:val="16"/>
                <w:szCs w:val="16"/>
                <w:lang w:val="en-US"/>
              </w:rPr>
            </w:pPr>
            <w:r w:rsidRPr="00A97A20">
              <w:rPr>
                <w:rFonts w:asciiTheme="minorHAnsi" w:hAnsiTheme="minorHAnsi" w:cstheme="majorHAnsi"/>
                <w:i w:val="0"/>
                <w:iCs w:val="0"/>
                <w:sz w:val="16"/>
                <w:szCs w:val="16"/>
                <w:lang w:val="en-US"/>
              </w:rPr>
              <w:t>HLA-DR</w:t>
            </w:r>
            <w:r w:rsidRPr="00A97A20">
              <w:rPr>
                <w:rFonts w:asciiTheme="minorHAnsi" w:hAnsiTheme="minorHAnsi" w:cstheme="majorHAnsi"/>
                <w:i w:val="0"/>
                <w:iCs w:val="0"/>
                <w:sz w:val="16"/>
                <w:szCs w:val="16"/>
                <w:vertAlign w:val="superscript"/>
                <w:lang w:val="en-US"/>
              </w:rPr>
              <w:t>+</w:t>
            </w:r>
            <w:r w:rsidRPr="00A97A20">
              <w:rPr>
                <w:rFonts w:asciiTheme="minorHAnsi" w:hAnsiTheme="minorHAnsi" w:cstheme="majorHAnsi"/>
                <w:i w:val="0"/>
                <w:iCs w:val="0"/>
                <w:sz w:val="16"/>
                <w:szCs w:val="16"/>
                <w:lang w:val="en-US"/>
              </w:rPr>
              <w:t xml:space="preserve"> NK cells </w:t>
            </w:r>
          </w:p>
          <w:p w14:paraId="718955C2" w14:textId="77777777" w:rsidR="00113A2B" w:rsidRPr="00A97A20" w:rsidRDefault="00113A2B" w:rsidP="00113A2B">
            <w:pPr>
              <w:pStyle w:val="Lijstalinea"/>
              <w:numPr>
                <w:ilvl w:val="0"/>
                <w:numId w:val="9"/>
              </w:numPr>
              <w:spacing w:line="360" w:lineRule="auto"/>
              <w:jc w:val="left"/>
              <w:rPr>
                <w:rFonts w:asciiTheme="minorHAnsi" w:hAnsiTheme="minorHAnsi" w:cstheme="majorHAnsi"/>
                <w:i w:val="0"/>
                <w:iCs w:val="0"/>
                <w:sz w:val="16"/>
                <w:szCs w:val="16"/>
                <w:lang w:val="en-US"/>
              </w:rPr>
            </w:pPr>
            <w:r w:rsidRPr="00A97A20">
              <w:rPr>
                <w:rFonts w:asciiTheme="minorHAnsi" w:hAnsiTheme="minorHAnsi" w:cstheme="majorHAnsi"/>
                <w:i w:val="0"/>
                <w:iCs w:val="0"/>
                <w:sz w:val="16"/>
                <w:szCs w:val="16"/>
                <w:lang w:val="en-US"/>
              </w:rPr>
              <w:t>CD38</w:t>
            </w:r>
            <w:r w:rsidRPr="00A97A20">
              <w:rPr>
                <w:rFonts w:asciiTheme="minorHAnsi" w:hAnsiTheme="minorHAnsi" w:cstheme="majorHAnsi"/>
                <w:i w:val="0"/>
                <w:iCs w:val="0"/>
                <w:sz w:val="16"/>
                <w:szCs w:val="16"/>
                <w:vertAlign w:val="superscript"/>
                <w:lang w:val="en-US"/>
              </w:rPr>
              <w:t>+</w:t>
            </w:r>
            <w:r w:rsidRPr="00A97A20">
              <w:rPr>
                <w:rFonts w:asciiTheme="minorHAnsi" w:hAnsiTheme="minorHAnsi" w:cstheme="majorHAnsi"/>
                <w:i w:val="0"/>
                <w:iCs w:val="0"/>
                <w:sz w:val="16"/>
                <w:szCs w:val="16"/>
                <w:lang w:val="en-US"/>
              </w:rPr>
              <w:t xml:space="preserve"> NK cells </w:t>
            </w:r>
          </w:p>
        </w:tc>
        <w:tc>
          <w:tcPr>
            <w:tcW w:w="1140" w:type="dxa"/>
            <w:tcBorders>
              <w:top w:val="nil"/>
              <w:left w:val="single" w:sz="4" w:space="0" w:color="auto"/>
              <w:bottom w:val="nil"/>
              <w:right w:val="single" w:sz="4" w:space="0" w:color="auto"/>
            </w:tcBorders>
            <w:shd w:val="clear" w:color="auto" w:fill="auto"/>
          </w:tcPr>
          <w:p w14:paraId="3CABDCD4"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p>
          <w:p w14:paraId="2843737B"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r w:rsidRPr="00A97A20">
              <w:rPr>
                <w:caps/>
                <w:sz w:val="16"/>
                <w:szCs w:val="16"/>
                <w:lang w:val="en-US"/>
              </w:rPr>
              <w:t>0.043</w:t>
            </w:r>
          </w:p>
          <w:p w14:paraId="3EB1ED95"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r w:rsidRPr="00A97A20">
              <w:rPr>
                <w:caps/>
                <w:sz w:val="16"/>
                <w:szCs w:val="16"/>
                <w:lang w:val="en-US"/>
              </w:rPr>
              <w:t>0.794</w:t>
            </w:r>
          </w:p>
        </w:tc>
        <w:tc>
          <w:tcPr>
            <w:tcW w:w="1842" w:type="dxa"/>
            <w:tcBorders>
              <w:top w:val="nil"/>
              <w:left w:val="single" w:sz="4" w:space="0" w:color="auto"/>
              <w:bottom w:val="nil"/>
              <w:right w:val="nil"/>
            </w:tcBorders>
            <w:shd w:val="clear" w:color="auto" w:fill="auto"/>
          </w:tcPr>
          <w:p w14:paraId="4AF433F0"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p>
          <w:p w14:paraId="15794A9E"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r w:rsidRPr="00A97A20">
              <w:rPr>
                <w:caps/>
                <w:sz w:val="16"/>
                <w:szCs w:val="16"/>
                <w:lang w:val="en-US"/>
              </w:rPr>
              <w:t>1.048 (1.021 – 1.075)</w:t>
            </w:r>
          </w:p>
          <w:p w14:paraId="69304D5D"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r w:rsidRPr="00A97A20">
              <w:rPr>
                <w:caps/>
                <w:sz w:val="16"/>
                <w:szCs w:val="16"/>
                <w:lang w:val="en-US"/>
              </w:rPr>
              <w:t>0.982 (0.940 – 1.026)</w:t>
            </w:r>
          </w:p>
        </w:tc>
        <w:tc>
          <w:tcPr>
            <w:tcW w:w="1134" w:type="dxa"/>
            <w:tcBorders>
              <w:top w:val="nil"/>
              <w:left w:val="nil"/>
              <w:bottom w:val="nil"/>
              <w:right w:val="single" w:sz="4" w:space="0" w:color="auto"/>
            </w:tcBorders>
            <w:shd w:val="clear" w:color="auto" w:fill="auto"/>
          </w:tcPr>
          <w:p w14:paraId="7D14CAF0"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p>
          <w:p w14:paraId="21BA5772"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r w:rsidRPr="00A97A20">
              <w:rPr>
                <w:sz w:val="16"/>
                <w:szCs w:val="16"/>
                <w:lang w:val="en-US"/>
              </w:rPr>
              <w:t>&lt;0.0001</w:t>
            </w:r>
          </w:p>
          <w:p w14:paraId="04B96671"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caps/>
                <w:sz w:val="16"/>
                <w:szCs w:val="16"/>
                <w:lang w:val="en-US"/>
              </w:rPr>
            </w:pPr>
            <w:r w:rsidRPr="00A97A20">
              <w:rPr>
                <w:sz w:val="16"/>
                <w:szCs w:val="16"/>
                <w:lang w:val="en-US"/>
              </w:rPr>
              <w:t>0.409</w:t>
            </w:r>
          </w:p>
        </w:tc>
        <w:tc>
          <w:tcPr>
            <w:tcW w:w="1843" w:type="dxa"/>
            <w:tcBorders>
              <w:top w:val="nil"/>
              <w:left w:val="single" w:sz="4" w:space="0" w:color="auto"/>
              <w:bottom w:val="nil"/>
              <w:right w:val="nil"/>
            </w:tcBorders>
            <w:shd w:val="clear" w:color="auto" w:fill="auto"/>
          </w:tcPr>
          <w:p w14:paraId="579BAF1A"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p>
          <w:p w14:paraId="0A995F2D"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r w:rsidRPr="00A97A20">
              <w:rPr>
                <w:sz w:val="16"/>
                <w:szCs w:val="16"/>
                <w:lang w:val="en-US"/>
              </w:rPr>
              <w:t>1.071 (1.042 – 1.102)</w:t>
            </w:r>
          </w:p>
          <w:p w14:paraId="38E4F5F3"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r w:rsidRPr="00A97A20">
              <w:rPr>
                <w:sz w:val="16"/>
                <w:szCs w:val="16"/>
                <w:lang w:val="en-US"/>
              </w:rPr>
              <w:t>1.023 (0.956 – 1.096)</w:t>
            </w:r>
          </w:p>
        </w:tc>
        <w:tc>
          <w:tcPr>
            <w:tcW w:w="1275" w:type="dxa"/>
            <w:tcBorders>
              <w:top w:val="nil"/>
              <w:left w:val="nil"/>
              <w:bottom w:val="nil"/>
              <w:right w:val="nil"/>
            </w:tcBorders>
            <w:shd w:val="clear" w:color="auto" w:fill="auto"/>
          </w:tcPr>
          <w:p w14:paraId="42BC3262"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p>
          <w:p w14:paraId="48E5C1E7"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r w:rsidRPr="00A97A20">
              <w:rPr>
                <w:sz w:val="16"/>
                <w:szCs w:val="16"/>
                <w:lang w:val="en-US"/>
              </w:rPr>
              <w:t>&lt;0.0001</w:t>
            </w:r>
          </w:p>
          <w:p w14:paraId="314C8EC4" w14:textId="77777777" w:rsidR="00113A2B" w:rsidRPr="00A97A20" w:rsidRDefault="00113A2B">
            <w:pPr>
              <w:spacing w:line="360" w:lineRule="auto"/>
              <w:cnfStyle w:val="000000000000" w:firstRow="0" w:lastRow="0" w:firstColumn="0" w:lastColumn="0" w:oddVBand="0" w:evenVBand="0" w:oddHBand="0" w:evenHBand="0" w:firstRowFirstColumn="0" w:firstRowLastColumn="0" w:lastRowFirstColumn="0" w:lastRowLastColumn="0"/>
              <w:rPr>
                <w:sz w:val="16"/>
                <w:szCs w:val="16"/>
                <w:lang w:val="en-US"/>
              </w:rPr>
            </w:pPr>
            <w:r w:rsidRPr="00A97A20">
              <w:rPr>
                <w:sz w:val="16"/>
                <w:szCs w:val="16"/>
                <w:lang w:val="en-US"/>
              </w:rPr>
              <w:t>0.511</w:t>
            </w:r>
          </w:p>
        </w:tc>
      </w:tr>
      <w:tr w:rsidR="00113A2B" w:rsidRPr="00A97A20" w14:paraId="070A2AC8" w14:textId="77777777" w:rsidTr="00113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single" w:sz="4" w:space="0" w:color="auto"/>
            </w:tcBorders>
            <w:hideMark/>
          </w:tcPr>
          <w:p w14:paraId="65857BF0" w14:textId="77777777" w:rsidR="00113A2B" w:rsidRPr="00A97A20" w:rsidRDefault="00113A2B">
            <w:pPr>
              <w:spacing w:line="360" w:lineRule="auto"/>
              <w:jc w:val="left"/>
              <w:rPr>
                <w:rFonts w:asciiTheme="minorHAnsi" w:hAnsiTheme="minorHAnsi" w:cstheme="majorHAnsi"/>
                <w:i w:val="0"/>
                <w:iCs w:val="0"/>
                <w:sz w:val="16"/>
                <w:szCs w:val="16"/>
                <w:lang w:val="en-US"/>
              </w:rPr>
            </w:pPr>
            <w:r w:rsidRPr="00A97A20">
              <w:rPr>
                <w:rFonts w:asciiTheme="minorHAnsi" w:hAnsiTheme="minorHAnsi" w:cstheme="majorHAnsi"/>
                <w:i w:val="0"/>
                <w:iCs w:val="0"/>
                <w:sz w:val="16"/>
                <w:szCs w:val="16"/>
                <w:lang w:val="en-US"/>
              </w:rPr>
              <w:t xml:space="preserve">NK cells expressing inhibitory receptors (%) </w:t>
            </w:r>
          </w:p>
          <w:p w14:paraId="4CF0A32B" w14:textId="77777777" w:rsidR="00113A2B" w:rsidRPr="00A97A20" w:rsidRDefault="00113A2B" w:rsidP="00113A2B">
            <w:pPr>
              <w:pStyle w:val="Lijstalinea"/>
              <w:numPr>
                <w:ilvl w:val="0"/>
                <w:numId w:val="9"/>
              </w:numPr>
              <w:spacing w:line="360" w:lineRule="auto"/>
              <w:jc w:val="left"/>
              <w:rPr>
                <w:rFonts w:asciiTheme="minorHAnsi" w:hAnsiTheme="minorHAnsi" w:cstheme="majorHAnsi"/>
                <w:i w:val="0"/>
                <w:iCs w:val="0"/>
                <w:sz w:val="16"/>
                <w:szCs w:val="16"/>
                <w:lang w:val="en-US"/>
              </w:rPr>
            </w:pPr>
            <w:r w:rsidRPr="00A97A20">
              <w:rPr>
                <w:rFonts w:asciiTheme="minorHAnsi" w:hAnsiTheme="minorHAnsi" w:cstheme="majorHAnsi"/>
                <w:i w:val="0"/>
                <w:iCs w:val="0"/>
                <w:sz w:val="16"/>
                <w:szCs w:val="16"/>
                <w:lang w:val="en-US"/>
              </w:rPr>
              <w:t>LAG3</w:t>
            </w:r>
            <w:r w:rsidRPr="00A97A20">
              <w:rPr>
                <w:rFonts w:asciiTheme="minorHAnsi" w:hAnsiTheme="minorHAnsi" w:cstheme="majorHAnsi"/>
                <w:i w:val="0"/>
                <w:iCs w:val="0"/>
                <w:sz w:val="16"/>
                <w:szCs w:val="16"/>
                <w:vertAlign w:val="superscript"/>
                <w:lang w:val="en-US"/>
              </w:rPr>
              <w:t>+</w:t>
            </w:r>
            <w:r w:rsidRPr="00A97A20">
              <w:rPr>
                <w:rFonts w:asciiTheme="minorHAnsi" w:hAnsiTheme="minorHAnsi" w:cstheme="majorHAnsi"/>
                <w:i w:val="0"/>
                <w:iCs w:val="0"/>
                <w:sz w:val="16"/>
                <w:szCs w:val="16"/>
                <w:lang w:val="en-US"/>
              </w:rPr>
              <w:t xml:space="preserve"> NK cells </w:t>
            </w:r>
          </w:p>
          <w:p w14:paraId="46B08190" w14:textId="77777777" w:rsidR="00113A2B" w:rsidRPr="00A97A20" w:rsidRDefault="00113A2B" w:rsidP="00113A2B">
            <w:pPr>
              <w:pStyle w:val="Lijstalinea"/>
              <w:numPr>
                <w:ilvl w:val="0"/>
                <w:numId w:val="9"/>
              </w:numPr>
              <w:spacing w:line="360" w:lineRule="auto"/>
              <w:jc w:val="left"/>
              <w:rPr>
                <w:rFonts w:asciiTheme="minorHAnsi" w:hAnsiTheme="minorHAnsi" w:cstheme="majorHAnsi"/>
                <w:i w:val="0"/>
                <w:iCs w:val="0"/>
                <w:sz w:val="16"/>
                <w:szCs w:val="16"/>
                <w:lang w:val="en-US"/>
              </w:rPr>
            </w:pPr>
            <w:r w:rsidRPr="00A97A20">
              <w:rPr>
                <w:rFonts w:asciiTheme="minorHAnsi" w:hAnsiTheme="minorHAnsi" w:cstheme="majorHAnsi"/>
                <w:i w:val="0"/>
                <w:iCs w:val="0"/>
                <w:sz w:val="16"/>
                <w:szCs w:val="16"/>
                <w:lang w:val="en-US"/>
              </w:rPr>
              <w:t>TIM-3</w:t>
            </w:r>
            <w:r w:rsidRPr="00A97A20">
              <w:rPr>
                <w:rFonts w:asciiTheme="minorHAnsi" w:hAnsiTheme="minorHAnsi" w:cstheme="majorHAnsi"/>
                <w:i w:val="0"/>
                <w:iCs w:val="0"/>
                <w:sz w:val="16"/>
                <w:szCs w:val="16"/>
                <w:vertAlign w:val="superscript"/>
                <w:lang w:val="en-US"/>
              </w:rPr>
              <w:t>+</w:t>
            </w:r>
            <w:r w:rsidRPr="00A97A20">
              <w:rPr>
                <w:rFonts w:asciiTheme="minorHAnsi" w:hAnsiTheme="minorHAnsi" w:cstheme="majorHAnsi"/>
                <w:i w:val="0"/>
                <w:iCs w:val="0"/>
                <w:sz w:val="16"/>
                <w:szCs w:val="16"/>
                <w:lang w:val="en-US"/>
              </w:rPr>
              <w:t xml:space="preserve"> NK cells </w:t>
            </w:r>
          </w:p>
          <w:p w14:paraId="7C673C16" w14:textId="77777777" w:rsidR="00113A2B" w:rsidRPr="00A97A20" w:rsidRDefault="00113A2B" w:rsidP="00113A2B">
            <w:pPr>
              <w:pStyle w:val="Lijstalinea"/>
              <w:numPr>
                <w:ilvl w:val="0"/>
                <w:numId w:val="9"/>
              </w:numPr>
              <w:spacing w:line="360" w:lineRule="auto"/>
              <w:jc w:val="left"/>
              <w:rPr>
                <w:rFonts w:asciiTheme="minorHAnsi" w:hAnsiTheme="minorHAnsi" w:cstheme="majorHAnsi"/>
                <w:i w:val="0"/>
                <w:iCs w:val="0"/>
                <w:sz w:val="16"/>
                <w:szCs w:val="16"/>
                <w:lang w:val="en-US"/>
              </w:rPr>
            </w:pPr>
            <w:r w:rsidRPr="00A97A20">
              <w:rPr>
                <w:rFonts w:asciiTheme="minorHAnsi" w:hAnsiTheme="minorHAnsi" w:cstheme="majorHAnsi"/>
                <w:i w:val="0"/>
                <w:iCs w:val="0"/>
                <w:sz w:val="16"/>
                <w:szCs w:val="16"/>
                <w:lang w:val="en-US"/>
              </w:rPr>
              <w:t>PD-1</w:t>
            </w:r>
            <w:r w:rsidRPr="00A97A20">
              <w:rPr>
                <w:rFonts w:asciiTheme="minorHAnsi" w:hAnsiTheme="minorHAnsi" w:cstheme="majorHAnsi"/>
                <w:i w:val="0"/>
                <w:iCs w:val="0"/>
                <w:sz w:val="16"/>
                <w:szCs w:val="16"/>
                <w:vertAlign w:val="superscript"/>
                <w:lang w:val="en-US"/>
              </w:rPr>
              <w:t>+</w:t>
            </w:r>
            <w:r w:rsidRPr="00A97A20">
              <w:rPr>
                <w:rFonts w:asciiTheme="minorHAnsi" w:hAnsiTheme="minorHAnsi" w:cstheme="majorHAnsi"/>
                <w:i w:val="0"/>
                <w:iCs w:val="0"/>
                <w:sz w:val="16"/>
                <w:szCs w:val="16"/>
                <w:lang w:val="en-US"/>
              </w:rPr>
              <w:t xml:space="preserve"> NK cells </w:t>
            </w:r>
          </w:p>
        </w:tc>
        <w:tc>
          <w:tcPr>
            <w:tcW w:w="1140" w:type="dxa"/>
            <w:tcBorders>
              <w:top w:val="nil"/>
              <w:left w:val="single" w:sz="4" w:space="0" w:color="auto"/>
              <w:bottom w:val="single" w:sz="4" w:space="0" w:color="auto"/>
              <w:right w:val="single" w:sz="4" w:space="0" w:color="auto"/>
            </w:tcBorders>
            <w:shd w:val="clear" w:color="auto" w:fill="auto"/>
          </w:tcPr>
          <w:p w14:paraId="1F7922D6"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p>
          <w:p w14:paraId="053A358D"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caps/>
                <w:sz w:val="16"/>
                <w:szCs w:val="16"/>
                <w:lang w:val="en-US"/>
              </w:rPr>
              <w:t>0.184</w:t>
            </w:r>
          </w:p>
          <w:p w14:paraId="2525127A"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caps/>
                <w:sz w:val="16"/>
                <w:szCs w:val="16"/>
                <w:lang w:val="en-US"/>
              </w:rPr>
              <w:t>0.005</w:t>
            </w:r>
          </w:p>
          <w:p w14:paraId="1A42AB43"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caps/>
                <w:sz w:val="16"/>
                <w:szCs w:val="16"/>
                <w:lang w:val="en-US"/>
              </w:rPr>
              <w:t>0.133</w:t>
            </w:r>
          </w:p>
        </w:tc>
        <w:tc>
          <w:tcPr>
            <w:tcW w:w="1842" w:type="dxa"/>
            <w:tcBorders>
              <w:top w:val="nil"/>
              <w:left w:val="single" w:sz="4" w:space="0" w:color="auto"/>
              <w:bottom w:val="single" w:sz="4" w:space="0" w:color="auto"/>
              <w:right w:val="nil"/>
            </w:tcBorders>
            <w:shd w:val="clear" w:color="auto" w:fill="auto"/>
          </w:tcPr>
          <w:p w14:paraId="0AB0F41F"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p>
          <w:p w14:paraId="41920761"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caps/>
                <w:sz w:val="16"/>
                <w:szCs w:val="16"/>
                <w:lang w:val="en-US"/>
              </w:rPr>
              <w:t>1.088 (0.781 – 1.516)</w:t>
            </w:r>
          </w:p>
          <w:p w14:paraId="1A31DDF8"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caps/>
                <w:sz w:val="16"/>
                <w:szCs w:val="16"/>
                <w:lang w:val="en-US"/>
              </w:rPr>
              <w:t>1.075 (1.018 – 1.135)</w:t>
            </w:r>
          </w:p>
          <w:p w14:paraId="061D42BF"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caps/>
                <w:sz w:val="16"/>
                <w:szCs w:val="16"/>
                <w:lang w:val="en-US"/>
              </w:rPr>
              <w:t>0.980 (0.937 – 1.024)</w:t>
            </w:r>
          </w:p>
        </w:tc>
        <w:tc>
          <w:tcPr>
            <w:tcW w:w="1134" w:type="dxa"/>
            <w:tcBorders>
              <w:top w:val="nil"/>
              <w:left w:val="nil"/>
              <w:bottom w:val="single" w:sz="4" w:space="0" w:color="auto"/>
              <w:right w:val="single" w:sz="4" w:space="0" w:color="auto"/>
            </w:tcBorders>
            <w:shd w:val="clear" w:color="auto" w:fill="auto"/>
          </w:tcPr>
          <w:p w14:paraId="2B965016"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p>
          <w:p w14:paraId="408B2665"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0.617</w:t>
            </w:r>
          </w:p>
          <w:p w14:paraId="354CD8B1"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0.009</w:t>
            </w:r>
          </w:p>
          <w:p w14:paraId="6021DCA2"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caps/>
                <w:sz w:val="16"/>
                <w:szCs w:val="16"/>
                <w:lang w:val="en-US"/>
              </w:rPr>
            </w:pPr>
            <w:r w:rsidRPr="00A97A20">
              <w:rPr>
                <w:sz w:val="16"/>
                <w:szCs w:val="16"/>
                <w:lang w:val="en-US"/>
              </w:rPr>
              <w:t>0.361</w:t>
            </w:r>
          </w:p>
        </w:tc>
        <w:tc>
          <w:tcPr>
            <w:tcW w:w="1843" w:type="dxa"/>
            <w:tcBorders>
              <w:top w:val="nil"/>
              <w:left w:val="single" w:sz="4" w:space="0" w:color="auto"/>
              <w:bottom w:val="single" w:sz="4" w:space="0" w:color="auto"/>
              <w:right w:val="nil"/>
            </w:tcBorders>
            <w:shd w:val="clear" w:color="auto" w:fill="auto"/>
          </w:tcPr>
          <w:p w14:paraId="0E1A26FE"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p>
          <w:p w14:paraId="1C56A695"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1.385 (1.015 – 1.890)</w:t>
            </w:r>
          </w:p>
          <w:p w14:paraId="43416078"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1.078 (1.023 – 1.136)</w:t>
            </w:r>
          </w:p>
          <w:p w14:paraId="3E1EBA3B"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1.006 (0.959 – 1.054)</w:t>
            </w:r>
          </w:p>
        </w:tc>
        <w:tc>
          <w:tcPr>
            <w:tcW w:w="1275" w:type="dxa"/>
            <w:tcBorders>
              <w:top w:val="nil"/>
              <w:left w:val="nil"/>
              <w:bottom w:val="single" w:sz="4" w:space="0" w:color="auto"/>
              <w:right w:val="nil"/>
            </w:tcBorders>
            <w:shd w:val="clear" w:color="auto" w:fill="auto"/>
          </w:tcPr>
          <w:p w14:paraId="3BDB2CB8"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p>
          <w:p w14:paraId="624F6D07"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0.040</w:t>
            </w:r>
          </w:p>
          <w:p w14:paraId="1C168BBF"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0.005</w:t>
            </w:r>
          </w:p>
          <w:p w14:paraId="27FBEEF0" w14:textId="77777777" w:rsidR="00113A2B" w:rsidRPr="00A97A20" w:rsidRDefault="00113A2B">
            <w:pPr>
              <w:spacing w:line="360" w:lineRule="auto"/>
              <w:cnfStyle w:val="000000100000" w:firstRow="0" w:lastRow="0" w:firstColumn="0" w:lastColumn="0" w:oddVBand="0" w:evenVBand="0" w:oddHBand="1" w:evenHBand="0" w:firstRowFirstColumn="0" w:firstRowLastColumn="0" w:lastRowFirstColumn="0" w:lastRowLastColumn="0"/>
              <w:rPr>
                <w:sz w:val="16"/>
                <w:szCs w:val="16"/>
                <w:lang w:val="en-US"/>
              </w:rPr>
            </w:pPr>
            <w:r w:rsidRPr="00A97A20">
              <w:rPr>
                <w:sz w:val="16"/>
                <w:szCs w:val="16"/>
                <w:lang w:val="en-US"/>
              </w:rPr>
              <w:t>0.820</w:t>
            </w:r>
          </w:p>
        </w:tc>
      </w:tr>
    </w:tbl>
    <w:p w14:paraId="14956E10" w14:textId="0375ACA1" w:rsidR="008976B7" w:rsidRPr="00A97A20" w:rsidRDefault="008976B7" w:rsidP="008976B7">
      <w:pPr>
        <w:rPr>
          <w:lang w:val="en-US"/>
        </w:rPr>
      </w:pPr>
      <w:r w:rsidRPr="00A97A20">
        <w:rPr>
          <w:sz w:val="20"/>
          <w:szCs w:val="20"/>
          <w:lang w:val="en-US"/>
        </w:rPr>
        <w:t xml:space="preserve">Abbreviations: PFS, progression-free survival part A and B; OS, overall survival part A and B; HR, hazard ratio; CI, confidence interval; </w:t>
      </w:r>
      <w:r w:rsidRPr="00A97A20">
        <w:rPr>
          <w:sz w:val="20"/>
          <w:szCs w:val="20"/>
          <w:lang w:val="en-US" w:bidi="en-US"/>
        </w:rPr>
        <w:t>NK</w:t>
      </w:r>
      <w:r w:rsidR="00564B07" w:rsidRPr="00A97A20">
        <w:rPr>
          <w:sz w:val="20"/>
          <w:szCs w:val="20"/>
          <w:lang w:val="en-US" w:bidi="en-US"/>
        </w:rPr>
        <w:t xml:space="preserve"> </w:t>
      </w:r>
      <w:r w:rsidRPr="00A97A20">
        <w:rPr>
          <w:sz w:val="20"/>
          <w:szCs w:val="20"/>
          <w:lang w:val="en-US" w:bidi="en-US"/>
        </w:rPr>
        <w:t xml:space="preserve">cells, natural killer cells; LAG3, Lymphocyte-activation gene 3; TIM-3, T-cell immunoglobulin and mucin-domain containing-3; PD-1, programmed-death 1. </w:t>
      </w:r>
    </w:p>
    <w:p w14:paraId="096491DD" w14:textId="77777777" w:rsidR="003A052C" w:rsidRPr="00A97A20" w:rsidRDefault="003A052C" w:rsidP="003A052C">
      <w:pPr>
        <w:spacing w:line="360" w:lineRule="auto"/>
        <w:rPr>
          <w:lang w:val="en-US"/>
        </w:rPr>
      </w:pPr>
    </w:p>
    <w:p w14:paraId="0E79A4F0" w14:textId="77777777" w:rsidR="004716BC" w:rsidRPr="00A97A20" w:rsidRDefault="004716BC" w:rsidP="004716BC">
      <w:pPr>
        <w:spacing w:line="360" w:lineRule="auto"/>
        <w:rPr>
          <w:rFonts w:cstheme="minorHAnsi"/>
          <w:iCs/>
          <w:lang w:val="en-US"/>
        </w:rPr>
      </w:pPr>
    </w:p>
    <w:p w14:paraId="694A0862" w14:textId="77777777" w:rsidR="008B471B" w:rsidRPr="00A97A20" w:rsidRDefault="008B471B" w:rsidP="008B471B">
      <w:pPr>
        <w:spacing w:line="360" w:lineRule="auto"/>
        <w:rPr>
          <w:rFonts w:cstheme="minorHAnsi"/>
          <w:iCs/>
          <w:lang w:val="en-US"/>
        </w:rPr>
      </w:pPr>
    </w:p>
    <w:p w14:paraId="58308B97" w14:textId="77777777" w:rsidR="008B471B" w:rsidRPr="00A97A20" w:rsidRDefault="008B471B" w:rsidP="008B471B">
      <w:pPr>
        <w:rPr>
          <w:lang w:val="en-US"/>
        </w:rPr>
      </w:pPr>
    </w:p>
    <w:p w14:paraId="59680096" w14:textId="77777777" w:rsidR="008B471B" w:rsidRPr="00A97A20" w:rsidRDefault="008B471B" w:rsidP="008B471B">
      <w:pPr>
        <w:rPr>
          <w:b/>
          <w:bCs/>
          <w:lang w:val="en-US"/>
        </w:rPr>
      </w:pPr>
      <w:r w:rsidRPr="00A97A20">
        <w:rPr>
          <w:b/>
          <w:bCs/>
          <w:lang w:val="en-US"/>
        </w:rPr>
        <w:br w:type="page"/>
      </w:r>
    </w:p>
    <w:p w14:paraId="2C4B9517" w14:textId="2EEE0EF9" w:rsidR="00292018" w:rsidRPr="00A97A20" w:rsidRDefault="008976B7" w:rsidP="00292018">
      <w:pPr>
        <w:rPr>
          <w:rFonts w:ascii="Calibri" w:eastAsia="Calibri" w:hAnsi="Calibri" w:cs="Calibri"/>
          <w:b/>
          <w:bCs/>
          <w:lang w:val="en-US"/>
        </w:rPr>
      </w:pPr>
      <w:r w:rsidRPr="00A97A20">
        <w:rPr>
          <w:rFonts w:ascii="Calibri" w:eastAsia="Calibri" w:hAnsi="Calibri" w:cs="Calibri"/>
          <w:b/>
          <w:bCs/>
          <w:lang w:val="en-US"/>
        </w:rPr>
        <w:lastRenderedPageBreak/>
        <w:t>Supplemental Table 3</w:t>
      </w:r>
      <w:r w:rsidR="00292018" w:rsidRPr="00A97A20">
        <w:rPr>
          <w:rFonts w:ascii="Calibri" w:eastAsia="Calibri" w:hAnsi="Calibri" w:cs="Calibri"/>
          <w:b/>
          <w:bCs/>
          <w:lang w:val="en-US"/>
        </w:rPr>
        <w:t>. Antibody panel for CyTOF analysis</w:t>
      </w:r>
    </w:p>
    <w:p w14:paraId="6AA3560B" w14:textId="77777777" w:rsidR="00292018" w:rsidRPr="00A97A20" w:rsidRDefault="00292018" w:rsidP="00292018">
      <w:pPr>
        <w:rPr>
          <w:rFonts w:ascii="Calibri" w:eastAsia="Calibri" w:hAnsi="Calibri" w:cs="Calibri"/>
          <w:color w:val="000000" w:themeColor="text1"/>
          <w:lang w:val="en-US"/>
        </w:rPr>
      </w:pPr>
    </w:p>
    <w:tbl>
      <w:tblPr>
        <w:tblW w:w="0" w:type="auto"/>
        <w:tblLayout w:type="fixed"/>
        <w:tblLook w:val="04A0" w:firstRow="1" w:lastRow="0" w:firstColumn="1" w:lastColumn="0" w:noHBand="0" w:noVBand="1"/>
      </w:tblPr>
      <w:tblGrid>
        <w:gridCol w:w="1560"/>
        <w:gridCol w:w="1335"/>
        <w:gridCol w:w="1500"/>
        <w:gridCol w:w="4635"/>
      </w:tblGrid>
      <w:tr w:rsidR="00292018" w:rsidRPr="00A97A20" w14:paraId="1448487D" w14:textId="77777777" w:rsidTr="001B2186">
        <w:tc>
          <w:tcPr>
            <w:tcW w:w="1560" w:type="dxa"/>
            <w:tcBorders>
              <w:bottom w:val="single" w:sz="4" w:space="0" w:color="auto"/>
            </w:tcBorders>
          </w:tcPr>
          <w:p w14:paraId="1728C7CE" w14:textId="77777777" w:rsidR="00292018" w:rsidRPr="00A97A20" w:rsidRDefault="00292018" w:rsidP="001B2186">
            <w:pPr>
              <w:spacing w:line="360" w:lineRule="auto"/>
              <w:rPr>
                <w:rFonts w:asciiTheme="majorHAnsi" w:eastAsia="Times New Roman" w:hAnsiTheme="majorHAnsi" w:cstheme="majorHAnsi"/>
                <w:color w:val="000000" w:themeColor="text1"/>
                <w:sz w:val="20"/>
                <w:szCs w:val="16"/>
              </w:rPr>
            </w:pPr>
            <w:r w:rsidRPr="00A97A20">
              <w:rPr>
                <w:rFonts w:asciiTheme="majorHAnsi" w:eastAsia="Times New Roman" w:hAnsiTheme="majorHAnsi" w:cstheme="majorHAnsi"/>
                <w:b/>
                <w:bCs/>
                <w:sz w:val="20"/>
                <w:szCs w:val="16"/>
              </w:rPr>
              <w:t>Specificity</w:t>
            </w:r>
            <w:r w:rsidRPr="00A97A20">
              <w:rPr>
                <w:rFonts w:asciiTheme="majorHAnsi" w:eastAsia="Times New Roman" w:hAnsiTheme="majorHAnsi" w:cstheme="majorHAnsi"/>
                <w:b/>
                <w:bCs/>
                <w:sz w:val="20"/>
                <w:szCs w:val="16"/>
                <w:u w:val="single"/>
              </w:rPr>
              <w:t xml:space="preserve"> </w:t>
            </w:r>
          </w:p>
        </w:tc>
        <w:tc>
          <w:tcPr>
            <w:tcW w:w="1335" w:type="dxa"/>
            <w:tcBorders>
              <w:bottom w:val="single" w:sz="4" w:space="0" w:color="auto"/>
            </w:tcBorders>
          </w:tcPr>
          <w:p w14:paraId="1285DB37" w14:textId="77777777" w:rsidR="00292018" w:rsidRPr="00A97A20" w:rsidRDefault="00292018" w:rsidP="001B2186">
            <w:pPr>
              <w:spacing w:line="360" w:lineRule="auto"/>
              <w:rPr>
                <w:rFonts w:asciiTheme="majorHAnsi" w:eastAsia="Times New Roman" w:hAnsiTheme="majorHAnsi" w:cstheme="majorHAnsi"/>
                <w:color w:val="000000" w:themeColor="text1"/>
                <w:sz w:val="20"/>
                <w:szCs w:val="16"/>
              </w:rPr>
            </w:pPr>
            <w:r w:rsidRPr="00A97A20">
              <w:rPr>
                <w:rFonts w:asciiTheme="majorHAnsi" w:eastAsia="Times New Roman" w:hAnsiTheme="majorHAnsi" w:cstheme="majorHAnsi"/>
                <w:b/>
                <w:bCs/>
                <w:sz w:val="20"/>
                <w:szCs w:val="16"/>
              </w:rPr>
              <w:t>Clone</w:t>
            </w:r>
            <w:r w:rsidRPr="00A97A20">
              <w:rPr>
                <w:rFonts w:asciiTheme="majorHAnsi" w:eastAsia="Times New Roman" w:hAnsiTheme="majorHAnsi" w:cstheme="majorHAnsi"/>
                <w:b/>
                <w:bCs/>
                <w:sz w:val="20"/>
                <w:szCs w:val="16"/>
                <w:u w:val="single"/>
              </w:rPr>
              <w:t xml:space="preserve"> </w:t>
            </w:r>
          </w:p>
        </w:tc>
        <w:tc>
          <w:tcPr>
            <w:tcW w:w="1500" w:type="dxa"/>
            <w:tcBorders>
              <w:bottom w:val="single" w:sz="4" w:space="0" w:color="auto"/>
            </w:tcBorders>
          </w:tcPr>
          <w:p w14:paraId="34379B5B" w14:textId="77777777" w:rsidR="00292018" w:rsidRPr="00A97A20" w:rsidRDefault="00292018" w:rsidP="001B2186">
            <w:pPr>
              <w:spacing w:line="360" w:lineRule="auto"/>
              <w:rPr>
                <w:rFonts w:asciiTheme="majorHAnsi" w:eastAsia="Times New Roman" w:hAnsiTheme="majorHAnsi" w:cstheme="majorHAnsi"/>
                <w:color w:val="000000" w:themeColor="text1"/>
                <w:sz w:val="20"/>
                <w:szCs w:val="16"/>
              </w:rPr>
            </w:pPr>
            <w:r w:rsidRPr="00A97A20">
              <w:rPr>
                <w:rFonts w:asciiTheme="majorHAnsi" w:eastAsia="Times New Roman" w:hAnsiTheme="majorHAnsi" w:cstheme="majorHAnsi"/>
                <w:b/>
                <w:bCs/>
                <w:sz w:val="20"/>
                <w:szCs w:val="16"/>
              </w:rPr>
              <w:t>Metal isotope</w:t>
            </w:r>
          </w:p>
        </w:tc>
        <w:tc>
          <w:tcPr>
            <w:tcW w:w="4635" w:type="dxa"/>
            <w:tcBorders>
              <w:bottom w:val="single" w:sz="4" w:space="0" w:color="auto"/>
            </w:tcBorders>
          </w:tcPr>
          <w:p w14:paraId="544FCBBF" w14:textId="77777777" w:rsidR="00292018" w:rsidRPr="00A97A20" w:rsidRDefault="00292018" w:rsidP="001B2186">
            <w:pPr>
              <w:spacing w:line="360" w:lineRule="auto"/>
              <w:rPr>
                <w:rFonts w:asciiTheme="majorHAnsi" w:eastAsia="Times New Roman" w:hAnsiTheme="majorHAnsi" w:cstheme="majorHAnsi"/>
                <w:color w:val="000000" w:themeColor="text1"/>
                <w:sz w:val="20"/>
                <w:szCs w:val="16"/>
              </w:rPr>
            </w:pPr>
            <w:r w:rsidRPr="00A97A20">
              <w:rPr>
                <w:rFonts w:asciiTheme="majorHAnsi" w:eastAsia="Times New Roman" w:hAnsiTheme="majorHAnsi" w:cstheme="majorHAnsi"/>
                <w:b/>
                <w:bCs/>
                <w:sz w:val="20"/>
                <w:szCs w:val="16"/>
              </w:rPr>
              <w:t>Purpose</w:t>
            </w:r>
          </w:p>
        </w:tc>
      </w:tr>
      <w:tr w:rsidR="00292018" w:rsidRPr="00A97A20" w14:paraId="3EDD244D" w14:textId="77777777" w:rsidTr="001B2186">
        <w:tc>
          <w:tcPr>
            <w:tcW w:w="1560" w:type="dxa"/>
            <w:tcBorders>
              <w:top w:val="single" w:sz="4" w:space="0" w:color="auto"/>
            </w:tcBorders>
          </w:tcPr>
          <w:p w14:paraId="34119EA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CD45</w:t>
            </w:r>
          </w:p>
          <w:p w14:paraId="230146B0" w14:textId="77777777" w:rsidR="00292018" w:rsidRPr="00A97A20" w:rsidRDefault="00292018" w:rsidP="001B2186">
            <w:pPr>
              <w:spacing w:line="360" w:lineRule="auto"/>
              <w:rPr>
                <w:rFonts w:asciiTheme="majorHAnsi" w:eastAsia="Times New Roman" w:hAnsiTheme="majorHAnsi" w:cstheme="majorHAnsi"/>
                <w:sz w:val="16"/>
                <w:szCs w:val="16"/>
              </w:rPr>
            </w:pPr>
            <w:r w:rsidRPr="00A97A20">
              <w:rPr>
                <w:rFonts w:asciiTheme="majorHAnsi" w:eastAsia="Times New Roman" w:hAnsiTheme="majorHAnsi" w:cstheme="majorHAnsi"/>
                <w:sz w:val="16"/>
                <w:szCs w:val="16"/>
              </w:rPr>
              <w:t>CD34</w:t>
            </w:r>
          </w:p>
        </w:tc>
        <w:tc>
          <w:tcPr>
            <w:tcW w:w="1335" w:type="dxa"/>
            <w:tcBorders>
              <w:top w:val="single" w:sz="4" w:space="0" w:color="auto"/>
            </w:tcBorders>
          </w:tcPr>
          <w:p w14:paraId="0301A0B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HI30</w:t>
            </w:r>
          </w:p>
          <w:p w14:paraId="70801B1E" w14:textId="77777777" w:rsidR="00292018" w:rsidRPr="00A97A20" w:rsidRDefault="00292018" w:rsidP="001B2186">
            <w:pPr>
              <w:spacing w:line="360" w:lineRule="auto"/>
              <w:rPr>
                <w:rFonts w:asciiTheme="majorHAnsi" w:eastAsia="Times New Roman" w:hAnsiTheme="majorHAnsi" w:cstheme="majorHAnsi"/>
                <w:sz w:val="16"/>
                <w:szCs w:val="16"/>
              </w:rPr>
            </w:pPr>
            <w:r w:rsidRPr="00A97A20">
              <w:rPr>
                <w:rFonts w:asciiTheme="majorHAnsi" w:eastAsia="Times New Roman" w:hAnsiTheme="majorHAnsi" w:cstheme="majorHAnsi"/>
                <w:sz w:val="16"/>
                <w:szCs w:val="16"/>
              </w:rPr>
              <w:t>581</w:t>
            </w:r>
          </w:p>
        </w:tc>
        <w:tc>
          <w:tcPr>
            <w:tcW w:w="1500" w:type="dxa"/>
            <w:tcBorders>
              <w:top w:val="single" w:sz="4" w:space="0" w:color="auto"/>
            </w:tcBorders>
          </w:tcPr>
          <w:p w14:paraId="7D9D516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89Y</w:t>
            </w:r>
          </w:p>
          <w:p w14:paraId="17489E6F" w14:textId="77777777" w:rsidR="00292018" w:rsidRPr="00A97A20" w:rsidRDefault="00292018" w:rsidP="001B2186">
            <w:pPr>
              <w:spacing w:line="360" w:lineRule="auto"/>
              <w:rPr>
                <w:rFonts w:asciiTheme="majorHAnsi" w:eastAsia="Times New Roman" w:hAnsiTheme="majorHAnsi" w:cstheme="majorHAnsi"/>
                <w:sz w:val="16"/>
                <w:szCs w:val="16"/>
              </w:rPr>
            </w:pPr>
            <w:r w:rsidRPr="00A97A20">
              <w:rPr>
                <w:rFonts w:asciiTheme="majorHAnsi" w:eastAsia="Times New Roman" w:hAnsiTheme="majorHAnsi" w:cstheme="majorHAnsi"/>
                <w:sz w:val="16"/>
                <w:szCs w:val="16"/>
              </w:rPr>
              <w:t>115In</w:t>
            </w:r>
          </w:p>
        </w:tc>
        <w:tc>
          <w:tcPr>
            <w:tcW w:w="4635" w:type="dxa"/>
            <w:tcBorders>
              <w:top w:val="single" w:sz="4" w:space="0" w:color="auto"/>
            </w:tcBorders>
          </w:tcPr>
          <w:p w14:paraId="57F2BCD9"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Leukocytes</w:t>
            </w:r>
          </w:p>
          <w:p w14:paraId="1643B75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Hematopoietic progenitor cells</w:t>
            </w:r>
          </w:p>
        </w:tc>
      </w:tr>
      <w:tr w:rsidR="00292018" w:rsidRPr="00A97A20" w14:paraId="4F294D25" w14:textId="77777777" w:rsidTr="001B2186">
        <w:tc>
          <w:tcPr>
            <w:tcW w:w="1560" w:type="dxa"/>
          </w:tcPr>
          <w:p w14:paraId="44C6717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CD66b</w:t>
            </w:r>
          </w:p>
        </w:tc>
        <w:tc>
          <w:tcPr>
            <w:tcW w:w="1335" w:type="dxa"/>
          </w:tcPr>
          <w:p w14:paraId="0BFAE33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80H3</w:t>
            </w:r>
          </w:p>
        </w:tc>
        <w:tc>
          <w:tcPr>
            <w:tcW w:w="1500" w:type="dxa"/>
          </w:tcPr>
          <w:p w14:paraId="32EC067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139La</w:t>
            </w:r>
          </w:p>
        </w:tc>
        <w:tc>
          <w:tcPr>
            <w:tcW w:w="4635" w:type="dxa"/>
          </w:tcPr>
          <w:p w14:paraId="23C1716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Granulocytes</w:t>
            </w:r>
          </w:p>
        </w:tc>
      </w:tr>
      <w:tr w:rsidR="00292018" w:rsidRPr="00A97A20" w14:paraId="041F70D5" w14:textId="77777777" w:rsidTr="001B2186">
        <w:tc>
          <w:tcPr>
            <w:tcW w:w="1560" w:type="dxa"/>
          </w:tcPr>
          <w:p w14:paraId="7E81698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Caspase 3</w:t>
            </w:r>
          </w:p>
        </w:tc>
        <w:tc>
          <w:tcPr>
            <w:tcW w:w="1335" w:type="dxa"/>
          </w:tcPr>
          <w:p w14:paraId="45B9EE6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C92-605</w:t>
            </w:r>
          </w:p>
        </w:tc>
        <w:tc>
          <w:tcPr>
            <w:tcW w:w="1500" w:type="dxa"/>
          </w:tcPr>
          <w:p w14:paraId="08FCC70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141Pr</w:t>
            </w:r>
          </w:p>
        </w:tc>
        <w:tc>
          <w:tcPr>
            <w:tcW w:w="4635" w:type="dxa"/>
          </w:tcPr>
          <w:p w14:paraId="646B516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Apoptotic cells</w:t>
            </w:r>
          </w:p>
        </w:tc>
      </w:tr>
      <w:tr w:rsidR="00292018" w:rsidRPr="00A97A20" w14:paraId="1125ED26" w14:textId="77777777" w:rsidTr="001B2186">
        <w:tc>
          <w:tcPr>
            <w:tcW w:w="1560" w:type="dxa"/>
          </w:tcPr>
          <w:p w14:paraId="453851A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CD20</w:t>
            </w:r>
          </w:p>
        </w:tc>
        <w:tc>
          <w:tcPr>
            <w:tcW w:w="1335" w:type="dxa"/>
          </w:tcPr>
          <w:p w14:paraId="1CA05473"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2H7</w:t>
            </w:r>
          </w:p>
        </w:tc>
        <w:tc>
          <w:tcPr>
            <w:tcW w:w="1500" w:type="dxa"/>
          </w:tcPr>
          <w:p w14:paraId="4DD473C7"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142Nd</w:t>
            </w:r>
          </w:p>
        </w:tc>
        <w:tc>
          <w:tcPr>
            <w:tcW w:w="4635" w:type="dxa"/>
          </w:tcPr>
          <w:p w14:paraId="6A6A756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B lymphocytes</w:t>
            </w:r>
          </w:p>
        </w:tc>
      </w:tr>
      <w:tr w:rsidR="00292018" w:rsidRPr="00A97A20" w14:paraId="3F6C1EDA" w14:textId="77777777" w:rsidTr="001B2186">
        <w:tc>
          <w:tcPr>
            <w:tcW w:w="1560" w:type="dxa"/>
          </w:tcPr>
          <w:p w14:paraId="77077549"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CD3</w:t>
            </w:r>
          </w:p>
        </w:tc>
        <w:tc>
          <w:tcPr>
            <w:tcW w:w="1335" w:type="dxa"/>
          </w:tcPr>
          <w:p w14:paraId="742B7158"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UCHT1</w:t>
            </w:r>
          </w:p>
        </w:tc>
        <w:tc>
          <w:tcPr>
            <w:tcW w:w="1500" w:type="dxa"/>
          </w:tcPr>
          <w:p w14:paraId="41A838A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143Nd</w:t>
            </w:r>
          </w:p>
        </w:tc>
        <w:tc>
          <w:tcPr>
            <w:tcW w:w="4635" w:type="dxa"/>
          </w:tcPr>
          <w:p w14:paraId="6D931A7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T lymphocytes</w:t>
            </w:r>
          </w:p>
        </w:tc>
      </w:tr>
      <w:tr w:rsidR="00292018" w:rsidRPr="00A97A20" w14:paraId="3A47AD86" w14:textId="77777777" w:rsidTr="001B2186">
        <w:tc>
          <w:tcPr>
            <w:tcW w:w="1560" w:type="dxa"/>
          </w:tcPr>
          <w:p w14:paraId="31E86B5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CD11b</w:t>
            </w:r>
          </w:p>
        </w:tc>
        <w:tc>
          <w:tcPr>
            <w:tcW w:w="1335" w:type="dxa"/>
          </w:tcPr>
          <w:p w14:paraId="3C6A896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ICRF44</w:t>
            </w:r>
          </w:p>
        </w:tc>
        <w:tc>
          <w:tcPr>
            <w:tcW w:w="1500" w:type="dxa"/>
          </w:tcPr>
          <w:p w14:paraId="5E26E38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144Nd</w:t>
            </w:r>
          </w:p>
        </w:tc>
        <w:tc>
          <w:tcPr>
            <w:tcW w:w="4635" w:type="dxa"/>
          </w:tcPr>
          <w:p w14:paraId="14F29B97"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Monocytes, NK</w:t>
            </w:r>
          </w:p>
        </w:tc>
      </w:tr>
      <w:tr w:rsidR="00292018" w:rsidRPr="00A97A20" w14:paraId="6B008BDC" w14:textId="77777777" w:rsidTr="001B2186">
        <w:tc>
          <w:tcPr>
            <w:tcW w:w="1560" w:type="dxa"/>
          </w:tcPr>
          <w:p w14:paraId="6AD8B3F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CD4</w:t>
            </w:r>
          </w:p>
        </w:tc>
        <w:tc>
          <w:tcPr>
            <w:tcW w:w="1335" w:type="dxa"/>
          </w:tcPr>
          <w:p w14:paraId="167CCCBF"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RPA-T4</w:t>
            </w:r>
          </w:p>
        </w:tc>
        <w:tc>
          <w:tcPr>
            <w:tcW w:w="1500" w:type="dxa"/>
          </w:tcPr>
          <w:p w14:paraId="4CC76FE9"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145Nd</w:t>
            </w:r>
          </w:p>
        </w:tc>
        <w:tc>
          <w:tcPr>
            <w:tcW w:w="4635" w:type="dxa"/>
          </w:tcPr>
          <w:p w14:paraId="1A1D242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T-helper lymphocytes</w:t>
            </w:r>
          </w:p>
        </w:tc>
      </w:tr>
      <w:tr w:rsidR="00292018" w:rsidRPr="00A97A20" w14:paraId="267C4D9B" w14:textId="77777777" w:rsidTr="001B2186">
        <w:tc>
          <w:tcPr>
            <w:tcW w:w="1560" w:type="dxa"/>
          </w:tcPr>
          <w:p w14:paraId="0F0270C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CD8</w:t>
            </w:r>
          </w:p>
        </w:tc>
        <w:tc>
          <w:tcPr>
            <w:tcW w:w="1335" w:type="dxa"/>
          </w:tcPr>
          <w:p w14:paraId="6BAC837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RPA-T8</w:t>
            </w:r>
          </w:p>
        </w:tc>
        <w:tc>
          <w:tcPr>
            <w:tcW w:w="1500" w:type="dxa"/>
          </w:tcPr>
          <w:p w14:paraId="543B4C08"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146Nd</w:t>
            </w:r>
          </w:p>
        </w:tc>
        <w:tc>
          <w:tcPr>
            <w:tcW w:w="4635" w:type="dxa"/>
          </w:tcPr>
          <w:p w14:paraId="01E0C1E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Cytotoxic T lymphocytes</w:t>
            </w:r>
          </w:p>
        </w:tc>
      </w:tr>
      <w:tr w:rsidR="00292018" w:rsidRPr="00A97A20" w14:paraId="42DA150C" w14:textId="77777777" w:rsidTr="001B2186">
        <w:tc>
          <w:tcPr>
            <w:tcW w:w="1560" w:type="dxa"/>
          </w:tcPr>
          <w:p w14:paraId="09BA091C"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CD24</w:t>
            </w:r>
          </w:p>
        </w:tc>
        <w:tc>
          <w:tcPr>
            <w:tcW w:w="1335" w:type="dxa"/>
          </w:tcPr>
          <w:p w14:paraId="40FC1A77"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ML5</w:t>
            </w:r>
          </w:p>
        </w:tc>
        <w:tc>
          <w:tcPr>
            <w:tcW w:w="1500" w:type="dxa"/>
          </w:tcPr>
          <w:p w14:paraId="22900FEA"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147Sm</w:t>
            </w:r>
          </w:p>
        </w:tc>
        <w:tc>
          <w:tcPr>
            <w:tcW w:w="4635" w:type="dxa"/>
          </w:tcPr>
          <w:p w14:paraId="0BBF3ED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Regulatory B cells</w:t>
            </w:r>
          </w:p>
        </w:tc>
      </w:tr>
      <w:tr w:rsidR="00292018" w:rsidRPr="00A97A20" w14:paraId="6FF1C27D" w14:textId="77777777" w:rsidTr="001B2186">
        <w:tc>
          <w:tcPr>
            <w:tcW w:w="1560" w:type="dxa"/>
          </w:tcPr>
          <w:p w14:paraId="43663285" w14:textId="77777777" w:rsidR="00292018" w:rsidRPr="00A97A20" w:rsidRDefault="00292018" w:rsidP="001B2186">
            <w:pPr>
              <w:spacing w:line="360" w:lineRule="auto"/>
              <w:rPr>
                <w:rFonts w:asciiTheme="majorHAnsi" w:eastAsia="Times New Roman" w:hAnsiTheme="majorHAnsi" w:cstheme="majorHAnsi"/>
                <w:sz w:val="16"/>
                <w:szCs w:val="16"/>
              </w:rPr>
            </w:pPr>
            <w:r w:rsidRPr="00A97A20">
              <w:rPr>
                <w:rFonts w:asciiTheme="majorHAnsi" w:eastAsia="Times New Roman" w:hAnsiTheme="majorHAnsi" w:cstheme="majorHAnsi"/>
                <w:sz w:val="16"/>
                <w:szCs w:val="16"/>
              </w:rPr>
              <w:t>CD127</w:t>
            </w:r>
          </w:p>
        </w:tc>
        <w:tc>
          <w:tcPr>
            <w:tcW w:w="1335" w:type="dxa"/>
          </w:tcPr>
          <w:p w14:paraId="42ACE4E5" w14:textId="77777777" w:rsidR="00292018" w:rsidRPr="00A97A20" w:rsidRDefault="00292018" w:rsidP="001B2186">
            <w:pPr>
              <w:spacing w:line="360" w:lineRule="auto"/>
              <w:rPr>
                <w:rFonts w:asciiTheme="majorHAnsi" w:eastAsia="Times New Roman" w:hAnsiTheme="majorHAnsi" w:cstheme="majorHAnsi"/>
                <w:sz w:val="16"/>
                <w:szCs w:val="16"/>
              </w:rPr>
            </w:pPr>
            <w:r w:rsidRPr="00A97A20">
              <w:rPr>
                <w:rFonts w:asciiTheme="majorHAnsi" w:eastAsia="Times New Roman" w:hAnsiTheme="majorHAnsi" w:cstheme="majorHAnsi"/>
                <w:sz w:val="16"/>
                <w:szCs w:val="16"/>
              </w:rPr>
              <w:t>eBioRDR5</w:t>
            </w:r>
          </w:p>
        </w:tc>
        <w:tc>
          <w:tcPr>
            <w:tcW w:w="1500" w:type="dxa"/>
          </w:tcPr>
          <w:p w14:paraId="7DD5F117" w14:textId="77777777" w:rsidR="00292018" w:rsidRPr="00A97A20" w:rsidRDefault="00292018" w:rsidP="001B2186">
            <w:pPr>
              <w:spacing w:line="360" w:lineRule="auto"/>
              <w:rPr>
                <w:rFonts w:asciiTheme="majorHAnsi" w:eastAsia="Times New Roman" w:hAnsiTheme="majorHAnsi" w:cstheme="majorHAnsi"/>
                <w:sz w:val="16"/>
                <w:szCs w:val="16"/>
              </w:rPr>
            </w:pPr>
            <w:r w:rsidRPr="00A97A20">
              <w:rPr>
                <w:rFonts w:asciiTheme="majorHAnsi" w:eastAsia="Times New Roman" w:hAnsiTheme="majorHAnsi" w:cstheme="majorHAnsi"/>
                <w:sz w:val="16"/>
                <w:szCs w:val="16"/>
              </w:rPr>
              <w:t>148Nd</w:t>
            </w:r>
          </w:p>
        </w:tc>
        <w:tc>
          <w:tcPr>
            <w:tcW w:w="4635" w:type="dxa"/>
          </w:tcPr>
          <w:p w14:paraId="138EFFA3" w14:textId="77777777" w:rsidR="00292018" w:rsidRPr="00A97A20" w:rsidRDefault="00292018" w:rsidP="001B2186">
            <w:pPr>
              <w:spacing w:line="360" w:lineRule="auto"/>
              <w:rPr>
                <w:rFonts w:asciiTheme="majorHAnsi" w:eastAsia="Times New Roman" w:hAnsiTheme="majorHAnsi" w:cstheme="majorHAnsi"/>
                <w:sz w:val="16"/>
                <w:szCs w:val="16"/>
                <w:lang w:val="en-US"/>
              </w:rPr>
            </w:pPr>
            <w:r w:rsidRPr="00A97A20">
              <w:rPr>
                <w:rFonts w:asciiTheme="majorHAnsi" w:eastAsia="Times New Roman" w:hAnsiTheme="majorHAnsi" w:cstheme="majorHAnsi"/>
                <w:sz w:val="16"/>
                <w:szCs w:val="16"/>
                <w:lang w:val="en-US"/>
              </w:rPr>
              <w:t>Activated and regulatory T cells</w:t>
            </w:r>
          </w:p>
        </w:tc>
      </w:tr>
      <w:tr w:rsidR="00292018" w:rsidRPr="00A97A20" w14:paraId="7F668DC4" w14:textId="77777777" w:rsidTr="001B2186">
        <w:tc>
          <w:tcPr>
            <w:tcW w:w="1560" w:type="dxa"/>
          </w:tcPr>
          <w:p w14:paraId="28BF310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CD45RO</w:t>
            </w:r>
          </w:p>
        </w:tc>
        <w:tc>
          <w:tcPr>
            <w:tcW w:w="1335" w:type="dxa"/>
          </w:tcPr>
          <w:p w14:paraId="49C941BF"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UCHL1</w:t>
            </w:r>
          </w:p>
        </w:tc>
        <w:tc>
          <w:tcPr>
            <w:tcW w:w="1500" w:type="dxa"/>
          </w:tcPr>
          <w:p w14:paraId="48EC128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149Sm</w:t>
            </w:r>
          </w:p>
        </w:tc>
        <w:tc>
          <w:tcPr>
            <w:tcW w:w="4635" w:type="dxa"/>
          </w:tcPr>
          <w:p w14:paraId="2390A715"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Memory T lymphocytes</w:t>
            </w:r>
          </w:p>
        </w:tc>
      </w:tr>
      <w:tr w:rsidR="00292018" w:rsidRPr="00A97A20" w14:paraId="3C761D23" w14:textId="77777777" w:rsidTr="001B2186">
        <w:tc>
          <w:tcPr>
            <w:tcW w:w="1560" w:type="dxa"/>
          </w:tcPr>
          <w:p w14:paraId="1C59A0C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CD138</w:t>
            </w:r>
          </w:p>
        </w:tc>
        <w:tc>
          <w:tcPr>
            <w:tcW w:w="1335" w:type="dxa"/>
          </w:tcPr>
          <w:p w14:paraId="357A910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MI15</w:t>
            </w:r>
          </w:p>
        </w:tc>
        <w:tc>
          <w:tcPr>
            <w:tcW w:w="1500" w:type="dxa"/>
          </w:tcPr>
          <w:p w14:paraId="3A1B3228"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150Nd</w:t>
            </w:r>
          </w:p>
        </w:tc>
        <w:tc>
          <w:tcPr>
            <w:tcW w:w="4635" w:type="dxa"/>
          </w:tcPr>
          <w:p w14:paraId="405FF63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Plasma cells, multiple myeloma cells</w:t>
            </w:r>
          </w:p>
        </w:tc>
      </w:tr>
      <w:tr w:rsidR="00292018" w:rsidRPr="00A97A20" w14:paraId="035CBA60" w14:textId="77777777" w:rsidTr="001B2186">
        <w:tc>
          <w:tcPr>
            <w:tcW w:w="1560" w:type="dxa"/>
          </w:tcPr>
          <w:p w14:paraId="1A488A2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CD33</w:t>
            </w:r>
          </w:p>
        </w:tc>
        <w:tc>
          <w:tcPr>
            <w:tcW w:w="1335" w:type="dxa"/>
          </w:tcPr>
          <w:p w14:paraId="6BE9BE9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WM53</w:t>
            </w:r>
          </w:p>
        </w:tc>
        <w:tc>
          <w:tcPr>
            <w:tcW w:w="1500" w:type="dxa"/>
          </w:tcPr>
          <w:p w14:paraId="01422D7C"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151Eu</w:t>
            </w:r>
          </w:p>
        </w:tc>
        <w:tc>
          <w:tcPr>
            <w:tcW w:w="4635" w:type="dxa"/>
          </w:tcPr>
          <w:p w14:paraId="62D7942F"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Myeloid cells</w:t>
            </w:r>
          </w:p>
        </w:tc>
      </w:tr>
      <w:tr w:rsidR="00292018" w:rsidRPr="00A97A20" w14:paraId="1A6FCA4C" w14:textId="77777777" w:rsidTr="001B2186">
        <w:tc>
          <w:tcPr>
            <w:tcW w:w="1560" w:type="dxa"/>
          </w:tcPr>
          <w:p w14:paraId="1766B803"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CD55</w:t>
            </w:r>
          </w:p>
        </w:tc>
        <w:tc>
          <w:tcPr>
            <w:tcW w:w="1335" w:type="dxa"/>
          </w:tcPr>
          <w:p w14:paraId="5AAE1B5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MEM118</w:t>
            </w:r>
          </w:p>
        </w:tc>
        <w:tc>
          <w:tcPr>
            <w:tcW w:w="1500" w:type="dxa"/>
          </w:tcPr>
          <w:p w14:paraId="645BA0AF"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152Sm</w:t>
            </w:r>
          </w:p>
        </w:tc>
        <w:tc>
          <w:tcPr>
            <w:tcW w:w="4635" w:type="dxa"/>
          </w:tcPr>
          <w:p w14:paraId="2A304FB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Complement inhibition</w:t>
            </w:r>
          </w:p>
        </w:tc>
      </w:tr>
      <w:tr w:rsidR="00292018" w:rsidRPr="00A97A20" w14:paraId="5F03E7FB" w14:textId="77777777" w:rsidTr="001B2186">
        <w:trPr>
          <w:trHeight w:val="300"/>
        </w:trPr>
        <w:tc>
          <w:tcPr>
            <w:tcW w:w="1560" w:type="dxa"/>
          </w:tcPr>
          <w:p w14:paraId="4DB087C5"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CD366 (TIM-3)</w:t>
            </w:r>
          </w:p>
        </w:tc>
        <w:tc>
          <w:tcPr>
            <w:tcW w:w="1335" w:type="dxa"/>
          </w:tcPr>
          <w:p w14:paraId="0855795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344823</w:t>
            </w:r>
          </w:p>
        </w:tc>
        <w:tc>
          <w:tcPr>
            <w:tcW w:w="1500" w:type="dxa"/>
          </w:tcPr>
          <w:p w14:paraId="521BEFB7"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153Eu</w:t>
            </w:r>
          </w:p>
        </w:tc>
        <w:tc>
          <w:tcPr>
            <w:tcW w:w="4635" w:type="dxa"/>
          </w:tcPr>
          <w:p w14:paraId="14C830C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Effector T cells, T-cell exhaustion</w:t>
            </w:r>
          </w:p>
        </w:tc>
      </w:tr>
      <w:tr w:rsidR="00292018" w:rsidRPr="00A97A20" w14:paraId="43E91199" w14:textId="77777777" w:rsidTr="001B2186">
        <w:trPr>
          <w:trHeight w:val="300"/>
        </w:trPr>
        <w:tc>
          <w:tcPr>
            <w:tcW w:w="1560" w:type="dxa"/>
          </w:tcPr>
          <w:p w14:paraId="33E77009"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CD45RA</w:t>
            </w:r>
          </w:p>
        </w:tc>
        <w:tc>
          <w:tcPr>
            <w:tcW w:w="1335" w:type="dxa"/>
          </w:tcPr>
          <w:p w14:paraId="50C1D9A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HI100</w:t>
            </w:r>
          </w:p>
        </w:tc>
        <w:tc>
          <w:tcPr>
            <w:tcW w:w="1500" w:type="dxa"/>
          </w:tcPr>
          <w:p w14:paraId="37C84B2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154Sm</w:t>
            </w:r>
          </w:p>
        </w:tc>
        <w:tc>
          <w:tcPr>
            <w:tcW w:w="4635" w:type="dxa"/>
          </w:tcPr>
          <w:p w14:paraId="19F76BA3"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Naive T lymphocytes</w:t>
            </w:r>
          </w:p>
        </w:tc>
      </w:tr>
      <w:tr w:rsidR="00292018" w:rsidRPr="00A97A20" w14:paraId="2A9D1E82" w14:textId="77777777" w:rsidTr="001B2186">
        <w:trPr>
          <w:trHeight w:val="300"/>
        </w:trPr>
        <w:tc>
          <w:tcPr>
            <w:tcW w:w="1560" w:type="dxa"/>
          </w:tcPr>
          <w:p w14:paraId="5F54FC1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CD27</w:t>
            </w:r>
          </w:p>
        </w:tc>
        <w:tc>
          <w:tcPr>
            <w:tcW w:w="1335" w:type="dxa"/>
          </w:tcPr>
          <w:p w14:paraId="5A56D7B7"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L128</w:t>
            </w:r>
          </w:p>
        </w:tc>
        <w:tc>
          <w:tcPr>
            <w:tcW w:w="1500" w:type="dxa"/>
          </w:tcPr>
          <w:p w14:paraId="509E6285"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155Gd</w:t>
            </w:r>
          </w:p>
        </w:tc>
        <w:tc>
          <w:tcPr>
            <w:tcW w:w="4635" w:type="dxa"/>
          </w:tcPr>
          <w:p w14:paraId="6736566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Memory B lymphocytes, T lymphocytes</w:t>
            </w:r>
          </w:p>
        </w:tc>
      </w:tr>
      <w:tr w:rsidR="00292018" w:rsidRPr="00A97A20" w14:paraId="52F145E7" w14:textId="77777777" w:rsidTr="001B2186">
        <w:trPr>
          <w:trHeight w:val="300"/>
        </w:trPr>
        <w:tc>
          <w:tcPr>
            <w:tcW w:w="1560" w:type="dxa"/>
          </w:tcPr>
          <w:p w14:paraId="68A8357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CD152 (CTLA4)</w:t>
            </w:r>
          </w:p>
        </w:tc>
        <w:tc>
          <w:tcPr>
            <w:tcW w:w="1335" w:type="dxa"/>
          </w:tcPr>
          <w:p w14:paraId="1817368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L3D10</w:t>
            </w:r>
          </w:p>
        </w:tc>
        <w:tc>
          <w:tcPr>
            <w:tcW w:w="1500" w:type="dxa"/>
          </w:tcPr>
          <w:p w14:paraId="4D94746C"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156Gd</w:t>
            </w:r>
          </w:p>
        </w:tc>
        <w:tc>
          <w:tcPr>
            <w:tcW w:w="4635" w:type="dxa"/>
          </w:tcPr>
          <w:p w14:paraId="53432BB9"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Regulatory T cells, T-cell activation</w:t>
            </w:r>
            <w:r w:rsidRPr="00A97A20">
              <w:rPr>
                <w:rFonts w:asciiTheme="majorHAnsi" w:eastAsia="Times New Roman" w:hAnsiTheme="majorHAnsi" w:cstheme="majorHAnsi"/>
                <w:sz w:val="16"/>
                <w:szCs w:val="16"/>
                <w:u w:val="single"/>
                <w:lang w:val="en-US"/>
              </w:rPr>
              <w:t xml:space="preserve"> </w:t>
            </w:r>
          </w:p>
        </w:tc>
      </w:tr>
      <w:tr w:rsidR="00292018" w:rsidRPr="00A97A20" w14:paraId="496B5C52" w14:textId="77777777" w:rsidTr="001B2186">
        <w:trPr>
          <w:trHeight w:val="300"/>
        </w:trPr>
        <w:tc>
          <w:tcPr>
            <w:tcW w:w="1560" w:type="dxa"/>
          </w:tcPr>
          <w:p w14:paraId="0D1385C3"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CD137</w:t>
            </w:r>
          </w:p>
        </w:tc>
        <w:tc>
          <w:tcPr>
            <w:tcW w:w="1335" w:type="dxa"/>
          </w:tcPr>
          <w:p w14:paraId="40FF515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4B4-1</w:t>
            </w:r>
          </w:p>
        </w:tc>
        <w:tc>
          <w:tcPr>
            <w:tcW w:w="1500" w:type="dxa"/>
          </w:tcPr>
          <w:p w14:paraId="1DDF9B9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158Gd</w:t>
            </w:r>
          </w:p>
        </w:tc>
        <w:tc>
          <w:tcPr>
            <w:tcW w:w="4635" w:type="dxa"/>
          </w:tcPr>
          <w:p w14:paraId="265FEF48"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Activated NK cells</w:t>
            </w:r>
          </w:p>
        </w:tc>
      </w:tr>
      <w:tr w:rsidR="00292018" w:rsidRPr="00A97A20" w14:paraId="33595863" w14:textId="77777777" w:rsidTr="001B2186">
        <w:trPr>
          <w:trHeight w:val="300"/>
        </w:trPr>
        <w:tc>
          <w:tcPr>
            <w:tcW w:w="1560" w:type="dxa"/>
          </w:tcPr>
          <w:p w14:paraId="36C19459"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CD123</w:t>
            </w:r>
          </w:p>
        </w:tc>
        <w:tc>
          <w:tcPr>
            <w:tcW w:w="1335" w:type="dxa"/>
          </w:tcPr>
          <w:p w14:paraId="3B64FD03"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9F5</w:t>
            </w:r>
          </w:p>
        </w:tc>
        <w:tc>
          <w:tcPr>
            <w:tcW w:w="1500" w:type="dxa"/>
          </w:tcPr>
          <w:p w14:paraId="2C4B3E6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159Tb</w:t>
            </w:r>
          </w:p>
        </w:tc>
        <w:tc>
          <w:tcPr>
            <w:tcW w:w="4635" w:type="dxa"/>
          </w:tcPr>
          <w:p w14:paraId="5DA58E8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Plasmacytoid dendritic cells, basophils</w:t>
            </w:r>
          </w:p>
        </w:tc>
      </w:tr>
      <w:tr w:rsidR="00292018" w:rsidRPr="00A97A20" w14:paraId="68AE401C" w14:textId="77777777" w:rsidTr="001B2186">
        <w:trPr>
          <w:trHeight w:val="300"/>
        </w:trPr>
        <w:tc>
          <w:tcPr>
            <w:tcW w:w="1560" w:type="dxa"/>
          </w:tcPr>
          <w:p w14:paraId="05A0A02A"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CD69</w:t>
            </w:r>
          </w:p>
        </w:tc>
        <w:tc>
          <w:tcPr>
            <w:tcW w:w="1335" w:type="dxa"/>
          </w:tcPr>
          <w:p w14:paraId="7E2D28B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FN50</w:t>
            </w:r>
          </w:p>
        </w:tc>
        <w:tc>
          <w:tcPr>
            <w:tcW w:w="1500" w:type="dxa"/>
          </w:tcPr>
          <w:p w14:paraId="257F32C5"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160Gd</w:t>
            </w:r>
          </w:p>
        </w:tc>
        <w:tc>
          <w:tcPr>
            <w:tcW w:w="4635" w:type="dxa"/>
          </w:tcPr>
          <w:p w14:paraId="1BCB7E05"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T-cell early activation</w:t>
            </w:r>
          </w:p>
        </w:tc>
      </w:tr>
      <w:tr w:rsidR="00292018" w:rsidRPr="00A97A20" w14:paraId="710DDBEC" w14:textId="77777777" w:rsidTr="001B2186">
        <w:trPr>
          <w:trHeight w:val="300"/>
        </w:trPr>
        <w:tc>
          <w:tcPr>
            <w:tcW w:w="1560" w:type="dxa"/>
          </w:tcPr>
          <w:p w14:paraId="7FDE5825"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CD28</w:t>
            </w:r>
          </w:p>
        </w:tc>
        <w:tc>
          <w:tcPr>
            <w:tcW w:w="1335" w:type="dxa"/>
          </w:tcPr>
          <w:p w14:paraId="0FE88BD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CD28.2</w:t>
            </w:r>
          </w:p>
        </w:tc>
        <w:tc>
          <w:tcPr>
            <w:tcW w:w="1500" w:type="dxa"/>
          </w:tcPr>
          <w:p w14:paraId="6748748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161Dy</w:t>
            </w:r>
          </w:p>
        </w:tc>
        <w:tc>
          <w:tcPr>
            <w:tcW w:w="4635" w:type="dxa"/>
          </w:tcPr>
          <w:p w14:paraId="61AAD08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T-cell costimulation</w:t>
            </w:r>
          </w:p>
        </w:tc>
      </w:tr>
      <w:tr w:rsidR="00292018" w:rsidRPr="00A97A20" w14:paraId="3D439F3C" w14:textId="77777777" w:rsidTr="001B2186">
        <w:trPr>
          <w:trHeight w:val="300"/>
        </w:trPr>
        <w:tc>
          <w:tcPr>
            <w:tcW w:w="1560" w:type="dxa"/>
          </w:tcPr>
          <w:p w14:paraId="3BBADEA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CD11c</w:t>
            </w:r>
          </w:p>
        </w:tc>
        <w:tc>
          <w:tcPr>
            <w:tcW w:w="1335" w:type="dxa"/>
          </w:tcPr>
          <w:p w14:paraId="0AFB7D9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Bu15</w:t>
            </w:r>
          </w:p>
        </w:tc>
        <w:tc>
          <w:tcPr>
            <w:tcW w:w="1500" w:type="dxa"/>
          </w:tcPr>
          <w:p w14:paraId="6D0CC43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162Dy</w:t>
            </w:r>
          </w:p>
        </w:tc>
        <w:tc>
          <w:tcPr>
            <w:tcW w:w="4635" w:type="dxa"/>
          </w:tcPr>
          <w:p w14:paraId="1DCF859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Monocytes, myeloid dendritic cells</w:t>
            </w:r>
          </w:p>
        </w:tc>
      </w:tr>
      <w:tr w:rsidR="00292018" w:rsidRPr="00A97A20" w14:paraId="2ECB39F8" w14:textId="77777777" w:rsidTr="001B2186">
        <w:trPr>
          <w:trHeight w:val="300"/>
        </w:trPr>
        <w:tc>
          <w:tcPr>
            <w:tcW w:w="1560" w:type="dxa"/>
          </w:tcPr>
          <w:p w14:paraId="664083E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Granzyme B</w:t>
            </w:r>
          </w:p>
        </w:tc>
        <w:tc>
          <w:tcPr>
            <w:tcW w:w="1335" w:type="dxa"/>
          </w:tcPr>
          <w:p w14:paraId="5412381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GB11</w:t>
            </w:r>
          </w:p>
        </w:tc>
        <w:tc>
          <w:tcPr>
            <w:tcW w:w="1500" w:type="dxa"/>
          </w:tcPr>
          <w:p w14:paraId="59FDF8F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163Dy</w:t>
            </w:r>
          </w:p>
        </w:tc>
        <w:tc>
          <w:tcPr>
            <w:tcW w:w="4635" w:type="dxa"/>
          </w:tcPr>
          <w:p w14:paraId="7F45AB58"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Activated T cells, NK cells</w:t>
            </w:r>
          </w:p>
        </w:tc>
      </w:tr>
      <w:tr w:rsidR="00292018" w:rsidRPr="00A97A20" w14:paraId="70949A37" w14:textId="77777777" w:rsidTr="001B2186">
        <w:trPr>
          <w:trHeight w:val="300"/>
        </w:trPr>
        <w:tc>
          <w:tcPr>
            <w:tcW w:w="1560" w:type="dxa"/>
          </w:tcPr>
          <w:p w14:paraId="457BA14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CD15</w:t>
            </w:r>
          </w:p>
        </w:tc>
        <w:tc>
          <w:tcPr>
            <w:tcW w:w="1335" w:type="dxa"/>
          </w:tcPr>
          <w:p w14:paraId="32E6235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W6D3</w:t>
            </w:r>
          </w:p>
        </w:tc>
        <w:tc>
          <w:tcPr>
            <w:tcW w:w="1500" w:type="dxa"/>
          </w:tcPr>
          <w:p w14:paraId="41E77E1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164Dy</w:t>
            </w:r>
          </w:p>
        </w:tc>
        <w:tc>
          <w:tcPr>
            <w:tcW w:w="4635" w:type="dxa"/>
          </w:tcPr>
          <w:p w14:paraId="68DC903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Granulocytes</w:t>
            </w:r>
          </w:p>
        </w:tc>
      </w:tr>
      <w:tr w:rsidR="00292018" w:rsidRPr="00A97A20" w14:paraId="3122C38D" w14:textId="77777777" w:rsidTr="001B2186">
        <w:trPr>
          <w:trHeight w:val="300"/>
        </w:trPr>
        <w:tc>
          <w:tcPr>
            <w:tcW w:w="1560" w:type="dxa"/>
          </w:tcPr>
          <w:p w14:paraId="0FED17D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CD80</w:t>
            </w:r>
          </w:p>
        </w:tc>
        <w:tc>
          <w:tcPr>
            <w:tcW w:w="1335" w:type="dxa"/>
          </w:tcPr>
          <w:p w14:paraId="15B816E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MM0100-6N36</w:t>
            </w:r>
          </w:p>
        </w:tc>
        <w:tc>
          <w:tcPr>
            <w:tcW w:w="1500" w:type="dxa"/>
          </w:tcPr>
          <w:p w14:paraId="5254660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165Ho</w:t>
            </w:r>
          </w:p>
        </w:tc>
        <w:tc>
          <w:tcPr>
            <w:tcW w:w="4635" w:type="dxa"/>
          </w:tcPr>
          <w:p w14:paraId="0ADBE667"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Antigen presenting cells, CD28 and CTLA4 ligand</w:t>
            </w:r>
          </w:p>
        </w:tc>
      </w:tr>
      <w:tr w:rsidR="00292018" w:rsidRPr="00A97A20" w14:paraId="207EF8B7" w14:textId="77777777" w:rsidTr="001B2186">
        <w:trPr>
          <w:trHeight w:val="300"/>
        </w:trPr>
        <w:tc>
          <w:tcPr>
            <w:tcW w:w="1560" w:type="dxa"/>
          </w:tcPr>
          <w:p w14:paraId="1DB4D2AA"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GPRC5D</w:t>
            </w:r>
          </w:p>
        </w:tc>
        <w:tc>
          <w:tcPr>
            <w:tcW w:w="1335" w:type="dxa"/>
          </w:tcPr>
          <w:p w14:paraId="3D028073"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571961</w:t>
            </w:r>
          </w:p>
        </w:tc>
        <w:tc>
          <w:tcPr>
            <w:tcW w:w="1500" w:type="dxa"/>
          </w:tcPr>
          <w:p w14:paraId="24069A9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166Er</w:t>
            </w:r>
          </w:p>
        </w:tc>
        <w:tc>
          <w:tcPr>
            <w:tcW w:w="4635" w:type="dxa"/>
          </w:tcPr>
          <w:p w14:paraId="2C645789"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Plasma cells</w:t>
            </w:r>
          </w:p>
        </w:tc>
      </w:tr>
      <w:tr w:rsidR="00292018" w:rsidRPr="00A97A20" w14:paraId="4DB0CA4B" w14:textId="77777777" w:rsidTr="001B2186">
        <w:trPr>
          <w:trHeight w:val="300"/>
        </w:trPr>
        <w:tc>
          <w:tcPr>
            <w:tcW w:w="1560" w:type="dxa"/>
          </w:tcPr>
          <w:p w14:paraId="4218451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CD19</w:t>
            </w:r>
          </w:p>
        </w:tc>
        <w:tc>
          <w:tcPr>
            <w:tcW w:w="1335" w:type="dxa"/>
          </w:tcPr>
          <w:p w14:paraId="381E8D0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HIB19</w:t>
            </w:r>
          </w:p>
        </w:tc>
        <w:tc>
          <w:tcPr>
            <w:tcW w:w="1500" w:type="dxa"/>
          </w:tcPr>
          <w:p w14:paraId="0715C01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167Er</w:t>
            </w:r>
          </w:p>
        </w:tc>
        <w:tc>
          <w:tcPr>
            <w:tcW w:w="4635" w:type="dxa"/>
          </w:tcPr>
          <w:p w14:paraId="68778ED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B lymphocytes</w:t>
            </w:r>
          </w:p>
        </w:tc>
      </w:tr>
      <w:tr w:rsidR="00292018" w:rsidRPr="00A97A20" w14:paraId="44B2E680" w14:textId="77777777" w:rsidTr="001B2186">
        <w:trPr>
          <w:trHeight w:val="300"/>
        </w:trPr>
        <w:tc>
          <w:tcPr>
            <w:tcW w:w="1560" w:type="dxa"/>
          </w:tcPr>
          <w:p w14:paraId="124D6B7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CD269 (BCMA)</w:t>
            </w:r>
          </w:p>
        </w:tc>
        <w:tc>
          <w:tcPr>
            <w:tcW w:w="1335" w:type="dxa"/>
          </w:tcPr>
          <w:p w14:paraId="3F1FEA3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Vicky</w:t>
            </w:r>
          </w:p>
        </w:tc>
        <w:tc>
          <w:tcPr>
            <w:tcW w:w="1500" w:type="dxa"/>
          </w:tcPr>
          <w:p w14:paraId="4668950C"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168Er</w:t>
            </w:r>
          </w:p>
        </w:tc>
        <w:tc>
          <w:tcPr>
            <w:tcW w:w="4635" w:type="dxa"/>
          </w:tcPr>
          <w:p w14:paraId="352AC42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Plasma cells</w:t>
            </w:r>
          </w:p>
        </w:tc>
      </w:tr>
      <w:tr w:rsidR="00292018" w:rsidRPr="00A97A20" w14:paraId="0A0625F9" w14:textId="77777777" w:rsidTr="001B2186">
        <w:trPr>
          <w:trHeight w:val="300"/>
        </w:trPr>
        <w:tc>
          <w:tcPr>
            <w:tcW w:w="1560" w:type="dxa"/>
          </w:tcPr>
          <w:p w14:paraId="1E41A567"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CD25</w:t>
            </w:r>
          </w:p>
        </w:tc>
        <w:tc>
          <w:tcPr>
            <w:tcW w:w="1335" w:type="dxa"/>
          </w:tcPr>
          <w:p w14:paraId="57731F48"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M-A251</w:t>
            </w:r>
          </w:p>
        </w:tc>
        <w:tc>
          <w:tcPr>
            <w:tcW w:w="1500" w:type="dxa"/>
          </w:tcPr>
          <w:p w14:paraId="7683F63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169Tm</w:t>
            </w:r>
          </w:p>
        </w:tc>
        <w:tc>
          <w:tcPr>
            <w:tcW w:w="4635" w:type="dxa"/>
          </w:tcPr>
          <w:p w14:paraId="3F891C0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Activated and regulatory T lymphocytes</w:t>
            </w:r>
          </w:p>
        </w:tc>
      </w:tr>
      <w:tr w:rsidR="00292018" w:rsidRPr="00A97A20" w14:paraId="6B64F35C" w14:textId="77777777" w:rsidTr="001B2186">
        <w:trPr>
          <w:trHeight w:val="300"/>
        </w:trPr>
        <w:tc>
          <w:tcPr>
            <w:tcW w:w="1560" w:type="dxa"/>
          </w:tcPr>
          <w:p w14:paraId="28EB6F9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CD279 (PD-1)</w:t>
            </w:r>
          </w:p>
        </w:tc>
        <w:tc>
          <w:tcPr>
            <w:tcW w:w="1335" w:type="dxa"/>
          </w:tcPr>
          <w:p w14:paraId="6B25AFAD"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EH12-1</w:t>
            </w:r>
          </w:p>
        </w:tc>
        <w:tc>
          <w:tcPr>
            <w:tcW w:w="1500" w:type="dxa"/>
          </w:tcPr>
          <w:p w14:paraId="1FD1714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170Er</w:t>
            </w:r>
          </w:p>
        </w:tc>
        <w:tc>
          <w:tcPr>
            <w:tcW w:w="4635" w:type="dxa"/>
          </w:tcPr>
          <w:p w14:paraId="40F3FE0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T-cell co-inhibitory receptor/exhaustion</w:t>
            </w:r>
            <w:r w:rsidRPr="00A97A20">
              <w:rPr>
                <w:rFonts w:asciiTheme="majorHAnsi" w:eastAsia="Times New Roman" w:hAnsiTheme="majorHAnsi" w:cstheme="majorHAnsi"/>
                <w:sz w:val="16"/>
                <w:szCs w:val="16"/>
                <w:u w:val="single"/>
                <w:lang w:val="en-US"/>
              </w:rPr>
              <w:t xml:space="preserve"> </w:t>
            </w:r>
          </w:p>
        </w:tc>
      </w:tr>
      <w:tr w:rsidR="00292018" w:rsidRPr="00A97A20" w14:paraId="6E897021" w14:textId="77777777" w:rsidTr="001B2186">
        <w:trPr>
          <w:trHeight w:val="300"/>
        </w:trPr>
        <w:tc>
          <w:tcPr>
            <w:tcW w:w="1560" w:type="dxa"/>
          </w:tcPr>
          <w:p w14:paraId="1AD8FFB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CD14</w:t>
            </w:r>
          </w:p>
        </w:tc>
        <w:tc>
          <w:tcPr>
            <w:tcW w:w="1335" w:type="dxa"/>
          </w:tcPr>
          <w:p w14:paraId="11D5F91A"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HCD14</w:t>
            </w:r>
          </w:p>
        </w:tc>
        <w:tc>
          <w:tcPr>
            <w:tcW w:w="1500" w:type="dxa"/>
          </w:tcPr>
          <w:p w14:paraId="58C21F1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171Yb</w:t>
            </w:r>
          </w:p>
        </w:tc>
        <w:tc>
          <w:tcPr>
            <w:tcW w:w="4635" w:type="dxa"/>
          </w:tcPr>
          <w:p w14:paraId="2A2F2AC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Monocytes, macrophages</w:t>
            </w:r>
          </w:p>
        </w:tc>
      </w:tr>
      <w:tr w:rsidR="00292018" w:rsidRPr="00A97A20" w14:paraId="6E79255B" w14:textId="77777777" w:rsidTr="001B2186">
        <w:trPr>
          <w:trHeight w:val="300"/>
        </w:trPr>
        <w:tc>
          <w:tcPr>
            <w:tcW w:w="1560" w:type="dxa"/>
          </w:tcPr>
          <w:p w14:paraId="299F9FA5"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CD38</w:t>
            </w:r>
          </w:p>
        </w:tc>
        <w:tc>
          <w:tcPr>
            <w:tcW w:w="1335" w:type="dxa"/>
          </w:tcPr>
          <w:p w14:paraId="6BBC47F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HuMax</w:t>
            </w:r>
          </w:p>
        </w:tc>
        <w:tc>
          <w:tcPr>
            <w:tcW w:w="1500" w:type="dxa"/>
          </w:tcPr>
          <w:p w14:paraId="3120E1F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172Yb</w:t>
            </w:r>
          </w:p>
        </w:tc>
        <w:tc>
          <w:tcPr>
            <w:tcW w:w="4635" w:type="dxa"/>
          </w:tcPr>
          <w:p w14:paraId="5588718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Daratumumab target, activation, plasma cells</w:t>
            </w:r>
          </w:p>
        </w:tc>
      </w:tr>
      <w:tr w:rsidR="00292018" w:rsidRPr="00A97A20" w14:paraId="27B0AC84" w14:textId="77777777" w:rsidTr="001B2186">
        <w:trPr>
          <w:trHeight w:val="300"/>
        </w:trPr>
        <w:tc>
          <w:tcPr>
            <w:tcW w:w="1560" w:type="dxa"/>
          </w:tcPr>
          <w:p w14:paraId="389B0CE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CD223 (LAG3)</w:t>
            </w:r>
          </w:p>
        </w:tc>
        <w:tc>
          <w:tcPr>
            <w:tcW w:w="1335" w:type="dxa"/>
          </w:tcPr>
          <w:p w14:paraId="2F4B6CC3"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17B4</w:t>
            </w:r>
          </w:p>
        </w:tc>
        <w:tc>
          <w:tcPr>
            <w:tcW w:w="1500" w:type="dxa"/>
          </w:tcPr>
          <w:p w14:paraId="7B98431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173Yb</w:t>
            </w:r>
          </w:p>
        </w:tc>
        <w:tc>
          <w:tcPr>
            <w:tcW w:w="4635" w:type="dxa"/>
          </w:tcPr>
          <w:p w14:paraId="1B51AEE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T cell co-inhibitory receptor</w:t>
            </w:r>
          </w:p>
        </w:tc>
      </w:tr>
      <w:tr w:rsidR="00292018" w:rsidRPr="00A97A20" w14:paraId="089EE395" w14:textId="77777777" w:rsidTr="001B2186">
        <w:trPr>
          <w:trHeight w:val="360"/>
        </w:trPr>
        <w:tc>
          <w:tcPr>
            <w:tcW w:w="1560" w:type="dxa"/>
          </w:tcPr>
          <w:p w14:paraId="3FD7057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HLA-DR</w:t>
            </w:r>
          </w:p>
        </w:tc>
        <w:tc>
          <w:tcPr>
            <w:tcW w:w="1335" w:type="dxa"/>
          </w:tcPr>
          <w:p w14:paraId="36F89073"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646-6</w:t>
            </w:r>
          </w:p>
        </w:tc>
        <w:tc>
          <w:tcPr>
            <w:tcW w:w="1500" w:type="dxa"/>
          </w:tcPr>
          <w:p w14:paraId="78CA61C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174Yb</w:t>
            </w:r>
          </w:p>
        </w:tc>
        <w:tc>
          <w:tcPr>
            <w:tcW w:w="4635" w:type="dxa"/>
          </w:tcPr>
          <w:p w14:paraId="071696A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Dendritic cells, monocytes, B lymphocytes, T cell activation</w:t>
            </w:r>
          </w:p>
        </w:tc>
      </w:tr>
      <w:tr w:rsidR="00292018" w:rsidRPr="00A97A20" w14:paraId="292D1532" w14:textId="77777777" w:rsidTr="001B2186">
        <w:trPr>
          <w:trHeight w:val="300"/>
        </w:trPr>
        <w:tc>
          <w:tcPr>
            <w:tcW w:w="1560" w:type="dxa"/>
          </w:tcPr>
          <w:p w14:paraId="528D8D37"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CD274 (PD-L1)</w:t>
            </w:r>
          </w:p>
        </w:tc>
        <w:tc>
          <w:tcPr>
            <w:tcW w:w="1335" w:type="dxa"/>
          </w:tcPr>
          <w:p w14:paraId="1B6F58C4"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29E.2A3</w:t>
            </w:r>
          </w:p>
        </w:tc>
        <w:tc>
          <w:tcPr>
            <w:tcW w:w="1500" w:type="dxa"/>
          </w:tcPr>
          <w:p w14:paraId="19AD0C4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175Lu</w:t>
            </w:r>
          </w:p>
        </w:tc>
        <w:tc>
          <w:tcPr>
            <w:tcW w:w="4635" w:type="dxa"/>
          </w:tcPr>
          <w:p w14:paraId="1EBBE42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Activation PD-1</w:t>
            </w:r>
          </w:p>
        </w:tc>
      </w:tr>
      <w:tr w:rsidR="00292018" w:rsidRPr="00A97A20" w14:paraId="38B6EF11" w14:textId="77777777" w:rsidTr="001B2186">
        <w:trPr>
          <w:trHeight w:val="300"/>
        </w:trPr>
        <w:tc>
          <w:tcPr>
            <w:tcW w:w="1560" w:type="dxa"/>
          </w:tcPr>
          <w:p w14:paraId="4192F542" w14:textId="77777777" w:rsidR="00292018" w:rsidRPr="00A97A20" w:rsidRDefault="00292018" w:rsidP="001B2186">
            <w:pPr>
              <w:spacing w:line="360" w:lineRule="auto"/>
              <w:rPr>
                <w:rFonts w:asciiTheme="majorHAnsi" w:eastAsia="Times New Roman" w:hAnsiTheme="majorHAnsi" w:cstheme="majorHAnsi"/>
                <w:sz w:val="16"/>
                <w:szCs w:val="16"/>
                <w:vertAlign w:val="superscript"/>
              </w:rPr>
            </w:pPr>
            <w:r w:rsidRPr="00A97A20">
              <w:rPr>
                <w:rFonts w:asciiTheme="majorHAnsi" w:eastAsia="Times New Roman" w:hAnsiTheme="majorHAnsi" w:cstheme="majorHAnsi"/>
                <w:sz w:val="16"/>
                <w:szCs w:val="16"/>
              </w:rPr>
              <w:t>CD56</w:t>
            </w:r>
          </w:p>
        </w:tc>
        <w:tc>
          <w:tcPr>
            <w:tcW w:w="1335" w:type="dxa"/>
          </w:tcPr>
          <w:p w14:paraId="3DD7B380"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R19-760</w:t>
            </w:r>
          </w:p>
        </w:tc>
        <w:tc>
          <w:tcPr>
            <w:tcW w:w="1500" w:type="dxa"/>
          </w:tcPr>
          <w:p w14:paraId="170E1D2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176Yb</w:t>
            </w:r>
          </w:p>
        </w:tc>
        <w:tc>
          <w:tcPr>
            <w:tcW w:w="4635" w:type="dxa"/>
          </w:tcPr>
          <w:p w14:paraId="1380367C"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NK and NKT cells</w:t>
            </w:r>
          </w:p>
        </w:tc>
      </w:tr>
      <w:tr w:rsidR="00292018" w:rsidRPr="00A97A20" w14:paraId="22979265" w14:textId="77777777" w:rsidTr="001B2186">
        <w:trPr>
          <w:trHeight w:val="300"/>
        </w:trPr>
        <w:tc>
          <w:tcPr>
            <w:tcW w:w="1560" w:type="dxa"/>
          </w:tcPr>
          <w:p w14:paraId="5CFE259B"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DNA Intercalator</w:t>
            </w:r>
          </w:p>
        </w:tc>
        <w:tc>
          <w:tcPr>
            <w:tcW w:w="1335" w:type="dxa"/>
          </w:tcPr>
          <w:p w14:paraId="1CF5A19F"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p>
        </w:tc>
        <w:tc>
          <w:tcPr>
            <w:tcW w:w="1500" w:type="dxa"/>
          </w:tcPr>
          <w:p w14:paraId="16462356"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191Ir, 193 Ir</w:t>
            </w:r>
          </w:p>
        </w:tc>
        <w:tc>
          <w:tcPr>
            <w:tcW w:w="4635" w:type="dxa"/>
          </w:tcPr>
          <w:p w14:paraId="1BC6542A"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Nucleated cells</w:t>
            </w:r>
          </w:p>
        </w:tc>
      </w:tr>
      <w:tr w:rsidR="00292018" w:rsidRPr="00A97A20" w14:paraId="5AE6AC7F" w14:textId="77777777" w:rsidTr="001B2186">
        <w:trPr>
          <w:trHeight w:val="300"/>
        </w:trPr>
        <w:tc>
          <w:tcPr>
            <w:tcW w:w="1560" w:type="dxa"/>
            <w:tcBorders>
              <w:bottom w:val="single" w:sz="4" w:space="0" w:color="auto"/>
            </w:tcBorders>
          </w:tcPr>
          <w:p w14:paraId="2BD7FCF1"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CD16</w:t>
            </w:r>
          </w:p>
        </w:tc>
        <w:tc>
          <w:tcPr>
            <w:tcW w:w="1335" w:type="dxa"/>
            <w:tcBorders>
              <w:bottom w:val="single" w:sz="4" w:space="0" w:color="auto"/>
            </w:tcBorders>
          </w:tcPr>
          <w:p w14:paraId="180F71A2"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3G8</w:t>
            </w:r>
          </w:p>
        </w:tc>
        <w:tc>
          <w:tcPr>
            <w:tcW w:w="1500" w:type="dxa"/>
            <w:tcBorders>
              <w:bottom w:val="single" w:sz="4" w:space="0" w:color="auto"/>
            </w:tcBorders>
          </w:tcPr>
          <w:p w14:paraId="238723A7"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rPr>
            </w:pPr>
            <w:r w:rsidRPr="00A97A20">
              <w:rPr>
                <w:rFonts w:asciiTheme="majorHAnsi" w:eastAsia="Times New Roman" w:hAnsiTheme="majorHAnsi" w:cstheme="majorHAnsi"/>
                <w:sz w:val="16"/>
                <w:szCs w:val="16"/>
              </w:rPr>
              <w:t>209Bi</w:t>
            </w:r>
          </w:p>
        </w:tc>
        <w:tc>
          <w:tcPr>
            <w:tcW w:w="4635" w:type="dxa"/>
            <w:tcBorders>
              <w:bottom w:val="single" w:sz="4" w:space="0" w:color="auto"/>
            </w:tcBorders>
          </w:tcPr>
          <w:p w14:paraId="126F824E" w14:textId="77777777" w:rsidR="00292018" w:rsidRPr="00A97A20" w:rsidRDefault="00292018" w:rsidP="001B2186">
            <w:pPr>
              <w:spacing w:line="360" w:lineRule="auto"/>
              <w:rPr>
                <w:rFonts w:asciiTheme="majorHAnsi" w:eastAsia="Times New Roman" w:hAnsiTheme="majorHAnsi" w:cstheme="majorHAnsi"/>
                <w:color w:val="000000" w:themeColor="text1"/>
                <w:sz w:val="16"/>
                <w:szCs w:val="16"/>
                <w:lang w:val="en-US"/>
              </w:rPr>
            </w:pPr>
            <w:r w:rsidRPr="00A97A20">
              <w:rPr>
                <w:rFonts w:asciiTheme="majorHAnsi" w:eastAsia="Times New Roman" w:hAnsiTheme="majorHAnsi" w:cstheme="majorHAnsi"/>
                <w:sz w:val="16"/>
                <w:szCs w:val="16"/>
                <w:lang w:val="en-US"/>
              </w:rPr>
              <w:t>Proinflammatory monocytes, NK subset, granulocytes</w:t>
            </w:r>
          </w:p>
        </w:tc>
      </w:tr>
    </w:tbl>
    <w:p w14:paraId="5E746CE3" w14:textId="04F5B5E6" w:rsidR="00292018" w:rsidRPr="00A97A20" w:rsidRDefault="00292018" w:rsidP="00292018">
      <w:pPr>
        <w:tabs>
          <w:tab w:val="center" w:pos="4680"/>
        </w:tabs>
        <w:rPr>
          <w:rFonts w:asciiTheme="majorHAnsi" w:eastAsia="Times New Roman" w:hAnsiTheme="majorHAnsi" w:cstheme="majorHAnsi"/>
          <w:sz w:val="20"/>
          <w:szCs w:val="20"/>
          <w:lang w:val="en-US"/>
        </w:rPr>
      </w:pPr>
      <w:r w:rsidRPr="00A97A20">
        <w:rPr>
          <w:rFonts w:asciiTheme="majorHAnsi" w:eastAsia="Times New Roman" w:hAnsiTheme="majorHAnsi" w:cstheme="majorHAnsi"/>
          <w:sz w:val="20"/>
          <w:szCs w:val="20"/>
          <w:lang w:val="en-US"/>
        </w:rPr>
        <w:t>BCMA, B-cell maturation antigen; CTLA4, cytotoxic T-lymphocyte–associated protein 4; GPRC5D, G-protein coupled receptor family C group 5 member D; LAG3: Lymphocyte Activation Gene-3; NK, natural killer; NKT, natural killer T cell; PD-1, programmed death-1; PD-L1, programmed death ligand-1; TIM-3, T-cell immunoglobulin mucin-3; VISTA, V-domain immunoglobulin suppressor of T-cell activation.</w:t>
      </w:r>
    </w:p>
    <w:p w14:paraId="614FEA15" w14:textId="3C910DBF" w:rsidR="00B80918" w:rsidRPr="00A97A20" w:rsidRDefault="00B80918">
      <w:pPr>
        <w:rPr>
          <w:rFonts w:asciiTheme="majorHAnsi" w:eastAsia="Times New Roman" w:hAnsiTheme="majorHAnsi" w:cstheme="majorHAnsi"/>
          <w:sz w:val="20"/>
          <w:szCs w:val="20"/>
          <w:lang w:val="en-US"/>
        </w:rPr>
      </w:pPr>
      <w:r w:rsidRPr="00A97A20">
        <w:rPr>
          <w:rFonts w:asciiTheme="majorHAnsi" w:eastAsia="Times New Roman" w:hAnsiTheme="majorHAnsi" w:cstheme="majorHAnsi"/>
          <w:sz w:val="20"/>
          <w:szCs w:val="20"/>
          <w:lang w:val="en-US"/>
        </w:rPr>
        <w:br w:type="page"/>
      </w:r>
      <w:r w:rsidRPr="00A97A20">
        <w:rPr>
          <w:rFonts w:asciiTheme="majorHAnsi" w:eastAsia="Times New Roman" w:hAnsiTheme="majorHAnsi" w:cstheme="majorHAnsi"/>
          <w:noProof/>
          <w:sz w:val="20"/>
          <w:szCs w:val="20"/>
          <w:lang w:eastAsia="nl-NL"/>
        </w:rPr>
        <w:lastRenderedPageBreak/>
        <w:drawing>
          <wp:inline distT="0" distB="0" distL="0" distR="0" wp14:anchorId="23C91F0C" wp14:editId="464FD16D">
            <wp:extent cx="5756910" cy="355663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 and B in BM HDvsM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556635"/>
                    </a:xfrm>
                    <a:prstGeom prst="rect">
                      <a:avLst/>
                    </a:prstGeom>
                  </pic:spPr>
                </pic:pic>
              </a:graphicData>
            </a:graphic>
          </wp:inline>
        </w:drawing>
      </w:r>
    </w:p>
    <w:p w14:paraId="727A68AD" w14:textId="48CDB5CB" w:rsidR="000E01FC" w:rsidRPr="00A97A20" w:rsidRDefault="00B80918" w:rsidP="000E01FC">
      <w:pPr>
        <w:spacing w:line="360" w:lineRule="auto"/>
        <w:rPr>
          <w:b/>
          <w:lang w:val="en-US"/>
        </w:rPr>
      </w:pPr>
      <w:r w:rsidRPr="00A97A20">
        <w:rPr>
          <w:b/>
          <w:lang w:val="en-US"/>
        </w:rPr>
        <w:t xml:space="preserve">Supplemental Figure 1. </w:t>
      </w:r>
      <w:r w:rsidR="000E01FC" w:rsidRPr="00A97A20">
        <w:rPr>
          <w:b/>
          <w:lang w:val="en-US"/>
        </w:rPr>
        <w:t xml:space="preserve">Low proportion of B cells in the BM-microenvironment of </w:t>
      </w:r>
      <w:r w:rsidR="002A2E04" w:rsidRPr="00A97A20">
        <w:rPr>
          <w:b/>
          <w:lang w:val="en-US"/>
        </w:rPr>
        <w:t xml:space="preserve">MM patients, compared to healthy controls. </w:t>
      </w:r>
    </w:p>
    <w:p w14:paraId="31AFFB79" w14:textId="01EB4882" w:rsidR="000E01FC" w:rsidRPr="00A97A20" w:rsidRDefault="000E01FC" w:rsidP="000E01FC">
      <w:pPr>
        <w:spacing w:line="360" w:lineRule="auto"/>
        <w:rPr>
          <w:rFonts w:cstheme="minorHAnsi"/>
          <w:lang w:val="en-US"/>
        </w:rPr>
      </w:pPr>
      <w:r w:rsidRPr="00A97A20">
        <w:rPr>
          <w:rFonts w:cstheme="minorHAnsi"/>
          <w:lang w:val="en-US"/>
        </w:rPr>
        <w:t>Frequencies of T-cells and B cells</w:t>
      </w:r>
      <w:r w:rsidR="004A0F5D" w:rsidRPr="00A97A20">
        <w:rPr>
          <w:rFonts w:cstheme="minorHAnsi"/>
          <w:lang w:val="en-US"/>
        </w:rPr>
        <w:t xml:space="preserve">, relative to </w:t>
      </w:r>
      <w:r w:rsidR="00894479" w:rsidRPr="00A97A20">
        <w:rPr>
          <w:rFonts w:cstheme="minorHAnsi"/>
          <w:lang w:val="en-US"/>
        </w:rPr>
        <w:t xml:space="preserve">total number of </w:t>
      </w:r>
      <w:r w:rsidR="004A0F5D" w:rsidRPr="00A97A20">
        <w:rPr>
          <w:rFonts w:cstheme="minorHAnsi"/>
          <w:lang w:val="en-US"/>
        </w:rPr>
        <w:t>live cells,</w:t>
      </w:r>
      <w:r w:rsidRPr="00A97A20">
        <w:rPr>
          <w:rFonts w:cstheme="minorHAnsi"/>
          <w:lang w:val="en-US"/>
        </w:rPr>
        <w:t xml:space="preserve"> were assessed by flow cytometry in BM samples obtained from relapsed/refractory MM patients (n=51) and from healthy donors of comparable age (HD; n=10). Data are depicted as violin plots, indicating the distribution, including median and interquartile range. Groups were compared using Mann-Whitney test.</w:t>
      </w:r>
    </w:p>
    <w:p w14:paraId="474F27B9" w14:textId="0BBCF1B0" w:rsidR="00D9584D" w:rsidRPr="00A97A20" w:rsidRDefault="000E01FC" w:rsidP="000E01FC">
      <w:pPr>
        <w:spacing w:line="360" w:lineRule="auto"/>
        <w:rPr>
          <w:rFonts w:cstheme="minorHAnsi"/>
          <w:lang w:val="en-US"/>
        </w:rPr>
      </w:pPr>
      <w:r w:rsidRPr="00A97A20">
        <w:rPr>
          <w:rFonts w:cstheme="minorHAnsi"/>
          <w:lang w:val="en-US"/>
        </w:rPr>
        <w:t>Abbreviations: ns, not significant; *</w:t>
      </w:r>
      <w:r w:rsidRPr="00A97A20">
        <w:rPr>
          <w:rFonts w:cstheme="minorHAnsi"/>
          <w:i/>
          <w:lang w:val="en-US"/>
        </w:rPr>
        <w:t>P</w:t>
      </w:r>
      <w:r w:rsidRPr="00A97A20">
        <w:rPr>
          <w:rFonts w:cstheme="minorHAnsi"/>
          <w:lang w:val="en-US"/>
        </w:rPr>
        <w:t>&lt;0.05.</w:t>
      </w:r>
    </w:p>
    <w:p w14:paraId="6A909FBD" w14:textId="77777777" w:rsidR="00D9584D" w:rsidRPr="00A97A20" w:rsidRDefault="00D9584D">
      <w:pPr>
        <w:rPr>
          <w:rFonts w:cstheme="minorHAnsi"/>
          <w:lang w:val="en-US"/>
        </w:rPr>
      </w:pPr>
      <w:r w:rsidRPr="00A97A20">
        <w:rPr>
          <w:rFonts w:cstheme="minorHAnsi"/>
          <w:lang w:val="en-US"/>
        </w:rPr>
        <w:br w:type="page"/>
      </w:r>
    </w:p>
    <w:p w14:paraId="16566713" w14:textId="63211860" w:rsidR="00E2305C" w:rsidRPr="00A97A20" w:rsidRDefault="00D9584D" w:rsidP="00D9584D">
      <w:pPr>
        <w:spacing w:line="360" w:lineRule="auto"/>
        <w:jc w:val="both"/>
        <w:rPr>
          <w:rFonts w:ascii="Calibri" w:eastAsia="Calibri" w:hAnsi="Calibri" w:cs="Times New Roman"/>
          <w:sz w:val="22"/>
          <w:szCs w:val="22"/>
        </w:rPr>
      </w:pPr>
      <w:r w:rsidRPr="00A97A20">
        <w:rPr>
          <w:rFonts w:ascii="Calibri" w:eastAsia="Calibri" w:hAnsi="Calibri" w:cs="Times New Roman"/>
          <w:sz w:val="22"/>
          <w:szCs w:val="22"/>
        </w:rPr>
        <w:object w:dxaOrig="3449" w:dyaOrig="5062" w14:anchorId="5E15A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pt;height:366pt" o:ole="">
            <v:imagedata r:id="rId9" o:title=""/>
          </v:shape>
          <o:OLEObject Type="Embed" ProgID="Prism9.Document" ShapeID="_x0000_i1025" DrawAspect="Content" ObjectID="_1740332156" r:id="rId10"/>
        </w:object>
      </w:r>
    </w:p>
    <w:p w14:paraId="016FB803" w14:textId="4C6F5714" w:rsidR="00D9584D" w:rsidRPr="00A97A20" w:rsidRDefault="00D9584D" w:rsidP="00D9584D">
      <w:pPr>
        <w:spacing w:line="360" w:lineRule="auto"/>
        <w:rPr>
          <w:b/>
          <w:lang w:val="en-US"/>
        </w:rPr>
      </w:pPr>
      <w:r w:rsidRPr="00A97A20">
        <w:rPr>
          <w:rFonts w:ascii="Calibri" w:eastAsia="Calibri" w:hAnsi="Calibri" w:cs="Times New Roman"/>
          <w:b/>
          <w:lang w:val="en-US"/>
        </w:rPr>
        <w:t>Supplemental Figure 2.</w:t>
      </w:r>
      <w:r w:rsidRPr="00A97A20">
        <w:rPr>
          <w:rFonts w:ascii="Calibri" w:eastAsia="Calibri" w:hAnsi="Calibri" w:cs="Times New Roman"/>
          <w:sz w:val="22"/>
          <w:szCs w:val="22"/>
          <w:lang w:val="en-US"/>
        </w:rPr>
        <w:t xml:space="preserve"> </w:t>
      </w:r>
      <w:r w:rsidRPr="00A97A20">
        <w:rPr>
          <w:b/>
          <w:lang w:val="en-US"/>
        </w:rPr>
        <w:t>BM-resident CD16</w:t>
      </w:r>
      <w:r w:rsidRPr="00A97A20">
        <w:rPr>
          <w:b/>
          <w:vertAlign w:val="superscript"/>
          <w:lang w:val="en-US"/>
        </w:rPr>
        <w:t>+</w:t>
      </w:r>
      <w:r w:rsidRPr="00A97A20">
        <w:rPr>
          <w:b/>
          <w:lang w:val="en-US"/>
        </w:rPr>
        <w:t xml:space="preserve"> NK cells have higher CD38 expression, compared to CD16</w:t>
      </w:r>
      <w:r w:rsidRPr="00A97A20">
        <w:rPr>
          <w:b/>
          <w:vertAlign w:val="superscript"/>
          <w:lang w:val="en-US"/>
        </w:rPr>
        <w:t>neg</w:t>
      </w:r>
      <w:r w:rsidRPr="00A97A20">
        <w:rPr>
          <w:b/>
          <w:lang w:val="en-US"/>
        </w:rPr>
        <w:t xml:space="preserve"> NK cells.  </w:t>
      </w:r>
    </w:p>
    <w:p w14:paraId="35F30695" w14:textId="44FDE210" w:rsidR="00D9584D" w:rsidRPr="00A97A20" w:rsidRDefault="00D9584D" w:rsidP="00395E65">
      <w:pPr>
        <w:spacing w:line="360" w:lineRule="auto"/>
        <w:rPr>
          <w:lang w:val="en-US"/>
        </w:rPr>
      </w:pPr>
      <w:r w:rsidRPr="00A97A20">
        <w:rPr>
          <w:lang w:val="en-US"/>
        </w:rPr>
        <w:t>Median fluorescence intensity (MFI) expression of CD38 on CD16</w:t>
      </w:r>
      <w:r w:rsidRPr="00A97A20">
        <w:rPr>
          <w:vertAlign w:val="superscript"/>
          <w:lang w:val="en-US"/>
        </w:rPr>
        <w:t>+</w:t>
      </w:r>
      <w:r w:rsidRPr="00A97A20">
        <w:rPr>
          <w:lang w:val="en-US"/>
        </w:rPr>
        <w:t xml:space="preserve"> and CD16</w:t>
      </w:r>
      <w:r w:rsidRPr="00A97A20">
        <w:rPr>
          <w:vertAlign w:val="superscript"/>
          <w:lang w:val="en-US"/>
        </w:rPr>
        <w:t xml:space="preserve">neg </w:t>
      </w:r>
      <w:r w:rsidRPr="00A97A20">
        <w:rPr>
          <w:lang w:val="en-US"/>
        </w:rPr>
        <w:t>NK cell subsets in BM samples at baseline (n=51), measured using flow cytometry. Data are depicted as violin plots, indicating the distribution, including median and interquartile range.</w:t>
      </w:r>
      <w:r w:rsidR="00395E65" w:rsidRPr="00A97A20">
        <w:rPr>
          <w:lang w:val="en-US"/>
        </w:rPr>
        <w:t xml:space="preserve"> </w:t>
      </w:r>
      <w:r w:rsidR="00395E65" w:rsidRPr="00A97A20">
        <w:rPr>
          <w:rFonts w:cstheme="minorHAnsi"/>
          <w:lang w:val="en-US"/>
        </w:rPr>
        <w:t>Groups were compared using Wilcoxon Matched-pairs signed rank test.</w:t>
      </w:r>
    </w:p>
    <w:p w14:paraId="07B0F697" w14:textId="1871FE1D" w:rsidR="00D9584D" w:rsidRPr="00A97A20" w:rsidRDefault="00D9584D" w:rsidP="00D9584D">
      <w:pPr>
        <w:spacing w:line="360" w:lineRule="auto"/>
        <w:jc w:val="both"/>
        <w:rPr>
          <w:rFonts w:cstheme="minorHAnsi"/>
          <w:lang w:val="en-US"/>
        </w:rPr>
      </w:pPr>
      <w:r w:rsidRPr="00A97A20">
        <w:rPr>
          <w:rFonts w:cstheme="minorHAnsi"/>
          <w:lang w:val="en-US"/>
        </w:rPr>
        <w:t xml:space="preserve">****, </w:t>
      </w:r>
      <w:r w:rsidRPr="00A97A20">
        <w:rPr>
          <w:rFonts w:cstheme="minorHAnsi"/>
          <w:i/>
          <w:lang w:val="en-US"/>
        </w:rPr>
        <w:t>P</w:t>
      </w:r>
      <w:r w:rsidRPr="00A97A20">
        <w:rPr>
          <w:rFonts w:cstheme="minorHAnsi"/>
          <w:lang w:val="en-US"/>
        </w:rPr>
        <w:t>&lt;0.0001.</w:t>
      </w:r>
    </w:p>
    <w:p w14:paraId="7635AEE2" w14:textId="77777777" w:rsidR="00E2305C" w:rsidRPr="00A97A20" w:rsidRDefault="00E2305C">
      <w:pPr>
        <w:rPr>
          <w:rFonts w:cstheme="minorHAnsi"/>
          <w:lang w:val="en-US"/>
        </w:rPr>
      </w:pPr>
      <w:r w:rsidRPr="00A97A20">
        <w:rPr>
          <w:rFonts w:cstheme="minorHAnsi"/>
          <w:lang w:val="en-US"/>
        </w:rPr>
        <w:br w:type="page"/>
      </w:r>
    </w:p>
    <w:p w14:paraId="38EA19B0" w14:textId="74AB2A40" w:rsidR="00113A2B" w:rsidRPr="00A97A20" w:rsidRDefault="00E2305C" w:rsidP="00E2305C">
      <w:pPr>
        <w:pStyle w:val="Tekstzonderopmaak"/>
        <w:spacing w:line="360" w:lineRule="auto"/>
        <w:rPr>
          <w:b/>
          <w:sz w:val="24"/>
          <w:szCs w:val="24"/>
          <w:lang w:val="en-US"/>
        </w:rPr>
      </w:pPr>
      <w:r w:rsidRPr="00A97A20">
        <w:rPr>
          <w:rFonts w:cstheme="minorHAnsi"/>
          <w:noProof/>
          <w:lang w:eastAsia="nl-NL"/>
        </w:rPr>
        <w:lastRenderedPageBreak/>
        <w:drawing>
          <wp:inline distT="0" distB="0" distL="0" distR="0" wp14:anchorId="29E2BB30" wp14:editId="4B15093A">
            <wp:extent cx="5756910" cy="512889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buttal figure NK cells and prior Rx.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5128895"/>
                    </a:xfrm>
                    <a:prstGeom prst="rect">
                      <a:avLst/>
                    </a:prstGeom>
                  </pic:spPr>
                </pic:pic>
              </a:graphicData>
            </a:graphic>
          </wp:inline>
        </w:drawing>
      </w:r>
      <w:r w:rsidRPr="00A97A20">
        <w:rPr>
          <w:b/>
          <w:lang w:val="en-US"/>
        </w:rPr>
        <w:t xml:space="preserve"> </w:t>
      </w:r>
      <w:r w:rsidR="006879FA" w:rsidRPr="00A97A20">
        <w:rPr>
          <w:b/>
          <w:sz w:val="24"/>
          <w:szCs w:val="24"/>
          <w:lang w:val="en-US"/>
        </w:rPr>
        <w:t>Supplemental Figure</w:t>
      </w:r>
      <w:r w:rsidR="00F41E8C" w:rsidRPr="00A97A20">
        <w:rPr>
          <w:b/>
          <w:sz w:val="24"/>
          <w:szCs w:val="24"/>
          <w:lang w:val="en-US"/>
        </w:rPr>
        <w:t xml:space="preserve"> 3</w:t>
      </w:r>
      <w:r w:rsidRPr="00A97A20">
        <w:rPr>
          <w:b/>
          <w:sz w:val="24"/>
          <w:szCs w:val="24"/>
          <w:lang w:val="en-US"/>
        </w:rPr>
        <w:t xml:space="preserve">. Impact of prior therapy on NK cell frequency and phenotype. </w:t>
      </w:r>
    </w:p>
    <w:p w14:paraId="6D2D5BDD" w14:textId="55DB5E79" w:rsidR="00E2305C" w:rsidRPr="00A97A20" w:rsidRDefault="00E2305C" w:rsidP="00E2305C">
      <w:pPr>
        <w:pStyle w:val="Tekstzonderopmaak"/>
        <w:spacing w:line="360" w:lineRule="auto"/>
        <w:rPr>
          <w:lang w:val="en-US"/>
        </w:rPr>
      </w:pPr>
      <w:r w:rsidRPr="00A97A20">
        <w:rPr>
          <w:sz w:val="24"/>
          <w:szCs w:val="24"/>
          <w:lang w:val="en-US"/>
        </w:rPr>
        <w:t xml:space="preserve">Flow cytometry was used to evaluate the frequency and phenotype of NK cells at baseline in bone marrow samples obtained from patients, who were treated </w:t>
      </w:r>
      <w:r w:rsidR="007A71CD" w:rsidRPr="00A97A20">
        <w:rPr>
          <w:sz w:val="24"/>
          <w:szCs w:val="24"/>
          <w:lang w:val="en-US"/>
        </w:rPr>
        <w:t>with an IMiD-based regimen (n=38</w:t>
      </w:r>
      <w:r w:rsidRPr="00A97A20">
        <w:rPr>
          <w:sz w:val="24"/>
          <w:szCs w:val="24"/>
          <w:lang w:val="en-US"/>
        </w:rPr>
        <w:t>), a PI-b</w:t>
      </w:r>
      <w:r w:rsidR="007A71CD" w:rsidRPr="00A97A20">
        <w:rPr>
          <w:sz w:val="24"/>
          <w:szCs w:val="24"/>
          <w:lang w:val="en-US"/>
        </w:rPr>
        <w:t>ased regimen (n=6</w:t>
      </w:r>
      <w:r w:rsidRPr="00A97A20">
        <w:rPr>
          <w:sz w:val="24"/>
          <w:szCs w:val="24"/>
          <w:lang w:val="en-US"/>
        </w:rPr>
        <w:t>), or a combined</w:t>
      </w:r>
      <w:r w:rsidR="007A71CD" w:rsidRPr="00A97A20">
        <w:rPr>
          <w:sz w:val="24"/>
          <w:szCs w:val="24"/>
          <w:lang w:val="en-US"/>
        </w:rPr>
        <w:t xml:space="preserve"> IMiD- and PI-based regimen (n=6</w:t>
      </w:r>
      <w:r w:rsidRPr="00A97A20">
        <w:rPr>
          <w:sz w:val="24"/>
          <w:szCs w:val="24"/>
          <w:lang w:val="en-US"/>
        </w:rPr>
        <w:t>) prior to study enrollment. Data are depicted as violin plots, indicating the distribution, including median and interquartile range. Groups were compared using Kruskal-Wallis test with Dunn’s multiple comparison post-test. One patient was treated with another type of therapy prior to study enrollment (melphalan and prednisone); this patient was excluded from the analysis depicted in this figure.</w:t>
      </w:r>
    </w:p>
    <w:p w14:paraId="6D7EE0A3" w14:textId="12E5C670" w:rsidR="00B80918" w:rsidRPr="00A97A20" w:rsidRDefault="00B80918" w:rsidP="00E2305C">
      <w:pPr>
        <w:spacing w:line="360" w:lineRule="auto"/>
        <w:rPr>
          <w:rFonts w:cstheme="minorHAnsi"/>
          <w:lang w:val="en-US"/>
        </w:rPr>
      </w:pPr>
      <w:r w:rsidRPr="00A97A20">
        <w:rPr>
          <w:rFonts w:asciiTheme="majorHAnsi" w:eastAsia="Times New Roman" w:hAnsiTheme="majorHAnsi" w:cstheme="majorHAnsi"/>
          <w:sz w:val="20"/>
          <w:szCs w:val="20"/>
          <w:lang w:val="en-US"/>
        </w:rPr>
        <w:br w:type="page"/>
      </w:r>
    </w:p>
    <w:p w14:paraId="3C065048" w14:textId="77777777" w:rsidR="00B80918" w:rsidRPr="00A97A20" w:rsidRDefault="00B80918">
      <w:pPr>
        <w:rPr>
          <w:rFonts w:asciiTheme="majorHAnsi" w:eastAsia="Times New Roman" w:hAnsiTheme="majorHAnsi" w:cstheme="majorHAnsi"/>
          <w:sz w:val="20"/>
          <w:szCs w:val="20"/>
          <w:lang w:val="en-US"/>
        </w:rPr>
      </w:pPr>
    </w:p>
    <w:p w14:paraId="441A76BB" w14:textId="77777777" w:rsidR="00B80918" w:rsidRPr="00A97A20" w:rsidRDefault="00B80918" w:rsidP="00292018">
      <w:pPr>
        <w:tabs>
          <w:tab w:val="center" w:pos="4680"/>
        </w:tabs>
        <w:rPr>
          <w:rFonts w:asciiTheme="majorHAnsi" w:eastAsia="Times New Roman" w:hAnsiTheme="majorHAnsi" w:cstheme="majorHAnsi"/>
          <w:sz w:val="20"/>
          <w:szCs w:val="20"/>
          <w:lang w:val="en-US"/>
        </w:rPr>
      </w:pPr>
    </w:p>
    <w:p w14:paraId="31E7A2CB" w14:textId="2EAD733E" w:rsidR="002226EF" w:rsidRPr="00A97A20" w:rsidRDefault="002226EF" w:rsidP="002226EF">
      <w:pPr>
        <w:spacing w:line="360" w:lineRule="auto"/>
        <w:rPr>
          <w:noProof/>
          <w:lang w:val="en-US" w:eastAsia="nl-NL"/>
        </w:rPr>
      </w:pPr>
      <w:r w:rsidRPr="00A97A20">
        <w:rPr>
          <w:noProof/>
          <w:lang w:eastAsia="nl-NL"/>
        </w:rPr>
        <w:drawing>
          <wp:anchor distT="0" distB="0" distL="114300" distR="114300" simplePos="0" relativeHeight="251659264" behindDoc="0" locked="0" layoutInCell="1" allowOverlap="1" wp14:anchorId="72122748" wp14:editId="3D79FA61">
            <wp:simplePos x="0" y="0"/>
            <wp:positionH relativeFrom="column">
              <wp:posOffset>93662</wp:posOffset>
            </wp:positionH>
            <wp:positionV relativeFrom="paragraph">
              <wp:posOffset>0</wp:posOffset>
            </wp:positionV>
            <wp:extent cx="2954218" cy="4339003"/>
            <wp:effectExtent l="0" t="0" r="0" b="4445"/>
            <wp:wrapNone/>
            <wp:docPr id="10" name="Picture 2">
              <a:extLst xmlns:a="http://schemas.openxmlformats.org/drawingml/2006/main">
                <a:ext uri="{FF2B5EF4-FFF2-40B4-BE49-F238E27FC236}">
                  <a16:creationId xmlns:a16="http://schemas.microsoft.com/office/drawing/2014/main" id="{06710281-614F-60E9-D31A-ACAAB5ED8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6710281-614F-60E9-D31A-ACAAB5ED80FC}"/>
                        </a:ext>
                      </a:extLst>
                    </pic:cNvPr>
                    <pic:cNvPicPr>
                      <a:picLocks noChangeAspect="1"/>
                    </pic:cNvPicPr>
                  </pic:nvPicPr>
                  <pic:blipFill rotWithShape="1">
                    <a:blip r:embed="rId12"/>
                    <a:srcRect l="47596" t="18142" r="28173" b="18590"/>
                    <a:stretch/>
                  </pic:blipFill>
                  <pic:spPr>
                    <a:xfrm>
                      <a:off x="0" y="0"/>
                      <a:ext cx="2954218" cy="4339003"/>
                    </a:xfrm>
                    <a:prstGeom prst="rect">
                      <a:avLst/>
                    </a:prstGeom>
                  </pic:spPr>
                </pic:pic>
              </a:graphicData>
            </a:graphic>
          </wp:anchor>
        </w:drawing>
      </w:r>
      <w:r w:rsidRPr="00A97A20">
        <w:rPr>
          <w:noProof/>
          <w:lang w:eastAsia="nl-NL"/>
        </w:rPr>
        <mc:AlternateContent>
          <mc:Choice Requires="wps">
            <w:drawing>
              <wp:anchor distT="0" distB="0" distL="114300" distR="114300" simplePos="0" relativeHeight="251661312" behindDoc="0" locked="0" layoutInCell="1" allowOverlap="1" wp14:anchorId="1598B7C4" wp14:editId="3D22D91A">
                <wp:simplePos x="0" y="0"/>
                <wp:positionH relativeFrom="column">
                  <wp:posOffset>1536065</wp:posOffset>
                </wp:positionH>
                <wp:positionV relativeFrom="paragraph">
                  <wp:posOffset>4285932</wp:posOffset>
                </wp:positionV>
                <wp:extent cx="1143000" cy="369332"/>
                <wp:effectExtent l="0" t="0" r="0" b="0"/>
                <wp:wrapNone/>
                <wp:docPr id="5" name="TextBox 4">
                  <a:extLst xmlns:a="http://schemas.openxmlformats.org/drawingml/2006/main">
                    <a:ext uri="{FF2B5EF4-FFF2-40B4-BE49-F238E27FC236}">
                      <a16:creationId xmlns:a16="http://schemas.microsoft.com/office/drawing/2014/main" id="{3C27E9CA-62BF-0C9F-BFBC-8E61A59A9295}"/>
                    </a:ext>
                  </a:extLst>
                </wp:docPr>
                <wp:cNvGraphicFramePr/>
                <a:graphic xmlns:a="http://schemas.openxmlformats.org/drawingml/2006/main">
                  <a:graphicData uri="http://schemas.microsoft.com/office/word/2010/wordprocessingShape">
                    <wps:wsp>
                      <wps:cNvSpPr txBox="1"/>
                      <wps:spPr>
                        <a:xfrm rot="18635409">
                          <a:off x="0" y="0"/>
                          <a:ext cx="1143000" cy="369332"/>
                        </a:xfrm>
                        <a:prstGeom prst="rect">
                          <a:avLst/>
                        </a:prstGeom>
                        <a:noFill/>
                      </wps:spPr>
                      <wps:txbx>
                        <w:txbxContent>
                          <w:p w14:paraId="651B1CC7" w14:textId="77777777" w:rsidR="00F41E8C" w:rsidRDefault="00F41E8C" w:rsidP="002226EF">
                            <w:pPr>
                              <w:pStyle w:val="Normaalweb"/>
                              <w:spacing w:before="0" w:beforeAutospacing="0" w:after="0" w:afterAutospacing="0"/>
                            </w:pPr>
                            <w:r>
                              <w:rPr>
                                <w:rFonts w:ascii="Calibri" w:eastAsia="+mn-ea" w:hAnsi="Calibri" w:cs="+mn-cs"/>
                                <w:color w:val="000000"/>
                                <w:kern w:val="24"/>
                                <w:sz w:val="36"/>
                                <w:szCs w:val="36"/>
                                <w:lang w:val="en-GB"/>
                              </w:rPr>
                              <w:t>TIM-3</w:t>
                            </w:r>
                          </w:p>
                        </w:txbxContent>
                      </wps:txbx>
                      <wps:bodyPr wrap="square" rtlCol="0">
                        <a:spAutoFit/>
                      </wps:bodyPr>
                    </wps:wsp>
                  </a:graphicData>
                </a:graphic>
              </wp:anchor>
            </w:drawing>
          </mc:Choice>
          <mc:Fallback>
            <w:pict>
              <v:shapetype w14:anchorId="1598B7C4" id="_x0000_t202" coordsize="21600,21600" o:spt="202" path="m,l,21600r21600,l21600,xe">
                <v:stroke joinstyle="miter"/>
                <v:path gradientshapeok="t" o:connecttype="rect"/>
              </v:shapetype>
              <v:shape id="TextBox 4" o:spid="_x0000_s1026" type="#_x0000_t202" style="position:absolute;margin-left:120.95pt;margin-top:337.45pt;width:90pt;height:29.1pt;rotation:-3238124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" filled="f" stroked="f">
                <v:textbox style="mso-fit-shape-to-text:t">
                  <w:txbxContent>
                    <w:p w14:paraId="651B1CC7" w14:textId="77777777" w:rsidR="00F41E8C" w:rsidRDefault="00F41E8C" w:rsidP="002226EF">
                      <w:pPr>
                        <w:pStyle w:val="Normaalweb"/>
                        <w:spacing w:before="0" w:beforeAutospacing="0" w:after="0" w:afterAutospacing="0"/>
                      </w:pPr>
                      <w:r>
                        <w:rPr>
                          <w:rFonts w:ascii="Calibri" w:eastAsia="+mn-ea" w:hAnsi="Calibri" w:cs="+mn-cs"/>
                          <w:color w:val="000000"/>
                          <w:kern w:val="24"/>
                          <w:sz w:val="36"/>
                          <w:szCs w:val="36"/>
                          <w:lang w:val="en-GB"/>
                        </w:rPr>
                        <w:t>TIM-3</w:t>
                      </w:r>
                    </w:p>
                  </w:txbxContent>
                </v:textbox>
              </v:shape>
            </w:pict>
          </mc:Fallback>
        </mc:AlternateContent>
      </w:r>
      <w:r w:rsidRPr="00A97A20">
        <w:rPr>
          <w:noProof/>
          <w:lang w:eastAsia="nl-NL"/>
        </w:rPr>
        <mc:AlternateContent>
          <mc:Choice Requires="wps">
            <w:drawing>
              <wp:anchor distT="0" distB="0" distL="114300" distR="114300" simplePos="0" relativeHeight="251662336" behindDoc="0" locked="0" layoutInCell="1" allowOverlap="1" wp14:anchorId="7800DCA5" wp14:editId="541D8E64">
                <wp:simplePos x="0" y="0"/>
                <wp:positionH relativeFrom="column">
                  <wp:posOffset>546100</wp:posOffset>
                </wp:positionH>
                <wp:positionV relativeFrom="paragraph">
                  <wp:posOffset>4251007</wp:posOffset>
                </wp:positionV>
                <wp:extent cx="1143000" cy="369332"/>
                <wp:effectExtent l="0" t="0" r="0" b="0"/>
                <wp:wrapNone/>
                <wp:docPr id="6" name="TextBox 5">
                  <a:extLst xmlns:a="http://schemas.openxmlformats.org/drawingml/2006/main">
                    <a:ext uri="{FF2B5EF4-FFF2-40B4-BE49-F238E27FC236}">
                      <a16:creationId xmlns:a16="http://schemas.microsoft.com/office/drawing/2014/main" id="{073307D0-1F9F-2860-06DE-11A5ED1F2472}"/>
                    </a:ext>
                  </a:extLst>
                </wp:docPr>
                <wp:cNvGraphicFramePr/>
                <a:graphic xmlns:a="http://schemas.openxmlformats.org/drawingml/2006/main">
                  <a:graphicData uri="http://schemas.microsoft.com/office/word/2010/wordprocessingShape">
                    <wps:wsp>
                      <wps:cNvSpPr txBox="1"/>
                      <wps:spPr>
                        <a:xfrm rot="18635409">
                          <a:off x="0" y="0"/>
                          <a:ext cx="1143000" cy="369332"/>
                        </a:xfrm>
                        <a:prstGeom prst="rect">
                          <a:avLst/>
                        </a:prstGeom>
                        <a:noFill/>
                      </wps:spPr>
                      <wps:txbx>
                        <w:txbxContent>
                          <w:p w14:paraId="5C2BF640" w14:textId="77777777" w:rsidR="00F41E8C" w:rsidRDefault="00F41E8C" w:rsidP="002226EF">
                            <w:pPr>
                              <w:pStyle w:val="Normaalweb"/>
                              <w:spacing w:before="0" w:beforeAutospacing="0" w:after="0" w:afterAutospacing="0"/>
                            </w:pPr>
                            <w:r>
                              <w:rPr>
                                <w:rFonts w:ascii="Calibri" w:eastAsia="+mn-ea" w:hAnsi="Calibri" w:cs="+mn-cs"/>
                                <w:color w:val="000000"/>
                                <w:kern w:val="24"/>
                                <w:sz w:val="36"/>
                                <w:szCs w:val="36"/>
                                <w:lang w:val="en-GB"/>
                              </w:rPr>
                              <w:t>CD56</w:t>
                            </w:r>
                          </w:p>
                        </w:txbxContent>
                      </wps:txbx>
                      <wps:bodyPr wrap="square" rtlCol="0">
                        <a:spAutoFit/>
                      </wps:bodyPr>
                    </wps:wsp>
                  </a:graphicData>
                </a:graphic>
              </wp:anchor>
            </w:drawing>
          </mc:Choice>
          <mc:Fallback>
            <w:pict>
              <v:shape w14:anchorId="7800DCA5" id="TextBox 5" o:spid="_x0000_s1027" type="#_x0000_t202" style="position:absolute;margin-left:43pt;margin-top:334.7pt;width:90pt;height:29.1pt;rotation:-3238124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" filled="f" stroked="f">
                <v:textbox style="mso-fit-shape-to-text:t">
                  <w:txbxContent>
                    <w:p w14:paraId="5C2BF640" w14:textId="77777777" w:rsidR="00F41E8C" w:rsidRDefault="00F41E8C" w:rsidP="002226EF">
                      <w:pPr>
                        <w:pStyle w:val="Normaalweb"/>
                        <w:spacing w:before="0" w:beforeAutospacing="0" w:after="0" w:afterAutospacing="0"/>
                      </w:pPr>
                      <w:r>
                        <w:rPr>
                          <w:rFonts w:ascii="Calibri" w:eastAsia="+mn-ea" w:hAnsi="Calibri" w:cs="+mn-cs"/>
                          <w:color w:val="000000"/>
                          <w:kern w:val="24"/>
                          <w:sz w:val="36"/>
                          <w:szCs w:val="36"/>
                          <w:lang w:val="en-GB"/>
                        </w:rPr>
                        <w:t>CD56</w:t>
                      </w:r>
                    </w:p>
                  </w:txbxContent>
                </v:textbox>
              </v:shape>
            </w:pict>
          </mc:Fallback>
        </mc:AlternateContent>
      </w:r>
      <w:r w:rsidRPr="00A97A20">
        <w:rPr>
          <w:noProof/>
          <w:lang w:eastAsia="nl-NL"/>
        </w:rPr>
        <mc:AlternateContent>
          <mc:Choice Requires="wps">
            <w:drawing>
              <wp:anchor distT="0" distB="0" distL="114300" distR="114300" simplePos="0" relativeHeight="251663360" behindDoc="0" locked="0" layoutInCell="1" allowOverlap="1" wp14:anchorId="0CEC7443" wp14:editId="6634F153">
                <wp:simplePos x="0" y="0"/>
                <wp:positionH relativeFrom="column">
                  <wp:posOffset>920750</wp:posOffset>
                </wp:positionH>
                <wp:positionV relativeFrom="paragraph">
                  <wp:posOffset>4404677</wp:posOffset>
                </wp:positionV>
                <wp:extent cx="1143000" cy="369332"/>
                <wp:effectExtent l="0" t="0" r="0" b="0"/>
                <wp:wrapNone/>
                <wp:docPr id="8" name="TextBox 6">
                  <a:extLst xmlns:a="http://schemas.openxmlformats.org/drawingml/2006/main">
                    <a:ext uri="{FF2B5EF4-FFF2-40B4-BE49-F238E27FC236}">
                      <a16:creationId xmlns:a16="http://schemas.microsoft.com/office/drawing/2014/main" id="{7840B70D-BC8B-0480-0E11-672123F1D133}"/>
                    </a:ext>
                  </a:extLst>
                </wp:docPr>
                <wp:cNvGraphicFramePr/>
                <a:graphic xmlns:a="http://schemas.openxmlformats.org/drawingml/2006/main">
                  <a:graphicData uri="http://schemas.microsoft.com/office/word/2010/wordprocessingShape">
                    <wps:wsp>
                      <wps:cNvSpPr txBox="1"/>
                      <wps:spPr>
                        <a:xfrm rot="18635409">
                          <a:off x="0" y="0"/>
                          <a:ext cx="1143000" cy="369332"/>
                        </a:xfrm>
                        <a:prstGeom prst="rect">
                          <a:avLst/>
                        </a:prstGeom>
                        <a:noFill/>
                      </wps:spPr>
                      <wps:txbx>
                        <w:txbxContent>
                          <w:p w14:paraId="1D92EE09" w14:textId="77777777" w:rsidR="00F41E8C" w:rsidRDefault="00F41E8C" w:rsidP="002226EF">
                            <w:pPr>
                              <w:pStyle w:val="Normaalweb"/>
                              <w:spacing w:before="0" w:beforeAutospacing="0" w:after="0" w:afterAutospacing="0"/>
                            </w:pPr>
                            <w:r>
                              <w:rPr>
                                <w:rFonts w:ascii="Calibri" w:eastAsia="+mn-ea" w:hAnsi="Calibri" w:cs="+mn-cs"/>
                                <w:color w:val="000000"/>
                                <w:kern w:val="24"/>
                                <w:sz w:val="36"/>
                                <w:szCs w:val="36"/>
                                <w:lang w:val="en-GB"/>
                              </w:rPr>
                              <w:t>HLA-DR</w:t>
                            </w:r>
                          </w:p>
                        </w:txbxContent>
                      </wps:txbx>
                      <wps:bodyPr wrap="square" rtlCol="0">
                        <a:spAutoFit/>
                      </wps:bodyPr>
                    </wps:wsp>
                  </a:graphicData>
                </a:graphic>
              </wp:anchor>
            </w:drawing>
          </mc:Choice>
          <mc:Fallback>
            <w:pict>
              <v:shape w14:anchorId="0CEC7443" id="TextBox 6" o:spid="_x0000_s1028" type="#_x0000_t202" style="position:absolute;margin-left:72.5pt;margin-top:346.8pt;width:90pt;height:29.1pt;rotation:-3238124fd;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" filled="f" stroked="f">
                <v:textbox style="mso-fit-shape-to-text:t">
                  <w:txbxContent>
                    <w:p w14:paraId="1D92EE09" w14:textId="77777777" w:rsidR="00F41E8C" w:rsidRDefault="00F41E8C" w:rsidP="002226EF">
                      <w:pPr>
                        <w:pStyle w:val="Normaalweb"/>
                        <w:spacing w:before="0" w:beforeAutospacing="0" w:after="0" w:afterAutospacing="0"/>
                      </w:pPr>
                      <w:r>
                        <w:rPr>
                          <w:rFonts w:ascii="Calibri" w:eastAsia="+mn-ea" w:hAnsi="Calibri" w:cs="+mn-cs"/>
                          <w:color w:val="000000"/>
                          <w:kern w:val="24"/>
                          <w:sz w:val="36"/>
                          <w:szCs w:val="36"/>
                          <w:lang w:val="en-GB"/>
                        </w:rPr>
                        <w:t>HLA-DR</w:t>
                      </w:r>
                    </w:p>
                  </w:txbxContent>
                </v:textbox>
              </v:shape>
            </w:pict>
          </mc:Fallback>
        </mc:AlternateContent>
      </w:r>
      <w:r w:rsidRPr="00A97A20">
        <w:rPr>
          <w:noProof/>
          <w:lang w:eastAsia="nl-NL"/>
        </w:rPr>
        <mc:AlternateContent>
          <mc:Choice Requires="wps">
            <w:drawing>
              <wp:anchor distT="0" distB="0" distL="114300" distR="114300" simplePos="0" relativeHeight="251664384" behindDoc="0" locked="0" layoutInCell="1" allowOverlap="1" wp14:anchorId="181AE5D4" wp14:editId="5AEFC656">
                <wp:simplePos x="0" y="0"/>
                <wp:positionH relativeFrom="column">
                  <wp:posOffset>0</wp:posOffset>
                </wp:positionH>
                <wp:positionV relativeFrom="paragraph">
                  <wp:posOffset>4273232</wp:posOffset>
                </wp:positionV>
                <wp:extent cx="1143000" cy="369332"/>
                <wp:effectExtent l="0" t="0" r="0" b="0"/>
                <wp:wrapNone/>
                <wp:docPr id="9" name="TextBox 7">
                  <a:extLst xmlns:a="http://schemas.openxmlformats.org/drawingml/2006/main">
                    <a:ext uri="{FF2B5EF4-FFF2-40B4-BE49-F238E27FC236}">
                      <a16:creationId xmlns:a16="http://schemas.microsoft.com/office/drawing/2014/main" id="{C636FACD-A317-44E5-B0C0-85CF0E5C1404}"/>
                    </a:ext>
                  </a:extLst>
                </wp:docPr>
                <wp:cNvGraphicFramePr/>
                <a:graphic xmlns:a="http://schemas.openxmlformats.org/drawingml/2006/main">
                  <a:graphicData uri="http://schemas.microsoft.com/office/word/2010/wordprocessingShape">
                    <wps:wsp>
                      <wps:cNvSpPr txBox="1"/>
                      <wps:spPr>
                        <a:xfrm rot="18635409">
                          <a:off x="0" y="0"/>
                          <a:ext cx="1143000" cy="369332"/>
                        </a:xfrm>
                        <a:prstGeom prst="rect">
                          <a:avLst/>
                        </a:prstGeom>
                        <a:noFill/>
                      </wps:spPr>
                      <wps:txbx>
                        <w:txbxContent>
                          <w:p w14:paraId="28C2A19E" w14:textId="77777777" w:rsidR="00F41E8C" w:rsidRDefault="00F41E8C" w:rsidP="002226EF">
                            <w:pPr>
                              <w:pStyle w:val="Normaalweb"/>
                              <w:spacing w:before="0" w:beforeAutospacing="0" w:after="0" w:afterAutospacing="0"/>
                            </w:pPr>
                            <w:r>
                              <w:rPr>
                                <w:rFonts w:ascii="Calibri" w:eastAsia="+mn-ea" w:hAnsi="Calibri" w:cs="+mn-cs"/>
                                <w:color w:val="000000"/>
                                <w:kern w:val="24"/>
                                <w:sz w:val="36"/>
                                <w:szCs w:val="36"/>
                                <w:lang w:val="en-GB"/>
                              </w:rPr>
                              <w:t>CD16</w:t>
                            </w:r>
                          </w:p>
                        </w:txbxContent>
                      </wps:txbx>
                      <wps:bodyPr wrap="square" rtlCol="0">
                        <a:spAutoFit/>
                      </wps:bodyPr>
                    </wps:wsp>
                  </a:graphicData>
                </a:graphic>
              </wp:anchor>
            </w:drawing>
          </mc:Choice>
          <mc:Fallback>
            <w:pict>
              <v:shape w14:anchorId="181AE5D4" id="TextBox 7" o:spid="_x0000_s1029" type="#_x0000_t202" style="position:absolute;margin-left:0;margin-top:336.45pt;width:90pt;height:29.1pt;rotation:-3238124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" filled="f" stroked="f">
                <v:textbox style="mso-fit-shape-to-text:t">
                  <w:txbxContent>
                    <w:p w14:paraId="28C2A19E" w14:textId="77777777" w:rsidR="00F41E8C" w:rsidRDefault="00F41E8C" w:rsidP="002226EF">
                      <w:pPr>
                        <w:pStyle w:val="Normaalweb"/>
                        <w:spacing w:before="0" w:beforeAutospacing="0" w:after="0" w:afterAutospacing="0"/>
                      </w:pPr>
                      <w:r>
                        <w:rPr>
                          <w:rFonts w:ascii="Calibri" w:eastAsia="+mn-ea" w:hAnsi="Calibri" w:cs="+mn-cs"/>
                          <w:color w:val="000000"/>
                          <w:kern w:val="24"/>
                          <w:sz w:val="36"/>
                          <w:szCs w:val="36"/>
                          <w:lang w:val="en-GB"/>
                        </w:rPr>
                        <w:t>CD16</w:t>
                      </w:r>
                    </w:p>
                  </w:txbxContent>
                </v:textbox>
              </v:shape>
            </w:pict>
          </mc:Fallback>
        </mc:AlternateContent>
      </w:r>
    </w:p>
    <w:p w14:paraId="1E5D14DF" w14:textId="77777777" w:rsidR="002226EF" w:rsidRPr="00A97A20" w:rsidRDefault="002226EF" w:rsidP="002226EF">
      <w:pPr>
        <w:spacing w:line="360" w:lineRule="auto"/>
        <w:rPr>
          <w:noProof/>
          <w:lang w:val="en-US" w:eastAsia="nl-NL"/>
        </w:rPr>
      </w:pPr>
    </w:p>
    <w:p w14:paraId="73F681A8" w14:textId="77777777" w:rsidR="002226EF" w:rsidRPr="00A97A20" w:rsidRDefault="002226EF" w:rsidP="002226EF">
      <w:pPr>
        <w:spacing w:line="360" w:lineRule="auto"/>
        <w:rPr>
          <w:noProof/>
          <w:lang w:val="en-US" w:eastAsia="nl-NL"/>
        </w:rPr>
      </w:pPr>
    </w:p>
    <w:p w14:paraId="52D8F148" w14:textId="77777777" w:rsidR="002226EF" w:rsidRPr="00A97A20" w:rsidRDefault="002226EF" w:rsidP="002226EF">
      <w:pPr>
        <w:spacing w:line="360" w:lineRule="auto"/>
        <w:rPr>
          <w:noProof/>
          <w:lang w:val="en-US" w:eastAsia="nl-NL"/>
        </w:rPr>
      </w:pPr>
    </w:p>
    <w:p w14:paraId="67AD3CAF" w14:textId="77777777" w:rsidR="002226EF" w:rsidRPr="00A97A20" w:rsidRDefault="002226EF" w:rsidP="002226EF">
      <w:pPr>
        <w:spacing w:line="360" w:lineRule="auto"/>
        <w:rPr>
          <w:noProof/>
          <w:lang w:val="en-US" w:eastAsia="nl-NL"/>
        </w:rPr>
      </w:pPr>
    </w:p>
    <w:p w14:paraId="7BFDE421" w14:textId="77777777" w:rsidR="002226EF" w:rsidRPr="00A97A20" w:rsidRDefault="002226EF" w:rsidP="002226EF">
      <w:pPr>
        <w:spacing w:line="360" w:lineRule="auto"/>
        <w:rPr>
          <w:noProof/>
          <w:lang w:val="en-US" w:eastAsia="nl-NL"/>
        </w:rPr>
      </w:pPr>
    </w:p>
    <w:p w14:paraId="5625CF08" w14:textId="77777777" w:rsidR="002226EF" w:rsidRPr="00A97A20" w:rsidRDefault="002226EF" w:rsidP="002226EF">
      <w:pPr>
        <w:spacing w:line="360" w:lineRule="auto"/>
        <w:rPr>
          <w:noProof/>
          <w:lang w:val="en-US" w:eastAsia="nl-NL"/>
        </w:rPr>
      </w:pPr>
    </w:p>
    <w:p w14:paraId="0384484B" w14:textId="77777777" w:rsidR="002226EF" w:rsidRPr="00A97A20" w:rsidRDefault="002226EF" w:rsidP="002226EF">
      <w:pPr>
        <w:spacing w:line="360" w:lineRule="auto"/>
        <w:rPr>
          <w:noProof/>
          <w:lang w:val="en-US" w:eastAsia="nl-NL"/>
        </w:rPr>
      </w:pPr>
    </w:p>
    <w:p w14:paraId="04D60552" w14:textId="77777777" w:rsidR="002226EF" w:rsidRPr="00A97A20" w:rsidRDefault="002226EF" w:rsidP="002226EF">
      <w:pPr>
        <w:spacing w:line="360" w:lineRule="auto"/>
        <w:rPr>
          <w:noProof/>
          <w:lang w:val="en-US" w:eastAsia="nl-NL"/>
        </w:rPr>
      </w:pPr>
    </w:p>
    <w:p w14:paraId="2196C460" w14:textId="77777777" w:rsidR="002226EF" w:rsidRPr="00A97A20" w:rsidRDefault="002226EF" w:rsidP="002226EF">
      <w:pPr>
        <w:spacing w:line="360" w:lineRule="auto"/>
        <w:rPr>
          <w:noProof/>
          <w:lang w:val="en-US" w:eastAsia="nl-NL"/>
        </w:rPr>
      </w:pPr>
    </w:p>
    <w:p w14:paraId="2FF86973" w14:textId="72106B37" w:rsidR="002226EF" w:rsidRPr="00A97A20" w:rsidRDefault="002226EF" w:rsidP="002226EF">
      <w:pPr>
        <w:spacing w:line="360" w:lineRule="auto"/>
        <w:rPr>
          <w:noProof/>
          <w:lang w:val="en-US" w:eastAsia="nl-NL"/>
        </w:rPr>
      </w:pPr>
    </w:p>
    <w:p w14:paraId="67F21AB2" w14:textId="3432CAF4" w:rsidR="002226EF" w:rsidRPr="00A97A20" w:rsidRDefault="002226EF" w:rsidP="002226EF">
      <w:pPr>
        <w:spacing w:line="360" w:lineRule="auto"/>
        <w:rPr>
          <w:noProof/>
          <w:lang w:val="en-US" w:eastAsia="nl-NL"/>
        </w:rPr>
      </w:pPr>
    </w:p>
    <w:p w14:paraId="4DF7082A" w14:textId="4F2AE0B9" w:rsidR="002226EF" w:rsidRPr="00A97A20" w:rsidRDefault="009A2F61" w:rsidP="002226EF">
      <w:pPr>
        <w:spacing w:line="360" w:lineRule="auto"/>
        <w:rPr>
          <w:noProof/>
          <w:lang w:val="en-US" w:eastAsia="nl-NL"/>
        </w:rPr>
      </w:pPr>
      <w:r w:rsidRPr="00A97A20">
        <w:rPr>
          <w:noProof/>
          <w:lang w:eastAsia="nl-NL"/>
        </w:rPr>
        <mc:AlternateContent>
          <mc:Choice Requires="wps">
            <w:drawing>
              <wp:anchor distT="0" distB="0" distL="114300" distR="114300" simplePos="0" relativeHeight="251660288" behindDoc="0" locked="0" layoutInCell="1" allowOverlap="1" wp14:anchorId="0B873395" wp14:editId="0249A309">
                <wp:simplePos x="0" y="0"/>
                <wp:positionH relativeFrom="column">
                  <wp:posOffset>90805</wp:posOffset>
                </wp:positionH>
                <wp:positionV relativeFrom="paragraph">
                  <wp:posOffset>85725</wp:posOffset>
                </wp:positionV>
                <wp:extent cx="2826385" cy="428625"/>
                <wp:effectExtent l="19050" t="19050" r="12065" b="28575"/>
                <wp:wrapNone/>
                <wp:docPr id="4" name="Rectangle 3">
                  <a:extLst xmlns:a="http://schemas.openxmlformats.org/drawingml/2006/main">
                    <a:ext uri="{FF2B5EF4-FFF2-40B4-BE49-F238E27FC236}">
                      <a16:creationId xmlns:a16="http://schemas.microsoft.com/office/drawing/2014/main" id="{1F19E16F-9712-72AF-C875-336C14556B67}"/>
                    </a:ext>
                  </a:extLst>
                </wp:docPr>
                <wp:cNvGraphicFramePr/>
                <a:graphic xmlns:a="http://schemas.openxmlformats.org/drawingml/2006/main">
                  <a:graphicData uri="http://schemas.microsoft.com/office/word/2010/wordprocessingShape">
                    <wps:wsp>
                      <wps:cNvSpPr/>
                      <wps:spPr>
                        <a:xfrm>
                          <a:off x="0" y="0"/>
                          <a:ext cx="2826385" cy="428625"/>
                        </a:xfrm>
                        <a:prstGeom prst="rect">
                          <a:avLst/>
                        </a:prstGeom>
                        <a:noFill/>
                        <a:ln w="28575" cap="flat" cmpd="sng" algn="ctr">
                          <a:solidFill>
                            <a:srgbClr val="FF0000"/>
                          </a:solidFill>
                          <a:prstDash val="solid"/>
                          <a:miter lim="800000"/>
                        </a:ln>
                        <a:effectLst/>
                      </wps:spPr>
                      <wps:bodyPr rtlCol="0" anchor="ctr"/>
                    </wps:wsp>
                  </a:graphicData>
                </a:graphic>
                <wp14:sizeRelV relativeFrom="margin">
                  <wp14:pctHeight>0</wp14:pctHeight>
                </wp14:sizeRelV>
              </wp:anchor>
            </w:drawing>
          </mc:Choice>
          <mc:Fallback>
            <w:pict>
              <v:rect w14:anchorId="3A49BFDF" id="Rectangle 3" o:spid="_x0000_s1026" style="position:absolute;margin-left:7.15pt;margin-top:6.75pt;width:222.55pt;height:3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" filled="f" strokecolor="red" strokeweight="2.25pt"/>
            </w:pict>
          </mc:Fallback>
        </mc:AlternateContent>
      </w:r>
    </w:p>
    <w:p w14:paraId="19010382" w14:textId="77777777" w:rsidR="002226EF" w:rsidRPr="00A97A20" w:rsidRDefault="002226EF" w:rsidP="002226EF">
      <w:pPr>
        <w:spacing w:line="360" w:lineRule="auto"/>
        <w:rPr>
          <w:noProof/>
          <w:lang w:val="en-US" w:eastAsia="nl-NL"/>
        </w:rPr>
      </w:pPr>
    </w:p>
    <w:p w14:paraId="56F05A4E" w14:textId="77777777" w:rsidR="002226EF" w:rsidRPr="00A97A20" w:rsidRDefault="002226EF" w:rsidP="002226EF">
      <w:pPr>
        <w:spacing w:line="360" w:lineRule="auto"/>
        <w:rPr>
          <w:noProof/>
          <w:lang w:val="en-US" w:eastAsia="nl-NL"/>
        </w:rPr>
      </w:pPr>
    </w:p>
    <w:p w14:paraId="5DC5587F" w14:textId="77777777" w:rsidR="002226EF" w:rsidRPr="00A97A20" w:rsidRDefault="002226EF" w:rsidP="002226EF">
      <w:pPr>
        <w:spacing w:line="360" w:lineRule="auto"/>
        <w:rPr>
          <w:noProof/>
          <w:lang w:val="en-US" w:eastAsia="nl-NL"/>
        </w:rPr>
      </w:pPr>
    </w:p>
    <w:p w14:paraId="76E0EB22" w14:textId="77777777" w:rsidR="002226EF" w:rsidRPr="00A97A20" w:rsidRDefault="002226EF" w:rsidP="002226EF">
      <w:pPr>
        <w:spacing w:line="360" w:lineRule="auto"/>
        <w:rPr>
          <w:noProof/>
          <w:lang w:val="en-US" w:eastAsia="nl-NL"/>
        </w:rPr>
      </w:pPr>
    </w:p>
    <w:p w14:paraId="2DA95FE1" w14:textId="77777777" w:rsidR="002226EF" w:rsidRPr="00A97A20" w:rsidRDefault="002226EF" w:rsidP="002226EF">
      <w:pPr>
        <w:spacing w:line="360" w:lineRule="auto"/>
        <w:rPr>
          <w:noProof/>
          <w:lang w:val="en-US" w:eastAsia="nl-NL"/>
        </w:rPr>
      </w:pPr>
    </w:p>
    <w:p w14:paraId="55CFFD33" w14:textId="77777777" w:rsidR="002226EF" w:rsidRPr="00A97A20" w:rsidRDefault="002226EF" w:rsidP="002226EF">
      <w:pPr>
        <w:spacing w:line="360" w:lineRule="auto"/>
        <w:rPr>
          <w:noProof/>
          <w:lang w:val="en-US" w:eastAsia="nl-NL"/>
        </w:rPr>
      </w:pPr>
    </w:p>
    <w:p w14:paraId="27316BCA" w14:textId="77777777" w:rsidR="002226EF" w:rsidRPr="00A97A20" w:rsidRDefault="002226EF" w:rsidP="002226EF">
      <w:pPr>
        <w:spacing w:line="360" w:lineRule="auto"/>
        <w:rPr>
          <w:lang w:val="en-US"/>
        </w:rPr>
      </w:pPr>
    </w:p>
    <w:p w14:paraId="2E00EB31" w14:textId="77777777" w:rsidR="002226EF" w:rsidRPr="00A97A20" w:rsidRDefault="002226EF" w:rsidP="002226EF">
      <w:pPr>
        <w:rPr>
          <w:lang w:val="en-US"/>
        </w:rPr>
      </w:pPr>
    </w:p>
    <w:p w14:paraId="744B833A" w14:textId="1D2CFF39" w:rsidR="002226EF" w:rsidRPr="00A97A20" w:rsidRDefault="002226EF" w:rsidP="002226EF">
      <w:pPr>
        <w:spacing w:line="360" w:lineRule="auto"/>
        <w:rPr>
          <w:b/>
          <w:lang w:val="en-US"/>
        </w:rPr>
      </w:pPr>
      <w:r w:rsidRPr="00A97A20">
        <w:rPr>
          <w:b/>
          <w:lang w:val="en-US"/>
        </w:rPr>
        <w:t xml:space="preserve">Supplemental Figure </w:t>
      </w:r>
      <w:r w:rsidR="00F41E8C" w:rsidRPr="00A97A20">
        <w:rPr>
          <w:b/>
          <w:lang w:val="en-US"/>
        </w:rPr>
        <w:t>4</w:t>
      </w:r>
      <w:r w:rsidRPr="00A97A20">
        <w:rPr>
          <w:b/>
          <w:lang w:val="en-US"/>
        </w:rPr>
        <w:t>. Computational analysis of BM samples obtained at baseline.</w:t>
      </w:r>
    </w:p>
    <w:p w14:paraId="0FF62C67" w14:textId="30DAA936" w:rsidR="002226EF" w:rsidRPr="00A97A20" w:rsidRDefault="002226EF" w:rsidP="002226EF">
      <w:pPr>
        <w:spacing w:line="360" w:lineRule="auto"/>
        <w:rPr>
          <w:lang w:val="en-US"/>
        </w:rPr>
      </w:pPr>
      <w:r w:rsidRPr="00A97A20">
        <w:rPr>
          <w:lang w:val="en-GB"/>
        </w:rPr>
        <w:t xml:space="preserve">To assess co-expression of TIM-3, HLA-DR and CD16 in BM-residing NK cells at baseline, we performed a FlowSOM analysis. Per file 5.000 cells were grouped into 64 clusters, and subsequently in 10 metaclusters. </w:t>
      </w:r>
      <w:r w:rsidRPr="00A97A20">
        <w:rPr>
          <w:lang w:val="en-US"/>
        </w:rPr>
        <w:t>The</w:t>
      </w:r>
      <w:r w:rsidR="004A0F5D" w:rsidRPr="00A97A20">
        <w:rPr>
          <w:lang w:val="en-US"/>
        </w:rPr>
        <w:t xml:space="preserve"> </w:t>
      </w:r>
      <w:r w:rsidR="00113A2B" w:rsidRPr="00A97A20">
        <w:rPr>
          <w:lang w:val="en-US"/>
        </w:rPr>
        <w:t xml:space="preserve">presented </w:t>
      </w:r>
      <w:r w:rsidRPr="00A97A20">
        <w:rPr>
          <w:lang w:val="en-US"/>
        </w:rPr>
        <w:t xml:space="preserve">heatmap depicts the median expression of CD16, CD56, HLA-DR and TIM-3 </w:t>
      </w:r>
      <w:r w:rsidR="009A2F61" w:rsidRPr="00A97A20">
        <w:rPr>
          <w:lang w:val="en-US"/>
        </w:rPr>
        <w:t>per metacluster. M</w:t>
      </w:r>
      <w:r w:rsidRPr="00A97A20">
        <w:rPr>
          <w:lang w:val="en-US"/>
        </w:rPr>
        <w:t>e</w:t>
      </w:r>
      <w:r w:rsidR="009A2F61" w:rsidRPr="00A97A20">
        <w:rPr>
          <w:lang w:val="en-US"/>
        </w:rPr>
        <w:t>tacluster 1 consist of HLA-DR</w:t>
      </w:r>
      <w:r w:rsidR="009A2F61" w:rsidRPr="00A97A20">
        <w:rPr>
          <w:vertAlign w:val="superscript"/>
          <w:lang w:val="en-US"/>
        </w:rPr>
        <w:t>+</w:t>
      </w:r>
      <w:r w:rsidR="009A2F61" w:rsidRPr="00A97A20">
        <w:rPr>
          <w:lang w:val="en-US"/>
        </w:rPr>
        <w:t xml:space="preserve"> </w:t>
      </w:r>
      <w:r w:rsidRPr="00A97A20">
        <w:rPr>
          <w:lang w:val="en-US"/>
        </w:rPr>
        <w:t>TIM-3</w:t>
      </w:r>
      <w:r w:rsidR="009A2F61" w:rsidRPr="00A97A20">
        <w:rPr>
          <w:vertAlign w:val="superscript"/>
          <w:lang w:val="en-US"/>
        </w:rPr>
        <w:t>+</w:t>
      </w:r>
      <w:r w:rsidR="009A2F61" w:rsidRPr="00A97A20">
        <w:rPr>
          <w:lang w:val="en-US"/>
        </w:rPr>
        <w:t xml:space="preserve"> CD16</w:t>
      </w:r>
      <w:r w:rsidR="009A2F61" w:rsidRPr="00A97A20">
        <w:rPr>
          <w:vertAlign w:val="superscript"/>
          <w:lang w:val="en-US"/>
        </w:rPr>
        <w:t xml:space="preserve">neg </w:t>
      </w:r>
      <w:r w:rsidR="009A2F61" w:rsidRPr="00A97A20">
        <w:rPr>
          <w:lang w:val="en-US"/>
        </w:rPr>
        <w:t>NK cells, and is</w:t>
      </w:r>
      <w:r w:rsidRPr="00A97A20">
        <w:rPr>
          <w:lang w:val="en-US"/>
        </w:rPr>
        <w:t xml:space="preserve"> highlighted with the red box. </w:t>
      </w:r>
    </w:p>
    <w:p w14:paraId="511F733A" w14:textId="77777777" w:rsidR="008B471B" w:rsidRPr="00A97A20" w:rsidRDefault="008B471B" w:rsidP="008B471B">
      <w:pPr>
        <w:rPr>
          <w:lang w:val="en-US"/>
        </w:rPr>
      </w:pPr>
    </w:p>
    <w:p w14:paraId="15562741" w14:textId="77777777" w:rsidR="008B471B" w:rsidRPr="00A97A20" w:rsidRDefault="008B471B" w:rsidP="008B471B">
      <w:pPr>
        <w:rPr>
          <w:b/>
          <w:bCs/>
          <w:lang w:val="en-US"/>
        </w:rPr>
      </w:pPr>
    </w:p>
    <w:p w14:paraId="252CA41C" w14:textId="77777777" w:rsidR="008B471B" w:rsidRPr="00A97A20" w:rsidRDefault="008B471B" w:rsidP="008B471B">
      <w:pPr>
        <w:rPr>
          <w:lang w:val="en-US"/>
        </w:rPr>
      </w:pPr>
    </w:p>
    <w:p w14:paraId="0BDEC63D" w14:textId="5A787A37" w:rsidR="008B471B" w:rsidRPr="00A97A20" w:rsidRDefault="008B471B" w:rsidP="008B471B">
      <w:pPr>
        <w:rPr>
          <w:lang w:val="en-US"/>
        </w:rPr>
      </w:pPr>
      <w:r w:rsidRPr="00A97A20">
        <w:rPr>
          <w:lang w:val="en-US"/>
        </w:rPr>
        <w:br w:type="page"/>
      </w:r>
      <w:r w:rsidRPr="00A97A20">
        <w:rPr>
          <w:lang w:val="en-US"/>
        </w:rPr>
        <w:lastRenderedPageBreak/>
        <w:tab/>
      </w:r>
      <w:r w:rsidR="00686FB2" w:rsidRPr="00A97A20">
        <w:rPr>
          <w:noProof/>
          <w:lang w:eastAsia="nl-NL"/>
        </w:rPr>
        <w:drawing>
          <wp:inline distT="0" distB="0" distL="0" distR="0" wp14:anchorId="757A7BFA" wp14:editId="76F30D25">
            <wp:extent cx="4630341" cy="5000625"/>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30341" cy="5000625"/>
                    </a:xfrm>
                    <a:prstGeom prst="rect">
                      <a:avLst/>
                    </a:prstGeom>
                  </pic:spPr>
                </pic:pic>
              </a:graphicData>
            </a:graphic>
          </wp:inline>
        </w:drawing>
      </w:r>
    </w:p>
    <w:p w14:paraId="2E3D6D4D" w14:textId="77777777" w:rsidR="00686FB2" w:rsidRPr="00A97A20" w:rsidRDefault="00686FB2" w:rsidP="008B471B">
      <w:pPr>
        <w:spacing w:line="360" w:lineRule="auto"/>
        <w:rPr>
          <w:b/>
          <w:lang w:val="en-US"/>
        </w:rPr>
      </w:pPr>
    </w:p>
    <w:p w14:paraId="61B57F75" w14:textId="059C1E26" w:rsidR="008B471B" w:rsidRPr="00A97A20" w:rsidRDefault="00686FB2" w:rsidP="008B471B">
      <w:pPr>
        <w:spacing w:line="360" w:lineRule="auto"/>
        <w:rPr>
          <w:lang w:val="en-US"/>
        </w:rPr>
      </w:pPr>
      <w:r w:rsidRPr="00A97A20">
        <w:rPr>
          <w:b/>
          <w:lang w:val="en-US"/>
        </w:rPr>
        <w:t xml:space="preserve">Supplemental Figure </w:t>
      </w:r>
      <w:r w:rsidR="00F41E8C" w:rsidRPr="00A97A20">
        <w:rPr>
          <w:b/>
          <w:lang w:val="en-US"/>
        </w:rPr>
        <w:t>5</w:t>
      </w:r>
      <w:r w:rsidR="008B471B" w:rsidRPr="00A97A20">
        <w:rPr>
          <w:b/>
          <w:lang w:val="en-US"/>
        </w:rPr>
        <w:t xml:space="preserve">. Gating strategy of NK cell markers measured by flow cytometry in bone marrow samples. </w:t>
      </w:r>
      <w:r w:rsidR="008B471B" w:rsidRPr="00A97A20">
        <w:rPr>
          <w:lang w:val="en-US"/>
        </w:rPr>
        <w:t xml:space="preserve"> </w:t>
      </w:r>
    </w:p>
    <w:p w14:paraId="0AE78738" w14:textId="77EED250" w:rsidR="002226EF" w:rsidRPr="00A97A20" w:rsidRDefault="00011D70" w:rsidP="008B471B">
      <w:pPr>
        <w:spacing w:line="360" w:lineRule="auto"/>
        <w:rPr>
          <w:lang w:val="en-US"/>
        </w:rPr>
      </w:pPr>
      <w:r w:rsidRPr="00A97A20">
        <w:rPr>
          <w:lang w:val="en-US"/>
        </w:rPr>
        <w:t>Bone marrow-resident</w:t>
      </w:r>
      <w:r w:rsidR="00C37E99" w:rsidRPr="00A97A20">
        <w:rPr>
          <w:lang w:val="en-US"/>
        </w:rPr>
        <w:t xml:space="preserve"> NK cells were </w:t>
      </w:r>
      <w:r w:rsidR="00610B60" w:rsidRPr="00A97A20">
        <w:rPr>
          <w:lang w:val="en-US"/>
        </w:rPr>
        <w:t>defined as</w:t>
      </w:r>
      <w:r w:rsidR="00C37E99" w:rsidRPr="00A97A20">
        <w:rPr>
          <w:lang w:val="en-US"/>
        </w:rPr>
        <w:t xml:space="preserve"> CD45</w:t>
      </w:r>
      <w:r w:rsidR="00C37E99" w:rsidRPr="00A97A20">
        <w:rPr>
          <w:vertAlign w:val="superscript"/>
          <w:lang w:val="en-US"/>
        </w:rPr>
        <w:t>+</w:t>
      </w:r>
      <w:r w:rsidR="00C37E99" w:rsidRPr="00A97A20">
        <w:rPr>
          <w:lang w:val="en-US"/>
        </w:rPr>
        <w:t>CD56</w:t>
      </w:r>
      <w:r w:rsidR="00C37E99" w:rsidRPr="00A97A20">
        <w:rPr>
          <w:vertAlign w:val="superscript"/>
          <w:lang w:val="en-US"/>
        </w:rPr>
        <w:t>+</w:t>
      </w:r>
      <w:r w:rsidR="00C37E99" w:rsidRPr="00A97A20">
        <w:rPr>
          <w:lang w:val="en-US"/>
        </w:rPr>
        <w:t>CD3</w:t>
      </w:r>
      <w:r w:rsidR="00C37E99" w:rsidRPr="00A97A20">
        <w:rPr>
          <w:vertAlign w:val="superscript"/>
          <w:lang w:val="en-US"/>
        </w:rPr>
        <w:t>-</w:t>
      </w:r>
      <w:r w:rsidR="00610B60" w:rsidRPr="00A97A20">
        <w:rPr>
          <w:lang w:val="en-US"/>
        </w:rPr>
        <w:t>, whereby doublets and dead cells were excluded</w:t>
      </w:r>
      <w:r w:rsidR="00C37E99" w:rsidRPr="00A97A20">
        <w:rPr>
          <w:lang w:val="en-US"/>
        </w:rPr>
        <w:t xml:space="preserve">. </w:t>
      </w:r>
      <w:r w:rsidR="008B471B" w:rsidRPr="00A97A20">
        <w:rPr>
          <w:lang w:val="en-US"/>
        </w:rPr>
        <w:t>Representative contour plots illustrate the gating strategy of NK cell markers</w:t>
      </w:r>
      <w:r w:rsidR="00C37E99" w:rsidRPr="00A97A20">
        <w:rPr>
          <w:lang w:val="en-US"/>
        </w:rPr>
        <w:t>.</w:t>
      </w:r>
      <w:r w:rsidR="008B471B" w:rsidRPr="00A97A20">
        <w:rPr>
          <w:lang w:val="en-US"/>
        </w:rPr>
        <w:t xml:space="preserve"> </w:t>
      </w:r>
      <w:r w:rsidR="00C37E99" w:rsidRPr="00A97A20">
        <w:rPr>
          <w:lang w:val="en-US"/>
        </w:rPr>
        <w:t>S</w:t>
      </w:r>
      <w:r w:rsidR="008B471B" w:rsidRPr="00A97A20">
        <w:rPr>
          <w:lang w:val="en-US"/>
        </w:rPr>
        <w:t xml:space="preserve">amples from this representative patient were obtained at baseline (BL, upper plots) and at end of treatment (EOT-A, middle plots). Lower plots represent the expression of CD16, HLA-DR and TIM-3 on NK cells depicted in histogram plots, compared to FMO (fluorescence minus one) control. </w:t>
      </w:r>
    </w:p>
    <w:p w14:paraId="200733B6" w14:textId="77777777" w:rsidR="002226EF" w:rsidRPr="00A97A20" w:rsidRDefault="002226EF">
      <w:pPr>
        <w:rPr>
          <w:lang w:val="en-US"/>
        </w:rPr>
      </w:pPr>
      <w:r w:rsidRPr="00A97A20">
        <w:rPr>
          <w:lang w:val="en-US"/>
        </w:rPr>
        <w:br w:type="page"/>
      </w:r>
    </w:p>
    <w:p w14:paraId="2BFF4BD8" w14:textId="29298524" w:rsidR="002F0A7E" w:rsidRPr="00A97A20" w:rsidRDefault="002F0A7E">
      <w:pPr>
        <w:rPr>
          <w:lang w:val="en-US"/>
        </w:rPr>
      </w:pPr>
    </w:p>
    <w:p w14:paraId="6E0E8862" w14:textId="7F410C16" w:rsidR="008B471B" w:rsidRPr="00A97A20" w:rsidRDefault="00EF4F95" w:rsidP="008B471B">
      <w:pPr>
        <w:spacing w:line="360" w:lineRule="auto"/>
        <w:rPr>
          <w:noProof/>
          <w:lang w:eastAsia="nl-NL"/>
        </w:rPr>
      </w:pPr>
      <w:r w:rsidRPr="00A97A20">
        <w:rPr>
          <w:noProof/>
          <w:lang w:eastAsia="nl-NL"/>
        </w:rPr>
        <w:drawing>
          <wp:inline distT="0" distB="0" distL="0" distR="0" wp14:anchorId="7D79B1C8" wp14:editId="17558A71">
            <wp:extent cx="3943350" cy="39433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Fig_GzmB_CD16cell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3350" cy="3943350"/>
                    </a:xfrm>
                    <a:prstGeom prst="rect">
                      <a:avLst/>
                    </a:prstGeom>
                  </pic:spPr>
                </pic:pic>
              </a:graphicData>
            </a:graphic>
          </wp:inline>
        </w:drawing>
      </w:r>
    </w:p>
    <w:p w14:paraId="1BD82576" w14:textId="3C8C692F" w:rsidR="00EF4F95" w:rsidRPr="00A97A20" w:rsidRDefault="00EF4F95" w:rsidP="008B471B">
      <w:pPr>
        <w:spacing w:line="360" w:lineRule="auto"/>
        <w:rPr>
          <w:noProof/>
          <w:lang w:eastAsia="nl-NL"/>
        </w:rPr>
      </w:pPr>
    </w:p>
    <w:p w14:paraId="71AC0D6F" w14:textId="2A5B638F" w:rsidR="00EF4F95" w:rsidRPr="00A97A20" w:rsidRDefault="00EF4F95" w:rsidP="008B471B">
      <w:pPr>
        <w:spacing w:line="360" w:lineRule="auto"/>
        <w:rPr>
          <w:noProof/>
          <w:lang w:eastAsia="nl-NL"/>
        </w:rPr>
      </w:pPr>
    </w:p>
    <w:p w14:paraId="3637098E" w14:textId="554F624D" w:rsidR="002F0A7E" w:rsidRPr="00A97A20" w:rsidRDefault="002F0A7E" w:rsidP="008B471B">
      <w:pPr>
        <w:spacing w:line="360" w:lineRule="auto"/>
        <w:rPr>
          <w:b/>
          <w:lang w:val="en-US"/>
        </w:rPr>
      </w:pPr>
      <w:r w:rsidRPr="00A97A20">
        <w:rPr>
          <w:b/>
          <w:lang w:val="en-US"/>
        </w:rPr>
        <w:t xml:space="preserve">Supplemental Figure </w:t>
      </w:r>
      <w:r w:rsidR="00EC08AA" w:rsidRPr="00A97A20">
        <w:rPr>
          <w:b/>
          <w:lang w:val="en-US"/>
        </w:rPr>
        <w:t>6</w:t>
      </w:r>
      <w:r w:rsidRPr="00A97A20">
        <w:rPr>
          <w:b/>
          <w:lang w:val="en-US"/>
        </w:rPr>
        <w:t xml:space="preserve">. BM-resident </w:t>
      </w:r>
      <w:r w:rsidR="00EF4F95" w:rsidRPr="00A97A20">
        <w:rPr>
          <w:b/>
          <w:lang w:val="en-US"/>
        </w:rPr>
        <w:t>CD16</w:t>
      </w:r>
      <w:r w:rsidR="00EF4F95" w:rsidRPr="00A97A20">
        <w:rPr>
          <w:b/>
          <w:vertAlign w:val="superscript"/>
          <w:lang w:val="en-US"/>
        </w:rPr>
        <w:t>+</w:t>
      </w:r>
      <w:r w:rsidR="00EF4F95" w:rsidRPr="00A97A20">
        <w:rPr>
          <w:b/>
          <w:lang w:val="en-US"/>
        </w:rPr>
        <w:t xml:space="preserve"> NK cells are </w:t>
      </w:r>
      <w:r w:rsidRPr="00A97A20">
        <w:rPr>
          <w:b/>
          <w:lang w:val="en-US"/>
        </w:rPr>
        <w:t>CD56</w:t>
      </w:r>
      <w:r w:rsidRPr="00A97A20">
        <w:rPr>
          <w:b/>
          <w:vertAlign w:val="superscript"/>
          <w:lang w:val="en-US"/>
        </w:rPr>
        <w:t>dim</w:t>
      </w:r>
      <w:r w:rsidRPr="00A97A20">
        <w:rPr>
          <w:b/>
          <w:lang w:val="en-US"/>
        </w:rPr>
        <w:t xml:space="preserve"> </w:t>
      </w:r>
      <w:r w:rsidR="00EF4F95" w:rsidRPr="00A97A20">
        <w:rPr>
          <w:b/>
          <w:lang w:val="en-US"/>
        </w:rPr>
        <w:t>and granzyme B</w:t>
      </w:r>
      <w:r w:rsidR="00EF4F95" w:rsidRPr="00A97A20">
        <w:rPr>
          <w:b/>
          <w:vertAlign w:val="superscript"/>
          <w:lang w:val="en-US"/>
        </w:rPr>
        <w:t>+</w:t>
      </w:r>
      <w:r w:rsidR="00EF4F95" w:rsidRPr="00A97A20">
        <w:rPr>
          <w:b/>
          <w:lang w:val="en-US"/>
        </w:rPr>
        <w:t xml:space="preserve">. </w:t>
      </w:r>
    </w:p>
    <w:p w14:paraId="4CA5A262" w14:textId="7D416161" w:rsidR="002F0A7E" w:rsidRPr="00A97A20" w:rsidRDefault="002F0A7E" w:rsidP="008B471B">
      <w:pPr>
        <w:spacing w:line="360" w:lineRule="auto"/>
        <w:rPr>
          <w:lang w:val="en-US"/>
        </w:rPr>
      </w:pPr>
      <w:r w:rsidRPr="00A97A20">
        <w:rPr>
          <w:lang w:val="en-US"/>
        </w:rPr>
        <w:t>Med</w:t>
      </w:r>
      <w:r w:rsidR="00EF4F95" w:rsidRPr="00A97A20">
        <w:rPr>
          <w:lang w:val="en-US"/>
        </w:rPr>
        <w:t>ian intensity expression of CD56 and granzyme B</w:t>
      </w:r>
      <w:r w:rsidRPr="00A97A20">
        <w:rPr>
          <w:lang w:val="en-US"/>
        </w:rPr>
        <w:t xml:space="preserve"> in CD</w:t>
      </w:r>
      <w:r w:rsidR="00EF4F95" w:rsidRPr="00A97A20">
        <w:rPr>
          <w:lang w:val="en-US"/>
        </w:rPr>
        <w:t>16</w:t>
      </w:r>
      <w:r w:rsidR="00EF4F95" w:rsidRPr="00A97A20">
        <w:rPr>
          <w:vertAlign w:val="superscript"/>
          <w:lang w:val="en-US"/>
        </w:rPr>
        <w:t>+</w:t>
      </w:r>
      <w:r w:rsidRPr="00A97A20">
        <w:rPr>
          <w:lang w:val="en-US"/>
        </w:rPr>
        <w:t xml:space="preserve"> NK cell subsets </w:t>
      </w:r>
      <w:r w:rsidR="00392152" w:rsidRPr="00A97A20">
        <w:rPr>
          <w:lang w:val="en-US"/>
        </w:rPr>
        <w:t xml:space="preserve">in BM samples </w:t>
      </w:r>
      <w:r w:rsidRPr="00A97A20">
        <w:rPr>
          <w:lang w:val="en-US"/>
        </w:rPr>
        <w:t>at baseline</w:t>
      </w:r>
      <w:r w:rsidR="00392152" w:rsidRPr="00A97A20">
        <w:rPr>
          <w:lang w:val="en-US"/>
        </w:rPr>
        <w:t xml:space="preserve"> (n=29)</w:t>
      </w:r>
      <w:r w:rsidR="001F6B9C" w:rsidRPr="00A97A20">
        <w:rPr>
          <w:lang w:val="en-US"/>
        </w:rPr>
        <w:t xml:space="preserve">, measured </w:t>
      </w:r>
      <w:r w:rsidR="000E05EA" w:rsidRPr="00A97A20">
        <w:rPr>
          <w:lang w:val="en-US"/>
        </w:rPr>
        <w:t>using</w:t>
      </w:r>
      <w:r w:rsidR="001F6B9C" w:rsidRPr="00A97A20">
        <w:rPr>
          <w:lang w:val="en-US"/>
        </w:rPr>
        <w:t xml:space="preserve"> CyTOF</w:t>
      </w:r>
      <w:r w:rsidR="00EF4F95" w:rsidRPr="00A97A20">
        <w:rPr>
          <w:lang w:val="en-US"/>
        </w:rPr>
        <w:t>.</w:t>
      </w:r>
      <w:r w:rsidRPr="00A97A20">
        <w:rPr>
          <w:lang w:val="en-US"/>
        </w:rPr>
        <w:t xml:space="preserve"> </w:t>
      </w:r>
      <w:r w:rsidR="00392152" w:rsidRPr="00A97A20">
        <w:rPr>
          <w:rFonts w:cstheme="minorHAnsi"/>
          <w:lang w:val="en-US"/>
        </w:rPr>
        <w:t>Data are depicted as individual points and violin plots, indicating the distribution, including median and interquartile range.</w:t>
      </w:r>
    </w:p>
    <w:p w14:paraId="6F3B2F68" w14:textId="5066CA66" w:rsidR="00695276" w:rsidRPr="00A97A20" w:rsidRDefault="00695276">
      <w:pPr>
        <w:rPr>
          <w:lang w:val="en-US"/>
        </w:rPr>
      </w:pPr>
      <w:r w:rsidRPr="00A97A20">
        <w:rPr>
          <w:lang w:val="en-US"/>
        </w:rPr>
        <w:br w:type="page"/>
      </w:r>
    </w:p>
    <w:p w14:paraId="36A3BDF1" w14:textId="6F9C28F4" w:rsidR="00695276" w:rsidRPr="00A97A20" w:rsidRDefault="00F41E8C">
      <w:pPr>
        <w:rPr>
          <w:lang w:val="en-US"/>
        </w:rPr>
      </w:pPr>
      <w:r w:rsidRPr="00A97A20">
        <w:rPr>
          <w:noProof/>
          <w:lang w:eastAsia="nl-NL"/>
        </w:rPr>
        <w:lastRenderedPageBreak/>
        <w:drawing>
          <wp:inline distT="0" distB="0" distL="0" distR="0" wp14:anchorId="54DC1193" wp14:editId="23B455E7">
            <wp:extent cx="5756910" cy="239776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645_NK_2D_bin_logFC.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2397760"/>
                    </a:xfrm>
                    <a:prstGeom prst="rect">
                      <a:avLst/>
                    </a:prstGeom>
                  </pic:spPr>
                </pic:pic>
              </a:graphicData>
            </a:graphic>
          </wp:inline>
        </w:drawing>
      </w:r>
    </w:p>
    <w:p w14:paraId="1C4A43E5" w14:textId="77777777" w:rsidR="00E75085" w:rsidRPr="00A97A20" w:rsidRDefault="00E75085" w:rsidP="00695276">
      <w:pPr>
        <w:spacing w:line="360" w:lineRule="auto"/>
        <w:rPr>
          <w:b/>
          <w:lang w:val="en-US"/>
        </w:rPr>
      </w:pPr>
    </w:p>
    <w:p w14:paraId="742221A0" w14:textId="2A185750" w:rsidR="00695276" w:rsidRPr="00A97A20" w:rsidRDefault="00695276" w:rsidP="00695276">
      <w:pPr>
        <w:spacing w:line="360" w:lineRule="auto"/>
        <w:rPr>
          <w:b/>
          <w:lang w:val="en-US"/>
        </w:rPr>
      </w:pPr>
      <w:r w:rsidRPr="00A97A20">
        <w:rPr>
          <w:b/>
          <w:lang w:val="en-US"/>
        </w:rPr>
        <w:t xml:space="preserve">Supplemental Figure </w:t>
      </w:r>
      <w:r w:rsidR="00F41E8C" w:rsidRPr="00A97A20">
        <w:rPr>
          <w:b/>
          <w:lang w:val="en-US"/>
        </w:rPr>
        <w:t>7</w:t>
      </w:r>
      <w:r w:rsidRPr="00A97A20">
        <w:rPr>
          <w:b/>
          <w:lang w:val="en-US"/>
        </w:rPr>
        <w:t xml:space="preserve">. </w:t>
      </w:r>
      <w:r w:rsidR="0069065E" w:rsidRPr="00A97A20">
        <w:rPr>
          <w:b/>
          <w:lang w:val="en-US"/>
        </w:rPr>
        <w:t>Two-dimensional bin analysis of Granzyme B (GrzB) and TIM-3 marker expression in patients with primary resistance (Prim-R) and acquired resistance (Acq-R).</w:t>
      </w:r>
      <w:r w:rsidRPr="00A97A20">
        <w:rPr>
          <w:b/>
          <w:lang w:val="en-US"/>
        </w:rPr>
        <w:t xml:space="preserve"> </w:t>
      </w:r>
    </w:p>
    <w:p w14:paraId="5A096351" w14:textId="4616148F" w:rsidR="0069065E" w:rsidRPr="00A97A20" w:rsidRDefault="0069065E" w:rsidP="00500AC8">
      <w:pPr>
        <w:spacing w:line="360" w:lineRule="auto"/>
        <w:rPr>
          <w:lang w:val="en-US"/>
        </w:rPr>
      </w:pPr>
      <w:r w:rsidRPr="00A97A20">
        <w:rPr>
          <w:lang w:val="en-US"/>
        </w:rPr>
        <w:t xml:space="preserve">To study coordinated changes in the expression of GrzB and TIM-3, the intensity distribution of each marker was divided into bins, and cells were assigned to each bin depending on the expression value of these markers. For each combination of the bins we counted the number of cells for each of the four groups under study (responders at baseline, non-responders at baseline, responders at end of treatment (patients with acquired resistance, Acq-R) and non-responders at end of treatment (patients with primary resistance, Prim-R) ). </w:t>
      </w:r>
    </w:p>
    <w:p w14:paraId="175DB44C" w14:textId="653D35B7" w:rsidR="00695276" w:rsidRPr="00A97A20" w:rsidRDefault="0069065E" w:rsidP="00500AC8">
      <w:pPr>
        <w:spacing w:line="360" w:lineRule="auto"/>
        <w:rPr>
          <w:lang w:val="en-US"/>
        </w:rPr>
      </w:pPr>
      <w:r w:rsidRPr="00A97A20">
        <w:rPr>
          <w:lang w:val="en-US"/>
        </w:rPr>
        <w:t>Next we computed the fold change in bin size corresponding to Prim-R  vs baseline (non-responders, left panel) and Acq-R vs baseline (responders, right panel). These log2 fold changes (log2FC) are plotted for each bin, with the X and Y axis showing the minimum expression level of TIM-3 and GrzB in each bin, respectively. The size of the squares represents the total number of cells in each bin at baseline and end of treatment.</w:t>
      </w:r>
    </w:p>
    <w:p w14:paraId="126F8379" w14:textId="58F05F62" w:rsidR="00695276" w:rsidRPr="00A97A20" w:rsidRDefault="00695276" w:rsidP="00695276">
      <w:pPr>
        <w:rPr>
          <w:lang w:val="en-US"/>
        </w:rPr>
      </w:pPr>
      <w:r w:rsidRPr="00A97A20">
        <w:rPr>
          <w:lang w:val="en-US"/>
        </w:rPr>
        <w:br w:type="page"/>
      </w:r>
    </w:p>
    <w:p w14:paraId="513FC155" w14:textId="77777777" w:rsidR="008B471B" w:rsidRPr="00A97A20" w:rsidRDefault="008B471B" w:rsidP="008B471B">
      <w:pPr>
        <w:rPr>
          <w:lang w:val="en-US"/>
        </w:rPr>
      </w:pPr>
    </w:p>
    <w:p w14:paraId="46DB6B8A" w14:textId="264A3C44" w:rsidR="008B471B" w:rsidRPr="00A97A20" w:rsidRDefault="00B32E47" w:rsidP="008B471B">
      <w:pPr>
        <w:spacing w:line="360" w:lineRule="auto"/>
        <w:rPr>
          <w:b/>
          <w:lang w:val="en-US"/>
        </w:rPr>
      </w:pPr>
      <w:r w:rsidRPr="00A97A20">
        <w:rPr>
          <w:b/>
          <w:noProof/>
          <w:lang w:eastAsia="nl-NL"/>
        </w:rPr>
        <w:drawing>
          <wp:inline distT="0" distB="0" distL="0" distR="0" wp14:anchorId="08F6C191" wp14:editId="70369EF3">
            <wp:extent cx="4088534" cy="7172325"/>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7174" cy="7187481"/>
                    </a:xfrm>
                    <a:prstGeom prst="rect">
                      <a:avLst/>
                    </a:prstGeom>
                  </pic:spPr>
                </pic:pic>
              </a:graphicData>
            </a:graphic>
          </wp:inline>
        </w:drawing>
      </w:r>
    </w:p>
    <w:p w14:paraId="179ED788" w14:textId="61201CE1" w:rsidR="008B471B" w:rsidRPr="00A97A20" w:rsidRDefault="008B471B" w:rsidP="008B471B">
      <w:pPr>
        <w:spacing w:line="360" w:lineRule="auto"/>
        <w:rPr>
          <w:lang w:val="en-US"/>
        </w:rPr>
      </w:pPr>
      <w:r w:rsidRPr="00A97A20">
        <w:rPr>
          <w:b/>
          <w:lang w:val="en-US"/>
        </w:rPr>
        <w:t xml:space="preserve">Supplemental Figure </w:t>
      </w:r>
      <w:r w:rsidR="00E75085" w:rsidRPr="00A97A20">
        <w:rPr>
          <w:b/>
          <w:lang w:val="en-US"/>
        </w:rPr>
        <w:t>8</w:t>
      </w:r>
      <w:r w:rsidRPr="00A97A20">
        <w:rPr>
          <w:b/>
          <w:lang w:val="en-US"/>
        </w:rPr>
        <w:t xml:space="preserve">. Gating strategy of NK cell </w:t>
      </w:r>
      <w:r w:rsidR="00B32E47" w:rsidRPr="00A97A20">
        <w:rPr>
          <w:b/>
          <w:lang w:val="en-US"/>
        </w:rPr>
        <w:t>phenotype</w:t>
      </w:r>
      <w:r w:rsidRPr="00A97A20">
        <w:rPr>
          <w:b/>
          <w:lang w:val="en-US"/>
        </w:rPr>
        <w:t xml:space="preserve"> measured by flow cytometry in peripheral </w:t>
      </w:r>
      <w:r w:rsidR="00B32E47" w:rsidRPr="00A97A20">
        <w:rPr>
          <w:b/>
          <w:lang w:val="en-US"/>
        </w:rPr>
        <w:t xml:space="preserve">blood </w:t>
      </w:r>
      <w:r w:rsidRPr="00A97A20">
        <w:rPr>
          <w:b/>
          <w:lang w:val="en-US"/>
        </w:rPr>
        <w:t xml:space="preserve">samples. </w:t>
      </w:r>
      <w:r w:rsidRPr="00A97A20">
        <w:rPr>
          <w:lang w:val="en-US"/>
        </w:rPr>
        <w:t xml:space="preserve"> </w:t>
      </w:r>
    </w:p>
    <w:p w14:paraId="4DB6D9BD" w14:textId="72A763AE" w:rsidR="00C90DD4" w:rsidRPr="00A97A20" w:rsidRDefault="008B471B" w:rsidP="00573472">
      <w:pPr>
        <w:spacing w:line="360" w:lineRule="auto"/>
        <w:rPr>
          <w:lang w:val="en-US"/>
        </w:rPr>
      </w:pPr>
      <w:r w:rsidRPr="00A97A20">
        <w:rPr>
          <w:lang w:val="en-US"/>
        </w:rPr>
        <w:t xml:space="preserve">Representative contour plots illustrate the gating strategy of circulating NK cells </w:t>
      </w:r>
      <w:r w:rsidR="00B32E47" w:rsidRPr="00A97A20">
        <w:rPr>
          <w:lang w:val="en-US"/>
        </w:rPr>
        <w:t>(</w:t>
      </w:r>
      <w:r w:rsidR="00686FB2" w:rsidRPr="00A97A20">
        <w:rPr>
          <w:lang w:val="en-US"/>
        </w:rPr>
        <w:t>defined as CD45</w:t>
      </w:r>
      <w:r w:rsidR="00686FB2" w:rsidRPr="00A97A20">
        <w:rPr>
          <w:vertAlign w:val="superscript"/>
          <w:lang w:val="en-US"/>
        </w:rPr>
        <w:t>+</w:t>
      </w:r>
      <w:r w:rsidR="00686FB2" w:rsidRPr="00A97A20">
        <w:rPr>
          <w:lang w:val="en-US"/>
        </w:rPr>
        <w:t>CD14</w:t>
      </w:r>
      <w:r w:rsidR="00686FB2" w:rsidRPr="00A97A20">
        <w:rPr>
          <w:vertAlign w:val="superscript"/>
          <w:lang w:val="en-US"/>
        </w:rPr>
        <w:t>-</w:t>
      </w:r>
      <w:r w:rsidR="00686FB2" w:rsidRPr="00A97A20">
        <w:rPr>
          <w:lang w:val="en-US"/>
        </w:rPr>
        <w:t>CD56</w:t>
      </w:r>
      <w:r w:rsidR="00686FB2" w:rsidRPr="00A97A20">
        <w:rPr>
          <w:vertAlign w:val="superscript"/>
          <w:lang w:val="en-US"/>
        </w:rPr>
        <w:t>+</w:t>
      </w:r>
      <w:r w:rsidR="00686FB2" w:rsidRPr="00A97A20">
        <w:rPr>
          <w:lang w:val="en-US"/>
        </w:rPr>
        <w:t>CD3</w:t>
      </w:r>
      <w:r w:rsidR="00E03CC8" w:rsidRPr="00A97A20">
        <w:rPr>
          <w:vertAlign w:val="superscript"/>
          <w:lang w:val="en-US"/>
        </w:rPr>
        <w:t>-</w:t>
      </w:r>
      <w:r w:rsidR="00686FB2" w:rsidRPr="00A97A20">
        <w:rPr>
          <w:lang w:val="en-US"/>
        </w:rPr>
        <w:t xml:space="preserve"> cells, whereby doubles and dead cells were excluded</w:t>
      </w:r>
      <w:r w:rsidR="00B32E47" w:rsidRPr="00A97A20">
        <w:rPr>
          <w:lang w:val="en-US"/>
        </w:rPr>
        <w:t xml:space="preserve">), </w:t>
      </w:r>
      <w:r w:rsidRPr="00A97A20">
        <w:rPr>
          <w:lang w:val="en-US"/>
        </w:rPr>
        <w:t xml:space="preserve">and NK cell </w:t>
      </w:r>
      <w:r w:rsidR="00B354A9" w:rsidRPr="00A97A20">
        <w:rPr>
          <w:lang w:val="en-US"/>
        </w:rPr>
        <w:lastRenderedPageBreak/>
        <w:t xml:space="preserve">surface </w:t>
      </w:r>
      <w:r w:rsidR="00B32E47" w:rsidRPr="00A97A20">
        <w:rPr>
          <w:lang w:val="en-US"/>
        </w:rPr>
        <w:t>proteins</w:t>
      </w:r>
      <w:r w:rsidR="00B354A9" w:rsidRPr="00A97A20">
        <w:rPr>
          <w:lang w:val="en-US"/>
        </w:rPr>
        <w:t xml:space="preserve"> in </w:t>
      </w:r>
      <w:r w:rsidRPr="00A97A20">
        <w:rPr>
          <w:lang w:val="en-US"/>
        </w:rPr>
        <w:t>peripheral blood sample</w:t>
      </w:r>
      <w:r w:rsidR="00B354A9" w:rsidRPr="00A97A20">
        <w:rPr>
          <w:lang w:val="en-US"/>
        </w:rPr>
        <w:t>s</w:t>
      </w:r>
      <w:r w:rsidRPr="00A97A20">
        <w:rPr>
          <w:lang w:val="en-US"/>
        </w:rPr>
        <w:t xml:space="preserve"> from a representative patient</w:t>
      </w:r>
      <w:r w:rsidR="00B32E47" w:rsidRPr="00A97A20">
        <w:rPr>
          <w:lang w:val="en-US"/>
        </w:rPr>
        <w:t xml:space="preserve"> at baseline and cycle 2 day 1 (C2D1)</w:t>
      </w:r>
      <w:r w:rsidRPr="00A97A20">
        <w:rPr>
          <w:lang w:val="en-US"/>
        </w:rPr>
        <w:t xml:space="preserve">. </w:t>
      </w:r>
      <w:r w:rsidR="00C90DD4" w:rsidRPr="00A97A20">
        <w:rPr>
          <w:lang w:val="en-US"/>
        </w:rPr>
        <w:br w:type="page"/>
      </w:r>
    </w:p>
    <w:p w14:paraId="6731C6CB" w14:textId="552E6DB4" w:rsidR="008B471B" w:rsidRPr="00A97A20" w:rsidRDefault="00113A2B" w:rsidP="008B471B">
      <w:pPr>
        <w:spacing w:line="360" w:lineRule="auto"/>
      </w:pPr>
      <w:r w:rsidRPr="00A97A20">
        <w:rPr>
          <w:noProof/>
          <w:lang w:eastAsia="nl-NL"/>
        </w:rPr>
        <w:lastRenderedPageBreak/>
        <w:drawing>
          <wp:inline distT="0" distB="0" distL="0" distR="0" wp14:anchorId="41BCCC8E" wp14:editId="61C025EE">
            <wp:extent cx="5756910" cy="67513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Figure 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6751320"/>
                    </a:xfrm>
                    <a:prstGeom prst="rect">
                      <a:avLst/>
                    </a:prstGeom>
                  </pic:spPr>
                </pic:pic>
              </a:graphicData>
            </a:graphic>
          </wp:inline>
        </w:drawing>
      </w:r>
    </w:p>
    <w:p w14:paraId="7BA45A2B" w14:textId="4197DEC5" w:rsidR="008B471B" w:rsidRPr="00A97A20" w:rsidRDefault="008B471B" w:rsidP="008B471B">
      <w:pPr>
        <w:spacing w:line="360" w:lineRule="auto"/>
        <w:rPr>
          <w:b/>
          <w:lang w:val="en-US"/>
        </w:rPr>
      </w:pPr>
      <w:r w:rsidRPr="00A97A20">
        <w:rPr>
          <w:b/>
          <w:lang w:val="en-US"/>
        </w:rPr>
        <w:t>Supplemental Figure</w:t>
      </w:r>
      <w:r w:rsidR="00695276" w:rsidRPr="00A97A20">
        <w:rPr>
          <w:b/>
          <w:lang w:val="en-US"/>
        </w:rPr>
        <w:t xml:space="preserve"> </w:t>
      </w:r>
      <w:r w:rsidR="00E75085" w:rsidRPr="00A97A20">
        <w:rPr>
          <w:b/>
          <w:lang w:val="en-US"/>
        </w:rPr>
        <w:t>9</w:t>
      </w:r>
      <w:r w:rsidRPr="00A97A20">
        <w:rPr>
          <w:b/>
          <w:lang w:val="en-US"/>
        </w:rPr>
        <w:t>. Early changes in</w:t>
      </w:r>
      <w:r w:rsidR="00B354A9" w:rsidRPr="00A97A20">
        <w:rPr>
          <w:b/>
          <w:lang w:val="en-US"/>
        </w:rPr>
        <w:t xml:space="preserve"> peripheral blood-</w:t>
      </w:r>
      <w:r w:rsidRPr="00A97A20">
        <w:rPr>
          <w:b/>
          <w:lang w:val="en-US"/>
        </w:rPr>
        <w:t>NK cell phenotype were comparable between responding and non-responding patients.</w:t>
      </w:r>
    </w:p>
    <w:p w14:paraId="335D7795" w14:textId="4F3DAF5C" w:rsidR="005109D1" w:rsidRPr="00A97A20" w:rsidRDefault="008B471B" w:rsidP="008B471B">
      <w:pPr>
        <w:spacing w:line="360" w:lineRule="auto"/>
        <w:rPr>
          <w:lang w:val="en-US"/>
        </w:rPr>
      </w:pPr>
      <w:bookmarkStart w:id="0" w:name="OLE_LINK1"/>
      <w:r w:rsidRPr="00A97A20">
        <w:rPr>
          <w:lang w:val="en-US"/>
        </w:rPr>
        <w:t>Peripheral</w:t>
      </w:r>
      <w:r w:rsidR="00960904" w:rsidRPr="00A97A20">
        <w:rPr>
          <w:lang w:val="en-US"/>
        </w:rPr>
        <w:t xml:space="preserve"> blood samples from 20 </w:t>
      </w:r>
      <w:r w:rsidRPr="00A97A20">
        <w:rPr>
          <w:lang w:val="en-US"/>
        </w:rPr>
        <w:t xml:space="preserve">patients (10 </w:t>
      </w:r>
      <w:r w:rsidR="00830581" w:rsidRPr="00A97A20">
        <w:rPr>
          <w:lang w:val="en-US"/>
        </w:rPr>
        <w:t xml:space="preserve">responding </w:t>
      </w:r>
      <w:r w:rsidR="00113A2B" w:rsidRPr="00A97A20">
        <w:rPr>
          <w:lang w:val="en-US"/>
        </w:rPr>
        <w:t>patients</w:t>
      </w:r>
      <w:r w:rsidR="00830581" w:rsidRPr="00A97A20">
        <w:rPr>
          <w:lang w:val="en-US"/>
        </w:rPr>
        <w:t xml:space="preserve"> [partial response or better] who developed </w:t>
      </w:r>
      <w:r w:rsidR="00113A2B" w:rsidRPr="00A97A20">
        <w:rPr>
          <w:lang w:val="en-US"/>
        </w:rPr>
        <w:t>acquired</w:t>
      </w:r>
      <w:r w:rsidR="00830581" w:rsidRPr="00A97A20">
        <w:rPr>
          <w:lang w:val="en-US"/>
        </w:rPr>
        <w:t xml:space="preserve"> daratumumab-</w:t>
      </w:r>
      <w:r w:rsidR="00113A2B" w:rsidRPr="00A97A20">
        <w:rPr>
          <w:lang w:val="en-US"/>
        </w:rPr>
        <w:t>resis</w:t>
      </w:r>
      <w:r w:rsidR="00830581" w:rsidRPr="00A97A20">
        <w:rPr>
          <w:lang w:val="en-US"/>
        </w:rPr>
        <w:t>tance [</w:t>
      </w:r>
      <w:r w:rsidR="00113A2B" w:rsidRPr="00A97A20">
        <w:rPr>
          <w:lang w:val="en-US"/>
        </w:rPr>
        <w:t>Acq-R</w:t>
      </w:r>
      <w:r w:rsidR="00830581" w:rsidRPr="00A97A20">
        <w:rPr>
          <w:lang w:val="en-US"/>
        </w:rPr>
        <w:t>]</w:t>
      </w:r>
      <w:r w:rsidR="004A0F5D" w:rsidRPr="00A97A20">
        <w:rPr>
          <w:lang w:val="en-US"/>
        </w:rPr>
        <w:t>,</w:t>
      </w:r>
      <w:r w:rsidRPr="00A97A20">
        <w:rPr>
          <w:lang w:val="en-US"/>
        </w:rPr>
        <w:t xml:space="preserve"> and 10 </w:t>
      </w:r>
      <w:r w:rsidR="007C035A" w:rsidRPr="00A97A20">
        <w:rPr>
          <w:lang w:val="en-US"/>
        </w:rPr>
        <w:t>patients with primary resistance, Prim-R [non-responders]</w:t>
      </w:r>
      <w:r w:rsidRPr="00A97A20">
        <w:rPr>
          <w:lang w:val="en-US"/>
        </w:rPr>
        <w:t xml:space="preserve">) were subjected to in-depth immune profiling using flow cytometry. </w:t>
      </w:r>
      <w:bookmarkEnd w:id="0"/>
    </w:p>
    <w:p w14:paraId="6B24308F" w14:textId="1A6DB847" w:rsidR="008B471B" w:rsidRPr="00A97A20" w:rsidRDefault="00F762ED" w:rsidP="008B471B">
      <w:pPr>
        <w:spacing w:line="360" w:lineRule="auto"/>
        <w:rPr>
          <w:lang w:val="en-US"/>
        </w:rPr>
      </w:pPr>
      <w:r w:rsidRPr="00A97A20">
        <w:rPr>
          <w:rFonts w:cstheme="minorHAnsi"/>
          <w:lang w:val="en-US"/>
        </w:rPr>
        <w:lastRenderedPageBreak/>
        <w:t xml:space="preserve">Dots represent individual samples, with box and whiskers, </w:t>
      </w:r>
      <w:r w:rsidRPr="00A97A20">
        <w:rPr>
          <w:lang w:val="en-US"/>
        </w:rPr>
        <w:t>representing median, 25</w:t>
      </w:r>
      <w:r w:rsidRPr="00A97A20">
        <w:rPr>
          <w:vertAlign w:val="superscript"/>
          <w:lang w:val="en-US"/>
        </w:rPr>
        <w:t>th</w:t>
      </w:r>
      <w:r w:rsidRPr="00A97A20">
        <w:rPr>
          <w:lang w:val="en-US"/>
        </w:rPr>
        <w:t>-75</w:t>
      </w:r>
      <w:r w:rsidRPr="00A97A20">
        <w:rPr>
          <w:vertAlign w:val="superscript"/>
          <w:lang w:val="en-US"/>
        </w:rPr>
        <w:t>th</w:t>
      </w:r>
      <w:r w:rsidRPr="00A97A20">
        <w:rPr>
          <w:lang w:val="en-US"/>
        </w:rPr>
        <w:t xml:space="preserve"> percentile, and range</w:t>
      </w:r>
      <w:r w:rsidRPr="00A97A20">
        <w:rPr>
          <w:rFonts w:cstheme="minorHAnsi"/>
          <w:lang w:val="en-US"/>
        </w:rPr>
        <w:t xml:space="preserve">. </w:t>
      </w:r>
      <w:r w:rsidR="008B471B" w:rsidRPr="00A97A20">
        <w:rPr>
          <w:lang w:val="en-US"/>
        </w:rPr>
        <w:t xml:space="preserve">Groups were compared using Friedman test with Dunn’s multiple comparison post-test (when data did not follow a normal distribution), or using RM one-way ANOVA with Holm-Šídák’s multiple comparison post-test (when data followed a normal distribution). EOT-A values from </w:t>
      </w:r>
      <w:r w:rsidR="007C035A" w:rsidRPr="00A97A20">
        <w:rPr>
          <w:lang w:val="en-US"/>
        </w:rPr>
        <w:t>Acq-R and Prim-R patients</w:t>
      </w:r>
      <w:r w:rsidR="008B471B" w:rsidRPr="00A97A20">
        <w:rPr>
          <w:lang w:val="en-US"/>
        </w:rPr>
        <w:t xml:space="preserve"> were compared using unpaired t-test or Mann-Whitney test. </w:t>
      </w:r>
    </w:p>
    <w:p w14:paraId="6667D169" w14:textId="77777777" w:rsidR="008B471B" w:rsidRPr="00A97A20" w:rsidRDefault="008B471B" w:rsidP="008B471B">
      <w:pPr>
        <w:spacing w:line="360" w:lineRule="auto"/>
        <w:rPr>
          <w:lang w:val="en-US"/>
        </w:rPr>
      </w:pPr>
      <w:r w:rsidRPr="00A97A20">
        <w:rPr>
          <w:lang w:val="en-US"/>
        </w:rPr>
        <w:t>Abbreviations: ns, not significant; *</w:t>
      </w:r>
      <w:r w:rsidRPr="00A97A20">
        <w:rPr>
          <w:i/>
          <w:lang w:val="en-US"/>
        </w:rPr>
        <w:t>P</w:t>
      </w:r>
      <w:r w:rsidRPr="00A97A20">
        <w:rPr>
          <w:lang w:val="en-US"/>
        </w:rPr>
        <w:t>&lt;0.05; **</w:t>
      </w:r>
      <w:r w:rsidRPr="00A97A20">
        <w:rPr>
          <w:i/>
          <w:lang w:val="en-US"/>
        </w:rPr>
        <w:t>P</w:t>
      </w:r>
      <w:r w:rsidRPr="00A97A20">
        <w:rPr>
          <w:lang w:val="en-US"/>
        </w:rPr>
        <w:t>&lt;0.01, ***</w:t>
      </w:r>
      <w:r w:rsidRPr="00A97A20">
        <w:rPr>
          <w:i/>
          <w:lang w:val="en-US"/>
        </w:rPr>
        <w:t>P</w:t>
      </w:r>
      <w:r w:rsidRPr="00A97A20">
        <w:rPr>
          <w:lang w:val="en-US"/>
        </w:rPr>
        <w:t>&lt;0.001; ****</w:t>
      </w:r>
      <w:r w:rsidRPr="00A97A20">
        <w:rPr>
          <w:i/>
          <w:lang w:val="en-US"/>
        </w:rPr>
        <w:t>P</w:t>
      </w:r>
      <w:r w:rsidRPr="00A97A20">
        <w:rPr>
          <w:lang w:val="en-US"/>
        </w:rPr>
        <w:t xml:space="preserve">&lt;0.0001. </w:t>
      </w:r>
    </w:p>
    <w:p w14:paraId="3BA642AD" w14:textId="32615BCE" w:rsidR="000E05EA" w:rsidRPr="00A97A20" w:rsidRDefault="000E05EA">
      <w:pPr>
        <w:rPr>
          <w:b/>
          <w:lang w:val="en-US"/>
        </w:rPr>
      </w:pPr>
      <w:r w:rsidRPr="00A97A20">
        <w:rPr>
          <w:b/>
          <w:lang w:val="en-US"/>
        </w:rPr>
        <w:br w:type="page"/>
      </w:r>
    </w:p>
    <w:p w14:paraId="11A99B15" w14:textId="19039785" w:rsidR="003A052C" w:rsidRPr="00A97A20" w:rsidRDefault="003E40BD" w:rsidP="008C2E26">
      <w:pPr>
        <w:spacing w:line="360" w:lineRule="auto"/>
        <w:rPr>
          <w:lang w:val="en-US"/>
        </w:rPr>
      </w:pPr>
      <w:r w:rsidRPr="00A97A20">
        <w:rPr>
          <w:noProof/>
          <w:lang w:eastAsia="nl-NL"/>
        </w:rPr>
        <w:lastRenderedPageBreak/>
        <w:drawing>
          <wp:inline distT="0" distB="0" distL="0" distR="0" wp14:anchorId="39D89478" wp14:editId="21A12760">
            <wp:extent cx="5756910" cy="682244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 ne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6822440"/>
                    </a:xfrm>
                    <a:prstGeom prst="rect">
                      <a:avLst/>
                    </a:prstGeom>
                  </pic:spPr>
                </pic:pic>
              </a:graphicData>
            </a:graphic>
          </wp:inline>
        </w:drawing>
      </w:r>
    </w:p>
    <w:p w14:paraId="732F9585" w14:textId="18F3A227" w:rsidR="003E40BD" w:rsidRPr="00A97A20" w:rsidRDefault="006879FA" w:rsidP="003E40BD">
      <w:pPr>
        <w:spacing w:line="360" w:lineRule="auto"/>
        <w:rPr>
          <w:rFonts w:cstheme="minorHAnsi"/>
          <w:lang w:val="en-US"/>
        </w:rPr>
      </w:pPr>
      <w:r w:rsidRPr="00A97A20">
        <w:rPr>
          <w:rFonts w:cstheme="minorHAnsi"/>
          <w:b/>
          <w:lang w:val="en-US"/>
        </w:rPr>
        <w:t>Supplemental Figure</w:t>
      </w:r>
      <w:r w:rsidR="00695276" w:rsidRPr="00A97A20">
        <w:rPr>
          <w:rFonts w:cstheme="minorHAnsi"/>
          <w:b/>
          <w:lang w:val="en-US"/>
        </w:rPr>
        <w:t xml:space="preserve"> </w:t>
      </w:r>
      <w:r w:rsidR="00E75085" w:rsidRPr="00A97A20">
        <w:rPr>
          <w:rFonts w:cstheme="minorHAnsi"/>
          <w:b/>
          <w:lang w:val="en-US"/>
        </w:rPr>
        <w:t>10</w:t>
      </w:r>
      <w:r w:rsidR="003E40BD" w:rsidRPr="00A97A20">
        <w:rPr>
          <w:rFonts w:cstheme="minorHAnsi"/>
          <w:b/>
          <w:lang w:val="en-US"/>
        </w:rPr>
        <w:t xml:space="preserve">. Daratumumab treatment results in enrichment of a cluster of </w:t>
      </w:r>
      <w:r w:rsidR="00B33D83" w:rsidRPr="00A97A20">
        <w:rPr>
          <w:rFonts w:cstheme="minorHAnsi"/>
          <w:b/>
          <w:lang w:val="en-US"/>
        </w:rPr>
        <w:t xml:space="preserve">circulating </w:t>
      </w:r>
      <w:r w:rsidR="003E40BD" w:rsidRPr="00A97A20">
        <w:rPr>
          <w:rFonts w:cstheme="minorHAnsi"/>
          <w:b/>
          <w:lang w:val="en-US"/>
        </w:rPr>
        <w:t>NK cells co-expressing TIM-3 and HLA-DR and with low CD16 expression.</w:t>
      </w:r>
    </w:p>
    <w:p w14:paraId="0387F85F" w14:textId="24C32DFE" w:rsidR="003E40BD" w:rsidRPr="00A97A20" w:rsidRDefault="003E40BD" w:rsidP="003E40BD">
      <w:pPr>
        <w:spacing w:line="360" w:lineRule="auto"/>
        <w:rPr>
          <w:rFonts w:cstheme="minorHAnsi"/>
          <w:bCs/>
          <w:lang w:val="en-US"/>
        </w:rPr>
      </w:pPr>
      <w:r w:rsidRPr="00A97A20">
        <w:rPr>
          <w:rFonts w:cstheme="minorHAnsi"/>
          <w:b/>
          <w:bCs/>
          <w:lang w:val="en-US"/>
        </w:rPr>
        <w:t xml:space="preserve">A,B </w:t>
      </w:r>
      <w:r w:rsidRPr="00A97A20">
        <w:rPr>
          <w:rFonts w:cstheme="minorHAnsi"/>
          <w:bCs/>
          <w:lang w:val="en-US"/>
        </w:rPr>
        <w:t xml:space="preserve">The two flow cytometry panels used for in-depth analysis of </w:t>
      </w:r>
      <w:r w:rsidR="00B33D83" w:rsidRPr="00A97A20">
        <w:rPr>
          <w:rFonts w:cstheme="minorHAnsi"/>
          <w:bCs/>
          <w:lang w:val="en-US"/>
        </w:rPr>
        <w:t xml:space="preserve">circulating </w:t>
      </w:r>
      <w:r w:rsidRPr="00A97A20">
        <w:rPr>
          <w:rFonts w:cstheme="minorHAnsi"/>
          <w:bCs/>
          <w:lang w:val="en-US"/>
        </w:rPr>
        <w:t xml:space="preserve">NK cells (NK cell panel 1 and 2) were analyzed using FlowSOM, a method to computationally identify cell populations. </w:t>
      </w:r>
      <w:r w:rsidRPr="00A97A20">
        <w:rPr>
          <w:rFonts w:cstheme="minorHAnsi"/>
          <w:b/>
          <w:bCs/>
          <w:lang w:val="en-US"/>
        </w:rPr>
        <w:t xml:space="preserve">A </w:t>
      </w:r>
      <w:r w:rsidRPr="00A97A20">
        <w:rPr>
          <w:rFonts w:cstheme="minorHAnsi"/>
          <w:lang w:val="en-US"/>
        </w:rPr>
        <w:t xml:space="preserve">The heatmap in the left panel depicts the median expression of all cell surface proteins for the metaclusters identified by FlowSOM in NK cell panel 1. Metacluster 4 (MC4; highlighted with the red box) consists of NK cells that express high levels of HLA-DR </w:t>
      </w:r>
      <w:r w:rsidRPr="00A97A20">
        <w:rPr>
          <w:rFonts w:cstheme="minorHAnsi"/>
          <w:lang w:val="en-US"/>
        </w:rPr>
        <w:lastRenderedPageBreak/>
        <w:t xml:space="preserve">and low levels of CD16, as visualized in more detail in the histograms in the middle panel. Percentage of MC4, relative to all NK cells, at baseline, C2D1 and EOT-A is visualized in the paired boxplots in the right panel. </w:t>
      </w:r>
      <w:r w:rsidRPr="00A97A20">
        <w:rPr>
          <w:rFonts w:cstheme="minorHAnsi"/>
          <w:b/>
          <w:lang w:val="en-US"/>
        </w:rPr>
        <w:t xml:space="preserve">B </w:t>
      </w:r>
      <w:r w:rsidRPr="00A97A20">
        <w:rPr>
          <w:rFonts w:cstheme="minorHAnsi"/>
          <w:lang w:val="en-US"/>
        </w:rPr>
        <w:t xml:space="preserve">The heatmap in the left panel depicts the median expression of all cell surface proteins for the metaclusters identified by FlowSOM in NK cell panel 2. Metacluster 1 (MC1; highlighted with the red box) consists of NK cells that express high levels of TIM-3 and low levels of CD16, as visualized in more detail in the histograms in the middle panel. Percentage of MC1, relative to all NK cells, at baseline, C2D1 and EOT-A is visualized in the paired boxplots in right panel. </w:t>
      </w:r>
      <w:r w:rsidRPr="00A97A20">
        <w:rPr>
          <w:rFonts w:cstheme="minorHAnsi"/>
          <w:b/>
          <w:bCs/>
          <w:lang w:val="en-US"/>
        </w:rPr>
        <w:t xml:space="preserve">C </w:t>
      </w:r>
      <w:r w:rsidRPr="00A97A20">
        <w:rPr>
          <w:rFonts w:cstheme="minorHAnsi"/>
          <w:bCs/>
          <w:lang w:val="en-US"/>
        </w:rPr>
        <w:t>To assess</w:t>
      </w:r>
      <w:r w:rsidRPr="00A97A20">
        <w:rPr>
          <w:rFonts w:cstheme="minorHAnsi"/>
          <w:b/>
          <w:bCs/>
          <w:lang w:val="en-US"/>
        </w:rPr>
        <w:t xml:space="preserve"> </w:t>
      </w:r>
      <w:r w:rsidRPr="00A97A20">
        <w:rPr>
          <w:rFonts w:cstheme="minorHAnsi"/>
          <w:lang w:val="en-US"/>
        </w:rPr>
        <w:t>whether the TIM-3</w:t>
      </w:r>
      <w:r w:rsidRPr="00A97A20">
        <w:rPr>
          <w:rFonts w:cstheme="minorHAnsi"/>
          <w:vertAlign w:val="superscript"/>
          <w:lang w:val="en-US"/>
        </w:rPr>
        <w:t>+</w:t>
      </w:r>
      <w:r w:rsidRPr="00A97A20">
        <w:rPr>
          <w:rFonts w:cstheme="minorHAnsi"/>
          <w:lang w:val="en-US"/>
        </w:rPr>
        <w:t xml:space="preserve"> and HLA-DR</w:t>
      </w:r>
      <w:r w:rsidRPr="00A97A20">
        <w:rPr>
          <w:rFonts w:cstheme="minorHAnsi"/>
          <w:vertAlign w:val="superscript"/>
          <w:lang w:val="en-US"/>
        </w:rPr>
        <w:t>+</w:t>
      </w:r>
      <w:r w:rsidRPr="00A97A20">
        <w:rPr>
          <w:rFonts w:cstheme="minorHAnsi"/>
          <w:lang w:val="en-US"/>
        </w:rPr>
        <w:t xml:space="preserve"> cells represented the same NK cell subset, we performed a correlation analysis between percentage of panel 1-MC4 and panel 2-MC1 using Spearman’s correlation coefficient (r). </w:t>
      </w:r>
      <w:r w:rsidRPr="00A97A20">
        <w:rPr>
          <w:bCs/>
          <w:lang w:val="en-US"/>
        </w:rPr>
        <w:t>The high correlation between the percentages of TIM-3</w:t>
      </w:r>
      <w:r w:rsidRPr="00A97A20">
        <w:rPr>
          <w:bCs/>
          <w:vertAlign w:val="superscript"/>
          <w:lang w:val="en-US"/>
        </w:rPr>
        <w:t>+</w:t>
      </w:r>
      <w:r w:rsidRPr="00A97A20">
        <w:rPr>
          <w:bCs/>
          <w:lang w:val="en-US"/>
        </w:rPr>
        <w:t xml:space="preserve"> and HLA-DR</w:t>
      </w:r>
      <w:r w:rsidRPr="00A97A20">
        <w:rPr>
          <w:bCs/>
          <w:vertAlign w:val="superscript"/>
          <w:lang w:val="en-US"/>
        </w:rPr>
        <w:t>+</w:t>
      </w:r>
      <w:r w:rsidRPr="00A97A20">
        <w:rPr>
          <w:bCs/>
          <w:lang w:val="en-US"/>
        </w:rPr>
        <w:t xml:space="preserve"> NK cell populations (r=0.98, </w:t>
      </w:r>
      <w:r w:rsidRPr="00A97A20">
        <w:rPr>
          <w:bCs/>
          <w:i/>
          <w:lang w:val="en-US"/>
        </w:rPr>
        <w:t>P</w:t>
      </w:r>
      <w:r w:rsidRPr="00A97A20">
        <w:rPr>
          <w:bCs/>
          <w:lang w:val="en-US"/>
        </w:rPr>
        <w:t>&lt;0.0001) strongly suggests that NK cells expressing the highest levels of TIM-3 and HLA-DR belong to the same subset of NK cells.</w:t>
      </w:r>
      <w:r w:rsidRPr="00A97A20">
        <w:rPr>
          <w:rFonts w:cstheme="minorHAnsi"/>
          <w:lang w:val="en-US"/>
        </w:rPr>
        <w:t xml:space="preserve"> </w:t>
      </w:r>
      <w:r w:rsidRPr="00A97A20">
        <w:rPr>
          <w:rFonts w:cstheme="minorHAnsi"/>
          <w:b/>
          <w:bCs/>
          <w:lang w:val="en-US"/>
        </w:rPr>
        <w:t xml:space="preserve">D </w:t>
      </w:r>
      <w:r w:rsidRPr="00A97A20">
        <w:rPr>
          <w:rFonts w:cstheme="minorHAnsi"/>
          <w:lang w:val="en-US"/>
        </w:rPr>
        <w:t xml:space="preserve">A UMAP analysis was performed on 100.000 NK cells from panel 1. HLA-DR expression (left panel) and CD16 expression (right panel) in the UMAP </w:t>
      </w:r>
      <w:r w:rsidRPr="00A97A20">
        <w:rPr>
          <w:rFonts w:cstheme="minorHAnsi"/>
          <w:bCs/>
          <w:lang w:val="en-US"/>
        </w:rPr>
        <w:t xml:space="preserve">analysis are visualized. The NK cells in FlowSOM MC4, as visualized in panel D, are encircled with the red line. </w:t>
      </w:r>
      <w:r w:rsidRPr="00A97A20">
        <w:rPr>
          <w:rFonts w:cstheme="minorHAnsi"/>
          <w:b/>
          <w:bCs/>
          <w:lang w:val="en-US"/>
        </w:rPr>
        <w:t xml:space="preserve">E </w:t>
      </w:r>
      <w:r w:rsidRPr="00A97A20">
        <w:rPr>
          <w:rFonts w:cstheme="minorHAnsi"/>
          <w:lang w:val="en-US"/>
        </w:rPr>
        <w:t xml:space="preserve">A UMAP analysis was performed on 100.000 NK cells from panel 2. TIM-3 expression (left panel) and CD16 expression (right panel) in the UMAP </w:t>
      </w:r>
      <w:r w:rsidRPr="00A97A20">
        <w:rPr>
          <w:rFonts w:cstheme="minorHAnsi"/>
          <w:bCs/>
          <w:lang w:val="en-US"/>
        </w:rPr>
        <w:t>analysis are visualized. The NK cells in FlowSOM MC1, as visualized in panel E, are encircled with the red line.</w:t>
      </w:r>
    </w:p>
    <w:p w14:paraId="124FFB1A" w14:textId="5892C8AD" w:rsidR="00E75085" w:rsidRPr="00A97A20" w:rsidRDefault="003E40BD" w:rsidP="003E40BD">
      <w:pPr>
        <w:spacing w:line="360" w:lineRule="auto"/>
        <w:rPr>
          <w:rFonts w:cstheme="minorHAnsi"/>
          <w:lang w:val="en-US"/>
        </w:rPr>
      </w:pPr>
      <w:r w:rsidRPr="00A97A20">
        <w:rPr>
          <w:rFonts w:cstheme="minorHAnsi"/>
          <w:lang w:val="en-US"/>
        </w:rPr>
        <w:t>Abbreviations: ns, not significant; *</w:t>
      </w:r>
      <w:r w:rsidRPr="00A97A20">
        <w:rPr>
          <w:rFonts w:cstheme="minorHAnsi"/>
          <w:i/>
          <w:lang w:val="en-US"/>
        </w:rPr>
        <w:t>P</w:t>
      </w:r>
      <w:r w:rsidRPr="00A97A20">
        <w:rPr>
          <w:rFonts w:cstheme="minorHAnsi"/>
          <w:lang w:val="en-US"/>
        </w:rPr>
        <w:t>&lt;0.05; **</w:t>
      </w:r>
      <w:r w:rsidRPr="00A97A20">
        <w:rPr>
          <w:rFonts w:cstheme="minorHAnsi"/>
          <w:i/>
          <w:lang w:val="en-US"/>
        </w:rPr>
        <w:t>P</w:t>
      </w:r>
      <w:r w:rsidRPr="00A97A20">
        <w:rPr>
          <w:rFonts w:cstheme="minorHAnsi"/>
          <w:lang w:val="en-US"/>
        </w:rPr>
        <w:t>&lt;0.01, ***</w:t>
      </w:r>
      <w:r w:rsidRPr="00A97A20">
        <w:rPr>
          <w:rFonts w:cstheme="minorHAnsi"/>
          <w:i/>
          <w:lang w:val="en-US"/>
        </w:rPr>
        <w:t>P</w:t>
      </w:r>
      <w:r w:rsidRPr="00A97A20">
        <w:rPr>
          <w:rFonts w:cstheme="minorHAnsi"/>
          <w:lang w:val="en-US"/>
        </w:rPr>
        <w:t>&lt;0.001; ****</w:t>
      </w:r>
      <w:r w:rsidRPr="00A97A20">
        <w:rPr>
          <w:rFonts w:cstheme="minorHAnsi"/>
          <w:i/>
          <w:lang w:val="en-US"/>
        </w:rPr>
        <w:t>P</w:t>
      </w:r>
      <w:r w:rsidRPr="00A97A20">
        <w:rPr>
          <w:rFonts w:cstheme="minorHAnsi"/>
          <w:lang w:val="en-US"/>
        </w:rPr>
        <w:t xml:space="preserve">&lt;0.0001. </w:t>
      </w:r>
    </w:p>
    <w:p w14:paraId="12296B51" w14:textId="77777777" w:rsidR="00E75085" w:rsidRPr="00A97A20" w:rsidRDefault="00E75085">
      <w:pPr>
        <w:rPr>
          <w:rFonts w:cstheme="minorHAnsi"/>
          <w:lang w:val="en-US"/>
        </w:rPr>
      </w:pPr>
      <w:r w:rsidRPr="00A97A20">
        <w:rPr>
          <w:rFonts w:cstheme="minorHAnsi"/>
          <w:lang w:val="en-US"/>
        </w:rPr>
        <w:br w:type="page"/>
      </w:r>
    </w:p>
    <w:p w14:paraId="6E5A0A87" w14:textId="77777777" w:rsidR="00894E76" w:rsidRPr="00A97A20" w:rsidRDefault="00894E76" w:rsidP="00E75085">
      <w:pPr>
        <w:spacing w:line="360" w:lineRule="auto"/>
        <w:rPr>
          <w:rFonts w:cstheme="minorHAnsi"/>
          <w:b/>
          <w:lang w:val="en-US"/>
        </w:rPr>
      </w:pPr>
      <w:r w:rsidRPr="00A97A20">
        <w:rPr>
          <w:rFonts w:cstheme="minorHAnsi"/>
          <w:b/>
          <w:noProof/>
          <w:lang w:eastAsia="nl-NL"/>
        </w:rPr>
        <w:lastRenderedPageBreak/>
        <w:drawing>
          <wp:inline distT="0" distB="0" distL="0" distR="0" wp14:anchorId="5896D1E8" wp14:editId="5F743F7D">
            <wp:extent cx="3448230" cy="5483810"/>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Figure LAG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2853" cy="5491162"/>
                    </a:xfrm>
                    <a:prstGeom prst="rect">
                      <a:avLst/>
                    </a:prstGeom>
                  </pic:spPr>
                </pic:pic>
              </a:graphicData>
            </a:graphic>
          </wp:inline>
        </w:drawing>
      </w:r>
    </w:p>
    <w:p w14:paraId="69DB93E8" w14:textId="3A5BC58B" w:rsidR="00E75085" w:rsidRPr="00A97A20" w:rsidRDefault="00894E76" w:rsidP="00E75085">
      <w:pPr>
        <w:spacing w:line="360" w:lineRule="auto"/>
        <w:rPr>
          <w:rFonts w:cstheme="minorHAnsi"/>
          <w:b/>
          <w:lang w:val="en-US"/>
        </w:rPr>
      </w:pPr>
      <w:r w:rsidRPr="00A97A20">
        <w:rPr>
          <w:rFonts w:cstheme="minorHAnsi"/>
          <w:b/>
          <w:lang w:val="en-US"/>
        </w:rPr>
        <w:t>Supplemental Figure 11</w:t>
      </w:r>
      <w:r w:rsidR="00E75085" w:rsidRPr="00A97A20">
        <w:rPr>
          <w:rFonts w:cstheme="minorHAnsi"/>
          <w:b/>
          <w:lang w:val="en-US"/>
        </w:rPr>
        <w:t xml:space="preserve">. Daratumumab-induced NK cell </w:t>
      </w:r>
      <w:r w:rsidRPr="00A97A20">
        <w:rPr>
          <w:rFonts w:cstheme="minorHAnsi"/>
          <w:b/>
          <w:lang w:val="en-US"/>
        </w:rPr>
        <w:t xml:space="preserve">activation does not result in </w:t>
      </w:r>
      <w:r w:rsidR="00E75085" w:rsidRPr="00A97A20">
        <w:rPr>
          <w:rFonts w:cstheme="minorHAnsi"/>
          <w:b/>
          <w:lang w:val="en-US"/>
        </w:rPr>
        <w:t xml:space="preserve">upregulation of </w:t>
      </w:r>
      <w:r w:rsidRPr="00A97A20">
        <w:rPr>
          <w:rFonts w:cstheme="minorHAnsi"/>
          <w:b/>
          <w:lang w:val="en-US"/>
        </w:rPr>
        <w:t>LAG3 in short-term assays</w:t>
      </w:r>
      <w:r w:rsidR="00E75085" w:rsidRPr="00A97A20">
        <w:rPr>
          <w:rFonts w:cstheme="minorHAnsi"/>
          <w:b/>
          <w:lang w:val="en-US"/>
        </w:rPr>
        <w:t>.</w:t>
      </w:r>
    </w:p>
    <w:p w14:paraId="27C62AF6" w14:textId="69ABDDA8" w:rsidR="00E75085" w:rsidRPr="00A97A20" w:rsidRDefault="00E75085" w:rsidP="00E75085">
      <w:pPr>
        <w:spacing w:line="360" w:lineRule="auto"/>
        <w:rPr>
          <w:lang w:val="en-US"/>
        </w:rPr>
      </w:pPr>
      <w:r w:rsidRPr="00A97A20">
        <w:rPr>
          <w:rFonts w:cstheme="minorHAnsi"/>
          <w:lang w:val="en-US"/>
        </w:rPr>
        <w:t xml:space="preserve">UM9 cells were incubated with solvent control or 10 μg/mL daratumumab in the presence of PB-MNCs (ratio of 50:1) for 4 or 24 hours. </w:t>
      </w:r>
      <w:r w:rsidRPr="00A97A20">
        <w:rPr>
          <w:rFonts w:cstheme="minorHAnsi"/>
          <w:b/>
          <w:lang w:val="en-US"/>
        </w:rPr>
        <w:t>A</w:t>
      </w:r>
      <w:r w:rsidRPr="00A97A20">
        <w:rPr>
          <w:rFonts w:cstheme="minorHAnsi"/>
          <w:lang w:val="en-US"/>
        </w:rPr>
        <w:t xml:space="preserve"> The proportion of </w:t>
      </w:r>
      <w:r w:rsidR="00894E76" w:rsidRPr="00A97A20">
        <w:rPr>
          <w:rFonts w:cstheme="minorHAnsi"/>
          <w:lang w:val="en-US"/>
        </w:rPr>
        <w:t>LAG3</w:t>
      </w:r>
      <w:r w:rsidRPr="00A97A20">
        <w:rPr>
          <w:rFonts w:cstheme="minorHAnsi"/>
          <w:vertAlign w:val="superscript"/>
          <w:lang w:val="en-US"/>
        </w:rPr>
        <w:t>+</w:t>
      </w:r>
      <w:r w:rsidRPr="00A97A20">
        <w:rPr>
          <w:rFonts w:cstheme="minorHAnsi"/>
          <w:lang w:val="en-US"/>
        </w:rPr>
        <w:t xml:space="preserve"> NK cells was determined by flow cytometric analysis. </w:t>
      </w:r>
      <w:r w:rsidRPr="00A97A20">
        <w:rPr>
          <w:rFonts w:cstheme="minorHAnsi"/>
          <w:b/>
          <w:lang w:val="en-US"/>
        </w:rPr>
        <w:t>B</w:t>
      </w:r>
      <w:r w:rsidRPr="00A97A20">
        <w:rPr>
          <w:lang w:val="en-US"/>
        </w:rPr>
        <w:t xml:space="preserve"> </w:t>
      </w:r>
      <w:r w:rsidRPr="00A97A20">
        <w:rPr>
          <w:rFonts w:cstheme="minorHAnsi"/>
          <w:lang w:val="en-US"/>
        </w:rPr>
        <w:t xml:space="preserve">Frequency of CD107a-positive cells based on presence or absence of </w:t>
      </w:r>
      <w:r w:rsidR="00894E76" w:rsidRPr="00A97A20">
        <w:rPr>
          <w:rFonts w:cstheme="minorHAnsi"/>
          <w:lang w:val="en-US"/>
        </w:rPr>
        <w:t>LAG3</w:t>
      </w:r>
      <w:r w:rsidRPr="00A97A20">
        <w:rPr>
          <w:rFonts w:cstheme="minorHAnsi"/>
          <w:lang w:val="en-US"/>
        </w:rPr>
        <w:t xml:space="preserve"> expression on NK cells after the 4- or 24-hour incubation with daratumumab or solvent control. </w:t>
      </w:r>
      <w:r w:rsidRPr="00A97A20">
        <w:rPr>
          <w:lang w:val="en-US"/>
        </w:rPr>
        <w:t xml:space="preserve">Data represent mean and standard error of mean (SEM) of </w:t>
      </w:r>
      <w:r w:rsidR="00894E76" w:rsidRPr="00A97A20">
        <w:rPr>
          <w:lang w:val="en-US"/>
        </w:rPr>
        <w:t>3</w:t>
      </w:r>
      <w:r w:rsidRPr="00A97A20">
        <w:rPr>
          <w:lang w:val="en-US"/>
        </w:rPr>
        <w:t xml:space="preserve"> independent experiments</w:t>
      </w:r>
      <w:r w:rsidR="00894E76" w:rsidRPr="00A97A20">
        <w:rPr>
          <w:lang w:val="en-US"/>
        </w:rPr>
        <w:t>, performed in tri</w:t>
      </w:r>
      <w:r w:rsidRPr="00A97A20">
        <w:rPr>
          <w:lang w:val="en-US"/>
        </w:rPr>
        <w:t>plicate. Paired Student t test was used to evaluate significance between both groups.</w:t>
      </w:r>
    </w:p>
    <w:p w14:paraId="786AE69F" w14:textId="14F703D2" w:rsidR="00E75085" w:rsidRPr="00A97A20" w:rsidRDefault="00E75085" w:rsidP="00E75085">
      <w:pPr>
        <w:spacing w:line="360" w:lineRule="auto"/>
        <w:rPr>
          <w:rFonts w:cstheme="minorHAnsi"/>
          <w:lang w:val="en-US"/>
        </w:rPr>
      </w:pPr>
      <w:r w:rsidRPr="00A97A20">
        <w:rPr>
          <w:rFonts w:cstheme="minorHAnsi"/>
          <w:lang w:val="en-US"/>
        </w:rPr>
        <w:t>Abbreviations: PB-MNCs, peripheral blood mononuclear cells; ns, not significant; *</w:t>
      </w:r>
      <w:r w:rsidRPr="00A97A20">
        <w:rPr>
          <w:rFonts w:cstheme="minorHAnsi"/>
          <w:i/>
          <w:lang w:val="en-US"/>
        </w:rPr>
        <w:t>P</w:t>
      </w:r>
      <w:r w:rsidRPr="00A97A20">
        <w:rPr>
          <w:rFonts w:cstheme="minorHAnsi"/>
          <w:lang w:val="en-US"/>
        </w:rPr>
        <w:t>&lt;0.05; **</w:t>
      </w:r>
      <w:r w:rsidR="00894E76" w:rsidRPr="00A97A20">
        <w:rPr>
          <w:rFonts w:cstheme="minorHAnsi"/>
          <w:lang w:val="en-US"/>
        </w:rPr>
        <w:t>*</w:t>
      </w:r>
      <w:r w:rsidRPr="00A97A20">
        <w:rPr>
          <w:rFonts w:cstheme="minorHAnsi"/>
          <w:lang w:val="en-US"/>
        </w:rPr>
        <w:t>*</w:t>
      </w:r>
      <w:r w:rsidRPr="00A97A20">
        <w:rPr>
          <w:rFonts w:cstheme="minorHAnsi"/>
          <w:i/>
          <w:lang w:val="en-US"/>
        </w:rPr>
        <w:t>P</w:t>
      </w:r>
      <w:r w:rsidRPr="00A97A20">
        <w:rPr>
          <w:rFonts w:cstheme="minorHAnsi"/>
          <w:lang w:val="en-US"/>
        </w:rPr>
        <w:t>&lt;0.0</w:t>
      </w:r>
      <w:r w:rsidR="00894E76" w:rsidRPr="00A97A20">
        <w:rPr>
          <w:rFonts w:cstheme="minorHAnsi"/>
          <w:lang w:val="en-US"/>
        </w:rPr>
        <w:t>0</w:t>
      </w:r>
      <w:r w:rsidRPr="00A97A20">
        <w:rPr>
          <w:rFonts w:cstheme="minorHAnsi"/>
          <w:lang w:val="en-US"/>
        </w:rPr>
        <w:t xml:space="preserve">01. </w:t>
      </w:r>
    </w:p>
    <w:p w14:paraId="5E618026" w14:textId="71B2310C" w:rsidR="000E05EA" w:rsidRPr="00A97A20" w:rsidRDefault="000E05EA">
      <w:pPr>
        <w:rPr>
          <w:b/>
          <w:lang w:val="en-US"/>
        </w:rPr>
      </w:pPr>
    </w:p>
    <w:p w14:paraId="081D9465" w14:textId="2FA169B8" w:rsidR="003A052C" w:rsidRPr="00A97A20" w:rsidRDefault="00C43C92" w:rsidP="008C2E26">
      <w:pPr>
        <w:spacing w:line="360" w:lineRule="auto"/>
        <w:rPr>
          <w:b/>
        </w:rPr>
      </w:pPr>
      <w:r w:rsidRPr="00A97A20">
        <w:rPr>
          <w:b/>
        </w:rPr>
        <w:lastRenderedPageBreak/>
        <w:t xml:space="preserve">References </w:t>
      </w:r>
    </w:p>
    <w:p w14:paraId="3BACF8AA" w14:textId="77777777" w:rsidR="001F51B7" w:rsidRPr="00A97A20" w:rsidRDefault="003A052C" w:rsidP="001F51B7">
      <w:pPr>
        <w:pStyle w:val="EndNoteBibliography"/>
        <w:ind w:left="720" w:hanging="720"/>
        <w:rPr>
          <w:noProof/>
        </w:rPr>
      </w:pPr>
      <w:r w:rsidRPr="00A97A20">
        <w:fldChar w:fldCharType="begin"/>
      </w:r>
      <w:r w:rsidRPr="00A97A20">
        <w:rPr>
          <w:lang w:val="nl-NL"/>
        </w:rPr>
        <w:instrText xml:space="preserve"> ADDIN EN.REFLIST </w:instrText>
      </w:r>
      <w:r w:rsidRPr="00A97A20">
        <w:fldChar w:fldCharType="separate"/>
      </w:r>
      <w:r w:rsidR="001F51B7" w:rsidRPr="00A97A20">
        <w:rPr>
          <w:noProof/>
          <w:lang w:val="nl-NL"/>
        </w:rPr>
        <w:t>1.</w:t>
      </w:r>
      <w:r w:rsidR="001F51B7" w:rsidRPr="00A97A20">
        <w:rPr>
          <w:noProof/>
          <w:lang w:val="nl-NL"/>
        </w:rPr>
        <w:tab/>
        <w:t xml:space="preserve">Krejcik J, Frerichs KA, Nijhof IS, et al. </w:t>
      </w:r>
      <w:r w:rsidR="001F51B7" w:rsidRPr="00A97A20">
        <w:rPr>
          <w:noProof/>
        </w:rPr>
        <w:t>Monocytes and Granulocytes Reduce CD38 Expression Levels on Myeloma Cells in Patients Treated with Daratumumab. Clin Cancer Res 2017;23(24):7498-7511. (In eng). DOI: 10.1158/1078-0432.Ccr-17-2027.</w:t>
      </w:r>
    </w:p>
    <w:p w14:paraId="49941B3A" w14:textId="77777777" w:rsidR="001F51B7" w:rsidRPr="00A97A20" w:rsidRDefault="001F51B7" w:rsidP="001F51B7">
      <w:pPr>
        <w:pStyle w:val="EndNoteBibliography"/>
        <w:ind w:left="720" w:hanging="720"/>
        <w:rPr>
          <w:noProof/>
        </w:rPr>
      </w:pPr>
      <w:r w:rsidRPr="00A97A20">
        <w:rPr>
          <w:noProof/>
        </w:rPr>
        <w:t>2.</w:t>
      </w:r>
      <w:r w:rsidRPr="00A97A20">
        <w:rPr>
          <w:noProof/>
        </w:rPr>
        <w:tab/>
        <w:t>Frerichs KA, Minnema MC, Levin MD, et al. Efficacy and Safety of Daratumumab Combined With All-Trans Retinoic Acid in Relapsed/Refractory Multiple Myeloma. Blood Adv 2021. DOI: 10.1182/bloodadvances.2021005220.</w:t>
      </w:r>
    </w:p>
    <w:p w14:paraId="27F2DBDD" w14:textId="0BFEA443" w:rsidR="001F51B7" w:rsidRPr="00A97A20" w:rsidRDefault="001F51B7" w:rsidP="001F51B7">
      <w:pPr>
        <w:pStyle w:val="EndNoteBibliography"/>
        <w:ind w:left="720" w:hanging="720"/>
        <w:rPr>
          <w:noProof/>
        </w:rPr>
      </w:pPr>
      <w:r w:rsidRPr="00A97A20">
        <w:rPr>
          <w:noProof/>
        </w:rPr>
        <w:t>3.</w:t>
      </w:r>
      <w:r w:rsidRPr="00A97A20">
        <w:rPr>
          <w:noProof/>
        </w:rPr>
        <w:tab/>
        <w:t xml:space="preserve">Emmaneel A, Quintelier K, Sichien D, et al. PeacoQC: Peak-based selection of high quality cytometry data. Cytometry Part A;n/a(n/a). DOI: </w:t>
      </w:r>
      <w:hyperlink r:id="rId20" w:history="1">
        <w:r w:rsidRPr="00A97A20">
          <w:rPr>
            <w:rStyle w:val="Hyperlink"/>
            <w:noProof/>
          </w:rPr>
          <w:t>https://doi.org/10.1002/cyto.a.24501</w:t>
        </w:r>
      </w:hyperlink>
      <w:r w:rsidRPr="00A97A20">
        <w:rPr>
          <w:noProof/>
        </w:rPr>
        <w:t>.</w:t>
      </w:r>
    </w:p>
    <w:p w14:paraId="6B4DA22C" w14:textId="77777777" w:rsidR="001F51B7" w:rsidRPr="00A97A20" w:rsidRDefault="001F51B7" w:rsidP="001F51B7">
      <w:pPr>
        <w:pStyle w:val="EndNoteBibliography"/>
        <w:ind w:left="720" w:hanging="720"/>
        <w:rPr>
          <w:noProof/>
        </w:rPr>
      </w:pPr>
      <w:r w:rsidRPr="00A97A20">
        <w:rPr>
          <w:noProof/>
        </w:rPr>
        <w:t>4.</w:t>
      </w:r>
      <w:r w:rsidRPr="00A97A20">
        <w:rPr>
          <w:noProof/>
        </w:rPr>
        <w:tab/>
        <w:t>Liechti T, Weber LM, Ashhurst TM, et al. An updated guide for the perplexed: cytometry in the high-dimensional era. Nature Immunology 2021;22(10):1190-1197. DOI: 10.1038/s41590-021-01006-z.</w:t>
      </w:r>
    </w:p>
    <w:p w14:paraId="66B8B170" w14:textId="77777777" w:rsidR="001F51B7" w:rsidRPr="00A97A20" w:rsidRDefault="001F51B7" w:rsidP="001F51B7">
      <w:pPr>
        <w:pStyle w:val="EndNoteBibliography"/>
        <w:ind w:left="720" w:hanging="720"/>
        <w:rPr>
          <w:noProof/>
          <w:lang w:val="nl-NL"/>
        </w:rPr>
      </w:pPr>
      <w:r w:rsidRPr="00A97A20">
        <w:rPr>
          <w:noProof/>
        </w:rPr>
        <w:t>5.</w:t>
      </w:r>
      <w:r w:rsidRPr="00A97A20">
        <w:rPr>
          <w:noProof/>
        </w:rPr>
        <w:tab/>
        <w:t xml:space="preserve">Quintelier K, Couckuyt A, Emmaneel A, Aerts J, Saeys Y, Van Gassen S. Analyzing high-dimensional cytometry data using FlowSOM. </w:t>
      </w:r>
      <w:r w:rsidRPr="00A97A20">
        <w:rPr>
          <w:noProof/>
          <w:lang w:val="nl-NL"/>
        </w:rPr>
        <w:t>Nature Protocols 2021;16(8):3775-3801. DOI: 10.1038/s41596-021-00550-0.</w:t>
      </w:r>
    </w:p>
    <w:p w14:paraId="73AA8C49" w14:textId="77777777" w:rsidR="001F51B7" w:rsidRPr="00A97A20" w:rsidRDefault="001F51B7" w:rsidP="001F51B7">
      <w:pPr>
        <w:pStyle w:val="EndNoteBibliography"/>
        <w:ind w:left="720" w:hanging="720"/>
        <w:rPr>
          <w:noProof/>
          <w:lang w:val="nl-NL"/>
        </w:rPr>
      </w:pPr>
      <w:r w:rsidRPr="00A97A20">
        <w:rPr>
          <w:noProof/>
          <w:lang w:val="nl-NL"/>
        </w:rPr>
        <w:t>6.</w:t>
      </w:r>
      <w:r w:rsidRPr="00A97A20">
        <w:rPr>
          <w:noProof/>
          <w:lang w:val="nl-NL"/>
        </w:rPr>
        <w:tab/>
        <w:t xml:space="preserve">Van Gassen S, Callebaut B, Van Helden MJ, et al. </w:t>
      </w:r>
      <w:r w:rsidRPr="00A97A20">
        <w:rPr>
          <w:noProof/>
        </w:rPr>
        <w:t xml:space="preserve">FlowSOM: Using self-organizing maps for visualization and interpretation of cytometry data. Cytometry Part A : the journal of the International Society for Analytical Cytology 2015;87(7):636-45. </w:t>
      </w:r>
      <w:r w:rsidRPr="00A97A20">
        <w:rPr>
          <w:noProof/>
          <w:lang w:val="nl-NL"/>
        </w:rPr>
        <w:t>(In eng). DOI: 10.1002/cyto.a.22625.</w:t>
      </w:r>
    </w:p>
    <w:p w14:paraId="2C7FC0D2" w14:textId="77777777" w:rsidR="001F51B7" w:rsidRPr="00A97A20" w:rsidRDefault="001F51B7" w:rsidP="001F51B7">
      <w:pPr>
        <w:pStyle w:val="EndNoteBibliography"/>
        <w:ind w:left="720" w:hanging="720"/>
        <w:rPr>
          <w:noProof/>
        </w:rPr>
      </w:pPr>
      <w:r w:rsidRPr="00A97A20">
        <w:rPr>
          <w:noProof/>
          <w:lang w:val="nl-NL"/>
        </w:rPr>
        <w:t>7.</w:t>
      </w:r>
      <w:r w:rsidRPr="00A97A20">
        <w:rPr>
          <w:noProof/>
          <w:lang w:val="nl-NL"/>
        </w:rPr>
        <w:tab/>
        <w:t xml:space="preserve">Becht E, McInnes L, Healy J, et al. </w:t>
      </w:r>
      <w:r w:rsidRPr="00A97A20">
        <w:rPr>
          <w:noProof/>
        </w:rPr>
        <w:t>Dimensionality reduction for visualizing single-cell data using UMAP. Nature biotechnology 2018 (In eng). DOI: 10.1038/nbt.4314.</w:t>
      </w:r>
    </w:p>
    <w:p w14:paraId="6BF85906" w14:textId="77777777" w:rsidR="001F51B7" w:rsidRPr="00A97A20" w:rsidRDefault="001F51B7" w:rsidP="001F51B7">
      <w:pPr>
        <w:pStyle w:val="EndNoteBibliography"/>
        <w:ind w:left="720" w:hanging="720"/>
        <w:rPr>
          <w:noProof/>
        </w:rPr>
      </w:pPr>
      <w:r w:rsidRPr="00A97A20">
        <w:rPr>
          <w:noProof/>
        </w:rPr>
        <w:t>8.</w:t>
      </w:r>
      <w:r w:rsidRPr="00A97A20">
        <w:rPr>
          <w:noProof/>
        </w:rPr>
        <w:tab/>
        <w:t>Diggins KE, Greenplate AR, Leelatian N, Wogsland CE, Irish JM. Characterizing cell subsets using marker enrichment modeling. Nat Methods 2017;14(3):275-278. (In eng). DOI: 10.1038/nmeth.4149.</w:t>
      </w:r>
    </w:p>
    <w:p w14:paraId="634DFA05" w14:textId="77777777" w:rsidR="001F51B7" w:rsidRPr="00A97A20" w:rsidRDefault="001F51B7" w:rsidP="001F51B7">
      <w:pPr>
        <w:pStyle w:val="EndNoteBibliography"/>
        <w:ind w:left="720" w:hanging="720"/>
        <w:rPr>
          <w:noProof/>
        </w:rPr>
      </w:pPr>
      <w:r w:rsidRPr="00A97A20">
        <w:rPr>
          <w:noProof/>
        </w:rPr>
        <w:t>9.</w:t>
      </w:r>
      <w:r w:rsidRPr="00A97A20">
        <w:rPr>
          <w:noProof/>
        </w:rPr>
        <w:tab/>
        <w:t>Demsar J, Leban G, Zupan B. FreeViz--an intelligent multivariate visualization approach to explorative analysis of biomedical data. J Biomed Inform 2007;40(6):661-71. (In eng). DOI: 10.1016/j.jbi.2007.03.010.</w:t>
      </w:r>
    </w:p>
    <w:p w14:paraId="0B3206C4" w14:textId="77777777" w:rsidR="001F51B7" w:rsidRPr="00A97A20" w:rsidRDefault="001F51B7" w:rsidP="001F51B7">
      <w:pPr>
        <w:pStyle w:val="EndNoteBibliography"/>
        <w:ind w:left="720" w:hanging="720"/>
        <w:rPr>
          <w:noProof/>
        </w:rPr>
      </w:pPr>
      <w:r w:rsidRPr="00A97A20">
        <w:rPr>
          <w:noProof/>
        </w:rPr>
        <w:t>10.</w:t>
      </w:r>
      <w:r w:rsidRPr="00A97A20">
        <w:rPr>
          <w:noProof/>
        </w:rPr>
        <w:tab/>
        <w:t>Abraham Y, Gerrits B, Ludwig MG, Rebhan M, Gubser Keller C. Exploring Glucocorticoid Receptor Agonists Mechanism of Action Through Mass Cytometry and Radial Visualizations. Cytometry B Clin Cytom 2017;92(1):42-56. (In eng). DOI: 10.1002/cyto.b.21499.</w:t>
      </w:r>
    </w:p>
    <w:p w14:paraId="565AED48" w14:textId="77777777" w:rsidR="001F51B7" w:rsidRPr="00A97A20" w:rsidRDefault="001F51B7" w:rsidP="001F51B7">
      <w:pPr>
        <w:pStyle w:val="EndNoteBibliography"/>
        <w:ind w:left="720" w:hanging="720"/>
        <w:rPr>
          <w:noProof/>
        </w:rPr>
      </w:pPr>
      <w:r w:rsidRPr="00A97A20">
        <w:rPr>
          <w:noProof/>
        </w:rPr>
        <w:t>11.</w:t>
      </w:r>
      <w:r w:rsidRPr="00A97A20">
        <w:rPr>
          <w:noProof/>
        </w:rPr>
        <w:tab/>
        <w:t>Wehrens R, Kruisselbrink J. Flexible Self-Organizing Maps in kohonen 3.0. Journal of Statistical Software 2018;87(7):1 - 18. DOI: 10.18637/jss.v087.i07.</w:t>
      </w:r>
    </w:p>
    <w:p w14:paraId="2B7AF413" w14:textId="26187AAA" w:rsidR="008C2E26" w:rsidRPr="007D4F5A" w:rsidRDefault="003A052C" w:rsidP="008C2E26">
      <w:pPr>
        <w:spacing w:line="360" w:lineRule="auto"/>
        <w:rPr>
          <w:lang w:val="en-US"/>
        </w:rPr>
      </w:pPr>
      <w:r w:rsidRPr="00A97A20">
        <w:rPr>
          <w:lang w:val="en-US"/>
        </w:rPr>
        <w:fldChar w:fldCharType="end"/>
      </w:r>
      <w:bookmarkStart w:id="1" w:name="_GoBack"/>
      <w:bookmarkEnd w:id="1"/>
    </w:p>
    <w:sectPr w:rsidR="008C2E26" w:rsidRPr="007D4F5A" w:rsidSect="0051234A">
      <w:footerReference w:type="default" r:id="rId21"/>
      <w:pgSz w:w="11900" w:h="16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CD445" w16cex:dateUtc="2021-10-11T07:07:00Z"/>
  <w16cex:commentExtensible w16cex:durableId="252CDB33" w16cex:dateUtc="2021-11-03T08:56:00Z"/>
  <w16cex:commentExtensible w16cex:durableId="252CD446" w16cex:dateUtc="2021-10-21T13:00:00Z"/>
  <w16cex:commentExtensible w16cex:durableId="252CD447" w16cex:dateUtc="2021-11-01T10:13:00Z"/>
  <w16cex:commentExtensible w16cex:durableId="252CD448" w16cex:dateUtc="2021-11-01T10:13:00Z"/>
  <w16cex:commentExtensible w16cex:durableId="252CD449" w16cex:dateUtc="2021-10-18T11:31:00Z"/>
  <w16cex:commentExtensible w16cex:durableId="252CD44A" w16cex:dateUtc="2021-10-18T11:31:00Z"/>
  <w16cex:commentExtensible w16cex:durableId="24D351C2" w16cex:dateUtc="2021-08-27T09:57:00Z"/>
  <w16cex:commentExtensible w16cex:durableId="252CDA8A" w16cex:dateUtc="2021-11-03T08:53:00Z"/>
  <w16cex:commentExtensible w16cex:durableId="252CD44C" w16cex:dateUtc="2021-10-21T17:04:00Z"/>
  <w16cex:commentExtensible w16cex:durableId="252CD994" w16cex:dateUtc="2021-11-03T08:49:00Z"/>
  <w16cex:commentExtensible w16cex:durableId="252CD44D" w16cex:dateUtc="2021-09-30T14:09:00Z"/>
  <w16cex:commentExtensible w16cex:durableId="252CDD98" w16cex:dateUtc="2021-11-03T09:06:00Z"/>
  <w16cex:commentExtensible w16cex:durableId="252CDE86" w16cex:dateUtc="2021-11-03T09:10:00Z"/>
  <w16cex:commentExtensible w16cex:durableId="252CD44E" w16cex:dateUtc="2021-11-01T11:25:00Z"/>
  <w16cex:commentExtensible w16cex:durableId="24D370E9" w16cex:dateUtc="2021-08-27T12:10:00Z"/>
  <w16cex:commentExtensible w16cex:durableId="24D370B5" w16cex:dateUtc="2021-08-27T12:09:00Z"/>
  <w16cex:commentExtensible w16cex:durableId="252CE096" w16cex:dateUtc="2021-11-03T09:19:00Z"/>
  <w16cex:commentExtensible w16cex:durableId="252CD451" w16cex:dateUtc="2021-10-10T15:24:00Z"/>
  <w16cex:commentExtensible w16cex:durableId="252CD452" w16cex:dateUtc="2021-10-20T15:45:00Z"/>
  <w16cex:commentExtensible w16cex:durableId="252CD453" w16cex:dateUtc="2021-10-21T18:32:00Z"/>
  <w16cex:commentExtensible w16cex:durableId="252CD454" w16cex:dateUtc="2021-10-22T14:38:00Z"/>
  <w16cex:commentExtensible w16cex:durableId="252CD455" w16cex:dateUtc="2021-10-21T18:33:00Z"/>
  <w16cex:commentExtensible w16cex:durableId="247711F3" w16cex:dateUtc="2021-06-18T10:37:00Z"/>
  <w16cex:commentExtensible w16cex:durableId="252CD457" w16cex:dateUtc="2021-10-21T1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F616F5" w16cid:durableId="252CD445"/>
  <w16cid:commentId w16cid:paraId="40B45523" w16cid:durableId="252CDB33"/>
  <w16cid:commentId w16cid:paraId="34B62416" w16cid:durableId="252CD446"/>
  <w16cid:commentId w16cid:paraId="03C2CBE9" w16cid:durableId="252CD447"/>
  <w16cid:commentId w16cid:paraId="3FDF0D57" w16cid:durableId="252CD448"/>
  <w16cid:commentId w16cid:paraId="7C6DFD6C" w16cid:durableId="252CD449"/>
  <w16cid:commentId w16cid:paraId="4EE97A1C" w16cid:durableId="252CD44A"/>
  <w16cid:commentId w16cid:paraId="0E2FB450" w16cid:durableId="24D351C2"/>
  <w16cid:commentId w16cid:paraId="1FF3C9E1" w16cid:durableId="252CDA8A"/>
  <w16cid:commentId w16cid:paraId="1663FAA2" w16cid:durableId="252CD44C"/>
  <w16cid:commentId w16cid:paraId="1CB7D037" w16cid:durableId="252CD994"/>
  <w16cid:commentId w16cid:paraId="43EFF47E" w16cid:durableId="252CD44D"/>
  <w16cid:commentId w16cid:paraId="08ACA188" w16cid:durableId="252CDD98"/>
  <w16cid:commentId w16cid:paraId="07EC1EE3" w16cid:durableId="252CDE86"/>
  <w16cid:commentId w16cid:paraId="40884DCB" w16cid:durableId="252CD44E"/>
  <w16cid:commentId w16cid:paraId="3F5F9630" w16cid:durableId="24D370E9"/>
  <w16cid:commentId w16cid:paraId="4611AAD2" w16cid:durableId="24D370B5"/>
  <w16cid:commentId w16cid:paraId="59A63901" w16cid:durableId="252CE096"/>
  <w16cid:commentId w16cid:paraId="1541E47E" w16cid:durableId="252CD451"/>
  <w16cid:commentId w16cid:paraId="16E4A534" w16cid:durableId="252CD452"/>
  <w16cid:commentId w16cid:paraId="34D30AB5" w16cid:durableId="252CD453"/>
  <w16cid:commentId w16cid:paraId="7C0DE326" w16cid:durableId="252CD454"/>
  <w16cid:commentId w16cid:paraId="46F9A18D" w16cid:durableId="252CD455"/>
  <w16cid:commentId w16cid:paraId="2185B17C" w16cid:durableId="247711F3"/>
  <w16cid:commentId w16cid:paraId="37F23D4E" w16cid:durableId="252CD4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E045E" w14:textId="77777777" w:rsidR="00F41E8C" w:rsidRDefault="00F41E8C" w:rsidP="000669AD">
      <w:r>
        <w:separator/>
      </w:r>
    </w:p>
  </w:endnote>
  <w:endnote w:type="continuationSeparator" w:id="0">
    <w:p w14:paraId="190192A9" w14:textId="77777777" w:rsidR="00F41E8C" w:rsidRDefault="00F41E8C" w:rsidP="00066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1645234"/>
      <w:docPartObj>
        <w:docPartGallery w:val="Page Numbers (Bottom of Page)"/>
        <w:docPartUnique/>
      </w:docPartObj>
    </w:sdtPr>
    <w:sdtEndPr/>
    <w:sdtContent>
      <w:p w14:paraId="3D7DFE74" w14:textId="56D44D7E" w:rsidR="00F41E8C" w:rsidRDefault="00F41E8C">
        <w:pPr>
          <w:pStyle w:val="Voettekst"/>
          <w:jc w:val="right"/>
        </w:pPr>
        <w:r>
          <w:fldChar w:fldCharType="begin"/>
        </w:r>
        <w:r>
          <w:instrText>PAGE   \* MERGEFORMAT</w:instrText>
        </w:r>
        <w:r>
          <w:fldChar w:fldCharType="separate"/>
        </w:r>
        <w:r w:rsidR="00A97A20">
          <w:rPr>
            <w:noProof/>
          </w:rPr>
          <w:t>1</w:t>
        </w:r>
        <w:r>
          <w:fldChar w:fldCharType="end"/>
        </w:r>
      </w:p>
    </w:sdtContent>
  </w:sdt>
  <w:p w14:paraId="40020925" w14:textId="77777777" w:rsidR="00F41E8C" w:rsidRDefault="00F41E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8D168" w14:textId="77777777" w:rsidR="00F41E8C" w:rsidRDefault="00F41E8C" w:rsidP="000669AD">
      <w:r>
        <w:separator/>
      </w:r>
    </w:p>
  </w:footnote>
  <w:footnote w:type="continuationSeparator" w:id="0">
    <w:p w14:paraId="372168BC" w14:textId="77777777" w:rsidR="00F41E8C" w:rsidRDefault="00F41E8C" w:rsidP="00066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B3624"/>
    <w:multiLevelType w:val="hybridMultilevel"/>
    <w:tmpl w:val="23340944"/>
    <w:lvl w:ilvl="0" w:tplc="86BC85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6F6402"/>
    <w:multiLevelType w:val="hybridMultilevel"/>
    <w:tmpl w:val="DE7A785A"/>
    <w:lvl w:ilvl="0" w:tplc="93A81E1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F907537"/>
    <w:multiLevelType w:val="hybridMultilevel"/>
    <w:tmpl w:val="A5F8A7C0"/>
    <w:lvl w:ilvl="0" w:tplc="18D61EDE">
      <w:start w:val="5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16073F"/>
    <w:multiLevelType w:val="hybridMultilevel"/>
    <w:tmpl w:val="171E2A38"/>
    <w:lvl w:ilvl="0" w:tplc="F4121A58">
      <w:numFmt w:val="bullet"/>
      <w:lvlText w:val="-"/>
      <w:lvlJc w:val="left"/>
      <w:pPr>
        <w:ind w:left="720" w:hanging="360"/>
      </w:pPr>
      <w:rPr>
        <w:rFonts w:ascii="Calibri" w:eastAsiaTheme="minorHAnsi"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D4091C"/>
    <w:multiLevelType w:val="hybridMultilevel"/>
    <w:tmpl w:val="FCCE240C"/>
    <w:lvl w:ilvl="0" w:tplc="AFE20ED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F8256D7"/>
    <w:multiLevelType w:val="hybridMultilevel"/>
    <w:tmpl w:val="583EB212"/>
    <w:lvl w:ilvl="0" w:tplc="3B4ACE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B6B3C5B"/>
    <w:multiLevelType w:val="hybridMultilevel"/>
    <w:tmpl w:val="38F44A02"/>
    <w:lvl w:ilvl="0" w:tplc="1A5A3B9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9126C0E"/>
    <w:multiLevelType w:val="hybridMultilevel"/>
    <w:tmpl w:val="B64406B2"/>
    <w:lvl w:ilvl="0" w:tplc="48C4F940">
      <w:start w:val="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1"/>
  </w:num>
  <w:num w:numId="6">
    <w:abstractNumId w:val="3"/>
  </w:num>
  <w:num w:numId="7">
    <w:abstractNumId w:val="0"/>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w England J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dsaf2wawxdvke9x96vspea2wraszrewp0r&quot;&gt;mm relapse database  versie 12 ENDNOTE-Converted&lt;record-ids&gt;&lt;item&gt;1389&lt;/item&gt;&lt;item&gt;2072&lt;/item&gt;&lt;item&gt;2073&lt;/item&gt;&lt;item&gt;2074&lt;/item&gt;&lt;item&gt;2075&lt;/item&gt;&lt;item&gt;2076&lt;/item&gt;&lt;item&gt;2077&lt;/item&gt;&lt;/record-ids&gt;&lt;/item&gt;&lt;/Libraries&gt;"/>
  </w:docVars>
  <w:rsids>
    <w:rsidRoot w:val="000814C6"/>
    <w:rsid w:val="000026C7"/>
    <w:rsid w:val="00003999"/>
    <w:rsid w:val="00003FAE"/>
    <w:rsid w:val="000063B4"/>
    <w:rsid w:val="00007BD7"/>
    <w:rsid w:val="0001106A"/>
    <w:rsid w:val="00011A18"/>
    <w:rsid w:val="00011D70"/>
    <w:rsid w:val="00014039"/>
    <w:rsid w:val="0001487B"/>
    <w:rsid w:val="00015E1A"/>
    <w:rsid w:val="00025365"/>
    <w:rsid w:val="000324ED"/>
    <w:rsid w:val="00041D3C"/>
    <w:rsid w:val="00042AC8"/>
    <w:rsid w:val="00042CA6"/>
    <w:rsid w:val="00046105"/>
    <w:rsid w:val="00047262"/>
    <w:rsid w:val="00047CFB"/>
    <w:rsid w:val="00050A0C"/>
    <w:rsid w:val="0005335F"/>
    <w:rsid w:val="00053B43"/>
    <w:rsid w:val="0005680B"/>
    <w:rsid w:val="00056E57"/>
    <w:rsid w:val="00060865"/>
    <w:rsid w:val="000616AA"/>
    <w:rsid w:val="00062C58"/>
    <w:rsid w:val="00062E0A"/>
    <w:rsid w:val="000665CF"/>
    <w:rsid w:val="000669AD"/>
    <w:rsid w:val="00067624"/>
    <w:rsid w:val="00070A40"/>
    <w:rsid w:val="00074D16"/>
    <w:rsid w:val="000750D5"/>
    <w:rsid w:val="00076966"/>
    <w:rsid w:val="00080FC3"/>
    <w:rsid w:val="00081011"/>
    <w:rsid w:val="000814C6"/>
    <w:rsid w:val="00083BCD"/>
    <w:rsid w:val="00084438"/>
    <w:rsid w:val="000847E7"/>
    <w:rsid w:val="00086594"/>
    <w:rsid w:val="000879E8"/>
    <w:rsid w:val="00092D43"/>
    <w:rsid w:val="000969FB"/>
    <w:rsid w:val="000A0F6F"/>
    <w:rsid w:val="000A1C8D"/>
    <w:rsid w:val="000A368B"/>
    <w:rsid w:val="000A5BA5"/>
    <w:rsid w:val="000A72CB"/>
    <w:rsid w:val="000B23F0"/>
    <w:rsid w:val="000B7F3F"/>
    <w:rsid w:val="000C0598"/>
    <w:rsid w:val="000C0C04"/>
    <w:rsid w:val="000C29FD"/>
    <w:rsid w:val="000C430D"/>
    <w:rsid w:val="000C44A1"/>
    <w:rsid w:val="000C533F"/>
    <w:rsid w:val="000C611B"/>
    <w:rsid w:val="000C71B8"/>
    <w:rsid w:val="000D00DC"/>
    <w:rsid w:val="000D5F34"/>
    <w:rsid w:val="000D7A1A"/>
    <w:rsid w:val="000E01FC"/>
    <w:rsid w:val="000E05EA"/>
    <w:rsid w:val="000E2191"/>
    <w:rsid w:val="000E2B97"/>
    <w:rsid w:val="000E2E71"/>
    <w:rsid w:val="000E52A5"/>
    <w:rsid w:val="000E7789"/>
    <w:rsid w:val="000F1787"/>
    <w:rsid w:val="000F226C"/>
    <w:rsid w:val="000F345F"/>
    <w:rsid w:val="000F4C5E"/>
    <w:rsid w:val="000F558F"/>
    <w:rsid w:val="0010165B"/>
    <w:rsid w:val="001016EA"/>
    <w:rsid w:val="001021E6"/>
    <w:rsid w:val="0010288C"/>
    <w:rsid w:val="00102B18"/>
    <w:rsid w:val="001048A2"/>
    <w:rsid w:val="0010618D"/>
    <w:rsid w:val="00107390"/>
    <w:rsid w:val="001126A8"/>
    <w:rsid w:val="00113A2B"/>
    <w:rsid w:val="001145F1"/>
    <w:rsid w:val="001150F0"/>
    <w:rsid w:val="00115704"/>
    <w:rsid w:val="00115B14"/>
    <w:rsid w:val="00117AA1"/>
    <w:rsid w:val="0012175E"/>
    <w:rsid w:val="00124226"/>
    <w:rsid w:val="00124462"/>
    <w:rsid w:val="00124F3A"/>
    <w:rsid w:val="00125003"/>
    <w:rsid w:val="00125A5C"/>
    <w:rsid w:val="001308AA"/>
    <w:rsid w:val="00133D21"/>
    <w:rsid w:val="00133E44"/>
    <w:rsid w:val="001357ED"/>
    <w:rsid w:val="00135E0F"/>
    <w:rsid w:val="001400DA"/>
    <w:rsid w:val="00141550"/>
    <w:rsid w:val="00142B89"/>
    <w:rsid w:val="0014387B"/>
    <w:rsid w:val="0014564C"/>
    <w:rsid w:val="00146252"/>
    <w:rsid w:val="001519A1"/>
    <w:rsid w:val="0015246C"/>
    <w:rsid w:val="00154683"/>
    <w:rsid w:val="00154AFE"/>
    <w:rsid w:val="0016079F"/>
    <w:rsid w:val="00161076"/>
    <w:rsid w:val="00163780"/>
    <w:rsid w:val="001662FF"/>
    <w:rsid w:val="00167200"/>
    <w:rsid w:val="001678D9"/>
    <w:rsid w:val="001727A5"/>
    <w:rsid w:val="00175413"/>
    <w:rsid w:val="001853BA"/>
    <w:rsid w:val="00186FCD"/>
    <w:rsid w:val="0019030D"/>
    <w:rsid w:val="00194419"/>
    <w:rsid w:val="001A16E3"/>
    <w:rsid w:val="001A349B"/>
    <w:rsid w:val="001A779F"/>
    <w:rsid w:val="001B02B1"/>
    <w:rsid w:val="001B2186"/>
    <w:rsid w:val="001B45A9"/>
    <w:rsid w:val="001B45B8"/>
    <w:rsid w:val="001B6829"/>
    <w:rsid w:val="001B6EA9"/>
    <w:rsid w:val="001B786E"/>
    <w:rsid w:val="001C2A2C"/>
    <w:rsid w:val="001C3BD6"/>
    <w:rsid w:val="001C5A96"/>
    <w:rsid w:val="001C7779"/>
    <w:rsid w:val="001D353F"/>
    <w:rsid w:val="001D4556"/>
    <w:rsid w:val="001D5B71"/>
    <w:rsid w:val="001E07A0"/>
    <w:rsid w:val="001E3DE4"/>
    <w:rsid w:val="001E62EE"/>
    <w:rsid w:val="001F1E1A"/>
    <w:rsid w:val="001F51B7"/>
    <w:rsid w:val="001F533D"/>
    <w:rsid w:val="001F6B9C"/>
    <w:rsid w:val="001F7B6B"/>
    <w:rsid w:val="002003E1"/>
    <w:rsid w:val="00202E91"/>
    <w:rsid w:val="00205410"/>
    <w:rsid w:val="0021364F"/>
    <w:rsid w:val="00217506"/>
    <w:rsid w:val="00220AB4"/>
    <w:rsid w:val="00220CC1"/>
    <w:rsid w:val="00221118"/>
    <w:rsid w:val="0022145A"/>
    <w:rsid w:val="002226EF"/>
    <w:rsid w:val="002259EF"/>
    <w:rsid w:val="002265D3"/>
    <w:rsid w:val="00232FF6"/>
    <w:rsid w:val="00234A2D"/>
    <w:rsid w:val="002350F1"/>
    <w:rsid w:val="00235DFC"/>
    <w:rsid w:val="002411E8"/>
    <w:rsid w:val="00244687"/>
    <w:rsid w:val="00245155"/>
    <w:rsid w:val="002456A3"/>
    <w:rsid w:val="00253F6E"/>
    <w:rsid w:val="00256A71"/>
    <w:rsid w:val="00256B7D"/>
    <w:rsid w:val="00257DFC"/>
    <w:rsid w:val="00261A05"/>
    <w:rsid w:val="00264126"/>
    <w:rsid w:val="0026453B"/>
    <w:rsid w:val="00266CD1"/>
    <w:rsid w:val="002700BC"/>
    <w:rsid w:val="00273354"/>
    <w:rsid w:val="0027602C"/>
    <w:rsid w:val="00280BAE"/>
    <w:rsid w:val="0028112E"/>
    <w:rsid w:val="002812C8"/>
    <w:rsid w:val="002839D1"/>
    <w:rsid w:val="002840F3"/>
    <w:rsid w:val="00291282"/>
    <w:rsid w:val="00291AA8"/>
    <w:rsid w:val="00291AF2"/>
    <w:rsid w:val="00292018"/>
    <w:rsid w:val="00292815"/>
    <w:rsid w:val="00294445"/>
    <w:rsid w:val="002959D6"/>
    <w:rsid w:val="00297802"/>
    <w:rsid w:val="002A22CF"/>
    <w:rsid w:val="002A2E04"/>
    <w:rsid w:val="002A3581"/>
    <w:rsid w:val="002A4109"/>
    <w:rsid w:val="002A5A75"/>
    <w:rsid w:val="002A5F6F"/>
    <w:rsid w:val="002B05BE"/>
    <w:rsid w:val="002B1674"/>
    <w:rsid w:val="002B4E1B"/>
    <w:rsid w:val="002B657E"/>
    <w:rsid w:val="002C2F0D"/>
    <w:rsid w:val="002C45BF"/>
    <w:rsid w:val="002C5A8F"/>
    <w:rsid w:val="002C5AD8"/>
    <w:rsid w:val="002C647F"/>
    <w:rsid w:val="002C6AD1"/>
    <w:rsid w:val="002C6DED"/>
    <w:rsid w:val="002D491B"/>
    <w:rsid w:val="002D597E"/>
    <w:rsid w:val="002D68AC"/>
    <w:rsid w:val="002D6ECB"/>
    <w:rsid w:val="002D7C78"/>
    <w:rsid w:val="002E0C27"/>
    <w:rsid w:val="002E28E0"/>
    <w:rsid w:val="002E3554"/>
    <w:rsid w:val="002E6786"/>
    <w:rsid w:val="002F0A7E"/>
    <w:rsid w:val="002F351D"/>
    <w:rsid w:val="002F35A4"/>
    <w:rsid w:val="002F6D2E"/>
    <w:rsid w:val="00300B8C"/>
    <w:rsid w:val="00301A7A"/>
    <w:rsid w:val="00304877"/>
    <w:rsid w:val="00310A62"/>
    <w:rsid w:val="00310EE2"/>
    <w:rsid w:val="00312D15"/>
    <w:rsid w:val="0031485B"/>
    <w:rsid w:val="003157A4"/>
    <w:rsid w:val="003179D9"/>
    <w:rsid w:val="00320301"/>
    <w:rsid w:val="003213B1"/>
    <w:rsid w:val="00326B67"/>
    <w:rsid w:val="00330D13"/>
    <w:rsid w:val="003338E5"/>
    <w:rsid w:val="00342888"/>
    <w:rsid w:val="00344612"/>
    <w:rsid w:val="00345247"/>
    <w:rsid w:val="00345636"/>
    <w:rsid w:val="00350437"/>
    <w:rsid w:val="003522FA"/>
    <w:rsid w:val="003524E0"/>
    <w:rsid w:val="003526D3"/>
    <w:rsid w:val="003545E9"/>
    <w:rsid w:val="00355266"/>
    <w:rsid w:val="0035721B"/>
    <w:rsid w:val="0036052D"/>
    <w:rsid w:val="00360A2C"/>
    <w:rsid w:val="00362FF1"/>
    <w:rsid w:val="003750FF"/>
    <w:rsid w:val="003759F6"/>
    <w:rsid w:val="003770D5"/>
    <w:rsid w:val="003805C1"/>
    <w:rsid w:val="0038248E"/>
    <w:rsid w:val="00382DC9"/>
    <w:rsid w:val="00383994"/>
    <w:rsid w:val="00385A93"/>
    <w:rsid w:val="00392152"/>
    <w:rsid w:val="00393FA2"/>
    <w:rsid w:val="00394478"/>
    <w:rsid w:val="00395E65"/>
    <w:rsid w:val="00397562"/>
    <w:rsid w:val="00397AA1"/>
    <w:rsid w:val="003A004C"/>
    <w:rsid w:val="003A052C"/>
    <w:rsid w:val="003A2AAA"/>
    <w:rsid w:val="003A44FC"/>
    <w:rsid w:val="003A7530"/>
    <w:rsid w:val="003B075A"/>
    <w:rsid w:val="003B17B4"/>
    <w:rsid w:val="003B576B"/>
    <w:rsid w:val="003B62A9"/>
    <w:rsid w:val="003B67CC"/>
    <w:rsid w:val="003B6DAB"/>
    <w:rsid w:val="003B76C6"/>
    <w:rsid w:val="003C1976"/>
    <w:rsid w:val="003C3760"/>
    <w:rsid w:val="003C5836"/>
    <w:rsid w:val="003D0375"/>
    <w:rsid w:val="003D24A0"/>
    <w:rsid w:val="003D52EE"/>
    <w:rsid w:val="003D7DC6"/>
    <w:rsid w:val="003E40BD"/>
    <w:rsid w:val="003E4315"/>
    <w:rsid w:val="003E59AD"/>
    <w:rsid w:val="003F507B"/>
    <w:rsid w:val="003F5A60"/>
    <w:rsid w:val="003F7B08"/>
    <w:rsid w:val="00400E77"/>
    <w:rsid w:val="00402AE7"/>
    <w:rsid w:val="0040634B"/>
    <w:rsid w:val="00407BD0"/>
    <w:rsid w:val="00411000"/>
    <w:rsid w:val="00412974"/>
    <w:rsid w:val="00414400"/>
    <w:rsid w:val="0041459D"/>
    <w:rsid w:val="00414966"/>
    <w:rsid w:val="00415793"/>
    <w:rsid w:val="00420CB1"/>
    <w:rsid w:val="00421169"/>
    <w:rsid w:val="00424555"/>
    <w:rsid w:val="00425448"/>
    <w:rsid w:val="00431892"/>
    <w:rsid w:val="004339B0"/>
    <w:rsid w:val="00433B57"/>
    <w:rsid w:val="00434113"/>
    <w:rsid w:val="0043490F"/>
    <w:rsid w:val="00436D4F"/>
    <w:rsid w:val="004407B4"/>
    <w:rsid w:val="0044615B"/>
    <w:rsid w:val="00446DD5"/>
    <w:rsid w:val="00450223"/>
    <w:rsid w:val="004503E6"/>
    <w:rsid w:val="004503E9"/>
    <w:rsid w:val="0045140E"/>
    <w:rsid w:val="00456AF5"/>
    <w:rsid w:val="00460070"/>
    <w:rsid w:val="00461168"/>
    <w:rsid w:val="00462E1F"/>
    <w:rsid w:val="00464F8E"/>
    <w:rsid w:val="00464FD7"/>
    <w:rsid w:val="00467673"/>
    <w:rsid w:val="00471130"/>
    <w:rsid w:val="004716BC"/>
    <w:rsid w:val="00472E1A"/>
    <w:rsid w:val="00473E35"/>
    <w:rsid w:val="00475D7B"/>
    <w:rsid w:val="0048058F"/>
    <w:rsid w:val="0048281B"/>
    <w:rsid w:val="00483AE7"/>
    <w:rsid w:val="00497815"/>
    <w:rsid w:val="004A0107"/>
    <w:rsid w:val="004A0814"/>
    <w:rsid w:val="004A0F5D"/>
    <w:rsid w:val="004A1760"/>
    <w:rsid w:val="004A35CE"/>
    <w:rsid w:val="004A3999"/>
    <w:rsid w:val="004A4170"/>
    <w:rsid w:val="004B101A"/>
    <w:rsid w:val="004B1D93"/>
    <w:rsid w:val="004B37DE"/>
    <w:rsid w:val="004B4B14"/>
    <w:rsid w:val="004B4C92"/>
    <w:rsid w:val="004C0E15"/>
    <w:rsid w:val="004C59D7"/>
    <w:rsid w:val="004C5F4E"/>
    <w:rsid w:val="004E2D2E"/>
    <w:rsid w:val="004F22E4"/>
    <w:rsid w:val="004F2BEB"/>
    <w:rsid w:val="004F469F"/>
    <w:rsid w:val="00500AC8"/>
    <w:rsid w:val="00501939"/>
    <w:rsid w:val="0050234B"/>
    <w:rsid w:val="0050256B"/>
    <w:rsid w:val="005035C2"/>
    <w:rsid w:val="005041D8"/>
    <w:rsid w:val="00505844"/>
    <w:rsid w:val="005109D1"/>
    <w:rsid w:val="0051234A"/>
    <w:rsid w:val="005134BD"/>
    <w:rsid w:val="005238FA"/>
    <w:rsid w:val="00527D78"/>
    <w:rsid w:val="00535E21"/>
    <w:rsid w:val="005378AF"/>
    <w:rsid w:val="00537FAF"/>
    <w:rsid w:val="0054138C"/>
    <w:rsid w:val="00541E72"/>
    <w:rsid w:val="00543D00"/>
    <w:rsid w:val="00545F84"/>
    <w:rsid w:val="0054693F"/>
    <w:rsid w:val="00547618"/>
    <w:rsid w:val="005544A8"/>
    <w:rsid w:val="0055565B"/>
    <w:rsid w:val="00557CBC"/>
    <w:rsid w:val="00560088"/>
    <w:rsid w:val="005639F2"/>
    <w:rsid w:val="00564B07"/>
    <w:rsid w:val="00565528"/>
    <w:rsid w:val="00573472"/>
    <w:rsid w:val="0057379F"/>
    <w:rsid w:val="00576524"/>
    <w:rsid w:val="00580E64"/>
    <w:rsid w:val="0058155A"/>
    <w:rsid w:val="00582A9F"/>
    <w:rsid w:val="00586100"/>
    <w:rsid w:val="00586F56"/>
    <w:rsid w:val="00587ED8"/>
    <w:rsid w:val="00590D5D"/>
    <w:rsid w:val="00594C79"/>
    <w:rsid w:val="00594D42"/>
    <w:rsid w:val="00594FD9"/>
    <w:rsid w:val="00595255"/>
    <w:rsid w:val="0059575B"/>
    <w:rsid w:val="00596DC9"/>
    <w:rsid w:val="005A0319"/>
    <w:rsid w:val="005A2AF8"/>
    <w:rsid w:val="005A4BFC"/>
    <w:rsid w:val="005A7F24"/>
    <w:rsid w:val="005B01D4"/>
    <w:rsid w:val="005B3285"/>
    <w:rsid w:val="005B4237"/>
    <w:rsid w:val="005B730A"/>
    <w:rsid w:val="005C1716"/>
    <w:rsid w:val="005C1930"/>
    <w:rsid w:val="005C2D7D"/>
    <w:rsid w:val="005C5603"/>
    <w:rsid w:val="005C68EE"/>
    <w:rsid w:val="005C7923"/>
    <w:rsid w:val="005D2757"/>
    <w:rsid w:val="005D38C6"/>
    <w:rsid w:val="005D64BA"/>
    <w:rsid w:val="005D6AC0"/>
    <w:rsid w:val="005E11CA"/>
    <w:rsid w:val="005E393B"/>
    <w:rsid w:val="005E483D"/>
    <w:rsid w:val="005E5096"/>
    <w:rsid w:val="005F06C1"/>
    <w:rsid w:val="005F14C4"/>
    <w:rsid w:val="005F3FD4"/>
    <w:rsid w:val="005F55AA"/>
    <w:rsid w:val="005F69D0"/>
    <w:rsid w:val="006006EA"/>
    <w:rsid w:val="006012E8"/>
    <w:rsid w:val="00602F5F"/>
    <w:rsid w:val="00605C64"/>
    <w:rsid w:val="00610B60"/>
    <w:rsid w:val="006151B4"/>
    <w:rsid w:val="0062398E"/>
    <w:rsid w:val="0063005E"/>
    <w:rsid w:val="006313C5"/>
    <w:rsid w:val="00632A6E"/>
    <w:rsid w:val="006362CF"/>
    <w:rsid w:val="00637D9D"/>
    <w:rsid w:val="0064165C"/>
    <w:rsid w:val="00641B70"/>
    <w:rsid w:val="006476A3"/>
    <w:rsid w:val="006517A9"/>
    <w:rsid w:val="006523ED"/>
    <w:rsid w:val="0066321F"/>
    <w:rsid w:val="00663C0E"/>
    <w:rsid w:val="00665989"/>
    <w:rsid w:val="00666EB0"/>
    <w:rsid w:val="00670EC1"/>
    <w:rsid w:val="00672EC1"/>
    <w:rsid w:val="00676111"/>
    <w:rsid w:val="006765DD"/>
    <w:rsid w:val="00680AB9"/>
    <w:rsid w:val="00681D3B"/>
    <w:rsid w:val="00685319"/>
    <w:rsid w:val="00686FB2"/>
    <w:rsid w:val="006879FA"/>
    <w:rsid w:val="0069065E"/>
    <w:rsid w:val="0069285B"/>
    <w:rsid w:val="006937F7"/>
    <w:rsid w:val="00695276"/>
    <w:rsid w:val="00695C76"/>
    <w:rsid w:val="006966B6"/>
    <w:rsid w:val="006A1A20"/>
    <w:rsid w:val="006A3F75"/>
    <w:rsid w:val="006A7319"/>
    <w:rsid w:val="006B1118"/>
    <w:rsid w:val="006B469F"/>
    <w:rsid w:val="006B5B62"/>
    <w:rsid w:val="006B630C"/>
    <w:rsid w:val="006B7F64"/>
    <w:rsid w:val="006C099B"/>
    <w:rsid w:val="006C16B9"/>
    <w:rsid w:val="006C2C16"/>
    <w:rsid w:val="006C46A3"/>
    <w:rsid w:val="006C48AB"/>
    <w:rsid w:val="006D643C"/>
    <w:rsid w:val="006D6DAD"/>
    <w:rsid w:val="006D70F4"/>
    <w:rsid w:val="006E0E1D"/>
    <w:rsid w:val="006E114D"/>
    <w:rsid w:val="006E245E"/>
    <w:rsid w:val="006E7497"/>
    <w:rsid w:val="00700ED5"/>
    <w:rsid w:val="0070184C"/>
    <w:rsid w:val="0070561F"/>
    <w:rsid w:val="0070586E"/>
    <w:rsid w:val="007071F5"/>
    <w:rsid w:val="00707F28"/>
    <w:rsid w:val="0071030E"/>
    <w:rsid w:val="007127CE"/>
    <w:rsid w:val="00714000"/>
    <w:rsid w:val="0071457C"/>
    <w:rsid w:val="007201BA"/>
    <w:rsid w:val="007208C9"/>
    <w:rsid w:val="00721A90"/>
    <w:rsid w:val="00721C2C"/>
    <w:rsid w:val="007253AF"/>
    <w:rsid w:val="00725C57"/>
    <w:rsid w:val="00726FD8"/>
    <w:rsid w:val="00733ED8"/>
    <w:rsid w:val="00737598"/>
    <w:rsid w:val="00744E2E"/>
    <w:rsid w:val="00746493"/>
    <w:rsid w:val="0074794E"/>
    <w:rsid w:val="00747A6E"/>
    <w:rsid w:val="0075520A"/>
    <w:rsid w:val="007577C0"/>
    <w:rsid w:val="007601C5"/>
    <w:rsid w:val="00760AE8"/>
    <w:rsid w:val="00762850"/>
    <w:rsid w:val="00766B04"/>
    <w:rsid w:val="00781D24"/>
    <w:rsid w:val="00784497"/>
    <w:rsid w:val="0079306C"/>
    <w:rsid w:val="00794075"/>
    <w:rsid w:val="007A0BD0"/>
    <w:rsid w:val="007A2C02"/>
    <w:rsid w:val="007A6D21"/>
    <w:rsid w:val="007A71CD"/>
    <w:rsid w:val="007B17E5"/>
    <w:rsid w:val="007B4BD2"/>
    <w:rsid w:val="007C035A"/>
    <w:rsid w:val="007C2F62"/>
    <w:rsid w:val="007C3AE3"/>
    <w:rsid w:val="007C4BBE"/>
    <w:rsid w:val="007C62DB"/>
    <w:rsid w:val="007C6D82"/>
    <w:rsid w:val="007C74B8"/>
    <w:rsid w:val="007C7A91"/>
    <w:rsid w:val="007D4F5A"/>
    <w:rsid w:val="007D6D62"/>
    <w:rsid w:val="007D6E86"/>
    <w:rsid w:val="007D7177"/>
    <w:rsid w:val="007E1490"/>
    <w:rsid w:val="007E3576"/>
    <w:rsid w:val="007E3657"/>
    <w:rsid w:val="007F0F58"/>
    <w:rsid w:val="007F129D"/>
    <w:rsid w:val="007F1C1B"/>
    <w:rsid w:val="007F55B3"/>
    <w:rsid w:val="00800085"/>
    <w:rsid w:val="00801E0E"/>
    <w:rsid w:val="00802CB0"/>
    <w:rsid w:val="00803FCC"/>
    <w:rsid w:val="00804EF5"/>
    <w:rsid w:val="00805390"/>
    <w:rsid w:val="008064C8"/>
    <w:rsid w:val="008119FA"/>
    <w:rsid w:val="00811EB5"/>
    <w:rsid w:val="00816D1A"/>
    <w:rsid w:val="00816EF7"/>
    <w:rsid w:val="00830581"/>
    <w:rsid w:val="00830FAA"/>
    <w:rsid w:val="00832F18"/>
    <w:rsid w:val="00837352"/>
    <w:rsid w:val="008468A6"/>
    <w:rsid w:val="00850D04"/>
    <w:rsid w:val="00850F80"/>
    <w:rsid w:val="00856F50"/>
    <w:rsid w:val="008576B6"/>
    <w:rsid w:val="00857DED"/>
    <w:rsid w:val="008610B4"/>
    <w:rsid w:val="00861258"/>
    <w:rsid w:val="00861A06"/>
    <w:rsid w:val="00865BFD"/>
    <w:rsid w:val="00871329"/>
    <w:rsid w:val="00875107"/>
    <w:rsid w:val="00875FE0"/>
    <w:rsid w:val="00880736"/>
    <w:rsid w:val="00880E82"/>
    <w:rsid w:val="00880FF0"/>
    <w:rsid w:val="00883F5E"/>
    <w:rsid w:val="00884654"/>
    <w:rsid w:val="00894479"/>
    <w:rsid w:val="00894E76"/>
    <w:rsid w:val="0089507C"/>
    <w:rsid w:val="00895394"/>
    <w:rsid w:val="008976B7"/>
    <w:rsid w:val="008A16F7"/>
    <w:rsid w:val="008A3724"/>
    <w:rsid w:val="008A5E7C"/>
    <w:rsid w:val="008B3101"/>
    <w:rsid w:val="008B374C"/>
    <w:rsid w:val="008B396F"/>
    <w:rsid w:val="008B471B"/>
    <w:rsid w:val="008C2E26"/>
    <w:rsid w:val="008C5E15"/>
    <w:rsid w:val="008C5FFE"/>
    <w:rsid w:val="008D0CB0"/>
    <w:rsid w:val="008D41B4"/>
    <w:rsid w:val="008D4684"/>
    <w:rsid w:val="008D6A49"/>
    <w:rsid w:val="008F09A4"/>
    <w:rsid w:val="008F0A3E"/>
    <w:rsid w:val="008F0A7D"/>
    <w:rsid w:val="008F1DE5"/>
    <w:rsid w:val="008F2EE2"/>
    <w:rsid w:val="008F530B"/>
    <w:rsid w:val="009007E7"/>
    <w:rsid w:val="00905983"/>
    <w:rsid w:val="00906DA7"/>
    <w:rsid w:val="009126DB"/>
    <w:rsid w:val="009127B0"/>
    <w:rsid w:val="00913030"/>
    <w:rsid w:val="009130F6"/>
    <w:rsid w:val="00920EB3"/>
    <w:rsid w:val="009227E9"/>
    <w:rsid w:val="00927959"/>
    <w:rsid w:val="00927C40"/>
    <w:rsid w:val="00927E83"/>
    <w:rsid w:val="0093080C"/>
    <w:rsid w:val="0093085A"/>
    <w:rsid w:val="009328E5"/>
    <w:rsid w:val="00933863"/>
    <w:rsid w:val="00933C27"/>
    <w:rsid w:val="009340B3"/>
    <w:rsid w:val="0093637C"/>
    <w:rsid w:val="00940629"/>
    <w:rsid w:val="00942A0C"/>
    <w:rsid w:val="00943A5E"/>
    <w:rsid w:val="0094553F"/>
    <w:rsid w:val="00947F1B"/>
    <w:rsid w:val="0095101D"/>
    <w:rsid w:val="009511A4"/>
    <w:rsid w:val="0095203D"/>
    <w:rsid w:val="00955334"/>
    <w:rsid w:val="00955DA1"/>
    <w:rsid w:val="00956C9C"/>
    <w:rsid w:val="00960402"/>
    <w:rsid w:val="00960904"/>
    <w:rsid w:val="009610D5"/>
    <w:rsid w:val="00961ED5"/>
    <w:rsid w:val="00962783"/>
    <w:rsid w:val="009639A8"/>
    <w:rsid w:val="00965D3D"/>
    <w:rsid w:val="009672EB"/>
    <w:rsid w:val="0097083C"/>
    <w:rsid w:val="00971A22"/>
    <w:rsid w:val="00975454"/>
    <w:rsid w:val="00975BF0"/>
    <w:rsid w:val="00981A7F"/>
    <w:rsid w:val="0098400F"/>
    <w:rsid w:val="009842D0"/>
    <w:rsid w:val="009878E6"/>
    <w:rsid w:val="00990C7A"/>
    <w:rsid w:val="00992F31"/>
    <w:rsid w:val="009950DB"/>
    <w:rsid w:val="009958A5"/>
    <w:rsid w:val="009A07FD"/>
    <w:rsid w:val="009A2F61"/>
    <w:rsid w:val="009A58CF"/>
    <w:rsid w:val="009B4221"/>
    <w:rsid w:val="009B69A9"/>
    <w:rsid w:val="009B6F4E"/>
    <w:rsid w:val="009B7C38"/>
    <w:rsid w:val="009B7F03"/>
    <w:rsid w:val="009C1877"/>
    <w:rsid w:val="009C199C"/>
    <w:rsid w:val="009C1CC3"/>
    <w:rsid w:val="009C1FE0"/>
    <w:rsid w:val="009C2940"/>
    <w:rsid w:val="009C4632"/>
    <w:rsid w:val="009C4A0C"/>
    <w:rsid w:val="009D0EB3"/>
    <w:rsid w:val="009D0EE5"/>
    <w:rsid w:val="009D6AB1"/>
    <w:rsid w:val="009D7E38"/>
    <w:rsid w:val="009E221B"/>
    <w:rsid w:val="009E3362"/>
    <w:rsid w:val="009E39CE"/>
    <w:rsid w:val="009E6058"/>
    <w:rsid w:val="009E65EC"/>
    <w:rsid w:val="009E766C"/>
    <w:rsid w:val="009E797A"/>
    <w:rsid w:val="009F167B"/>
    <w:rsid w:val="009F2CDD"/>
    <w:rsid w:val="009F6A22"/>
    <w:rsid w:val="00A006AA"/>
    <w:rsid w:val="00A00AA6"/>
    <w:rsid w:val="00A03864"/>
    <w:rsid w:val="00A056B8"/>
    <w:rsid w:val="00A058C9"/>
    <w:rsid w:val="00A06500"/>
    <w:rsid w:val="00A07120"/>
    <w:rsid w:val="00A07887"/>
    <w:rsid w:val="00A20084"/>
    <w:rsid w:val="00A24606"/>
    <w:rsid w:val="00A25379"/>
    <w:rsid w:val="00A3050B"/>
    <w:rsid w:val="00A30C97"/>
    <w:rsid w:val="00A3188E"/>
    <w:rsid w:val="00A324D6"/>
    <w:rsid w:val="00A32B2D"/>
    <w:rsid w:val="00A33A4A"/>
    <w:rsid w:val="00A342C3"/>
    <w:rsid w:val="00A42E87"/>
    <w:rsid w:val="00A458B8"/>
    <w:rsid w:val="00A4684D"/>
    <w:rsid w:val="00A5055E"/>
    <w:rsid w:val="00A57957"/>
    <w:rsid w:val="00A65F72"/>
    <w:rsid w:val="00A673C9"/>
    <w:rsid w:val="00A67845"/>
    <w:rsid w:val="00A76B6A"/>
    <w:rsid w:val="00A77CA7"/>
    <w:rsid w:val="00A81B52"/>
    <w:rsid w:val="00A835A1"/>
    <w:rsid w:val="00A83FC8"/>
    <w:rsid w:val="00A85954"/>
    <w:rsid w:val="00A91A5E"/>
    <w:rsid w:val="00A92334"/>
    <w:rsid w:val="00A93D61"/>
    <w:rsid w:val="00A94BA3"/>
    <w:rsid w:val="00A952D1"/>
    <w:rsid w:val="00A9554F"/>
    <w:rsid w:val="00A96789"/>
    <w:rsid w:val="00A96D31"/>
    <w:rsid w:val="00A9741A"/>
    <w:rsid w:val="00A97A20"/>
    <w:rsid w:val="00AB269D"/>
    <w:rsid w:val="00AB3B10"/>
    <w:rsid w:val="00AB60BE"/>
    <w:rsid w:val="00AC0B99"/>
    <w:rsid w:val="00AC28B3"/>
    <w:rsid w:val="00AC48CF"/>
    <w:rsid w:val="00AC5FD4"/>
    <w:rsid w:val="00AD099D"/>
    <w:rsid w:val="00AD0B7B"/>
    <w:rsid w:val="00AD0FB4"/>
    <w:rsid w:val="00AD16B8"/>
    <w:rsid w:val="00AD30A5"/>
    <w:rsid w:val="00AD6197"/>
    <w:rsid w:val="00AE068B"/>
    <w:rsid w:val="00AE16F5"/>
    <w:rsid w:val="00AF1AB0"/>
    <w:rsid w:val="00B03673"/>
    <w:rsid w:val="00B04F8D"/>
    <w:rsid w:val="00B05BB7"/>
    <w:rsid w:val="00B06B7A"/>
    <w:rsid w:val="00B07D59"/>
    <w:rsid w:val="00B10F6B"/>
    <w:rsid w:val="00B11234"/>
    <w:rsid w:val="00B15406"/>
    <w:rsid w:val="00B16C21"/>
    <w:rsid w:val="00B31736"/>
    <w:rsid w:val="00B31A6D"/>
    <w:rsid w:val="00B3219E"/>
    <w:rsid w:val="00B32E47"/>
    <w:rsid w:val="00B33D83"/>
    <w:rsid w:val="00B3418E"/>
    <w:rsid w:val="00B354A9"/>
    <w:rsid w:val="00B35FD0"/>
    <w:rsid w:val="00B363A2"/>
    <w:rsid w:val="00B371DE"/>
    <w:rsid w:val="00B419AA"/>
    <w:rsid w:val="00B42359"/>
    <w:rsid w:val="00B43460"/>
    <w:rsid w:val="00B45116"/>
    <w:rsid w:val="00B51870"/>
    <w:rsid w:val="00B674AC"/>
    <w:rsid w:val="00B70A1C"/>
    <w:rsid w:val="00B70C53"/>
    <w:rsid w:val="00B76432"/>
    <w:rsid w:val="00B80918"/>
    <w:rsid w:val="00B81022"/>
    <w:rsid w:val="00B844E0"/>
    <w:rsid w:val="00B86823"/>
    <w:rsid w:val="00B934EF"/>
    <w:rsid w:val="00B93FAE"/>
    <w:rsid w:val="00B9536D"/>
    <w:rsid w:val="00B955AD"/>
    <w:rsid w:val="00B96C72"/>
    <w:rsid w:val="00BA0625"/>
    <w:rsid w:val="00BA073F"/>
    <w:rsid w:val="00BA11EC"/>
    <w:rsid w:val="00BA2C2E"/>
    <w:rsid w:val="00BA2E8B"/>
    <w:rsid w:val="00BA48EF"/>
    <w:rsid w:val="00BA55A6"/>
    <w:rsid w:val="00BA5FC8"/>
    <w:rsid w:val="00BB2EC1"/>
    <w:rsid w:val="00BB4648"/>
    <w:rsid w:val="00BC04DB"/>
    <w:rsid w:val="00BC4FFA"/>
    <w:rsid w:val="00BC5DBD"/>
    <w:rsid w:val="00BC5F95"/>
    <w:rsid w:val="00BC70E9"/>
    <w:rsid w:val="00BD0703"/>
    <w:rsid w:val="00BD23DC"/>
    <w:rsid w:val="00BD3602"/>
    <w:rsid w:val="00BD4AB1"/>
    <w:rsid w:val="00BD6D93"/>
    <w:rsid w:val="00BD7BB9"/>
    <w:rsid w:val="00BE0B0B"/>
    <w:rsid w:val="00BE0BAD"/>
    <w:rsid w:val="00BE1772"/>
    <w:rsid w:val="00BE52C1"/>
    <w:rsid w:val="00BE5EDA"/>
    <w:rsid w:val="00BF6D24"/>
    <w:rsid w:val="00C01ABF"/>
    <w:rsid w:val="00C01C3B"/>
    <w:rsid w:val="00C0369B"/>
    <w:rsid w:val="00C03C31"/>
    <w:rsid w:val="00C05888"/>
    <w:rsid w:val="00C068DC"/>
    <w:rsid w:val="00C1482D"/>
    <w:rsid w:val="00C15336"/>
    <w:rsid w:val="00C155B6"/>
    <w:rsid w:val="00C17B48"/>
    <w:rsid w:val="00C20E52"/>
    <w:rsid w:val="00C22B4B"/>
    <w:rsid w:val="00C23C5D"/>
    <w:rsid w:val="00C25F64"/>
    <w:rsid w:val="00C30005"/>
    <w:rsid w:val="00C314F8"/>
    <w:rsid w:val="00C3364D"/>
    <w:rsid w:val="00C3543C"/>
    <w:rsid w:val="00C368EB"/>
    <w:rsid w:val="00C37E99"/>
    <w:rsid w:val="00C43BB8"/>
    <w:rsid w:val="00C43C92"/>
    <w:rsid w:val="00C44465"/>
    <w:rsid w:val="00C4709E"/>
    <w:rsid w:val="00C47D87"/>
    <w:rsid w:val="00C52767"/>
    <w:rsid w:val="00C55ED0"/>
    <w:rsid w:val="00C579E2"/>
    <w:rsid w:val="00C61248"/>
    <w:rsid w:val="00C63E6F"/>
    <w:rsid w:val="00C665C0"/>
    <w:rsid w:val="00C70569"/>
    <w:rsid w:val="00C72297"/>
    <w:rsid w:val="00C723F3"/>
    <w:rsid w:val="00C75077"/>
    <w:rsid w:val="00C75111"/>
    <w:rsid w:val="00C8480B"/>
    <w:rsid w:val="00C90087"/>
    <w:rsid w:val="00C9011D"/>
    <w:rsid w:val="00C90DD4"/>
    <w:rsid w:val="00C92E03"/>
    <w:rsid w:val="00C92FA5"/>
    <w:rsid w:val="00C96EC9"/>
    <w:rsid w:val="00C97CB4"/>
    <w:rsid w:val="00CA0223"/>
    <w:rsid w:val="00CA22F1"/>
    <w:rsid w:val="00CA4845"/>
    <w:rsid w:val="00CB1CB7"/>
    <w:rsid w:val="00CB484F"/>
    <w:rsid w:val="00CB5C1F"/>
    <w:rsid w:val="00CB6A0F"/>
    <w:rsid w:val="00CC1B17"/>
    <w:rsid w:val="00CC7F5C"/>
    <w:rsid w:val="00CD3543"/>
    <w:rsid w:val="00CD3BBF"/>
    <w:rsid w:val="00CD3D31"/>
    <w:rsid w:val="00CD5C47"/>
    <w:rsid w:val="00CD7876"/>
    <w:rsid w:val="00CE231F"/>
    <w:rsid w:val="00CE37C6"/>
    <w:rsid w:val="00CE6F03"/>
    <w:rsid w:val="00CE7BFA"/>
    <w:rsid w:val="00CE7E62"/>
    <w:rsid w:val="00CF07E6"/>
    <w:rsid w:val="00CF1EE4"/>
    <w:rsid w:val="00CF28F6"/>
    <w:rsid w:val="00CF40C4"/>
    <w:rsid w:val="00CF4DCE"/>
    <w:rsid w:val="00D0153D"/>
    <w:rsid w:val="00D03B83"/>
    <w:rsid w:val="00D040F7"/>
    <w:rsid w:val="00D0655F"/>
    <w:rsid w:val="00D10B05"/>
    <w:rsid w:val="00D132AB"/>
    <w:rsid w:val="00D14A77"/>
    <w:rsid w:val="00D15F05"/>
    <w:rsid w:val="00D222FA"/>
    <w:rsid w:val="00D253B1"/>
    <w:rsid w:val="00D26389"/>
    <w:rsid w:val="00D318C7"/>
    <w:rsid w:val="00D3269D"/>
    <w:rsid w:val="00D34187"/>
    <w:rsid w:val="00D35795"/>
    <w:rsid w:val="00D410D3"/>
    <w:rsid w:val="00D4335A"/>
    <w:rsid w:val="00D456EC"/>
    <w:rsid w:val="00D45B3E"/>
    <w:rsid w:val="00D5267E"/>
    <w:rsid w:val="00D536C0"/>
    <w:rsid w:val="00D55777"/>
    <w:rsid w:val="00D61546"/>
    <w:rsid w:val="00D6236C"/>
    <w:rsid w:val="00D626B0"/>
    <w:rsid w:val="00D65329"/>
    <w:rsid w:val="00D66009"/>
    <w:rsid w:val="00D66CA4"/>
    <w:rsid w:val="00D73873"/>
    <w:rsid w:val="00D7681D"/>
    <w:rsid w:val="00D7723C"/>
    <w:rsid w:val="00D832EA"/>
    <w:rsid w:val="00D8380C"/>
    <w:rsid w:val="00D840E5"/>
    <w:rsid w:val="00D91246"/>
    <w:rsid w:val="00D93116"/>
    <w:rsid w:val="00D93301"/>
    <w:rsid w:val="00D94404"/>
    <w:rsid w:val="00D9584D"/>
    <w:rsid w:val="00D95EF1"/>
    <w:rsid w:val="00D96E37"/>
    <w:rsid w:val="00D97769"/>
    <w:rsid w:val="00D97ECD"/>
    <w:rsid w:val="00DA616E"/>
    <w:rsid w:val="00DA77C7"/>
    <w:rsid w:val="00DB0DA3"/>
    <w:rsid w:val="00DB12F1"/>
    <w:rsid w:val="00DB1495"/>
    <w:rsid w:val="00DB5241"/>
    <w:rsid w:val="00DB682A"/>
    <w:rsid w:val="00DB724C"/>
    <w:rsid w:val="00DB7A65"/>
    <w:rsid w:val="00DC461C"/>
    <w:rsid w:val="00DD3236"/>
    <w:rsid w:val="00DD4BA3"/>
    <w:rsid w:val="00DE08C5"/>
    <w:rsid w:val="00DE1D6B"/>
    <w:rsid w:val="00DE2528"/>
    <w:rsid w:val="00DE3F9A"/>
    <w:rsid w:val="00DE465B"/>
    <w:rsid w:val="00DE4D05"/>
    <w:rsid w:val="00DE5C90"/>
    <w:rsid w:val="00DE6497"/>
    <w:rsid w:val="00DE6B37"/>
    <w:rsid w:val="00DE6D92"/>
    <w:rsid w:val="00DF4356"/>
    <w:rsid w:val="00DF4DBC"/>
    <w:rsid w:val="00E00149"/>
    <w:rsid w:val="00E00CAD"/>
    <w:rsid w:val="00E0318A"/>
    <w:rsid w:val="00E03CC8"/>
    <w:rsid w:val="00E04523"/>
    <w:rsid w:val="00E04BE2"/>
    <w:rsid w:val="00E0501E"/>
    <w:rsid w:val="00E1005D"/>
    <w:rsid w:val="00E1350C"/>
    <w:rsid w:val="00E15BA0"/>
    <w:rsid w:val="00E16929"/>
    <w:rsid w:val="00E16D32"/>
    <w:rsid w:val="00E1794D"/>
    <w:rsid w:val="00E21A57"/>
    <w:rsid w:val="00E227F7"/>
    <w:rsid w:val="00E2305C"/>
    <w:rsid w:val="00E23B5B"/>
    <w:rsid w:val="00E2635C"/>
    <w:rsid w:val="00E26CA9"/>
    <w:rsid w:val="00E3590E"/>
    <w:rsid w:val="00E36B67"/>
    <w:rsid w:val="00E3767B"/>
    <w:rsid w:val="00E402B1"/>
    <w:rsid w:val="00E44043"/>
    <w:rsid w:val="00E54AA1"/>
    <w:rsid w:val="00E56C27"/>
    <w:rsid w:val="00E602B5"/>
    <w:rsid w:val="00E63292"/>
    <w:rsid w:val="00E63D03"/>
    <w:rsid w:val="00E64BBE"/>
    <w:rsid w:val="00E71BB8"/>
    <w:rsid w:val="00E74FFC"/>
    <w:rsid w:val="00E75085"/>
    <w:rsid w:val="00E75BC3"/>
    <w:rsid w:val="00E7748D"/>
    <w:rsid w:val="00E841F8"/>
    <w:rsid w:val="00E85BD0"/>
    <w:rsid w:val="00E91EF8"/>
    <w:rsid w:val="00E9694C"/>
    <w:rsid w:val="00EA3505"/>
    <w:rsid w:val="00EB0150"/>
    <w:rsid w:val="00EB08E0"/>
    <w:rsid w:val="00EB2B9F"/>
    <w:rsid w:val="00EB3DB5"/>
    <w:rsid w:val="00EB3FA1"/>
    <w:rsid w:val="00EB4BA8"/>
    <w:rsid w:val="00EB5213"/>
    <w:rsid w:val="00EB602A"/>
    <w:rsid w:val="00EB71B2"/>
    <w:rsid w:val="00EB7216"/>
    <w:rsid w:val="00EC08AA"/>
    <w:rsid w:val="00EC6191"/>
    <w:rsid w:val="00EC651E"/>
    <w:rsid w:val="00EC6F16"/>
    <w:rsid w:val="00EC7F4E"/>
    <w:rsid w:val="00ED077B"/>
    <w:rsid w:val="00EE18E5"/>
    <w:rsid w:val="00EE3643"/>
    <w:rsid w:val="00EE5676"/>
    <w:rsid w:val="00EE5CE6"/>
    <w:rsid w:val="00EE76B7"/>
    <w:rsid w:val="00EE7C50"/>
    <w:rsid w:val="00EF028F"/>
    <w:rsid w:val="00EF2A7A"/>
    <w:rsid w:val="00EF38C8"/>
    <w:rsid w:val="00EF3EE8"/>
    <w:rsid w:val="00EF4F95"/>
    <w:rsid w:val="00EF6231"/>
    <w:rsid w:val="00F01552"/>
    <w:rsid w:val="00F0288D"/>
    <w:rsid w:val="00F02B59"/>
    <w:rsid w:val="00F03B8D"/>
    <w:rsid w:val="00F04DD7"/>
    <w:rsid w:val="00F05941"/>
    <w:rsid w:val="00F06CD7"/>
    <w:rsid w:val="00F06DB4"/>
    <w:rsid w:val="00F115CB"/>
    <w:rsid w:val="00F11FA6"/>
    <w:rsid w:val="00F13CC6"/>
    <w:rsid w:val="00F146D4"/>
    <w:rsid w:val="00F2054F"/>
    <w:rsid w:val="00F21E0B"/>
    <w:rsid w:val="00F224F0"/>
    <w:rsid w:val="00F33A79"/>
    <w:rsid w:val="00F41E8C"/>
    <w:rsid w:val="00F42E24"/>
    <w:rsid w:val="00F43FD4"/>
    <w:rsid w:val="00F44A5C"/>
    <w:rsid w:val="00F44E25"/>
    <w:rsid w:val="00F466D6"/>
    <w:rsid w:val="00F516B7"/>
    <w:rsid w:val="00F54E7F"/>
    <w:rsid w:val="00F5503F"/>
    <w:rsid w:val="00F578C8"/>
    <w:rsid w:val="00F60F16"/>
    <w:rsid w:val="00F62285"/>
    <w:rsid w:val="00F624E5"/>
    <w:rsid w:val="00F65834"/>
    <w:rsid w:val="00F65A80"/>
    <w:rsid w:val="00F6755B"/>
    <w:rsid w:val="00F67866"/>
    <w:rsid w:val="00F67EE3"/>
    <w:rsid w:val="00F74D02"/>
    <w:rsid w:val="00F75259"/>
    <w:rsid w:val="00F762ED"/>
    <w:rsid w:val="00F80A37"/>
    <w:rsid w:val="00F81C8A"/>
    <w:rsid w:val="00F84E49"/>
    <w:rsid w:val="00F91CAC"/>
    <w:rsid w:val="00F9291D"/>
    <w:rsid w:val="00F968C8"/>
    <w:rsid w:val="00FA06E6"/>
    <w:rsid w:val="00FA2CC8"/>
    <w:rsid w:val="00FA2D32"/>
    <w:rsid w:val="00FA6467"/>
    <w:rsid w:val="00FA7A2C"/>
    <w:rsid w:val="00FB1679"/>
    <w:rsid w:val="00FB2690"/>
    <w:rsid w:val="00FB6F60"/>
    <w:rsid w:val="00FC1CF6"/>
    <w:rsid w:val="00FC20AE"/>
    <w:rsid w:val="00FC4C92"/>
    <w:rsid w:val="00FD00B7"/>
    <w:rsid w:val="00FD3C19"/>
    <w:rsid w:val="00FD4315"/>
    <w:rsid w:val="00FD79DD"/>
    <w:rsid w:val="00FE143D"/>
    <w:rsid w:val="00FE1EF0"/>
    <w:rsid w:val="00FF0382"/>
    <w:rsid w:val="00FF1815"/>
    <w:rsid w:val="00FF4B42"/>
    <w:rsid w:val="00FF7474"/>
    <w:rsid w:val="00FF7F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13273AD"/>
  <w15:chartTrackingRefBased/>
  <w15:docId w15:val="{B746986A-BB09-B149-ACF6-CCF9D057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880E82"/>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814C6"/>
    <w:rPr>
      <w:color w:val="0563C1" w:themeColor="hyperlink"/>
      <w:u w:val="single"/>
    </w:rPr>
  </w:style>
  <w:style w:type="paragraph" w:customStyle="1" w:styleId="EndNoteBibliographyTitle">
    <w:name w:val="EndNote Bibliography Title"/>
    <w:basedOn w:val="Standaard"/>
    <w:link w:val="EndNoteBibliographyTitleChar"/>
    <w:rsid w:val="00BE0BAD"/>
    <w:pPr>
      <w:jc w:val="center"/>
    </w:pPr>
    <w:rPr>
      <w:rFonts w:ascii="Calibri" w:hAnsi="Calibri" w:cs="Calibri"/>
      <w:lang w:val="en-US"/>
    </w:rPr>
  </w:style>
  <w:style w:type="character" w:customStyle="1" w:styleId="EndNoteBibliographyTitleChar">
    <w:name w:val="EndNote Bibliography Title Char"/>
    <w:basedOn w:val="Standaardalinea-lettertype"/>
    <w:link w:val="EndNoteBibliographyTitle"/>
    <w:rsid w:val="00BE0BAD"/>
    <w:rPr>
      <w:rFonts w:ascii="Calibri" w:hAnsi="Calibri" w:cs="Calibri"/>
      <w:lang w:val="en-US"/>
    </w:rPr>
  </w:style>
  <w:style w:type="paragraph" w:customStyle="1" w:styleId="EndNoteBibliography">
    <w:name w:val="EndNote Bibliography"/>
    <w:basedOn w:val="Standaard"/>
    <w:link w:val="EndNoteBibliographyChar"/>
    <w:rsid w:val="00BE0BAD"/>
    <w:rPr>
      <w:rFonts w:ascii="Calibri" w:hAnsi="Calibri" w:cs="Calibri"/>
      <w:lang w:val="en-US"/>
    </w:rPr>
  </w:style>
  <w:style w:type="character" w:customStyle="1" w:styleId="EndNoteBibliographyChar">
    <w:name w:val="EndNote Bibliography Char"/>
    <w:basedOn w:val="Standaardalinea-lettertype"/>
    <w:link w:val="EndNoteBibliography"/>
    <w:rsid w:val="00BE0BAD"/>
    <w:rPr>
      <w:rFonts w:ascii="Calibri" w:hAnsi="Calibri" w:cs="Calibri"/>
      <w:lang w:val="en-US"/>
    </w:rPr>
  </w:style>
  <w:style w:type="character" w:customStyle="1" w:styleId="Onopgelostemelding1">
    <w:name w:val="Onopgeloste melding1"/>
    <w:basedOn w:val="Standaardalinea-lettertype"/>
    <w:uiPriority w:val="99"/>
    <w:semiHidden/>
    <w:unhideWhenUsed/>
    <w:rsid w:val="00CF28F6"/>
    <w:rPr>
      <w:color w:val="605E5C"/>
      <w:shd w:val="clear" w:color="auto" w:fill="E1DFDD"/>
    </w:rPr>
  </w:style>
  <w:style w:type="character" w:styleId="Verwijzingopmerking">
    <w:name w:val="annotation reference"/>
    <w:basedOn w:val="Standaardalinea-lettertype"/>
    <w:uiPriority w:val="99"/>
    <w:semiHidden/>
    <w:unhideWhenUsed/>
    <w:rsid w:val="001021E6"/>
    <w:rPr>
      <w:sz w:val="16"/>
      <w:szCs w:val="16"/>
    </w:rPr>
  </w:style>
  <w:style w:type="paragraph" w:styleId="Tekstopmerking">
    <w:name w:val="annotation text"/>
    <w:basedOn w:val="Standaard"/>
    <w:link w:val="TekstopmerkingChar"/>
    <w:uiPriority w:val="99"/>
    <w:unhideWhenUsed/>
    <w:rsid w:val="001021E6"/>
    <w:rPr>
      <w:sz w:val="20"/>
      <w:szCs w:val="20"/>
    </w:rPr>
  </w:style>
  <w:style w:type="character" w:customStyle="1" w:styleId="TekstopmerkingChar">
    <w:name w:val="Tekst opmerking Char"/>
    <w:basedOn w:val="Standaardalinea-lettertype"/>
    <w:link w:val="Tekstopmerking"/>
    <w:uiPriority w:val="99"/>
    <w:rsid w:val="001021E6"/>
    <w:rPr>
      <w:sz w:val="20"/>
      <w:szCs w:val="20"/>
    </w:rPr>
  </w:style>
  <w:style w:type="paragraph" w:styleId="Onderwerpvanopmerking">
    <w:name w:val="annotation subject"/>
    <w:basedOn w:val="Tekstopmerking"/>
    <w:next w:val="Tekstopmerking"/>
    <w:link w:val="OnderwerpvanopmerkingChar"/>
    <w:uiPriority w:val="99"/>
    <w:semiHidden/>
    <w:unhideWhenUsed/>
    <w:rsid w:val="001021E6"/>
    <w:rPr>
      <w:b/>
      <w:bCs/>
    </w:rPr>
  </w:style>
  <w:style w:type="character" w:customStyle="1" w:styleId="OnderwerpvanopmerkingChar">
    <w:name w:val="Onderwerp van opmerking Char"/>
    <w:basedOn w:val="TekstopmerkingChar"/>
    <w:link w:val="Onderwerpvanopmerking"/>
    <w:uiPriority w:val="99"/>
    <w:semiHidden/>
    <w:rsid w:val="001021E6"/>
    <w:rPr>
      <w:b/>
      <w:bCs/>
      <w:sz w:val="20"/>
      <w:szCs w:val="20"/>
    </w:rPr>
  </w:style>
  <w:style w:type="paragraph" w:styleId="Lijstalinea">
    <w:name w:val="List Paragraph"/>
    <w:basedOn w:val="Standaard"/>
    <w:uiPriority w:val="34"/>
    <w:qFormat/>
    <w:rsid w:val="001F1E1A"/>
    <w:pPr>
      <w:ind w:left="720"/>
      <w:contextualSpacing/>
    </w:pPr>
  </w:style>
  <w:style w:type="table" w:styleId="Lijsttabel6kleurrijk">
    <w:name w:val="List Table 6 Colorful"/>
    <w:basedOn w:val="Standaardtabel"/>
    <w:uiPriority w:val="51"/>
    <w:rsid w:val="001F1E1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adruk">
    <w:name w:val="Emphasis"/>
    <w:basedOn w:val="Standaardalinea-lettertype"/>
    <w:uiPriority w:val="20"/>
    <w:qFormat/>
    <w:rsid w:val="0097083C"/>
    <w:rPr>
      <w:i/>
      <w:iCs/>
    </w:rPr>
  </w:style>
  <w:style w:type="character" w:customStyle="1" w:styleId="apple-converted-space">
    <w:name w:val="apple-converted-space"/>
    <w:basedOn w:val="Standaardalinea-lettertype"/>
    <w:rsid w:val="0097083C"/>
  </w:style>
  <w:style w:type="table" w:styleId="Lijsttabel7kleurrijk">
    <w:name w:val="List Table 7 Colorful"/>
    <w:basedOn w:val="Standaardtabel"/>
    <w:uiPriority w:val="52"/>
    <w:rsid w:val="005A2AF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ntekst">
    <w:name w:val="Balloon Text"/>
    <w:basedOn w:val="Standaard"/>
    <w:link w:val="BallontekstChar"/>
    <w:uiPriority w:val="99"/>
    <w:semiHidden/>
    <w:unhideWhenUsed/>
    <w:rsid w:val="009A58C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A58CF"/>
    <w:rPr>
      <w:rFonts w:ascii="Segoe UI" w:hAnsi="Segoe UI" w:cs="Segoe UI"/>
      <w:sz w:val="18"/>
      <w:szCs w:val="18"/>
    </w:rPr>
  </w:style>
  <w:style w:type="paragraph" w:customStyle="1" w:styleId="MDPI31text">
    <w:name w:val="MDPI_3.1_text"/>
    <w:link w:val="MDPI31textChar"/>
    <w:qFormat/>
    <w:rsid w:val="00685319"/>
    <w:pPr>
      <w:adjustRightInd w:val="0"/>
      <w:snapToGrid w:val="0"/>
      <w:spacing w:line="260" w:lineRule="atLeast"/>
      <w:ind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22heading2">
    <w:name w:val="MDPI_2.2_heading2"/>
    <w:basedOn w:val="Standaard"/>
    <w:qFormat/>
    <w:rsid w:val="00685319"/>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szCs w:val="22"/>
      <w:lang w:val="en-US" w:eastAsia="de-DE" w:bidi="en-US"/>
    </w:rPr>
  </w:style>
  <w:style w:type="character" w:customStyle="1" w:styleId="MDPI31textChar">
    <w:name w:val="MDPI_3.1_text Char"/>
    <w:basedOn w:val="Standaardalinea-lettertype"/>
    <w:link w:val="MDPI31text"/>
    <w:rsid w:val="00685319"/>
    <w:rPr>
      <w:rFonts w:ascii="Palatino Linotype" w:eastAsia="Times New Roman" w:hAnsi="Palatino Linotype" w:cs="Times New Roman"/>
      <w:snapToGrid w:val="0"/>
      <w:color w:val="000000"/>
      <w:sz w:val="20"/>
      <w:szCs w:val="22"/>
      <w:lang w:val="en-US" w:eastAsia="de-DE" w:bidi="en-US"/>
    </w:rPr>
  </w:style>
  <w:style w:type="paragraph" w:styleId="Revisie">
    <w:name w:val="Revision"/>
    <w:hidden/>
    <w:uiPriority w:val="99"/>
    <w:semiHidden/>
    <w:rsid w:val="001308AA"/>
  </w:style>
  <w:style w:type="character" w:customStyle="1" w:styleId="Kop1Char">
    <w:name w:val="Kop 1 Char"/>
    <w:basedOn w:val="Standaardalinea-lettertype"/>
    <w:link w:val="Kop1"/>
    <w:uiPriority w:val="9"/>
    <w:rsid w:val="00880E82"/>
    <w:rPr>
      <w:rFonts w:ascii="Times New Roman" w:eastAsia="Times New Roman" w:hAnsi="Times New Roman" w:cs="Times New Roman"/>
      <w:b/>
      <w:bCs/>
      <w:kern w:val="36"/>
      <w:sz w:val="48"/>
      <w:szCs w:val="48"/>
      <w:lang w:eastAsia="nl-NL"/>
    </w:rPr>
  </w:style>
  <w:style w:type="paragraph" w:styleId="Koptekst">
    <w:name w:val="header"/>
    <w:basedOn w:val="Standaard"/>
    <w:link w:val="KoptekstChar"/>
    <w:uiPriority w:val="99"/>
    <w:unhideWhenUsed/>
    <w:rsid w:val="000669AD"/>
    <w:pPr>
      <w:tabs>
        <w:tab w:val="center" w:pos="4513"/>
        <w:tab w:val="right" w:pos="9026"/>
      </w:tabs>
    </w:pPr>
  </w:style>
  <w:style w:type="character" w:customStyle="1" w:styleId="KoptekstChar">
    <w:name w:val="Koptekst Char"/>
    <w:basedOn w:val="Standaardalinea-lettertype"/>
    <w:link w:val="Koptekst"/>
    <w:uiPriority w:val="99"/>
    <w:rsid w:val="000669AD"/>
  </w:style>
  <w:style w:type="paragraph" w:styleId="Voettekst">
    <w:name w:val="footer"/>
    <w:basedOn w:val="Standaard"/>
    <w:link w:val="VoettekstChar"/>
    <w:uiPriority w:val="99"/>
    <w:unhideWhenUsed/>
    <w:rsid w:val="000669AD"/>
    <w:pPr>
      <w:tabs>
        <w:tab w:val="center" w:pos="4513"/>
        <w:tab w:val="right" w:pos="9026"/>
      </w:tabs>
    </w:pPr>
  </w:style>
  <w:style w:type="character" w:customStyle="1" w:styleId="VoettekstChar">
    <w:name w:val="Voettekst Char"/>
    <w:basedOn w:val="Standaardalinea-lettertype"/>
    <w:link w:val="Voettekst"/>
    <w:uiPriority w:val="99"/>
    <w:rsid w:val="000669AD"/>
  </w:style>
  <w:style w:type="paragraph" w:styleId="Normaalweb">
    <w:name w:val="Normal (Web)"/>
    <w:basedOn w:val="Standaard"/>
    <w:uiPriority w:val="99"/>
    <w:semiHidden/>
    <w:unhideWhenUsed/>
    <w:rsid w:val="0001487B"/>
    <w:pPr>
      <w:spacing w:before="100" w:beforeAutospacing="1" w:after="100" w:afterAutospacing="1"/>
    </w:pPr>
    <w:rPr>
      <w:rFonts w:ascii="Times New Roman" w:eastAsiaTheme="minorEastAsia" w:hAnsi="Times New Roman" w:cs="Times New Roman"/>
      <w:lang w:eastAsia="nl-NL"/>
    </w:rPr>
  </w:style>
  <w:style w:type="paragraph" w:styleId="Tekstzonderopmaak">
    <w:name w:val="Plain Text"/>
    <w:basedOn w:val="Standaard"/>
    <w:link w:val="TekstzonderopmaakChar"/>
    <w:uiPriority w:val="99"/>
    <w:semiHidden/>
    <w:unhideWhenUsed/>
    <w:rsid w:val="00E2305C"/>
    <w:rPr>
      <w:rFonts w:ascii="Calibri" w:hAnsi="Calibri"/>
      <w:sz w:val="22"/>
      <w:szCs w:val="21"/>
    </w:rPr>
  </w:style>
  <w:style w:type="character" w:customStyle="1" w:styleId="TekstzonderopmaakChar">
    <w:name w:val="Tekst zonder opmaak Char"/>
    <w:basedOn w:val="Standaardalinea-lettertype"/>
    <w:link w:val="Tekstzonderopmaak"/>
    <w:uiPriority w:val="99"/>
    <w:semiHidden/>
    <w:rsid w:val="00E2305C"/>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00309">
      <w:bodyDiv w:val="1"/>
      <w:marLeft w:val="0"/>
      <w:marRight w:val="0"/>
      <w:marTop w:val="0"/>
      <w:marBottom w:val="0"/>
      <w:divBdr>
        <w:top w:val="none" w:sz="0" w:space="0" w:color="auto"/>
        <w:left w:val="none" w:sz="0" w:space="0" w:color="auto"/>
        <w:bottom w:val="none" w:sz="0" w:space="0" w:color="auto"/>
        <w:right w:val="none" w:sz="0" w:space="0" w:color="auto"/>
      </w:divBdr>
    </w:div>
    <w:div w:id="386496298">
      <w:bodyDiv w:val="1"/>
      <w:marLeft w:val="0"/>
      <w:marRight w:val="0"/>
      <w:marTop w:val="0"/>
      <w:marBottom w:val="0"/>
      <w:divBdr>
        <w:top w:val="none" w:sz="0" w:space="0" w:color="auto"/>
        <w:left w:val="none" w:sz="0" w:space="0" w:color="auto"/>
        <w:bottom w:val="none" w:sz="0" w:space="0" w:color="auto"/>
        <w:right w:val="none" w:sz="0" w:space="0" w:color="auto"/>
      </w:divBdr>
    </w:div>
    <w:div w:id="389378544">
      <w:bodyDiv w:val="1"/>
      <w:marLeft w:val="0"/>
      <w:marRight w:val="0"/>
      <w:marTop w:val="0"/>
      <w:marBottom w:val="0"/>
      <w:divBdr>
        <w:top w:val="none" w:sz="0" w:space="0" w:color="auto"/>
        <w:left w:val="none" w:sz="0" w:space="0" w:color="auto"/>
        <w:bottom w:val="none" w:sz="0" w:space="0" w:color="auto"/>
        <w:right w:val="none" w:sz="0" w:space="0" w:color="auto"/>
      </w:divBdr>
    </w:div>
    <w:div w:id="646712959">
      <w:bodyDiv w:val="1"/>
      <w:marLeft w:val="0"/>
      <w:marRight w:val="0"/>
      <w:marTop w:val="0"/>
      <w:marBottom w:val="0"/>
      <w:divBdr>
        <w:top w:val="none" w:sz="0" w:space="0" w:color="auto"/>
        <w:left w:val="none" w:sz="0" w:space="0" w:color="auto"/>
        <w:bottom w:val="none" w:sz="0" w:space="0" w:color="auto"/>
        <w:right w:val="none" w:sz="0" w:space="0" w:color="auto"/>
      </w:divBdr>
    </w:div>
    <w:div w:id="700279523">
      <w:bodyDiv w:val="1"/>
      <w:marLeft w:val="0"/>
      <w:marRight w:val="0"/>
      <w:marTop w:val="0"/>
      <w:marBottom w:val="0"/>
      <w:divBdr>
        <w:top w:val="none" w:sz="0" w:space="0" w:color="auto"/>
        <w:left w:val="none" w:sz="0" w:space="0" w:color="auto"/>
        <w:bottom w:val="none" w:sz="0" w:space="0" w:color="auto"/>
        <w:right w:val="none" w:sz="0" w:space="0" w:color="auto"/>
      </w:divBdr>
    </w:div>
    <w:div w:id="827282583">
      <w:bodyDiv w:val="1"/>
      <w:marLeft w:val="0"/>
      <w:marRight w:val="0"/>
      <w:marTop w:val="0"/>
      <w:marBottom w:val="0"/>
      <w:divBdr>
        <w:top w:val="none" w:sz="0" w:space="0" w:color="auto"/>
        <w:left w:val="none" w:sz="0" w:space="0" w:color="auto"/>
        <w:bottom w:val="none" w:sz="0" w:space="0" w:color="auto"/>
        <w:right w:val="none" w:sz="0" w:space="0" w:color="auto"/>
      </w:divBdr>
    </w:div>
    <w:div w:id="860703795">
      <w:bodyDiv w:val="1"/>
      <w:marLeft w:val="0"/>
      <w:marRight w:val="0"/>
      <w:marTop w:val="0"/>
      <w:marBottom w:val="0"/>
      <w:divBdr>
        <w:top w:val="none" w:sz="0" w:space="0" w:color="auto"/>
        <w:left w:val="none" w:sz="0" w:space="0" w:color="auto"/>
        <w:bottom w:val="none" w:sz="0" w:space="0" w:color="auto"/>
        <w:right w:val="none" w:sz="0" w:space="0" w:color="auto"/>
      </w:divBdr>
    </w:div>
    <w:div w:id="1062600994">
      <w:bodyDiv w:val="1"/>
      <w:marLeft w:val="0"/>
      <w:marRight w:val="0"/>
      <w:marTop w:val="0"/>
      <w:marBottom w:val="0"/>
      <w:divBdr>
        <w:top w:val="none" w:sz="0" w:space="0" w:color="auto"/>
        <w:left w:val="none" w:sz="0" w:space="0" w:color="auto"/>
        <w:bottom w:val="none" w:sz="0" w:space="0" w:color="auto"/>
        <w:right w:val="none" w:sz="0" w:space="0" w:color="auto"/>
      </w:divBdr>
    </w:div>
    <w:div w:id="1146899458">
      <w:bodyDiv w:val="1"/>
      <w:marLeft w:val="0"/>
      <w:marRight w:val="0"/>
      <w:marTop w:val="0"/>
      <w:marBottom w:val="0"/>
      <w:divBdr>
        <w:top w:val="none" w:sz="0" w:space="0" w:color="auto"/>
        <w:left w:val="none" w:sz="0" w:space="0" w:color="auto"/>
        <w:bottom w:val="none" w:sz="0" w:space="0" w:color="auto"/>
        <w:right w:val="none" w:sz="0" w:space="0" w:color="auto"/>
      </w:divBdr>
    </w:div>
    <w:div w:id="1152674513">
      <w:bodyDiv w:val="1"/>
      <w:marLeft w:val="0"/>
      <w:marRight w:val="0"/>
      <w:marTop w:val="0"/>
      <w:marBottom w:val="0"/>
      <w:divBdr>
        <w:top w:val="none" w:sz="0" w:space="0" w:color="auto"/>
        <w:left w:val="none" w:sz="0" w:space="0" w:color="auto"/>
        <w:bottom w:val="none" w:sz="0" w:space="0" w:color="auto"/>
        <w:right w:val="none" w:sz="0" w:space="0" w:color="auto"/>
      </w:divBdr>
    </w:div>
    <w:div w:id="1203782098">
      <w:bodyDiv w:val="1"/>
      <w:marLeft w:val="0"/>
      <w:marRight w:val="0"/>
      <w:marTop w:val="0"/>
      <w:marBottom w:val="0"/>
      <w:divBdr>
        <w:top w:val="none" w:sz="0" w:space="0" w:color="auto"/>
        <w:left w:val="none" w:sz="0" w:space="0" w:color="auto"/>
        <w:bottom w:val="none" w:sz="0" w:space="0" w:color="auto"/>
        <w:right w:val="none" w:sz="0" w:space="0" w:color="auto"/>
      </w:divBdr>
    </w:div>
    <w:div w:id="1220823967">
      <w:bodyDiv w:val="1"/>
      <w:marLeft w:val="0"/>
      <w:marRight w:val="0"/>
      <w:marTop w:val="0"/>
      <w:marBottom w:val="0"/>
      <w:divBdr>
        <w:top w:val="none" w:sz="0" w:space="0" w:color="auto"/>
        <w:left w:val="none" w:sz="0" w:space="0" w:color="auto"/>
        <w:bottom w:val="none" w:sz="0" w:space="0" w:color="auto"/>
        <w:right w:val="none" w:sz="0" w:space="0" w:color="auto"/>
      </w:divBdr>
    </w:div>
    <w:div w:id="1249534818">
      <w:bodyDiv w:val="1"/>
      <w:marLeft w:val="0"/>
      <w:marRight w:val="0"/>
      <w:marTop w:val="0"/>
      <w:marBottom w:val="0"/>
      <w:divBdr>
        <w:top w:val="none" w:sz="0" w:space="0" w:color="auto"/>
        <w:left w:val="none" w:sz="0" w:space="0" w:color="auto"/>
        <w:bottom w:val="none" w:sz="0" w:space="0" w:color="auto"/>
        <w:right w:val="none" w:sz="0" w:space="0" w:color="auto"/>
      </w:divBdr>
    </w:div>
    <w:div w:id="1568223538">
      <w:bodyDiv w:val="1"/>
      <w:marLeft w:val="0"/>
      <w:marRight w:val="0"/>
      <w:marTop w:val="0"/>
      <w:marBottom w:val="0"/>
      <w:divBdr>
        <w:top w:val="none" w:sz="0" w:space="0" w:color="auto"/>
        <w:left w:val="none" w:sz="0" w:space="0" w:color="auto"/>
        <w:bottom w:val="none" w:sz="0" w:space="0" w:color="auto"/>
        <w:right w:val="none" w:sz="0" w:space="0" w:color="auto"/>
      </w:divBdr>
    </w:div>
    <w:div w:id="1832526097">
      <w:bodyDiv w:val="1"/>
      <w:marLeft w:val="0"/>
      <w:marRight w:val="0"/>
      <w:marTop w:val="0"/>
      <w:marBottom w:val="0"/>
      <w:divBdr>
        <w:top w:val="none" w:sz="0" w:space="0" w:color="auto"/>
        <w:left w:val="none" w:sz="0" w:space="0" w:color="auto"/>
        <w:bottom w:val="none" w:sz="0" w:space="0" w:color="auto"/>
        <w:right w:val="none" w:sz="0" w:space="0" w:color="auto"/>
      </w:divBdr>
    </w:div>
    <w:div w:id="1872377880">
      <w:bodyDiv w:val="1"/>
      <w:marLeft w:val="0"/>
      <w:marRight w:val="0"/>
      <w:marTop w:val="0"/>
      <w:marBottom w:val="0"/>
      <w:divBdr>
        <w:top w:val="none" w:sz="0" w:space="0" w:color="auto"/>
        <w:left w:val="none" w:sz="0" w:space="0" w:color="auto"/>
        <w:bottom w:val="none" w:sz="0" w:space="0" w:color="auto"/>
        <w:right w:val="none" w:sz="0" w:space="0" w:color="auto"/>
      </w:divBdr>
    </w:div>
    <w:div w:id="189800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tiff"/><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s://doi.org/10.1002/cyto.a.245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 Id="rId27" Type="http://schemas.microsoft.com/office/2016/09/relationships/commentsIds" Target="commentsId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D8C00-FFDA-420B-906D-C5729624E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C51B7003</Template>
  <TotalTime>1</TotalTime>
  <Pages>23</Pages>
  <Words>5416</Words>
  <Characters>29789</Characters>
  <Application>Microsoft Office Word</Application>
  <DocSecurity>0</DocSecurity>
  <Lines>248</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Frerichs</dc:creator>
  <cp:keywords/>
  <dc:description/>
  <cp:lastModifiedBy>Verkleij, C.P.M. (Christie)</cp:lastModifiedBy>
  <cp:revision>2</cp:revision>
  <cp:lastPrinted>2022-07-05T11:47:00Z</cp:lastPrinted>
  <dcterms:created xsi:type="dcterms:W3CDTF">2023-03-14T19:50:00Z</dcterms:created>
  <dcterms:modified xsi:type="dcterms:W3CDTF">2023-03-14T19:50:00Z</dcterms:modified>
</cp:coreProperties>
</file>