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E6C34" w14:textId="39B76EED" w:rsidR="00271AA3" w:rsidRPr="001114FC" w:rsidRDefault="0044571D" w:rsidP="00D33032">
      <w:pPr>
        <w:spacing w:line="480" w:lineRule="auto"/>
        <w:jc w:val="center"/>
        <w:rPr>
          <w:b/>
          <w:bCs/>
          <w:sz w:val="36"/>
          <w:szCs w:val="32"/>
        </w:rPr>
      </w:pPr>
      <w:bookmarkStart w:id="0" w:name="_GoBack"/>
      <w:bookmarkEnd w:id="0"/>
      <w:r w:rsidRPr="001114FC">
        <w:rPr>
          <w:b/>
          <w:bCs/>
          <w:sz w:val="36"/>
          <w:szCs w:val="32"/>
        </w:rPr>
        <w:t>Supplemental methods</w:t>
      </w:r>
    </w:p>
    <w:p w14:paraId="62EB3713" w14:textId="1B0F434F" w:rsidR="00542509" w:rsidRDefault="00796091" w:rsidP="00D33032">
      <w:pPr>
        <w:spacing w:line="48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Single cell DNA sequencing (s</w:t>
      </w:r>
      <w:r w:rsidR="00542509">
        <w:rPr>
          <w:rFonts w:cs="Times New Roman"/>
          <w:b/>
          <w:bCs/>
        </w:rPr>
        <w:t>cDNA-seq</w:t>
      </w:r>
      <w:r>
        <w:rPr>
          <w:rFonts w:cs="Times New Roman"/>
          <w:b/>
          <w:bCs/>
        </w:rPr>
        <w:t>)</w:t>
      </w:r>
    </w:p>
    <w:p w14:paraId="3AFAAA3D" w14:textId="2A6BA373" w:rsidR="00542509" w:rsidRPr="00542509" w:rsidRDefault="008A0206" w:rsidP="00D33032">
      <w:pPr>
        <w:spacing w:line="480" w:lineRule="auto"/>
        <w:jc w:val="both"/>
        <w:rPr>
          <w:rFonts w:cs="Times New Roman"/>
          <w:i/>
          <w:iCs/>
          <w:u w:val="single"/>
        </w:rPr>
      </w:pPr>
      <w:r w:rsidRPr="00542509">
        <w:rPr>
          <w:rFonts w:cs="Times New Roman"/>
          <w:i/>
          <w:iCs/>
          <w:u w:val="single"/>
        </w:rPr>
        <w:t>Libraries</w:t>
      </w:r>
    </w:p>
    <w:p w14:paraId="50A46CB6" w14:textId="5472A3B4" w:rsidR="00316458" w:rsidRPr="00411BCF" w:rsidRDefault="00AF71D6" w:rsidP="00D33032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T-cells were depleted for </w:t>
      </w:r>
      <w:r w:rsidR="00DC115F">
        <w:rPr>
          <w:rFonts w:cs="Times New Roman"/>
        </w:rPr>
        <w:t xml:space="preserve">some </w:t>
      </w:r>
      <w:r>
        <w:rPr>
          <w:rFonts w:cs="Times New Roman"/>
        </w:rPr>
        <w:t xml:space="preserve">samples with a </w:t>
      </w:r>
      <w:r>
        <w:rPr>
          <w:rFonts w:cs="Times New Roman"/>
          <w:i/>
          <w:iCs/>
        </w:rPr>
        <w:t>JAK2</w:t>
      </w:r>
      <w:r>
        <w:rPr>
          <w:rFonts w:cs="Times New Roman"/>
        </w:rPr>
        <w:t>V617F mutation of low allele burden (i.e. &lt;20%) using a FACS sorting of CD3-negative cells (FACS Melody, BD) to enrich the sample for tumoral cells. Af</w:t>
      </w:r>
      <w:r w:rsidR="00CC3024">
        <w:rPr>
          <w:rFonts w:cs="Times New Roman"/>
        </w:rPr>
        <w:t>t</w:t>
      </w:r>
      <w:r>
        <w:rPr>
          <w:rFonts w:cs="Times New Roman"/>
        </w:rPr>
        <w:t xml:space="preserve">er this optional step, </w:t>
      </w:r>
      <w:r w:rsidR="005B6990">
        <w:rPr>
          <w:rFonts w:cs="Times New Roman"/>
        </w:rPr>
        <w:t>c</w:t>
      </w:r>
      <w:r>
        <w:rPr>
          <w:rFonts w:cs="Times New Roman"/>
        </w:rPr>
        <w:t xml:space="preserve">ells were washed by </w:t>
      </w:r>
      <w:r w:rsidR="00547F81">
        <w:rPr>
          <w:rFonts w:cs="Times New Roman"/>
        </w:rPr>
        <w:t>spinning at 300g for 10’</w:t>
      </w:r>
      <w:r>
        <w:rPr>
          <w:rFonts w:cs="Times New Roman"/>
        </w:rPr>
        <w:t xml:space="preserve"> and were then resuspended in Tapestri cell buffer for a final concentration of 3500 cells /µL. A total of 120 000 cells were loaded in a Tapestri microfluidics cartridge for single cell encapsulation followed by cell lysis and barcoding.</w:t>
      </w:r>
      <w:r w:rsidR="009D376B">
        <w:rPr>
          <w:rFonts w:cs="Times New Roman"/>
        </w:rPr>
        <w:t xml:space="preserve"> </w:t>
      </w:r>
      <w:r w:rsidR="0044571D">
        <w:rPr>
          <w:rFonts w:cs="Times New Roman"/>
        </w:rPr>
        <w:t>Barcoded samples were then processed for amplification using</w:t>
      </w:r>
      <w:r w:rsidR="00616D84">
        <w:rPr>
          <w:rFonts w:cs="Times New Roman"/>
        </w:rPr>
        <w:t xml:space="preserve"> a custom panel designed for covering all known mutations of the selected samples and also classical hotspots </w:t>
      </w:r>
      <w:r w:rsidR="001114FC">
        <w:rPr>
          <w:rFonts w:cs="Times New Roman"/>
        </w:rPr>
        <w:t xml:space="preserve">in </w:t>
      </w:r>
      <w:r w:rsidR="00616D84">
        <w:rPr>
          <w:rFonts w:cs="Times New Roman"/>
        </w:rPr>
        <w:t>myeloid genes (</w:t>
      </w:r>
      <w:r w:rsidR="001114FC" w:rsidRPr="00C4590D">
        <w:rPr>
          <w:rFonts w:cs="Times New Roman"/>
          <w:i/>
          <w:iCs/>
        </w:rPr>
        <w:t>ASXL1, DNMT3A, CALR, EZH2, IDH1, IDH2, JAK2, KRAS, MPL,</w:t>
      </w:r>
      <w:r w:rsidR="00283D39" w:rsidRPr="00C4590D">
        <w:rPr>
          <w:rFonts w:cs="Times New Roman"/>
          <w:i/>
          <w:iCs/>
        </w:rPr>
        <w:t xml:space="preserve"> </w:t>
      </w:r>
      <w:r w:rsidR="001114FC" w:rsidRPr="00C4590D">
        <w:rPr>
          <w:rFonts w:cs="Times New Roman"/>
          <w:i/>
          <w:iCs/>
        </w:rPr>
        <w:t>NRAS, RUNX1, SF3B1, SRSF2, TET2, TP53</w:t>
      </w:r>
      <w:r w:rsidR="00082F64">
        <w:rPr>
          <w:rFonts w:cs="Times New Roman"/>
        </w:rPr>
        <w:t xml:space="preserve"> and</w:t>
      </w:r>
      <w:r w:rsidR="001114FC" w:rsidRPr="00C4590D">
        <w:rPr>
          <w:rFonts w:cs="Times New Roman"/>
          <w:i/>
          <w:iCs/>
        </w:rPr>
        <w:t xml:space="preserve"> U2AF1</w:t>
      </w:r>
      <w:r w:rsidR="001114FC">
        <w:rPr>
          <w:rFonts w:cs="Times New Roman"/>
        </w:rPr>
        <w:t>)</w:t>
      </w:r>
      <w:r w:rsidR="00FB2709">
        <w:rPr>
          <w:rFonts w:cs="Times New Roman"/>
        </w:rPr>
        <w:t>.</w:t>
      </w:r>
      <w:r w:rsidR="00547F81">
        <w:rPr>
          <w:rFonts w:cs="Times New Roman"/>
        </w:rPr>
        <w:t xml:space="preserve"> </w:t>
      </w:r>
      <w:r w:rsidR="009D376B">
        <w:rPr>
          <w:rFonts w:cs="Times New Roman"/>
        </w:rPr>
        <w:t>L</w:t>
      </w:r>
      <w:r w:rsidR="00316458">
        <w:rPr>
          <w:rFonts w:cs="Times New Roman"/>
        </w:rPr>
        <w:t>ibraries w</w:t>
      </w:r>
      <w:r w:rsidR="009D376B">
        <w:rPr>
          <w:rFonts w:cs="Times New Roman"/>
        </w:rPr>
        <w:t>ere</w:t>
      </w:r>
      <w:r w:rsidR="00316458">
        <w:rPr>
          <w:rFonts w:cs="Times New Roman"/>
        </w:rPr>
        <w:t xml:space="preserve"> checked </w:t>
      </w:r>
      <w:r w:rsidR="009D376B">
        <w:rPr>
          <w:rFonts w:cs="Times New Roman"/>
        </w:rPr>
        <w:t xml:space="preserve">for quality </w:t>
      </w:r>
      <w:r w:rsidR="00316458">
        <w:rPr>
          <w:rFonts w:cs="Times New Roman"/>
        </w:rPr>
        <w:t xml:space="preserve">by migration </w:t>
      </w:r>
      <w:r w:rsidR="002C59AC">
        <w:rPr>
          <w:rFonts w:cs="Times New Roman"/>
        </w:rPr>
        <w:t>on</w:t>
      </w:r>
      <w:r w:rsidR="00316458">
        <w:rPr>
          <w:rFonts w:cs="Times New Roman"/>
        </w:rPr>
        <w:t xml:space="preserve"> a Bioanalyser DNA1000 chip (Agilent)</w:t>
      </w:r>
      <w:r w:rsidR="009D376B">
        <w:rPr>
          <w:rFonts w:cs="Times New Roman"/>
        </w:rPr>
        <w:t xml:space="preserve"> and</w:t>
      </w:r>
      <w:r w:rsidR="00316458">
        <w:rPr>
          <w:rFonts w:cs="Times New Roman"/>
        </w:rPr>
        <w:t xml:space="preserve"> </w:t>
      </w:r>
      <w:r w:rsidR="009D376B">
        <w:rPr>
          <w:rFonts w:cs="Times New Roman"/>
        </w:rPr>
        <w:t xml:space="preserve">were quantified using a </w:t>
      </w:r>
      <w:r w:rsidR="008A0206">
        <w:rPr>
          <w:rFonts w:cs="Times New Roman"/>
        </w:rPr>
        <w:t>fluorometric</w:t>
      </w:r>
      <w:r w:rsidR="009D376B">
        <w:rPr>
          <w:rFonts w:cs="Times New Roman"/>
        </w:rPr>
        <w:t xml:space="preserve"> </w:t>
      </w:r>
      <w:r w:rsidR="006822E5">
        <w:rPr>
          <w:rFonts w:cs="Times New Roman"/>
        </w:rPr>
        <w:t>method</w:t>
      </w:r>
      <w:r w:rsidR="009D376B">
        <w:rPr>
          <w:rFonts w:cs="Times New Roman"/>
        </w:rPr>
        <w:t xml:space="preserve"> (Qubit, ThermoFisher)</w:t>
      </w:r>
      <w:r w:rsidR="00F20631">
        <w:rPr>
          <w:rFonts w:cs="Times New Roman"/>
        </w:rPr>
        <w:t xml:space="preserve">. </w:t>
      </w:r>
      <w:r w:rsidR="00316458">
        <w:rPr>
          <w:rFonts w:cs="Times New Roman"/>
        </w:rPr>
        <w:t>Finally, libraries were</w:t>
      </w:r>
      <w:r w:rsidR="001139F5">
        <w:rPr>
          <w:rFonts w:cs="Times New Roman"/>
        </w:rPr>
        <w:t xml:space="preserve"> normalized and </w:t>
      </w:r>
      <w:r w:rsidR="00316458">
        <w:rPr>
          <w:rFonts w:cs="Times New Roman"/>
        </w:rPr>
        <w:t xml:space="preserve">pooled </w:t>
      </w:r>
      <w:r w:rsidR="00D463B4">
        <w:rPr>
          <w:rFonts w:cs="Times New Roman"/>
        </w:rPr>
        <w:t>for</w:t>
      </w:r>
      <w:r w:rsidR="00F64D10">
        <w:rPr>
          <w:rFonts w:cs="Times New Roman"/>
        </w:rPr>
        <w:t xml:space="preserve"> a 2x150pb</w:t>
      </w:r>
      <w:r w:rsidR="00D463B4">
        <w:rPr>
          <w:rFonts w:cs="Times New Roman"/>
        </w:rPr>
        <w:t xml:space="preserve"> sequencing</w:t>
      </w:r>
      <w:r w:rsidR="00316458">
        <w:rPr>
          <w:rFonts w:cs="Times New Roman"/>
        </w:rPr>
        <w:t xml:space="preserve"> on an Illumina NovaSeq for a </w:t>
      </w:r>
      <w:r w:rsidR="007337EC">
        <w:rPr>
          <w:rFonts w:cs="Times New Roman"/>
        </w:rPr>
        <w:t xml:space="preserve">theorical number of 52 </w:t>
      </w:r>
      <w:r w:rsidR="004D43F3">
        <w:rPr>
          <w:rFonts w:cs="Times New Roman"/>
        </w:rPr>
        <w:t>million</w:t>
      </w:r>
      <w:r w:rsidR="007337EC">
        <w:rPr>
          <w:rFonts w:cs="Times New Roman"/>
        </w:rPr>
        <w:t xml:space="preserve"> reads per sample.</w:t>
      </w:r>
      <w:r w:rsidR="00316458">
        <w:rPr>
          <w:rFonts w:cs="Times New Roman"/>
        </w:rPr>
        <w:t xml:space="preserve"> </w:t>
      </w:r>
      <w:r w:rsidR="00A07E0C">
        <w:rPr>
          <w:rFonts w:cs="Times New Roman"/>
        </w:rPr>
        <w:t>In addition, an aliquot of the cells used for scDNA-seq library w</w:t>
      </w:r>
      <w:r w:rsidR="00411BCF">
        <w:rPr>
          <w:rFonts w:cs="Times New Roman"/>
        </w:rPr>
        <w:t xml:space="preserve">as frozen for </w:t>
      </w:r>
      <w:r w:rsidR="00411BCF">
        <w:rPr>
          <w:rFonts w:cs="Times New Roman"/>
          <w:i/>
          <w:iCs/>
        </w:rPr>
        <w:t>JAK2</w:t>
      </w:r>
      <w:r w:rsidR="00411BCF">
        <w:rPr>
          <w:rFonts w:cs="Times New Roman"/>
        </w:rPr>
        <w:t>V617F quantification (as detailed below)</w:t>
      </w:r>
      <w:r w:rsidR="008951CC">
        <w:rPr>
          <w:rFonts w:cs="Times New Roman"/>
        </w:rPr>
        <w:t>.</w:t>
      </w:r>
    </w:p>
    <w:p w14:paraId="2ACCDB59" w14:textId="081CB6FB" w:rsidR="00542509" w:rsidRPr="00542509" w:rsidRDefault="00542509" w:rsidP="00D33032">
      <w:pPr>
        <w:spacing w:line="480" w:lineRule="auto"/>
        <w:jc w:val="both"/>
        <w:rPr>
          <w:rFonts w:cs="Times New Roman"/>
          <w:i/>
          <w:iCs/>
          <w:u w:val="single"/>
        </w:rPr>
      </w:pPr>
      <w:r w:rsidRPr="00542509">
        <w:rPr>
          <w:rFonts w:cs="Times New Roman"/>
          <w:i/>
          <w:iCs/>
          <w:u w:val="single"/>
        </w:rPr>
        <w:t>Bioinformatics</w:t>
      </w:r>
    </w:p>
    <w:p w14:paraId="73CF8F53" w14:textId="5D2B9B12" w:rsidR="00FA0EBD" w:rsidRDefault="00FA0EBD" w:rsidP="00D33032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FASTQ files were first analyzed by Tapestri pipeline (v2.0.2) for reads trimming and alignment across hg19 genome. </w:t>
      </w:r>
      <w:r w:rsidR="00972E04">
        <w:rPr>
          <w:rFonts w:cs="Times New Roman"/>
        </w:rPr>
        <w:t>Reads</w:t>
      </w:r>
      <w:r>
        <w:rPr>
          <w:rFonts w:cs="Times New Roman"/>
        </w:rPr>
        <w:t xml:space="preserve"> </w:t>
      </w:r>
      <w:r w:rsidR="00DB48BB">
        <w:rPr>
          <w:rFonts w:cs="Times New Roman"/>
        </w:rPr>
        <w:t>w</w:t>
      </w:r>
      <w:r w:rsidR="00972E04">
        <w:rPr>
          <w:rFonts w:cs="Times New Roman"/>
        </w:rPr>
        <w:t>ere</w:t>
      </w:r>
      <w:r w:rsidR="00DB48BB">
        <w:rPr>
          <w:rFonts w:cs="Times New Roman"/>
        </w:rPr>
        <w:t xml:space="preserve"> assigned to single cell </w:t>
      </w:r>
      <w:r w:rsidR="00EA7E1D">
        <w:rPr>
          <w:rFonts w:cs="Times New Roman"/>
        </w:rPr>
        <w:t xml:space="preserve">by </w:t>
      </w:r>
      <w:r w:rsidR="00972E04">
        <w:rPr>
          <w:rFonts w:cs="Times New Roman"/>
        </w:rPr>
        <w:t>combining</w:t>
      </w:r>
      <w:r w:rsidR="00EA7E1D">
        <w:rPr>
          <w:rFonts w:cs="Times New Roman"/>
        </w:rPr>
        <w:t xml:space="preserve"> the cell barcodes.</w:t>
      </w:r>
      <w:r w:rsidR="00395F6D">
        <w:rPr>
          <w:rFonts w:cs="Times New Roman"/>
        </w:rPr>
        <w:t xml:space="preserve"> Then, </w:t>
      </w:r>
      <w:r>
        <w:rPr>
          <w:rFonts w:cs="Times New Roman"/>
        </w:rPr>
        <w:t xml:space="preserve">variant calling in each cell </w:t>
      </w:r>
      <w:r w:rsidR="00395F6D">
        <w:rPr>
          <w:rFonts w:cs="Times New Roman"/>
        </w:rPr>
        <w:t>was performed with</w:t>
      </w:r>
      <w:r>
        <w:rPr>
          <w:rFonts w:cs="Times New Roman"/>
        </w:rPr>
        <w:t xml:space="preserve"> GATKv3.7</w:t>
      </w:r>
      <w:r w:rsidR="00395F6D">
        <w:rPr>
          <w:rFonts w:cs="Times New Roman"/>
        </w:rPr>
        <w:t xml:space="preserve"> and </w:t>
      </w:r>
      <w:r w:rsidR="00972E04">
        <w:rPr>
          <w:rFonts w:cs="Times New Roman"/>
        </w:rPr>
        <w:t>variant</w:t>
      </w:r>
      <w:r w:rsidR="002A41D5">
        <w:rPr>
          <w:rFonts w:cs="Times New Roman"/>
        </w:rPr>
        <w:t>s</w:t>
      </w:r>
      <w:r w:rsidR="00972E04">
        <w:rPr>
          <w:rFonts w:cs="Times New Roman"/>
        </w:rPr>
        <w:t xml:space="preserve"> and quality scores</w:t>
      </w:r>
      <w:r w:rsidR="002A41D5">
        <w:rPr>
          <w:rFonts w:cs="Times New Roman"/>
        </w:rPr>
        <w:t xml:space="preserve"> data for all cells</w:t>
      </w:r>
      <w:r w:rsidR="00972E04">
        <w:rPr>
          <w:rFonts w:cs="Times New Roman"/>
        </w:rPr>
        <w:t xml:space="preserve"> were computed into a loom file for secondary analysis with Tapestri Insight software. </w:t>
      </w:r>
      <w:r w:rsidR="001A4725">
        <w:rPr>
          <w:rFonts w:cs="Times New Roman"/>
        </w:rPr>
        <w:t xml:space="preserve">The following filters were applied to remove low-confidence cells and variants: (i) </w:t>
      </w:r>
      <w:r w:rsidR="001A4725">
        <w:rPr>
          <w:rFonts w:cs="Times New Roman"/>
        </w:rPr>
        <w:lastRenderedPageBreak/>
        <w:t>removing genotype in cell with quality &lt;30 and/or read depth&lt;30, (ii) removing cells with &lt;50% of genotypes present, (iii) removing genotype in cell with alternate allele frequency &lt;30% and (iv) removing variants mutated in less than 20 cells.</w:t>
      </w:r>
      <w:r w:rsidR="0091513D">
        <w:rPr>
          <w:rFonts w:cs="Times New Roman"/>
        </w:rPr>
        <w:t xml:space="preserve"> </w:t>
      </w:r>
      <w:r w:rsidR="00A73EA2">
        <w:rPr>
          <w:rFonts w:cs="Times New Roman"/>
        </w:rPr>
        <w:t xml:space="preserve">Then, remaining variants were </w:t>
      </w:r>
      <w:r w:rsidR="004D4D3D">
        <w:rPr>
          <w:rFonts w:cs="Times New Roman"/>
        </w:rPr>
        <w:t xml:space="preserve">filtered </w:t>
      </w:r>
      <w:r w:rsidR="00406AE0">
        <w:rPr>
          <w:rFonts w:cs="Times New Roman"/>
        </w:rPr>
        <w:t>by annotation of databases (COSMIC, gnomAD) and visualization of BAM files on IGV</w:t>
      </w:r>
      <w:r w:rsidR="00A73EA2">
        <w:rPr>
          <w:rFonts w:cs="Times New Roman"/>
        </w:rPr>
        <w:t xml:space="preserve"> for removing known polymorphisms and sequencing artefacts</w:t>
      </w:r>
      <w:r w:rsidR="00253806">
        <w:rPr>
          <w:rFonts w:cs="Times New Roman"/>
        </w:rPr>
        <w:t xml:space="preserve">. </w:t>
      </w:r>
      <w:r w:rsidR="007D648E">
        <w:rPr>
          <w:rFonts w:cs="Times New Roman"/>
        </w:rPr>
        <w:t xml:space="preserve">Distinct clones were derived from the selected clones and </w:t>
      </w:r>
      <w:r w:rsidR="004D4D3D">
        <w:rPr>
          <w:rFonts w:cs="Times New Roman"/>
        </w:rPr>
        <w:t>were reviewed for allele frequency of mutations, genotyping quality scores and read depth to remove artefact due to allele drop out (ADO)</w:t>
      </w:r>
      <w:r w:rsidR="00413E83">
        <w:rPr>
          <w:rFonts w:cs="Times New Roman"/>
        </w:rPr>
        <w:t xml:space="preserve"> that correspond</w:t>
      </w:r>
      <w:r w:rsidR="00B3650D">
        <w:rPr>
          <w:rFonts w:cs="Times New Roman"/>
        </w:rPr>
        <w:t>s</w:t>
      </w:r>
      <w:r w:rsidR="00413E83">
        <w:rPr>
          <w:rFonts w:cs="Times New Roman"/>
        </w:rPr>
        <w:t xml:space="preserve"> to a non-amplification of one of the two allele during the single-cell PCR.</w:t>
      </w:r>
      <w:r w:rsidR="00AC5E23">
        <w:rPr>
          <w:rFonts w:cs="Times New Roman"/>
        </w:rPr>
        <w:t xml:space="preserve"> </w:t>
      </w:r>
      <w:r w:rsidR="005D0DBF">
        <w:rPr>
          <w:rFonts w:cs="Times New Roman"/>
        </w:rPr>
        <w:t>The review of clones was made blind</w:t>
      </w:r>
      <w:r w:rsidR="006001CA">
        <w:rPr>
          <w:rFonts w:cs="Times New Roman"/>
        </w:rPr>
        <w:t>ed</w:t>
      </w:r>
      <w:r w:rsidR="005D0DBF">
        <w:rPr>
          <w:rFonts w:cs="Times New Roman"/>
        </w:rPr>
        <w:t xml:space="preserve"> of the genotyping of colonies results. </w:t>
      </w:r>
      <w:r w:rsidR="00AC5E23">
        <w:rPr>
          <w:rFonts w:cs="Times New Roman"/>
        </w:rPr>
        <w:t>Finally, data about clones were exported from Tapestri Insight and we used a custom R script to generate plots.</w:t>
      </w:r>
    </w:p>
    <w:p w14:paraId="655ADD1E" w14:textId="47C9DB31" w:rsidR="00316458" w:rsidRDefault="00316458" w:rsidP="00D33032">
      <w:pPr>
        <w:spacing w:line="480" w:lineRule="auto"/>
        <w:jc w:val="both"/>
        <w:rPr>
          <w:b/>
          <w:bCs/>
        </w:rPr>
      </w:pPr>
      <w:r>
        <w:rPr>
          <w:b/>
          <w:bCs/>
        </w:rPr>
        <w:t>Genotyping of colonies</w:t>
      </w:r>
    </w:p>
    <w:p w14:paraId="0C67180D" w14:textId="5433707F" w:rsidR="00316458" w:rsidRPr="00842715" w:rsidRDefault="00316458" w:rsidP="00D33032">
      <w:pPr>
        <w:spacing w:line="480" w:lineRule="auto"/>
        <w:jc w:val="both"/>
        <w:rPr>
          <w:i/>
          <w:iCs/>
          <w:u w:val="single"/>
        </w:rPr>
      </w:pPr>
      <w:r w:rsidRPr="00842715">
        <w:rPr>
          <w:i/>
          <w:iCs/>
          <w:u w:val="single"/>
        </w:rPr>
        <w:t>Liquid culture</w:t>
      </w:r>
    </w:p>
    <w:p w14:paraId="546F8ED4" w14:textId="72BC158B" w:rsidR="00D67BF3" w:rsidRDefault="007305ED" w:rsidP="00D33032">
      <w:pPr>
        <w:spacing w:line="480" w:lineRule="auto"/>
        <w:jc w:val="both"/>
        <w:rPr>
          <w:rFonts w:cs="Times New Roman"/>
        </w:rPr>
      </w:pPr>
      <w:r w:rsidRPr="007305ED">
        <w:rPr>
          <w:rFonts w:cs="Times New Roman"/>
        </w:rPr>
        <w:t>Prior to FACS sorting, c</w:t>
      </w:r>
      <w:r>
        <w:rPr>
          <w:rFonts w:cs="Times New Roman"/>
        </w:rPr>
        <w:t xml:space="preserve">ells were stained with anti-CD34 Pacific Blue (clone 581, Biolegend) and anti-Lineage FITC cocktail (anti-CD3, CD14, CD16, CD19, CD20 and CD56). Then, cells were washed and resuspended in a FITC marker for viability (SytoxGreen, ThermoFisher). Single live CD34-positive and Lin-negative cells were sorted into </w:t>
      </w:r>
      <w:r w:rsidR="00735CF4">
        <w:rPr>
          <w:rFonts w:cs="Times New Roman"/>
        </w:rPr>
        <w:t xml:space="preserve">96-wells plate with 100µL of culture media StemSpam SFEMII (Stemcell Technologies) with human cytokines: </w:t>
      </w:r>
      <w:r w:rsidR="00D67BF3" w:rsidRPr="00735CF4">
        <w:rPr>
          <w:rFonts w:cs="Times New Roman"/>
        </w:rPr>
        <w:t>SCF, IL3, IL6, IL9, IL11, TPO, G-CSF</w:t>
      </w:r>
      <w:r w:rsidR="00735CF4">
        <w:rPr>
          <w:rFonts w:cs="Times New Roman"/>
        </w:rPr>
        <w:t xml:space="preserve"> </w:t>
      </w:r>
      <w:r w:rsidR="00735CF4" w:rsidRPr="00735CF4">
        <w:rPr>
          <w:rFonts w:cs="Times New Roman"/>
        </w:rPr>
        <w:t xml:space="preserve">(20ng/mL </w:t>
      </w:r>
      <w:r w:rsidR="000C6CC4">
        <w:rPr>
          <w:rFonts w:cs="Times New Roman"/>
        </w:rPr>
        <w:t xml:space="preserve">of </w:t>
      </w:r>
      <w:r w:rsidR="00735CF4" w:rsidRPr="00735CF4">
        <w:rPr>
          <w:rFonts w:cs="Times New Roman"/>
        </w:rPr>
        <w:t>each)</w:t>
      </w:r>
      <w:r w:rsidR="00D67BF3" w:rsidRPr="00735CF4">
        <w:rPr>
          <w:rFonts w:cs="Times New Roman"/>
        </w:rPr>
        <w:t xml:space="preserve">, GM-CSF </w:t>
      </w:r>
      <w:r w:rsidR="00735CF4">
        <w:rPr>
          <w:rFonts w:cs="Times New Roman"/>
        </w:rPr>
        <w:t xml:space="preserve">(50ng/mL) </w:t>
      </w:r>
      <w:r w:rsidR="00D67BF3" w:rsidRPr="00735CF4">
        <w:rPr>
          <w:rFonts w:cs="Times New Roman"/>
        </w:rPr>
        <w:t xml:space="preserve">and EPO (3U/mL). </w:t>
      </w:r>
      <w:r w:rsidR="00D33032">
        <w:rPr>
          <w:rFonts w:cs="Times New Roman"/>
        </w:rPr>
        <w:t>Between t</w:t>
      </w:r>
      <w:r w:rsidR="00B76B3A">
        <w:rPr>
          <w:rFonts w:cs="Times New Roman"/>
        </w:rPr>
        <w:t xml:space="preserve">wo to </w:t>
      </w:r>
      <w:r w:rsidR="00D33032">
        <w:rPr>
          <w:rFonts w:cs="Times New Roman"/>
        </w:rPr>
        <w:t>five</w:t>
      </w:r>
      <w:r w:rsidR="00B76B3A">
        <w:rPr>
          <w:rFonts w:cs="Times New Roman"/>
        </w:rPr>
        <w:t xml:space="preserve"> 96-wells plates were </w:t>
      </w:r>
      <w:r w:rsidR="004F190C">
        <w:rPr>
          <w:rFonts w:cs="Times New Roman"/>
        </w:rPr>
        <w:t>sorted</w:t>
      </w:r>
      <w:r w:rsidR="00B76B3A">
        <w:rPr>
          <w:rFonts w:cs="Times New Roman"/>
        </w:rPr>
        <w:t xml:space="preserve"> depending on the % of CD34-positive cells available. </w:t>
      </w:r>
      <w:r w:rsidR="00D67BF3">
        <w:rPr>
          <w:rFonts w:cs="Times New Roman"/>
        </w:rPr>
        <w:t xml:space="preserve">Cells were cultured for 14 days, and </w:t>
      </w:r>
      <w:r w:rsidR="00CA5B15">
        <w:rPr>
          <w:rFonts w:cs="Times New Roman"/>
        </w:rPr>
        <w:t xml:space="preserve">50µL of </w:t>
      </w:r>
      <w:r w:rsidR="00D67BF3">
        <w:rPr>
          <w:rFonts w:cs="Times New Roman"/>
        </w:rPr>
        <w:t>fresh media was added at day 8 of culture</w:t>
      </w:r>
      <w:r w:rsidR="000A15C7">
        <w:rPr>
          <w:rFonts w:cs="Times New Roman"/>
        </w:rPr>
        <w:t xml:space="preserve">. </w:t>
      </w:r>
      <w:r w:rsidR="00420ECF">
        <w:rPr>
          <w:rFonts w:cs="Times New Roman"/>
        </w:rPr>
        <w:t xml:space="preserve">In addition, between </w:t>
      </w:r>
      <w:r w:rsidR="00B76B3A">
        <w:rPr>
          <w:rFonts w:cs="Times New Roman"/>
        </w:rPr>
        <w:t>4</w:t>
      </w:r>
      <w:r w:rsidR="00420ECF">
        <w:rPr>
          <w:rFonts w:cs="Times New Roman"/>
        </w:rPr>
        <w:t xml:space="preserve">00 to 2000 CD34-positive cells were sorted into a vial and frozen for </w:t>
      </w:r>
      <w:r w:rsidR="008551A6">
        <w:rPr>
          <w:rFonts w:cs="Times New Roman"/>
        </w:rPr>
        <w:t xml:space="preserve">further </w:t>
      </w:r>
      <w:r w:rsidR="00420ECF">
        <w:rPr>
          <w:rFonts w:cs="Times New Roman"/>
        </w:rPr>
        <w:t xml:space="preserve">quantification of </w:t>
      </w:r>
      <w:r w:rsidR="00420ECF">
        <w:rPr>
          <w:rFonts w:cs="Times New Roman"/>
          <w:i/>
          <w:iCs/>
        </w:rPr>
        <w:t>JAK2</w:t>
      </w:r>
      <w:r w:rsidR="00420ECF">
        <w:rPr>
          <w:rFonts w:cs="Times New Roman"/>
        </w:rPr>
        <w:t>V617F mutation.</w:t>
      </w:r>
    </w:p>
    <w:p w14:paraId="34936178" w14:textId="150F08B2" w:rsidR="006C3C2D" w:rsidRDefault="006C3C2D" w:rsidP="00D33032">
      <w:pPr>
        <w:spacing w:line="480" w:lineRule="auto"/>
        <w:jc w:val="both"/>
        <w:rPr>
          <w:rFonts w:cs="Times New Roman"/>
        </w:rPr>
      </w:pPr>
    </w:p>
    <w:p w14:paraId="7CCD4ECE" w14:textId="77777777" w:rsidR="006C3C2D" w:rsidRPr="00420ECF" w:rsidRDefault="006C3C2D" w:rsidP="00D33032">
      <w:pPr>
        <w:spacing w:line="480" w:lineRule="auto"/>
        <w:jc w:val="both"/>
      </w:pPr>
    </w:p>
    <w:p w14:paraId="07C534A5" w14:textId="379FDFC3" w:rsidR="00CA5B15" w:rsidRPr="006C3C2D" w:rsidRDefault="00CA5B15" w:rsidP="00CA5B15">
      <w:pPr>
        <w:spacing w:line="480" w:lineRule="auto"/>
        <w:jc w:val="both"/>
        <w:rPr>
          <w:i/>
          <w:iCs/>
          <w:u w:val="single"/>
        </w:rPr>
      </w:pPr>
      <w:r w:rsidRPr="006C3C2D">
        <w:rPr>
          <w:i/>
          <w:iCs/>
          <w:u w:val="single"/>
        </w:rPr>
        <w:lastRenderedPageBreak/>
        <w:t>Culture termination and DNA extraction</w:t>
      </w:r>
    </w:p>
    <w:p w14:paraId="2494BAE9" w14:textId="78D34C71" w:rsidR="00DC7409" w:rsidRPr="00DC7409" w:rsidRDefault="00031190" w:rsidP="00D33032">
      <w:pPr>
        <w:spacing w:line="480" w:lineRule="auto"/>
        <w:jc w:val="both"/>
      </w:pPr>
      <w:r w:rsidRPr="00DC7409">
        <w:t>After 14 days of culture, colonies grown in methylcellulose were picked individually and transferred into chelex solution for DNA extraction. Liquid cultures of single CD34+ cells were performed in flat-bed 96 well plates and colonies obtained after 14 days were transferred using a 12-channel pipet into V-bottom 96-well PCR plates. The plates were centrifuged, the supernatant was removed, and 35µL of Chelex100 5% + 0.1% Triton solution was added to the pellets for DNA extraction. The plates containing cells in chelex solution were heated in a thermocycler for 15’ at 56°C followed by 8’ at 99°C and centrifuged for 10 minutes at 1'000 g. The supernatant containing the DNA was transferred into a new plate and used for analyses</w:t>
      </w:r>
      <w:r w:rsidR="00DC7409">
        <w:t>.</w:t>
      </w:r>
    </w:p>
    <w:p w14:paraId="1631A642" w14:textId="3E2287D6" w:rsidR="00316458" w:rsidRPr="00842715" w:rsidRDefault="00316458" w:rsidP="00D33032">
      <w:pPr>
        <w:spacing w:line="480" w:lineRule="auto"/>
        <w:jc w:val="both"/>
        <w:rPr>
          <w:i/>
          <w:iCs/>
          <w:u w:val="single"/>
        </w:rPr>
      </w:pPr>
      <w:r w:rsidRPr="00842715">
        <w:rPr>
          <w:i/>
          <w:iCs/>
          <w:u w:val="single"/>
        </w:rPr>
        <w:t>Genotyping of colonies</w:t>
      </w:r>
    </w:p>
    <w:p w14:paraId="0DE1DAB4" w14:textId="0A1B57EF" w:rsidR="000C59F9" w:rsidRDefault="007F7423" w:rsidP="00D33032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For genotyping of colonies, the </w:t>
      </w:r>
      <w:r>
        <w:rPr>
          <w:rFonts w:cs="Times New Roman"/>
          <w:i/>
          <w:iCs/>
        </w:rPr>
        <w:t>JAK2</w:t>
      </w:r>
      <w:r>
        <w:rPr>
          <w:rFonts w:cs="Times New Roman"/>
        </w:rPr>
        <w:t xml:space="preserve">V617F status was determined by an allele-specific PCR with primers labelled followed by capillary electrophoresis on an ABI3130 instrument. For additional mutations, we used fragment analysis </w:t>
      </w:r>
      <w:r w:rsidR="00F52BC6">
        <w:rPr>
          <w:rFonts w:cs="Times New Roman"/>
        </w:rPr>
        <w:t xml:space="preserve">for insertion or deletion and BigDye Sanger sequencing for single nucleotide variation. The strategy was to first genotype all colonies for </w:t>
      </w:r>
      <w:r w:rsidR="00F52BC6">
        <w:rPr>
          <w:rFonts w:cs="Times New Roman"/>
          <w:i/>
          <w:iCs/>
        </w:rPr>
        <w:t>JAK2</w:t>
      </w:r>
      <w:r w:rsidR="00F52BC6">
        <w:rPr>
          <w:rFonts w:cs="Times New Roman"/>
        </w:rPr>
        <w:t>V617F mutation and then to genotype around 40 colonies for other somatic mutations</w:t>
      </w:r>
      <w:r w:rsidR="000A63E7">
        <w:rPr>
          <w:rFonts w:cs="Times New Roman"/>
        </w:rPr>
        <w:t>. A</w:t>
      </w:r>
      <w:r w:rsidR="000C59F9" w:rsidRPr="000C59F9">
        <w:rPr>
          <w:rFonts w:cs="Times New Roman"/>
        </w:rPr>
        <w:t xml:space="preserve">t least </w:t>
      </w:r>
      <w:r w:rsidR="00F97A1B">
        <w:rPr>
          <w:rFonts w:cs="Times New Roman"/>
        </w:rPr>
        <w:t>3</w:t>
      </w:r>
      <w:r w:rsidR="000C59F9" w:rsidRPr="000C59F9">
        <w:rPr>
          <w:rFonts w:cs="Times New Roman"/>
        </w:rPr>
        <w:t xml:space="preserve"> informative colonies </w:t>
      </w:r>
      <w:r w:rsidR="000C59F9">
        <w:rPr>
          <w:rFonts w:cs="Times New Roman"/>
        </w:rPr>
        <w:t xml:space="preserve">with the same mutational profile was required for determination of </w:t>
      </w:r>
      <w:r w:rsidR="001E2CF0">
        <w:rPr>
          <w:rFonts w:cs="Times New Roman"/>
        </w:rPr>
        <w:t>a</w:t>
      </w:r>
      <w:r w:rsidR="000C59F9">
        <w:rPr>
          <w:rFonts w:cs="Times New Roman"/>
        </w:rPr>
        <w:t xml:space="preserve"> </w:t>
      </w:r>
      <w:r w:rsidR="009654B7">
        <w:rPr>
          <w:rFonts w:cs="Times New Roman"/>
        </w:rPr>
        <w:t xml:space="preserve">distinct </w:t>
      </w:r>
      <w:r w:rsidR="000C59F9">
        <w:rPr>
          <w:rFonts w:cs="Times New Roman"/>
        </w:rPr>
        <w:t>clone.</w:t>
      </w:r>
      <w:r w:rsidR="000A63E7">
        <w:rPr>
          <w:rFonts w:cs="Times New Roman"/>
        </w:rPr>
        <w:t xml:space="preserve"> If these 40 colonies were not sufficient for </w:t>
      </w:r>
      <w:r w:rsidR="00754DC5">
        <w:rPr>
          <w:rFonts w:cs="Times New Roman"/>
        </w:rPr>
        <w:t>reconstructing the clonal architecture (order of acquisition not retrieved or mutation not detected) we extended the number of colonies studied.</w:t>
      </w:r>
    </w:p>
    <w:p w14:paraId="56092A3D" w14:textId="77777777" w:rsidR="00DC115F" w:rsidRDefault="00DC115F" w:rsidP="00D33032">
      <w:pPr>
        <w:spacing w:line="480" w:lineRule="auto"/>
        <w:jc w:val="both"/>
        <w:rPr>
          <w:b/>
          <w:bCs/>
        </w:rPr>
      </w:pPr>
    </w:p>
    <w:p w14:paraId="4381CA37" w14:textId="69E1B298" w:rsidR="00542509" w:rsidRDefault="00542509" w:rsidP="00D33032">
      <w:pPr>
        <w:spacing w:line="480" w:lineRule="auto"/>
        <w:jc w:val="both"/>
        <w:rPr>
          <w:b/>
          <w:bCs/>
        </w:rPr>
      </w:pPr>
      <w:r w:rsidRPr="00542509">
        <w:rPr>
          <w:b/>
          <w:bCs/>
        </w:rPr>
        <w:t xml:space="preserve">Digital PCR for </w:t>
      </w:r>
      <w:r w:rsidRPr="00542509">
        <w:rPr>
          <w:b/>
          <w:bCs/>
          <w:i/>
          <w:iCs/>
        </w:rPr>
        <w:t>JAK2</w:t>
      </w:r>
      <w:r w:rsidRPr="00542509">
        <w:rPr>
          <w:b/>
          <w:bCs/>
        </w:rPr>
        <w:t>V617F quantification</w:t>
      </w:r>
    </w:p>
    <w:p w14:paraId="5FFAF558" w14:textId="576C6B5D" w:rsidR="001210DD" w:rsidRDefault="00623875" w:rsidP="00D33032">
      <w:pPr>
        <w:spacing w:line="480" w:lineRule="auto"/>
        <w:jc w:val="both"/>
      </w:pPr>
      <w:r w:rsidRPr="00623875">
        <w:t>Frozen cells used both for scDNA-seq and liquid culture were used for quantification of JAK2V617F mutation. Briefly, DNA was extracted using QIAmp DNA micro kit (Qiagen)</w:t>
      </w:r>
      <w:r>
        <w:t xml:space="preserve"> </w:t>
      </w:r>
      <w:r w:rsidR="007B4DCB">
        <w:t xml:space="preserve">and </w:t>
      </w:r>
      <w:r w:rsidR="008B6B6E">
        <w:t>then loaded on a chip with 20</w:t>
      </w:r>
      <w:r w:rsidR="003F24B3">
        <w:t>'</w:t>
      </w:r>
      <w:r w:rsidR="008B6B6E">
        <w:t>000 partitions for a</w:t>
      </w:r>
      <w:r w:rsidR="00DB7F86">
        <w:t>n</w:t>
      </w:r>
      <w:r w:rsidR="008B6B6E">
        <w:t xml:space="preserve"> allele specific PCR using probes with FAM marker for wild type </w:t>
      </w:r>
      <w:r w:rsidR="008B6B6E">
        <w:rPr>
          <w:i/>
          <w:iCs/>
        </w:rPr>
        <w:t>JAK2</w:t>
      </w:r>
      <w:r w:rsidR="008B6B6E">
        <w:t xml:space="preserve"> and VIC for JAK2</w:t>
      </w:r>
      <w:r w:rsidR="008B6B6E">
        <w:rPr>
          <w:i/>
          <w:iCs/>
        </w:rPr>
        <w:t>V617F</w:t>
      </w:r>
      <w:r w:rsidR="008B6B6E">
        <w:t>. After PCR, the chip was analyzed on a QuantStudio3D (ThermoFisher) and the absolute quantification of the allele burden was calculated fr</w:t>
      </w:r>
      <w:r w:rsidR="00DC7409">
        <w:t>o</w:t>
      </w:r>
      <w:r w:rsidR="008B6B6E">
        <w:t>m the number of positive wells for each fluorophore.</w:t>
      </w:r>
    </w:p>
    <w:p w14:paraId="5760BE01" w14:textId="77777777" w:rsidR="00716413" w:rsidRPr="008B6B6E" w:rsidRDefault="00716413" w:rsidP="00D33032">
      <w:pPr>
        <w:spacing w:line="480" w:lineRule="auto"/>
        <w:jc w:val="both"/>
      </w:pPr>
    </w:p>
    <w:p w14:paraId="43632503" w14:textId="59B58814" w:rsidR="001210DD" w:rsidRDefault="001210DD" w:rsidP="00D33032">
      <w:pPr>
        <w:spacing w:line="480" w:lineRule="auto"/>
        <w:jc w:val="both"/>
        <w:rPr>
          <w:b/>
          <w:bCs/>
        </w:rPr>
      </w:pPr>
      <w:r>
        <w:rPr>
          <w:b/>
          <w:bCs/>
        </w:rPr>
        <w:t>Statistics</w:t>
      </w:r>
    </w:p>
    <w:p w14:paraId="6401EA74" w14:textId="77777777" w:rsidR="00A03390" w:rsidRDefault="006E441A" w:rsidP="00D33032">
      <w:pPr>
        <w:spacing w:line="480" w:lineRule="auto"/>
        <w:jc w:val="both"/>
      </w:pPr>
      <w:r>
        <w:t>For unsupervised clustering, a Factor Analysis of Mixed Data (FAMD) was performed followed by a clustering based on the ward distance</w:t>
      </w:r>
      <w:r w:rsidR="008E2912">
        <w:t xml:space="preserve"> </w:t>
      </w:r>
      <w:r w:rsidR="0030592B">
        <w:t>(R package FactoMineR)</w:t>
      </w:r>
      <w:r w:rsidR="008E2912">
        <w:t xml:space="preserve">. </w:t>
      </w:r>
    </w:p>
    <w:p w14:paraId="388C562F" w14:textId="77777777" w:rsidR="00A03390" w:rsidRDefault="00A03390" w:rsidP="00A03390">
      <w:pPr>
        <w:spacing w:line="480" w:lineRule="auto"/>
        <w:jc w:val="both"/>
      </w:pPr>
      <w:r>
        <w:t>Parameters integrated in the FAMD were:</w:t>
      </w:r>
    </w:p>
    <w:p w14:paraId="7AD30E14" w14:textId="77777777" w:rsidR="00A03390" w:rsidRDefault="00A03390" w:rsidP="00A03390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VAF of </w:t>
      </w:r>
      <w:r>
        <w:rPr>
          <w:i/>
          <w:iCs/>
        </w:rPr>
        <w:t>JAK2</w:t>
      </w:r>
      <w:r>
        <w:t>V617F mutation (determined on granulocytes) (numerical variable)</w:t>
      </w:r>
    </w:p>
    <w:p w14:paraId="0DD020A3" w14:textId="77777777" w:rsidR="00A03390" w:rsidRDefault="00A03390" w:rsidP="00A03390">
      <w:pPr>
        <w:pStyle w:val="ListParagraph"/>
        <w:numPr>
          <w:ilvl w:val="0"/>
          <w:numId w:val="2"/>
        </w:numPr>
        <w:spacing w:line="480" w:lineRule="auto"/>
        <w:jc w:val="both"/>
      </w:pPr>
      <w:r>
        <w:t>Number of additional mutations (numerical variable)</w:t>
      </w:r>
    </w:p>
    <w:p w14:paraId="0480BB00" w14:textId="77777777" w:rsidR="00A03390" w:rsidRDefault="00A03390" w:rsidP="00A03390">
      <w:pPr>
        <w:pStyle w:val="ListParagraph"/>
        <w:numPr>
          <w:ilvl w:val="0"/>
          <w:numId w:val="2"/>
        </w:numPr>
        <w:spacing w:line="480" w:lineRule="auto"/>
        <w:jc w:val="both"/>
      </w:pPr>
      <w:r>
        <w:t>Gene with the higher VAF among all additional mutations (categorial variable)</w:t>
      </w:r>
    </w:p>
    <w:p w14:paraId="5992A1CD" w14:textId="77777777" w:rsidR="00A03390" w:rsidRDefault="00A03390" w:rsidP="00A03390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If a somatic mutation was acquired before </w:t>
      </w:r>
      <w:r>
        <w:rPr>
          <w:i/>
          <w:iCs/>
        </w:rPr>
        <w:t>JAK2</w:t>
      </w:r>
      <w:r>
        <w:t>V617F (Yes/No, categorial variable)</w:t>
      </w:r>
    </w:p>
    <w:p w14:paraId="69561527" w14:textId="77777777" w:rsidR="00A03390" w:rsidRDefault="00A03390" w:rsidP="00A03390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VAF of the mutation acquired before </w:t>
      </w:r>
      <w:r>
        <w:rPr>
          <w:i/>
          <w:iCs/>
        </w:rPr>
        <w:t>JAK2</w:t>
      </w:r>
      <w:r>
        <w:t>V617F (numerical variable)</w:t>
      </w:r>
    </w:p>
    <w:p w14:paraId="267677A6" w14:textId="77777777" w:rsidR="00A03390" w:rsidRDefault="00A03390" w:rsidP="00A03390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Number of mutations acquired after </w:t>
      </w:r>
      <w:r>
        <w:rPr>
          <w:i/>
          <w:iCs/>
        </w:rPr>
        <w:t>JAK2</w:t>
      </w:r>
      <w:r>
        <w:t>V617F (numerical variable)</w:t>
      </w:r>
    </w:p>
    <w:p w14:paraId="29D8E629" w14:textId="77777777" w:rsidR="00A03390" w:rsidRDefault="00A03390" w:rsidP="00A03390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If the </w:t>
      </w:r>
      <w:r>
        <w:rPr>
          <w:i/>
          <w:iCs/>
        </w:rPr>
        <w:t>JAK2</w:t>
      </w:r>
      <w:r>
        <w:t>V617F mutation evolved to homozygosity (Yes/No, categorial variable)</w:t>
      </w:r>
    </w:p>
    <w:p w14:paraId="010277FC" w14:textId="77777777" w:rsidR="00A03390" w:rsidRDefault="00A03390" w:rsidP="00A03390">
      <w:pPr>
        <w:pStyle w:val="ListParagraph"/>
        <w:numPr>
          <w:ilvl w:val="0"/>
          <w:numId w:val="2"/>
        </w:numPr>
        <w:spacing w:line="480" w:lineRule="auto"/>
        <w:jc w:val="both"/>
      </w:pPr>
      <w:r>
        <w:t>If a branching evolution occurred in the clone with the driver mutation (Yes/No, categorial variable)</w:t>
      </w:r>
    </w:p>
    <w:p w14:paraId="56C19DCA" w14:textId="77777777" w:rsidR="00A03390" w:rsidRDefault="00A03390" w:rsidP="00A03390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If an additional mutation occurring after </w:t>
      </w:r>
      <w:r>
        <w:rPr>
          <w:i/>
          <w:iCs/>
        </w:rPr>
        <w:t>JAK2</w:t>
      </w:r>
      <w:r>
        <w:t>V617F evolved to homozygosity (Yes/No, categorial variable)</w:t>
      </w:r>
    </w:p>
    <w:p w14:paraId="5CCF44C5" w14:textId="77777777" w:rsidR="00A03390" w:rsidRDefault="00A03390" w:rsidP="00A03390">
      <w:pPr>
        <w:pStyle w:val="ListParagraph"/>
        <w:numPr>
          <w:ilvl w:val="0"/>
          <w:numId w:val="2"/>
        </w:numPr>
        <w:spacing w:line="480" w:lineRule="auto"/>
        <w:jc w:val="both"/>
      </w:pPr>
      <w:r>
        <w:t>If an additional mutation occurred in a separated clone from the clone with the driver mutation (Yes/No, categorial variable)</w:t>
      </w:r>
    </w:p>
    <w:p w14:paraId="2B6D5BB4" w14:textId="720B7156" w:rsidR="00A03390" w:rsidRPr="00BF5614" w:rsidRDefault="00A03390" w:rsidP="00D33032">
      <w:pPr>
        <w:spacing w:line="480" w:lineRule="auto"/>
        <w:jc w:val="both"/>
        <w:rPr>
          <w:color w:val="000000" w:themeColor="text1"/>
        </w:rPr>
      </w:pPr>
      <w:r w:rsidRPr="00BF5614">
        <w:rPr>
          <w:color w:val="000000" w:themeColor="text1"/>
        </w:rPr>
        <w:t>FAMD is a multivariate dimension reduction technique designed for dataset with both quantitative (e.g. number of mutations, size of clones…) and categorical data (e.g. order of acquisition of JAK2 mutation: ‘before/after/separated clone’…).</w:t>
      </w:r>
      <w:r w:rsidR="00D50F7D" w:rsidRPr="00BF5614">
        <w:rPr>
          <w:color w:val="000000" w:themeColor="text1"/>
        </w:rPr>
        <w:t xml:space="preserve"> The aim of such approach is to summarize the variability of the dataset with a minimum of variable. Each dimension of the FAMD is a linear combination of all variables and can be considered as a variable explaining the dataset </w:t>
      </w:r>
      <w:r w:rsidR="00DC7409" w:rsidRPr="00BF5614">
        <w:rPr>
          <w:color w:val="000000" w:themeColor="text1"/>
        </w:rPr>
        <w:t>variability</w:t>
      </w:r>
      <w:r w:rsidR="00D50F7D" w:rsidRPr="00BF5614">
        <w:rPr>
          <w:color w:val="000000" w:themeColor="text1"/>
        </w:rPr>
        <w:t>.</w:t>
      </w:r>
      <w:r w:rsidRPr="00BF5614">
        <w:rPr>
          <w:color w:val="000000" w:themeColor="text1"/>
        </w:rPr>
        <w:t xml:space="preserve"> We did the FAMD with 5 dimensions for representing the data because these 5 dimensions explained most of the inter-individual variability and we plotted the individuals on the 2 first axis (Figure 4). Then we applied a hierarchical classification which combines the individuals sequentially using the Ward’s minimum variance methodology. We selected 4 groups by inspecting the dendrogram produced by hierarchical clustering</w:t>
      </w:r>
      <w:r w:rsidR="00D50F7D" w:rsidRPr="00BF5614">
        <w:rPr>
          <w:color w:val="000000" w:themeColor="text1"/>
        </w:rPr>
        <w:t xml:space="preserve"> which is the best compromise between the loss of intra-cluster variability and the gain of inter-cluster variability</w:t>
      </w:r>
      <w:r w:rsidRPr="00BF5614">
        <w:rPr>
          <w:color w:val="000000" w:themeColor="text1"/>
        </w:rPr>
        <w:t xml:space="preserve"> (see below).</w:t>
      </w:r>
    </w:p>
    <w:p w14:paraId="51464948" w14:textId="46D86156" w:rsidR="00447AB4" w:rsidRDefault="00447AB4" w:rsidP="00447AB4">
      <w:pPr>
        <w:spacing w:line="480" w:lineRule="auto"/>
        <w:jc w:val="center"/>
      </w:pPr>
      <w:r w:rsidRPr="00447AB4">
        <w:rPr>
          <w:noProof/>
          <w:lang w:val="en-IN" w:eastAsia="en-IN"/>
        </w:rPr>
        <w:drawing>
          <wp:inline distT="0" distB="0" distL="0" distR="0" wp14:anchorId="761B06AB" wp14:editId="05DBB394">
            <wp:extent cx="4254500" cy="3632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AB4" w:rsidSect="003D7A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FDBBA" w14:textId="77777777" w:rsidR="001E1290" w:rsidRDefault="001E1290" w:rsidP="004A5EC2">
      <w:pPr>
        <w:spacing w:after="0" w:line="240" w:lineRule="auto"/>
      </w:pPr>
      <w:r>
        <w:separator/>
      </w:r>
    </w:p>
  </w:endnote>
  <w:endnote w:type="continuationSeparator" w:id="0">
    <w:p w14:paraId="2E908311" w14:textId="77777777" w:rsidR="001E1290" w:rsidRDefault="001E1290" w:rsidP="004A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4629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42CD3B" w14:textId="04547458" w:rsidR="004A5EC2" w:rsidRDefault="004A5EC2" w:rsidP="00F918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B90A23" w14:textId="77777777" w:rsidR="004A5EC2" w:rsidRDefault="004A5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644564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9D9514" w14:textId="757B51BF" w:rsidR="004A5EC2" w:rsidRDefault="004A5EC2" w:rsidP="00F918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F333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EA88808" w14:textId="77777777" w:rsidR="004A5EC2" w:rsidRDefault="004A5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158AB" w14:textId="77777777" w:rsidR="001E1290" w:rsidRDefault="001E1290" w:rsidP="004A5EC2">
      <w:pPr>
        <w:spacing w:after="0" w:line="240" w:lineRule="auto"/>
      </w:pPr>
      <w:r>
        <w:separator/>
      </w:r>
    </w:p>
  </w:footnote>
  <w:footnote w:type="continuationSeparator" w:id="0">
    <w:p w14:paraId="16F70399" w14:textId="77777777" w:rsidR="001E1290" w:rsidRDefault="001E1290" w:rsidP="004A5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759690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E252E4" w14:textId="4F75E996" w:rsidR="009D63EB" w:rsidRDefault="009D63EB" w:rsidP="00C1097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E35937" w14:textId="77777777" w:rsidR="009D63EB" w:rsidRDefault="009D63EB" w:rsidP="009D63E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5068991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BF39155" w14:textId="4B03B0FD" w:rsidR="009D63EB" w:rsidRDefault="009D63EB" w:rsidP="00C1097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F333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94C919" w14:textId="77777777" w:rsidR="009D63EB" w:rsidRDefault="009D63EB" w:rsidP="009D63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D13"/>
    <w:multiLevelType w:val="hybridMultilevel"/>
    <w:tmpl w:val="4698A1C0"/>
    <w:lvl w:ilvl="0" w:tplc="5F8CE99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0BB"/>
    <w:multiLevelType w:val="hybridMultilevel"/>
    <w:tmpl w:val="35BA91D0"/>
    <w:lvl w:ilvl="0" w:tplc="8DD235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1D"/>
    <w:rsid w:val="00031190"/>
    <w:rsid w:val="00065D86"/>
    <w:rsid w:val="000757DA"/>
    <w:rsid w:val="00082F64"/>
    <w:rsid w:val="000A15C7"/>
    <w:rsid w:val="000A63E7"/>
    <w:rsid w:val="000C3078"/>
    <w:rsid w:val="000C59F9"/>
    <w:rsid w:val="000C6CC4"/>
    <w:rsid w:val="001114FC"/>
    <w:rsid w:val="00112BF4"/>
    <w:rsid w:val="001139F5"/>
    <w:rsid w:val="001210DD"/>
    <w:rsid w:val="00190CC4"/>
    <w:rsid w:val="001A4725"/>
    <w:rsid w:val="001E1290"/>
    <w:rsid w:val="001E2CF0"/>
    <w:rsid w:val="001F5FA5"/>
    <w:rsid w:val="00253806"/>
    <w:rsid w:val="00281006"/>
    <w:rsid w:val="00283D39"/>
    <w:rsid w:val="002A41D5"/>
    <w:rsid w:val="002C59AC"/>
    <w:rsid w:val="0030592B"/>
    <w:rsid w:val="00316458"/>
    <w:rsid w:val="003369BE"/>
    <w:rsid w:val="0036225D"/>
    <w:rsid w:val="00391590"/>
    <w:rsid w:val="00395F6D"/>
    <w:rsid w:val="003C2844"/>
    <w:rsid w:val="003D7A8A"/>
    <w:rsid w:val="003F24B3"/>
    <w:rsid w:val="00406AE0"/>
    <w:rsid w:val="00411BCF"/>
    <w:rsid w:val="00413E83"/>
    <w:rsid w:val="00420ECF"/>
    <w:rsid w:val="0044571D"/>
    <w:rsid w:val="00447AB4"/>
    <w:rsid w:val="00457137"/>
    <w:rsid w:val="00493EBB"/>
    <w:rsid w:val="004A5EC2"/>
    <w:rsid w:val="004B437E"/>
    <w:rsid w:val="004B7D83"/>
    <w:rsid w:val="004D43F3"/>
    <w:rsid w:val="004D4D3D"/>
    <w:rsid w:val="004F190C"/>
    <w:rsid w:val="0050517A"/>
    <w:rsid w:val="00542509"/>
    <w:rsid w:val="00547F81"/>
    <w:rsid w:val="00575DF8"/>
    <w:rsid w:val="005A2BBD"/>
    <w:rsid w:val="005B6990"/>
    <w:rsid w:val="005D0DBF"/>
    <w:rsid w:val="005F333B"/>
    <w:rsid w:val="006001CA"/>
    <w:rsid w:val="00615DDE"/>
    <w:rsid w:val="00616D84"/>
    <w:rsid w:val="00623875"/>
    <w:rsid w:val="00627DD5"/>
    <w:rsid w:val="00632C8E"/>
    <w:rsid w:val="006822E5"/>
    <w:rsid w:val="006C3C2D"/>
    <w:rsid w:val="006E441A"/>
    <w:rsid w:val="006E72BE"/>
    <w:rsid w:val="006F1304"/>
    <w:rsid w:val="0070123A"/>
    <w:rsid w:val="007106B8"/>
    <w:rsid w:val="00716413"/>
    <w:rsid w:val="007305ED"/>
    <w:rsid w:val="007337EC"/>
    <w:rsid w:val="00735CF4"/>
    <w:rsid w:val="00754DC5"/>
    <w:rsid w:val="00766F5D"/>
    <w:rsid w:val="00796091"/>
    <w:rsid w:val="007B4DCB"/>
    <w:rsid w:val="007C67AD"/>
    <w:rsid w:val="007D648E"/>
    <w:rsid w:val="007F7423"/>
    <w:rsid w:val="00842715"/>
    <w:rsid w:val="008551A6"/>
    <w:rsid w:val="008724B1"/>
    <w:rsid w:val="00884172"/>
    <w:rsid w:val="008951CC"/>
    <w:rsid w:val="00895D56"/>
    <w:rsid w:val="008A0206"/>
    <w:rsid w:val="008B6B6E"/>
    <w:rsid w:val="008D331C"/>
    <w:rsid w:val="008D671A"/>
    <w:rsid w:val="008E2912"/>
    <w:rsid w:val="008F4F93"/>
    <w:rsid w:val="008F5BF3"/>
    <w:rsid w:val="009003B2"/>
    <w:rsid w:val="0091513D"/>
    <w:rsid w:val="00926427"/>
    <w:rsid w:val="0093617F"/>
    <w:rsid w:val="009511A3"/>
    <w:rsid w:val="009654B7"/>
    <w:rsid w:val="00972E04"/>
    <w:rsid w:val="0098298C"/>
    <w:rsid w:val="009D376B"/>
    <w:rsid w:val="009D63EB"/>
    <w:rsid w:val="009D77E2"/>
    <w:rsid w:val="009F3BF9"/>
    <w:rsid w:val="00A03390"/>
    <w:rsid w:val="00A07E0C"/>
    <w:rsid w:val="00A26D54"/>
    <w:rsid w:val="00A40F0C"/>
    <w:rsid w:val="00A73EA2"/>
    <w:rsid w:val="00A77855"/>
    <w:rsid w:val="00A97541"/>
    <w:rsid w:val="00AA74D3"/>
    <w:rsid w:val="00AC5E23"/>
    <w:rsid w:val="00AD47C4"/>
    <w:rsid w:val="00AF2D84"/>
    <w:rsid w:val="00AF71D6"/>
    <w:rsid w:val="00B17FC6"/>
    <w:rsid w:val="00B3423F"/>
    <w:rsid w:val="00B3650D"/>
    <w:rsid w:val="00B45461"/>
    <w:rsid w:val="00B76B3A"/>
    <w:rsid w:val="00BF5614"/>
    <w:rsid w:val="00C41271"/>
    <w:rsid w:val="00C4590D"/>
    <w:rsid w:val="00C618E8"/>
    <w:rsid w:val="00CA5B15"/>
    <w:rsid w:val="00CC3024"/>
    <w:rsid w:val="00D33032"/>
    <w:rsid w:val="00D463B4"/>
    <w:rsid w:val="00D46FCE"/>
    <w:rsid w:val="00D50F7D"/>
    <w:rsid w:val="00D67BF3"/>
    <w:rsid w:val="00DB48BB"/>
    <w:rsid w:val="00DB5BA3"/>
    <w:rsid w:val="00DB7F86"/>
    <w:rsid w:val="00DC115F"/>
    <w:rsid w:val="00DC1CE5"/>
    <w:rsid w:val="00DC7409"/>
    <w:rsid w:val="00DF6833"/>
    <w:rsid w:val="00E11CB9"/>
    <w:rsid w:val="00EA5782"/>
    <w:rsid w:val="00EA7E1D"/>
    <w:rsid w:val="00F20631"/>
    <w:rsid w:val="00F5273D"/>
    <w:rsid w:val="00F52BC6"/>
    <w:rsid w:val="00F57423"/>
    <w:rsid w:val="00F64D10"/>
    <w:rsid w:val="00F97A1B"/>
    <w:rsid w:val="00FA0EBD"/>
    <w:rsid w:val="00FB2709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9A1E"/>
  <w15:chartTrackingRefBased/>
  <w15:docId w15:val="{8869825B-045C-4E88-86DB-049F8F92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5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7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C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5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C2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A5EC2"/>
  </w:style>
  <w:style w:type="paragraph" w:styleId="NormalWeb">
    <w:name w:val="Normal (Web)"/>
    <w:basedOn w:val="Normal"/>
    <w:uiPriority w:val="99"/>
    <w:semiHidden/>
    <w:unhideWhenUsed/>
    <w:rsid w:val="004571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AFCE5E-B2CD-4F18-925D-D4468EE2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6618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Luque Paz</dc:creator>
  <cp:keywords/>
  <dc:description/>
  <cp:lastModifiedBy>Padmini Radhakrishnan</cp:lastModifiedBy>
  <cp:revision>2</cp:revision>
  <cp:lastPrinted>2022-10-10T21:43:00Z</cp:lastPrinted>
  <dcterms:created xsi:type="dcterms:W3CDTF">2023-05-02T05:46:00Z</dcterms:created>
  <dcterms:modified xsi:type="dcterms:W3CDTF">2023-05-02T05:46:00Z</dcterms:modified>
</cp:coreProperties>
</file>