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71" w:rsidRPr="00853E42" w:rsidRDefault="0020726C" w:rsidP="0020726C">
      <w:pPr>
        <w:rPr>
          <w:b/>
          <w:bCs/>
          <w:sz w:val="28"/>
          <w:szCs w:val="28"/>
        </w:rPr>
      </w:pPr>
      <w:r w:rsidRPr="0020726C">
        <w:rPr>
          <w:b/>
          <w:bCs/>
          <w:sz w:val="28"/>
          <w:szCs w:val="28"/>
        </w:rPr>
        <w:t>Coronavirus Disease 2019 (COVID-19): Healthcare Workers in Acute Care Settings – Triage</w:t>
      </w:r>
    </w:p>
    <w:p w:rsidR="00853E42" w:rsidRDefault="00853E42"/>
    <w:p w:rsidR="00853E42" w:rsidRPr="00853E42" w:rsidRDefault="00853E42">
      <w:pPr>
        <w:rPr>
          <w:b/>
          <w:bCs/>
          <w:sz w:val="24"/>
          <w:szCs w:val="24"/>
        </w:rPr>
      </w:pPr>
    </w:p>
    <w:tbl>
      <w:tblPr>
        <w:tblpPr w:leftFromText="45" w:rightFromText="45" w:vertAnchor="text" w:tblpXSpec="center" w:tblpYSpec="center"/>
        <w:tblW w:w="465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0"/>
        <w:gridCol w:w="460"/>
        <w:gridCol w:w="458"/>
        <w:gridCol w:w="458"/>
      </w:tblGrid>
      <w:tr w:rsidR="00584366" w:rsidRPr="0020726C" w:rsidTr="00584366">
        <w:trPr>
          <w:tblCellSpacing w:w="0" w:type="dxa"/>
        </w:trPr>
        <w:tc>
          <w:tcPr>
            <w:tcW w:w="4209" w:type="pct"/>
            <w:tcBorders>
              <w:bottom w:val="single" w:sz="4" w:space="0" w:color="auto"/>
            </w:tcBorders>
            <w:shd w:val="clear" w:color="auto" w:fill="E7F3FA"/>
            <w:vAlign w:val="center"/>
          </w:tcPr>
          <w:p w:rsidR="00584366" w:rsidRPr="0020726C" w:rsidRDefault="00584366" w:rsidP="0020726C">
            <w:r w:rsidRPr="00853E42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E7F3FA"/>
          </w:tcPr>
          <w:p w:rsidR="00584366" w:rsidRPr="0020726C" w:rsidRDefault="00584366" w:rsidP="00584366">
            <w:pPr>
              <w:jc w:val="center"/>
            </w:pPr>
            <w:r>
              <w:t>Yes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E7F3FA"/>
          </w:tcPr>
          <w:p w:rsidR="00584366" w:rsidRPr="0020726C" w:rsidRDefault="00584366" w:rsidP="00584366">
            <w:pPr>
              <w:jc w:val="center"/>
            </w:pPr>
            <w:r>
              <w:t>No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E7F3FA"/>
          </w:tcPr>
          <w:p w:rsidR="00584366" w:rsidRPr="0020726C" w:rsidRDefault="00584366" w:rsidP="00584366">
            <w:pPr>
              <w:jc w:val="center"/>
            </w:pPr>
            <w:r>
              <w:t>N/A</w:t>
            </w:r>
          </w:p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E7F3FA"/>
            <w:vAlign w:val="center"/>
            <w:hideMark/>
          </w:tcPr>
          <w:p w:rsidR="00584366" w:rsidRPr="0020726C" w:rsidRDefault="00584366" w:rsidP="0020726C">
            <w:r w:rsidRPr="0020726C">
              <w:t>01. Healthcare workers receive standardized infection prevention and control (IPC) training.</w:t>
            </w:r>
          </w:p>
        </w:tc>
        <w:tc>
          <w:tcPr>
            <w:tcW w:w="264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FFFFFF"/>
            <w:vAlign w:val="center"/>
            <w:hideMark/>
          </w:tcPr>
          <w:p w:rsidR="00584366" w:rsidRPr="0020726C" w:rsidRDefault="00584366" w:rsidP="0020726C">
            <w:r w:rsidRPr="0020726C">
              <w:t>02. Healthcare workers show competency in assess</w:t>
            </w:r>
            <w:bookmarkStart w:id="0" w:name="_GoBack"/>
            <w:bookmarkEnd w:id="0"/>
            <w:r w:rsidRPr="0020726C">
              <w:t>ment, donning, use and doffing of personal protective equipment (PPE).</w:t>
            </w:r>
          </w:p>
        </w:tc>
        <w:tc>
          <w:tcPr>
            <w:tcW w:w="264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E7F3FA"/>
            <w:vAlign w:val="center"/>
            <w:hideMark/>
          </w:tcPr>
          <w:p w:rsidR="00584366" w:rsidRPr="0020726C" w:rsidRDefault="00584366" w:rsidP="0020726C">
            <w:r w:rsidRPr="0020726C">
              <w:t>03. Healthcare workers have been made aware of information relating to the current COVID-19 situation.</w:t>
            </w:r>
          </w:p>
        </w:tc>
        <w:tc>
          <w:tcPr>
            <w:tcW w:w="264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FFFFFF"/>
            <w:vAlign w:val="center"/>
            <w:hideMark/>
          </w:tcPr>
          <w:p w:rsidR="00584366" w:rsidRPr="0020726C" w:rsidRDefault="00584366" w:rsidP="0020726C">
            <w:r w:rsidRPr="0020726C">
              <w:t>04. All patients presenting to a healthcare facility suspected of COVID-19 are triaged. First line triage may be undertaken face-to-face, by telephone or telemedicine, or other online service.</w:t>
            </w:r>
          </w:p>
        </w:tc>
        <w:tc>
          <w:tcPr>
            <w:tcW w:w="264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E7F3FA"/>
            <w:vAlign w:val="center"/>
            <w:hideMark/>
          </w:tcPr>
          <w:p w:rsidR="00584366" w:rsidRPr="0020726C" w:rsidRDefault="00584366" w:rsidP="0020726C">
            <w:r w:rsidRPr="0020726C">
              <w:t>05. Separate areas are made available for triage, assessment and management.</w:t>
            </w:r>
          </w:p>
        </w:tc>
        <w:tc>
          <w:tcPr>
            <w:tcW w:w="264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FFFFFF"/>
            <w:vAlign w:val="center"/>
            <w:hideMark/>
          </w:tcPr>
          <w:p w:rsidR="00584366" w:rsidRPr="0020726C" w:rsidRDefault="00584366" w:rsidP="0020726C">
            <w:r w:rsidRPr="0020726C">
              <w:t>06. Suspected COVID-19 cases are identified as soon as possible, tested, and isolated in appropriate facilities.</w:t>
            </w:r>
          </w:p>
        </w:tc>
        <w:tc>
          <w:tcPr>
            <w:tcW w:w="264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E7F3FA"/>
            <w:vAlign w:val="center"/>
            <w:hideMark/>
          </w:tcPr>
          <w:p w:rsidR="00584366" w:rsidRPr="0020726C" w:rsidRDefault="00584366" w:rsidP="0020726C">
            <w:r w:rsidRPr="0020726C">
              <w:t>07. Social distancing (according to local advice) is in place at the triage station.</w:t>
            </w:r>
          </w:p>
        </w:tc>
        <w:tc>
          <w:tcPr>
            <w:tcW w:w="264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FFFFFF"/>
            <w:vAlign w:val="center"/>
            <w:hideMark/>
          </w:tcPr>
          <w:p w:rsidR="00584366" w:rsidRPr="0020726C" w:rsidRDefault="00584366" w:rsidP="0020726C">
            <w:r w:rsidRPr="0020726C">
              <w:t>08. A handwashing station is provided at the triage station for use by healthcare workers, patients and visitors.</w:t>
            </w:r>
          </w:p>
        </w:tc>
        <w:tc>
          <w:tcPr>
            <w:tcW w:w="264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E7F3FA"/>
            <w:vAlign w:val="center"/>
            <w:hideMark/>
          </w:tcPr>
          <w:p w:rsidR="00584366" w:rsidRPr="0020726C" w:rsidRDefault="00584366" w:rsidP="0020726C">
            <w:r w:rsidRPr="0020726C">
              <w:t>09. Standardized IPC precautions are taken by all healthcare workers (e.g. hand hygiene, cough etiquette, risk assessment to determine PPE [mask, gown, apron, gloves, and eye protection] requirements, correct use of PPE, and environmental cleaning).</w:t>
            </w:r>
          </w:p>
        </w:tc>
        <w:tc>
          <w:tcPr>
            <w:tcW w:w="264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  <w:tc>
          <w:tcPr>
            <w:tcW w:w="263" w:type="pct"/>
            <w:shd w:val="clear" w:color="auto" w:fill="E7F3FA"/>
          </w:tcPr>
          <w:p w:rsidR="00584366" w:rsidRPr="0020726C" w:rsidRDefault="00584366" w:rsidP="0020726C"/>
        </w:tc>
      </w:tr>
      <w:tr w:rsidR="00584366" w:rsidRPr="0020726C" w:rsidTr="00584366">
        <w:trPr>
          <w:tblCellSpacing w:w="0" w:type="dxa"/>
        </w:trPr>
        <w:tc>
          <w:tcPr>
            <w:tcW w:w="4209" w:type="pct"/>
            <w:shd w:val="clear" w:color="auto" w:fill="FFFFFF"/>
            <w:vAlign w:val="center"/>
            <w:hideMark/>
          </w:tcPr>
          <w:p w:rsidR="00584366" w:rsidRPr="0020726C" w:rsidRDefault="00584366" w:rsidP="0020726C">
            <w:r w:rsidRPr="0020726C">
              <w:t>10. A point-of-care risk assessment of the patient is undertaken which includes taking temperature, documenting symptoms (or absence of), and asking about self-quarantine, at the least.</w:t>
            </w:r>
          </w:p>
        </w:tc>
        <w:tc>
          <w:tcPr>
            <w:tcW w:w="264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  <w:tc>
          <w:tcPr>
            <w:tcW w:w="263" w:type="pct"/>
            <w:shd w:val="clear" w:color="auto" w:fill="FFFFFF"/>
          </w:tcPr>
          <w:p w:rsidR="00584366" w:rsidRPr="0020726C" w:rsidRDefault="00584366" w:rsidP="0020726C"/>
        </w:tc>
      </w:tr>
    </w:tbl>
    <w:p w:rsidR="00853E42" w:rsidRDefault="00853E42"/>
    <w:sectPr w:rsidR="00853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E42"/>
    <w:rsid w:val="0020726C"/>
    <w:rsid w:val="00584366"/>
    <w:rsid w:val="00853E42"/>
    <w:rsid w:val="0099681A"/>
    <w:rsid w:val="00AE6E4C"/>
    <w:rsid w:val="00B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6C7967-EE0C-4375-A46F-1147146B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2022-05-08T05:20:00Z</dcterms:created>
  <dcterms:modified xsi:type="dcterms:W3CDTF">2022-05-08T05:20:00Z</dcterms:modified>
</cp:coreProperties>
</file>