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44" w:rsidRDefault="00260B44" w:rsidP="00260B44">
      <w:pPr>
        <w:rPr>
          <w:b/>
        </w:rPr>
      </w:pPr>
      <w:proofErr w:type="gramStart"/>
      <w:r w:rsidRPr="005E1BF0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S5 </w:t>
      </w:r>
      <w:r>
        <w:t>Chi-squared Automatic Interaction Detection (CHAID) method to grow a decision tree.</w:t>
      </w:r>
      <w:proofErr w:type="gramEnd"/>
      <w:r>
        <w:t xml:space="preserve"> To minimize cohort selection bias and prevent model </w:t>
      </w:r>
      <w:proofErr w:type="spellStart"/>
      <w:r>
        <w:t>overfitting</w:t>
      </w:r>
      <w:proofErr w:type="spellEnd"/>
      <w:r>
        <w:t>, we also employed split-sample validation, which randomly assigned roughly half of the cases to a new training set, and half of the cases to a new test set.</w:t>
      </w:r>
    </w:p>
    <w:p w:rsidR="00260B44" w:rsidRDefault="00260B44" w:rsidP="00260B44">
      <w:pPr>
        <w:rPr>
          <w:b/>
        </w:rPr>
      </w:pPr>
    </w:p>
    <w:tbl>
      <w:tblPr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1951"/>
        <w:gridCol w:w="1089"/>
        <w:gridCol w:w="1090"/>
        <w:gridCol w:w="1090"/>
        <w:gridCol w:w="1090"/>
        <w:gridCol w:w="1090"/>
        <w:gridCol w:w="1562"/>
      </w:tblGrid>
      <w:tr w:rsidR="00260B44" w:rsidRPr="00332F25" w:rsidTr="00C21687">
        <w:trPr>
          <w:cantSplit/>
        </w:trPr>
        <w:tc>
          <w:tcPr>
            <w:tcW w:w="10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b/>
                <w:bCs/>
                <w:color w:val="000000"/>
              </w:rPr>
              <w:t>Classification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Sample</w:t>
            </w:r>
          </w:p>
        </w:tc>
        <w:tc>
          <w:tcPr>
            <w:tcW w:w="1951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Observed</w:t>
            </w:r>
          </w:p>
        </w:tc>
        <w:tc>
          <w:tcPr>
            <w:tcW w:w="7011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Predicted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8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CCC</w:t>
            </w:r>
          </w:p>
        </w:tc>
        <w:tc>
          <w:tcPr>
            <w:tcW w:w="10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EC</w:t>
            </w:r>
          </w:p>
        </w:tc>
        <w:tc>
          <w:tcPr>
            <w:tcW w:w="10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HGSC</w:t>
            </w:r>
          </w:p>
        </w:tc>
        <w:tc>
          <w:tcPr>
            <w:tcW w:w="10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LGSC</w:t>
            </w:r>
          </w:p>
        </w:tc>
        <w:tc>
          <w:tcPr>
            <w:tcW w:w="109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MC</w:t>
            </w:r>
          </w:p>
        </w:tc>
        <w:tc>
          <w:tcPr>
            <w:tcW w:w="156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Percent Correct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Training</w:t>
            </w:r>
          </w:p>
        </w:tc>
        <w:tc>
          <w:tcPr>
            <w:tcW w:w="19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CCC</w:t>
            </w:r>
          </w:p>
        </w:tc>
        <w:tc>
          <w:tcPr>
            <w:tcW w:w="108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89.6%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EC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74.3%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HGSC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97.2%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LGSC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MC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98.6%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Overall Percentage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15.2%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12.7%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60.3%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0.0%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11.8%</w:t>
            </w:r>
          </w:p>
        </w:tc>
        <w:tc>
          <w:tcPr>
            <w:tcW w:w="156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89.6%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Test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CCC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92.1%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EC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68.0%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HGSC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96.3%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LGSC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0.0%</w:t>
            </w:r>
          </w:p>
        </w:tc>
      </w:tr>
      <w:tr w:rsidR="00260B44" w:rsidRPr="00332F25" w:rsidTr="00C21687">
        <w:trPr>
          <w:cantSplit/>
        </w:trPr>
        <w:tc>
          <w:tcPr>
            <w:tcW w:w="10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MC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91.2%</w:t>
            </w:r>
          </w:p>
        </w:tc>
      </w:tr>
      <w:tr w:rsidR="00260B44" w:rsidRPr="00332F25" w:rsidTr="00C21687">
        <w:trPr>
          <w:cantSplit/>
          <w:trHeight w:val="717"/>
        </w:trPr>
        <w:tc>
          <w:tcPr>
            <w:tcW w:w="1073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Overall Percentage</w:t>
            </w:r>
          </w:p>
        </w:tc>
        <w:tc>
          <w:tcPr>
            <w:tcW w:w="108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18.0%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12.2%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58.1%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0.0%</w:t>
            </w:r>
          </w:p>
        </w:tc>
        <w:tc>
          <w:tcPr>
            <w:tcW w:w="10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11.7%</w:t>
            </w:r>
          </w:p>
        </w:tc>
        <w:tc>
          <w:tcPr>
            <w:tcW w:w="15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60B44" w:rsidRPr="00332F25" w:rsidRDefault="00260B44" w:rsidP="00C21687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</w:rPr>
            </w:pPr>
            <w:r w:rsidRPr="00332F25">
              <w:rPr>
                <w:rFonts w:ascii="Arial" w:hAnsi="Arial" w:cs="Arial"/>
                <w:color w:val="000000"/>
              </w:rPr>
              <w:t>87.2%</w:t>
            </w:r>
          </w:p>
        </w:tc>
      </w:tr>
    </w:tbl>
    <w:p w:rsidR="00260B44" w:rsidRDefault="00260B44" w:rsidP="00260B44">
      <w:pPr>
        <w:rPr>
          <w:rFonts w:ascii="Times New Roman" w:hAnsi="Times New Roman"/>
        </w:rPr>
      </w:pPr>
      <w:r>
        <w:rPr>
          <w:rFonts w:ascii="Times New Roman" w:hAnsi="Times New Roman"/>
        </w:rPr>
        <w:t>HGSC-high-grade serous carcinoma, EC-</w:t>
      </w:r>
      <w:proofErr w:type="spellStart"/>
      <w:r>
        <w:rPr>
          <w:rFonts w:ascii="Times New Roman" w:hAnsi="Times New Roman"/>
        </w:rPr>
        <w:t>endometrioid</w:t>
      </w:r>
      <w:proofErr w:type="spellEnd"/>
      <w:r>
        <w:rPr>
          <w:rFonts w:ascii="Times New Roman" w:hAnsi="Times New Roman"/>
        </w:rPr>
        <w:t xml:space="preserve"> carcinoma, CCC-clear cell carcinoma, MC-mucinous carcinoma, LGSC-low-grade serous carcinoma </w:t>
      </w:r>
    </w:p>
    <w:p w:rsidR="00260B44" w:rsidRDefault="00260B44" w:rsidP="00260B44">
      <w:bookmarkStart w:id="0" w:name="_GoBack"/>
      <w:bookmarkEnd w:id="0"/>
      <w:r>
        <w:t xml:space="preserve"> </w:t>
      </w:r>
    </w:p>
    <w:p w:rsidR="00A93108" w:rsidRDefault="00260B44"/>
    <w:sectPr w:rsidR="00A93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44"/>
    <w:rsid w:val="00260B44"/>
    <w:rsid w:val="004B6CBC"/>
    <w:rsid w:val="009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4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0B4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260B4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60B44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4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4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4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0B4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rsid w:val="00260B4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60B44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0B44"/>
    <w:rPr>
      <w:rFonts w:ascii="Calibri" w:eastAsia="Cambria" w:hAnsi="Calibri" w:cs="Times New Roman"/>
      <w:sz w:val="24"/>
      <w:szCs w:val="24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44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Wolters Kluwer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Elashvili, Dinah</dc:creator>
  <cp:lastModifiedBy>Elashvili, Dinah</cp:lastModifiedBy>
  <cp:revision>1</cp:revision>
  <dcterms:created xsi:type="dcterms:W3CDTF">2015-12-07T15:12:00Z</dcterms:created>
  <dcterms:modified xsi:type="dcterms:W3CDTF">2015-12-07T15:13:00Z</dcterms:modified>
</cp:coreProperties>
</file>