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6C" w:rsidRDefault="00730918" w:rsidP="00396D6C">
      <w:pPr>
        <w:spacing w:line="480" w:lineRule="auto"/>
        <w:rPr>
          <w:vertAlign w:val="superscript"/>
        </w:rPr>
      </w:pPr>
      <w:r>
        <w:t>SDC</w:t>
      </w:r>
      <w:r w:rsidR="00396D6C" w:rsidRPr="00BA52B5">
        <w:t xml:space="preserve"> 3.</w:t>
      </w:r>
      <w:r w:rsidR="00396D6C" w:rsidRPr="00BA52B5">
        <w:rPr>
          <w:b/>
        </w:rPr>
        <w:t xml:space="preserve">  </w:t>
      </w:r>
      <w:r w:rsidR="00396D6C" w:rsidRPr="00BA52B5">
        <w:t>Antibiotic resistance among isolates from 4 sampling periods by serotype group</w:t>
      </w:r>
      <w:r w:rsidR="00396D6C" w:rsidRPr="00BA52B5">
        <w:rPr>
          <w:vertAlign w:val="superscript"/>
        </w:rPr>
        <w:t>a</w:t>
      </w:r>
    </w:p>
    <w:p w:rsidR="00396D6C" w:rsidRPr="008424C9" w:rsidRDefault="00396D6C" w:rsidP="00396D6C">
      <w:pPr>
        <w:spacing w:line="480" w:lineRule="auto"/>
        <w:rPr>
          <w:vertAlign w:val="superscript"/>
        </w:rPr>
      </w:pPr>
    </w:p>
    <w:tbl>
      <w:tblPr>
        <w:tblW w:w="13207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765"/>
        <w:gridCol w:w="696"/>
        <w:gridCol w:w="2325"/>
        <w:gridCol w:w="2261"/>
        <w:gridCol w:w="1964"/>
        <w:gridCol w:w="2196"/>
      </w:tblGrid>
      <w:tr w:rsidR="00396D6C" w:rsidRPr="00BA52B5" w:rsidTr="00295A0E">
        <w:trPr>
          <w:trHeight w:val="1313"/>
        </w:trPr>
        <w:tc>
          <w:tcPr>
            <w:tcW w:w="3765" w:type="dxa"/>
            <w:tcBorders>
              <w:top w:val="single" w:sz="4" w:space="0" w:color="auto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>
              <w:t>Year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Total</w:t>
            </w:r>
            <w:r>
              <w:t xml:space="preserve"> </w:t>
            </w:r>
            <w:r w:rsidRPr="00BA52B5">
              <w:t>isolates</w:t>
            </w:r>
            <w:r>
              <w:t>, N (%)</w:t>
            </w:r>
          </w:p>
          <w:p w:rsidR="00396D6C" w:rsidRDefault="00396D6C" w:rsidP="00295A0E">
            <w:pPr>
              <w:spacing w:line="480" w:lineRule="auto"/>
              <w:jc w:val="center"/>
            </w:pPr>
            <w:r>
              <w:t xml:space="preserve">2001: </w:t>
            </w:r>
            <w:r w:rsidRPr="00BA52B5">
              <w:t>N=168</w:t>
            </w:r>
            <w:r w:rsidRPr="00BA52B5">
              <w:rPr>
                <w:vertAlign w:val="superscript"/>
              </w:rPr>
              <w:t>b</w:t>
            </w:r>
            <w:r w:rsidRPr="00BA52B5">
              <w:t xml:space="preserve">        </w:t>
            </w:r>
          </w:p>
          <w:p w:rsidR="00396D6C" w:rsidRDefault="00396D6C" w:rsidP="00295A0E">
            <w:pPr>
              <w:spacing w:line="480" w:lineRule="auto"/>
              <w:jc w:val="center"/>
            </w:pPr>
            <w:r w:rsidRPr="00BA52B5">
              <w:t>2004: N=228</w:t>
            </w:r>
            <w:r w:rsidRPr="00BA52B5">
              <w:rPr>
                <w:vertAlign w:val="superscript"/>
              </w:rPr>
              <w:t xml:space="preserve">c </w:t>
            </w:r>
            <w:r w:rsidRPr="00BA52B5">
              <w:t xml:space="preserve">        </w:t>
            </w:r>
          </w:p>
          <w:p w:rsidR="00396D6C" w:rsidRDefault="00396D6C" w:rsidP="00295A0E">
            <w:pPr>
              <w:spacing w:line="480" w:lineRule="auto"/>
              <w:jc w:val="center"/>
            </w:pPr>
            <w:r w:rsidRPr="00BA52B5">
              <w:t xml:space="preserve">2007: N=293         </w:t>
            </w:r>
          </w:p>
          <w:p w:rsidR="00396D6C" w:rsidRPr="00BA52B5" w:rsidRDefault="00396D6C" w:rsidP="00295A0E">
            <w:pPr>
              <w:spacing w:line="480" w:lineRule="auto"/>
              <w:jc w:val="center"/>
            </w:pPr>
            <w:r>
              <w:t>2009: N</w:t>
            </w:r>
            <w:r w:rsidRPr="00BA52B5">
              <w:t>=290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>PCV13</w:t>
            </w:r>
            <w:r>
              <w:rPr>
                <w:lang w:val="fr-FR"/>
              </w:rPr>
              <w:t xml:space="preserve"> </w:t>
            </w:r>
          </w:p>
          <w:p w:rsidR="00396D6C" w:rsidRPr="00BA52B5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>Serotypes</w:t>
            </w:r>
            <w:r>
              <w:rPr>
                <w:lang w:val="fr-FR"/>
              </w:rPr>
              <w:t>, N (%)</w:t>
            </w:r>
          </w:p>
          <w:p w:rsidR="00396D6C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2001: N=89</w:t>
            </w:r>
            <w:r w:rsidRPr="00BA52B5">
              <w:rPr>
                <w:lang w:val="fr-FR"/>
              </w:rPr>
              <w:t xml:space="preserve">             </w:t>
            </w:r>
          </w:p>
          <w:p w:rsidR="00396D6C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 xml:space="preserve">2004: </w:t>
            </w:r>
            <w:r>
              <w:rPr>
                <w:lang w:val="fr-FR"/>
              </w:rPr>
              <w:t>N=84</w:t>
            </w:r>
            <w:r w:rsidRPr="00BA52B5">
              <w:rPr>
                <w:lang w:val="fr-FR"/>
              </w:rPr>
              <w:t xml:space="preserve">         </w:t>
            </w:r>
          </w:p>
          <w:p w:rsidR="00396D6C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 xml:space="preserve">2007: </w:t>
            </w:r>
            <w:r>
              <w:rPr>
                <w:lang w:val="fr-FR"/>
              </w:rPr>
              <w:t>N=75</w:t>
            </w:r>
            <w:r w:rsidRPr="00BA52B5">
              <w:rPr>
                <w:lang w:val="fr-FR"/>
              </w:rPr>
              <w:t xml:space="preserve">         </w:t>
            </w:r>
          </w:p>
          <w:p w:rsidR="00396D6C" w:rsidRPr="00BA52B5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>2009: N=64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 w:rsidRPr="00BA52B5">
              <w:rPr>
                <w:lang w:val="fr-FR"/>
              </w:rPr>
              <w:t>Non-PCV13 serotypes</w:t>
            </w:r>
            <w:r>
              <w:rPr>
                <w:lang w:val="fr-FR"/>
              </w:rPr>
              <w:t>, N (%)</w:t>
            </w:r>
          </w:p>
          <w:p w:rsidR="00396D6C" w:rsidRPr="00BA52B5" w:rsidRDefault="00396D6C" w:rsidP="00295A0E">
            <w:pPr>
              <w:spacing w:line="48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2001: N=62            2004: N=139         2007: N=218         2009: N=226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Default="00396D6C" w:rsidP="00295A0E">
            <w:pPr>
              <w:spacing w:line="480" w:lineRule="auto"/>
              <w:jc w:val="center"/>
            </w:pPr>
            <w:r>
              <w:t xml:space="preserve">P-value for </w:t>
            </w:r>
          </w:p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PCV13 vs. non-PCV13 by study period</w:t>
            </w:r>
          </w:p>
          <w:p w:rsidR="00396D6C" w:rsidRPr="00BA52B5" w:rsidRDefault="00396D6C" w:rsidP="00295A0E">
            <w:pPr>
              <w:spacing w:line="480" w:lineRule="auto"/>
              <w:jc w:val="center"/>
            </w:pP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vertAlign w:val="superscript"/>
                <w:lang w:val="es-ES"/>
              </w:rPr>
            </w:pPr>
            <w:r w:rsidRPr="00BA52B5">
              <w:rPr>
                <w:lang w:val="es-ES"/>
              </w:rPr>
              <w:t>PNSP</w:t>
            </w:r>
            <w:r w:rsidRPr="00BA52B5">
              <w:rPr>
                <w:vertAlign w:val="subscript"/>
                <w:lang w:val="es-ES"/>
              </w:rPr>
              <w:t>&gt;0.06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N=</w:t>
            </w:r>
            <w:r w:rsidRPr="00BA52B5">
              <w:rPr>
                <w:color w:val="000000"/>
              </w:rPr>
              <w:t>56 (33</w:t>
            </w:r>
            <w:r>
              <w:rPr>
                <w:color w:val="000000"/>
              </w:rPr>
              <w:t>%</w:t>
            </w:r>
            <w:r w:rsidRPr="00BA52B5">
              <w:rPr>
                <w:color w:val="000000"/>
              </w:rPr>
              <w:t>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43 (48)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8 (13)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lang w:val="es-ES"/>
              </w:rPr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86 (38)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48 (57)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37 (27)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lang w:val="es-ES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107 (37)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47 (63)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60 (28)</w:t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lang w:val="es-ES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98 (34)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41 (64)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57 (25)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PNSP</w:t>
            </w:r>
            <w:r w:rsidRPr="00BA52B5">
              <w:rPr>
                <w:vertAlign w:val="subscript"/>
                <w:lang w:val="es-ES"/>
              </w:rPr>
              <w:t>&gt;2.0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19 (11)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15 (17)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 4 (6)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0.072 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vertAlign w:val="superscript"/>
                <w:lang w:val="es-ES"/>
              </w:rPr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7 (3)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7 (8)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0 (0)</w:t>
            </w:r>
          </w:p>
        </w:tc>
        <w:tc>
          <w:tcPr>
            <w:tcW w:w="2196" w:type="dxa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- </w:t>
            </w:r>
            <w:r w:rsidRPr="00BA52B5">
              <w:rPr>
                <w:vertAlign w:val="superscript"/>
              </w:rPr>
              <w:t>d</w:t>
            </w:r>
            <w:r w:rsidRPr="00BA52B5" w:rsidDel="005E6649">
              <w:t xml:space="preserve"> 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vertAlign w:val="superscript"/>
                <w:lang w:val="es-ES"/>
              </w:rPr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11 (4)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11 (15)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0 (0)</w:t>
            </w:r>
          </w:p>
        </w:tc>
        <w:tc>
          <w:tcPr>
            <w:tcW w:w="2196" w:type="dxa"/>
            <w:tcBorders>
              <w:bottom w:val="nil"/>
            </w:tcBorders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- </w:t>
            </w:r>
            <w:r w:rsidRPr="00BA52B5">
              <w:rPr>
                <w:vertAlign w:val="superscript"/>
              </w:rPr>
              <w:t>d</w:t>
            </w:r>
            <w:r w:rsidRPr="00BA52B5" w:rsidDel="005E6649">
              <w:t xml:space="preserve"> 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rPr>
                <w:vertAlign w:val="superscript"/>
                <w:lang w:val="es-ES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17 (6)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17 (27)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 xml:space="preserve"> 0 (0)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- </w:t>
            </w:r>
            <w:r w:rsidRPr="00BA52B5">
              <w:rPr>
                <w:vertAlign w:val="superscript"/>
              </w:rPr>
              <w:t>d</w:t>
            </w:r>
            <w:r w:rsidRPr="00BA52B5" w:rsidDel="005E6649">
              <w:t xml:space="preserve"> 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lastRenderedPageBreak/>
              <w:t>Erythromycin-NS</w:t>
            </w:r>
          </w:p>
        </w:tc>
        <w:tc>
          <w:tcPr>
            <w:tcW w:w="696" w:type="dxa"/>
            <w:tcBorders>
              <w:top w:val="single" w:sz="4" w:space="0" w:color="auto"/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36 (22)</w:t>
            </w:r>
          </w:p>
        </w:tc>
        <w:tc>
          <w:tcPr>
            <w:tcW w:w="2261" w:type="dxa"/>
            <w:tcBorders>
              <w:top w:val="single" w:sz="4" w:space="0" w:color="auto"/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27 (32)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 (7)</w:t>
            </w:r>
          </w:p>
        </w:tc>
        <w:tc>
          <w:tcPr>
            <w:tcW w:w="2196" w:type="dxa"/>
            <w:tcBorders>
              <w:top w:val="single" w:sz="4" w:space="0" w:color="auto"/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0.002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tcBorders>
              <w:top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tcBorders>
              <w:top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52 (23)</w:t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31 (37)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20 (14)</w:t>
            </w:r>
          </w:p>
        </w:tc>
        <w:tc>
          <w:tcPr>
            <w:tcW w:w="2196" w:type="dxa"/>
            <w:tcBorders>
              <w:top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58 (20)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22 (29)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36 (17)</w:t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0.019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83 (29)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35 (55)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48 (21)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Clindamycin-NS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7 (4)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6 (7)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0 (0)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- </w:t>
            </w:r>
            <w:r w:rsidRPr="00BA52B5">
              <w:rPr>
                <w:vertAlign w:val="superscript"/>
              </w:rPr>
              <w:t>d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21 (9)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6 (7)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15 (11)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0.461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21 (7)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8 (11)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13 (6)</w:t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0.175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29 (10)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17 (27)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12 (5)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Trimethoprim-sulfamethoxazole-NS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51 (31)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41 (48)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8 (13)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50 (22)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29 (35)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21 (15)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</w:p>
        </w:tc>
        <w:tc>
          <w:tcPr>
            <w:tcW w:w="6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57 (19)</w:t>
            </w:r>
          </w:p>
        </w:tc>
        <w:tc>
          <w:tcPr>
            <w:tcW w:w="2261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23 (31)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34 (16)</w:t>
            </w:r>
          </w:p>
        </w:tc>
        <w:tc>
          <w:tcPr>
            <w:tcW w:w="2196" w:type="dxa"/>
            <w:tcBorders>
              <w:bottom w:val="nil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0.003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58 (20)</w:t>
            </w:r>
          </w:p>
        </w:tc>
        <w:tc>
          <w:tcPr>
            <w:tcW w:w="2261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29 (45)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29 (13)</w:t>
            </w:r>
          </w:p>
        </w:tc>
        <w:tc>
          <w:tcPr>
            <w:tcW w:w="2196" w:type="dxa"/>
            <w:tcBorders>
              <w:top w:val="nil"/>
              <w:bottom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 w:val="restart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Ceftriaxone-NS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2001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11 (7)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10 (11)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 (2)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0.059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2004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 (2)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5 (6)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>0 (0)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</w:pPr>
            <w:r w:rsidRPr="00BA52B5">
              <w:t xml:space="preserve">- </w:t>
            </w:r>
            <w:r w:rsidRPr="00BA52B5">
              <w:rPr>
                <w:vertAlign w:val="superscript"/>
              </w:rPr>
              <w:t>d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2007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14 (5)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12 (16)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 (1)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&lt;.001</w:t>
            </w:r>
          </w:p>
        </w:tc>
      </w:tr>
      <w:tr w:rsidR="00396D6C" w:rsidRPr="00BA52B5" w:rsidTr="00295A0E">
        <w:trPr>
          <w:trHeight w:val="288"/>
        </w:trPr>
        <w:tc>
          <w:tcPr>
            <w:tcW w:w="3765" w:type="dxa"/>
            <w:vMerge/>
          </w:tcPr>
          <w:p w:rsidR="00396D6C" w:rsidRPr="00BA52B5" w:rsidRDefault="00396D6C" w:rsidP="00295A0E">
            <w:pPr>
              <w:spacing w:line="480" w:lineRule="auto"/>
            </w:pPr>
          </w:p>
        </w:tc>
        <w:tc>
          <w:tcPr>
            <w:tcW w:w="6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lang w:val="es-ES"/>
              </w:rPr>
            </w:pPr>
            <w:r w:rsidRPr="00BA52B5">
              <w:rPr>
                <w:lang w:val="es-ES"/>
              </w:rPr>
              <w:t>2009</w:t>
            </w:r>
          </w:p>
        </w:tc>
        <w:tc>
          <w:tcPr>
            <w:tcW w:w="2325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30 (10)</w:t>
            </w:r>
          </w:p>
        </w:tc>
        <w:tc>
          <w:tcPr>
            <w:tcW w:w="2261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23 (36)</w:t>
            </w:r>
          </w:p>
        </w:tc>
        <w:tc>
          <w:tcPr>
            <w:tcW w:w="1964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7 (3)</w:t>
            </w:r>
          </w:p>
        </w:tc>
        <w:tc>
          <w:tcPr>
            <w:tcW w:w="2196" w:type="dxa"/>
            <w:vAlign w:val="center"/>
          </w:tcPr>
          <w:p w:rsidR="00396D6C" w:rsidRPr="00BA52B5" w:rsidRDefault="00396D6C" w:rsidP="00295A0E">
            <w:pPr>
              <w:spacing w:line="480" w:lineRule="auto"/>
              <w:jc w:val="center"/>
              <w:rPr>
                <w:color w:val="000000"/>
              </w:rPr>
            </w:pPr>
            <w:r w:rsidRPr="00BA52B5">
              <w:rPr>
                <w:color w:val="000000"/>
              </w:rPr>
              <w:t>&lt;.0001</w:t>
            </w:r>
          </w:p>
        </w:tc>
      </w:tr>
    </w:tbl>
    <w:p w:rsidR="00396D6C" w:rsidRDefault="00396D6C" w:rsidP="00396D6C">
      <w:pPr>
        <w:spacing w:line="480" w:lineRule="auto"/>
      </w:pPr>
      <w:r w:rsidRPr="00BA52B5">
        <w:rPr>
          <w:vertAlign w:val="superscript"/>
        </w:rPr>
        <w:lastRenderedPageBreak/>
        <w:t>a</w:t>
      </w:r>
      <w:r w:rsidRPr="00BA52B5">
        <w:t xml:space="preserve"> Antibiotic abbreviations are as follows: PNSP (penicillin non-susceptible </w:t>
      </w:r>
      <w:r w:rsidRPr="00BA52B5">
        <w:rPr>
          <w:i/>
        </w:rPr>
        <w:t>Streptococcus pneumoniae</w:t>
      </w:r>
      <w:r w:rsidRPr="00BA52B5">
        <w:t>), PCN (penicillin), I (intermediate-susceptibility), R (resistant), NS (non-susceptible).  The following breakpoints were used: PNSP</w:t>
      </w:r>
      <w:r w:rsidRPr="00BA52B5">
        <w:rPr>
          <w:vertAlign w:val="subscript"/>
        </w:rPr>
        <w:t xml:space="preserve">&gt;0.06 </w:t>
      </w:r>
      <w:r w:rsidRPr="00BA52B5">
        <w:t xml:space="preserve">, erythromycin-NS (&gt;0.25), clindamycin-NS (&gt;0.5), trimethoprim-sulfamethoxazole-NS, (&gt;0.5), and ceftriaxone-NS (&gt;1.0). </w:t>
      </w:r>
    </w:p>
    <w:p w:rsidR="00396D6C" w:rsidRPr="00BA52B5" w:rsidRDefault="00396D6C" w:rsidP="00396D6C">
      <w:pPr>
        <w:spacing w:line="480" w:lineRule="auto"/>
      </w:pPr>
      <w:r w:rsidRPr="00BA52B5">
        <w:rPr>
          <w:vertAlign w:val="superscript"/>
        </w:rPr>
        <w:t>b</w:t>
      </w:r>
      <w:r w:rsidRPr="00BA52B5">
        <w:t xml:space="preserve"> 2001 isolates, total </w:t>
      </w:r>
      <w:r>
        <w:t>N</w:t>
      </w:r>
      <w:r w:rsidRPr="00BA52B5">
        <w:t xml:space="preserve"> fluctuates (</w:t>
      </w:r>
      <w:r>
        <w:t>N</w:t>
      </w:r>
      <w:r w:rsidRPr="00BA52B5">
        <w:t>=161-168) based on available susceptibility data. Additionally, 17 were missing serotype</w:t>
      </w:r>
      <w:r>
        <w:t>.</w:t>
      </w:r>
      <w:r w:rsidRPr="00BA52B5">
        <w:t xml:space="preserve">  </w:t>
      </w:r>
    </w:p>
    <w:p w:rsidR="00396D6C" w:rsidRPr="00BA52B5" w:rsidRDefault="00396D6C" w:rsidP="00396D6C">
      <w:pPr>
        <w:spacing w:line="480" w:lineRule="auto"/>
      </w:pPr>
      <w:r w:rsidRPr="00BA52B5">
        <w:rPr>
          <w:vertAlign w:val="superscript"/>
        </w:rPr>
        <w:t>c</w:t>
      </w:r>
      <w:r w:rsidRPr="00BA52B5">
        <w:t xml:space="preserve"> 2004 isolates, 5 were missing serotype</w:t>
      </w:r>
      <w:r>
        <w:t>.</w:t>
      </w:r>
      <w:r w:rsidRPr="00BA52B5">
        <w:t xml:space="preserve"> </w:t>
      </w:r>
    </w:p>
    <w:p w:rsidR="00396D6C" w:rsidRPr="00BA52B5" w:rsidRDefault="00396D6C" w:rsidP="00396D6C">
      <w:pPr>
        <w:spacing w:line="480" w:lineRule="auto"/>
        <w:rPr>
          <w:vertAlign w:val="subscript"/>
        </w:rPr>
      </w:pPr>
      <w:r w:rsidRPr="00BA52B5">
        <w:rPr>
          <w:vertAlign w:val="superscript"/>
        </w:rPr>
        <w:t>d</w:t>
      </w:r>
      <w:r w:rsidRPr="00BA52B5">
        <w:t xml:space="preserve"> GLMM model did not converge due to </w:t>
      </w:r>
      <w:r>
        <w:t>zero cells.</w:t>
      </w:r>
    </w:p>
    <w:p w:rsidR="00C14F78" w:rsidRDefault="00C14F78"/>
    <w:sectPr w:rsidR="00C14F78" w:rsidSect="002E2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28" w:rsidRDefault="00AC3E28" w:rsidP="002E2415">
      <w:r>
        <w:separator/>
      </w:r>
    </w:p>
  </w:endnote>
  <w:endnote w:type="continuationSeparator" w:id="0">
    <w:p w:rsidR="00AC3E28" w:rsidRDefault="00AC3E28" w:rsidP="002E2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5" w:rsidRDefault="002E24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94614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E2415" w:rsidRDefault="00D7692F">
        <w:pPr>
          <w:pStyle w:val="Footer"/>
          <w:jc w:val="right"/>
        </w:pPr>
        <w:r>
          <w:fldChar w:fldCharType="begin"/>
        </w:r>
        <w:r w:rsidR="002E2415">
          <w:instrText xml:space="preserve"> PAGE   \* MERGEFORMAT </w:instrText>
        </w:r>
        <w:r>
          <w:fldChar w:fldCharType="separate"/>
        </w:r>
        <w:r w:rsidR="0073091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2E2415" w:rsidRDefault="002E24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5" w:rsidRDefault="002E2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28" w:rsidRDefault="00AC3E28" w:rsidP="002E2415">
      <w:r>
        <w:separator/>
      </w:r>
    </w:p>
  </w:footnote>
  <w:footnote w:type="continuationSeparator" w:id="0">
    <w:p w:rsidR="00AC3E28" w:rsidRDefault="00AC3E28" w:rsidP="002E2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5" w:rsidRDefault="002E2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5" w:rsidRDefault="002E24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15" w:rsidRDefault="002E24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D6C"/>
    <w:rsid w:val="002E2415"/>
    <w:rsid w:val="00396D6C"/>
    <w:rsid w:val="00730918"/>
    <w:rsid w:val="00AC3E28"/>
    <w:rsid w:val="00C14F78"/>
    <w:rsid w:val="00D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4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4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AmyNewman</cp:lastModifiedBy>
  <cp:revision>2</cp:revision>
  <dcterms:created xsi:type="dcterms:W3CDTF">2011-10-25T02:32:00Z</dcterms:created>
  <dcterms:modified xsi:type="dcterms:W3CDTF">2011-10-25T02:32:00Z</dcterms:modified>
</cp:coreProperties>
</file>