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CC" w:rsidRPr="00AB1CD3" w:rsidRDefault="00B5442C" w:rsidP="00F13530">
      <w:pPr>
        <w:pStyle w:val="diadascalia1"/>
        <w:rPr>
          <w:rFonts w:ascii="Times" w:hAnsi="Times"/>
          <w:lang w:val="en-GB"/>
        </w:rPr>
      </w:pPr>
      <w:r>
        <w:rPr>
          <w:rFonts w:ascii="Times" w:hAnsi="Times"/>
          <w:lang w:val="en-GB"/>
        </w:rPr>
        <w:t>SDC</w:t>
      </w:r>
      <w:r w:rsidR="00EA5D00" w:rsidRPr="00AB1CD3">
        <w:rPr>
          <w:rFonts w:ascii="Times" w:hAnsi="Times"/>
          <w:lang w:val="en-GB"/>
        </w:rPr>
        <w:t xml:space="preserve"> 1 – Degree of agreement with the introduction of cocooning.</w:t>
      </w:r>
    </w:p>
    <w:tbl>
      <w:tblPr>
        <w:tblW w:w="5003" w:type="pct"/>
        <w:tblLayout w:type="fixed"/>
        <w:tblCellMar>
          <w:left w:w="70" w:type="dxa"/>
          <w:right w:w="70" w:type="dxa"/>
        </w:tblCellMar>
        <w:tblLook w:val="04A0"/>
      </w:tblPr>
      <w:tblGrid>
        <w:gridCol w:w="3866"/>
        <w:gridCol w:w="1030"/>
        <w:gridCol w:w="1031"/>
        <w:gridCol w:w="1031"/>
        <w:gridCol w:w="1031"/>
        <w:gridCol w:w="1031"/>
        <w:gridCol w:w="1025"/>
      </w:tblGrid>
      <w:tr w:rsidR="00F13530" w:rsidRPr="00AB1CD3">
        <w:trPr>
          <w:trHeight w:val="20"/>
        </w:trPr>
        <w:tc>
          <w:tcPr>
            <w:tcW w:w="1925" w:type="pct"/>
            <w:tcBorders>
              <w:top w:val="nil"/>
              <w:left w:val="nil"/>
              <w:bottom w:val="nil"/>
              <w:right w:val="nil"/>
            </w:tcBorders>
            <w:shd w:val="clear" w:color="auto" w:fill="auto"/>
            <w:vAlign w:val="bottom"/>
          </w:tcPr>
          <w:p w:rsidR="00F13530" w:rsidRPr="00AB1CD3" w:rsidRDefault="00F13530" w:rsidP="00F13530">
            <w:pPr>
              <w:spacing w:before="0" w:line="240" w:lineRule="auto"/>
              <w:rPr>
                <w:rFonts w:ascii="Times" w:eastAsia="Times New Roman" w:hAnsi="Times"/>
                <w:sz w:val="20"/>
                <w:szCs w:val="16"/>
                <w:lang w:val="en-GB"/>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right"/>
              <w:rPr>
                <w:rFonts w:ascii="Times" w:eastAsia="Times New Roman" w:hAnsi="Times"/>
                <w:b/>
                <w:sz w:val="20"/>
                <w:szCs w:val="14"/>
                <w:lang w:val="en-GB"/>
              </w:rPr>
            </w:pPr>
            <w:r w:rsidRPr="00AB1CD3">
              <w:rPr>
                <w:rFonts w:ascii="Times" w:eastAsia="Times New Roman" w:hAnsi="Times"/>
                <w:b/>
                <w:sz w:val="20"/>
                <w:szCs w:val="14"/>
                <w:lang w:val="en-GB"/>
              </w:rPr>
              <w:t>Complete agree</w:t>
            </w:r>
          </w:p>
        </w:tc>
        <w:tc>
          <w:tcPr>
            <w:tcW w:w="513" w:type="pct"/>
            <w:tcBorders>
              <w:top w:val="single" w:sz="4" w:space="0" w:color="auto"/>
              <w:left w:val="nil"/>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right"/>
              <w:rPr>
                <w:rFonts w:ascii="Times" w:eastAsia="Times New Roman" w:hAnsi="Times"/>
                <w:b/>
                <w:sz w:val="20"/>
                <w:szCs w:val="14"/>
                <w:lang w:val="en-GB"/>
              </w:rPr>
            </w:pPr>
            <w:r w:rsidRPr="00AB1CD3">
              <w:rPr>
                <w:rFonts w:ascii="Times" w:eastAsia="Times New Roman" w:hAnsi="Times"/>
                <w:b/>
                <w:sz w:val="20"/>
                <w:szCs w:val="14"/>
                <w:lang w:val="en-GB"/>
              </w:rPr>
              <w:t>Partial agree</w:t>
            </w:r>
          </w:p>
        </w:tc>
        <w:tc>
          <w:tcPr>
            <w:tcW w:w="513" w:type="pct"/>
            <w:tcBorders>
              <w:top w:val="single" w:sz="4" w:space="0" w:color="auto"/>
              <w:left w:val="nil"/>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right"/>
              <w:rPr>
                <w:rFonts w:ascii="Times" w:eastAsia="Times New Roman" w:hAnsi="Times"/>
                <w:b/>
                <w:sz w:val="20"/>
                <w:szCs w:val="14"/>
                <w:lang w:val="en-GB"/>
              </w:rPr>
            </w:pPr>
            <w:r w:rsidRPr="00AB1CD3">
              <w:rPr>
                <w:rFonts w:ascii="Times" w:eastAsia="Times New Roman" w:hAnsi="Times"/>
                <w:b/>
                <w:sz w:val="20"/>
                <w:szCs w:val="14"/>
                <w:lang w:val="en-GB"/>
              </w:rPr>
              <w:t>Partial disagree</w:t>
            </w:r>
          </w:p>
        </w:tc>
        <w:tc>
          <w:tcPr>
            <w:tcW w:w="513" w:type="pct"/>
            <w:tcBorders>
              <w:top w:val="single" w:sz="4" w:space="0" w:color="auto"/>
              <w:left w:val="nil"/>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right"/>
              <w:rPr>
                <w:rFonts w:ascii="Times" w:eastAsia="Times New Roman" w:hAnsi="Times"/>
                <w:b/>
                <w:sz w:val="20"/>
                <w:szCs w:val="14"/>
                <w:lang w:val="en-GB"/>
              </w:rPr>
            </w:pPr>
            <w:r w:rsidRPr="00AB1CD3">
              <w:rPr>
                <w:rFonts w:ascii="Times" w:eastAsia="Times New Roman" w:hAnsi="Times"/>
                <w:b/>
                <w:sz w:val="20"/>
                <w:szCs w:val="14"/>
                <w:lang w:val="en-GB"/>
              </w:rPr>
              <w:t>Complete disagree</w:t>
            </w:r>
          </w:p>
        </w:tc>
        <w:tc>
          <w:tcPr>
            <w:tcW w:w="513" w:type="pct"/>
            <w:tcBorders>
              <w:top w:val="single" w:sz="4" w:space="0" w:color="auto"/>
              <w:left w:val="nil"/>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right"/>
              <w:rPr>
                <w:rFonts w:ascii="Times" w:eastAsia="Times New Roman" w:hAnsi="Times"/>
                <w:b/>
                <w:sz w:val="20"/>
                <w:szCs w:val="14"/>
                <w:lang w:val="en-GB"/>
              </w:rPr>
            </w:pPr>
            <w:r w:rsidRPr="00AB1CD3">
              <w:rPr>
                <w:rFonts w:ascii="Times" w:eastAsia="Times New Roman" w:hAnsi="Times"/>
                <w:b/>
                <w:sz w:val="20"/>
                <w:szCs w:val="14"/>
                <w:lang w:val="en-GB"/>
              </w:rPr>
              <w:t xml:space="preserve">I don’t know </w:t>
            </w:r>
          </w:p>
        </w:tc>
        <w:tc>
          <w:tcPr>
            <w:tcW w:w="510" w:type="pct"/>
            <w:tcBorders>
              <w:top w:val="single" w:sz="4" w:space="0" w:color="auto"/>
              <w:left w:val="nil"/>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right"/>
              <w:rPr>
                <w:rFonts w:ascii="Times" w:eastAsia="Times New Roman" w:hAnsi="Times"/>
                <w:b/>
                <w:sz w:val="20"/>
                <w:szCs w:val="14"/>
                <w:lang w:val="en-GB"/>
              </w:rPr>
            </w:pPr>
            <w:r w:rsidRPr="00AB1CD3">
              <w:rPr>
                <w:rFonts w:ascii="Times" w:eastAsia="Times New Roman" w:hAnsi="Times"/>
                <w:b/>
                <w:sz w:val="20"/>
                <w:szCs w:val="14"/>
                <w:lang w:val="en-GB"/>
              </w:rPr>
              <w:t>No answer</w:t>
            </w:r>
          </w:p>
        </w:tc>
      </w:tr>
      <w:tr w:rsidR="00F13530" w:rsidRPr="00AB1CD3">
        <w:trPr>
          <w:trHeight w:val="20"/>
        </w:trPr>
        <w:tc>
          <w:tcPr>
            <w:tcW w:w="1925" w:type="pct"/>
            <w:tcBorders>
              <w:top w:val="nil"/>
              <w:left w:val="nil"/>
              <w:bottom w:val="nil"/>
              <w:right w:val="nil"/>
            </w:tcBorders>
            <w:shd w:val="clear" w:color="auto" w:fill="auto"/>
            <w:noWrap/>
            <w:vAlign w:val="bottom"/>
          </w:tcPr>
          <w:p w:rsidR="00F13530" w:rsidRPr="00AB1CD3" w:rsidRDefault="00F13530" w:rsidP="00F13530">
            <w:pPr>
              <w:spacing w:before="0" w:line="240" w:lineRule="auto"/>
              <w:rPr>
                <w:rFonts w:ascii="Times" w:eastAsia="Times New Roman" w:hAnsi="Times"/>
                <w:sz w:val="20"/>
                <w:szCs w:val="16"/>
                <w:lang w:val="en-GB"/>
              </w:rPr>
            </w:pPr>
          </w:p>
        </w:tc>
        <w:tc>
          <w:tcPr>
            <w:tcW w:w="513" w:type="pct"/>
            <w:tcBorders>
              <w:top w:val="nil"/>
              <w:left w:val="single" w:sz="4" w:space="0" w:color="auto"/>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N (%)</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N (%)</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N (%)</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N (%)</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N (%)</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N (%)</w:t>
            </w:r>
          </w:p>
        </w:tc>
      </w:tr>
      <w:tr w:rsidR="00F13530" w:rsidRPr="00AB1CD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13530" w:rsidRPr="00AB1CD3" w:rsidRDefault="00F13530" w:rsidP="00F13530">
            <w:pPr>
              <w:spacing w:before="0" w:line="240" w:lineRule="auto"/>
              <w:rPr>
                <w:rFonts w:ascii="Times" w:eastAsia="Times New Roman" w:hAnsi="Times"/>
                <w:sz w:val="20"/>
                <w:szCs w:val="16"/>
                <w:lang w:val="en-GB"/>
              </w:rPr>
            </w:pPr>
            <w:r w:rsidRPr="00AB1CD3">
              <w:rPr>
                <w:rFonts w:ascii="Times" w:eastAsia="Times New Roman" w:hAnsi="Times"/>
                <w:sz w:val="20"/>
                <w:szCs w:val="16"/>
                <w:lang w:val="en-GB"/>
              </w:rPr>
              <w:t>Section 1</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Q.1 - Pertussis is a still common disease in Italy, particularly in adolescent and adults</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57 (53.77)</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28 (26.42)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7 (6.60)</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6 (5.66)</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5 (4.72)</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center"/>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Q.2 - The incidence of Pertussis in Italy is largely underestimated</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83 (78.30)</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12 (11.32)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 (1.89)</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6 (5.66)</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Q.3 - Pertussis in infants can be fatal and requires hospitalization in the majority of cases</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81 (76.42)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13 (12.26)</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6 (5.66)</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 (1.89)</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 (3.77)</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Q.4 - Hundreds of children &lt;1 year are hospitalized for pertussis in Italy every year</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53 (50.00)</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15 (14.15)</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7 (6.60)</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5 (4.72)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20 (18.87)</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6 (5.66)</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Q.5 - Parents are the primary source of infection in unprotected infants</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71 (66.98)</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20 (18.9)</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 (1.89)</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 (3.77)</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6 (5.66)</w:t>
            </w:r>
          </w:p>
        </w:tc>
      </w:tr>
      <w:tr w:rsidR="00F13530" w:rsidRPr="00AB1CD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13530" w:rsidRPr="00AB1CD3" w:rsidRDefault="00F13530" w:rsidP="00F13530">
            <w:pPr>
              <w:spacing w:before="0" w:line="240" w:lineRule="auto"/>
              <w:rPr>
                <w:rFonts w:ascii="Times" w:eastAsia="Times New Roman" w:hAnsi="Times"/>
                <w:sz w:val="20"/>
                <w:szCs w:val="16"/>
                <w:lang w:val="en-GB"/>
              </w:rPr>
            </w:pPr>
            <w:r w:rsidRPr="00AB1CD3">
              <w:rPr>
                <w:rFonts w:ascii="Times" w:eastAsia="Times New Roman" w:hAnsi="Times"/>
                <w:sz w:val="20"/>
                <w:szCs w:val="16"/>
                <w:lang w:val="en-GB"/>
              </w:rPr>
              <w:t>Section 2</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Q.6 - Cocooning is the most efficacious strategy to protect newborns against pertussis</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81 (76.42)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14 (13.21)</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 (7.55)</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 xml:space="preserve">Q.7 - Cocoon strategy is recommended in several Countries such as USA, Belgium, France and Germany. Tdap vaccination in adults is advised by the Italian Society of Hygiene, Preventive Medicine and Public Health </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77 (72.64)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15 (14.15)</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 (3.77)</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 (7.55)</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Q.8 - The introduction of cocoon could improve the vaccination coverage for Tdap in adults</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77 (72.64)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12 (11.32)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 (3.77)</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9 (8.49)</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Q.9 - The strategy appears cost-effective and cost-saving even if only parents are immunized</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59 (55.66)</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23 (21.70)</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 (1.89)</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9 (8.49)</w:t>
            </w:r>
          </w:p>
        </w:tc>
        <w:tc>
          <w:tcPr>
            <w:tcW w:w="510"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10 (9.43)</w:t>
            </w:r>
          </w:p>
        </w:tc>
      </w:tr>
      <w:tr w:rsidR="00F13530" w:rsidRPr="00AB1CD3">
        <w:trPr>
          <w:trHeight w:val="20"/>
        </w:trPr>
        <w:tc>
          <w:tcPr>
            <w:tcW w:w="1925" w:type="pct"/>
            <w:tcBorders>
              <w:top w:val="single" w:sz="4" w:space="0" w:color="auto"/>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 xml:space="preserve">Q.10 - National Health Service should offer Tdap vaccination free of charge to the future parents </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88 (83.02)</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 (1.89)</w:t>
            </w:r>
          </w:p>
        </w:tc>
        <w:tc>
          <w:tcPr>
            <w:tcW w:w="512" w:type="pct"/>
            <w:tcBorders>
              <w:top w:val="single" w:sz="4" w:space="0" w:color="auto"/>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10 (9.43)</w:t>
            </w:r>
          </w:p>
        </w:tc>
      </w:tr>
      <w:tr w:rsidR="00F13530" w:rsidRPr="00AB1CD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13530" w:rsidRPr="00AB1CD3" w:rsidRDefault="00F13530" w:rsidP="00F13530">
            <w:pPr>
              <w:spacing w:before="0" w:line="240" w:lineRule="auto"/>
              <w:rPr>
                <w:rFonts w:ascii="Times" w:eastAsia="Times New Roman" w:hAnsi="Times"/>
                <w:sz w:val="20"/>
                <w:szCs w:val="16"/>
                <w:lang w:val="en-GB"/>
              </w:rPr>
            </w:pPr>
            <w:r w:rsidRPr="00AB1CD3">
              <w:rPr>
                <w:rFonts w:ascii="Times" w:eastAsia="Times New Roman" w:hAnsi="Times"/>
                <w:sz w:val="20"/>
                <w:szCs w:val="16"/>
                <w:lang w:val="en-GB"/>
              </w:rPr>
              <w:t xml:space="preserve">Section 3 </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Q.11 - LHU Prevention Departments should  promote and coordinate locally the cocoon strategy</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80 (75.47)</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12 (11.32)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 (3.77)</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1"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9 (8.49)</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Q.12 - LHU Vaccination Services should administer Tdap to close contacts of newborns</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75 (70.75)</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19 (17.92)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 (1.89)</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1"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9 (8.49)</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 xml:space="preserve">Q.13 - General Practitioners and Family Paediatricians play a central role in promoting cocooning </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80 (75.47)</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12 (11.32)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 (0.94)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1"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10 (9.43)</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 xml:space="preserve">Q.14 - Tdap vaccination should be offered first to parents and afterwards to close contacts </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47 (44.34)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40 (37.74)</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5 (4.72)</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 (3.77)</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1"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10 (9.43)</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Q.15 - It is not possible to define a single cocoon strategy at a national level</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63 (59.43)</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19 (17.92)</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9 (8.49)</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4 (3.77)</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11 (10.38)</w:t>
            </w:r>
          </w:p>
        </w:tc>
      </w:tr>
      <w:tr w:rsidR="00F13530" w:rsidRPr="00AB1CD3">
        <w:trPr>
          <w:trHeight w:val="20"/>
        </w:trPr>
        <w:tc>
          <w:tcPr>
            <w:tcW w:w="1925" w:type="pct"/>
            <w:tcBorders>
              <w:top w:val="nil"/>
              <w:left w:val="single" w:sz="4" w:space="0" w:color="auto"/>
              <w:bottom w:val="single" w:sz="4" w:space="0" w:color="auto"/>
              <w:right w:val="single" w:sz="4" w:space="0" w:color="auto"/>
            </w:tcBorders>
            <w:shd w:val="clear" w:color="auto" w:fill="auto"/>
            <w:vAlign w:val="bottom"/>
          </w:tcPr>
          <w:p w:rsidR="00F13530" w:rsidRPr="00AB1CD3" w:rsidRDefault="00F13530" w:rsidP="00F13530">
            <w:pPr>
              <w:spacing w:before="0" w:line="240" w:lineRule="auto"/>
              <w:jc w:val="left"/>
              <w:rPr>
                <w:rFonts w:ascii="Times" w:eastAsia="Times New Roman" w:hAnsi="Times"/>
                <w:sz w:val="20"/>
                <w:szCs w:val="16"/>
                <w:lang w:val="en-GB"/>
              </w:rPr>
            </w:pPr>
            <w:r w:rsidRPr="00AB1CD3">
              <w:rPr>
                <w:rFonts w:ascii="Times" w:eastAsia="Times New Roman" w:hAnsi="Times"/>
                <w:sz w:val="20"/>
                <w:szCs w:val="16"/>
                <w:lang w:val="en-GB"/>
              </w:rPr>
              <w:t>Q.16 - Tdap should be offered to parents by Family Paediatricians at the first visit of newborns and by Vaccination Health Care Workers at the first appointment for primary vaccination cycle</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70 (66.04)</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20 (18.87)</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5 (4.72)</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3 (2.83)</w:t>
            </w:r>
          </w:p>
        </w:tc>
        <w:tc>
          <w:tcPr>
            <w:tcW w:w="512"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w:t>
            </w:r>
          </w:p>
        </w:tc>
        <w:tc>
          <w:tcPr>
            <w:tcW w:w="513" w:type="pct"/>
            <w:tcBorders>
              <w:top w:val="nil"/>
              <w:left w:val="nil"/>
              <w:bottom w:val="single" w:sz="4" w:space="0" w:color="auto"/>
              <w:right w:val="single" w:sz="4" w:space="0" w:color="auto"/>
            </w:tcBorders>
            <w:shd w:val="clear" w:color="auto" w:fill="auto"/>
            <w:noWrap/>
            <w:vAlign w:val="center"/>
          </w:tcPr>
          <w:p w:rsidR="00F13530" w:rsidRPr="00AB1CD3" w:rsidRDefault="00F13530" w:rsidP="00F13530">
            <w:pPr>
              <w:spacing w:before="0" w:line="240" w:lineRule="auto"/>
              <w:jc w:val="right"/>
              <w:rPr>
                <w:rFonts w:ascii="Times" w:eastAsia="Times New Roman" w:hAnsi="Times"/>
                <w:sz w:val="20"/>
                <w:szCs w:val="16"/>
                <w:lang w:val="en-GB"/>
              </w:rPr>
            </w:pPr>
            <w:r w:rsidRPr="00AB1CD3">
              <w:rPr>
                <w:rFonts w:ascii="Times" w:eastAsia="Times New Roman" w:hAnsi="Times"/>
                <w:sz w:val="20"/>
                <w:szCs w:val="16"/>
                <w:lang w:val="en-GB"/>
              </w:rPr>
              <w:t>8 (7.55)</w:t>
            </w:r>
          </w:p>
        </w:tc>
      </w:tr>
    </w:tbl>
    <w:p w:rsidR="00F13530" w:rsidRDefault="00F13530" w:rsidP="00F13530"/>
    <w:sectPr w:rsidR="00F13530" w:rsidSect="00EA5D00">
      <w:pgSz w:w="11906" w:h="16838"/>
      <w:pgMar w:top="720" w:right="720" w:bottom="720" w:left="720" w:header="720" w:footer="720" w:gutter="567"/>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hyphenationZone w:val="283"/>
  <w:drawingGridHorizontalSpacing w:val="120"/>
  <w:displayHorizontalDrawingGridEvery w:val="0"/>
  <w:displayVerticalDrawingGridEvery w:val="0"/>
  <w:noPunctuationKerning/>
  <w:characterSpacingControl w:val="doNotCompress"/>
  <w:doNotValidateAgainstSchema/>
  <w:doNotDemarcateInvalidXml/>
  <w:compat/>
  <w:rsids>
    <w:rsidRoot w:val="003835CC"/>
    <w:rsid w:val="003835CC"/>
    <w:rsid w:val="005364ED"/>
    <w:rsid w:val="00B3587A"/>
    <w:rsid w:val="00B5442C"/>
    <w:rsid w:val="00EA5D00"/>
    <w:rsid w:val="00F1353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35CC"/>
    <w:pPr>
      <w:suppressLineNumbers/>
      <w:spacing w:before="120" w:line="360" w:lineRule="auto"/>
      <w:jc w:val="both"/>
    </w:pPr>
    <w:rPr>
      <w:rFonts w:ascii="Calibri" w:eastAsia="Times" w:hAnsi="Calibri"/>
      <w:sz w:val="24"/>
      <w:szCs w:val="24"/>
      <w:lang w:val="it-IT" w:eastAsia="it-IT"/>
    </w:rPr>
  </w:style>
  <w:style w:type="paragraph" w:styleId="Heading1">
    <w:name w:val="heading 1"/>
    <w:basedOn w:val="Normal"/>
    <w:next w:val="Normal"/>
    <w:link w:val="Heading1Char"/>
    <w:qFormat/>
    <w:rsid w:val="008F766D"/>
    <w:pPr>
      <w:keepNext/>
      <w:keepLines/>
      <w:spacing w:before="480"/>
      <w:outlineLvl w:val="0"/>
    </w:pPr>
    <w:rPr>
      <w:rFonts w:eastAsia="Times New Roman"/>
      <w:b/>
      <w:bCs/>
      <w:sz w:val="32"/>
      <w:szCs w:val="32"/>
      <w:lang w:eastAsia="en-US"/>
    </w:rPr>
  </w:style>
  <w:style w:type="paragraph" w:styleId="Heading2">
    <w:name w:val="heading 2"/>
    <w:basedOn w:val="Normal"/>
    <w:next w:val="Normal"/>
    <w:link w:val="Heading2Char"/>
    <w:uiPriority w:val="9"/>
    <w:qFormat/>
    <w:rsid w:val="00A11218"/>
    <w:pPr>
      <w:keepNext/>
      <w:keepLines/>
      <w:spacing w:before="200"/>
      <w:outlineLvl w:val="1"/>
    </w:pPr>
    <w:rPr>
      <w:rFonts w:eastAsia="Times New Roman"/>
      <w:b/>
      <w:bCs/>
      <w:i/>
      <w:sz w:val="26"/>
      <w:szCs w:val="26"/>
    </w:rPr>
  </w:style>
  <w:style w:type="paragraph" w:styleId="Heading3">
    <w:name w:val="heading 3"/>
    <w:basedOn w:val="Normal"/>
    <w:next w:val="Normal"/>
    <w:link w:val="Heading3Char"/>
    <w:qFormat/>
    <w:rsid w:val="00A11218"/>
    <w:pPr>
      <w:keepNext/>
      <w:keepLines/>
      <w:spacing w:before="200"/>
      <w:outlineLvl w:val="2"/>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dascalia1">
    <w:name w:val="didascalia_1"/>
    <w:basedOn w:val="Normal"/>
    <w:next w:val="Normal"/>
    <w:rsid w:val="00933918"/>
    <w:rPr>
      <w:b/>
    </w:rPr>
  </w:style>
  <w:style w:type="paragraph" w:styleId="BalloonText">
    <w:name w:val="Balloon Text"/>
    <w:basedOn w:val="Normal"/>
    <w:semiHidden/>
    <w:rsid w:val="00A76118"/>
    <w:rPr>
      <w:rFonts w:ascii="Lucida Grande" w:hAnsi="Lucida Grande"/>
      <w:sz w:val="18"/>
      <w:szCs w:val="18"/>
    </w:rPr>
  </w:style>
  <w:style w:type="paragraph" w:customStyle="1" w:styleId="diadascalia1">
    <w:name w:val="diadascalia_1"/>
    <w:basedOn w:val="Normal"/>
    <w:rsid w:val="00E02CCF"/>
    <w:rPr>
      <w:b/>
    </w:rPr>
  </w:style>
  <w:style w:type="table" w:styleId="TableGrid">
    <w:name w:val="Table Grid"/>
    <w:basedOn w:val="TableNormal"/>
    <w:uiPriority w:val="59"/>
    <w:rsid w:val="00032D6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11218"/>
    <w:rPr>
      <w:rFonts w:ascii="Calibri" w:eastAsia="Times New Roman" w:hAnsi="Calibri" w:cs="Times New Roman"/>
      <w:b/>
      <w:bCs/>
      <w:i/>
      <w:sz w:val="26"/>
      <w:szCs w:val="26"/>
    </w:rPr>
  </w:style>
  <w:style w:type="character" w:customStyle="1" w:styleId="Heading3Char">
    <w:name w:val="Heading 3 Char"/>
    <w:basedOn w:val="DefaultParagraphFont"/>
    <w:link w:val="Heading3"/>
    <w:rsid w:val="00A11218"/>
    <w:rPr>
      <w:rFonts w:ascii="Calibri" w:eastAsia="Times New Roman" w:hAnsi="Calibri" w:cs="Times New Roman"/>
      <w:b/>
      <w:bCs/>
    </w:rPr>
  </w:style>
  <w:style w:type="character" w:customStyle="1" w:styleId="Heading1Char">
    <w:name w:val="Heading 1 Char"/>
    <w:basedOn w:val="DefaultParagraphFont"/>
    <w:link w:val="Heading1"/>
    <w:rsid w:val="008F766D"/>
    <w:rPr>
      <w:rFonts w:ascii="Calibri" w:eastAsia="Times New Roman"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igiene</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martinelli</dc:creator>
  <cp:lastModifiedBy>WeisenrE</cp:lastModifiedBy>
  <cp:revision>2</cp:revision>
  <dcterms:created xsi:type="dcterms:W3CDTF">2012-07-31T18:53:00Z</dcterms:created>
  <dcterms:modified xsi:type="dcterms:W3CDTF">2012-07-31T18:53:00Z</dcterms:modified>
</cp:coreProperties>
</file>