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D351" w14:textId="25E65980" w:rsidR="00B14831" w:rsidRPr="00372B05" w:rsidRDefault="00B14831" w:rsidP="00DF7CF4">
      <w:pPr>
        <w:spacing w:after="120"/>
        <w:rPr>
          <w:b/>
          <w:lang w:val="en-US"/>
        </w:rPr>
      </w:pPr>
      <w:bookmarkStart w:id="0" w:name="_Hlk53564917"/>
      <w:r w:rsidRPr="00372B05">
        <w:rPr>
          <w:b/>
          <w:lang w:val="en-US"/>
        </w:rPr>
        <w:t xml:space="preserve">Supplemental </w:t>
      </w:r>
      <w:r w:rsidR="00372B05" w:rsidRPr="00372B05">
        <w:rPr>
          <w:b/>
          <w:lang w:val="en-US"/>
        </w:rPr>
        <w:t>Digital Content</w:t>
      </w:r>
      <w:r w:rsidRPr="00372B05">
        <w:rPr>
          <w:b/>
          <w:lang w:val="en-US"/>
        </w:rPr>
        <w:t xml:space="preserve"> 2</w:t>
      </w:r>
      <w:r w:rsidRPr="00372B05">
        <w:rPr>
          <w:bCs/>
          <w:lang w:val="en-US"/>
        </w:rPr>
        <w:t>. Sensitivity analysis of diarrhea variable</w:t>
      </w:r>
      <w:r w:rsidR="001C7788" w:rsidRPr="00372B05">
        <w:rPr>
          <w:bCs/>
          <w:lang w:val="en-US"/>
        </w:rPr>
        <w:t xml:space="preserve"> </w:t>
      </w:r>
      <w:r w:rsidRPr="00372B05">
        <w:rPr>
          <w:bCs/>
          <w:lang w:val="en-US"/>
        </w:rPr>
        <w:t>comparing different definitions of diarrhea for analysis of infant secretor status, maternal secretor status, and breastfeeding on diarrheal illness from birth to 18 months of age in the ALSPAC cohort</w:t>
      </w:r>
    </w:p>
    <w:tbl>
      <w:tblPr>
        <w:tblStyle w:val="TableGrid"/>
        <w:tblW w:w="9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984"/>
        <w:gridCol w:w="1868"/>
      </w:tblGrid>
      <w:tr w:rsidR="000B05E4" w:rsidRPr="00372B05" w14:paraId="4D53576F" w14:textId="77777777" w:rsidTr="00945F2A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bookmarkEnd w:id="0"/>
          <w:p w14:paraId="58EFAC95" w14:textId="6266ECC4" w:rsidR="000B05E4" w:rsidRPr="00372B05" w:rsidRDefault="000B05E4" w:rsidP="00DF7CF4">
            <w:pPr>
              <w:rPr>
                <w:sz w:val="21"/>
                <w:szCs w:val="21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 xml:space="preserve">Maternal-Infant </w:t>
            </w:r>
            <w:r w:rsidRPr="00372B05">
              <w:rPr>
                <w:b/>
                <w:i/>
                <w:iCs/>
                <w:sz w:val="20"/>
                <w:szCs w:val="20"/>
                <w:lang w:val="en-US"/>
              </w:rPr>
              <w:t xml:space="preserve">FUT2 </w:t>
            </w:r>
            <w:r w:rsidRPr="00372B05">
              <w:rPr>
                <w:b/>
                <w:sz w:val="20"/>
                <w:szCs w:val="20"/>
                <w:lang w:val="en-US"/>
              </w:rPr>
              <w:t xml:space="preserve">Secretor </w:t>
            </w:r>
            <w:proofErr w:type="spellStart"/>
            <w:r w:rsidRPr="00372B05">
              <w:rPr>
                <w:b/>
                <w:sz w:val="20"/>
                <w:szCs w:val="20"/>
                <w:lang w:val="en-US"/>
              </w:rPr>
              <w:t>Status</w:t>
            </w:r>
            <w:r w:rsidRPr="00372B05">
              <w:rPr>
                <w:b/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7396" w:type="dxa"/>
            <w:gridSpan w:val="4"/>
            <w:tcBorders>
              <w:top w:val="single" w:sz="4" w:space="0" w:color="auto"/>
            </w:tcBorders>
          </w:tcPr>
          <w:p w14:paraId="7DBCA804" w14:textId="6787733F" w:rsidR="000B05E4" w:rsidRPr="00372B05" w:rsidRDefault="000B05E4" w:rsidP="00DF7CF4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 xml:space="preserve">Association with Infant </w:t>
            </w:r>
            <w:proofErr w:type="spellStart"/>
            <w:r w:rsidRPr="00372B05">
              <w:rPr>
                <w:b/>
                <w:sz w:val="20"/>
                <w:szCs w:val="20"/>
                <w:lang w:val="en-US"/>
              </w:rPr>
              <w:t>Diarrhea</w:t>
            </w:r>
            <w:r w:rsidRPr="00372B05">
              <w:rPr>
                <w:b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  <w:p w14:paraId="4986A421" w14:textId="525D2E33" w:rsidR="000B05E4" w:rsidRPr="00372B05" w:rsidRDefault="000B05E4" w:rsidP="00DF7CF4">
            <w:pPr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 xml:space="preserve">OR (95% </w:t>
            </w:r>
            <w:proofErr w:type="gramStart"/>
            <w:r w:rsidRPr="00372B05">
              <w:rPr>
                <w:b/>
                <w:sz w:val="20"/>
                <w:szCs w:val="20"/>
                <w:lang w:val="en-US"/>
              </w:rPr>
              <w:t>CI)</w:t>
            </w:r>
            <w:r w:rsidRPr="00372B05">
              <w:rPr>
                <w:b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</w:tr>
      <w:tr w:rsidR="000B05E4" w:rsidRPr="00372B05" w14:paraId="56E67285" w14:textId="77777777" w:rsidTr="00945F2A">
        <w:trPr>
          <w:trHeight w:val="2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bottom"/>
          </w:tcPr>
          <w:p w14:paraId="114E282D" w14:textId="6E70430A" w:rsidR="000B05E4" w:rsidRPr="00372B05" w:rsidRDefault="000B05E4" w:rsidP="00372B05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D843D1" w14:textId="6C7CD6A2" w:rsidR="000B05E4" w:rsidRPr="00372B05" w:rsidRDefault="000B05E4" w:rsidP="00372B05">
            <w:pPr>
              <w:rPr>
                <w:sz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 xml:space="preserve">0-6 months </w:t>
            </w:r>
            <w:r w:rsidRPr="00372B05">
              <w:rPr>
                <w:bCs/>
                <w:sz w:val="20"/>
                <w:szCs w:val="20"/>
                <w:lang w:val="en-US"/>
              </w:rPr>
              <w:br/>
            </w:r>
            <w:r w:rsidRPr="00372B05">
              <w:rPr>
                <w:rStyle w:val="hgkelc"/>
                <w:sz w:val="20"/>
                <w:szCs w:val="20"/>
                <w:lang w:val="en-US"/>
              </w:rPr>
              <w:t xml:space="preserve">≥ 1 episode 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br/>
            </w:r>
            <w:r w:rsidR="00DF7CF4" w:rsidRPr="00372B05">
              <w:rPr>
                <w:sz w:val="20"/>
                <w:lang w:val="en-US"/>
              </w:rPr>
              <w:t xml:space="preserve">1330/4962 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t>(26.8%)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8F66A2F" w14:textId="32522F7E" w:rsidR="000B05E4" w:rsidRPr="00372B05" w:rsidRDefault="000B05E4" w:rsidP="00372B05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 xml:space="preserve">0-6 months </w:t>
            </w:r>
            <w:r w:rsidRPr="00372B05">
              <w:rPr>
                <w:bCs/>
                <w:sz w:val="20"/>
                <w:szCs w:val="20"/>
                <w:lang w:val="en-US"/>
              </w:rPr>
              <w:br/>
            </w:r>
            <w:r w:rsidRPr="00372B05">
              <w:rPr>
                <w:rStyle w:val="hgkelc"/>
                <w:sz w:val="20"/>
                <w:szCs w:val="20"/>
                <w:lang w:val="en-US"/>
              </w:rPr>
              <w:t xml:space="preserve">≥ 2 episode 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br/>
            </w:r>
            <w:r w:rsidR="00DF7CF4" w:rsidRPr="00372B05">
              <w:rPr>
                <w:rStyle w:val="hgkelc"/>
                <w:sz w:val="20"/>
                <w:szCs w:val="20"/>
                <w:lang w:val="en-US"/>
              </w:rPr>
              <w:t>370/</w:t>
            </w:r>
            <w:proofErr w:type="gramStart"/>
            <w:r w:rsidR="00DF7CF4" w:rsidRPr="00372B05">
              <w:rPr>
                <w:rStyle w:val="hgkelc"/>
                <w:sz w:val="20"/>
                <w:szCs w:val="20"/>
                <w:lang w:val="en-US"/>
              </w:rPr>
              <w:t>4920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t xml:space="preserve"> </w:t>
            </w:r>
            <w:r w:rsidRPr="00372B05">
              <w:rPr>
                <w:rStyle w:val="CommentTextChar"/>
                <w:lang w:val="en-US"/>
              </w:rPr>
              <w:t xml:space="preserve"> 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t>(</w:t>
            </w:r>
            <w:proofErr w:type="gramEnd"/>
            <w:r w:rsidRPr="00372B05">
              <w:rPr>
                <w:rStyle w:val="hgkelc"/>
                <w:sz w:val="20"/>
                <w:szCs w:val="20"/>
                <w:lang w:val="en-US"/>
              </w:rPr>
              <w:t>7.5%)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04A407" w14:textId="5E99C8E6" w:rsidR="000B05E4" w:rsidRPr="00372B05" w:rsidRDefault="000B05E4" w:rsidP="00372B05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6-18</w:t>
            </w:r>
            <w:r w:rsidRPr="00372B05">
              <w:rPr>
                <w:bCs/>
                <w:sz w:val="20"/>
                <w:szCs w:val="20"/>
                <w:lang w:val="en-US"/>
              </w:rPr>
              <w:t xml:space="preserve"> months </w:t>
            </w:r>
            <w:r w:rsidRPr="00372B05">
              <w:rPr>
                <w:bCs/>
                <w:sz w:val="20"/>
                <w:szCs w:val="20"/>
                <w:lang w:val="en-US"/>
              </w:rPr>
              <w:br/>
            </w:r>
            <w:r w:rsidRPr="00372B05">
              <w:rPr>
                <w:rStyle w:val="hgkelc"/>
                <w:sz w:val="20"/>
                <w:szCs w:val="20"/>
                <w:lang w:val="en-US"/>
              </w:rPr>
              <w:t xml:space="preserve">≥ 1 episodes 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br/>
            </w:r>
            <w:r w:rsidR="00DF7CF4" w:rsidRPr="00372B05">
              <w:rPr>
                <w:sz w:val="20"/>
                <w:lang w:val="en-US"/>
              </w:rPr>
              <w:t xml:space="preserve">2377/4661 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t>(51.0%)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774616D2" w14:textId="0DFDC11A" w:rsidR="000B05E4" w:rsidRPr="00372B05" w:rsidRDefault="000B05E4" w:rsidP="00372B05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6-18</w:t>
            </w:r>
            <w:r w:rsidRPr="00372B05">
              <w:rPr>
                <w:bCs/>
                <w:sz w:val="20"/>
                <w:szCs w:val="20"/>
                <w:lang w:val="en-US"/>
              </w:rPr>
              <w:t xml:space="preserve"> months </w:t>
            </w:r>
            <w:r w:rsidRPr="00372B05">
              <w:rPr>
                <w:bCs/>
                <w:sz w:val="20"/>
                <w:szCs w:val="20"/>
                <w:lang w:val="en-US"/>
              </w:rPr>
              <w:br/>
            </w:r>
            <w:r w:rsidRPr="00372B05">
              <w:rPr>
                <w:rStyle w:val="hgkelc"/>
                <w:sz w:val="20"/>
                <w:szCs w:val="20"/>
                <w:lang w:val="en-US"/>
              </w:rPr>
              <w:t xml:space="preserve">≥ 2 episodes 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br/>
            </w:r>
            <w:r w:rsidR="00945F2A" w:rsidRPr="00372B05">
              <w:rPr>
                <w:rStyle w:val="hgkelc"/>
                <w:sz w:val="20"/>
                <w:szCs w:val="20"/>
                <w:lang w:val="en-US"/>
              </w:rPr>
              <w:t>1102/4661</w:t>
            </w:r>
            <w:r w:rsidRPr="00372B05">
              <w:rPr>
                <w:rStyle w:val="hgkelc"/>
                <w:sz w:val="20"/>
                <w:szCs w:val="20"/>
                <w:lang w:val="en-US"/>
              </w:rPr>
              <w:t xml:space="preserve"> (23.6%)</w:t>
            </w:r>
          </w:p>
        </w:tc>
      </w:tr>
      <w:tr w:rsidR="00EE23C4" w:rsidRPr="00372B05" w14:paraId="5233C76A" w14:textId="77777777" w:rsidTr="001C7788">
        <w:trPr>
          <w:trHeight w:val="20"/>
        </w:trPr>
        <w:tc>
          <w:tcPr>
            <w:tcW w:w="0" w:type="auto"/>
            <w:gridSpan w:val="5"/>
          </w:tcPr>
          <w:p w14:paraId="54DA3518" w14:textId="2727E830" w:rsidR="00EE23C4" w:rsidRPr="00372B05" w:rsidRDefault="00EE23C4" w:rsidP="00DF7CF4">
            <w:pPr>
              <w:rPr>
                <w:b/>
                <w:sz w:val="20"/>
                <w:szCs w:val="20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>Breastfed at 6 months</w:t>
            </w:r>
          </w:p>
        </w:tc>
      </w:tr>
      <w:tr w:rsidR="0062359C" w:rsidRPr="00372B05" w14:paraId="07A7604E" w14:textId="77777777" w:rsidTr="00945F2A">
        <w:trPr>
          <w:trHeight w:val="20"/>
        </w:trPr>
        <w:tc>
          <w:tcPr>
            <w:tcW w:w="1985" w:type="dxa"/>
          </w:tcPr>
          <w:p w14:paraId="2776045A" w14:textId="05878694" w:rsidR="00EE23C4" w:rsidRPr="00372B05" w:rsidRDefault="00EE23C4" w:rsidP="00DF7CF4">
            <w:pPr>
              <w:rPr>
                <w:bCs/>
                <w:sz w:val="21"/>
                <w:szCs w:val="21"/>
                <w:lang w:val="en-US"/>
              </w:rPr>
            </w:pPr>
            <w:r w:rsidRPr="00372B05">
              <w:rPr>
                <w:bCs/>
                <w:sz w:val="21"/>
                <w:szCs w:val="21"/>
                <w:lang w:val="en-US"/>
              </w:rPr>
              <w:t xml:space="preserve"> Mother </w:t>
            </w:r>
            <w:r w:rsidRPr="00372B05">
              <w:rPr>
                <w:b/>
                <w:sz w:val="21"/>
                <w:szCs w:val="21"/>
                <w:lang w:val="en-US"/>
              </w:rPr>
              <w:t>–</w:t>
            </w:r>
            <w:r w:rsidRPr="00372B05">
              <w:rPr>
                <w:bCs/>
                <w:sz w:val="21"/>
                <w:szCs w:val="21"/>
                <w:lang w:val="en-US"/>
              </w:rPr>
              <w:t xml:space="preserve"> Infant </w:t>
            </w:r>
            <w:r w:rsidRPr="00372B05">
              <w:rPr>
                <w:b/>
                <w:sz w:val="21"/>
                <w:szCs w:val="21"/>
                <w:lang w:val="en-US"/>
              </w:rPr>
              <w:t>–</w:t>
            </w:r>
            <w:r w:rsidRPr="00372B05">
              <w:rPr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6BDD7FF" w14:textId="03411D59" w:rsidR="00EE23C4" w:rsidRPr="00372B05" w:rsidRDefault="00EE23C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1.00 (0.66, 1.48)</w:t>
            </w:r>
          </w:p>
        </w:tc>
        <w:tc>
          <w:tcPr>
            <w:tcW w:w="1701" w:type="dxa"/>
          </w:tcPr>
          <w:p w14:paraId="2F4A13FB" w14:textId="11FB3AF3" w:rsidR="00EE23C4" w:rsidRPr="00372B05" w:rsidRDefault="00EE23C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0.64 (0.22, 1.50)</w:t>
            </w:r>
          </w:p>
        </w:tc>
        <w:tc>
          <w:tcPr>
            <w:tcW w:w="1984" w:type="dxa"/>
          </w:tcPr>
          <w:p w14:paraId="7591B82D" w14:textId="47178B31" w:rsidR="00EE23C4" w:rsidRPr="00372B05" w:rsidRDefault="00EE23C4" w:rsidP="00DF7CF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72B05">
              <w:rPr>
                <w:b/>
                <w:bCs/>
                <w:sz w:val="20"/>
                <w:szCs w:val="20"/>
                <w:lang w:val="en-US"/>
              </w:rPr>
              <w:t xml:space="preserve">0.56 (0.41, </w:t>
            </w:r>
            <w:proofErr w:type="gramStart"/>
            <w:r w:rsidRPr="00372B05">
              <w:rPr>
                <w:b/>
                <w:bCs/>
                <w:sz w:val="20"/>
                <w:szCs w:val="20"/>
                <w:lang w:val="en-US"/>
              </w:rPr>
              <w:t>0.77)</w:t>
            </w:r>
            <w:r w:rsidR="00BB40F8" w:rsidRPr="00372B05">
              <w:rPr>
                <w:b/>
                <w:bCs/>
                <w:sz w:val="20"/>
                <w:szCs w:val="20"/>
                <w:lang w:val="en-US"/>
              </w:rPr>
              <w:t>*</w:t>
            </w:r>
            <w:proofErr w:type="gramEnd"/>
            <w:r w:rsidR="00BB40F8" w:rsidRPr="00372B05">
              <w:rPr>
                <w:b/>
                <w:bCs/>
                <w:sz w:val="20"/>
                <w:szCs w:val="20"/>
                <w:lang w:val="en-US"/>
              </w:rPr>
              <w:t>**</w:t>
            </w:r>
          </w:p>
        </w:tc>
        <w:tc>
          <w:tcPr>
            <w:tcW w:w="1868" w:type="dxa"/>
          </w:tcPr>
          <w:p w14:paraId="72537B20" w14:textId="662E7DE9" w:rsidR="00EE23C4" w:rsidRPr="00372B05" w:rsidRDefault="00BB40F8" w:rsidP="00DF7CF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72B05">
              <w:rPr>
                <w:b/>
                <w:bCs/>
                <w:sz w:val="20"/>
                <w:szCs w:val="20"/>
                <w:lang w:val="en-US"/>
              </w:rPr>
              <w:t xml:space="preserve">0.54 (0.35, </w:t>
            </w:r>
            <w:proofErr w:type="gramStart"/>
            <w:r w:rsidRPr="00372B05">
              <w:rPr>
                <w:b/>
                <w:bCs/>
                <w:sz w:val="20"/>
                <w:szCs w:val="20"/>
                <w:lang w:val="en-US"/>
              </w:rPr>
              <w:t>0.81)*</w:t>
            </w:r>
            <w:proofErr w:type="gramEnd"/>
            <w:r w:rsidRPr="00372B05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62359C" w:rsidRPr="00372B05" w14:paraId="3FDD615B" w14:textId="77777777" w:rsidTr="00945F2A">
        <w:trPr>
          <w:trHeight w:val="20"/>
        </w:trPr>
        <w:tc>
          <w:tcPr>
            <w:tcW w:w="1985" w:type="dxa"/>
          </w:tcPr>
          <w:p w14:paraId="3B26568B" w14:textId="6C302C09" w:rsidR="00EE23C4" w:rsidRPr="00372B05" w:rsidRDefault="00EE23C4" w:rsidP="00DF7CF4">
            <w:pPr>
              <w:rPr>
                <w:sz w:val="21"/>
                <w:szCs w:val="21"/>
                <w:lang w:val="en-US"/>
              </w:rPr>
            </w:pPr>
            <w:r w:rsidRPr="00372B05">
              <w:rPr>
                <w:sz w:val="21"/>
                <w:szCs w:val="21"/>
                <w:lang w:val="en-US"/>
              </w:rPr>
              <w:t xml:space="preserve"> Mother </w:t>
            </w:r>
            <w:r w:rsidRPr="00372B05">
              <w:rPr>
                <w:b/>
                <w:bCs/>
                <w:sz w:val="21"/>
                <w:szCs w:val="21"/>
                <w:lang w:val="en-US"/>
              </w:rPr>
              <w:t>+</w:t>
            </w:r>
            <w:r w:rsidRPr="00372B05">
              <w:rPr>
                <w:sz w:val="21"/>
                <w:szCs w:val="21"/>
                <w:lang w:val="en-US"/>
              </w:rPr>
              <w:t xml:space="preserve"> Infant </w:t>
            </w:r>
            <w:r w:rsidR="00BB40F8" w:rsidRPr="00372B05">
              <w:rPr>
                <w:b/>
                <w:sz w:val="21"/>
                <w:szCs w:val="21"/>
                <w:lang w:val="en-US"/>
              </w:rPr>
              <w:t xml:space="preserve">– </w:t>
            </w:r>
          </w:p>
        </w:tc>
        <w:tc>
          <w:tcPr>
            <w:tcW w:w="1843" w:type="dxa"/>
          </w:tcPr>
          <w:p w14:paraId="68B5C874" w14:textId="5F800E91" w:rsidR="00EE23C4" w:rsidRPr="00372B05" w:rsidRDefault="00EE23C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0.85 (0.55, 1.28)</w:t>
            </w:r>
          </w:p>
        </w:tc>
        <w:tc>
          <w:tcPr>
            <w:tcW w:w="1701" w:type="dxa"/>
          </w:tcPr>
          <w:p w14:paraId="7434EC47" w14:textId="41DC0C76" w:rsidR="00EE23C4" w:rsidRPr="00372B05" w:rsidRDefault="00EE23C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0.93 (0.37, 1.99)</w:t>
            </w:r>
          </w:p>
        </w:tc>
        <w:tc>
          <w:tcPr>
            <w:tcW w:w="1984" w:type="dxa"/>
          </w:tcPr>
          <w:p w14:paraId="48D2F3E7" w14:textId="0A9402D3" w:rsidR="00EE23C4" w:rsidRPr="00372B05" w:rsidRDefault="00BB40F8" w:rsidP="00DF7CF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72B05">
              <w:rPr>
                <w:b/>
                <w:bCs/>
                <w:sz w:val="20"/>
                <w:szCs w:val="20"/>
                <w:lang w:val="en-US"/>
              </w:rPr>
              <w:t xml:space="preserve">0.66 (0.48, </w:t>
            </w:r>
            <w:proofErr w:type="gramStart"/>
            <w:r w:rsidRPr="00372B05">
              <w:rPr>
                <w:b/>
                <w:bCs/>
                <w:sz w:val="20"/>
                <w:szCs w:val="20"/>
                <w:lang w:val="en-US"/>
              </w:rPr>
              <w:t>0.89)*</w:t>
            </w:r>
            <w:proofErr w:type="gramEnd"/>
            <w:r w:rsidRPr="00372B05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868" w:type="dxa"/>
          </w:tcPr>
          <w:p w14:paraId="5FE3C3DA" w14:textId="4CBB8C1F" w:rsidR="00EE23C4" w:rsidRPr="00372B05" w:rsidRDefault="00BB40F8" w:rsidP="00DF7CF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72B05">
              <w:rPr>
                <w:b/>
                <w:bCs/>
                <w:sz w:val="20"/>
                <w:szCs w:val="20"/>
                <w:lang w:val="en-US"/>
              </w:rPr>
              <w:t xml:space="preserve">0.67 (0.44, </w:t>
            </w:r>
            <w:proofErr w:type="gramStart"/>
            <w:r w:rsidRPr="00372B05">
              <w:rPr>
                <w:b/>
                <w:bCs/>
                <w:sz w:val="20"/>
                <w:szCs w:val="20"/>
                <w:lang w:val="en-US"/>
              </w:rPr>
              <w:t>0.98)*</w:t>
            </w:r>
            <w:proofErr w:type="gramEnd"/>
          </w:p>
        </w:tc>
      </w:tr>
      <w:tr w:rsidR="0062359C" w:rsidRPr="00372B05" w14:paraId="084FCC3F" w14:textId="77777777" w:rsidTr="00945F2A">
        <w:trPr>
          <w:trHeight w:val="102"/>
        </w:trPr>
        <w:tc>
          <w:tcPr>
            <w:tcW w:w="1985" w:type="dxa"/>
          </w:tcPr>
          <w:p w14:paraId="2AECADC3" w14:textId="17F1EB6D" w:rsidR="00EE23C4" w:rsidRPr="00372B05" w:rsidRDefault="00EE23C4" w:rsidP="00DF7CF4">
            <w:pPr>
              <w:rPr>
                <w:sz w:val="21"/>
                <w:szCs w:val="21"/>
                <w:lang w:val="en-US"/>
              </w:rPr>
            </w:pPr>
            <w:r w:rsidRPr="00372B05">
              <w:rPr>
                <w:sz w:val="21"/>
                <w:szCs w:val="21"/>
                <w:lang w:val="en-US"/>
              </w:rPr>
              <w:t xml:space="preserve"> Mother </w:t>
            </w:r>
            <w:r w:rsidR="00BB40F8" w:rsidRPr="00372B05">
              <w:rPr>
                <w:sz w:val="21"/>
                <w:szCs w:val="21"/>
                <w:lang w:val="en-US"/>
              </w:rPr>
              <w:t>–</w:t>
            </w:r>
            <w:r w:rsidRPr="00372B05">
              <w:rPr>
                <w:sz w:val="21"/>
                <w:szCs w:val="21"/>
                <w:lang w:val="en-US"/>
              </w:rPr>
              <w:t xml:space="preserve"> Infant +</w:t>
            </w:r>
            <w:r w:rsidR="001C7788" w:rsidRPr="00372B05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7B06A92" w14:textId="685BE22B" w:rsidR="00EE23C4" w:rsidRPr="00372B05" w:rsidRDefault="00EE23C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0.71 (0.45, 1.06)</w:t>
            </w:r>
          </w:p>
        </w:tc>
        <w:tc>
          <w:tcPr>
            <w:tcW w:w="1701" w:type="dxa"/>
          </w:tcPr>
          <w:p w14:paraId="56324913" w14:textId="24669C09" w:rsidR="00EE23C4" w:rsidRPr="00372B05" w:rsidRDefault="00EE23C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1.04 (0.46, 2.08)</w:t>
            </w:r>
          </w:p>
        </w:tc>
        <w:tc>
          <w:tcPr>
            <w:tcW w:w="1984" w:type="dxa"/>
          </w:tcPr>
          <w:p w14:paraId="54D2D32D" w14:textId="5C7DE6D1" w:rsidR="00EE23C4" w:rsidRPr="00372B05" w:rsidRDefault="00BB40F8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0.77 (0.58, 1.03)</w:t>
            </w:r>
          </w:p>
        </w:tc>
        <w:tc>
          <w:tcPr>
            <w:tcW w:w="1868" w:type="dxa"/>
          </w:tcPr>
          <w:p w14:paraId="36FC4E2C" w14:textId="6A304913" w:rsidR="00EE23C4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0.87 (0.61, 1.22)</w:t>
            </w:r>
          </w:p>
        </w:tc>
      </w:tr>
      <w:tr w:rsidR="00DF7CF4" w:rsidRPr="00372B05" w14:paraId="58153A66" w14:textId="77777777" w:rsidTr="00945F2A">
        <w:trPr>
          <w:trHeight w:val="102"/>
        </w:trPr>
        <w:tc>
          <w:tcPr>
            <w:tcW w:w="1985" w:type="dxa"/>
          </w:tcPr>
          <w:p w14:paraId="4409DC07" w14:textId="3D86E756" w:rsidR="00DF7CF4" w:rsidRPr="00372B05" w:rsidRDefault="00787CF6" w:rsidP="00DF7CF4">
            <w:pPr>
              <w:rPr>
                <w:sz w:val="21"/>
                <w:szCs w:val="21"/>
                <w:lang w:val="en-US"/>
              </w:rPr>
            </w:pPr>
            <w:r w:rsidRPr="00372B05">
              <w:rPr>
                <w:sz w:val="21"/>
                <w:szCs w:val="21"/>
                <w:lang w:val="en-US"/>
              </w:rPr>
              <w:t xml:space="preserve"> </w:t>
            </w:r>
            <w:r w:rsidR="00DF7CF4" w:rsidRPr="00372B05">
              <w:rPr>
                <w:sz w:val="21"/>
                <w:szCs w:val="21"/>
                <w:lang w:val="en-US"/>
              </w:rPr>
              <w:t>Mother + Infant +</w:t>
            </w:r>
          </w:p>
        </w:tc>
        <w:tc>
          <w:tcPr>
            <w:tcW w:w="1843" w:type="dxa"/>
          </w:tcPr>
          <w:p w14:paraId="494AE125" w14:textId="499F0EB4" w:rsidR="00DF7CF4" w:rsidRPr="00372B05" w:rsidRDefault="00DF7CF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1701" w:type="dxa"/>
          </w:tcPr>
          <w:p w14:paraId="58AC11CC" w14:textId="4CC3227A" w:rsidR="00DF7CF4" w:rsidRPr="00372B05" w:rsidRDefault="00DF7CF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1984" w:type="dxa"/>
          </w:tcPr>
          <w:p w14:paraId="5C339247" w14:textId="2B7F2A7D" w:rsidR="00DF7CF4" w:rsidRPr="00372B05" w:rsidRDefault="00DF7CF4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1868" w:type="dxa"/>
          </w:tcPr>
          <w:p w14:paraId="417F9F76" w14:textId="69D9CA37" w:rsidR="00DF7CF4" w:rsidRPr="00372B05" w:rsidRDefault="00DF7CF4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1.00 (ref)</w:t>
            </w:r>
          </w:p>
        </w:tc>
      </w:tr>
      <w:tr w:rsidR="00EE23C4" w:rsidRPr="00372B05" w14:paraId="1B956E33" w14:textId="77777777" w:rsidTr="001C7788">
        <w:trPr>
          <w:trHeight w:val="20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14:paraId="2842892E" w14:textId="75F4D587" w:rsidR="00EE23C4" w:rsidRPr="00372B05" w:rsidRDefault="00EE23C4" w:rsidP="00DF7CF4">
            <w:pPr>
              <w:rPr>
                <w:b/>
                <w:sz w:val="20"/>
                <w:szCs w:val="20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>Not Breastfed at 6 months</w:t>
            </w:r>
          </w:p>
        </w:tc>
      </w:tr>
      <w:tr w:rsidR="0062359C" w:rsidRPr="00372B05" w14:paraId="5C62ABA6" w14:textId="77777777" w:rsidTr="00945F2A">
        <w:trPr>
          <w:trHeight w:val="20"/>
        </w:trPr>
        <w:tc>
          <w:tcPr>
            <w:tcW w:w="1985" w:type="dxa"/>
          </w:tcPr>
          <w:p w14:paraId="4EB14EC0" w14:textId="23EBDC1B" w:rsidR="00EE23C4" w:rsidRPr="00372B05" w:rsidRDefault="00EE23C4" w:rsidP="00DF7CF4">
            <w:pPr>
              <w:rPr>
                <w:bCs/>
                <w:sz w:val="21"/>
                <w:szCs w:val="21"/>
                <w:lang w:val="en-US"/>
              </w:rPr>
            </w:pPr>
            <w:r w:rsidRPr="00372B05">
              <w:rPr>
                <w:bCs/>
                <w:sz w:val="21"/>
                <w:szCs w:val="21"/>
                <w:lang w:val="en-US"/>
              </w:rPr>
              <w:t xml:space="preserve"> Mother </w:t>
            </w:r>
            <w:r w:rsidR="00BB40F8" w:rsidRPr="00372B05">
              <w:rPr>
                <w:b/>
                <w:sz w:val="21"/>
                <w:szCs w:val="21"/>
                <w:lang w:val="en-US"/>
              </w:rPr>
              <w:t>–</w:t>
            </w:r>
            <w:r w:rsidRPr="00372B05">
              <w:rPr>
                <w:bCs/>
                <w:sz w:val="21"/>
                <w:szCs w:val="21"/>
                <w:lang w:val="en-US"/>
              </w:rPr>
              <w:t xml:space="preserve"> Infant </w:t>
            </w:r>
            <w:r w:rsidR="00BB40F8" w:rsidRPr="00372B05">
              <w:rPr>
                <w:b/>
                <w:sz w:val="21"/>
                <w:szCs w:val="21"/>
                <w:lang w:val="en-US"/>
              </w:rPr>
              <w:t>–</w:t>
            </w:r>
            <w:r w:rsidR="001C7788" w:rsidRPr="00372B05"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57825D71" w14:textId="11160B95" w:rsidR="00EE23C4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0.89 (0.70, 1.11)</w:t>
            </w:r>
          </w:p>
        </w:tc>
        <w:tc>
          <w:tcPr>
            <w:tcW w:w="1701" w:type="dxa"/>
          </w:tcPr>
          <w:p w14:paraId="2F076491" w14:textId="17B025CF" w:rsidR="00EE23C4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1.01 (0.69, 1.45)</w:t>
            </w:r>
          </w:p>
        </w:tc>
        <w:tc>
          <w:tcPr>
            <w:tcW w:w="1984" w:type="dxa"/>
          </w:tcPr>
          <w:p w14:paraId="03270CBF" w14:textId="66E744B5" w:rsidR="00EE23C4" w:rsidRPr="00372B05" w:rsidRDefault="00BB40F8" w:rsidP="00DF7CF4">
            <w:pPr>
              <w:rPr>
                <w:b/>
                <w:sz w:val="20"/>
                <w:szCs w:val="20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 xml:space="preserve">0.75 (0.60, </w:t>
            </w:r>
            <w:proofErr w:type="gramStart"/>
            <w:r w:rsidRPr="00372B05">
              <w:rPr>
                <w:b/>
                <w:sz w:val="20"/>
                <w:szCs w:val="20"/>
                <w:lang w:val="en-US"/>
              </w:rPr>
              <w:t>0.93)*</w:t>
            </w:r>
            <w:proofErr w:type="gramEnd"/>
            <w:r w:rsidRPr="00372B05">
              <w:rPr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868" w:type="dxa"/>
          </w:tcPr>
          <w:p w14:paraId="0C20AB92" w14:textId="26C205B1" w:rsidR="00EE23C4" w:rsidRPr="00372B05" w:rsidRDefault="00BB40F8" w:rsidP="00DF7CF4">
            <w:pPr>
              <w:rPr>
                <w:b/>
                <w:sz w:val="20"/>
                <w:szCs w:val="20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 xml:space="preserve">0.76 (0.58, </w:t>
            </w:r>
            <w:proofErr w:type="gramStart"/>
            <w:r w:rsidRPr="00372B05">
              <w:rPr>
                <w:b/>
                <w:sz w:val="20"/>
                <w:szCs w:val="20"/>
                <w:lang w:val="en-US"/>
              </w:rPr>
              <w:t>0.99)*</w:t>
            </w:r>
            <w:proofErr w:type="gramEnd"/>
          </w:p>
        </w:tc>
      </w:tr>
      <w:tr w:rsidR="0062359C" w:rsidRPr="00372B05" w14:paraId="186AE03D" w14:textId="77777777" w:rsidTr="00945F2A">
        <w:trPr>
          <w:trHeight w:val="20"/>
        </w:trPr>
        <w:tc>
          <w:tcPr>
            <w:tcW w:w="1985" w:type="dxa"/>
          </w:tcPr>
          <w:p w14:paraId="505FE532" w14:textId="4C2F292C" w:rsidR="00EE23C4" w:rsidRPr="00372B05" w:rsidRDefault="00EE23C4" w:rsidP="00DF7CF4">
            <w:pPr>
              <w:rPr>
                <w:sz w:val="21"/>
                <w:szCs w:val="21"/>
                <w:lang w:val="en-US"/>
              </w:rPr>
            </w:pPr>
            <w:r w:rsidRPr="00372B05">
              <w:rPr>
                <w:sz w:val="21"/>
                <w:szCs w:val="21"/>
                <w:lang w:val="en-US"/>
              </w:rPr>
              <w:t xml:space="preserve"> Mother </w:t>
            </w:r>
            <w:r w:rsidR="00BB40F8" w:rsidRPr="00372B05">
              <w:rPr>
                <w:b/>
                <w:bCs/>
                <w:sz w:val="21"/>
                <w:szCs w:val="21"/>
                <w:lang w:val="en-US"/>
              </w:rPr>
              <w:t>+</w:t>
            </w:r>
            <w:r w:rsidR="00BB40F8" w:rsidRPr="00372B05">
              <w:rPr>
                <w:sz w:val="21"/>
                <w:szCs w:val="21"/>
                <w:lang w:val="en-US"/>
              </w:rPr>
              <w:t xml:space="preserve"> </w:t>
            </w:r>
            <w:r w:rsidRPr="00372B05">
              <w:rPr>
                <w:sz w:val="21"/>
                <w:szCs w:val="21"/>
                <w:lang w:val="en-US"/>
              </w:rPr>
              <w:t xml:space="preserve">Infant </w:t>
            </w:r>
            <w:r w:rsidR="00BB40F8" w:rsidRPr="00372B05">
              <w:rPr>
                <w:b/>
                <w:sz w:val="21"/>
                <w:szCs w:val="21"/>
                <w:lang w:val="en-US"/>
              </w:rPr>
              <w:t>–</w:t>
            </w:r>
            <w:r w:rsidR="001C7788" w:rsidRPr="00372B05">
              <w:rPr>
                <w:b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90D99FB" w14:textId="4C63C3B6" w:rsidR="00EE23C4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0.86 (0.68, 1.09)</w:t>
            </w:r>
          </w:p>
        </w:tc>
        <w:tc>
          <w:tcPr>
            <w:tcW w:w="1701" w:type="dxa"/>
          </w:tcPr>
          <w:p w14:paraId="12B4EAE2" w14:textId="7F630270" w:rsidR="00EE23C4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1.23 (0.85, 1.73)</w:t>
            </w:r>
          </w:p>
        </w:tc>
        <w:tc>
          <w:tcPr>
            <w:tcW w:w="1984" w:type="dxa"/>
          </w:tcPr>
          <w:p w14:paraId="09E8A149" w14:textId="70943A69" w:rsidR="00EE23C4" w:rsidRPr="00372B05" w:rsidRDefault="00BB40F8" w:rsidP="00DF7CF4">
            <w:pPr>
              <w:rPr>
                <w:b/>
                <w:sz w:val="20"/>
                <w:szCs w:val="20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 xml:space="preserve">0.66 (0.52, </w:t>
            </w:r>
            <w:proofErr w:type="gramStart"/>
            <w:r w:rsidRPr="00372B05">
              <w:rPr>
                <w:b/>
                <w:sz w:val="20"/>
                <w:szCs w:val="20"/>
                <w:lang w:val="en-US"/>
              </w:rPr>
              <w:t>0.82)*</w:t>
            </w:r>
            <w:proofErr w:type="gramEnd"/>
            <w:r w:rsidRPr="00372B05">
              <w:rPr>
                <w:b/>
                <w:sz w:val="20"/>
                <w:szCs w:val="20"/>
                <w:lang w:val="en-US"/>
              </w:rPr>
              <w:t>**</w:t>
            </w:r>
          </w:p>
        </w:tc>
        <w:tc>
          <w:tcPr>
            <w:tcW w:w="1868" w:type="dxa"/>
          </w:tcPr>
          <w:p w14:paraId="3C801322" w14:textId="204CEE04" w:rsidR="00EE23C4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0.82 (0.63, 1.07)</w:t>
            </w:r>
          </w:p>
        </w:tc>
      </w:tr>
      <w:tr w:rsidR="0062359C" w:rsidRPr="00372B05" w14:paraId="52A16B63" w14:textId="77777777" w:rsidTr="00945F2A">
        <w:trPr>
          <w:trHeight w:val="20"/>
        </w:trPr>
        <w:tc>
          <w:tcPr>
            <w:tcW w:w="1985" w:type="dxa"/>
          </w:tcPr>
          <w:p w14:paraId="57293251" w14:textId="4E304ED6" w:rsidR="00BB40F8" w:rsidRPr="00372B05" w:rsidRDefault="00BB40F8" w:rsidP="00DF7CF4">
            <w:pPr>
              <w:rPr>
                <w:sz w:val="21"/>
                <w:szCs w:val="21"/>
                <w:lang w:val="en-US"/>
              </w:rPr>
            </w:pPr>
            <w:r w:rsidRPr="00372B05">
              <w:rPr>
                <w:sz w:val="21"/>
                <w:szCs w:val="21"/>
                <w:lang w:val="en-US"/>
              </w:rPr>
              <w:t xml:space="preserve"> Mother </w:t>
            </w:r>
            <w:r w:rsidRPr="00372B05">
              <w:rPr>
                <w:b/>
                <w:sz w:val="21"/>
                <w:szCs w:val="21"/>
                <w:lang w:val="en-US"/>
              </w:rPr>
              <w:t>–</w:t>
            </w:r>
            <w:r w:rsidRPr="00372B05">
              <w:rPr>
                <w:sz w:val="21"/>
                <w:szCs w:val="21"/>
                <w:lang w:val="en-US"/>
              </w:rPr>
              <w:t xml:space="preserve"> Infant </w:t>
            </w:r>
            <w:r w:rsidRPr="00372B05">
              <w:rPr>
                <w:b/>
                <w:bCs/>
                <w:sz w:val="21"/>
                <w:szCs w:val="21"/>
                <w:lang w:val="en-US"/>
              </w:rPr>
              <w:t>+</w:t>
            </w:r>
            <w:r w:rsidR="001C7788" w:rsidRPr="00372B05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773ECD62" w14:textId="09898875" w:rsidR="00BB40F8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/>
                <w:sz w:val="20"/>
                <w:szCs w:val="20"/>
                <w:lang w:val="en-US"/>
              </w:rPr>
              <w:t xml:space="preserve">1.26 (1.01, </w:t>
            </w:r>
            <w:proofErr w:type="gramStart"/>
            <w:r w:rsidRPr="00372B05">
              <w:rPr>
                <w:b/>
                <w:sz w:val="20"/>
                <w:szCs w:val="20"/>
                <w:lang w:val="en-US"/>
              </w:rPr>
              <w:t>1.57)*</w:t>
            </w:r>
            <w:proofErr w:type="gramEnd"/>
          </w:p>
        </w:tc>
        <w:tc>
          <w:tcPr>
            <w:tcW w:w="1701" w:type="dxa"/>
          </w:tcPr>
          <w:p w14:paraId="3CD9F57F" w14:textId="28F2DBA7" w:rsidR="00BB40F8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1.23 (0.86, 1.72)</w:t>
            </w:r>
          </w:p>
        </w:tc>
        <w:tc>
          <w:tcPr>
            <w:tcW w:w="1984" w:type="dxa"/>
          </w:tcPr>
          <w:p w14:paraId="627C2311" w14:textId="04178C60" w:rsidR="00BB40F8" w:rsidRPr="00372B05" w:rsidRDefault="00BB40F8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0.94 (0.75, 1.17)</w:t>
            </w:r>
          </w:p>
        </w:tc>
        <w:tc>
          <w:tcPr>
            <w:tcW w:w="1868" w:type="dxa"/>
          </w:tcPr>
          <w:p w14:paraId="4F5A349E" w14:textId="5AEE6D04" w:rsidR="00BB40F8" w:rsidRPr="00372B05" w:rsidRDefault="00BB40F8" w:rsidP="00DF7CF4">
            <w:pPr>
              <w:rPr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0.88 (0.68, 1.14)</w:t>
            </w:r>
          </w:p>
        </w:tc>
      </w:tr>
      <w:tr w:rsidR="00DF7CF4" w:rsidRPr="00372B05" w14:paraId="3AB3696F" w14:textId="77777777" w:rsidTr="00945F2A">
        <w:trPr>
          <w:trHeight w:val="2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966961E" w14:textId="7B65AC20" w:rsidR="00DF7CF4" w:rsidRPr="00372B05" w:rsidRDefault="00787CF6" w:rsidP="00DF7CF4">
            <w:pPr>
              <w:rPr>
                <w:sz w:val="21"/>
                <w:szCs w:val="21"/>
                <w:lang w:val="en-US"/>
              </w:rPr>
            </w:pPr>
            <w:r w:rsidRPr="00372B05">
              <w:rPr>
                <w:sz w:val="21"/>
                <w:szCs w:val="21"/>
                <w:lang w:val="en-US"/>
              </w:rPr>
              <w:t xml:space="preserve"> </w:t>
            </w:r>
            <w:r w:rsidR="00DF7CF4" w:rsidRPr="00372B05">
              <w:rPr>
                <w:sz w:val="21"/>
                <w:szCs w:val="21"/>
                <w:lang w:val="en-US"/>
              </w:rPr>
              <w:t>Mother + Infant 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99DF5B" w14:textId="10FA9ECB" w:rsidR="00DF7CF4" w:rsidRPr="00372B05" w:rsidRDefault="00DF7CF4" w:rsidP="00DF7CF4">
            <w:pPr>
              <w:rPr>
                <w:b/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1A7375" w14:textId="79AA8F42" w:rsidR="00DF7CF4" w:rsidRPr="00372B05" w:rsidRDefault="00DF7CF4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CC41B2" w14:textId="1F46DC0D" w:rsidR="00DF7CF4" w:rsidRPr="00372B05" w:rsidRDefault="00DF7CF4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sz w:val="20"/>
                <w:szCs w:val="20"/>
                <w:lang w:val="en-US"/>
              </w:rPr>
              <w:t>1.00 (ref)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79011C9B" w14:textId="7C74A8F9" w:rsidR="00DF7CF4" w:rsidRPr="00372B05" w:rsidRDefault="00DF7CF4" w:rsidP="00DF7CF4">
            <w:pPr>
              <w:rPr>
                <w:bCs/>
                <w:sz w:val="20"/>
                <w:szCs w:val="20"/>
                <w:lang w:val="en-US"/>
              </w:rPr>
            </w:pPr>
            <w:r w:rsidRPr="00372B05">
              <w:rPr>
                <w:bCs/>
                <w:sz w:val="20"/>
                <w:szCs w:val="20"/>
                <w:lang w:val="en-US"/>
              </w:rPr>
              <w:t>1.00 (ref)</w:t>
            </w:r>
          </w:p>
        </w:tc>
      </w:tr>
    </w:tbl>
    <w:p w14:paraId="58D54E08" w14:textId="77777777" w:rsidR="00B14831" w:rsidRPr="00372B05" w:rsidRDefault="00B14831" w:rsidP="00DF7CF4">
      <w:pPr>
        <w:rPr>
          <w:sz w:val="10"/>
          <w:szCs w:val="10"/>
          <w:lang w:val="en-US"/>
        </w:rPr>
      </w:pPr>
    </w:p>
    <w:p w14:paraId="0A1F654C" w14:textId="4CFFF2C9" w:rsidR="00B14831" w:rsidRPr="00372B05" w:rsidRDefault="001C7788" w:rsidP="00DF7CF4">
      <w:pPr>
        <w:rPr>
          <w:sz w:val="20"/>
          <w:szCs w:val="20"/>
          <w:lang w:val="en-US"/>
        </w:rPr>
      </w:pPr>
      <w:r w:rsidRPr="00372B05">
        <w:rPr>
          <w:sz w:val="20"/>
          <w:szCs w:val="20"/>
          <w:lang w:val="en-US"/>
        </w:rPr>
        <w:t xml:space="preserve">Maternal and infant secretor status and infant diarrhea in the ALSPAC cohort from 0-6 and 6-18 months. </w:t>
      </w:r>
      <w:proofErr w:type="spellStart"/>
      <w:r w:rsidR="0062359C" w:rsidRPr="00372B05">
        <w:rPr>
          <w:sz w:val="20"/>
          <w:szCs w:val="20"/>
          <w:vertAlign w:val="superscript"/>
          <w:lang w:val="en-US"/>
        </w:rPr>
        <w:t>a</w:t>
      </w:r>
      <w:r w:rsidRPr="00372B05">
        <w:rPr>
          <w:sz w:val="20"/>
          <w:szCs w:val="20"/>
          <w:lang w:val="en-US"/>
        </w:rPr>
        <w:t>Comparison</w:t>
      </w:r>
      <w:proofErr w:type="spellEnd"/>
      <w:r w:rsidRPr="00372B05">
        <w:rPr>
          <w:sz w:val="20"/>
          <w:szCs w:val="20"/>
          <w:lang w:val="en-US"/>
        </w:rPr>
        <w:t xml:space="preserve"> between diarrhea defined </w:t>
      </w:r>
      <w:proofErr w:type="gramStart"/>
      <w:r w:rsidRPr="00372B05">
        <w:rPr>
          <w:sz w:val="20"/>
          <w:szCs w:val="20"/>
          <w:lang w:val="en-US"/>
        </w:rPr>
        <w:t xml:space="preserve">as </w:t>
      </w:r>
      <w:r w:rsidRPr="00372B05">
        <w:rPr>
          <w:bCs/>
          <w:sz w:val="20"/>
          <w:szCs w:val="20"/>
          <w:lang w:val="en-US"/>
        </w:rPr>
        <w:t xml:space="preserve"> </w:t>
      </w:r>
      <w:r w:rsidRPr="00372B05">
        <w:rPr>
          <w:rStyle w:val="hgkelc"/>
          <w:sz w:val="20"/>
          <w:szCs w:val="20"/>
          <w:lang w:val="en-US"/>
        </w:rPr>
        <w:t>≥</w:t>
      </w:r>
      <w:proofErr w:type="gramEnd"/>
      <w:r w:rsidRPr="00372B05">
        <w:rPr>
          <w:rStyle w:val="hgkelc"/>
          <w:sz w:val="20"/>
          <w:szCs w:val="20"/>
          <w:lang w:val="en-US"/>
        </w:rPr>
        <w:t xml:space="preserve"> 1 vs. ≥  2 episodes at 0-6 and 6-18 months. </w:t>
      </w:r>
      <w:r w:rsidR="00B14831" w:rsidRPr="00372B05">
        <w:rPr>
          <w:sz w:val="20"/>
          <w:szCs w:val="20"/>
          <w:lang w:val="en-US"/>
        </w:rPr>
        <w:t xml:space="preserve">Estimates are from logistic regression models mutually adjusted for infant </w:t>
      </w:r>
      <w:r w:rsidR="00B14831" w:rsidRPr="00372B05">
        <w:rPr>
          <w:i/>
          <w:sz w:val="20"/>
          <w:szCs w:val="20"/>
          <w:lang w:val="en-US"/>
        </w:rPr>
        <w:t>FUT2</w:t>
      </w:r>
      <w:r w:rsidR="00B14831" w:rsidRPr="00372B05">
        <w:rPr>
          <w:sz w:val="20"/>
          <w:szCs w:val="20"/>
          <w:lang w:val="en-US"/>
        </w:rPr>
        <w:t xml:space="preserve">, mother </w:t>
      </w:r>
      <w:r w:rsidR="00B14831" w:rsidRPr="00372B05">
        <w:rPr>
          <w:i/>
          <w:sz w:val="20"/>
          <w:szCs w:val="20"/>
          <w:lang w:val="en-US"/>
        </w:rPr>
        <w:t>FUT2</w:t>
      </w:r>
      <w:r w:rsidR="00B14831" w:rsidRPr="00372B05">
        <w:rPr>
          <w:sz w:val="20"/>
          <w:szCs w:val="20"/>
          <w:lang w:val="en-US"/>
        </w:rPr>
        <w:t xml:space="preserve"> and breastfeeding. </w:t>
      </w:r>
      <w:proofErr w:type="spellStart"/>
      <w:r w:rsidR="0062359C" w:rsidRPr="00372B05">
        <w:rPr>
          <w:sz w:val="20"/>
          <w:szCs w:val="20"/>
          <w:vertAlign w:val="superscript"/>
          <w:lang w:val="en-US"/>
        </w:rPr>
        <w:t>b</w:t>
      </w:r>
      <w:r w:rsidR="00B14831" w:rsidRPr="00372B05">
        <w:rPr>
          <w:sz w:val="20"/>
          <w:szCs w:val="20"/>
          <w:lang w:val="en-US"/>
        </w:rPr>
        <w:t>OR</w:t>
      </w:r>
      <w:proofErr w:type="spellEnd"/>
      <w:r w:rsidR="00B14831" w:rsidRPr="00372B05">
        <w:rPr>
          <w:sz w:val="20"/>
          <w:szCs w:val="20"/>
          <w:lang w:val="en-US"/>
        </w:rPr>
        <w:t xml:space="preserve">, odds ratio; CI, confidence interval; </w:t>
      </w:r>
      <w:r w:rsidR="0062359C" w:rsidRPr="00372B05">
        <w:rPr>
          <w:sz w:val="20"/>
          <w:szCs w:val="20"/>
          <w:vertAlign w:val="superscript"/>
          <w:lang w:val="en-US"/>
        </w:rPr>
        <w:t>c</w:t>
      </w:r>
      <w:r w:rsidR="00B14831" w:rsidRPr="00372B05">
        <w:rPr>
          <w:i/>
          <w:sz w:val="20"/>
          <w:szCs w:val="20"/>
          <w:lang w:val="en-US"/>
        </w:rPr>
        <w:t>FUT2</w:t>
      </w:r>
      <w:r w:rsidR="00B14831" w:rsidRPr="00372B05">
        <w:rPr>
          <w:sz w:val="20"/>
          <w:szCs w:val="20"/>
          <w:lang w:val="en-US"/>
        </w:rPr>
        <w:t xml:space="preserve">, fucosyltransferase-2. </w:t>
      </w:r>
      <w:proofErr w:type="spellStart"/>
      <w:r w:rsidR="0062359C" w:rsidRPr="00372B05">
        <w:rPr>
          <w:sz w:val="20"/>
          <w:szCs w:val="20"/>
          <w:vertAlign w:val="superscript"/>
          <w:lang w:val="en-US"/>
        </w:rPr>
        <w:t>d</w:t>
      </w:r>
      <w:r w:rsidR="0062359C" w:rsidRPr="00372B05">
        <w:rPr>
          <w:rFonts w:eastAsiaTheme="minorHAnsi"/>
          <w:sz w:val="20"/>
          <w:szCs w:val="20"/>
          <w:lang w:val="en-US"/>
        </w:rPr>
        <w:t>Mother</w:t>
      </w:r>
      <w:proofErr w:type="spellEnd"/>
      <w:r w:rsidR="0062359C" w:rsidRPr="00372B05">
        <w:rPr>
          <w:rFonts w:eastAsiaTheme="minorHAnsi"/>
          <w:sz w:val="20"/>
          <w:szCs w:val="20"/>
          <w:lang w:val="en-US"/>
        </w:rPr>
        <w:t xml:space="preserve">-infant dyads are classified according to </w:t>
      </w:r>
      <w:r w:rsidR="0062359C" w:rsidRPr="00372B05">
        <w:rPr>
          <w:rFonts w:eastAsiaTheme="minorHAnsi"/>
          <w:i/>
          <w:sz w:val="20"/>
          <w:szCs w:val="20"/>
          <w:lang w:val="en-US"/>
        </w:rPr>
        <w:t xml:space="preserve">FUT2 </w:t>
      </w:r>
      <w:r w:rsidR="0062359C" w:rsidRPr="00372B05">
        <w:rPr>
          <w:rFonts w:eastAsiaTheme="minorHAnsi"/>
          <w:sz w:val="20"/>
          <w:szCs w:val="20"/>
          <w:lang w:val="en-US"/>
        </w:rPr>
        <w:t xml:space="preserve">secretor status based on their rs601338 genotype (- indicates homozygous AA non-secretor; + indicates GA or GG secretor). </w:t>
      </w:r>
      <w:r w:rsidR="00B14831" w:rsidRPr="00372B05">
        <w:rPr>
          <w:sz w:val="20"/>
          <w:szCs w:val="20"/>
          <w:lang w:val="en-US"/>
        </w:rPr>
        <w:t>*p&lt;0.05, **p&lt;0.01, ***p&lt;0.001</w:t>
      </w:r>
    </w:p>
    <w:p w14:paraId="21E16A57" w14:textId="5FB942FA" w:rsidR="00B14831" w:rsidRPr="00372B05" w:rsidRDefault="00B14831" w:rsidP="00B14831">
      <w:pPr>
        <w:spacing w:line="360" w:lineRule="auto"/>
        <w:rPr>
          <w:sz w:val="22"/>
          <w:szCs w:val="32"/>
          <w:lang w:val="en-US"/>
        </w:rPr>
      </w:pPr>
    </w:p>
    <w:p w14:paraId="614B5393" w14:textId="77777777" w:rsidR="00B14831" w:rsidRPr="00372B05" w:rsidRDefault="00B14831" w:rsidP="00B14831">
      <w:pPr>
        <w:spacing w:line="360" w:lineRule="auto"/>
        <w:rPr>
          <w:sz w:val="22"/>
          <w:szCs w:val="32"/>
          <w:lang w:val="en-US"/>
        </w:rPr>
      </w:pPr>
    </w:p>
    <w:p w14:paraId="31A8D5D6" w14:textId="77777777" w:rsidR="00B14831" w:rsidRPr="00372B05" w:rsidRDefault="00B14831">
      <w:pPr>
        <w:rPr>
          <w:lang w:val="en-US"/>
        </w:rPr>
      </w:pPr>
    </w:p>
    <w:sectPr w:rsidR="00B14831" w:rsidRPr="00372B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31"/>
    <w:rsid w:val="000A17A6"/>
    <w:rsid w:val="000B05E4"/>
    <w:rsid w:val="000C037A"/>
    <w:rsid w:val="001C7788"/>
    <w:rsid w:val="00353552"/>
    <w:rsid w:val="00372B05"/>
    <w:rsid w:val="0062359C"/>
    <w:rsid w:val="00787CF6"/>
    <w:rsid w:val="00917EC6"/>
    <w:rsid w:val="00945F2A"/>
    <w:rsid w:val="00B14831"/>
    <w:rsid w:val="00B16C2E"/>
    <w:rsid w:val="00BB40F8"/>
    <w:rsid w:val="00BD2C37"/>
    <w:rsid w:val="00D3622C"/>
    <w:rsid w:val="00DF7CF4"/>
    <w:rsid w:val="00EE23C4"/>
    <w:rsid w:val="00EF25C2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DCC2"/>
  <w15:chartTrackingRefBased/>
  <w15:docId w15:val="{337B3B7B-CCF1-8F44-A703-6F1D085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8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31"/>
    <w:rPr>
      <w:rFonts w:ascii="Times New Roman" w:eastAsia="Times New Roman" w:hAnsi="Times New Roman" w:cs="Times New Roman"/>
      <w:sz w:val="18"/>
      <w:szCs w:val="18"/>
    </w:rPr>
  </w:style>
  <w:style w:type="character" w:customStyle="1" w:styleId="hgkelc">
    <w:name w:val="hgkelc"/>
    <w:basedOn w:val="DefaultParagraphFont"/>
    <w:rsid w:val="00353552"/>
  </w:style>
  <w:style w:type="character" w:styleId="CommentReference">
    <w:name w:val="annotation reference"/>
    <w:basedOn w:val="DefaultParagraphFont"/>
    <w:uiPriority w:val="99"/>
    <w:semiHidden/>
    <w:unhideWhenUsed/>
    <w:rsid w:val="000B0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5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5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7C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Sue Newman</cp:lastModifiedBy>
  <cp:revision>2</cp:revision>
  <dcterms:created xsi:type="dcterms:W3CDTF">2020-10-14T15:49:00Z</dcterms:created>
  <dcterms:modified xsi:type="dcterms:W3CDTF">2020-10-14T15:49:00Z</dcterms:modified>
</cp:coreProperties>
</file>