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3CA0" w14:textId="387EA82F" w:rsidR="0066109A" w:rsidRPr="00223DBF" w:rsidRDefault="00223DBF" w:rsidP="0066109A">
      <w:pPr>
        <w:spacing w:line="480" w:lineRule="auto"/>
        <w:rPr>
          <w:rFonts w:ascii="Times New Roman" w:hAnsi="Times New Roman" w:cs="Times New Roman"/>
          <w:bCs/>
          <w:sz w:val="24"/>
          <w:szCs w:val="20"/>
        </w:rPr>
      </w:pPr>
      <w:r w:rsidRPr="00223DBF">
        <w:rPr>
          <w:rFonts w:ascii="Times New Roman" w:hAnsi="Times New Roman" w:cs="Times New Roman"/>
          <w:b/>
          <w:bCs/>
        </w:rPr>
        <w:t>Supplemental Digital Content 1.</w:t>
      </w:r>
      <w:r w:rsidR="0066109A" w:rsidRPr="00223DBF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Baseline and clinical characteristics of 208 children with recurrent respiratory tract infections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4436"/>
        <w:gridCol w:w="3822"/>
      </w:tblGrid>
      <w:tr w:rsidR="0066109A" w:rsidRPr="00223DBF" w14:paraId="6DF2F793" w14:textId="77777777" w:rsidTr="00114CF2">
        <w:tc>
          <w:tcPr>
            <w:tcW w:w="5240" w:type="dxa"/>
            <w:gridSpan w:val="2"/>
            <w:shd w:val="clear" w:color="auto" w:fill="F2F2F2" w:themeFill="background1" w:themeFillShade="F2"/>
          </w:tcPr>
          <w:p w14:paraId="0E068824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Child characteristics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14:paraId="2BA18188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109A" w:rsidRPr="00223DBF" w14:paraId="38D8142B" w14:textId="77777777" w:rsidTr="00114CF2">
        <w:tc>
          <w:tcPr>
            <w:tcW w:w="5240" w:type="dxa"/>
            <w:gridSpan w:val="2"/>
          </w:tcPr>
          <w:p w14:paraId="1D10B2F2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at first visit, median (range)</w:t>
            </w:r>
          </w:p>
        </w:tc>
        <w:tc>
          <w:tcPr>
            <w:tcW w:w="3822" w:type="dxa"/>
          </w:tcPr>
          <w:p w14:paraId="24ADC129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eastAsia="Times New Roman" w:hAnsi="Times New Roman" w:cs="Times New Roman"/>
                <w:sz w:val="20"/>
                <w:szCs w:val="20"/>
              </w:rPr>
              <w:t>2.2 y (2 m – 16 y)</w:t>
            </w:r>
          </w:p>
        </w:tc>
      </w:tr>
      <w:tr w:rsidR="0066109A" w:rsidRPr="00223DBF" w14:paraId="26E901CB" w14:textId="77777777" w:rsidTr="00114CF2">
        <w:tc>
          <w:tcPr>
            <w:tcW w:w="5240" w:type="dxa"/>
            <w:gridSpan w:val="2"/>
          </w:tcPr>
          <w:p w14:paraId="548A7A08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Male sex, n (%)</w:t>
            </w:r>
          </w:p>
        </w:tc>
        <w:tc>
          <w:tcPr>
            <w:tcW w:w="3822" w:type="dxa"/>
          </w:tcPr>
          <w:p w14:paraId="5F785886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111/208 (53.4%)</w:t>
            </w:r>
          </w:p>
        </w:tc>
      </w:tr>
      <w:tr w:rsidR="0066109A" w:rsidRPr="00223DBF" w14:paraId="78F2AE00" w14:textId="77777777" w:rsidTr="00114CF2">
        <w:tc>
          <w:tcPr>
            <w:tcW w:w="5240" w:type="dxa"/>
            <w:gridSpan w:val="2"/>
          </w:tcPr>
          <w:p w14:paraId="53F69EEA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Smoking parent, n (%)</w:t>
            </w:r>
          </w:p>
        </w:tc>
        <w:tc>
          <w:tcPr>
            <w:tcW w:w="3822" w:type="dxa"/>
          </w:tcPr>
          <w:p w14:paraId="373B4C80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40/119 (19.2%)</w:t>
            </w:r>
          </w:p>
        </w:tc>
      </w:tr>
      <w:tr w:rsidR="0066109A" w:rsidRPr="00223DBF" w14:paraId="747AB353" w14:textId="77777777" w:rsidTr="00114CF2">
        <w:tc>
          <w:tcPr>
            <w:tcW w:w="5240" w:type="dxa"/>
            <w:gridSpan w:val="2"/>
          </w:tcPr>
          <w:p w14:paraId="110A3E99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Day-care attendance, n (%)</w:t>
            </w:r>
          </w:p>
        </w:tc>
        <w:tc>
          <w:tcPr>
            <w:tcW w:w="3822" w:type="dxa"/>
          </w:tcPr>
          <w:p w14:paraId="51102C27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78/94 (37.5%)</w:t>
            </w:r>
          </w:p>
        </w:tc>
      </w:tr>
      <w:tr w:rsidR="0066109A" w:rsidRPr="00223DBF" w14:paraId="62574FE8" w14:textId="77777777" w:rsidTr="00114CF2">
        <w:tc>
          <w:tcPr>
            <w:tcW w:w="5240" w:type="dxa"/>
            <w:gridSpan w:val="2"/>
            <w:shd w:val="clear" w:color="auto" w:fill="F2F2F2" w:themeFill="background1" w:themeFillShade="F2"/>
          </w:tcPr>
          <w:p w14:paraId="223E6B38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Clinical presentation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14:paraId="4FA404C1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109A" w:rsidRPr="00223DBF" w14:paraId="619BC8C6" w14:textId="77777777" w:rsidTr="00114CF2">
        <w:tc>
          <w:tcPr>
            <w:tcW w:w="5240" w:type="dxa"/>
            <w:gridSpan w:val="2"/>
          </w:tcPr>
          <w:p w14:paraId="4AA1516B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Alarming symptoms, n (%)</w:t>
            </w:r>
          </w:p>
        </w:tc>
        <w:tc>
          <w:tcPr>
            <w:tcW w:w="3822" w:type="dxa"/>
          </w:tcPr>
          <w:p w14:paraId="29BD636B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30/208 (14.4%)</w:t>
            </w:r>
          </w:p>
        </w:tc>
      </w:tr>
      <w:tr w:rsidR="0066109A" w:rsidRPr="00223DBF" w14:paraId="4CEB24E4" w14:textId="77777777" w:rsidTr="00114CF2">
        <w:tc>
          <w:tcPr>
            <w:tcW w:w="804" w:type="dxa"/>
          </w:tcPr>
          <w:p w14:paraId="30724A05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36" w:type="dxa"/>
          </w:tcPr>
          <w:p w14:paraId="2B8E5F7C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Failure to thrive</w:t>
            </w:r>
          </w:p>
        </w:tc>
        <w:tc>
          <w:tcPr>
            <w:tcW w:w="3822" w:type="dxa"/>
          </w:tcPr>
          <w:p w14:paraId="0FF1DE55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15/79 (7.2%)</w:t>
            </w:r>
          </w:p>
        </w:tc>
      </w:tr>
      <w:tr w:rsidR="0066109A" w:rsidRPr="00223DBF" w14:paraId="09064173" w14:textId="77777777" w:rsidTr="00114CF2">
        <w:tc>
          <w:tcPr>
            <w:tcW w:w="804" w:type="dxa"/>
          </w:tcPr>
          <w:p w14:paraId="73F319A3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36" w:type="dxa"/>
          </w:tcPr>
          <w:p w14:paraId="502B881C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Chronic diarrhoea </w:t>
            </w:r>
          </w:p>
        </w:tc>
        <w:tc>
          <w:tcPr>
            <w:tcW w:w="3822" w:type="dxa"/>
          </w:tcPr>
          <w:p w14:paraId="31118ACA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4/95 (1.9%)</w:t>
            </w:r>
          </w:p>
        </w:tc>
      </w:tr>
      <w:tr w:rsidR="0066109A" w:rsidRPr="00223DBF" w14:paraId="32300357" w14:textId="77777777" w:rsidTr="00114CF2">
        <w:tc>
          <w:tcPr>
            <w:tcW w:w="804" w:type="dxa"/>
          </w:tcPr>
          <w:p w14:paraId="500998FE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36" w:type="dxa"/>
          </w:tcPr>
          <w:p w14:paraId="1B3F154D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Medical history of severe infection(s)</w:t>
            </w:r>
          </w:p>
        </w:tc>
        <w:tc>
          <w:tcPr>
            <w:tcW w:w="3822" w:type="dxa"/>
          </w:tcPr>
          <w:p w14:paraId="5E20FA52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13/208 (6.3%)</w:t>
            </w:r>
          </w:p>
        </w:tc>
      </w:tr>
      <w:tr w:rsidR="0066109A" w:rsidRPr="00223DBF" w14:paraId="244324DA" w14:textId="77777777" w:rsidTr="00114CF2">
        <w:tc>
          <w:tcPr>
            <w:tcW w:w="5240" w:type="dxa"/>
            <w:gridSpan w:val="2"/>
          </w:tcPr>
          <w:p w14:paraId="76FCFB7E" w14:textId="2D96E0E3" w:rsidR="0066109A" w:rsidRPr="00223DBF" w:rsidRDefault="0066109A" w:rsidP="009942E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Antibiotic </w:t>
            </w:r>
            <w:r w:rsidR="009942ED"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prescriptions</w:t>
            </w: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year before presentation, median (range)</w:t>
            </w:r>
          </w:p>
        </w:tc>
        <w:tc>
          <w:tcPr>
            <w:tcW w:w="3822" w:type="dxa"/>
          </w:tcPr>
          <w:p w14:paraId="6248F746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(0-15)</w:t>
            </w:r>
          </w:p>
        </w:tc>
      </w:tr>
      <w:tr w:rsidR="009942ED" w:rsidRPr="00223DBF" w14:paraId="6E8F313B" w14:textId="77777777" w:rsidTr="00114CF2">
        <w:tc>
          <w:tcPr>
            <w:tcW w:w="5240" w:type="dxa"/>
            <w:gridSpan w:val="2"/>
          </w:tcPr>
          <w:p w14:paraId="3EE992AA" w14:textId="66A7BA6F" w:rsidR="009942ED" w:rsidRPr="00223DBF" w:rsidRDefault="009C09F2" w:rsidP="00900F5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Type of recurrent respiratory tract infections</w:t>
            </w:r>
          </w:p>
        </w:tc>
        <w:tc>
          <w:tcPr>
            <w:tcW w:w="3822" w:type="dxa"/>
          </w:tcPr>
          <w:p w14:paraId="21AC6AF0" w14:textId="0EBE1A29" w:rsidR="009942ED" w:rsidRPr="00223DBF" w:rsidRDefault="009942ED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C09F2" w:rsidRPr="00223DBF" w14:paraId="37BBE073" w14:textId="77777777" w:rsidTr="009C09F2">
        <w:tc>
          <w:tcPr>
            <w:tcW w:w="804" w:type="dxa"/>
          </w:tcPr>
          <w:p w14:paraId="0B2F238E" w14:textId="77777777" w:rsidR="009C09F2" w:rsidRPr="00223DBF" w:rsidRDefault="009C09F2" w:rsidP="00B06DAB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36" w:type="dxa"/>
          </w:tcPr>
          <w:p w14:paraId="7DC2EB6A" w14:textId="154E2E20" w:rsidR="009C09F2" w:rsidRPr="00223DBF" w:rsidRDefault="009C09F2" w:rsidP="00B06DAB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Upper</w:t>
            </w:r>
          </w:p>
        </w:tc>
        <w:tc>
          <w:tcPr>
            <w:tcW w:w="3822" w:type="dxa"/>
          </w:tcPr>
          <w:p w14:paraId="39CE3B0B" w14:textId="33302DEE" w:rsidR="009C09F2" w:rsidRPr="00223DBF" w:rsidRDefault="009C09F2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189 (90.9%)</w:t>
            </w:r>
          </w:p>
        </w:tc>
      </w:tr>
      <w:tr w:rsidR="009C09F2" w:rsidRPr="00223DBF" w14:paraId="51D664F8" w14:textId="77777777" w:rsidTr="009C09F2">
        <w:tc>
          <w:tcPr>
            <w:tcW w:w="804" w:type="dxa"/>
          </w:tcPr>
          <w:p w14:paraId="08EA6963" w14:textId="77777777" w:rsidR="009C09F2" w:rsidRPr="00223DBF" w:rsidRDefault="009C09F2" w:rsidP="00B06DAB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36" w:type="dxa"/>
          </w:tcPr>
          <w:p w14:paraId="23D9AB72" w14:textId="178936DD" w:rsidR="009C09F2" w:rsidRPr="00223DBF" w:rsidRDefault="009C09F2" w:rsidP="00B06DAB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Lower</w:t>
            </w:r>
          </w:p>
        </w:tc>
        <w:tc>
          <w:tcPr>
            <w:tcW w:w="3822" w:type="dxa"/>
          </w:tcPr>
          <w:p w14:paraId="7092FBE5" w14:textId="63EA33E9" w:rsidR="009C09F2" w:rsidRPr="00223DBF" w:rsidRDefault="009C09F2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(4.3%)</w:t>
            </w:r>
          </w:p>
        </w:tc>
      </w:tr>
      <w:tr w:rsidR="009C09F2" w:rsidRPr="00223DBF" w14:paraId="0A826955" w14:textId="77777777" w:rsidTr="009C09F2">
        <w:tc>
          <w:tcPr>
            <w:tcW w:w="804" w:type="dxa"/>
          </w:tcPr>
          <w:p w14:paraId="34018D90" w14:textId="77777777" w:rsidR="009C09F2" w:rsidRPr="00223DBF" w:rsidRDefault="009C09F2" w:rsidP="00B06DAB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36" w:type="dxa"/>
          </w:tcPr>
          <w:p w14:paraId="3AA096D1" w14:textId="0071C4D4" w:rsidR="009C09F2" w:rsidRPr="00223DBF" w:rsidRDefault="009C09F2" w:rsidP="00B06DAB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Both</w:t>
            </w:r>
          </w:p>
        </w:tc>
        <w:tc>
          <w:tcPr>
            <w:tcW w:w="3822" w:type="dxa"/>
          </w:tcPr>
          <w:p w14:paraId="3DC6B109" w14:textId="5DF43135" w:rsidR="009C09F2" w:rsidRPr="00223DBF" w:rsidRDefault="009C09F2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(4.8%)</w:t>
            </w:r>
          </w:p>
        </w:tc>
      </w:tr>
      <w:tr w:rsidR="0066109A" w:rsidRPr="00223DBF" w14:paraId="53000582" w14:textId="77777777" w:rsidTr="00114CF2">
        <w:tc>
          <w:tcPr>
            <w:tcW w:w="5240" w:type="dxa"/>
            <w:gridSpan w:val="2"/>
            <w:shd w:val="clear" w:color="auto" w:fill="F2F2F2" w:themeFill="background1" w:themeFillShade="F2"/>
          </w:tcPr>
          <w:p w14:paraId="5B09E6E3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Healthcare characteristics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14:paraId="25EB67F6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109A" w:rsidRPr="00223DBF" w14:paraId="4E6A50FA" w14:textId="77777777" w:rsidTr="00114CF2">
        <w:tc>
          <w:tcPr>
            <w:tcW w:w="5240" w:type="dxa"/>
            <w:gridSpan w:val="2"/>
          </w:tcPr>
          <w:p w14:paraId="42E02E75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Referral by, n (%)</w:t>
            </w:r>
          </w:p>
        </w:tc>
        <w:tc>
          <w:tcPr>
            <w:tcW w:w="3822" w:type="dxa"/>
          </w:tcPr>
          <w:p w14:paraId="2D631D5D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109A" w:rsidRPr="00223DBF" w14:paraId="7E8DA134" w14:textId="77777777" w:rsidTr="00114CF2">
        <w:tc>
          <w:tcPr>
            <w:tcW w:w="804" w:type="dxa"/>
          </w:tcPr>
          <w:p w14:paraId="5FB158A4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36" w:type="dxa"/>
          </w:tcPr>
          <w:p w14:paraId="31A272E8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General practitioner</w:t>
            </w:r>
          </w:p>
        </w:tc>
        <w:tc>
          <w:tcPr>
            <w:tcW w:w="3822" w:type="dxa"/>
          </w:tcPr>
          <w:p w14:paraId="401EF444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139/200 (66.8%)</w:t>
            </w:r>
          </w:p>
        </w:tc>
      </w:tr>
      <w:tr w:rsidR="0066109A" w:rsidRPr="00223DBF" w14:paraId="7643FB7E" w14:textId="77777777" w:rsidTr="00114CF2">
        <w:tc>
          <w:tcPr>
            <w:tcW w:w="804" w:type="dxa"/>
          </w:tcPr>
          <w:p w14:paraId="1A6E3331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36" w:type="dxa"/>
          </w:tcPr>
          <w:p w14:paraId="10AE967A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health care professional</w:t>
            </w:r>
          </w:p>
        </w:tc>
        <w:tc>
          <w:tcPr>
            <w:tcW w:w="3822" w:type="dxa"/>
          </w:tcPr>
          <w:p w14:paraId="14CF783A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35/200 (16.8%)</w:t>
            </w:r>
          </w:p>
        </w:tc>
      </w:tr>
      <w:tr w:rsidR="0066109A" w:rsidRPr="00223DBF" w14:paraId="232609D5" w14:textId="77777777" w:rsidTr="00114CF2">
        <w:tc>
          <w:tcPr>
            <w:tcW w:w="804" w:type="dxa"/>
          </w:tcPr>
          <w:p w14:paraId="29141A58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36" w:type="dxa"/>
          </w:tcPr>
          <w:p w14:paraId="03436855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Follow-up care with new clinical presentation</w:t>
            </w:r>
          </w:p>
        </w:tc>
        <w:tc>
          <w:tcPr>
            <w:tcW w:w="3822" w:type="dxa"/>
          </w:tcPr>
          <w:p w14:paraId="4C06277F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26/200 (12.5%)</w:t>
            </w:r>
          </w:p>
        </w:tc>
      </w:tr>
      <w:tr w:rsidR="0066109A" w:rsidRPr="00223DBF" w14:paraId="5E08A066" w14:textId="77777777" w:rsidTr="00114CF2">
        <w:tc>
          <w:tcPr>
            <w:tcW w:w="5240" w:type="dxa"/>
            <w:gridSpan w:val="2"/>
          </w:tcPr>
          <w:p w14:paraId="055400EE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Treating physician</w:t>
            </w:r>
          </w:p>
        </w:tc>
        <w:tc>
          <w:tcPr>
            <w:tcW w:w="3822" w:type="dxa"/>
          </w:tcPr>
          <w:p w14:paraId="02B4680E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109A" w:rsidRPr="00223DBF" w14:paraId="08D17100" w14:textId="77777777" w:rsidTr="00114CF2">
        <w:tc>
          <w:tcPr>
            <w:tcW w:w="804" w:type="dxa"/>
          </w:tcPr>
          <w:p w14:paraId="0BFE558F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36" w:type="dxa"/>
          </w:tcPr>
          <w:p w14:paraId="3724F3AA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General paediatrician</w:t>
            </w:r>
          </w:p>
        </w:tc>
        <w:tc>
          <w:tcPr>
            <w:tcW w:w="3822" w:type="dxa"/>
          </w:tcPr>
          <w:p w14:paraId="1FA49AC0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166/208 (79.8%)</w:t>
            </w:r>
          </w:p>
        </w:tc>
      </w:tr>
      <w:tr w:rsidR="0066109A" w:rsidRPr="00223DBF" w14:paraId="0811F677" w14:textId="77777777" w:rsidTr="00114CF2">
        <w:tc>
          <w:tcPr>
            <w:tcW w:w="804" w:type="dxa"/>
          </w:tcPr>
          <w:p w14:paraId="65E8B7C8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36" w:type="dxa"/>
          </w:tcPr>
          <w:p w14:paraId="2BDF68FF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Paediatric pulmonologist</w:t>
            </w:r>
          </w:p>
        </w:tc>
        <w:tc>
          <w:tcPr>
            <w:tcW w:w="3822" w:type="dxa"/>
          </w:tcPr>
          <w:p w14:paraId="34CBC359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40/208 (19.2%)</w:t>
            </w:r>
          </w:p>
        </w:tc>
      </w:tr>
      <w:tr w:rsidR="0066109A" w:rsidRPr="00223DBF" w14:paraId="4D534255" w14:textId="77777777" w:rsidTr="00114CF2">
        <w:tc>
          <w:tcPr>
            <w:tcW w:w="804" w:type="dxa"/>
          </w:tcPr>
          <w:p w14:paraId="3428F17F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36" w:type="dxa"/>
          </w:tcPr>
          <w:p w14:paraId="21C56CCE" w14:textId="77777777" w:rsidR="0066109A" w:rsidRPr="00223DBF" w:rsidRDefault="0066109A" w:rsidP="00114C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Paediatric immunologist</w:t>
            </w:r>
          </w:p>
        </w:tc>
        <w:tc>
          <w:tcPr>
            <w:tcW w:w="3822" w:type="dxa"/>
          </w:tcPr>
          <w:p w14:paraId="2DEBE23E" w14:textId="77777777" w:rsidR="0066109A" w:rsidRPr="00223DBF" w:rsidRDefault="0066109A" w:rsidP="00114C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3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2/208 (1.0%)</w:t>
            </w:r>
          </w:p>
        </w:tc>
      </w:tr>
    </w:tbl>
    <w:p w14:paraId="0E24A09B" w14:textId="77777777" w:rsidR="0066109A" w:rsidRPr="00223DBF" w:rsidRDefault="0066109A" w:rsidP="0066109A">
      <w:pPr>
        <w:pStyle w:val="NoSpacing"/>
        <w:spacing w:line="480" w:lineRule="auto"/>
        <w:rPr>
          <w:rFonts w:ascii="Times New Roman" w:hAnsi="Times New Roman" w:cs="Times New Roman"/>
          <w:i/>
          <w:sz w:val="16"/>
          <w:szCs w:val="20"/>
          <w:lang w:val="en-US"/>
        </w:rPr>
      </w:pPr>
      <w:r w:rsidRPr="00223DBF">
        <w:rPr>
          <w:rFonts w:ascii="Times New Roman" w:hAnsi="Times New Roman" w:cs="Times New Roman"/>
          <w:i/>
          <w:sz w:val="16"/>
          <w:szCs w:val="20"/>
          <w:lang w:val="en-US"/>
        </w:rPr>
        <w:t>Percentages are based on the total study population</w:t>
      </w:r>
    </w:p>
    <w:p w14:paraId="6BBDD107" w14:textId="77777777" w:rsidR="00223DBF" w:rsidRDefault="00223D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C0DDDC2" w14:textId="67D80DF4" w:rsidR="00FA590A" w:rsidRPr="00223DBF" w:rsidRDefault="00FA590A" w:rsidP="00FA590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D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</w:t>
      </w:r>
      <w:r w:rsidR="00223DBF">
        <w:rPr>
          <w:rFonts w:ascii="Times New Roman" w:eastAsia="Times New Roman" w:hAnsi="Times New Roman" w:cs="Times New Roman"/>
          <w:b/>
          <w:sz w:val="24"/>
          <w:szCs w:val="24"/>
        </w:rPr>
        <w:t>upplemental Digital Content 2.</w:t>
      </w:r>
      <w:r w:rsidRPr="00223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3DBF">
        <w:rPr>
          <w:rFonts w:ascii="Times New Roman" w:eastAsia="Times New Roman" w:hAnsi="Times New Roman" w:cs="Times New Roman"/>
          <w:bCs/>
          <w:sz w:val="24"/>
          <w:szCs w:val="24"/>
        </w:rPr>
        <w:t>Proportion of children with recurrent respiratory tract infections with at least one diagnostic test during their visits to the paediatric outpatient clinic</w:t>
      </w:r>
      <w:r w:rsidRPr="00223DB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593C7783" w14:textId="77777777" w:rsidR="0066109A" w:rsidRPr="00223DBF" w:rsidRDefault="0066109A" w:rsidP="0066109A">
      <w:pPr>
        <w:rPr>
          <w:rFonts w:ascii="Times New Roman" w:hAnsi="Times New Roman" w:cs="Times New Roman"/>
        </w:rPr>
      </w:pPr>
      <w:r w:rsidRPr="00223DBF">
        <w:rPr>
          <w:rFonts w:ascii="Times New Roman" w:eastAsia="Times New Roman" w:hAnsi="Times New Roman" w:cs="Times New Roman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60288" behindDoc="1" locked="0" layoutInCell="1" allowOverlap="1" wp14:anchorId="752E08EE" wp14:editId="021988B4">
            <wp:simplePos x="0" y="0"/>
            <wp:positionH relativeFrom="margin">
              <wp:posOffset>2540</wp:posOffset>
            </wp:positionH>
            <wp:positionV relativeFrom="paragraph">
              <wp:posOffset>284480</wp:posOffset>
            </wp:positionV>
            <wp:extent cx="5966460" cy="5966460"/>
            <wp:effectExtent l="0" t="0" r="0" b="0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1" name="Afbeelding 1" descr="G:\KINDERGENEESKUNDE\ONDERZOEK\Recidiverende luchtweginfecties bij kinderen\1B - Retrospective cohort study diagnostic strategies in RRTIs\Figuren\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INDERGENEESKUNDE\ONDERZOEK\Recidiverende luchtweginfecties bij kinderen\1B - Retrospective cohort study diagnostic strategies in RRTIs\Figuren\figur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1CAF5" w14:textId="77777777" w:rsidR="0066109A" w:rsidRPr="00223DBF" w:rsidRDefault="0066109A" w:rsidP="0066109A">
      <w:pPr>
        <w:rPr>
          <w:rFonts w:ascii="Times New Roman" w:hAnsi="Times New Roman" w:cs="Times New Roman"/>
        </w:rPr>
      </w:pPr>
    </w:p>
    <w:p w14:paraId="48940833" w14:textId="77777777" w:rsidR="0066109A" w:rsidRPr="00223DBF" w:rsidRDefault="0066109A" w:rsidP="0066109A">
      <w:pPr>
        <w:rPr>
          <w:rFonts w:ascii="Times New Roman" w:hAnsi="Times New Roman" w:cs="Times New Roman"/>
        </w:rPr>
      </w:pPr>
    </w:p>
    <w:p w14:paraId="720B5548" w14:textId="77777777" w:rsidR="0066109A" w:rsidRPr="00223DBF" w:rsidRDefault="0066109A" w:rsidP="0066109A">
      <w:pPr>
        <w:rPr>
          <w:rFonts w:ascii="Times New Roman" w:hAnsi="Times New Roman" w:cs="Times New Roman"/>
        </w:rPr>
      </w:pPr>
    </w:p>
    <w:p w14:paraId="37D3934F" w14:textId="4BF41B03" w:rsidR="0066109A" w:rsidRPr="00223DBF" w:rsidRDefault="0066109A" w:rsidP="0066109A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DBF">
        <w:rPr>
          <w:rFonts w:ascii="Times New Roman" w:eastAsia="Times New Roman" w:hAnsi="Times New Roman" w:cs="Times New Roman"/>
          <w:b/>
          <w:noProof/>
          <w:sz w:val="24"/>
          <w:szCs w:val="24"/>
          <w:lang w:val="nl-NL"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289E06C8" wp14:editId="5176F2A3">
            <wp:simplePos x="0" y="0"/>
            <wp:positionH relativeFrom="margin">
              <wp:align>left</wp:align>
            </wp:positionH>
            <wp:positionV relativeFrom="paragraph">
              <wp:posOffset>755658</wp:posOffset>
            </wp:positionV>
            <wp:extent cx="5966460" cy="5966460"/>
            <wp:effectExtent l="0" t="0" r="0" b="0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4" name="Afbeelding 4" descr="G:\KINDERGENEESKUNDE\ONDERZOEK\Recidiverende luchtweginfecties bij kinderen\1B - Retrospective cohort study diagnostic strategies in RRTIs\Figuren\fi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INDERGENEESKUNDE\ONDERZOEK\Recidiverende luchtweginfecties bij kinderen\1B - Retrospective cohort study diagnostic strategies in RRTIs\Figuren\figur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3DBF" w:rsidRPr="00223D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23DBF">
        <w:rPr>
          <w:rFonts w:ascii="Times New Roman" w:eastAsia="Times New Roman" w:hAnsi="Times New Roman" w:cs="Times New Roman"/>
          <w:b/>
          <w:sz w:val="24"/>
          <w:szCs w:val="24"/>
        </w:rPr>
        <w:t xml:space="preserve">upplemental Digital Content </w:t>
      </w:r>
      <w:r w:rsidR="00223D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23D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23DBF" w:rsidRPr="00223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590A" w:rsidRPr="00223DBF">
        <w:rPr>
          <w:rFonts w:ascii="Times New Roman" w:eastAsia="Times New Roman" w:hAnsi="Times New Roman" w:cs="Times New Roman"/>
          <w:bCs/>
          <w:sz w:val="24"/>
          <w:szCs w:val="24"/>
        </w:rPr>
        <w:t>Choice of diagnostic tests in children with recurrent respiratory infections visiting the paediatric outpatient clinic</w:t>
      </w:r>
    </w:p>
    <w:p w14:paraId="4AC703C2" w14:textId="77777777" w:rsidR="0066109A" w:rsidRPr="00223DBF" w:rsidRDefault="0066109A" w:rsidP="0066109A">
      <w:pPr>
        <w:rPr>
          <w:rFonts w:ascii="Times New Roman" w:hAnsi="Times New Roman" w:cs="Times New Roman"/>
        </w:rPr>
      </w:pPr>
    </w:p>
    <w:sectPr w:rsidR="0066109A" w:rsidRPr="00223DBF" w:rsidSect="00E14AC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09A"/>
    <w:rsid w:val="000725C4"/>
    <w:rsid w:val="00152104"/>
    <w:rsid w:val="001623DE"/>
    <w:rsid w:val="001C0A3F"/>
    <w:rsid w:val="00223DBF"/>
    <w:rsid w:val="00276AFC"/>
    <w:rsid w:val="0066109A"/>
    <w:rsid w:val="00741701"/>
    <w:rsid w:val="007A359C"/>
    <w:rsid w:val="008676D2"/>
    <w:rsid w:val="00900F5A"/>
    <w:rsid w:val="009942ED"/>
    <w:rsid w:val="009C09F2"/>
    <w:rsid w:val="00A335E1"/>
    <w:rsid w:val="00B06DAB"/>
    <w:rsid w:val="00BB611C"/>
    <w:rsid w:val="00C328A3"/>
    <w:rsid w:val="00C5684A"/>
    <w:rsid w:val="00D13040"/>
    <w:rsid w:val="00D41F3F"/>
    <w:rsid w:val="00E14AC7"/>
    <w:rsid w:val="00E8081E"/>
    <w:rsid w:val="00FA590A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5A5D"/>
  <w15:chartTrackingRefBased/>
  <w15:docId w15:val="{E6F7AF0C-BF95-4B49-BA80-0E99260E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09A"/>
    <w:pPr>
      <w:spacing w:after="0" w:line="240" w:lineRule="auto"/>
    </w:pPr>
    <w:rPr>
      <w:lang w:val="nl-NL"/>
    </w:rPr>
  </w:style>
  <w:style w:type="table" w:styleId="TableGrid">
    <w:name w:val="Table Grid"/>
    <w:basedOn w:val="TableNormal"/>
    <w:uiPriority w:val="59"/>
    <w:rsid w:val="0066109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6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Peeters</dc:creator>
  <cp:keywords/>
  <dc:description/>
  <cp:lastModifiedBy>Amy Sue Newman</cp:lastModifiedBy>
  <cp:revision>2</cp:revision>
  <dcterms:created xsi:type="dcterms:W3CDTF">2021-06-16T20:47:00Z</dcterms:created>
  <dcterms:modified xsi:type="dcterms:W3CDTF">2021-06-16T20:47:00Z</dcterms:modified>
</cp:coreProperties>
</file>