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52"/>
        <w:gridCol w:w="2328"/>
        <w:gridCol w:w="539"/>
        <w:gridCol w:w="2341"/>
        <w:gridCol w:w="539"/>
        <w:gridCol w:w="2341"/>
        <w:gridCol w:w="542"/>
        <w:gridCol w:w="2338"/>
      </w:tblGrid>
      <w:tr w:rsidR="00EF2EB0" w:rsidRPr="00015ED6" w14:paraId="569DA33C" w14:textId="77777777" w:rsidTr="00A66D83">
        <w:trPr>
          <w:cantSplit/>
          <w:trHeight w:hRule="exact" w:val="720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99FD77" w14:textId="1FC8BDED" w:rsidR="00EF2EB0" w:rsidRPr="00015ED6" w:rsidRDefault="008D45BA" w:rsidP="00A66D83">
            <w:pPr>
              <w:pStyle w:val="TableTitle"/>
              <w:rPr>
                <w:b/>
                <w:szCs w:val="24"/>
              </w:rPr>
            </w:pPr>
            <w:bookmarkStart w:id="0" w:name="_Toc55321058"/>
            <w:r>
              <w:rPr>
                <w:b/>
                <w:szCs w:val="24"/>
              </w:rPr>
              <w:t>Supplemental Digital Conte</w:t>
            </w:r>
            <w:r>
              <w:rPr>
                <w:b/>
                <w:szCs w:val="24"/>
              </w:rPr>
              <w:t xml:space="preserve">nt </w:t>
            </w:r>
            <w:r w:rsidR="004C48CD">
              <w:rPr>
                <w:b/>
                <w:szCs w:val="24"/>
              </w:rPr>
              <w:t>2</w:t>
            </w:r>
            <w:r w:rsidR="00EF2EB0" w:rsidRPr="00015ED6">
              <w:rPr>
                <w:b/>
              </w:rPr>
              <w:t xml:space="preserve">. </w:t>
            </w:r>
            <w:r w:rsidR="00EF2EB0" w:rsidRPr="00DA0746">
              <w:t>Summary statistics</w:t>
            </w:r>
            <w:r w:rsidR="00EF2EB0">
              <w:t xml:space="preserve"> by age group</w:t>
            </w:r>
            <w:r w:rsidR="00EF2EB0" w:rsidRPr="00DA0746">
              <w:t xml:space="preserve"> for </w:t>
            </w:r>
            <w:r w:rsidR="00EF2EB0">
              <w:t xml:space="preserve">open-ring metabolite </w:t>
            </w:r>
            <w:r w:rsidR="00EF2EB0" w:rsidRPr="00DA0746">
              <w:t>PK parameters</w:t>
            </w:r>
            <w:r w:rsidR="00EF2EB0">
              <w:t xml:space="preserve"> from Study BPR-PIP-002</w:t>
            </w:r>
            <w:r w:rsidR="00EF2EB0" w:rsidRPr="00DA0746">
              <w:t xml:space="preserve"> derived using non-compartmental methods</w:t>
            </w:r>
            <w:r w:rsidR="00EF2EB0">
              <w:t xml:space="preserve"> (4 groups)</w:t>
            </w:r>
            <w:bookmarkEnd w:id="0"/>
          </w:p>
        </w:tc>
      </w:tr>
      <w:tr w:rsidR="00EF2EB0" w:rsidRPr="00015ED6" w14:paraId="0A51E7FC" w14:textId="77777777" w:rsidTr="00A767FB">
        <w:trPr>
          <w:cantSplit/>
          <w:trHeight w:hRule="exact" w:val="642"/>
          <w:tblHeader/>
          <w:jc w:val="center"/>
        </w:trPr>
        <w:tc>
          <w:tcPr>
            <w:tcW w:w="556" w:type="pct"/>
            <w:vMerge w:val="restart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788C08F0" w14:textId="77777777" w:rsidR="00EF2EB0" w:rsidRPr="00277556" w:rsidRDefault="00EF2EB0" w:rsidP="00A66D83">
            <w:pPr>
              <w:pStyle w:val="TableHeader10pt"/>
              <w:rPr>
                <w:rFonts w:ascii="Arial" w:eastAsia="Century Gothic" w:hAnsi="Arial" w:cs="Arial"/>
              </w:rPr>
            </w:pPr>
            <w:r w:rsidRPr="00277556">
              <w:rPr>
                <w:rFonts w:ascii="Arial" w:hAnsi="Arial" w:cs="Arial"/>
              </w:rPr>
              <w:t>PK Parameter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3FDEB8" w14:textId="77777777" w:rsidR="00EF2EB0" w:rsidRDefault="00EF2EB0" w:rsidP="00A66D83">
            <w:pPr>
              <w:pStyle w:val="TableHeader10pt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Infants (3 mo</w:t>
            </w:r>
            <w:r>
              <w:rPr>
                <w:rFonts w:ascii="Arial" w:eastAsia="Century Gothic" w:hAnsi="Arial" w:cs="Arial"/>
              </w:rPr>
              <w:t>nths</w:t>
            </w:r>
            <w:r w:rsidRPr="00277556">
              <w:rPr>
                <w:rFonts w:ascii="Arial" w:eastAsia="Century Gothic" w:hAnsi="Arial" w:cs="Arial"/>
              </w:rPr>
              <w:t xml:space="preserve"> – 1 y</w:t>
            </w:r>
            <w:r>
              <w:rPr>
                <w:rFonts w:ascii="Arial" w:eastAsia="Century Gothic" w:hAnsi="Arial" w:cs="Arial"/>
              </w:rPr>
              <w:t>ea</w:t>
            </w:r>
            <w:r w:rsidRPr="00277556">
              <w:rPr>
                <w:rFonts w:ascii="Arial" w:eastAsia="Century Gothic" w:hAnsi="Arial" w:cs="Arial"/>
              </w:rPr>
              <w:t>r)</w:t>
            </w:r>
          </w:p>
          <w:p w14:paraId="404FF250" w14:textId="77777777" w:rsidR="00547C6A" w:rsidRPr="00277556" w:rsidRDefault="00547C6A" w:rsidP="00A66D83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20 mg/kg IV over 4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0FCD1D" w14:textId="77777777" w:rsidR="00EF2EB0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Children (2 – 5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373CBA83" w14:textId="77777777" w:rsidR="00547C6A" w:rsidRPr="00277556" w:rsidRDefault="00547C6A" w:rsidP="00A66D83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 xml:space="preserve">20 mg/kg </w:t>
            </w:r>
            <w:r w:rsidR="00BA25AA">
              <w:rPr>
                <w:rFonts w:ascii="Arial" w:eastAsia="Century Gothic" w:hAnsi="Arial" w:cs="Arial"/>
              </w:rPr>
              <w:t xml:space="preserve">IV </w:t>
            </w:r>
            <w:r>
              <w:rPr>
                <w:rFonts w:ascii="Arial" w:eastAsia="Century Gothic" w:hAnsi="Arial" w:cs="Arial"/>
              </w:rPr>
              <w:t>over 2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CBF96D" w14:textId="77777777" w:rsidR="00EF2EB0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Children (6 – 11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3F2C892A" w14:textId="77777777" w:rsidR="00547C6A" w:rsidRPr="00277556" w:rsidRDefault="00547C6A" w:rsidP="00A66D83">
            <w:pPr>
              <w:pStyle w:val="TableHeader10pt"/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15 mg/kg IV over 2 hours</w:t>
            </w:r>
          </w:p>
        </w:tc>
        <w:tc>
          <w:tcPr>
            <w:tcW w:w="1111" w:type="pct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A96DD70" w14:textId="77777777" w:rsidR="00EF2EB0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Adolescents (12 – 17 y</w:t>
            </w:r>
            <w:r>
              <w:rPr>
                <w:rFonts w:ascii="Arial" w:hAnsi="Arial" w:cs="Arial"/>
              </w:rPr>
              <w:t>ea</w:t>
            </w:r>
            <w:r w:rsidRPr="0027755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</w:t>
            </w:r>
            <w:r w:rsidRPr="00277556">
              <w:rPr>
                <w:rFonts w:ascii="Arial" w:hAnsi="Arial" w:cs="Arial"/>
              </w:rPr>
              <w:t>)</w:t>
            </w:r>
          </w:p>
          <w:p w14:paraId="78B9C89B" w14:textId="77777777" w:rsidR="002360AE" w:rsidRPr="00277556" w:rsidRDefault="002360AE" w:rsidP="00A66D83">
            <w:pPr>
              <w:pStyle w:val="TableHeader10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mg/kg IV over 2 hours</w:t>
            </w:r>
          </w:p>
        </w:tc>
      </w:tr>
      <w:tr w:rsidR="00EF2EB0" w:rsidRPr="00015ED6" w14:paraId="3617133F" w14:textId="77777777" w:rsidTr="00A66D83">
        <w:trPr>
          <w:cantSplit/>
          <w:trHeight w:val="576"/>
          <w:tblHeader/>
          <w:jc w:val="center"/>
        </w:trPr>
        <w:tc>
          <w:tcPr>
            <w:tcW w:w="556" w:type="pct"/>
            <w:vMerge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14:paraId="033D63D3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52B4EBF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89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978DEF6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3D0E7196" w14:textId="77777777" w:rsidR="00EF2EB0" w:rsidRPr="00277556" w:rsidRDefault="00EF2EB0" w:rsidP="00767EE2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E2868BF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F475EC0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100AACDE" w14:textId="77777777" w:rsidR="00EF2EB0" w:rsidRPr="00277556" w:rsidRDefault="00EF2EB0" w:rsidP="00767EE2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4966E35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3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A0EAB84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3FD6ACA3" w14:textId="77777777" w:rsidR="00EF2EB0" w:rsidRPr="00277556" w:rsidRDefault="00EF2EB0" w:rsidP="00767EE2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  <w:tc>
          <w:tcPr>
            <w:tcW w:w="209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9A9C035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N</w:t>
            </w:r>
          </w:p>
        </w:tc>
        <w:tc>
          <w:tcPr>
            <w:tcW w:w="902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03F86AB" w14:textId="77777777" w:rsidR="00EF2EB0" w:rsidRPr="00277556" w:rsidRDefault="00EF2EB0" w:rsidP="00A66D83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Mean (CV%)</w:t>
            </w:r>
          </w:p>
          <w:p w14:paraId="501E5105" w14:textId="77777777" w:rsidR="00EF2EB0" w:rsidRPr="00277556" w:rsidRDefault="00EF2EB0" w:rsidP="00767EE2">
            <w:pPr>
              <w:pStyle w:val="TableHeader10pt"/>
              <w:rPr>
                <w:rFonts w:ascii="Arial" w:hAnsi="Arial" w:cs="Arial"/>
              </w:rPr>
            </w:pPr>
            <w:r w:rsidRPr="00277556">
              <w:rPr>
                <w:rFonts w:ascii="Arial" w:hAnsi="Arial" w:cs="Arial"/>
              </w:rPr>
              <w:t>Median (Min – Max)</w:t>
            </w:r>
          </w:p>
        </w:tc>
      </w:tr>
      <w:tr w:rsidR="00EF2EB0" w:rsidRPr="0062384C" w14:paraId="243784DD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14:paraId="2E4A16FA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C</w:t>
            </w:r>
            <w:r w:rsidRPr="00277556">
              <w:rPr>
                <w:rFonts w:ascii="Arial" w:eastAsia="Century Gothic" w:hAnsi="Arial" w:cs="Arial"/>
                <w:vertAlign w:val="subscript"/>
              </w:rPr>
              <w:t>max</w:t>
            </w:r>
            <w:r w:rsidRPr="00277556">
              <w:rPr>
                <w:rFonts w:ascii="Arial" w:eastAsia="Century Gothic" w:hAnsi="Arial" w:cs="Arial"/>
              </w:rPr>
              <w:t xml:space="preserve"> (μg/mL)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604C69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603EF2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2.49 (―)</w:t>
            </w:r>
          </w:p>
          <w:p w14:paraId="4F5BABD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2.49 (2.49 – 2.49)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DC66D2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61489A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1.30 (68.5%)</w:t>
            </w:r>
          </w:p>
          <w:p w14:paraId="632B0C44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1.07 (0.228 – 3.38)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82821F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C6849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1.38 (61.5%)</w:t>
            </w:r>
          </w:p>
          <w:p w14:paraId="2CD8E6C7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1.62 (0.222 – 2.43)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1A1F0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246AD7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1.13 (18.9%)</w:t>
            </w:r>
          </w:p>
          <w:p w14:paraId="39238F26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1.11 (0.886 – 1.53)</w:t>
            </w:r>
          </w:p>
        </w:tc>
      </w:tr>
      <w:tr w:rsidR="00EF2EB0" w:rsidRPr="0062384C" w14:paraId="75F5378A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E6E2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T</w:t>
            </w:r>
            <w:r w:rsidRPr="00277556">
              <w:rPr>
                <w:rFonts w:ascii="Arial" w:eastAsia="Century Gothic" w:hAnsi="Arial" w:cs="Arial"/>
                <w:vertAlign w:val="subscript"/>
              </w:rPr>
              <w:t>max</w:t>
            </w:r>
            <w:r w:rsidRPr="00277556">
              <w:rPr>
                <w:rFonts w:ascii="Arial" w:eastAsia="Century Gothic" w:hAnsi="Arial" w:cs="Arial"/>
              </w:rPr>
              <w:t xml:space="preserve"> (h)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34D6225A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15F09DA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4.07 (―)</w:t>
            </w:r>
          </w:p>
          <w:p w14:paraId="4ADCF58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4.07 (4.07 – 4.07)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19C44D2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1AD04170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2.88 (79.7%)</w:t>
            </w:r>
          </w:p>
          <w:p w14:paraId="426B139E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2.03 (0 – 8.08)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20DC7B81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457AB4F1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3.18 (84.1%)</w:t>
            </w:r>
          </w:p>
          <w:p w14:paraId="0F7C5A6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2.03 (1.80 – 7.95)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30A57EAF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57F9C1CF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2.28 (74.1%)</w:t>
            </w:r>
          </w:p>
          <w:p w14:paraId="238D11E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2.05 (0 – 6.08)</w:t>
            </w:r>
          </w:p>
        </w:tc>
      </w:tr>
      <w:tr w:rsidR="00EF2EB0" w:rsidRPr="0062384C" w14:paraId="07B2EADE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9ACC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AUC</w:t>
            </w:r>
            <w:r w:rsidRPr="00277556">
              <w:rPr>
                <w:rFonts w:ascii="Arial" w:eastAsia="Century Gothic" w:hAnsi="Arial" w:cs="Arial"/>
                <w:vertAlign w:val="subscript"/>
              </w:rPr>
              <w:t>0-last</w:t>
            </w:r>
            <w:r w:rsidRPr="00277556">
              <w:rPr>
                <w:rFonts w:ascii="Arial" w:eastAsia="Century Gothic" w:hAnsi="Arial" w:cs="Arial"/>
              </w:rPr>
              <w:t xml:space="preserve"> (</w:t>
            </w:r>
            <w:proofErr w:type="spellStart"/>
            <w:r w:rsidRPr="00277556">
              <w:rPr>
                <w:rFonts w:ascii="Arial" w:eastAsia="Century Gothic" w:hAnsi="Arial" w:cs="Arial"/>
              </w:rPr>
              <w:t>μg•h</w:t>
            </w:r>
            <w:proofErr w:type="spellEnd"/>
            <w:r w:rsidRPr="00277556">
              <w:rPr>
                <w:rFonts w:ascii="Arial" w:eastAsia="Century Gothic" w:hAnsi="Arial" w:cs="Arial"/>
              </w:rPr>
              <w:t>/mL)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241F731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658EA07A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14.7 (―)</w:t>
            </w:r>
          </w:p>
          <w:p w14:paraId="2BAF5CD6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14.7 (14.7 – 14.7)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0189428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09CA052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5.03 (78.3%)</w:t>
            </w:r>
          </w:p>
          <w:p w14:paraId="26341697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4.47 (0.601 – 15.5)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37535C09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13FE97CE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5.25 (63.5%)</w:t>
            </w:r>
          </w:p>
          <w:p w14:paraId="2912836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6.69 (0.828 – 8.64)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4648619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61D4766E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4.65 (23.2%)</w:t>
            </w:r>
          </w:p>
          <w:p w14:paraId="2ED049F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4.50 (3.55 – 6.35)</w:t>
            </w:r>
          </w:p>
        </w:tc>
      </w:tr>
      <w:tr w:rsidR="00EF2EB0" w:rsidRPr="0062384C" w14:paraId="3D1871A4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0177" w14:textId="77777777" w:rsidR="00EF2EB0" w:rsidRPr="00087F7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lang w:val="de-CH"/>
              </w:rPr>
            </w:pPr>
            <w:r w:rsidRPr="00087F79">
              <w:rPr>
                <w:rFonts w:ascii="Arial" w:eastAsia="Century Gothic" w:hAnsi="Arial" w:cs="Arial"/>
                <w:lang w:val="de-CH"/>
              </w:rPr>
              <w:t>AUC</w:t>
            </w:r>
            <w:r w:rsidRPr="00087F79">
              <w:rPr>
                <w:rFonts w:ascii="Arial" w:eastAsia="Century Gothic" w:hAnsi="Arial" w:cs="Arial"/>
                <w:vertAlign w:val="subscript"/>
                <w:lang w:val="de-CH"/>
              </w:rPr>
              <w:t>0-tau</w:t>
            </w:r>
            <w:r w:rsidRPr="00087F79">
              <w:rPr>
                <w:rFonts w:ascii="Arial" w:eastAsia="Century Gothic" w:hAnsi="Arial" w:cs="Arial"/>
                <w:lang w:val="de-CH"/>
              </w:rPr>
              <w:t xml:space="preserve"> (</w:t>
            </w:r>
            <w:r w:rsidRPr="00277556">
              <w:rPr>
                <w:rFonts w:ascii="Arial" w:eastAsia="Century Gothic" w:hAnsi="Arial" w:cs="Arial"/>
              </w:rPr>
              <w:t>μ</w:t>
            </w:r>
            <w:r w:rsidRPr="00087F79">
              <w:rPr>
                <w:rFonts w:ascii="Arial" w:eastAsia="Century Gothic" w:hAnsi="Arial" w:cs="Arial"/>
                <w:lang w:val="de-CH"/>
              </w:rPr>
              <w:t>g•h/mL)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06EA22A0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5F3F194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14.7 (―)</w:t>
            </w:r>
          </w:p>
          <w:p w14:paraId="12B9D219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14.7 (14.7 – 14.7)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7DBDD4F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76A0A17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5.03 (78.3%)</w:t>
            </w:r>
          </w:p>
          <w:p w14:paraId="0B5F048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4.47 (0.601 – 15.5)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573CC492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514DEA9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5.25 (63.5%)</w:t>
            </w:r>
          </w:p>
          <w:p w14:paraId="352E26C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6.69 (0.828 – 8.64)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4692A4C4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02C7D271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4.65 (23.2%)</w:t>
            </w:r>
          </w:p>
          <w:p w14:paraId="46E0E75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4.50 (3.55 – 6.35)</w:t>
            </w:r>
          </w:p>
        </w:tc>
      </w:tr>
      <w:tr w:rsidR="00EF2EB0" w:rsidRPr="0062384C" w14:paraId="6344B1FD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7A6A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T</w:t>
            </w:r>
            <w:r w:rsidRPr="00277556">
              <w:rPr>
                <w:rFonts w:ascii="Arial" w:eastAsia="Century Gothic" w:hAnsi="Arial" w:cs="Arial"/>
                <w:vertAlign w:val="subscript"/>
              </w:rPr>
              <w:t>1/2</w:t>
            </w:r>
            <w:r w:rsidRPr="00277556">
              <w:rPr>
                <w:rFonts w:ascii="Arial" w:eastAsia="Century Gothic" w:hAnsi="Arial" w:cs="Arial"/>
              </w:rPr>
              <w:t xml:space="preserve"> (h)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58812C8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6E96AA0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―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2505F76F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70F220F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3.62 (25.5%)</w:t>
            </w:r>
          </w:p>
          <w:p w14:paraId="13E83E37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3.64 (2.70 – 5.22)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4FA76F5D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65682324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3.30 (35.3%)</w:t>
            </w:r>
          </w:p>
          <w:p w14:paraId="67190C8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2.67 (2.59 – 4.65)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470322FD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5E620C5D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3.78 (45.8%)</w:t>
            </w:r>
          </w:p>
          <w:p w14:paraId="72813E6C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3.35 (2.00 – 7.47)</w:t>
            </w:r>
          </w:p>
        </w:tc>
      </w:tr>
      <w:tr w:rsidR="00EF2EB0" w:rsidRPr="0062384C" w14:paraId="2F2CD3F8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2162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CL</w:t>
            </w:r>
            <w:r w:rsidRPr="00B010C5">
              <w:rPr>
                <w:rFonts w:ascii="Arial" w:eastAsia="Century Gothic" w:hAnsi="Arial" w:cs="Arial"/>
                <w:vertAlign w:val="subscript"/>
              </w:rPr>
              <w:t>SS</w:t>
            </w:r>
            <w:r w:rsidRPr="00277556">
              <w:rPr>
                <w:rFonts w:ascii="Arial" w:eastAsia="Century Gothic" w:hAnsi="Arial" w:cs="Arial"/>
              </w:rPr>
              <w:t xml:space="preserve"> (L/h</w:t>
            </w:r>
            <w:r>
              <w:rPr>
                <w:rFonts w:ascii="Arial" w:eastAsia="Century Gothic" w:hAnsi="Arial" w:cs="Arial"/>
              </w:rPr>
              <w:t>/kg</w:t>
            </w:r>
            <w:r w:rsidRPr="00277556">
              <w:rPr>
                <w:rFonts w:ascii="Arial" w:eastAsia="Century Gothic" w:hAnsi="Arial" w:cs="Arial"/>
              </w:rPr>
              <w:t>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3EA68AB6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1624475B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1.08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277556">
              <w:rPr>
                <w:rFonts w:ascii="Arial" w:eastAsia="Century Gothic" w:hAnsi="Arial" w:cs="Arial"/>
              </w:rPr>
              <w:t>―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1.08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1.08 – 1.08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08D21C5E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7F96FF5C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6.52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106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3.58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1.04 – 26.6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5ECF7BFC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58D44D49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3.86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102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1.79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1.15 – 10.5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63A5C215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6913944A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1.68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27.7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1.70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1.04 – 2.25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</w:tr>
      <w:tr w:rsidR="00EF2EB0" w:rsidRPr="0062384C" w14:paraId="0815C16F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98F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V</w:t>
            </w:r>
            <w:r>
              <w:rPr>
                <w:rFonts w:ascii="Arial" w:eastAsia="Century Gothic" w:hAnsi="Arial" w:cs="Arial"/>
                <w:vertAlign w:val="subscript"/>
              </w:rPr>
              <w:t>SS</w:t>
            </w:r>
            <w:r w:rsidRPr="00277556">
              <w:rPr>
                <w:rFonts w:ascii="Arial" w:eastAsia="Century Gothic" w:hAnsi="Arial" w:cs="Arial"/>
              </w:rPr>
              <w:t xml:space="preserve"> (L</w:t>
            </w:r>
            <w:r>
              <w:rPr>
                <w:rFonts w:ascii="Arial" w:eastAsia="Century Gothic" w:hAnsi="Arial" w:cs="Arial"/>
              </w:rPr>
              <w:t>/kg</w:t>
            </w:r>
            <w:r w:rsidRPr="00277556">
              <w:rPr>
                <w:rFonts w:ascii="Arial" w:eastAsia="Century Gothic" w:hAnsi="Arial" w:cs="Arial"/>
              </w:rPr>
              <w:t>)</w:t>
            </w:r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75148388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2F06EFC5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3.59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277556">
              <w:rPr>
                <w:rFonts w:ascii="Arial" w:eastAsia="Century Gothic" w:hAnsi="Arial" w:cs="Arial"/>
              </w:rPr>
              <w:t>―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3.59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3.59 – 3.59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382919AE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1BCAFC22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24.8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136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13.1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3.81 – 130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5537689C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49B514B8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19.7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146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6.46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3.91 – 70.7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42E8ADD6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04849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7361C028" w14:textId="77777777" w:rsidR="00EF2EB0" w:rsidRPr="00204849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6.06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25.8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%)</w:t>
            </w:r>
            <w:r>
              <w:rPr>
                <w:rFonts w:ascii="Arial" w:hAnsi="Arial" w:cs="Arial"/>
                <w:color w:val="000000"/>
                <w:szCs w:val="22"/>
              </w:rPr>
              <w:br/>
              <w:t>6.26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2"/>
              </w:rPr>
              <w:t>4.22 – 7.87</w:t>
            </w:r>
            <w:r w:rsidRPr="00204849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</w:tr>
      <w:tr w:rsidR="00EF2EB0" w:rsidRPr="0062384C" w14:paraId="4B8DB14D" w14:textId="77777777" w:rsidTr="00A66D83">
        <w:trPr>
          <w:cantSplit/>
          <w:trHeight w:val="2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7F6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proofErr w:type="spellStart"/>
            <w:r w:rsidRPr="00277556">
              <w:rPr>
                <w:rFonts w:ascii="Arial" w:eastAsia="Century Gothic" w:hAnsi="Arial" w:cs="Arial"/>
              </w:rPr>
              <w:t>R</w:t>
            </w:r>
            <w:r w:rsidRPr="00277556">
              <w:rPr>
                <w:rFonts w:ascii="Arial" w:eastAsia="Century Gothic" w:hAnsi="Arial" w:cs="Arial"/>
                <w:vertAlign w:val="subscript"/>
              </w:rPr>
              <w:t>accumulation</w:t>
            </w:r>
            <w:proofErr w:type="spellEnd"/>
          </w:p>
        </w:tc>
        <w:tc>
          <w:tcPr>
            <w:tcW w:w="213" w:type="pct"/>
            <w:tcBorders>
              <w:left w:val="nil"/>
              <w:right w:val="nil"/>
            </w:tcBorders>
            <w:vAlign w:val="center"/>
          </w:tcPr>
          <w:p w14:paraId="38E5DE6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</w:t>
            </w:r>
          </w:p>
        </w:tc>
        <w:tc>
          <w:tcPr>
            <w:tcW w:w="898" w:type="pct"/>
            <w:tcBorders>
              <w:left w:val="nil"/>
              <w:right w:val="nil"/>
            </w:tcBorders>
            <w:vAlign w:val="center"/>
          </w:tcPr>
          <w:p w14:paraId="65928676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―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413D43AB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14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6659D90D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1.28 (10.9%)</w:t>
            </w:r>
          </w:p>
          <w:p w14:paraId="1FE8B11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1.28 (1.15 – 1.53)</w:t>
            </w:r>
          </w:p>
        </w:tc>
        <w:tc>
          <w:tcPr>
            <w:tcW w:w="208" w:type="pct"/>
            <w:tcBorders>
              <w:left w:val="nil"/>
              <w:right w:val="nil"/>
            </w:tcBorders>
            <w:vAlign w:val="center"/>
          </w:tcPr>
          <w:p w14:paraId="3CDDE837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6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2822564E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1.24 (14.2%)</w:t>
            </w:r>
          </w:p>
          <w:p w14:paraId="4855BD63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  <w:highlight w:val="yellow"/>
              </w:rPr>
            </w:pPr>
            <w:r w:rsidRPr="00277556">
              <w:rPr>
                <w:rFonts w:ascii="Arial" w:eastAsia="Century Gothic" w:hAnsi="Arial" w:cs="Arial"/>
              </w:rPr>
              <w:t>1.14 (1.13 – 1.44)</w:t>
            </w:r>
          </w:p>
        </w:tc>
        <w:tc>
          <w:tcPr>
            <w:tcW w:w="209" w:type="pct"/>
            <w:tcBorders>
              <w:left w:val="nil"/>
              <w:right w:val="nil"/>
            </w:tcBorders>
            <w:vAlign w:val="center"/>
          </w:tcPr>
          <w:p w14:paraId="1C4F4AA5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8</w:t>
            </w:r>
          </w:p>
        </w:tc>
        <w:tc>
          <w:tcPr>
            <w:tcW w:w="902" w:type="pct"/>
            <w:tcBorders>
              <w:left w:val="nil"/>
              <w:right w:val="nil"/>
            </w:tcBorders>
            <w:vAlign w:val="center"/>
          </w:tcPr>
          <w:p w14:paraId="28EF60F4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1.31 (20.8%)</w:t>
            </w:r>
          </w:p>
          <w:p w14:paraId="02672F49" w14:textId="77777777" w:rsidR="00EF2EB0" w:rsidRPr="00277556" w:rsidRDefault="00EF2EB0" w:rsidP="00A66D83">
            <w:pPr>
              <w:pStyle w:val="TableText10ptCentered"/>
              <w:spacing w:before="100" w:after="100"/>
              <w:rPr>
                <w:rFonts w:ascii="Arial" w:eastAsia="Century Gothic" w:hAnsi="Arial" w:cs="Arial"/>
              </w:rPr>
            </w:pPr>
            <w:r w:rsidRPr="00277556">
              <w:rPr>
                <w:rFonts w:ascii="Arial" w:eastAsia="Century Gothic" w:hAnsi="Arial" w:cs="Arial"/>
              </w:rPr>
              <w:t>1.24 (1.07 – 1.91)</w:t>
            </w:r>
          </w:p>
        </w:tc>
      </w:tr>
      <w:tr w:rsidR="00EF2EB0" w:rsidRPr="00277556" w14:paraId="57E0AF77" w14:textId="77777777" w:rsidTr="00A66D83">
        <w:trPr>
          <w:cantSplit/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5D7B024" w14:textId="77777777" w:rsidR="00EF2EB0" w:rsidRPr="004B6821" w:rsidRDefault="00EF2EB0" w:rsidP="00A66D83">
            <w:pPr>
              <w:pStyle w:val="TableNote"/>
              <w:keepNext/>
              <w:keepLines/>
              <w:rPr>
                <w:sz w:val="18"/>
                <w:szCs w:val="18"/>
              </w:rPr>
            </w:pPr>
            <w:r w:rsidRPr="004B6821">
              <w:rPr>
                <w:sz w:val="18"/>
                <w:szCs w:val="18"/>
              </w:rPr>
              <w:t>Note: AUC</w:t>
            </w:r>
            <w:r w:rsidRPr="004B6821">
              <w:rPr>
                <w:sz w:val="18"/>
                <w:szCs w:val="18"/>
                <w:vertAlign w:val="subscript"/>
              </w:rPr>
              <w:t>0-last</w:t>
            </w:r>
            <w:r w:rsidRPr="004B6821">
              <w:rPr>
                <w:sz w:val="18"/>
                <w:szCs w:val="18"/>
              </w:rPr>
              <w:t>, area under the plasma concentration-time curve from time zero to the last measured concentration; AUC</w:t>
            </w:r>
            <w:r w:rsidRPr="004B6821">
              <w:rPr>
                <w:sz w:val="18"/>
                <w:szCs w:val="18"/>
                <w:vertAlign w:val="subscript"/>
              </w:rPr>
              <w:t>0-t</w:t>
            </w:r>
            <w:r>
              <w:rPr>
                <w:sz w:val="18"/>
                <w:szCs w:val="18"/>
                <w:vertAlign w:val="subscript"/>
              </w:rPr>
              <w:t>au</w:t>
            </w:r>
            <w:r w:rsidRPr="004B6821">
              <w:rPr>
                <w:sz w:val="18"/>
                <w:szCs w:val="18"/>
              </w:rPr>
              <w:t xml:space="preserve">, area under the plasma concentration-time curve from time zero to </w:t>
            </w:r>
            <w:r>
              <w:rPr>
                <w:sz w:val="18"/>
                <w:szCs w:val="18"/>
              </w:rPr>
              <w:t xml:space="preserve">tau; </w:t>
            </w:r>
            <w:r w:rsidRPr="004B6821">
              <w:rPr>
                <w:sz w:val="18"/>
                <w:szCs w:val="18"/>
              </w:rPr>
              <w:t>CL</w:t>
            </w:r>
            <w:r>
              <w:rPr>
                <w:sz w:val="18"/>
                <w:szCs w:val="18"/>
                <w:vertAlign w:val="subscript"/>
              </w:rPr>
              <w:t>SS</w:t>
            </w:r>
            <w:r w:rsidRPr="004B6821">
              <w:rPr>
                <w:sz w:val="18"/>
                <w:szCs w:val="18"/>
              </w:rPr>
              <w:t>, oral clearance</w:t>
            </w:r>
            <w:r>
              <w:rPr>
                <w:sz w:val="18"/>
                <w:szCs w:val="18"/>
              </w:rPr>
              <w:t xml:space="preserve"> at steady state</w:t>
            </w:r>
            <w:r w:rsidRPr="004B6821">
              <w:rPr>
                <w:sz w:val="18"/>
                <w:szCs w:val="18"/>
              </w:rPr>
              <w:t>; C</w:t>
            </w:r>
            <w:r w:rsidRPr="004B6821">
              <w:rPr>
                <w:sz w:val="18"/>
                <w:szCs w:val="18"/>
                <w:vertAlign w:val="subscript"/>
              </w:rPr>
              <w:t>max</w:t>
            </w:r>
            <w:r w:rsidRPr="004B6821">
              <w:rPr>
                <w:sz w:val="18"/>
                <w:szCs w:val="18"/>
              </w:rPr>
              <w:t xml:space="preserve">, maximum plasma concentration; CV%, percent coefficient of variation; h, hours; </w:t>
            </w:r>
            <w:r w:rsidR="00BA25AA">
              <w:rPr>
                <w:sz w:val="18"/>
                <w:szCs w:val="18"/>
              </w:rPr>
              <w:t>IV, intravenous(</w:t>
            </w:r>
            <w:proofErr w:type="spellStart"/>
            <w:r w:rsidR="00BA25AA">
              <w:rPr>
                <w:sz w:val="18"/>
                <w:szCs w:val="18"/>
              </w:rPr>
              <w:t>ly</w:t>
            </w:r>
            <w:proofErr w:type="spellEnd"/>
            <w:r w:rsidR="00BA25AA">
              <w:rPr>
                <w:sz w:val="18"/>
                <w:szCs w:val="18"/>
              </w:rPr>
              <w:t xml:space="preserve">); </w:t>
            </w:r>
            <w:r w:rsidRPr="004B6821">
              <w:rPr>
                <w:sz w:val="18"/>
                <w:szCs w:val="18"/>
              </w:rPr>
              <w:t xml:space="preserve">L, liters; Max, maximum; Min, minimum; mL, milliliters; </w:t>
            </w:r>
            <w:r w:rsidRPr="004B6821">
              <w:rPr>
                <w:rFonts w:cs="Arial"/>
                <w:sz w:val="18"/>
                <w:szCs w:val="18"/>
              </w:rPr>
              <w:t>μ</w:t>
            </w:r>
            <w:r w:rsidRPr="004B6821">
              <w:rPr>
                <w:sz w:val="18"/>
                <w:szCs w:val="18"/>
              </w:rPr>
              <w:t>g, micrograms; N, number of observations or subjects;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324A45">
              <w:rPr>
                <w:sz w:val="18"/>
                <w:szCs w:val="18"/>
                <w:vertAlign w:val="subscript"/>
              </w:rPr>
              <w:t>accumulation</w:t>
            </w:r>
            <w:proofErr w:type="spellEnd"/>
            <w:r>
              <w:rPr>
                <w:sz w:val="18"/>
                <w:szCs w:val="18"/>
              </w:rPr>
              <w:t>, accumulation ratio;</w:t>
            </w:r>
            <w:r w:rsidRPr="004B6821">
              <w:rPr>
                <w:sz w:val="18"/>
                <w:szCs w:val="18"/>
              </w:rPr>
              <w:t xml:space="preserve"> T</w:t>
            </w:r>
            <w:r w:rsidRPr="004B6821">
              <w:rPr>
                <w:sz w:val="18"/>
                <w:szCs w:val="18"/>
                <w:vertAlign w:val="subscript"/>
              </w:rPr>
              <w:t>1/2</w:t>
            </w:r>
            <w:r w:rsidRPr="004B6821">
              <w:rPr>
                <w:sz w:val="18"/>
                <w:szCs w:val="18"/>
              </w:rPr>
              <w:t>, half-life; T</w:t>
            </w:r>
            <w:r w:rsidRPr="004B6821">
              <w:rPr>
                <w:sz w:val="18"/>
                <w:szCs w:val="18"/>
                <w:vertAlign w:val="subscript"/>
              </w:rPr>
              <w:t>max</w:t>
            </w:r>
            <w:r w:rsidRPr="004B6821">
              <w:rPr>
                <w:sz w:val="18"/>
                <w:szCs w:val="18"/>
              </w:rPr>
              <w:t>, time at which maximum concentration occurs; V</w:t>
            </w:r>
            <w:r>
              <w:rPr>
                <w:sz w:val="18"/>
                <w:szCs w:val="18"/>
                <w:vertAlign w:val="subscript"/>
              </w:rPr>
              <w:t>SS</w:t>
            </w:r>
            <w:r w:rsidRPr="004B6821">
              <w:rPr>
                <w:sz w:val="18"/>
                <w:szCs w:val="18"/>
              </w:rPr>
              <w:t>, volume of distribution at steady state.</w:t>
            </w:r>
          </w:p>
          <w:p w14:paraId="0E8D2568" w14:textId="77777777" w:rsidR="00EF2EB0" w:rsidRPr="00204849" w:rsidRDefault="00EF2EB0" w:rsidP="00A66D83">
            <w:pPr>
              <w:pStyle w:val="TableNote"/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sz w:val="18"/>
              </w:rPr>
            </w:pPr>
            <w:r w:rsidRPr="00277556">
              <w:rPr>
                <w:sz w:val="18"/>
              </w:rPr>
              <w:t>Note that AUC</w:t>
            </w:r>
            <w:r w:rsidRPr="00277556">
              <w:rPr>
                <w:sz w:val="18"/>
                <w:vertAlign w:val="subscript"/>
              </w:rPr>
              <w:t>0-tau</w:t>
            </w:r>
            <w:r w:rsidRPr="00277556">
              <w:rPr>
                <w:sz w:val="18"/>
              </w:rPr>
              <w:t xml:space="preserve"> is identical to AUC</w:t>
            </w:r>
            <w:r w:rsidRPr="00277556">
              <w:rPr>
                <w:sz w:val="18"/>
                <w:vertAlign w:val="subscript"/>
              </w:rPr>
              <w:t>0-last</w:t>
            </w:r>
            <w:r w:rsidRPr="00277556">
              <w:rPr>
                <w:sz w:val="18"/>
              </w:rPr>
              <w:t xml:space="preserve"> for all </w:t>
            </w:r>
            <w:r>
              <w:rPr>
                <w:sz w:val="18"/>
              </w:rPr>
              <w:t>patients</w:t>
            </w:r>
            <w:r w:rsidRPr="00277556">
              <w:rPr>
                <w:sz w:val="18"/>
              </w:rPr>
              <w:t xml:space="preserve"> as the </w:t>
            </w:r>
            <w:r>
              <w:rPr>
                <w:sz w:val="18"/>
              </w:rPr>
              <w:t xml:space="preserve">time of the </w:t>
            </w:r>
            <w:r w:rsidRPr="00277556">
              <w:rPr>
                <w:sz w:val="18"/>
              </w:rPr>
              <w:t xml:space="preserve">last observed concentration was within +/- 15 minutes of 8 hours in each </w:t>
            </w:r>
            <w:r>
              <w:rPr>
                <w:sz w:val="18"/>
              </w:rPr>
              <w:t>patient</w:t>
            </w:r>
            <w:r w:rsidRPr="00277556">
              <w:rPr>
                <w:sz w:val="18"/>
              </w:rPr>
              <w:t>.</w:t>
            </w:r>
          </w:p>
        </w:tc>
      </w:tr>
    </w:tbl>
    <w:p w14:paraId="61B85A45" w14:textId="77777777" w:rsidR="00F610CC" w:rsidRDefault="00F610CC"/>
    <w:sectPr w:rsidR="00F610CC" w:rsidSect="00EF2E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B4C"/>
    <w:multiLevelType w:val="hybridMultilevel"/>
    <w:tmpl w:val="C188F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B0"/>
    <w:rsid w:val="000C2104"/>
    <w:rsid w:val="002360AE"/>
    <w:rsid w:val="004C48CD"/>
    <w:rsid w:val="004D2134"/>
    <w:rsid w:val="00547C6A"/>
    <w:rsid w:val="00767EE2"/>
    <w:rsid w:val="008D45BA"/>
    <w:rsid w:val="00A767FB"/>
    <w:rsid w:val="00BA25AA"/>
    <w:rsid w:val="00EF2EB0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51B0"/>
  <w15:chartTrackingRefBased/>
  <w15:docId w15:val="{B0C0C1F2-176C-4E6B-B8B7-F8E9513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 Note"/>
    <w:basedOn w:val="Normal"/>
    <w:rsid w:val="00EF2EB0"/>
    <w:pPr>
      <w:tabs>
        <w:tab w:val="left" w:pos="720"/>
      </w:tabs>
      <w:spacing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paragraph" w:customStyle="1" w:styleId="TableTitle">
    <w:name w:val="Table Title"/>
    <w:basedOn w:val="Normal"/>
    <w:next w:val="Normal"/>
    <w:rsid w:val="00EF2EB0"/>
    <w:pPr>
      <w:keepNext/>
      <w:tabs>
        <w:tab w:val="left" w:pos="1440"/>
      </w:tabs>
      <w:spacing w:before="120" w:after="120" w:line="240" w:lineRule="auto"/>
      <w:jc w:val="both"/>
    </w:pPr>
    <w:rPr>
      <w:rFonts w:eastAsia="Times New Roman" w:cs="Times New Roman"/>
      <w:szCs w:val="20"/>
    </w:rPr>
  </w:style>
  <w:style w:type="paragraph" w:customStyle="1" w:styleId="TableHeader10pt">
    <w:name w:val="Table Header 10 pt"/>
    <w:rsid w:val="00EF2EB0"/>
    <w:pPr>
      <w:spacing w:before="60" w:after="60" w:line="240" w:lineRule="auto"/>
      <w:jc w:val="center"/>
    </w:pPr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TableText10ptCentered">
    <w:name w:val="Table Text 10 pt Centered"/>
    <w:basedOn w:val="Normal"/>
    <w:qFormat/>
    <w:rsid w:val="00EF2EB0"/>
    <w:pPr>
      <w:spacing w:before="60" w:after="60" w:line="240" w:lineRule="auto"/>
      <w:jc w:val="center"/>
    </w:pPr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Courtney Safir</dc:creator>
  <cp:keywords/>
  <dc:description/>
  <cp:lastModifiedBy>Amy Sue Newman</cp:lastModifiedBy>
  <cp:revision>2</cp:revision>
  <dcterms:created xsi:type="dcterms:W3CDTF">2021-07-27T20:13:00Z</dcterms:created>
  <dcterms:modified xsi:type="dcterms:W3CDTF">2021-07-27T20:13:00Z</dcterms:modified>
</cp:coreProperties>
</file>