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E0" w:rsidRPr="00914A43" w:rsidRDefault="00E769CD" w:rsidP="0065781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SDC 1</w:t>
      </w:r>
      <w:r w:rsidR="00263A1A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C023E0" w:rsidRPr="00940501">
        <w:rPr>
          <w:rFonts w:asciiTheme="majorBidi" w:hAnsiTheme="majorBidi" w:cstheme="majorBidi"/>
          <w:sz w:val="24"/>
          <w:szCs w:val="24"/>
          <w:lang w:val="en-US"/>
        </w:rPr>
        <w:t xml:space="preserve"> Serological </w:t>
      </w:r>
      <w:r w:rsidR="00263A1A" w:rsidRPr="00940501">
        <w:rPr>
          <w:rFonts w:asciiTheme="majorBidi" w:hAnsiTheme="majorBidi" w:cstheme="majorBidi"/>
          <w:sz w:val="24"/>
          <w:szCs w:val="24"/>
          <w:lang w:val="en-US"/>
        </w:rPr>
        <w:t xml:space="preserve">Diagnosis </w:t>
      </w:r>
      <w:r w:rsidR="00263A1A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263A1A" w:rsidRPr="00940501">
        <w:rPr>
          <w:rFonts w:asciiTheme="majorBidi" w:hAnsiTheme="majorBidi" w:cstheme="majorBidi"/>
          <w:sz w:val="24"/>
          <w:szCs w:val="24"/>
          <w:lang w:val="en-US"/>
        </w:rPr>
        <w:t xml:space="preserve">f Clinically Suspected Acute Rickettsiosis </w:t>
      </w:r>
      <w:r w:rsidR="00263A1A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263A1A" w:rsidRPr="00940501">
        <w:rPr>
          <w:rFonts w:asciiTheme="majorBidi" w:hAnsiTheme="majorBidi" w:cstheme="majorBidi"/>
          <w:sz w:val="24"/>
          <w:szCs w:val="24"/>
          <w:lang w:val="en-US"/>
        </w:rPr>
        <w:t xml:space="preserve">n Children: Comparison </w:t>
      </w:r>
      <w:r w:rsidR="00263A1A">
        <w:rPr>
          <w:rFonts w:asciiTheme="majorBidi" w:hAnsiTheme="majorBidi" w:cstheme="majorBidi"/>
          <w:sz w:val="24"/>
          <w:szCs w:val="24"/>
          <w:lang w:val="en-US"/>
        </w:rPr>
        <w:t>o</w:t>
      </w:r>
      <w:r w:rsidR="00263A1A" w:rsidRPr="00940501">
        <w:rPr>
          <w:rFonts w:asciiTheme="majorBidi" w:hAnsiTheme="majorBidi" w:cstheme="majorBidi"/>
          <w:sz w:val="24"/>
          <w:szCs w:val="24"/>
          <w:lang w:val="en-US"/>
        </w:rPr>
        <w:t xml:space="preserve">f </w:t>
      </w:r>
      <w:r w:rsidR="00C023E0" w:rsidRPr="00940501">
        <w:rPr>
          <w:rFonts w:asciiTheme="majorBidi" w:hAnsiTheme="majorBidi" w:cstheme="majorBidi"/>
          <w:sz w:val="24"/>
          <w:szCs w:val="24"/>
          <w:lang w:val="en-US"/>
        </w:rPr>
        <w:t xml:space="preserve">Murine </w:t>
      </w:r>
      <w:r w:rsidR="00263A1A" w:rsidRPr="00940501">
        <w:rPr>
          <w:rFonts w:asciiTheme="majorBidi" w:hAnsiTheme="majorBidi" w:cstheme="majorBidi"/>
          <w:sz w:val="24"/>
          <w:szCs w:val="24"/>
          <w:lang w:val="en-US"/>
        </w:rPr>
        <w:t>Typhus</w:t>
      </w:r>
      <w:r w:rsidR="008D0A9C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C023E0" w:rsidRPr="00940501">
        <w:rPr>
          <w:rFonts w:asciiTheme="majorBidi" w:hAnsiTheme="majorBidi" w:cstheme="majorBidi"/>
          <w:sz w:val="24"/>
          <w:szCs w:val="24"/>
          <w:lang w:val="en-US"/>
        </w:rPr>
        <w:t xml:space="preserve">Spotted </w:t>
      </w:r>
      <w:r w:rsidR="00263A1A" w:rsidRPr="00940501">
        <w:rPr>
          <w:rFonts w:asciiTheme="majorBidi" w:hAnsiTheme="majorBidi" w:cstheme="majorBidi"/>
          <w:sz w:val="24"/>
          <w:szCs w:val="24"/>
          <w:lang w:val="en-US"/>
        </w:rPr>
        <w:t xml:space="preserve">Fever Seropositive Cases 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1417"/>
      </w:tblGrid>
      <w:tr w:rsidR="008D0A9C" w:rsidRPr="00940501" w:rsidTr="008D0A9C">
        <w:trPr>
          <w:trHeight w:val="64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928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MT </w:t>
            </w:r>
          </w:p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(N=177)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SF (N=21)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P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B928F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Age (years)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mean ± SD (range)</w:t>
            </w:r>
            <w:r w:rsidRPr="00747FD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&gt;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11.5±4.9 (0.4 -18.1)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7.8±5.8 (0.7-18.0)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0.001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(N</w:t>
            </w:r>
            <w:proofErr w:type="gramStart"/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,%</w:t>
            </w:r>
            <w:proofErr w:type="gramEnd"/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 (1.7%)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(4.8%)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0.363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≥8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130 (73.4%)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 (42.9%)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0.003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B928F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Male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110 (62.1%)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 (57.1%)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0.66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B928F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Ethnicity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Bedouin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159 (89.9%)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 (95.2%)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0.69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Jewish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 (10.1%)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(4.8%)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8D0A9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Seasonality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Warm months: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130 (73.4%)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 (66.7%)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0.51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B928F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Clinical Manifestations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Fever (≥38°C)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153 (86.4%)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 (90.5%)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0.60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Mean Temperature ± SD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38.9 ±1.2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39 ±1.2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0.72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Presence of rash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44 (24.9%)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 (42.9%)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0.08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CNS involvement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 (7.3%)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 (9.5%)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0.66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B928F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Laboratory Findings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WBC (mm³); mean ± SD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7.4 ±4.1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10.2 ±7.8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0.009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WBC≤5,000/mm³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56/177 (31.6%)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6/20 (30%)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0.88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WBC≥15,000/mm³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10/177 (5.6%)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5/20 (25.0%)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0.001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Platelets(mm³); mean ± SD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211.9 ±106.1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219.9 ±151.7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0.76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 Platelets≤150 mm³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58/177 (32.8%)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9/20 (45.0%)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0.27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Sodium (</w:t>
            </w:r>
            <w:proofErr w:type="spellStart"/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mEq</w:t>
            </w:r>
            <w:proofErr w:type="spellEnd"/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/L); mean ± SD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32B0A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134.8 ±2.9 (</w:t>
            </w:r>
            <w:r w:rsidR="008D0A9C"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135)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32B0A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133.1 ±5.0 (</w:t>
            </w:r>
            <w:r w:rsidR="008D0A9C"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134)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0.026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Sodium ≤134mEq/L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71/172 (41.3%)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13/20 (65.0%)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0.042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GOT (units); mean ± SD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50.9 ±49.9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32B0A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57.1 ±52.8 (</w:t>
            </w:r>
            <w:bookmarkStart w:id="0" w:name="_GoBack"/>
            <w:bookmarkEnd w:id="0"/>
            <w:r w:rsidR="008D0A9C"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34.5)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0.62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GOT≥ 40U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71/157 (45.2%)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8/18 (44.4%)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0.95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GPT (units); mean ± SD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36.3±39.4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33.5±30.3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0.77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GPT≥ 40U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45/162 (27.8%)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4/19 (21.0%)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0.78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CRP (mg/</w:t>
            </w:r>
            <w:proofErr w:type="spellStart"/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dL</w:t>
            </w:r>
            <w:proofErr w:type="spellEnd"/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); mean ± SD 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7.0±7.7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18.0±9.5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&lt;0.001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CRP≥7 mg/</w:t>
            </w:r>
            <w:proofErr w:type="spellStart"/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dL</w:t>
            </w:r>
            <w:proofErr w:type="spellEnd"/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48/141 (34.0%)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9/15 (60%)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0.047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B928F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8D0A9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Any treatment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†</w:t>
            </w: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83 (46.9%)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 (57.1%)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0.37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Doxycycline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81/83 (97.6%)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11/12 (91.7%)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0.33</w:t>
            </w: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B928F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8D0A9C" w:rsidRPr="00940501" w:rsidTr="008D0A9C">
        <w:trPr>
          <w:trHeight w:val="4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left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Hospitalization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122 (68.9%)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15 (71.4%)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0.81</w:t>
            </w:r>
          </w:p>
        </w:tc>
      </w:tr>
      <w:tr w:rsidR="008D0A9C" w:rsidRPr="00940501" w:rsidTr="008D0A9C">
        <w:trPr>
          <w:trHeight w:val="539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ind w:left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Hospitalization duration (days): mean ± SD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4.2 ±3.0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5.1 ±2.9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0.27</w:t>
            </w:r>
          </w:p>
        </w:tc>
      </w:tr>
      <w:tr w:rsidR="008D0A9C" w:rsidRPr="00940501" w:rsidTr="008D0A9C">
        <w:trPr>
          <w:trHeight w:val="676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left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Hospitalization duration≥4 days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57/122 (46.7%)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11/15 (73.3%)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0.05</w:t>
            </w:r>
          </w:p>
        </w:tc>
      </w:tr>
      <w:tr w:rsidR="008D0A9C" w:rsidRPr="00940501" w:rsidTr="008D0A9C">
        <w:trPr>
          <w:trHeight w:val="249"/>
        </w:trPr>
        <w:tc>
          <w:tcPr>
            <w:tcW w:w="325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B43FEC">
            <w:pPr>
              <w:ind w:left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PICU (N, %)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 (1.7%)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 (4.8%)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0.34</w:t>
            </w:r>
          </w:p>
        </w:tc>
      </w:tr>
      <w:tr w:rsidR="008D0A9C" w:rsidRPr="00940501" w:rsidTr="008D0A9C">
        <w:trPr>
          <w:trHeight w:val="31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9D7A32">
            <w:pPr>
              <w:ind w:firstLine="266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Mortality (N, 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3" w:type="dxa"/>
              <w:bottom w:w="0" w:type="dxa"/>
              <w:right w:w="13" w:type="dxa"/>
            </w:tcMar>
            <w:hideMark/>
          </w:tcPr>
          <w:p w:rsidR="008D0A9C" w:rsidRPr="00747FDB" w:rsidRDefault="008D0A9C" w:rsidP="00263A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7FDB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1.0</w:t>
            </w:r>
          </w:p>
        </w:tc>
      </w:tr>
    </w:tbl>
    <w:p w:rsidR="001867B3" w:rsidRPr="00263A1A" w:rsidRDefault="008D0A9C" w:rsidP="008D0A9C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*</w:t>
      </w:r>
      <w:r w:rsidR="00B928FF" w:rsidRPr="001867B3">
        <w:rPr>
          <w:rFonts w:asciiTheme="majorBidi" w:hAnsiTheme="majorBidi" w:cstheme="majorBidi"/>
          <w:sz w:val="24"/>
          <w:szCs w:val="24"/>
          <w:lang w:val="en-US"/>
        </w:rPr>
        <w:t xml:space="preserve">Warm months – </w:t>
      </w:r>
      <w:proofErr w:type="gramStart"/>
      <w:r w:rsidR="00B928FF" w:rsidRPr="001867B3">
        <w:rPr>
          <w:rFonts w:asciiTheme="majorBidi" w:hAnsiTheme="majorBidi" w:cstheme="majorBidi"/>
          <w:sz w:val="24"/>
          <w:szCs w:val="24"/>
          <w:lang w:val="en-US"/>
        </w:rPr>
        <w:t>Summer</w:t>
      </w:r>
      <w:proofErr w:type="gramEnd"/>
      <w:r w:rsidR="00B928FF" w:rsidRPr="001867B3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832B0A">
        <w:rPr>
          <w:rFonts w:asciiTheme="majorBidi" w:hAnsiTheme="majorBidi" w:cstheme="majorBidi"/>
          <w:sz w:val="24"/>
          <w:szCs w:val="24"/>
          <w:lang w:val="en-US"/>
        </w:rPr>
        <w:t xml:space="preserve">Fall </w:t>
      </w:r>
      <w:r w:rsidR="00263A1A" w:rsidRPr="001867B3">
        <w:rPr>
          <w:rFonts w:asciiTheme="majorBidi" w:hAnsiTheme="majorBidi" w:cstheme="majorBidi"/>
          <w:sz w:val="24"/>
          <w:szCs w:val="24"/>
          <w:lang w:val="en-US"/>
        </w:rPr>
        <w:t>(June through November)</w:t>
      </w:r>
      <w:r w:rsidR="001867B3" w:rsidRPr="001867B3">
        <w:rPr>
          <w:rFonts w:asciiTheme="majorBidi" w:hAnsiTheme="majorBidi" w:cstheme="majorBidi"/>
          <w:sz w:val="24"/>
          <w:szCs w:val="24"/>
          <w:lang w:val="en-US"/>
        </w:rPr>
        <w:t>;</w:t>
      </w:r>
      <w:r w:rsidR="001867B3" w:rsidRPr="001867B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†</w:t>
      </w:r>
      <w:r w:rsidR="00A6120D" w:rsidRPr="00A612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6120D" w:rsidRPr="00747FDB">
        <w:rPr>
          <w:rFonts w:asciiTheme="majorBidi" w:hAnsiTheme="majorBidi" w:cstheme="majorBidi"/>
          <w:sz w:val="24"/>
          <w:szCs w:val="24"/>
          <w:lang w:val="en-US"/>
        </w:rPr>
        <w:t>Any treatment</w:t>
      </w:r>
      <w:r w:rsidR="00A6120D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1867B3" w:rsidRPr="001867B3">
        <w:rPr>
          <w:rFonts w:asciiTheme="majorBidi" w:hAnsiTheme="majorBidi" w:cstheme="majorBidi"/>
          <w:sz w:val="24"/>
          <w:szCs w:val="24"/>
          <w:lang w:val="en-US"/>
        </w:rPr>
        <w:t>doxycycline/macrolides</w:t>
      </w:r>
    </w:p>
    <w:p w:rsidR="008D0A9C" w:rsidRDefault="00A6120D" w:rsidP="00A6120D">
      <w:pPr>
        <w:rPr>
          <w:rFonts w:asciiTheme="majorBidi" w:hAnsiTheme="majorBidi" w:cstheme="majorBidi"/>
          <w:sz w:val="24"/>
          <w:szCs w:val="24"/>
          <w:lang w:val="en-US"/>
        </w:rPr>
      </w:pPr>
      <w:r w:rsidRPr="00E6055D">
        <w:rPr>
          <w:rFonts w:asciiTheme="majorBidi" w:hAnsiTheme="majorBidi" w:cstheme="majorBidi"/>
          <w:sz w:val="24"/>
          <w:szCs w:val="24"/>
          <w:lang w:val="en-US"/>
        </w:rPr>
        <w:t>CNS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indicates central nervous system; WBC, w</w:t>
      </w:r>
      <w:r w:rsidRPr="00E6055D">
        <w:rPr>
          <w:rFonts w:asciiTheme="majorBidi" w:hAnsiTheme="majorBidi" w:cstheme="majorBidi"/>
          <w:sz w:val="24"/>
          <w:szCs w:val="24"/>
          <w:lang w:val="en-US"/>
        </w:rPr>
        <w:t>hite blood cells</w:t>
      </w:r>
      <w:r>
        <w:rPr>
          <w:rFonts w:asciiTheme="majorBidi" w:hAnsiTheme="majorBidi" w:cstheme="majorBidi"/>
          <w:sz w:val="24"/>
          <w:szCs w:val="24"/>
          <w:lang w:val="en-US"/>
        </w:rPr>
        <w:t>; GOT, g</w:t>
      </w:r>
      <w:r w:rsidRPr="00E6055D">
        <w:rPr>
          <w:rFonts w:asciiTheme="majorBidi" w:hAnsiTheme="majorBidi" w:cstheme="majorBidi"/>
          <w:sz w:val="24"/>
          <w:szCs w:val="24"/>
          <w:lang w:val="en-US"/>
        </w:rPr>
        <w:t>lutamic-</w:t>
      </w:r>
      <w:proofErr w:type="spellStart"/>
      <w:r w:rsidRPr="00E6055D">
        <w:rPr>
          <w:rFonts w:asciiTheme="majorBidi" w:hAnsiTheme="majorBidi" w:cstheme="majorBidi"/>
          <w:sz w:val="24"/>
          <w:szCs w:val="24"/>
          <w:lang w:val="en-US"/>
        </w:rPr>
        <w:t>oxaloacetic</w:t>
      </w:r>
      <w:proofErr w:type="spellEnd"/>
      <w:r w:rsidRPr="00E6055D">
        <w:rPr>
          <w:rFonts w:asciiTheme="majorBidi" w:hAnsiTheme="majorBidi" w:cstheme="majorBidi"/>
          <w:sz w:val="24"/>
          <w:szCs w:val="24"/>
          <w:lang w:val="en-US"/>
        </w:rPr>
        <w:t xml:space="preserve"> transaminase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; </w:t>
      </w:r>
    </w:p>
    <w:p w:rsidR="00A6120D" w:rsidRPr="00E6055D" w:rsidRDefault="00A6120D" w:rsidP="00A6120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GPT, g</w:t>
      </w:r>
      <w:r w:rsidRPr="00E6055D">
        <w:rPr>
          <w:rFonts w:asciiTheme="majorBidi" w:hAnsiTheme="majorBidi" w:cstheme="majorBidi"/>
          <w:sz w:val="24"/>
          <w:szCs w:val="24"/>
          <w:lang w:val="en-US"/>
        </w:rPr>
        <w:t>lutamic- pyruvic transaminase</w:t>
      </w:r>
      <w:r>
        <w:rPr>
          <w:rFonts w:asciiTheme="majorBidi" w:hAnsiTheme="majorBidi" w:cstheme="majorBidi"/>
          <w:sz w:val="24"/>
          <w:szCs w:val="24"/>
          <w:lang w:val="en-US"/>
        </w:rPr>
        <w:t>; CRP, C-reactive protein, PICU, p</w:t>
      </w:r>
      <w:r w:rsidRPr="00E6055D">
        <w:rPr>
          <w:rFonts w:asciiTheme="majorBidi" w:hAnsiTheme="majorBidi" w:cstheme="majorBidi"/>
          <w:sz w:val="24"/>
          <w:szCs w:val="24"/>
          <w:lang w:val="en-US"/>
        </w:rPr>
        <w:t>ediatric intensive care unit</w:t>
      </w:r>
    </w:p>
    <w:p w:rsidR="00266166" w:rsidRPr="00940501" w:rsidRDefault="00266166">
      <w:pPr>
        <w:rPr>
          <w:rFonts w:asciiTheme="majorBidi" w:hAnsiTheme="majorBidi" w:cstheme="majorBidi"/>
          <w:sz w:val="24"/>
          <w:szCs w:val="24"/>
        </w:rPr>
      </w:pPr>
    </w:p>
    <w:sectPr w:rsidR="00266166" w:rsidRPr="00940501" w:rsidSect="00914A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0"/>
    <w:rsid w:val="001867B3"/>
    <w:rsid w:val="00210353"/>
    <w:rsid w:val="00263A1A"/>
    <w:rsid w:val="00266166"/>
    <w:rsid w:val="003E06CF"/>
    <w:rsid w:val="00657817"/>
    <w:rsid w:val="00747FDB"/>
    <w:rsid w:val="00832B0A"/>
    <w:rsid w:val="008D0A9C"/>
    <w:rsid w:val="00914A43"/>
    <w:rsid w:val="00940501"/>
    <w:rsid w:val="009D7A32"/>
    <w:rsid w:val="00A6120D"/>
    <w:rsid w:val="00B43FEC"/>
    <w:rsid w:val="00B928FF"/>
    <w:rsid w:val="00C023E0"/>
    <w:rsid w:val="00DF020F"/>
    <w:rsid w:val="00E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13C50-8D37-42FB-8D0F-F0602C3A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RD/FA</dc:creator>
  <cp:keywords/>
  <dc:description/>
  <cp:lastModifiedBy>RD/FA</cp:lastModifiedBy>
  <cp:revision>14</cp:revision>
  <dcterms:created xsi:type="dcterms:W3CDTF">2021-05-11T10:57:00Z</dcterms:created>
  <dcterms:modified xsi:type="dcterms:W3CDTF">2021-06-07T07:27:00Z</dcterms:modified>
</cp:coreProperties>
</file>