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75EF" w14:textId="2E3A578F" w:rsidR="0059639B" w:rsidRPr="00E277DB" w:rsidRDefault="00834EBD" w:rsidP="00E277DB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277DB">
        <w:rPr>
          <w:rFonts w:asciiTheme="minorHAnsi" w:hAnsiTheme="minorHAnsi" w:cstheme="minorHAnsi"/>
          <w:b/>
          <w:bCs/>
          <w:sz w:val="22"/>
          <w:szCs w:val="22"/>
          <w:lang w:val="en-US"/>
        </w:rPr>
        <w:t>Supplementa</w:t>
      </w:r>
      <w:r w:rsidR="00E277DB" w:rsidRPr="00E277DB">
        <w:rPr>
          <w:rFonts w:asciiTheme="minorHAnsi" w:hAnsiTheme="minorHAnsi" w:cstheme="minorHAnsi"/>
          <w:b/>
          <w:bCs/>
          <w:sz w:val="22"/>
          <w:szCs w:val="22"/>
          <w:lang w:val="en-US"/>
        </w:rPr>
        <w:t>l Digital Content</w:t>
      </w:r>
      <w:r w:rsidR="0059639B" w:rsidRPr="00E277D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805CC3">
        <w:rPr>
          <w:rFonts w:asciiTheme="minorHAnsi" w:hAnsiTheme="minorHAnsi" w:cstheme="minorHAnsi"/>
          <w:b/>
          <w:bCs/>
          <w:sz w:val="22"/>
          <w:szCs w:val="22"/>
          <w:lang w:val="en-US"/>
        </w:rPr>
        <w:t>2</w:t>
      </w:r>
      <w:r w:rsidR="0059639B" w:rsidRPr="00E277D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</w:t>
      </w:r>
      <w:r w:rsidR="0059639B" w:rsidRPr="00E277DB">
        <w:rPr>
          <w:rFonts w:asciiTheme="minorHAnsi" w:hAnsiTheme="minorHAnsi" w:cstheme="minorHAnsi"/>
          <w:sz w:val="22"/>
          <w:szCs w:val="22"/>
          <w:lang w:val="en-US"/>
        </w:rPr>
        <w:t>Features of patients according to training and testing groups.</w:t>
      </w:r>
    </w:p>
    <w:tbl>
      <w:tblPr>
        <w:tblStyle w:val="Table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2500"/>
        <w:gridCol w:w="2123"/>
        <w:gridCol w:w="2123"/>
        <w:gridCol w:w="2123"/>
        <w:gridCol w:w="1206"/>
      </w:tblGrid>
      <w:tr w:rsidR="0059639B" w:rsidRPr="00E277DB" w14:paraId="4AEAAF36" w14:textId="77777777" w:rsidTr="00484A2F">
        <w:trPr>
          <w:cantSplit/>
          <w:trHeight w:val="20"/>
          <w:tblHeader/>
          <w:jc w:val="center"/>
        </w:trPr>
        <w:tc>
          <w:tcPr>
            <w:tcW w:w="2500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5A0B" w14:textId="77777777" w:rsidR="0059639B" w:rsidRPr="00E277DB" w:rsidRDefault="0059639B" w:rsidP="00E277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F3A87" w14:textId="77777777" w:rsidR="0059639B" w:rsidRPr="00E277DB" w:rsidRDefault="0059639B" w:rsidP="00E277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     [</w:t>
            </w:r>
            <w:proofErr w:type="gramStart"/>
            <w:r w:rsidRPr="00E277DB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ALL]   </w:t>
            </w:r>
            <w:proofErr w:type="gramEnd"/>
            <w:r w:rsidRPr="00E277DB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123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5216A" w14:textId="77777777" w:rsidR="0059639B" w:rsidRPr="00E277DB" w:rsidRDefault="0059639B" w:rsidP="00E277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      Test      </w:t>
            </w:r>
          </w:p>
        </w:tc>
        <w:tc>
          <w:tcPr>
            <w:tcW w:w="2123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A737" w14:textId="77777777" w:rsidR="0059639B" w:rsidRPr="00E277DB" w:rsidRDefault="0059639B" w:rsidP="00E277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     Train      </w:t>
            </w:r>
          </w:p>
        </w:tc>
        <w:tc>
          <w:tcPr>
            <w:tcW w:w="1206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EBC4E" w14:textId="76677604" w:rsidR="0059639B" w:rsidRPr="00E277DB" w:rsidRDefault="0059639B" w:rsidP="00E277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p.</w:t>
            </w:r>
            <w:r w:rsidR="00E277DB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E277DB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overall</w:t>
            </w:r>
          </w:p>
        </w:tc>
      </w:tr>
      <w:tr w:rsidR="0059639B" w:rsidRPr="00E277DB" w14:paraId="6A013252" w14:textId="77777777" w:rsidTr="00484A2F">
        <w:trPr>
          <w:cantSplit/>
          <w:trHeight w:val="20"/>
          <w:tblHeader/>
          <w:jc w:val="center"/>
        </w:trPr>
        <w:tc>
          <w:tcPr>
            <w:tcW w:w="25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09145" w14:textId="77777777" w:rsidR="0059639B" w:rsidRPr="00E277DB" w:rsidRDefault="0059639B" w:rsidP="00E277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3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1D810" w14:textId="77777777" w:rsidR="0059639B" w:rsidRPr="00E277DB" w:rsidRDefault="0059639B" w:rsidP="00E277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 xml:space="preserve">     N=262      </w:t>
            </w:r>
          </w:p>
        </w:tc>
        <w:tc>
          <w:tcPr>
            <w:tcW w:w="2123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AA90B" w14:textId="77777777" w:rsidR="0059639B" w:rsidRPr="00E277DB" w:rsidRDefault="0059639B" w:rsidP="00E277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 xml:space="preserve">      N=78      </w:t>
            </w:r>
          </w:p>
        </w:tc>
        <w:tc>
          <w:tcPr>
            <w:tcW w:w="2123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3CC8E" w14:textId="77777777" w:rsidR="0059639B" w:rsidRPr="00E277DB" w:rsidRDefault="0059639B" w:rsidP="00E277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 xml:space="preserve">     N=184      </w:t>
            </w:r>
          </w:p>
        </w:tc>
        <w:tc>
          <w:tcPr>
            <w:tcW w:w="1206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6151" w14:textId="77777777" w:rsidR="0059639B" w:rsidRPr="00E277DB" w:rsidRDefault="0059639B" w:rsidP="00E277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b/>
                <w:i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5E875722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6215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Age at admission (years) -</w:t>
            </w:r>
          </w:p>
          <w:p w14:paraId="1C63A7DB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Median (IQR)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B4970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2.00 [1.00;5.00]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D0F1A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2.00 [1.00;4.00]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921E0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3.00 [1.00;5.00]</w:t>
            </w:r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56885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0.338  </w:t>
            </w:r>
          </w:p>
        </w:tc>
      </w:tr>
      <w:tr w:rsidR="0059639B" w:rsidRPr="00E277DB" w14:paraId="704F266C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6A2A0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Gender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97D7D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FE213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0DF8C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E662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0.463  </w:t>
            </w:r>
          </w:p>
        </w:tc>
      </w:tr>
      <w:tr w:rsidR="0059639B" w:rsidRPr="00E277DB" w14:paraId="55C4EFE9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201DC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Male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E1BE1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137 (52.3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0611B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44 (56.4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9FE88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93 (50.5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68A50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4BE04479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4971B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Female–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5E25E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125 (47.7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9F7DB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34 (43.6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5FE2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91 (49.5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913FA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53D01888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FC0F4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Influenza vaccine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A392A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FE915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DA8F7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7D982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1.000  </w:t>
            </w:r>
          </w:p>
        </w:tc>
      </w:tr>
      <w:tr w:rsidR="0059639B" w:rsidRPr="00E277DB" w14:paraId="667E9FF7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FE1B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Yes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656CF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13 (4.96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D0690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4 (5.13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1811B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9 (4.89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A486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24743DD4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BA72A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No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8C754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249 (95.0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3CFE3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74 (94.9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B005E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175 (95.1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A0C3C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3FD5982C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4B44D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Days of Fever - Median (IQR)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5AFFD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4.00 [2.00;5.00]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D315C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4.00 [2.00;6.00]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B75F5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4.00 [2.00;5.00]</w:t>
            </w:r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9022E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0.277  </w:t>
            </w:r>
          </w:p>
        </w:tc>
      </w:tr>
      <w:tr w:rsidR="0059639B" w:rsidRPr="00E277DB" w14:paraId="6219A904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B9453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Vomits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DA72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9F3EC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F88E8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3F137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0.196  </w:t>
            </w:r>
          </w:p>
        </w:tc>
      </w:tr>
      <w:tr w:rsidR="0059639B" w:rsidRPr="00E277DB" w14:paraId="7BE2C966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5D6B9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Yes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B29A1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97 (37.0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0F0F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34 (43.6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378CF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63 (34.2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E662E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7B050B86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55453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No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0E12C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165 (63.0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B39D7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44 (56.4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B34F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121 (65.8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9E579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4EFA9253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81935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Maximum Temperature Median (IQR)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ADBD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39.0 [38.1;39.6]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5214D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39.0 [38.4;39.5]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B4132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39.0 [38.1;39.6]</w:t>
            </w:r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0D3CF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0.808  </w:t>
            </w:r>
          </w:p>
        </w:tc>
      </w:tr>
      <w:tr w:rsidR="0059639B" w:rsidRPr="00E277DB" w14:paraId="66FBA8C1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6A17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Pneumococcal Conjugate Vaccine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02CC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B0B20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69B3F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EAACF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0.156  </w:t>
            </w:r>
          </w:p>
        </w:tc>
      </w:tr>
      <w:tr w:rsidR="0059639B" w:rsidRPr="00E277DB" w14:paraId="54CEF1DF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E0FC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Any doses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4FA77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245 (94.2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975AD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71 (91.0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474DF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174 (95.6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44EC7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04D8FC0D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1E017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Zero doses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E914D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15 (5.77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8DA44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7 (8.97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A2B63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8 (4.40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F2FC9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05D99038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43E2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Respiratory frequency Median (IQR)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01AE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38.0 [28.0;48.0]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C3C1D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40.0 [30.2;50.0]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AFE72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37.0 [28.0;45.5]</w:t>
            </w:r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05A6A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0.107  </w:t>
            </w:r>
          </w:p>
        </w:tc>
      </w:tr>
      <w:tr w:rsidR="0059639B" w:rsidRPr="00E277DB" w14:paraId="40FDA7A9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E63A1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Work of Breathing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0BC34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0F0E1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5C758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D727A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0.152  </w:t>
            </w:r>
          </w:p>
        </w:tc>
      </w:tr>
      <w:tr w:rsidR="0059639B" w:rsidRPr="00E277DB" w14:paraId="768380EF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C31A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No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AABF1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82 (31.3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2FAD1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19 (24.4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CFB98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63 (34.2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BDA0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56728BEC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63A8D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Yes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0F216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180 (68.7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41F0B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59 (75.6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7B5CC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121 (65.8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633EB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7B758C0E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EB681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Wheezing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C1734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30366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65445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AA6A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0.940  </w:t>
            </w:r>
          </w:p>
        </w:tc>
      </w:tr>
      <w:tr w:rsidR="0059639B" w:rsidRPr="00E277DB" w14:paraId="43A7E292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AF656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Yes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927D1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100 (38.2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97051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29 (37.2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6A2C7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71 (38.6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6D7B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5C35707E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BE18B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No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8578E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162 (61.8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3B60F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49 (62.8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C1E43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113 (61.4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CEC1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5686297D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97C53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Oxygen saturation (%) - Median (IQR)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33ADF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94.0 [91.0;96.0]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631C4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94.0 [92.0;96.0]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FDAE2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94.0 [91.0;96.0]</w:t>
            </w:r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CF02A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0.986  </w:t>
            </w:r>
          </w:p>
        </w:tc>
      </w:tr>
      <w:tr w:rsidR="0059639B" w:rsidRPr="00E277DB" w14:paraId="18321E00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27D05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Radiograph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31623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51727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61639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F677E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0.504  </w:t>
            </w:r>
          </w:p>
        </w:tc>
      </w:tr>
      <w:tr w:rsidR="0059639B" w:rsidRPr="00E277DB" w14:paraId="29570BE4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59594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Consolidation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35B8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203 (77.5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19D5A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63 (80.8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E4070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140 (76.1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AF21D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746DABC9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FFD01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Other infiltrates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B44D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59 (22.5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6DCDE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15 (19.2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403E4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44 (23.9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63A77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600005E0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445F1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Hemoglobin - Median (IQR)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F535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11.9 [10.9;12.7]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AD71C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11.5 [10.9;12.4]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B1361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12.1 [11.0;12.9]</w:t>
            </w:r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351A5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0.032  </w:t>
            </w:r>
          </w:p>
        </w:tc>
      </w:tr>
      <w:tr w:rsidR="0059639B" w:rsidRPr="00E277DB" w14:paraId="7773605F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E4188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Lymphocytes - Median (IQR)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4F277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2400 [1500;3822]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CD5F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2425 [1564;4025]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17F05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2400 [1400;3808]</w:t>
            </w:r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29D90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0.720  </w:t>
            </w:r>
          </w:p>
        </w:tc>
      </w:tr>
      <w:tr w:rsidR="0059639B" w:rsidRPr="00E277DB" w14:paraId="537C08DF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51A8B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Leukocytosis or Leukopenia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80E0E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FF478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28114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9BCE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1.000  </w:t>
            </w:r>
          </w:p>
        </w:tc>
      </w:tr>
      <w:tr w:rsidR="0059639B" w:rsidRPr="00E277DB" w14:paraId="2359719E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D4773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No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AEAF4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172 (65.6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48D3A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51 (65.4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AA3D8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121 (65.8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C4AAB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69C639CC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878AA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lastRenderedPageBreak/>
              <w:t xml:space="preserve">    Yes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9E96C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90 (34.4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CC201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27 (34.6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B7E3F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63 (34.2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2794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02E7486B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42990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Neutrophilia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B6D13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4642A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39F89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C2369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1.000  </w:t>
            </w:r>
          </w:p>
        </w:tc>
      </w:tr>
      <w:tr w:rsidR="0059639B" w:rsidRPr="00E277DB" w14:paraId="44076BC7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D91B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No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CF67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173 (66.0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B973C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52 (66.7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5932B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121 (65.8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B9F35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36A7F20D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E7B9F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Yes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963CC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89 (34.0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4546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26 (33.3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C8929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63 (34.2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D7F6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23FDA111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DB5F6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C-reactive protein ≥ 100 mg/L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A8506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E4D0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FCACB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38F4F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0.262  </w:t>
            </w:r>
          </w:p>
        </w:tc>
      </w:tr>
      <w:tr w:rsidR="0059639B" w:rsidRPr="00E277DB" w14:paraId="557D5BA0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8DB12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No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92FD5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163 (62.2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E69C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44 (56.4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7952F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119 (64.7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13D9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5D0CED30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0E344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Yes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B6EE2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99 (37.8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9C35F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34 (43.6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8E350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65 (35.3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538B2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57C5B11E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43330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Procalcitonin ≥ 1.5 ng/mL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C8FBA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C3DD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C157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5E817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0.748  </w:t>
            </w:r>
          </w:p>
        </w:tc>
      </w:tr>
      <w:tr w:rsidR="0059639B" w:rsidRPr="00E277DB" w14:paraId="652F4353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AD61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No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4823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155 (74.5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681E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47 (72.3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3150D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108 (75.5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B5882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115ACAD4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6A7A9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Yes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AD670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53 (25.5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14A92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18 (27.7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6B29C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35 (24.5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ECFE8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1DE6974D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3EECC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Sodium - Median (IQR)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CE265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137 [135;138]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6382C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136 [134;138]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5D703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137 [135;139]  </w:t>
            </w:r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65E90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0.138  </w:t>
            </w:r>
          </w:p>
        </w:tc>
      </w:tr>
      <w:tr w:rsidR="0059639B" w:rsidRPr="00E277DB" w14:paraId="09EE8A54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72869" w14:textId="5F45B419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Hypoalbuminemia &lt; 3.1 g/dL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609E6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6C0E2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4930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E7AEC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0.298  </w:t>
            </w:r>
          </w:p>
        </w:tc>
      </w:tr>
      <w:tr w:rsidR="0059639B" w:rsidRPr="00E277DB" w14:paraId="60146925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5CC9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No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D3B34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55 (26.6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4E580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20 (32.3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2E66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35 (24.1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1E328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62892DA8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294B3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Yes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4BDB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152 (73.4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DC635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42 (67.7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9BB31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110 (75.9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F1BC6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6E286EBA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95EBF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>Etiology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4A19F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9419A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69FEA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       </w:t>
            </w:r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1AE4B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0.526  </w:t>
            </w:r>
          </w:p>
        </w:tc>
      </w:tr>
      <w:tr w:rsidR="0059639B" w:rsidRPr="00E277DB" w14:paraId="03651FE6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CBC99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Atypical Bacteria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C0A21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86 (32.8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D77F1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23 (29.5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F3E62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63 (34.2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8E34E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5FEE21C3" w14:textId="77777777" w:rsidTr="00484A2F">
        <w:trPr>
          <w:cantSplit/>
          <w:trHeight w:val="20"/>
          <w:jc w:val="center"/>
        </w:trPr>
        <w:tc>
          <w:tcPr>
            <w:tcW w:w="2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57812" w14:textId="3903BBBA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Typical Bacteria – n (%)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C293F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38 (14.5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74682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14 (17.9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9D01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24 (13.0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BF68B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  <w:tr w:rsidR="0059639B" w:rsidRPr="00E277DB" w14:paraId="42819C9A" w14:textId="77777777" w:rsidTr="00484A2F">
        <w:trPr>
          <w:cantSplit/>
          <w:trHeight w:val="20"/>
          <w:jc w:val="center"/>
        </w:trPr>
        <w:tc>
          <w:tcPr>
            <w:tcW w:w="25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22BED" w14:textId="77777777" w:rsidR="0059639B" w:rsidRPr="00E277DB" w:rsidRDefault="0059639B" w:rsidP="00E277DB">
            <w:pPr>
              <w:spacing w:before="40" w:after="40"/>
              <w:ind w:left="100" w:righ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Virus – n (%)</w:t>
            </w:r>
          </w:p>
        </w:tc>
        <w:tc>
          <w:tcPr>
            <w:tcW w:w="2123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C0720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138 (52.7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A4346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41 (52.6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2123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39697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97 (52.7</w:t>
            </w:r>
            <w:proofErr w:type="gramStart"/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%)   </w:t>
            </w:r>
            <w:proofErr w:type="gramEnd"/>
          </w:p>
        </w:tc>
        <w:tc>
          <w:tcPr>
            <w:tcW w:w="1206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5079C" w14:textId="77777777" w:rsidR="0059639B" w:rsidRPr="00E277DB" w:rsidRDefault="0059639B" w:rsidP="00E277DB">
            <w:pPr>
              <w:spacing w:before="40" w:after="40"/>
              <w:ind w:left="100"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DB">
              <w:rPr>
                <w:rFonts w:asciiTheme="minorHAnsi" w:eastAsia="Arial" w:hAnsiTheme="minorHAnsi" w:cstheme="minorHAnsi"/>
                <w:color w:val="111111"/>
                <w:sz w:val="22"/>
                <w:szCs w:val="22"/>
              </w:rPr>
              <w:t xml:space="preserve">         </w:t>
            </w:r>
          </w:p>
        </w:tc>
      </w:tr>
    </w:tbl>
    <w:p w14:paraId="01618AE1" w14:textId="77777777" w:rsidR="00A8431B" w:rsidRPr="00E277DB" w:rsidRDefault="004C6687" w:rsidP="00E277DB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sectPr w:rsidR="00A8431B" w:rsidRPr="00E277DB" w:rsidSect="007334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3945" w14:textId="77777777" w:rsidR="004C6687" w:rsidRDefault="004C6687" w:rsidP="0073340D">
      <w:r>
        <w:separator/>
      </w:r>
    </w:p>
  </w:endnote>
  <w:endnote w:type="continuationSeparator" w:id="0">
    <w:p w14:paraId="7A4719D5" w14:textId="77777777" w:rsidR="004C6687" w:rsidRDefault="004C6687" w:rsidP="0073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9118" w14:textId="77777777" w:rsidR="0073340D" w:rsidRDefault="00733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C80D" w14:textId="77777777" w:rsidR="0073340D" w:rsidRDefault="00733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A037" w14:textId="77777777" w:rsidR="0073340D" w:rsidRDefault="00733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4B2C" w14:textId="77777777" w:rsidR="004C6687" w:rsidRDefault="004C6687" w:rsidP="0073340D">
      <w:r>
        <w:separator/>
      </w:r>
    </w:p>
  </w:footnote>
  <w:footnote w:type="continuationSeparator" w:id="0">
    <w:p w14:paraId="42B090E5" w14:textId="77777777" w:rsidR="004C6687" w:rsidRDefault="004C6687" w:rsidP="0073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FC96" w14:textId="77777777" w:rsidR="0073340D" w:rsidRDefault="00733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0FA9" w14:textId="77777777" w:rsidR="0073340D" w:rsidRDefault="00733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68F4" w14:textId="77777777" w:rsidR="0073340D" w:rsidRDefault="00733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9B"/>
    <w:rsid w:val="0010439E"/>
    <w:rsid w:val="001529A4"/>
    <w:rsid w:val="004C6687"/>
    <w:rsid w:val="0059639B"/>
    <w:rsid w:val="006E75CB"/>
    <w:rsid w:val="0073340D"/>
    <w:rsid w:val="00805CC3"/>
    <w:rsid w:val="00834EBD"/>
    <w:rsid w:val="00DE5F21"/>
    <w:rsid w:val="00E277DB"/>
    <w:rsid w:val="00E8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6072"/>
  <w15:chartTrackingRefBased/>
  <w15:docId w15:val="{B7EA7246-1944-4861-8628-D95DD77E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39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59639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semiHidden/>
    <w:unhideWhenUsed/>
    <w:qFormat/>
    <w:rsid w:val="0059639B"/>
    <w:pPr>
      <w:spacing w:after="200"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63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40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40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73340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40D"/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Amy Sue Newman</cp:lastModifiedBy>
  <cp:revision>3</cp:revision>
  <dcterms:created xsi:type="dcterms:W3CDTF">2021-08-24T19:31:00Z</dcterms:created>
  <dcterms:modified xsi:type="dcterms:W3CDTF">2021-08-26T20:51:00Z</dcterms:modified>
</cp:coreProperties>
</file>