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9389" w14:textId="77777777" w:rsidR="00CE5AAF" w:rsidRDefault="00E85A33">
      <w:pPr>
        <w:spacing w:after="216" w:line="259" w:lineRule="auto"/>
        <w:ind w:left="29" w:firstLine="0"/>
        <w:jc w:val="left"/>
      </w:pPr>
      <w:r>
        <w:rPr>
          <w:b/>
        </w:rPr>
        <w:t xml:space="preserve"> </w:t>
      </w:r>
    </w:p>
    <w:p w14:paraId="74E0C3CF" w14:textId="77777777" w:rsidR="00CE5AAF" w:rsidRDefault="00E85A33">
      <w:pPr>
        <w:ind w:left="24"/>
      </w:pPr>
      <w:r>
        <w:rPr>
          <w:b/>
        </w:rPr>
        <w:t xml:space="preserve">Trial Title:  </w:t>
      </w:r>
      <w:r>
        <w:t xml:space="preserve">Immunogenicity and reactogenicity of concomitantly administered hexavalent and group B meningococcal vaccines in infancy. </w:t>
      </w:r>
    </w:p>
    <w:p w14:paraId="6DC4E29E" w14:textId="77777777" w:rsidR="00CE5AAF" w:rsidRDefault="00E85A33">
      <w:pPr>
        <w:spacing w:after="218" w:line="259" w:lineRule="auto"/>
        <w:ind w:left="29" w:firstLine="0"/>
        <w:jc w:val="left"/>
      </w:pPr>
      <w:r>
        <w:t xml:space="preserve"> </w:t>
      </w:r>
    </w:p>
    <w:p w14:paraId="3536C282" w14:textId="77777777" w:rsidR="00CE5AAF" w:rsidRDefault="00E85A33">
      <w:pPr>
        <w:spacing w:after="218" w:line="259" w:lineRule="auto"/>
        <w:ind w:left="38"/>
        <w:jc w:val="center"/>
      </w:pPr>
      <w:r>
        <w:rPr>
          <w:b/>
        </w:rPr>
        <w:t>Internal Reference Number / Short title:</w:t>
      </w:r>
      <w:r>
        <w:t xml:space="preserve"> OVG 2018/05. The 6-in-1 vaccine study </w:t>
      </w:r>
    </w:p>
    <w:p w14:paraId="10D0B97D" w14:textId="3DE5B836" w:rsidR="00CE5AAF" w:rsidRDefault="00E85A33">
      <w:pPr>
        <w:pStyle w:val="Heading1"/>
        <w:spacing w:after="218"/>
        <w:ind w:left="38" w:right="2"/>
        <w:jc w:val="center"/>
      </w:pPr>
      <w:r>
        <w:rPr>
          <w:sz w:val="22"/>
        </w:rPr>
        <w:t>Ethics Ref:</w:t>
      </w:r>
      <w:r>
        <w:rPr>
          <w:b w:val="0"/>
          <w:sz w:val="22"/>
        </w:rPr>
        <w:t xml:space="preserve"> </w:t>
      </w:r>
      <w:r w:rsidR="0058017F" w:rsidRPr="00C54D53">
        <w:rPr>
          <w:b w:val="0"/>
          <w:sz w:val="22"/>
        </w:rPr>
        <w:t>19/SC/0052</w:t>
      </w:r>
    </w:p>
    <w:p w14:paraId="3268B618" w14:textId="77777777" w:rsidR="00CE5AAF" w:rsidRDefault="00E85A33">
      <w:pPr>
        <w:spacing w:after="218" w:line="259" w:lineRule="auto"/>
        <w:ind w:right="1"/>
        <w:jc w:val="center"/>
      </w:pPr>
      <w:r>
        <w:t xml:space="preserve">IRAS Project ID: 252324 </w:t>
      </w:r>
    </w:p>
    <w:p w14:paraId="761E8DB5" w14:textId="77777777" w:rsidR="00CE5AAF" w:rsidRDefault="00E85A33">
      <w:pPr>
        <w:spacing w:after="218" w:line="259" w:lineRule="auto"/>
        <w:ind w:right="2"/>
        <w:jc w:val="center"/>
      </w:pPr>
      <w:r>
        <w:rPr>
          <w:b/>
        </w:rPr>
        <w:t>EudraCT Number</w:t>
      </w:r>
      <w:r>
        <w:t xml:space="preserve">: 2018-003451-38 </w:t>
      </w:r>
    </w:p>
    <w:p w14:paraId="0D2F548A" w14:textId="503B3255" w:rsidR="00CE5AAF" w:rsidRDefault="00E85A33">
      <w:pPr>
        <w:spacing w:after="218" w:line="259" w:lineRule="auto"/>
        <w:jc w:val="center"/>
      </w:pPr>
      <w:r>
        <w:rPr>
          <w:b/>
        </w:rPr>
        <w:t>Date and Version No</w:t>
      </w:r>
      <w:r>
        <w:t xml:space="preserve">: </w:t>
      </w:r>
      <w:r w:rsidR="009570F4">
        <w:t>17</w:t>
      </w:r>
      <w:r w:rsidR="00E6117C">
        <w:t>-</w:t>
      </w:r>
      <w:r w:rsidR="009570F4">
        <w:t>AUG</w:t>
      </w:r>
      <w:r w:rsidR="00E6117C">
        <w:t>-2020</w:t>
      </w:r>
      <w:r>
        <w:t xml:space="preserve">, Version </w:t>
      </w:r>
      <w:r w:rsidR="009570F4">
        <w:t>4</w:t>
      </w:r>
      <w:r w:rsidR="00E6117C">
        <w:t>.0</w:t>
      </w:r>
    </w:p>
    <w:p w14:paraId="6BCAE84E" w14:textId="77777777" w:rsidR="00CE5AAF" w:rsidRDefault="00E85A33">
      <w:pPr>
        <w:spacing w:after="0" w:line="259" w:lineRule="auto"/>
        <w:ind w:left="77" w:firstLine="0"/>
        <w:jc w:val="center"/>
      </w:pPr>
      <w:r>
        <w:t xml:space="preserve"> </w:t>
      </w:r>
    </w:p>
    <w:tbl>
      <w:tblPr>
        <w:tblStyle w:val="TableGrid"/>
        <w:tblW w:w="8709" w:type="dxa"/>
        <w:tblInd w:w="0" w:type="dxa"/>
        <w:tblLook w:val="04A0" w:firstRow="1" w:lastRow="0" w:firstColumn="1" w:lastColumn="0" w:noHBand="0" w:noVBand="1"/>
      </w:tblPr>
      <w:tblGrid>
        <w:gridCol w:w="2573"/>
        <w:gridCol w:w="6136"/>
      </w:tblGrid>
      <w:tr w:rsidR="00CE5AAF" w14:paraId="0822ECC5" w14:textId="77777777">
        <w:trPr>
          <w:trHeight w:val="2912"/>
        </w:trPr>
        <w:tc>
          <w:tcPr>
            <w:tcW w:w="2573" w:type="dxa"/>
            <w:tcBorders>
              <w:top w:val="nil"/>
              <w:left w:val="nil"/>
              <w:bottom w:val="nil"/>
              <w:right w:val="nil"/>
            </w:tcBorders>
          </w:tcPr>
          <w:p w14:paraId="623EDEB0" w14:textId="77777777" w:rsidR="00CE5AAF" w:rsidRDefault="00E85A33">
            <w:pPr>
              <w:spacing w:after="0" w:line="259" w:lineRule="auto"/>
              <w:ind w:left="0" w:firstLine="0"/>
              <w:jc w:val="left"/>
            </w:pPr>
            <w:r>
              <w:rPr>
                <w:b/>
              </w:rPr>
              <w:t xml:space="preserve">Chief Investigator: </w:t>
            </w:r>
          </w:p>
        </w:tc>
        <w:tc>
          <w:tcPr>
            <w:tcW w:w="6136" w:type="dxa"/>
            <w:tcBorders>
              <w:top w:val="nil"/>
              <w:left w:val="nil"/>
              <w:bottom w:val="nil"/>
              <w:right w:val="nil"/>
            </w:tcBorders>
          </w:tcPr>
          <w:p w14:paraId="20F1E493" w14:textId="77777777" w:rsidR="00CE5AAF" w:rsidRDefault="00E85A33">
            <w:pPr>
              <w:spacing w:after="218" w:line="259" w:lineRule="auto"/>
              <w:ind w:left="502" w:firstLine="0"/>
              <w:jc w:val="left"/>
            </w:pPr>
            <w:r>
              <w:t xml:space="preserve">Professor Matthew Snape </w:t>
            </w:r>
          </w:p>
          <w:p w14:paraId="7ADA9EAF" w14:textId="77777777" w:rsidR="00CE5AAF" w:rsidRDefault="00E85A33">
            <w:pPr>
              <w:spacing w:after="218" w:line="259" w:lineRule="auto"/>
              <w:ind w:left="502" w:firstLine="0"/>
              <w:jc w:val="left"/>
            </w:pPr>
            <w:r>
              <w:t xml:space="preserve">Associate Professor in General Paediatrics and Vaccinology </w:t>
            </w:r>
          </w:p>
          <w:p w14:paraId="3006A420" w14:textId="77777777" w:rsidR="00CE5AAF" w:rsidRDefault="00E85A33">
            <w:pPr>
              <w:spacing w:after="218" w:line="259" w:lineRule="auto"/>
              <w:ind w:left="502" w:firstLine="0"/>
              <w:jc w:val="left"/>
            </w:pPr>
            <w:r>
              <w:t xml:space="preserve">Centre for Clinical Vaccinology and Tropical Medicine (CCVTM) </w:t>
            </w:r>
          </w:p>
          <w:p w14:paraId="09D31F8B" w14:textId="77777777" w:rsidR="00CE5AAF" w:rsidRDefault="00E85A33">
            <w:pPr>
              <w:spacing w:after="218" w:line="259" w:lineRule="auto"/>
              <w:ind w:left="502" w:firstLine="0"/>
              <w:jc w:val="left"/>
            </w:pPr>
            <w:r>
              <w:t xml:space="preserve">University of Oxford </w:t>
            </w:r>
          </w:p>
          <w:p w14:paraId="036DC8A7" w14:textId="77777777" w:rsidR="00CE5AAF" w:rsidRDefault="00E85A33">
            <w:pPr>
              <w:spacing w:after="218" w:line="259" w:lineRule="auto"/>
              <w:ind w:left="502" w:firstLine="0"/>
              <w:jc w:val="left"/>
            </w:pPr>
            <w:r>
              <w:t xml:space="preserve">Churchill Hospital, Oxford OX37LE </w:t>
            </w:r>
          </w:p>
          <w:p w14:paraId="25B76824" w14:textId="77777777" w:rsidR="00CE5AAF" w:rsidRDefault="00E85A33">
            <w:pPr>
              <w:spacing w:after="0" w:line="259" w:lineRule="auto"/>
              <w:ind w:left="502" w:firstLine="0"/>
              <w:jc w:val="left"/>
            </w:pPr>
            <w:r>
              <w:t xml:space="preserve">United Kingdom </w:t>
            </w:r>
          </w:p>
        </w:tc>
      </w:tr>
      <w:tr w:rsidR="00CE5AAF" w14:paraId="152E9B3D" w14:textId="77777777">
        <w:trPr>
          <w:trHeight w:val="4072"/>
        </w:trPr>
        <w:tc>
          <w:tcPr>
            <w:tcW w:w="2573" w:type="dxa"/>
            <w:tcBorders>
              <w:top w:val="nil"/>
              <w:left w:val="nil"/>
              <w:bottom w:val="nil"/>
              <w:right w:val="nil"/>
            </w:tcBorders>
          </w:tcPr>
          <w:p w14:paraId="3EE2042E" w14:textId="77777777" w:rsidR="00CE5AAF" w:rsidRDefault="00E85A33">
            <w:pPr>
              <w:spacing w:after="0" w:line="259" w:lineRule="auto"/>
              <w:ind w:left="0" w:firstLine="0"/>
              <w:jc w:val="left"/>
            </w:pPr>
            <w:r>
              <w:rPr>
                <w:b/>
              </w:rPr>
              <w:t xml:space="preserve">Investigators:  </w:t>
            </w:r>
          </w:p>
        </w:tc>
        <w:tc>
          <w:tcPr>
            <w:tcW w:w="6136" w:type="dxa"/>
            <w:tcBorders>
              <w:top w:val="nil"/>
              <w:left w:val="nil"/>
              <w:bottom w:val="nil"/>
              <w:right w:val="nil"/>
            </w:tcBorders>
            <w:vAlign w:val="center"/>
          </w:tcPr>
          <w:p w14:paraId="7FC71E8A" w14:textId="77777777" w:rsidR="00CE5AAF" w:rsidRDefault="00E85A33">
            <w:pPr>
              <w:spacing w:after="218" w:line="259" w:lineRule="auto"/>
              <w:ind w:left="502" w:firstLine="0"/>
              <w:jc w:val="left"/>
            </w:pPr>
            <w:r>
              <w:t xml:space="preserve">Professor Adam Finn </w:t>
            </w:r>
          </w:p>
          <w:p w14:paraId="14EB9F6D" w14:textId="77777777" w:rsidR="00CE5AAF" w:rsidRDefault="00E85A33">
            <w:pPr>
              <w:spacing w:after="218" w:line="259" w:lineRule="auto"/>
              <w:ind w:left="502" w:firstLine="0"/>
              <w:jc w:val="left"/>
            </w:pPr>
            <w:r>
              <w:t xml:space="preserve">Bristol Children’s Vaccine Centre </w:t>
            </w:r>
          </w:p>
          <w:p w14:paraId="2E4FE5DA" w14:textId="77777777" w:rsidR="00CE5AAF" w:rsidRDefault="00E85A33">
            <w:pPr>
              <w:spacing w:after="218" w:line="259" w:lineRule="auto"/>
              <w:ind w:left="502" w:firstLine="0"/>
              <w:jc w:val="left"/>
            </w:pPr>
            <w:r>
              <w:t xml:space="preserve"> </w:t>
            </w:r>
          </w:p>
          <w:p w14:paraId="4A319A16" w14:textId="77777777" w:rsidR="00CE5AAF" w:rsidRDefault="00E85A33">
            <w:pPr>
              <w:spacing w:after="218" w:line="259" w:lineRule="auto"/>
              <w:ind w:left="502" w:firstLine="0"/>
              <w:jc w:val="left"/>
            </w:pPr>
            <w:r>
              <w:t xml:space="preserve">Professor Paul Heath </w:t>
            </w:r>
          </w:p>
          <w:p w14:paraId="6BF1192D" w14:textId="77777777" w:rsidR="00CE5AAF" w:rsidRDefault="00E85A33">
            <w:pPr>
              <w:spacing w:after="218" w:line="259" w:lineRule="auto"/>
              <w:ind w:left="502" w:firstLine="0"/>
              <w:jc w:val="left"/>
            </w:pPr>
            <w:r>
              <w:t xml:space="preserve">St Georges University Hospitals </w:t>
            </w:r>
          </w:p>
          <w:p w14:paraId="1B5FD5BA" w14:textId="77777777" w:rsidR="00CE5AAF" w:rsidRDefault="00E85A33">
            <w:pPr>
              <w:spacing w:after="218" w:line="259" w:lineRule="auto"/>
              <w:ind w:left="502" w:firstLine="0"/>
              <w:jc w:val="left"/>
            </w:pPr>
            <w:r>
              <w:t xml:space="preserve"> </w:t>
            </w:r>
          </w:p>
          <w:p w14:paraId="4696F625" w14:textId="77777777" w:rsidR="00CE5AAF" w:rsidRDefault="00E85A33">
            <w:pPr>
              <w:spacing w:after="218" w:line="259" w:lineRule="auto"/>
              <w:ind w:left="502" w:firstLine="0"/>
              <w:jc w:val="left"/>
            </w:pPr>
            <w:r>
              <w:t xml:space="preserve">Professor Saul Faust </w:t>
            </w:r>
          </w:p>
          <w:p w14:paraId="286DBE69" w14:textId="77777777" w:rsidR="00CE5AAF" w:rsidRDefault="00E85A33">
            <w:pPr>
              <w:spacing w:after="0" w:line="259" w:lineRule="auto"/>
              <w:ind w:left="502" w:firstLine="0"/>
              <w:jc w:val="left"/>
            </w:pPr>
            <w:r>
              <w:t xml:space="preserve">University Hospital Southampton NHS Foundation Trust </w:t>
            </w:r>
          </w:p>
        </w:tc>
      </w:tr>
      <w:tr w:rsidR="00CE5AAF" w14:paraId="69AC057E" w14:textId="77777777">
        <w:trPr>
          <w:trHeight w:val="509"/>
        </w:trPr>
        <w:tc>
          <w:tcPr>
            <w:tcW w:w="2573" w:type="dxa"/>
            <w:tcBorders>
              <w:top w:val="nil"/>
              <w:left w:val="nil"/>
              <w:bottom w:val="nil"/>
              <w:right w:val="nil"/>
            </w:tcBorders>
            <w:vAlign w:val="center"/>
          </w:tcPr>
          <w:p w14:paraId="38062583" w14:textId="77777777" w:rsidR="00CE5AAF" w:rsidRDefault="00E85A33">
            <w:pPr>
              <w:spacing w:after="0" w:line="259" w:lineRule="auto"/>
              <w:ind w:left="0" w:firstLine="0"/>
              <w:jc w:val="left"/>
            </w:pPr>
            <w:r>
              <w:rPr>
                <w:b/>
              </w:rPr>
              <w:t xml:space="preserve">Sponsor:  </w:t>
            </w:r>
          </w:p>
        </w:tc>
        <w:tc>
          <w:tcPr>
            <w:tcW w:w="6136" w:type="dxa"/>
            <w:tcBorders>
              <w:top w:val="nil"/>
              <w:left w:val="nil"/>
              <w:bottom w:val="nil"/>
              <w:right w:val="nil"/>
            </w:tcBorders>
            <w:vAlign w:val="center"/>
          </w:tcPr>
          <w:p w14:paraId="5ED9EED3" w14:textId="77777777" w:rsidR="00CE5AAF" w:rsidRDefault="00E85A33">
            <w:pPr>
              <w:spacing w:after="0" w:line="259" w:lineRule="auto"/>
              <w:ind w:left="502" w:firstLine="0"/>
              <w:jc w:val="left"/>
            </w:pPr>
            <w:r>
              <w:t xml:space="preserve">University of Oxford   </w:t>
            </w:r>
          </w:p>
        </w:tc>
      </w:tr>
      <w:tr w:rsidR="00CE5AAF" w14:paraId="27398250" w14:textId="77777777">
        <w:trPr>
          <w:trHeight w:val="367"/>
        </w:trPr>
        <w:tc>
          <w:tcPr>
            <w:tcW w:w="2573" w:type="dxa"/>
            <w:tcBorders>
              <w:top w:val="nil"/>
              <w:left w:val="nil"/>
              <w:bottom w:val="nil"/>
              <w:right w:val="nil"/>
            </w:tcBorders>
            <w:vAlign w:val="bottom"/>
          </w:tcPr>
          <w:p w14:paraId="075BA1BF" w14:textId="77777777" w:rsidR="00CE5AAF" w:rsidRDefault="00E85A33">
            <w:pPr>
              <w:spacing w:after="0" w:line="259" w:lineRule="auto"/>
              <w:ind w:left="0" w:firstLine="0"/>
              <w:jc w:val="left"/>
            </w:pPr>
            <w:r>
              <w:rPr>
                <w:b/>
              </w:rPr>
              <w:t xml:space="preserve">Funder:  </w:t>
            </w:r>
          </w:p>
        </w:tc>
        <w:tc>
          <w:tcPr>
            <w:tcW w:w="6136" w:type="dxa"/>
            <w:tcBorders>
              <w:top w:val="nil"/>
              <w:left w:val="nil"/>
              <w:bottom w:val="nil"/>
              <w:right w:val="nil"/>
            </w:tcBorders>
            <w:vAlign w:val="bottom"/>
          </w:tcPr>
          <w:p w14:paraId="6158D03C" w14:textId="77777777" w:rsidR="00CE5AAF" w:rsidRDefault="00E85A33">
            <w:pPr>
              <w:spacing w:after="0" w:line="259" w:lineRule="auto"/>
              <w:ind w:left="502" w:firstLine="0"/>
              <w:jc w:val="left"/>
            </w:pPr>
            <w:r>
              <w:t xml:space="preserve">MCM </w:t>
            </w:r>
          </w:p>
        </w:tc>
      </w:tr>
    </w:tbl>
    <w:p w14:paraId="6448FBD8" w14:textId="77777777" w:rsidR="00CE5AAF" w:rsidRDefault="00E85A33">
      <w:pPr>
        <w:tabs>
          <w:tab w:val="center" w:pos="3075"/>
        </w:tabs>
        <w:spacing w:after="227" w:line="265" w:lineRule="auto"/>
        <w:ind w:left="0" w:firstLine="0"/>
        <w:jc w:val="left"/>
      </w:pPr>
      <w:r>
        <w:rPr>
          <w:b/>
        </w:rPr>
        <w:t xml:space="preserve">Chief Investigator Signature:  </w:t>
      </w:r>
      <w:r>
        <w:rPr>
          <w:b/>
        </w:rPr>
        <w:tab/>
      </w:r>
      <w:r>
        <w:t xml:space="preserve"> </w:t>
      </w:r>
    </w:p>
    <w:p w14:paraId="5EF283EE" w14:textId="77777777" w:rsidR="00CE5AAF" w:rsidRDefault="00E85A33">
      <w:pPr>
        <w:tabs>
          <w:tab w:val="center" w:pos="3075"/>
        </w:tabs>
        <w:spacing w:after="212" w:line="265" w:lineRule="auto"/>
        <w:ind w:left="0" w:firstLine="0"/>
        <w:jc w:val="left"/>
      </w:pPr>
      <w:r>
        <w:rPr>
          <w:b/>
        </w:rPr>
        <w:t xml:space="preserve">Statistician Signature: </w:t>
      </w:r>
      <w:r>
        <w:rPr>
          <w:b/>
        </w:rPr>
        <w:tab/>
      </w:r>
      <w:r>
        <w:t xml:space="preserve"> </w:t>
      </w:r>
    </w:p>
    <w:p w14:paraId="18BC21F9" w14:textId="77777777" w:rsidR="00CE5AAF" w:rsidRDefault="00E85A33">
      <w:pPr>
        <w:spacing w:after="199" w:line="259" w:lineRule="auto"/>
        <w:ind w:left="3075" w:firstLine="0"/>
        <w:jc w:val="left"/>
      </w:pPr>
      <w:r>
        <w:lastRenderedPageBreak/>
        <w:t xml:space="preserve"> </w:t>
      </w:r>
    </w:p>
    <w:p w14:paraId="046FFF23" w14:textId="77777777" w:rsidR="00CE5AAF" w:rsidRDefault="00E85A33">
      <w:pPr>
        <w:pStyle w:val="Heading2"/>
        <w:spacing w:after="0" w:line="259" w:lineRule="auto"/>
        <w:ind w:left="29" w:firstLine="0"/>
      </w:pPr>
      <w:r>
        <w:rPr>
          <w:sz w:val="20"/>
        </w:rPr>
        <w:t xml:space="preserve">Confidentiality Statement </w:t>
      </w:r>
    </w:p>
    <w:p w14:paraId="579BA599" w14:textId="77777777" w:rsidR="00CE5AAF" w:rsidRDefault="00E85A33">
      <w:pPr>
        <w:spacing w:after="0" w:line="244" w:lineRule="auto"/>
        <w:ind w:left="29" w:right="14" w:firstLine="0"/>
      </w:pPr>
      <w:r>
        <w:rPr>
          <w:sz w:val="20"/>
        </w:rPr>
        <w:t>This document contains confidential information that must not be disclosed to anyone other than the Sponsor, the Investigator Team, HRA, host organisation, and members of the Research Ethics Committee, unless authorised to do so.</w:t>
      </w:r>
      <w:r>
        <w:rPr>
          <w:b/>
          <w:sz w:val="20"/>
        </w:rPr>
        <w:t xml:space="preserve"> </w:t>
      </w:r>
      <w:r>
        <w:t xml:space="preserve"> </w:t>
      </w:r>
      <w:r>
        <w:tab/>
        <w:t xml:space="preserve"> </w:t>
      </w:r>
      <w:r>
        <w:br w:type="page"/>
      </w:r>
    </w:p>
    <w:p w14:paraId="092CCE27" w14:textId="77777777" w:rsidR="00CE5AAF" w:rsidRDefault="00E85A33">
      <w:pPr>
        <w:pStyle w:val="Heading1"/>
        <w:spacing w:after="13" w:line="265" w:lineRule="auto"/>
        <w:ind w:left="24" w:right="3507"/>
      </w:pPr>
      <w:r>
        <w:rPr>
          <w:sz w:val="22"/>
        </w:rPr>
        <w:lastRenderedPageBreak/>
        <w:t xml:space="preserve">TABLE OF CONTENTS </w:t>
      </w:r>
    </w:p>
    <w:p w14:paraId="16ED7368" w14:textId="182125B2" w:rsidR="00CE5AAF" w:rsidRDefault="00E85A33">
      <w:pPr>
        <w:numPr>
          <w:ilvl w:val="0"/>
          <w:numId w:val="1"/>
        </w:numPr>
        <w:spacing w:after="123"/>
        <w:ind w:hanging="480"/>
      </w:pPr>
      <w:r>
        <w:t xml:space="preserve">KEY TRIAL CONTACTS ........................................................................................................................... 5 </w:t>
      </w:r>
    </w:p>
    <w:p w14:paraId="2E7109F7" w14:textId="7F3DABFC" w:rsidR="00CE5AAF" w:rsidRDefault="00E85A33">
      <w:pPr>
        <w:numPr>
          <w:ilvl w:val="0"/>
          <w:numId w:val="1"/>
        </w:numPr>
        <w:spacing w:after="121"/>
        <w:ind w:hanging="480"/>
      </w:pPr>
      <w:r>
        <w:t xml:space="preserve">SYNOPSIS.............................................................................................................................................. 6 </w:t>
      </w:r>
    </w:p>
    <w:p w14:paraId="41981083" w14:textId="3F23489F" w:rsidR="00CE5AAF" w:rsidRDefault="00E85A33">
      <w:pPr>
        <w:numPr>
          <w:ilvl w:val="0"/>
          <w:numId w:val="1"/>
        </w:numPr>
        <w:spacing w:after="121"/>
        <w:ind w:hanging="480"/>
      </w:pPr>
      <w:r>
        <w:t xml:space="preserve">ABBREVIATIONS ................................................................................................................................... 8 </w:t>
      </w:r>
    </w:p>
    <w:p w14:paraId="01BE4BE2" w14:textId="447C1DCA" w:rsidR="00CE5AAF" w:rsidRDefault="00E85A33">
      <w:pPr>
        <w:numPr>
          <w:ilvl w:val="0"/>
          <w:numId w:val="1"/>
        </w:numPr>
        <w:spacing w:after="123"/>
        <w:ind w:hanging="480"/>
      </w:pPr>
      <w:r>
        <w:t xml:space="preserve">BACKGROUND AND RATIONALE ........................................................................................................ 10 </w:t>
      </w:r>
    </w:p>
    <w:p w14:paraId="7C71CBDA" w14:textId="03CCD300" w:rsidR="00CE5AAF" w:rsidRDefault="00E85A33">
      <w:pPr>
        <w:numPr>
          <w:ilvl w:val="0"/>
          <w:numId w:val="1"/>
        </w:numPr>
        <w:spacing w:after="121"/>
        <w:ind w:hanging="480"/>
      </w:pPr>
      <w:r>
        <w:t xml:space="preserve">OUTCOME AND OUTCOME MEASURES ............................................................................................. 13 </w:t>
      </w:r>
    </w:p>
    <w:p w14:paraId="34A67797" w14:textId="2C0ED75F" w:rsidR="00CE5AAF" w:rsidRDefault="00E85A33">
      <w:pPr>
        <w:numPr>
          <w:ilvl w:val="0"/>
          <w:numId w:val="1"/>
        </w:numPr>
        <w:spacing w:after="121"/>
        <w:ind w:hanging="480"/>
      </w:pPr>
      <w:r>
        <w:t xml:space="preserve">TRIAL DESIGN ..................................................................................................................................... 14 </w:t>
      </w:r>
    </w:p>
    <w:p w14:paraId="71469CF7" w14:textId="77777777" w:rsidR="00CE5AAF" w:rsidRDefault="00E85A33">
      <w:pPr>
        <w:numPr>
          <w:ilvl w:val="0"/>
          <w:numId w:val="1"/>
        </w:numPr>
        <w:spacing w:after="123"/>
        <w:ind w:hanging="480"/>
      </w:pPr>
      <w:r>
        <w:t xml:space="preserve">PARTICIPANT IDENTIFICATION ........................................................................................................... 16 </w:t>
      </w:r>
    </w:p>
    <w:p w14:paraId="3D00AA04" w14:textId="588DCE58" w:rsidR="00CE5AAF" w:rsidRDefault="00E85A33">
      <w:pPr>
        <w:numPr>
          <w:ilvl w:val="1"/>
          <w:numId w:val="1"/>
        </w:numPr>
        <w:spacing w:after="121"/>
        <w:ind w:hanging="660"/>
      </w:pPr>
      <w:r>
        <w:t xml:space="preserve">Trial Participants ......................................................................................................................... 16 </w:t>
      </w:r>
    </w:p>
    <w:p w14:paraId="5D871FB6" w14:textId="2C639DE5" w:rsidR="00CE5AAF" w:rsidRDefault="00E85A33">
      <w:pPr>
        <w:numPr>
          <w:ilvl w:val="1"/>
          <w:numId w:val="1"/>
        </w:numPr>
        <w:spacing w:after="121"/>
        <w:ind w:hanging="660"/>
      </w:pPr>
      <w:r>
        <w:t xml:space="preserve">Inclusion Criteria ........................................................................................................................ 16 </w:t>
      </w:r>
    </w:p>
    <w:p w14:paraId="23D8752A" w14:textId="33BE1F59" w:rsidR="00CE5AAF" w:rsidRDefault="00E85A33">
      <w:pPr>
        <w:numPr>
          <w:ilvl w:val="1"/>
          <w:numId w:val="1"/>
        </w:numPr>
        <w:spacing w:after="124"/>
        <w:ind w:hanging="660"/>
      </w:pPr>
      <w:r>
        <w:t xml:space="preserve">Exclusion Criteria ........................................................................................................................ 16 </w:t>
      </w:r>
    </w:p>
    <w:p w14:paraId="4213A340" w14:textId="00E279F5" w:rsidR="00CE5AAF" w:rsidRDefault="00E85A33">
      <w:pPr>
        <w:numPr>
          <w:ilvl w:val="0"/>
          <w:numId w:val="1"/>
        </w:numPr>
        <w:spacing w:after="121"/>
        <w:ind w:hanging="480"/>
      </w:pPr>
      <w:r>
        <w:t xml:space="preserve">TRIAL PROCEDURES ........................................................................................................................... 17 </w:t>
      </w:r>
    </w:p>
    <w:p w14:paraId="066AA3AC" w14:textId="3D08DD3D" w:rsidR="00CE5AAF" w:rsidRDefault="00E85A33">
      <w:pPr>
        <w:numPr>
          <w:ilvl w:val="1"/>
          <w:numId w:val="1"/>
        </w:numPr>
        <w:spacing w:after="121"/>
        <w:ind w:hanging="660"/>
      </w:pPr>
      <w:r>
        <w:t xml:space="preserve">Recruitment ............................................................................................................................... 17 </w:t>
      </w:r>
    </w:p>
    <w:p w14:paraId="4415B3A8" w14:textId="4D859EDB" w:rsidR="00CE5AAF" w:rsidRDefault="00E85A33">
      <w:pPr>
        <w:numPr>
          <w:ilvl w:val="1"/>
          <w:numId w:val="2"/>
        </w:numPr>
        <w:spacing w:after="123"/>
        <w:ind w:hanging="660"/>
      </w:pPr>
      <w:r>
        <w:t xml:space="preserve">Screening and Eligibility Assessment .......................................................................................... 17 </w:t>
      </w:r>
    </w:p>
    <w:p w14:paraId="0F9A1A63" w14:textId="18DB3784" w:rsidR="00CE5AAF" w:rsidRDefault="00E85A33">
      <w:pPr>
        <w:numPr>
          <w:ilvl w:val="1"/>
          <w:numId w:val="2"/>
        </w:numPr>
        <w:spacing w:after="121"/>
        <w:ind w:hanging="660"/>
      </w:pPr>
      <w:r>
        <w:t xml:space="preserve">Informed Consent .......................................................................................................................18 </w:t>
      </w:r>
    </w:p>
    <w:p w14:paraId="25F30017" w14:textId="28AFB228" w:rsidR="00CE5AAF" w:rsidRDefault="00E85A33">
      <w:pPr>
        <w:numPr>
          <w:ilvl w:val="1"/>
          <w:numId w:val="2"/>
        </w:numPr>
        <w:spacing w:after="123"/>
        <w:ind w:hanging="660"/>
      </w:pPr>
      <w:r>
        <w:t xml:space="preserve">Randomisation, blinding and code-breaking .............................................................................. 19 </w:t>
      </w:r>
    </w:p>
    <w:p w14:paraId="765727B4" w14:textId="68DC68FA" w:rsidR="00CE5AAF" w:rsidRDefault="00E85A33">
      <w:pPr>
        <w:numPr>
          <w:ilvl w:val="1"/>
          <w:numId w:val="2"/>
        </w:numPr>
        <w:spacing w:after="121"/>
        <w:ind w:hanging="660"/>
      </w:pPr>
      <w:r>
        <w:t xml:space="preserve">Study visits .................................................................................................................................. 19 </w:t>
      </w:r>
    </w:p>
    <w:p w14:paraId="089B0AD2" w14:textId="77777777" w:rsidR="00CE5AAF" w:rsidRDefault="00E85A33">
      <w:pPr>
        <w:numPr>
          <w:ilvl w:val="1"/>
          <w:numId w:val="2"/>
        </w:numPr>
        <w:spacing w:after="121"/>
        <w:ind w:hanging="660"/>
      </w:pPr>
      <w:r>
        <w:t xml:space="preserve">Recording symptoms: eDiary card............................................................................................... 24 </w:t>
      </w:r>
    </w:p>
    <w:p w14:paraId="3EFAD974" w14:textId="2B913560" w:rsidR="00CE5AAF" w:rsidRDefault="00E85A33">
      <w:pPr>
        <w:numPr>
          <w:ilvl w:val="2"/>
          <w:numId w:val="1"/>
        </w:numPr>
        <w:spacing w:after="123"/>
        <w:ind w:hanging="878"/>
      </w:pPr>
      <w:r>
        <w:t xml:space="preserve">Local reactions ........................................................................................................................ 24 </w:t>
      </w:r>
    </w:p>
    <w:p w14:paraId="387515B3" w14:textId="4C4BC717" w:rsidR="00CE5AAF" w:rsidRDefault="00E85A33">
      <w:pPr>
        <w:numPr>
          <w:ilvl w:val="2"/>
          <w:numId w:val="1"/>
        </w:numPr>
        <w:spacing w:after="121"/>
        <w:ind w:hanging="878"/>
      </w:pPr>
      <w:r>
        <w:t xml:space="preserve">Temperature .......................................................................................................................... 24 </w:t>
      </w:r>
    </w:p>
    <w:p w14:paraId="7ECE56B4" w14:textId="77777777" w:rsidR="00CE5AAF" w:rsidRDefault="00E85A33">
      <w:pPr>
        <w:numPr>
          <w:ilvl w:val="2"/>
          <w:numId w:val="1"/>
        </w:numPr>
        <w:spacing w:after="121"/>
        <w:ind w:hanging="878"/>
      </w:pPr>
      <w:r>
        <w:t xml:space="preserve">Solicited systemic reactions .................................................................................................... 25 </w:t>
      </w:r>
    </w:p>
    <w:p w14:paraId="4CE1400F" w14:textId="2E09850D" w:rsidR="00CE5AAF" w:rsidRDefault="00E85A33">
      <w:pPr>
        <w:numPr>
          <w:ilvl w:val="2"/>
          <w:numId w:val="1"/>
        </w:numPr>
        <w:spacing w:after="123"/>
        <w:ind w:hanging="878"/>
      </w:pPr>
      <w:r>
        <w:t xml:space="preserve">Unsolicited adverse events ..................................................................................................... 26 </w:t>
      </w:r>
    </w:p>
    <w:p w14:paraId="78636546" w14:textId="04D5B69E" w:rsidR="00CE5AAF" w:rsidRDefault="00E85A33">
      <w:pPr>
        <w:numPr>
          <w:ilvl w:val="1"/>
          <w:numId w:val="3"/>
        </w:numPr>
        <w:spacing w:after="121"/>
        <w:ind w:hanging="660"/>
      </w:pPr>
      <w:r>
        <w:t xml:space="preserve">Blood sample ..............................................................................................................................26 </w:t>
      </w:r>
    </w:p>
    <w:p w14:paraId="183128DE" w14:textId="77777777" w:rsidR="00CE5AAF" w:rsidRDefault="00E85A33">
      <w:pPr>
        <w:numPr>
          <w:ilvl w:val="1"/>
          <w:numId w:val="3"/>
        </w:numPr>
        <w:spacing w:after="121"/>
        <w:ind w:hanging="660"/>
      </w:pPr>
      <w:r>
        <w:t xml:space="preserve">Discontinuation/Withdrawal of participants from trial treatment ............................................. 27 </w:t>
      </w:r>
    </w:p>
    <w:p w14:paraId="30F978A2" w14:textId="77777777" w:rsidR="00CE5AAF" w:rsidRDefault="00E85A33">
      <w:pPr>
        <w:numPr>
          <w:ilvl w:val="1"/>
          <w:numId w:val="3"/>
        </w:numPr>
        <w:spacing w:after="123"/>
        <w:ind w:hanging="660"/>
      </w:pPr>
      <w:r>
        <w:t xml:space="preserve">Definition of End of Trial ............................................................................................................. 27 </w:t>
      </w:r>
    </w:p>
    <w:p w14:paraId="6D95AA3A" w14:textId="27EEA39B" w:rsidR="00CE5AAF" w:rsidRDefault="00E85A33">
      <w:pPr>
        <w:numPr>
          <w:ilvl w:val="0"/>
          <w:numId w:val="1"/>
        </w:numPr>
        <w:spacing w:after="121"/>
        <w:ind w:hanging="480"/>
      </w:pPr>
      <w:r>
        <w:t xml:space="preserve">INVESTIGATIONAL MEDICINAL PRODUCT (IMP) ................................................................................ 27 </w:t>
      </w:r>
    </w:p>
    <w:p w14:paraId="21B068EF" w14:textId="7A3EDAC8" w:rsidR="00CE5AAF" w:rsidRDefault="00E85A33">
      <w:pPr>
        <w:numPr>
          <w:ilvl w:val="1"/>
          <w:numId w:val="1"/>
        </w:numPr>
        <w:spacing w:after="121"/>
        <w:ind w:hanging="660"/>
      </w:pPr>
      <w:r>
        <w:t xml:space="preserve">IMP Description ...........................................................................................................................27 </w:t>
      </w:r>
    </w:p>
    <w:p w14:paraId="07B66807" w14:textId="453E50E0" w:rsidR="00CE5AAF" w:rsidRDefault="00E85A33">
      <w:pPr>
        <w:numPr>
          <w:ilvl w:val="1"/>
          <w:numId w:val="1"/>
        </w:numPr>
        <w:spacing w:after="123"/>
        <w:ind w:hanging="660"/>
      </w:pPr>
      <w:r>
        <w:t xml:space="preserve">Storage of IMP ............................................................................................................................ 30 </w:t>
      </w:r>
    </w:p>
    <w:p w14:paraId="7BC187CA" w14:textId="5F991C67" w:rsidR="00CE5AAF" w:rsidRDefault="00E85A33">
      <w:pPr>
        <w:numPr>
          <w:ilvl w:val="1"/>
          <w:numId w:val="1"/>
        </w:numPr>
        <w:spacing w:after="121"/>
        <w:ind w:hanging="660"/>
      </w:pPr>
      <w:r>
        <w:t xml:space="preserve">Compliance with Trial Treatment ............................................................................................... 31 </w:t>
      </w:r>
    </w:p>
    <w:p w14:paraId="4A8359E0" w14:textId="77777777" w:rsidR="00CE5AAF" w:rsidRDefault="00E85A33">
      <w:pPr>
        <w:numPr>
          <w:ilvl w:val="1"/>
          <w:numId w:val="1"/>
        </w:numPr>
        <w:spacing w:after="121"/>
        <w:ind w:hanging="660"/>
      </w:pPr>
      <w:r>
        <w:t xml:space="preserve">Accountability of the Trial Treatment ......................................................................................... 31 </w:t>
      </w:r>
    </w:p>
    <w:p w14:paraId="2C1BCC34" w14:textId="7557337E" w:rsidR="00CE5AAF" w:rsidRDefault="00E85A33">
      <w:pPr>
        <w:numPr>
          <w:ilvl w:val="1"/>
          <w:numId w:val="1"/>
        </w:numPr>
        <w:spacing w:after="123"/>
        <w:ind w:hanging="660"/>
      </w:pPr>
      <w:r>
        <w:t xml:space="preserve">Concomitant Medication ............................................................................................................ 31 </w:t>
      </w:r>
    </w:p>
    <w:p w14:paraId="4175BAF6" w14:textId="5A0CF1FA" w:rsidR="00CE5AAF" w:rsidRDefault="00E85A33">
      <w:pPr>
        <w:numPr>
          <w:ilvl w:val="1"/>
          <w:numId w:val="1"/>
        </w:numPr>
        <w:spacing w:after="121"/>
        <w:ind w:hanging="660"/>
      </w:pPr>
      <w:r>
        <w:t xml:space="preserve">Post-trial Treatment ................................................................................................................... 31 </w:t>
      </w:r>
    </w:p>
    <w:p w14:paraId="5C924190" w14:textId="7F433D25" w:rsidR="00CE5AAF" w:rsidRDefault="00E85A33">
      <w:pPr>
        <w:numPr>
          <w:ilvl w:val="0"/>
          <w:numId w:val="4"/>
        </w:numPr>
        <w:spacing w:after="121"/>
        <w:ind w:hanging="480"/>
      </w:pPr>
      <w:r>
        <w:t xml:space="preserve">SAFETY REPORTING............................................................................................................................ 32 </w:t>
      </w:r>
    </w:p>
    <w:p w14:paraId="71EA151D" w14:textId="21357D1B" w:rsidR="00CE5AAF" w:rsidRDefault="00E85A33">
      <w:pPr>
        <w:numPr>
          <w:ilvl w:val="1"/>
          <w:numId w:val="4"/>
        </w:numPr>
        <w:spacing w:after="123"/>
        <w:ind w:hanging="660"/>
      </w:pPr>
      <w:r>
        <w:lastRenderedPageBreak/>
        <w:t xml:space="preserve">Definitions .................................................................................................................................. 32 </w:t>
      </w:r>
    </w:p>
    <w:p w14:paraId="3C38F7A4" w14:textId="269CDAD3" w:rsidR="00CE5AAF" w:rsidRDefault="00E85A33">
      <w:pPr>
        <w:numPr>
          <w:ilvl w:val="1"/>
          <w:numId w:val="4"/>
        </w:numPr>
        <w:spacing w:after="0"/>
        <w:ind w:hanging="660"/>
      </w:pPr>
      <w:r>
        <w:t xml:space="preserve">Causality ..................................................................................................................................... 33 </w:t>
      </w:r>
    </w:p>
    <w:p w14:paraId="70811D07" w14:textId="77777777" w:rsidR="00CE5AAF" w:rsidRDefault="00E85A33">
      <w:pPr>
        <w:numPr>
          <w:ilvl w:val="1"/>
          <w:numId w:val="4"/>
        </w:numPr>
        <w:spacing w:after="121"/>
        <w:ind w:hanging="660"/>
      </w:pPr>
      <w:r>
        <w:t xml:space="preserve">Procedures for Recording Adverse Events .................................................................................. 33 </w:t>
      </w:r>
    </w:p>
    <w:p w14:paraId="24437634" w14:textId="77777777" w:rsidR="00CE5AAF" w:rsidRDefault="00E85A33">
      <w:pPr>
        <w:numPr>
          <w:ilvl w:val="1"/>
          <w:numId w:val="4"/>
        </w:numPr>
        <w:spacing w:after="121"/>
        <w:ind w:hanging="660"/>
      </w:pPr>
      <w:r>
        <w:t xml:space="preserve">Reporting Procedures for Serious Adverse Events ...................................................................... 33 </w:t>
      </w:r>
    </w:p>
    <w:p w14:paraId="4B1A68A7" w14:textId="5D5698BF" w:rsidR="00CE5AAF" w:rsidRDefault="00E85A33">
      <w:pPr>
        <w:numPr>
          <w:ilvl w:val="1"/>
          <w:numId w:val="4"/>
        </w:numPr>
        <w:spacing w:after="123"/>
        <w:ind w:hanging="660"/>
      </w:pPr>
      <w:r>
        <w:t xml:space="preserve">Expectedness ............................................................................................................................. 34 </w:t>
      </w:r>
    </w:p>
    <w:p w14:paraId="4F2DBE9C" w14:textId="491005C1" w:rsidR="00CE5AAF" w:rsidRDefault="00E85A33">
      <w:pPr>
        <w:numPr>
          <w:ilvl w:val="1"/>
          <w:numId w:val="4"/>
        </w:numPr>
        <w:spacing w:after="121"/>
        <w:ind w:hanging="660"/>
      </w:pPr>
      <w:r>
        <w:t xml:space="preserve">SUSAR Reporting ........................................................................................................................ 34 </w:t>
      </w:r>
    </w:p>
    <w:p w14:paraId="28F64EC0" w14:textId="0A39A890" w:rsidR="00CE5AAF" w:rsidRDefault="00E85A33">
      <w:pPr>
        <w:numPr>
          <w:ilvl w:val="1"/>
          <w:numId w:val="4"/>
        </w:numPr>
        <w:spacing w:after="121"/>
        <w:ind w:hanging="660"/>
      </w:pPr>
      <w:r>
        <w:t xml:space="preserve">Safety Monitoring Committee .................................................................................................... 34 </w:t>
      </w:r>
    </w:p>
    <w:p w14:paraId="0C37DAB1" w14:textId="2E9D000B" w:rsidR="00CE5AAF" w:rsidRDefault="00E85A33">
      <w:pPr>
        <w:numPr>
          <w:ilvl w:val="1"/>
          <w:numId w:val="4"/>
        </w:numPr>
        <w:spacing w:after="123"/>
        <w:ind w:hanging="660"/>
      </w:pPr>
      <w:r>
        <w:t xml:space="preserve">Development Safety Update Reports ......................................................................................... 34 </w:t>
      </w:r>
    </w:p>
    <w:p w14:paraId="55CD81F4" w14:textId="0741BD75" w:rsidR="00CE5AAF" w:rsidRDefault="00E85A33">
      <w:pPr>
        <w:numPr>
          <w:ilvl w:val="0"/>
          <w:numId w:val="4"/>
        </w:numPr>
        <w:spacing w:after="121"/>
        <w:ind w:hanging="480"/>
      </w:pPr>
      <w:r>
        <w:t xml:space="preserve">STATISTICS ......................................................................................................................................... 34 </w:t>
      </w:r>
    </w:p>
    <w:p w14:paraId="47FF5CAF" w14:textId="5051D6E4" w:rsidR="00CE5AAF" w:rsidRDefault="00E85A33">
      <w:pPr>
        <w:numPr>
          <w:ilvl w:val="1"/>
          <w:numId w:val="4"/>
        </w:numPr>
        <w:spacing w:after="121"/>
        <w:ind w:hanging="660"/>
      </w:pPr>
      <w:r>
        <w:t xml:space="preserve">Sample size calculation ............................................................................................................... 35 </w:t>
      </w:r>
    </w:p>
    <w:p w14:paraId="2A9386C2" w14:textId="77777777" w:rsidR="00CE5AAF" w:rsidRDefault="00E85A33">
      <w:pPr>
        <w:numPr>
          <w:ilvl w:val="1"/>
          <w:numId w:val="4"/>
        </w:numPr>
        <w:spacing w:after="123"/>
        <w:ind w:hanging="660"/>
      </w:pPr>
      <w:r>
        <w:t xml:space="preserve">Description of Statistical Methods .............................................................................................. 35 </w:t>
      </w:r>
    </w:p>
    <w:p w14:paraId="78A58A81" w14:textId="1382E93B" w:rsidR="00CE5AAF" w:rsidRDefault="00E85A33">
      <w:pPr>
        <w:numPr>
          <w:ilvl w:val="1"/>
          <w:numId w:val="4"/>
        </w:numPr>
        <w:spacing w:after="121"/>
        <w:ind w:hanging="660"/>
      </w:pPr>
      <w:r>
        <w:t xml:space="preserve">Missing data ............................................................................................................................... 36 </w:t>
      </w:r>
    </w:p>
    <w:p w14:paraId="01BF6264" w14:textId="3789831E" w:rsidR="00CE5AAF" w:rsidRDefault="00E85A33">
      <w:pPr>
        <w:numPr>
          <w:ilvl w:val="0"/>
          <w:numId w:val="4"/>
        </w:numPr>
        <w:spacing w:after="121"/>
        <w:ind w:hanging="480"/>
      </w:pPr>
      <w:r>
        <w:t xml:space="preserve">DATA MANAGEMENT ........................................................................................................................ 36 </w:t>
      </w:r>
    </w:p>
    <w:p w14:paraId="262E3C9E" w14:textId="666FE05B" w:rsidR="00CE5AAF" w:rsidRDefault="00E85A33">
      <w:pPr>
        <w:numPr>
          <w:ilvl w:val="1"/>
          <w:numId w:val="4"/>
        </w:numPr>
        <w:spacing w:after="123"/>
        <w:ind w:hanging="660"/>
      </w:pPr>
      <w:r>
        <w:t xml:space="preserve">Source Data ................................................................................................................................ 36 </w:t>
      </w:r>
    </w:p>
    <w:p w14:paraId="56D84C45" w14:textId="3C08A4A6" w:rsidR="00CE5AAF" w:rsidRDefault="00E85A33">
      <w:pPr>
        <w:numPr>
          <w:ilvl w:val="1"/>
          <w:numId w:val="4"/>
        </w:numPr>
        <w:spacing w:after="121"/>
        <w:ind w:hanging="660"/>
      </w:pPr>
      <w:r>
        <w:t xml:space="preserve">Access to Data ............................................................................................................................ 36 </w:t>
      </w:r>
    </w:p>
    <w:p w14:paraId="42F2DFDD" w14:textId="77777777" w:rsidR="00CE5AAF" w:rsidRDefault="00E85A33">
      <w:pPr>
        <w:numPr>
          <w:ilvl w:val="1"/>
          <w:numId w:val="4"/>
        </w:numPr>
        <w:spacing w:after="121"/>
        <w:ind w:hanging="660"/>
      </w:pPr>
      <w:r>
        <w:t xml:space="preserve">Data Recording and Record Keeping ........................................................................................... 36 </w:t>
      </w:r>
    </w:p>
    <w:p w14:paraId="7A82F13B" w14:textId="117C0453" w:rsidR="00CE5AAF" w:rsidRDefault="00E85A33">
      <w:pPr>
        <w:numPr>
          <w:ilvl w:val="0"/>
          <w:numId w:val="4"/>
        </w:numPr>
        <w:spacing w:after="123"/>
        <w:ind w:hanging="480"/>
      </w:pPr>
      <w:r>
        <w:t xml:space="preserve">QUALITY ASSURANCE PROCEDURES .................................................................................................. 37 </w:t>
      </w:r>
    </w:p>
    <w:p w14:paraId="0C6D5D5F" w14:textId="64603487" w:rsidR="00CE5AAF" w:rsidRDefault="00E85A33">
      <w:pPr>
        <w:numPr>
          <w:ilvl w:val="0"/>
          <w:numId w:val="4"/>
        </w:numPr>
        <w:spacing w:after="121"/>
        <w:ind w:hanging="480"/>
      </w:pPr>
      <w:r>
        <w:t xml:space="preserve">SERIOUS BREACHES ........................................................................................................................... 38 </w:t>
      </w:r>
    </w:p>
    <w:p w14:paraId="5AA3BF94" w14:textId="77777777" w:rsidR="00CE5AAF" w:rsidRDefault="00E85A33">
      <w:pPr>
        <w:numPr>
          <w:ilvl w:val="0"/>
          <w:numId w:val="4"/>
        </w:numPr>
        <w:spacing w:after="123"/>
        <w:ind w:hanging="480"/>
      </w:pPr>
      <w:r>
        <w:t xml:space="preserve">ETHICAL AND REGULATORY CONSIDERATIONS .................................................................................. 38 </w:t>
      </w:r>
    </w:p>
    <w:p w14:paraId="56F98833" w14:textId="77777777" w:rsidR="00CE5AAF" w:rsidRDefault="00E85A33">
      <w:pPr>
        <w:numPr>
          <w:ilvl w:val="1"/>
          <w:numId w:val="4"/>
        </w:numPr>
        <w:spacing w:after="121"/>
        <w:ind w:hanging="660"/>
      </w:pPr>
      <w:r>
        <w:t xml:space="preserve">Declaration of Helsinki ................................................................................................................ 38 </w:t>
      </w:r>
    </w:p>
    <w:p w14:paraId="3DEAFAE6" w14:textId="77777777" w:rsidR="00CE5AAF" w:rsidRDefault="00E85A33">
      <w:pPr>
        <w:numPr>
          <w:ilvl w:val="1"/>
          <w:numId w:val="4"/>
        </w:numPr>
        <w:spacing w:after="121"/>
        <w:ind w:hanging="660"/>
      </w:pPr>
      <w:r>
        <w:t xml:space="preserve">Guidelines for Good Clinical Practice .......................................................................................... 38 </w:t>
      </w:r>
    </w:p>
    <w:p w14:paraId="7AA81262" w14:textId="48CC4A8F" w:rsidR="00CE5AAF" w:rsidRDefault="00E85A33">
      <w:pPr>
        <w:numPr>
          <w:ilvl w:val="1"/>
          <w:numId w:val="4"/>
        </w:numPr>
        <w:spacing w:after="123"/>
        <w:ind w:hanging="660"/>
      </w:pPr>
      <w:r>
        <w:t xml:space="preserve">Approvals ................................................................................................................................... 38 </w:t>
      </w:r>
    </w:p>
    <w:p w14:paraId="1CD628B9" w14:textId="2EBF6D8B" w:rsidR="00CE5AAF" w:rsidRDefault="00E85A33">
      <w:pPr>
        <w:numPr>
          <w:ilvl w:val="1"/>
          <w:numId w:val="4"/>
        </w:numPr>
        <w:spacing w:after="121"/>
        <w:ind w:hanging="660"/>
      </w:pPr>
      <w:r>
        <w:t xml:space="preserve">Reporting ....................................................................................................................................39 </w:t>
      </w:r>
    </w:p>
    <w:p w14:paraId="5EE50311" w14:textId="38B8CDCC" w:rsidR="00CE5AAF" w:rsidRDefault="00E85A33">
      <w:pPr>
        <w:numPr>
          <w:ilvl w:val="1"/>
          <w:numId w:val="4"/>
        </w:numPr>
        <w:spacing w:after="121"/>
        <w:ind w:hanging="660"/>
      </w:pPr>
      <w:r>
        <w:t xml:space="preserve">Participant Confidentiality .......................................................................................................... 39 </w:t>
      </w:r>
    </w:p>
    <w:p w14:paraId="12B3966B" w14:textId="7B89F7BD" w:rsidR="00CE5AAF" w:rsidRDefault="00E85A33">
      <w:pPr>
        <w:numPr>
          <w:ilvl w:val="1"/>
          <w:numId w:val="4"/>
        </w:numPr>
        <w:spacing w:after="123"/>
        <w:ind w:hanging="660"/>
      </w:pPr>
      <w:r>
        <w:t xml:space="preserve">Expenses and Benefits .................................................................................................................39 </w:t>
      </w:r>
    </w:p>
    <w:p w14:paraId="0E9E4849" w14:textId="43F21F77" w:rsidR="00CE5AAF" w:rsidRDefault="00E85A33">
      <w:pPr>
        <w:numPr>
          <w:ilvl w:val="1"/>
          <w:numId w:val="4"/>
        </w:numPr>
        <w:spacing w:after="121"/>
        <w:ind w:hanging="660"/>
      </w:pPr>
      <w:r>
        <w:t>Other Ethical Considerations ...................................................................................................... 39</w:t>
      </w:r>
    </w:p>
    <w:p w14:paraId="6947E1F2" w14:textId="20FF7559" w:rsidR="00CE5AAF" w:rsidRDefault="00E85A33">
      <w:pPr>
        <w:numPr>
          <w:ilvl w:val="0"/>
          <w:numId w:val="4"/>
        </w:numPr>
        <w:spacing w:after="121"/>
        <w:ind w:hanging="480"/>
      </w:pPr>
      <w:r>
        <w:t xml:space="preserve">FINANCE AND INSURANCE ................................................................................................................. 40 </w:t>
      </w:r>
    </w:p>
    <w:p w14:paraId="05B4016C" w14:textId="3EAC0940" w:rsidR="00CE5AAF" w:rsidRDefault="00E85A33">
      <w:pPr>
        <w:numPr>
          <w:ilvl w:val="1"/>
          <w:numId w:val="4"/>
        </w:numPr>
        <w:spacing w:after="123"/>
        <w:ind w:hanging="660"/>
      </w:pPr>
      <w:r>
        <w:t xml:space="preserve">Funding .......................................................................................................................................40 </w:t>
      </w:r>
    </w:p>
    <w:p w14:paraId="65A72D0D" w14:textId="101E6234" w:rsidR="00CE5AAF" w:rsidRDefault="00E85A33">
      <w:pPr>
        <w:numPr>
          <w:ilvl w:val="1"/>
          <w:numId w:val="4"/>
        </w:numPr>
        <w:spacing w:after="121"/>
        <w:ind w:hanging="660"/>
      </w:pPr>
      <w:r>
        <w:t xml:space="preserve">Insurance .................................................................................................................................... 40 </w:t>
      </w:r>
    </w:p>
    <w:p w14:paraId="59783AFD" w14:textId="5BBE7268" w:rsidR="00CE5AAF" w:rsidRDefault="00E85A33">
      <w:pPr>
        <w:numPr>
          <w:ilvl w:val="0"/>
          <w:numId w:val="4"/>
        </w:numPr>
        <w:spacing w:after="121"/>
        <w:ind w:hanging="480"/>
      </w:pPr>
      <w:r>
        <w:t xml:space="preserve">PUBLICATION POLICY ......................................................................................................................... 40 </w:t>
      </w:r>
    </w:p>
    <w:p w14:paraId="747BF1FF" w14:textId="39533F01" w:rsidR="00CE5AAF" w:rsidRDefault="00E85A33">
      <w:pPr>
        <w:numPr>
          <w:ilvl w:val="0"/>
          <w:numId w:val="4"/>
        </w:numPr>
        <w:spacing w:after="124"/>
        <w:ind w:hanging="480"/>
      </w:pPr>
      <w:r>
        <w:t xml:space="preserve">REFERENCES ....................................................................................................................................... 41 </w:t>
      </w:r>
    </w:p>
    <w:p w14:paraId="51FFA7AA" w14:textId="77777777" w:rsidR="00CE5AAF" w:rsidRDefault="00E85A33">
      <w:pPr>
        <w:numPr>
          <w:ilvl w:val="0"/>
          <w:numId w:val="4"/>
        </w:numPr>
        <w:spacing w:after="108"/>
        <w:ind w:hanging="480"/>
      </w:pPr>
      <w:r>
        <w:t xml:space="preserve">APPENDIX D:  AMENDMENT HISTORY ................................................................................................ 42 </w:t>
      </w:r>
    </w:p>
    <w:p w14:paraId="57D0117A" w14:textId="77777777" w:rsidR="00CE5AAF" w:rsidRDefault="00E85A33">
      <w:pPr>
        <w:spacing w:after="218" w:line="259" w:lineRule="auto"/>
        <w:ind w:left="29" w:firstLine="0"/>
        <w:jc w:val="left"/>
      </w:pPr>
      <w:r>
        <w:t xml:space="preserve"> </w:t>
      </w:r>
    </w:p>
    <w:p w14:paraId="643B64A9" w14:textId="77777777" w:rsidR="00CE5AAF" w:rsidRDefault="00E85A33">
      <w:pPr>
        <w:spacing w:after="218" w:line="259" w:lineRule="auto"/>
        <w:ind w:left="29" w:firstLine="0"/>
        <w:jc w:val="left"/>
      </w:pPr>
      <w:r>
        <w:lastRenderedPageBreak/>
        <w:t xml:space="preserve"> </w:t>
      </w:r>
    </w:p>
    <w:p w14:paraId="5591A473" w14:textId="77777777" w:rsidR="00CE5AAF" w:rsidRDefault="00E85A33">
      <w:pPr>
        <w:spacing w:after="0" w:line="259" w:lineRule="auto"/>
        <w:ind w:left="29" w:firstLine="0"/>
        <w:jc w:val="left"/>
      </w:pPr>
      <w:r>
        <w:t xml:space="preserve"> </w:t>
      </w:r>
    </w:p>
    <w:p w14:paraId="4F5EAFAF" w14:textId="77777777" w:rsidR="00CE5AAF" w:rsidRDefault="00E85A33">
      <w:pPr>
        <w:pStyle w:val="Heading1"/>
        <w:spacing w:after="13" w:line="265" w:lineRule="auto"/>
        <w:ind w:left="24" w:right="3507"/>
      </w:pPr>
      <w:r>
        <w:rPr>
          <w:sz w:val="22"/>
        </w:rPr>
        <w:t>1.</w:t>
      </w:r>
      <w:r>
        <w:rPr>
          <w:rFonts w:ascii="Arial" w:eastAsia="Arial" w:hAnsi="Arial" w:cs="Arial"/>
          <w:sz w:val="22"/>
        </w:rPr>
        <w:t xml:space="preserve"> </w:t>
      </w:r>
      <w:r>
        <w:rPr>
          <w:sz w:val="22"/>
        </w:rPr>
        <w:t xml:space="preserve">KEY TRIAL CONTACTS </w:t>
      </w:r>
    </w:p>
    <w:p w14:paraId="7E86B997" w14:textId="77777777" w:rsidR="00CE5AAF" w:rsidRDefault="00E85A33">
      <w:pPr>
        <w:spacing w:after="0" w:line="259" w:lineRule="auto"/>
        <w:ind w:left="29" w:firstLine="0"/>
        <w:jc w:val="left"/>
      </w:pPr>
      <w:r>
        <w:t xml:space="preserve"> </w:t>
      </w:r>
    </w:p>
    <w:tbl>
      <w:tblPr>
        <w:tblStyle w:val="TableGrid"/>
        <w:tblW w:w="9023" w:type="dxa"/>
        <w:tblInd w:w="284" w:type="dxa"/>
        <w:tblCellMar>
          <w:top w:w="45" w:type="dxa"/>
          <w:left w:w="108" w:type="dxa"/>
          <w:right w:w="115" w:type="dxa"/>
        </w:tblCellMar>
        <w:tblLook w:val="04A0" w:firstRow="1" w:lastRow="0" w:firstColumn="1" w:lastColumn="0" w:noHBand="0" w:noVBand="1"/>
      </w:tblPr>
      <w:tblGrid>
        <w:gridCol w:w="2409"/>
        <w:gridCol w:w="6614"/>
      </w:tblGrid>
      <w:tr w:rsidR="00CE5AAF" w14:paraId="6CD07854" w14:textId="77777777">
        <w:trPr>
          <w:trHeight w:val="3608"/>
        </w:trPr>
        <w:tc>
          <w:tcPr>
            <w:tcW w:w="2410" w:type="dxa"/>
            <w:tcBorders>
              <w:top w:val="single" w:sz="4" w:space="0" w:color="000000"/>
              <w:left w:val="single" w:sz="4" w:space="0" w:color="000000"/>
              <w:bottom w:val="single" w:sz="4" w:space="0" w:color="000000"/>
              <w:right w:val="single" w:sz="4" w:space="0" w:color="000000"/>
            </w:tcBorders>
          </w:tcPr>
          <w:p w14:paraId="118AE113" w14:textId="77777777" w:rsidR="00CE5AAF" w:rsidRDefault="00E85A33">
            <w:pPr>
              <w:spacing w:after="0" w:line="259" w:lineRule="auto"/>
              <w:ind w:left="0" w:firstLine="0"/>
              <w:jc w:val="left"/>
            </w:pPr>
            <w:r>
              <w:rPr>
                <w:b/>
              </w:rPr>
              <w:t xml:space="preserve">Chief Investigator </w:t>
            </w:r>
          </w:p>
        </w:tc>
        <w:tc>
          <w:tcPr>
            <w:tcW w:w="6614" w:type="dxa"/>
            <w:tcBorders>
              <w:top w:val="single" w:sz="4" w:space="0" w:color="000000"/>
              <w:left w:val="single" w:sz="4" w:space="0" w:color="000000"/>
              <w:bottom w:val="single" w:sz="4" w:space="0" w:color="000000"/>
              <w:right w:val="single" w:sz="4" w:space="0" w:color="000000"/>
            </w:tcBorders>
          </w:tcPr>
          <w:p w14:paraId="17E95C43" w14:textId="4D16423C" w:rsidR="00CE5AAF" w:rsidRDefault="008D0FE5">
            <w:pPr>
              <w:spacing w:after="19" w:line="259" w:lineRule="auto"/>
              <w:ind w:left="1" w:firstLine="0"/>
              <w:jc w:val="left"/>
            </w:pPr>
            <w:r>
              <w:rPr>
                <w:b/>
              </w:rPr>
              <w:t>Associate Professor</w:t>
            </w:r>
            <w:r w:rsidR="00E85A33">
              <w:rPr>
                <w:b/>
              </w:rPr>
              <w:t xml:space="preserve"> Matthew Snape </w:t>
            </w:r>
          </w:p>
          <w:p w14:paraId="6E853F51" w14:textId="77777777" w:rsidR="00CE5AAF" w:rsidRDefault="00E85A33">
            <w:pPr>
              <w:spacing w:after="19" w:line="259" w:lineRule="auto"/>
              <w:ind w:left="1" w:firstLine="0"/>
              <w:jc w:val="left"/>
            </w:pPr>
            <w:r>
              <w:t xml:space="preserve"> </w:t>
            </w:r>
          </w:p>
          <w:p w14:paraId="08DB037C" w14:textId="77777777" w:rsidR="00CE5AAF" w:rsidRDefault="00E85A33">
            <w:pPr>
              <w:spacing w:after="16" w:line="259" w:lineRule="auto"/>
              <w:ind w:left="1" w:firstLine="0"/>
              <w:jc w:val="left"/>
            </w:pPr>
            <w:r>
              <w:t xml:space="preserve">Oxford Vaccine Group (OVG) </w:t>
            </w:r>
          </w:p>
          <w:p w14:paraId="552165AA" w14:textId="77777777" w:rsidR="00CE5AAF" w:rsidRDefault="00E85A33">
            <w:pPr>
              <w:spacing w:after="19" w:line="259" w:lineRule="auto"/>
              <w:ind w:left="1" w:firstLine="0"/>
              <w:jc w:val="left"/>
            </w:pPr>
            <w:r>
              <w:t xml:space="preserve">Department of Paediatrics </w:t>
            </w:r>
          </w:p>
          <w:p w14:paraId="7D461EBE" w14:textId="77777777" w:rsidR="00CE5AAF" w:rsidRDefault="00E85A33">
            <w:pPr>
              <w:spacing w:after="19" w:line="259" w:lineRule="auto"/>
              <w:ind w:left="1" w:firstLine="0"/>
              <w:jc w:val="left"/>
            </w:pPr>
            <w:r>
              <w:t xml:space="preserve">University of Oxford </w:t>
            </w:r>
          </w:p>
          <w:p w14:paraId="0616661F" w14:textId="77777777" w:rsidR="00CE5AAF" w:rsidRDefault="00E85A33">
            <w:pPr>
              <w:spacing w:after="19" w:line="259" w:lineRule="auto"/>
              <w:ind w:left="1" w:firstLine="0"/>
              <w:jc w:val="left"/>
            </w:pPr>
            <w:r>
              <w:t xml:space="preserve">Centre for Clinical Vaccinology &amp; Tropical Medicine (CCVTM) </w:t>
            </w:r>
          </w:p>
          <w:p w14:paraId="245879EC" w14:textId="77777777" w:rsidR="00CE5AAF" w:rsidRDefault="00E85A33">
            <w:pPr>
              <w:spacing w:after="16" w:line="259" w:lineRule="auto"/>
              <w:ind w:left="1" w:firstLine="0"/>
              <w:jc w:val="left"/>
            </w:pPr>
            <w:r>
              <w:t xml:space="preserve">Churchill Hospital </w:t>
            </w:r>
          </w:p>
          <w:p w14:paraId="714A1139" w14:textId="77777777" w:rsidR="00CE5AAF" w:rsidRDefault="00E85A33">
            <w:pPr>
              <w:spacing w:after="19" w:line="259" w:lineRule="auto"/>
              <w:ind w:left="1" w:firstLine="0"/>
              <w:jc w:val="left"/>
            </w:pPr>
            <w:r>
              <w:t xml:space="preserve">Oxford OX3 7LE </w:t>
            </w:r>
          </w:p>
          <w:p w14:paraId="4183A447" w14:textId="77777777" w:rsidR="00CE5AAF" w:rsidRDefault="00E85A33">
            <w:pPr>
              <w:spacing w:after="19" w:line="259" w:lineRule="auto"/>
              <w:ind w:left="1" w:firstLine="0"/>
              <w:jc w:val="left"/>
            </w:pPr>
            <w:r>
              <w:t xml:space="preserve">United Kingdom </w:t>
            </w:r>
          </w:p>
          <w:p w14:paraId="72421946" w14:textId="77777777" w:rsidR="00CE5AAF" w:rsidRDefault="00E85A33">
            <w:pPr>
              <w:spacing w:after="0" w:line="259" w:lineRule="auto"/>
              <w:ind w:left="1" w:right="639" w:firstLine="0"/>
              <w:jc w:val="left"/>
            </w:pPr>
            <w:r>
              <w:t xml:space="preserve">Tel: 00 44(0) 1865 611400 </w:t>
            </w:r>
            <w:r>
              <w:rPr>
                <w:color w:val="0000FF"/>
                <w:u w:val="single" w:color="0000FF"/>
              </w:rPr>
              <w:t>matthew.snape@paediatrics.ox.ac.uk</w:t>
            </w:r>
            <w:r>
              <w:t xml:space="preserve">  </w:t>
            </w:r>
          </w:p>
        </w:tc>
      </w:tr>
      <w:tr w:rsidR="00CE5AAF" w14:paraId="04F7596D" w14:textId="77777777">
        <w:trPr>
          <w:trHeight w:val="2882"/>
        </w:trPr>
        <w:tc>
          <w:tcPr>
            <w:tcW w:w="2410" w:type="dxa"/>
            <w:tcBorders>
              <w:top w:val="single" w:sz="4" w:space="0" w:color="000000"/>
              <w:left w:val="single" w:sz="4" w:space="0" w:color="000000"/>
              <w:bottom w:val="single" w:sz="4" w:space="0" w:color="000000"/>
              <w:right w:val="single" w:sz="4" w:space="0" w:color="000000"/>
            </w:tcBorders>
          </w:tcPr>
          <w:p w14:paraId="14A52FEB" w14:textId="77777777" w:rsidR="00CE5AAF" w:rsidRDefault="00E85A33">
            <w:pPr>
              <w:spacing w:after="0" w:line="259" w:lineRule="auto"/>
              <w:ind w:left="0" w:firstLine="0"/>
              <w:jc w:val="left"/>
            </w:pPr>
            <w:r>
              <w:rPr>
                <w:b/>
              </w:rPr>
              <w:t xml:space="preserve">Sponsor </w:t>
            </w:r>
          </w:p>
        </w:tc>
        <w:tc>
          <w:tcPr>
            <w:tcW w:w="6614" w:type="dxa"/>
            <w:tcBorders>
              <w:top w:val="single" w:sz="4" w:space="0" w:color="000000"/>
              <w:left w:val="single" w:sz="4" w:space="0" w:color="000000"/>
              <w:bottom w:val="single" w:sz="4" w:space="0" w:color="000000"/>
              <w:right w:val="single" w:sz="4" w:space="0" w:color="000000"/>
            </w:tcBorders>
          </w:tcPr>
          <w:p w14:paraId="202C1886" w14:textId="77777777" w:rsidR="00CE5AAF" w:rsidRDefault="00E85A33">
            <w:pPr>
              <w:spacing w:after="215" w:line="259" w:lineRule="auto"/>
              <w:ind w:left="1" w:firstLine="0"/>
              <w:jc w:val="left"/>
            </w:pPr>
            <w:r>
              <w:rPr>
                <w:b/>
              </w:rPr>
              <w:t xml:space="preserve">University of Oxford </w:t>
            </w:r>
          </w:p>
          <w:p w14:paraId="56B59176" w14:textId="77777777" w:rsidR="00CE5AAF" w:rsidRDefault="00E85A33">
            <w:pPr>
              <w:spacing w:after="20" w:line="259" w:lineRule="auto"/>
              <w:ind w:left="1" w:firstLine="0"/>
              <w:jc w:val="left"/>
            </w:pPr>
            <w:r>
              <w:rPr>
                <w:color w:val="333333"/>
              </w:rPr>
              <w:t xml:space="preserve">Joint Research Office </w:t>
            </w:r>
          </w:p>
          <w:p w14:paraId="0E9A5255" w14:textId="77777777" w:rsidR="00CE5AAF" w:rsidRDefault="00E85A33">
            <w:pPr>
              <w:spacing w:after="38" w:line="259" w:lineRule="auto"/>
              <w:ind w:left="1" w:firstLine="0"/>
              <w:jc w:val="left"/>
            </w:pPr>
            <w:r>
              <w:rPr>
                <w:color w:val="333333"/>
              </w:rPr>
              <w:t>1</w:t>
            </w:r>
            <w:r>
              <w:rPr>
                <w:color w:val="333333"/>
                <w:vertAlign w:val="superscript"/>
              </w:rPr>
              <w:t>st</w:t>
            </w:r>
            <w:r>
              <w:rPr>
                <w:color w:val="333333"/>
              </w:rPr>
              <w:t xml:space="preserve"> Floor, Boundary Brook House </w:t>
            </w:r>
          </w:p>
          <w:p w14:paraId="51554106" w14:textId="77777777" w:rsidR="00CE5AAF" w:rsidRDefault="00E85A33">
            <w:pPr>
              <w:spacing w:after="19" w:line="259" w:lineRule="auto"/>
              <w:ind w:left="1" w:firstLine="0"/>
              <w:jc w:val="left"/>
            </w:pPr>
            <w:r>
              <w:rPr>
                <w:color w:val="333333"/>
              </w:rPr>
              <w:t xml:space="preserve">Churchill Hospital </w:t>
            </w:r>
          </w:p>
          <w:p w14:paraId="4EAC5B38" w14:textId="77777777" w:rsidR="00CE5AAF" w:rsidRDefault="00E85A33">
            <w:pPr>
              <w:spacing w:after="16" w:line="259" w:lineRule="auto"/>
              <w:ind w:left="1" w:firstLine="0"/>
              <w:jc w:val="left"/>
            </w:pPr>
            <w:r>
              <w:rPr>
                <w:color w:val="333333"/>
              </w:rPr>
              <w:t xml:space="preserve">Old Road </w:t>
            </w:r>
          </w:p>
          <w:p w14:paraId="45345D98" w14:textId="77777777" w:rsidR="00CE5AAF" w:rsidRDefault="00E85A33">
            <w:pPr>
              <w:spacing w:after="0" w:line="259" w:lineRule="auto"/>
              <w:ind w:left="1" w:right="4490" w:firstLine="0"/>
              <w:jc w:val="left"/>
            </w:pPr>
            <w:r>
              <w:rPr>
                <w:color w:val="333333"/>
              </w:rPr>
              <w:t xml:space="preserve">Headington Oxford OX3 7GB </w:t>
            </w:r>
            <w:r>
              <w:rPr>
                <w:color w:val="0000FF"/>
                <w:u w:val="single" w:color="0000FF"/>
              </w:rPr>
              <w:t>ctrg@admin.ox.ac.uk</w:t>
            </w:r>
            <w:r>
              <w:t xml:space="preserve">  </w:t>
            </w:r>
          </w:p>
        </w:tc>
      </w:tr>
      <w:tr w:rsidR="00CE5AAF" w14:paraId="7C0D78E0" w14:textId="77777777">
        <w:trPr>
          <w:trHeight w:val="518"/>
        </w:trPr>
        <w:tc>
          <w:tcPr>
            <w:tcW w:w="2410" w:type="dxa"/>
            <w:tcBorders>
              <w:top w:val="single" w:sz="4" w:space="0" w:color="000000"/>
              <w:left w:val="single" w:sz="4" w:space="0" w:color="000000"/>
              <w:bottom w:val="single" w:sz="4" w:space="0" w:color="000000"/>
              <w:right w:val="single" w:sz="4" w:space="0" w:color="000000"/>
            </w:tcBorders>
          </w:tcPr>
          <w:p w14:paraId="202E6FD5" w14:textId="77777777" w:rsidR="00CE5AAF" w:rsidRDefault="00E85A33">
            <w:pPr>
              <w:spacing w:after="0" w:line="259" w:lineRule="auto"/>
              <w:ind w:left="0" w:firstLine="0"/>
              <w:jc w:val="left"/>
            </w:pPr>
            <w:r>
              <w:rPr>
                <w:b/>
              </w:rPr>
              <w:t xml:space="preserve">Clinical Trials Unit </w:t>
            </w:r>
          </w:p>
        </w:tc>
        <w:tc>
          <w:tcPr>
            <w:tcW w:w="6614" w:type="dxa"/>
            <w:tcBorders>
              <w:top w:val="single" w:sz="4" w:space="0" w:color="000000"/>
              <w:left w:val="single" w:sz="4" w:space="0" w:color="000000"/>
              <w:bottom w:val="single" w:sz="4" w:space="0" w:color="000000"/>
              <w:right w:val="single" w:sz="4" w:space="0" w:color="000000"/>
            </w:tcBorders>
          </w:tcPr>
          <w:p w14:paraId="308511ED" w14:textId="77777777" w:rsidR="00CE5AAF" w:rsidRDefault="00E85A33">
            <w:pPr>
              <w:spacing w:after="0" w:line="259" w:lineRule="auto"/>
              <w:ind w:left="1" w:firstLine="0"/>
              <w:jc w:val="left"/>
            </w:pPr>
            <w:r>
              <w:t xml:space="preserve">Oxford Primary Care Vaccine Collaborative Clinical Trials Unit </w:t>
            </w:r>
            <w:r>
              <w:rPr>
                <w:rFonts w:ascii="Arial" w:eastAsia="Arial" w:hAnsi="Arial" w:cs="Arial"/>
                <w:sz w:val="24"/>
              </w:rPr>
              <w:t xml:space="preserve"> </w:t>
            </w:r>
          </w:p>
        </w:tc>
      </w:tr>
      <w:tr w:rsidR="00CE5AAF" w14:paraId="034B775C" w14:textId="77777777">
        <w:trPr>
          <w:trHeight w:val="3336"/>
        </w:trPr>
        <w:tc>
          <w:tcPr>
            <w:tcW w:w="2410" w:type="dxa"/>
            <w:tcBorders>
              <w:top w:val="single" w:sz="4" w:space="0" w:color="000000"/>
              <w:left w:val="single" w:sz="4" w:space="0" w:color="000000"/>
              <w:bottom w:val="single" w:sz="4" w:space="0" w:color="000000"/>
              <w:right w:val="single" w:sz="4" w:space="0" w:color="000000"/>
            </w:tcBorders>
          </w:tcPr>
          <w:p w14:paraId="2BE32A07" w14:textId="77777777" w:rsidR="00CE5AAF" w:rsidRDefault="00E85A33">
            <w:pPr>
              <w:spacing w:after="0" w:line="259" w:lineRule="auto"/>
              <w:ind w:left="0" w:firstLine="0"/>
              <w:jc w:val="left"/>
            </w:pPr>
            <w:r>
              <w:rPr>
                <w:b/>
              </w:rPr>
              <w:t xml:space="preserve">Statistician </w:t>
            </w:r>
          </w:p>
        </w:tc>
        <w:tc>
          <w:tcPr>
            <w:tcW w:w="6614" w:type="dxa"/>
            <w:tcBorders>
              <w:top w:val="single" w:sz="4" w:space="0" w:color="000000"/>
              <w:left w:val="single" w:sz="4" w:space="0" w:color="000000"/>
              <w:bottom w:val="single" w:sz="4" w:space="0" w:color="000000"/>
              <w:right w:val="single" w:sz="4" w:space="0" w:color="000000"/>
            </w:tcBorders>
          </w:tcPr>
          <w:p w14:paraId="44D023BD" w14:textId="77777777" w:rsidR="00CE5AAF" w:rsidRDefault="00E85A33">
            <w:pPr>
              <w:spacing w:after="216" w:line="259" w:lineRule="auto"/>
              <w:ind w:left="1" w:firstLine="0"/>
              <w:jc w:val="left"/>
            </w:pPr>
            <w:r>
              <w:t xml:space="preserve">Xinxue Liu </w:t>
            </w:r>
          </w:p>
          <w:p w14:paraId="7FF7D14A" w14:textId="77777777" w:rsidR="00CE5AAF" w:rsidRDefault="00E85A33">
            <w:pPr>
              <w:spacing w:after="0" w:line="259" w:lineRule="auto"/>
              <w:ind w:left="1" w:firstLine="0"/>
              <w:jc w:val="left"/>
            </w:pPr>
            <w:r>
              <w:t xml:space="preserve">Oxford Vaccine Group </w:t>
            </w:r>
          </w:p>
          <w:p w14:paraId="6124F699" w14:textId="77777777" w:rsidR="00CE5AAF" w:rsidRDefault="00E85A33">
            <w:pPr>
              <w:spacing w:after="0" w:line="259" w:lineRule="auto"/>
              <w:ind w:left="1" w:firstLine="0"/>
              <w:jc w:val="left"/>
            </w:pPr>
            <w:r>
              <w:t xml:space="preserve">Department of Paediatrics </w:t>
            </w:r>
          </w:p>
          <w:p w14:paraId="62152904" w14:textId="77777777" w:rsidR="00CE5AAF" w:rsidRDefault="00E85A33">
            <w:pPr>
              <w:spacing w:after="0" w:line="259" w:lineRule="auto"/>
              <w:ind w:left="1" w:firstLine="0"/>
              <w:jc w:val="left"/>
            </w:pPr>
            <w:r>
              <w:t xml:space="preserve">University of Oxford </w:t>
            </w:r>
          </w:p>
          <w:p w14:paraId="60D36BB2" w14:textId="77777777" w:rsidR="00CE5AAF" w:rsidRDefault="00E85A33">
            <w:pPr>
              <w:spacing w:after="0" w:line="259" w:lineRule="auto"/>
              <w:ind w:left="1" w:firstLine="0"/>
              <w:jc w:val="left"/>
            </w:pPr>
            <w:r>
              <w:t xml:space="preserve">Centre for Clinical Vaccinology &amp; Tropical Medicine (CCVTM) </w:t>
            </w:r>
          </w:p>
          <w:p w14:paraId="29D7856D" w14:textId="77777777" w:rsidR="00CE5AAF" w:rsidRDefault="00E85A33">
            <w:pPr>
              <w:spacing w:after="16" w:line="259" w:lineRule="auto"/>
              <w:ind w:left="1" w:firstLine="0"/>
              <w:jc w:val="left"/>
            </w:pPr>
            <w:r>
              <w:t xml:space="preserve">Churchill Hospital </w:t>
            </w:r>
          </w:p>
          <w:p w14:paraId="4C266071" w14:textId="77777777" w:rsidR="00CE5AAF" w:rsidRDefault="00E85A33">
            <w:pPr>
              <w:spacing w:after="19" w:line="259" w:lineRule="auto"/>
              <w:ind w:left="1" w:firstLine="0"/>
              <w:jc w:val="left"/>
            </w:pPr>
            <w:r>
              <w:t xml:space="preserve">Oxford OX3 7LE </w:t>
            </w:r>
          </w:p>
          <w:p w14:paraId="774EB194" w14:textId="77777777" w:rsidR="00CE5AAF" w:rsidRDefault="00E85A33">
            <w:pPr>
              <w:spacing w:after="19" w:line="259" w:lineRule="auto"/>
              <w:ind w:left="1" w:firstLine="0"/>
              <w:jc w:val="left"/>
            </w:pPr>
            <w:r>
              <w:t xml:space="preserve">United Kingdom </w:t>
            </w:r>
          </w:p>
          <w:p w14:paraId="20FF7580" w14:textId="77777777" w:rsidR="00CE5AAF" w:rsidRDefault="00E85A33">
            <w:pPr>
              <w:spacing w:after="0" w:line="259" w:lineRule="auto"/>
              <w:ind w:left="1" w:right="1185" w:firstLine="0"/>
              <w:jc w:val="left"/>
            </w:pPr>
            <w:r>
              <w:t xml:space="preserve">Tel: 00 44(0) 1865 611400 </w:t>
            </w:r>
            <w:r>
              <w:rPr>
                <w:color w:val="0000FF"/>
                <w:u w:val="single" w:color="0000FF"/>
              </w:rPr>
              <w:t>xinxue.liu@paediatrics.ox.ac.uk</w:t>
            </w:r>
            <w:r>
              <w:t xml:space="preserve">  </w:t>
            </w:r>
          </w:p>
        </w:tc>
      </w:tr>
    </w:tbl>
    <w:p w14:paraId="012EBF52" w14:textId="77777777" w:rsidR="00CE5AAF" w:rsidRDefault="00E85A33">
      <w:pPr>
        <w:spacing w:after="218" w:line="259" w:lineRule="auto"/>
        <w:ind w:left="29" w:firstLine="0"/>
        <w:jc w:val="left"/>
      </w:pPr>
      <w:r>
        <w:t xml:space="preserve"> </w:t>
      </w:r>
    </w:p>
    <w:p w14:paraId="796E576C" w14:textId="77777777" w:rsidR="00CE5AAF" w:rsidRDefault="00E85A33">
      <w:pPr>
        <w:spacing w:after="218" w:line="259" w:lineRule="auto"/>
        <w:ind w:left="29" w:firstLine="0"/>
        <w:jc w:val="left"/>
      </w:pPr>
      <w:r>
        <w:t xml:space="preserve"> </w:t>
      </w:r>
    </w:p>
    <w:p w14:paraId="191CC8A3" w14:textId="77777777" w:rsidR="00CE5AAF" w:rsidRDefault="00E85A33">
      <w:pPr>
        <w:spacing w:after="218" w:line="259" w:lineRule="auto"/>
        <w:ind w:left="29" w:firstLine="0"/>
        <w:jc w:val="left"/>
      </w:pPr>
      <w:r>
        <w:t xml:space="preserve"> </w:t>
      </w:r>
    </w:p>
    <w:p w14:paraId="0049C5FF" w14:textId="77777777" w:rsidR="00CE5AAF" w:rsidRDefault="00E85A33">
      <w:pPr>
        <w:spacing w:after="220" w:line="259" w:lineRule="auto"/>
        <w:ind w:left="29" w:firstLine="0"/>
        <w:jc w:val="left"/>
      </w:pPr>
      <w:r>
        <w:t xml:space="preserve"> </w:t>
      </w:r>
    </w:p>
    <w:p w14:paraId="3815E8C9" w14:textId="34C191CC" w:rsidR="00CE5AAF" w:rsidRDefault="00E85A33" w:rsidP="00837131">
      <w:pPr>
        <w:spacing w:after="0" w:line="259" w:lineRule="auto"/>
        <w:ind w:left="29" w:firstLine="0"/>
        <w:jc w:val="left"/>
      </w:pPr>
      <w:r>
        <w:lastRenderedPageBreak/>
        <w:t xml:space="preserve"> 2.</w:t>
      </w:r>
      <w:r>
        <w:tab/>
        <w:t xml:space="preserve">SYNOPSIS </w:t>
      </w:r>
    </w:p>
    <w:p w14:paraId="3B903625" w14:textId="77777777" w:rsidR="00CE5AAF" w:rsidRDefault="00E85A33">
      <w:pPr>
        <w:spacing w:after="0" w:line="259" w:lineRule="auto"/>
        <w:ind w:left="29" w:firstLine="0"/>
        <w:jc w:val="left"/>
      </w:pPr>
      <w:r>
        <w:t xml:space="preserve"> </w:t>
      </w:r>
    </w:p>
    <w:tbl>
      <w:tblPr>
        <w:tblStyle w:val="TableGrid"/>
        <w:tblW w:w="9021" w:type="dxa"/>
        <w:tblInd w:w="34" w:type="dxa"/>
        <w:tblCellMar>
          <w:top w:w="44" w:type="dxa"/>
          <w:right w:w="26" w:type="dxa"/>
        </w:tblCellMar>
        <w:tblLook w:val="04A0" w:firstRow="1" w:lastRow="0" w:firstColumn="1" w:lastColumn="0" w:noHBand="0" w:noVBand="1"/>
      </w:tblPr>
      <w:tblGrid>
        <w:gridCol w:w="2015"/>
        <w:gridCol w:w="368"/>
        <w:gridCol w:w="3263"/>
        <w:gridCol w:w="3375"/>
      </w:tblGrid>
      <w:tr w:rsidR="00CE5AAF" w14:paraId="40D9788B" w14:textId="77777777" w:rsidTr="00100D62">
        <w:trPr>
          <w:trHeight w:val="547"/>
        </w:trPr>
        <w:tc>
          <w:tcPr>
            <w:tcW w:w="2015" w:type="dxa"/>
            <w:tcBorders>
              <w:top w:val="single" w:sz="4" w:space="0" w:color="000000"/>
              <w:left w:val="single" w:sz="4" w:space="0" w:color="000000"/>
              <w:bottom w:val="single" w:sz="4" w:space="0" w:color="000000"/>
              <w:right w:val="nil"/>
            </w:tcBorders>
          </w:tcPr>
          <w:p w14:paraId="2679FC17" w14:textId="77777777" w:rsidR="00CE5AAF" w:rsidRDefault="00E85A33">
            <w:pPr>
              <w:spacing w:after="0" w:line="259" w:lineRule="auto"/>
              <w:ind w:left="108" w:firstLine="0"/>
              <w:jc w:val="left"/>
            </w:pPr>
            <w:r>
              <w:t xml:space="preserve">Trial Title </w:t>
            </w:r>
          </w:p>
        </w:tc>
        <w:tc>
          <w:tcPr>
            <w:tcW w:w="368" w:type="dxa"/>
            <w:tcBorders>
              <w:top w:val="single" w:sz="4" w:space="0" w:color="000000"/>
              <w:left w:val="nil"/>
              <w:bottom w:val="single" w:sz="4" w:space="0" w:color="000000"/>
              <w:right w:val="single" w:sz="4" w:space="0" w:color="000000"/>
            </w:tcBorders>
          </w:tcPr>
          <w:p w14:paraId="30C8BF3F" w14:textId="77777777" w:rsidR="00CE5AAF" w:rsidRDefault="00CE5AAF">
            <w:pPr>
              <w:spacing w:after="160" w:line="259" w:lineRule="auto"/>
              <w:ind w:left="0" w:firstLine="0"/>
              <w:jc w:val="left"/>
            </w:pPr>
          </w:p>
        </w:tc>
        <w:tc>
          <w:tcPr>
            <w:tcW w:w="6638" w:type="dxa"/>
            <w:gridSpan w:val="2"/>
            <w:tcBorders>
              <w:top w:val="single" w:sz="4" w:space="0" w:color="000000"/>
              <w:left w:val="single" w:sz="4" w:space="0" w:color="000000"/>
              <w:bottom w:val="single" w:sz="4" w:space="0" w:color="000000"/>
              <w:right w:val="single" w:sz="4" w:space="0" w:color="000000"/>
            </w:tcBorders>
          </w:tcPr>
          <w:p w14:paraId="205D92E7" w14:textId="77777777" w:rsidR="00CE5AAF" w:rsidRDefault="00E85A33">
            <w:pPr>
              <w:spacing w:after="0" w:line="259" w:lineRule="auto"/>
              <w:ind w:left="106" w:firstLine="0"/>
            </w:pPr>
            <w:r>
              <w:t xml:space="preserve">Immunogenicity and reactogenicity of concomitantly administered hexavalent and group B meningococcal vaccines in infancy </w:t>
            </w:r>
          </w:p>
        </w:tc>
      </w:tr>
      <w:tr w:rsidR="00CE5AAF" w14:paraId="294D1BD8" w14:textId="77777777" w:rsidTr="00100D62">
        <w:trPr>
          <w:trHeight w:val="547"/>
        </w:trPr>
        <w:tc>
          <w:tcPr>
            <w:tcW w:w="2015" w:type="dxa"/>
            <w:tcBorders>
              <w:top w:val="single" w:sz="4" w:space="0" w:color="000000"/>
              <w:left w:val="single" w:sz="4" w:space="0" w:color="000000"/>
              <w:bottom w:val="single" w:sz="4" w:space="0" w:color="000000"/>
              <w:right w:val="nil"/>
            </w:tcBorders>
          </w:tcPr>
          <w:p w14:paraId="71F2310E" w14:textId="77777777" w:rsidR="00CE5AAF" w:rsidRDefault="00E85A33">
            <w:pPr>
              <w:tabs>
                <w:tab w:val="center" w:pos="1170"/>
                <w:tab w:val="right" w:pos="1990"/>
              </w:tabs>
              <w:spacing w:after="0" w:line="259" w:lineRule="auto"/>
              <w:ind w:left="0" w:firstLine="0"/>
              <w:jc w:val="left"/>
            </w:pPr>
            <w:r>
              <w:t xml:space="preserve">Internal </w:t>
            </w:r>
            <w:r>
              <w:tab/>
              <w:t xml:space="preserve">ref. </w:t>
            </w:r>
            <w:r>
              <w:tab/>
              <w:t xml:space="preserve">no. </w:t>
            </w:r>
          </w:p>
          <w:p w14:paraId="7350C7A4" w14:textId="77777777" w:rsidR="00CE5AAF" w:rsidRDefault="00E85A33">
            <w:pPr>
              <w:spacing w:after="0" w:line="259" w:lineRule="auto"/>
              <w:ind w:left="108" w:firstLine="0"/>
              <w:jc w:val="left"/>
            </w:pPr>
            <w:r>
              <w:t xml:space="preserve">short title) </w:t>
            </w:r>
          </w:p>
        </w:tc>
        <w:tc>
          <w:tcPr>
            <w:tcW w:w="368" w:type="dxa"/>
            <w:tcBorders>
              <w:top w:val="single" w:sz="4" w:space="0" w:color="000000"/>
              <w:left w:val="nil"/>
              <w:bottom w:val="single" w:sz="4" w:space="0" w:color="000000"/>
              <w:right w:val="single" w:sz="4" w:space="0" w:color="000000"/>
            </w:tcBorders>
          </w:tcPr>
          <w:p w14:paraId="7D07CB98" w14:textId="77777777" w:rsidR="00CE5AAF" w:rsidRDefault="00E85A33">
            <w:pPr>
              <w:spacing w:after="0" w:line="259" w:lineRule="auto"/>
              <w:ind w:left="0" w:firstLine="0"/>
            </w:pPr>
            <w:r>
              <w:t xml:space="preserve">(or </w:t>
            </w:r>
          </w:p>
        </w:tc>
        <w:tc>
          <w:tcPr>
            <w:tcW w:w="6638" w:type="dxa"/>
            <w:gridSpan w:val="2"/>
            <w:tcBorders>
              <w:top w:val="single" w:sz="4" w:space="0" w:color="000000"/>
              <w:left w:val="single" w:sz="4" w:space="0" w:color="000000"/>
              <w:bottom w:val="single" w:sz="4" w:space="0" w:color="000000"/>
              <w:right w:val="single" w:sz="4" w:space="0" w:color="000000"/>
            </w:tcBorders>
          </w:tcPr>
          <w:p w14:paraId="2F1A9183" w14:textId="77777777" w:rsidR="00CE5AAF" w:rsidRDefault="00E85A33">
            <w:pPr>
              <w:spacing w:after="0" w:line="259" w:lineRule="auto"/>
              <w:ind w:left="106" w:firstLine="0"/>
              <w:jc w:val="left"/>
            </w:pPr>
            <w:r>
              <w:t xml:space="preserve">The 6-in-1 vaccine study </w:t>
            </w:r>
          </w:p>
        </w:tc>
      </w:tr>
      <w:tr w:rsidR="00CE5AAF" w14:paraId="1EC93C83" w14:textId="77777777" w:rsidTr="00100D62">
        <w:trPr>
          <w:trHeight w:val="394"/>
        </w:trPr>
        <w:tc>
          <w:tcPr>
            <w:tcW w:w="2015" w:type="dxa"/>
            <w:tcBorders>
              <w:top w:val="single" w:sz="4" w:space="0" w:color="000000"/>
              <w:left w:val="single" w:sz="4" w:space="0" w:color="000000"/>
              <w:bottom w:val="single" w:sz="4" w:space="0" w:color="000000"/>
              <w:right w:val="nil"/>
            </w:tcBorders>
          </w:tcPr>
          <w:p w14:paraId="0E31EB5D" w14:textId="77777777" w:rsidR="00CE5AAF" w:rsidRDefault="00E85A33">
            <w:pPr>
              <w:spacing w:after="0" w:line="259" w:lineRule="auto"/>
              <w:ind w:left="108" w:firstLine="0"/>
              <w:jc w:val="left"/>
            </w:pPr>
            <w:r>
              <w:t xml:space="preserve">Clinical Phase  </w:t>
            </w:r>
          </w:p>
        </w:tc>
        <w:tc>
          <w:tcPr>
            <w:tcW w:w="368" w:type="dxa"/>
            <w:tcBorders>
              <w:top w:val="single" w:sz="4" w:space="0" w:color="000000"/>
              <w:left w:val="nil"/>
              <w:bottom w:val="single" w:sz="4" w:space="0" w:color="000000"/>
              <w:right w:val="single" w:sz="4" w:space="0" w:color="000000"/>
            </w:tcBorders>
          </w:tcPr>
          <w:p w14:paraId="2C1F039C" w14:textId="77777777" w:rsidR="00CE5AAF" w:rsidRDefault="00CE5AAF">
            <w:pPr>
              <w:spacing w:after="160" w:line="259" w:lineRule="auto"/>
              <w:ind w:left="0" w:firstLine="0"/>
              <w:jc w:val="left"/>
            </w:pPr>
          </w:p>
        </w:tc>
        <w:tc>
          <w:tcPr>
            <w:tcW w:w="6638" w:type="dxa"/>
            <w:gridSpan w:val="2"/>
            <w:tcBorders>
              <w:top w:val="single" w:sz="4" w:space="0" w:color="000000"/>
              <w:left w:val="single" w:sz="4" w:space="0" w:color="000000"/>
              <w:bottom w:val="single" w:sz="4" w:space="0" w:color="000000"/>
              <w:right w:val="single" w:sz="4" w:space="0" w:color="000000"/>
            </w:tcBorders>
          </w:tcPr>
          <w:p w14:paraId="3CDA53AF" w14:textId="77777777" w:rsidR="00CE5AAF" w:rsidRDefault="00E85A33">
            <w:pPr>
              <w:spacing w:after="0" w:line="259" w:lineRule="auto"/>
              <w:ind w:left="106" w:firstLine="0"/>
              <w:jc w:val="left"/>
            </w:pPr>
            <w:r>
              <w:t xml:space="preserve">Phase IV: Post licensure </w:t>
            </w:r>
          </w:p>
        </w:tc>
      </w:tr>
      <w:tr w:rsidR="00CE5AAF" w14:paraId="64F53391" w14:textId="77777777" w:rsidTr="00100D62">
        <w:trPr>
          <w:trHeight w:val="382"/>
        </w:trPr>
        <w:tc>
          <w:tcPr>
            <w:tcW w:w="2015" w:type="dxa"/>
            <w:tcBorders>
              <w:top w:val="single" w:sz="4" w:space="0" w:color="000000"/>
              <w:left w:val="single" w:sz="4" w:space="0" w:color="000000"/>
              <w:bottom w:val="single" w:sz="4" w:space="0" w:color="000000"/>
              <w:right w:val="nil"/>
            </w:tcBorders>
          </w:tcPr>
          <w:p w14:paraId="2923428F" w14:textId="77777777" w:rsidR="00CE5AAF" w:rsidRDefault="00E85A33">
            <w:pPr>
              <w:spacing w:after="0" w:line="259" w:lineRule="auto"/>
              <w:ind w:left="108" w:firstLine="0"/>
              <w:jc w:val="left"/>
            </w:pPr>
            <w:r>
              <w:t xml:space="preserve">Trial Design </w:t>
            </w:r>
          </w:p>
        </w:tc>
        <w:tc>
          <w:tcPr>
            <w:tcW w:w="368" w:type="dxa"/>
            <w:tcBorders>
              <w:top w:val="single" w:sz="4" w:space="0" w:color="000000"/>
              <w:left w:val="nil"/>
              <w:bottom w:val="single" w:sz="4" w:space="0" w:color="000000"/>
              <w:right w:val="single" w:sz="4" w:space="0" w:color="000000"/>
            </w:tcBorders>
          </w:tcPr>
          <w:p w14:paraId="48BD410A" w14:textId="77777777" w:rsidR="00CE5AAF" w:rsidRDefault="00CE5AAF">
            <w:pPr>
              <w:spacing w:after="160" w:line="259" w:lineRule="auto"/>
              <w:ind w:left="0" w:firstLine="0"/>
              <w:jc w:val="left"/>
            </w:pPr>
          </w:p>
        </w:tc>
        <w:tc>
          <w:tcPr>
            <w:tcW w:w="6638" w:type="dxa"/>
            <w:gridSpan w:val="2"/>
            <w:tcBorders>
              <w:top w:val="single" w:sz="4" w:space="0" w:color="000000"/>
              <w:left w:val="single" w:sz="4" w:space="0" w:color="000000"/>
              <w:bottom w:val="single" w:sz="4" w:space="0" w:color="000000"/>
              <w:right w:val="single" w:sz="4" w:space="0" w:color="000000"/>
            </w:tcBorders>
          </w:tcPr>
          <w:p w14:paraId="1F74F55A" w14:textId="77777777" w:rsidR="00CE5AAF" w:rsidRDefault="00E85A33">
            <w:pPr>
              <w:spacing w:after="0" w:line="259" w:lineRule="auto"/>
              <w:ind w:left="106" w:firstLine="0"/>
              <w:jc w:val="left"/>
            </w:pPr>
            <w:r>
              <w:t xml:space="preserve">Open label, non-inferiority randomised clinical trial </w:t>
            </w:r>
          </w:p>
        </w:tc>
      </w:tr>
      <w:tr w:rsidR="00CE5AAF" w14:paraId="62E5136D" w14:textId="77777777" w:rsidTr="00100D62">
        <w:trPr>
          <w:trHeight w:val="418"/>
        </w:trPr>
        <w:tc>
          <w:tcPr>
            <w:tcW w:w="2015" w:type="dxa"/>
            <w:tcBorders>
              <w:top w:val="single" w:sz="4" w:space="0" w:color="000000"/>
              <w:left w:val="single" w:sz="4" w:space="0" w:color="000000"/>
              <w:bottom w:val="single" w:sz="4" w:space="0" w:color="000000"/>
              <w:right w:val="nil"/>
            </w:tcBorders>
          </w:tcPr>
          <w:p w14:paraId="2DC83285" w14:textId="77777777" w:rsidR="00CE5AAF" w:rsidRDefault="00E85A33">
            <w:pPr>
              <w:spacing w:after="0" w:line="259" w:lineRule="auto"/>
              <w:ind w:left="108" w:firstLine="0"/>
              <w:jc w:val="left"/>
            </w:pPr>
            <w:r>
              <w:t xml:space="preserve">Trial Participants </w:t>
            </w:r>
          </w:p>
        </w:tc>
        <w:tc>
          <w:tcPr>
            <w:tcW w:w="368" w:type="dxa"/>
            <w:tcBorders>
              <w:top w:val="single" w:sz="4" w:space="0" w:color="000000"/>
              <w:left w:val="nil"/>
              <w:bottom w:val="single" w:sz="4" w:space="0" w:color="000000"/>
              <w:right w:val="single" w:sz="4" w:space="0" w:color="000000"/>
            </w:tcBorders>
          </w:tcPr>
          <w:p w14:paraId="7446E0EB" w14:textId="77777777" w:rsidR="00CE5AAF" w:rsidRDefault="00CE5AAF">
            <w:pPr>
              <w:spacing w:after="160" w:line="259" w:lineRule="auto"/>
              <w:ind w:left="0" w:firstLine="0"/>
              <w:jc w:val="left"/>
            </w:pPr>
          </w:p>
        </w:tc>
        <w:tc>
          <w:tcPr>
            <w:tcW w:w="6638" w:type="dxa"/>
            <w:gridSpan w:val="2"/>
            <w:tcBorders>
              <w:top w:val="single" w:sz="4" w:space="0" w:color="000000"/>
              <w:left w:val="single" w:sz="4" w:space="0" w:color="000000"/>
              <w:bottom w:val="single" w:sz="4" w:space="0" w:color="000000"/>
              <w:right w:val="single" w:sz="4" w:space="0" w:color="000000"/>
            </w:tcBorders>
          </w:tcPr>
          <w:p w14:paraId="5E2F97F2" w14:textId="77777777" w:rsidR="00CE5AAF" w:rsidRDefault="00E85A33">
            <w:pPr>
              <w:spacing w:after="0" w:line="259" w:lineRule="auto"/>
              <w:ind w:left="106" w:firstLine="0"/>
              <w:jc w:val="left"/>
            </w:pPr>
            <w:r>
              <w:t xml:space="preserve">Infants aged 8 – 13 weeks at enrolment </w:t>
            </w:r>
          </w:p>
        </w:tc>
      </w:tr>
      <w:tr w:rsidR="00CE5AAF" w14:paraId="45A48AA0" w14:textId="77777777" w:rsidTr="00100D62">
        <w:trPr>
          <w:trHeight w:val="557"/>
        </w:trPr>
        <w:tc>
          <w:tcPr>
            <w:tcW w:w="2015" w:type="dxa"/>
            <w:tcBorders>
              <w:top w:val="single" w:sz="4" w:space="0" w:color="000000"/>
              <w:left w:val="single" w:sz="4" w:space="0" w:color="000000"/>
              <w:bottom w:val="single" w:sz="4" w:space="0" w:color="000000"/>
              <w:right w:val="nil"/>
            </w:tcBorders>
          </w:tcPr>
          <w:p w14:paraId="092727C0" w14:textId="77777777" w:rsidR="00CE5AAF" w:rsidRDefault="00E85A33">
            <w:pPr>
              <w:spacing w:after="0" w:line="259" w:lineRule="auto"/>
              <w:ind w:left="108" w:firstLine="0"/>
              <w:jc w:val="left"/>
            </w:pPr>
            <w:r>
              <w:t xml:space="preserve">Planned Sample Size </w:t>
            </w:r>
          </w:p>
        </w:tc>
        <w:tc>
          <w:tcPr>
            <w:tcW w:w="368" w:type="dxa"/>
            <w:tcBorders>
              <w:top w:val="single" w:sz="4" w:space="0" w:color="000000"/>
              <w:left w:val="nil"/>
              <w:bottom w:val="single" w:sz="4" w:space="0" w:color="000000"/>
              <w:right w:val="single" w:sz="4" w:space="0" w:color="000000"/>
            </w:tcBorders>
          </w:tcPr>
          <w:p w14:paraId="3E2C9A7C" w14:textId="77777777" w:rsidR="00CE5AAF" w:rsidRDefault="00CE5AAF">
            <w:pPr>
              <w:spacing w:after="160" w:line="259" w:lineRule="auto"/>
              <w:ind w:left="0" w:firstLine="0"/>
              <w:jc w:val="left"/>
            </w:pPr>
          </w:p>
        </w:tc>
        <w:tc>
          <w:tcPr>
            <w:tcW w:w="6638" w:type="dxa"/>
            <w:gridSpan w:val="2"/>
            <w:tcBorders>
              <w:top w:val="single" w:sz="4" w:space="0" w:color="000000"/>
              <w:left w:val="single" w:sz="4" w:space="0" w:color="000000"/>
              <w:bottom w:val="single" w:sz="4" w:space="0" w:color="000000"/>
              <w:right w:val="single" w:sz="4" w:space="0" w:color="000000"/>
            </w:tcBorders>
          </w:tcPr>
          <w:p w14:paraId="502F678E" w14:textId="0A06D4A7" w:rsidR="00CE5AAF" w:rsidRDefault="00E85A33">
            <w:pPr>
              <w:spacing w:after="0" w:line="259" w:lineRule="auto"/>
              <w:ind w:left="106" w:firstLine="0"/>
              <w:jc w:val="left"/>
            </w:pPr>
            <w:r>
              <w:t>240</w:t>
            </w:r>
            <w:r w:rsidR="003706D8">
              <w:t xml:space="preserve"> </w:t>
            </w:r>
            <w:r>
              <w:t xml:space="preserve">healthy infants aged 8 – 13 weeks at enrolment </w:t>
            </w:r>
          </w:p>
        </w:tc>
      </w:tr>
      <w:tr w:rsidR="009177BE" w14:paraId="282A3847" w14:textId="77777777" w:rsidTr="00100D62">
        <w:trPr>
          <w:trHeight w:val="557"/>
        </w:trPr>
        <w:tc>
          <w:tcPr>
            <w:tcW w:w="2015" w:type="dxa"/>
            <w:tcBorders>
              <w:top w:val="single" w:sz="4" w:space="0" w:color="000000"/>
              <w:left w:val="single" w:sz="4" w:space="0" w:color="000000"/>
              <w:bottom w:val="single" w:sz="4" w:space="0" w:color="000000"/>
              <w:right w:val="nil"/>
            </w:tcBorders>
          </w:tcPr>
          <w:p w14:paraId="3963053B" w14:textId="4C554DCA" w:rsidR="009177BE" w:rsidRDefault="009177BE">
            <w:pPr>
              <w:spacing w:after="0" w:line="259" w:lineRule="auto"/>
              <w:ind w:left="108" w:firstLine="0"/>
              <w:jc w:val="left"/>
            </w:pPr>
            <w:r>
              <w:t>Adjusted Sample Size</w:t>
            </w:r>
          </w:p>
        </w:tc>
        <w:tc>
          <w:tcPr>
            <w:tcW w:w="368" w:type="dxa"/>
            <w:tcBorders>
              <w:top w:val="single" w:sz="4" w:space="0" w:color="000000"/>
              <w:left w:val="nil"/>
              <w:bottom w:val="single" w:sz="4" w:space="0" w:color="000000"/>
              <w:right w:val="single" w:sz="4" w:space="0" w:color="000000"/>
            </w:tcBorders>
          </w:tcPr>
          <w:p w14:paraId="26CC6AAC" w14:textId="77777777" w:rsidR="009177BE" w:rsidRDefault="009177BE">
            <w:pPr>
              <w:spacing w:after="160" w:line="259" w:lineRule="auto"/>
              <w:ind w:left="0" w:firstLine="0"/>
              <w:jc w:val="left"/>
            </w:pPr>
          </w:p>
        </w:tc>
        <w:tc>
          <w:tcPr>
            <w:tcW w:w="6638" w:type="dxa"/>
            <w:gridSpan w:val="2"/>
            <w:tcBorders>
              <w:top w:val="single" w:sz="4" w:space="0" w:color="000000"/>
              <w:left w:val="single" w:sz="4" w:space="0" w:color="000000"/>
              <w:bottom w:val="single" w:sz="4" w:space="0" w:color="000000"/>
              <w:right w:val="single" w:sz="4" w:space="0" w:color="000000"/>
            </w:tcBorders>
          </w:tcPr>
          <w:p w14:paraId="0B2511D8" w14:textId="1C0AB14E" w:rsidR="009177BE" w:rsidDel="00D2661C" w:rsidRDefault="009177BE">
            <w:pPr>
              <w:spacing w:after="0" w:line="259" w:lineRule="auto"/>
              <w:ind w:left="106" w:firstLine="0"/>
              <w:jc w:val="left"/>
            </w:pPr>
            <w:r>
              <w:t>194</w:t>
            </w:r>
          </w:p>
        </w:tc>
      </w:tr>
      <w:tr w:rsidR="00CE5AAF" w14:paraId="0D369DD5" w14:textId="77777777" w:rsidTr="00100D62">
        <w:trPr>
          <w:trHeight w:val="396"/>
        </w:trPr>
        <w:tc>
          <w:tcPr>
            <w:tcW w:w="2015" w:type="dxa"/>
            <w:tcBorders>
              <w:top w:val="single" w:sz="4" w:space="0" w:color="000000"/>
              <w:left w:val="single" w:sz="4" w:space="0" w:color="000000"/>
              <w:bottom w:val="single" w:sz="4" w:space="0" w:color="000000"/>
              <w:right w:val="nil"/>
            </w:tcBorders>
          </w:tcPr>
          <w:p w14:paraId="5467065F" w14:textId="77777777" w:rsidR="00CE5AAF" w:rsidRDefault="00E85A33">
            <w:pPr>
              <w:spacing w:after="0" w:line="259" w:lineRule="auto"/>
              <w:ind w:left="108" w:firstLine="0"/>
              <w:jc w:val="left"/>
            </w:pPr>
            <w:r>
              <w:t xml:space="preserve">Treatment duration </w:t>
            </w:r>
          </w:p>
        </w:tc>
        <w:tc>
          <w:tcPr>
            <w:tcW w:w="368" w:type="dxa"/>
            <w:tcBorders>
              <w:top w:val="single" w:sz="4" w:space="0" w:color="000000"/>
              <w:left w:val="nil"/>
              <w:bottom w:val="single" w:sz="4" w:space="0" w:color="000000"/>
              <w:right w:val="single" w:sz="4" w:space="0" w:color="000000"/>
            </w:tcBorders>
          </w:tcPr>
          <w:p w14:paraId="0F6C5A15" w14:textId="77777777" w:rsidR="00CE5AAF" w:rsidRDefault="00CE5AAF">
            <w:pPr>
              <w:spacing w:after="160" w:line="259" w:lineRule="auto"/>
              <w:ind w:left="0" w:firstLine="0"/>
              <w:jc w:val="left"/>
            </w:pPr>
          </w:p>
        </w:tc>
        <w:tc>
          <w:tcPr>
            <w:tcW w:w="6638" w:type="dxa"/>
            <w:gridSpan w:val="2"/>
            <w:tcBorders>
              <w:top w:val="single" w:sz="4" w:space="0" w:color="000000"/>
              <w:left w:val="single" w:sz="4" w:space="0" w:color="000000"/>
              <w:bottom w:val="single" w:sz="4" w:space="0" w:color="000000"/>
              <w:right w:val="single" w:sz="4" w:space="0" w:color="000000"/>
            </w:tcBorders>
          </w:tcPr>
          <w:p w14:paraId="4AC89CDD" w14:textId="77777777" w:rsidR="00CE5AAF" w:rsidRDefault="00E85A33">
            <w:pPr>
              <w:spacing w:after="0" w:line="259" w:lineRule="auto"/>
              <w:ind w:left="106" w:firstLine="0"/>
              <w:jc w:val="left"/>
            </w:pPr>
            <w:r>
              <w:t xml:space="preserve">10 months </w:t>
            </w:r>
          </w:p>
        </w:tc>
      </w:tr>
      <w:tr w:rsidR="00CE5AAF" w14:paraId="4D3298E8" w14:textId="77777777" w:rsidTr="00100D62">
        <w:trPr>
          <w:trHeight w:val="394"/>
        </w:trPr>
        <w:tc>
          <w:tcPr>
            <w:tcW w:w="2015" w:type="dxa"/>
            <w:tcBorders>
              <w:top w:val="single" w:sz="4" w:space="0" w:color="000000"/>
              <w:left w:val="single" w:sz="4" w:space="0" w:color="000000"/>
              <w:bottom w:val="single" w:sz="4" w:space="0" w:color="000000"/>
              <w:right w:val="nil"/>
            </w:tcBorders>
          </w:tcPr>
          <w:p w14:paraId="0351BC2A" w14:textId="77777777" w:rsidR="00CE5AAF" w:rsidRDefault="00E85A33">
            <w:pPr>
              <w:spacing w:after="0" w:line="259" w:lineRule="auto"/>
              <w:ind w:left="108" w:firstLine="0"/>
              <w:jc w:val="left"/>
            </w:pPr>
            <w:r>
              <w:t xml:space="preserve">Follow up duration </w:t>
            </w:r>
          </w:p>
        </w:tc>
        <w:tc>
          <w:tcPr>
            <w:tcW w:w="368" w:type="dxa"/>
            <w:tcBorders>
              <w:top w:val="single" w:sz="4" w:space="0" w:color="000000"/>
              <w:left w:val="nil"/>
              <w:bottom w:val="single" w:sz="4" w:space="0" w:color="000000"/>
              <w:right w:val="single" w:sz="4" w:space="0" w:color="000000"/>
            </w:tcBorders>
          </w:tcPr>
          <w:p w14:paraId="71AC4B2E" w14:textId="77777777" w:rsidR="00CE5AAF" w:rsidRDefault="00CE5AAF">
            <w:pPr>
              <w:spacing w:after="160" w:line="259" w:lineRule="auto"/>
              <w:ind w:left="0" w:firstLine="0"/>
              <w:jc w:val="left"/>
            </w:pPr>
          </w:p>
        </w:tc>
        <w:tc>
          <w:tcPr>
            <w:tcW w:w="6638" w:type="dxa"/>
            <w:gridSpan w:val="2"/>
            <w:tcBorders>
              <w:top w:val="single" w:sz="4" w:space="0" w:color="000000"/>
              <w:left w:val="single" w:sz="4" w:space="0" w:color="000000"/>
              <w:bottom w:val="single" w:sz="4" w:space="0" w:color="000000"/>
              <w:right w:val="single" w:sz="4" w:space="0" w:color="000000"/>
            </w:tcBorders>
          </w:tcPr>
          <w:p w14:paraId="79CD1F31" w14:textId="77777777" w:rsidR="00CE5AAF" w:rsidRDefault="00E85A33">
            <w:pPr>
              <w:spacing w:after="0" w:line="259" w:lineRule="auto"/>
              <w:ind w:left="106" w:firstLine="0"/>
              <w:jc w:val="left"/>
            </w:pPr>
            <w:r>
              <w:t xml:space="preserve">1 month following final vaccination </w:t>
            </w:r>
          </w:p>
        </w:tc>
      </w:tr>
      <w:tr w:rsidR="00CE5AAF" w14:paraId="45570363" w14:textId="77777777" w:rsidTr="00100D62">
        <w:trPr>
          <w:trHeight w:val="396"/>
        </w:trPr>
        <w:tc>
          <w:tcPr>
            <w:tcW w:w="2015" w:type="dxa"/>
            <w:tcBorders>
              <w:top w:val="single" w:sz="4" w:space="0" w:color="000000"/>
              <w:left w:val="single" w:sz="4" w:space="0" w:color="000000"/>
              <w:bottom w:val="single" w:sz="4" w:space="0" w:color="000000"/>
              <w:right w:val="nil"/>
            </w:tcBorders>
          </w:tcPr>
          <w:p w14:paraId="2920CABC" w14:textId="77777777" w:rsidR="00CE5AAF" w:rsidRDefault="00E85A33">
            <w:pPr>
              <w:spacing w:after="0" w:line="259" w:lineRule="auto"/>
              <w:ind w:left="108" w:firstLine="0"/>
              <w:jc w:val="left"/>
            </w:pPr>
            <w:r>
              <w:t xml:space="preserve">Planned Trial Period </w:t>
            </w:r>
          </w:p>
        </w:tc>
        <w:tc>
          <w:tcPr>
            <w:tcW w:w="368" w:type="dxa"/>
            <w:tcBorders>
              <w:top w:val="single" w:sz="4" w:space="0" w:color="000000"/>
              <w:left w:val="nil"/>
              <w:bottom w:val="single" w:sz="4" w:space="0" w:color="000000"/>
              <w:right w:val="single" w:sz="4" w:space="0" w:color="000000"/>
            </w:tcBorders>
          </w:tcPr>
          <w:p w14:paraId="6A0E4897" w14:textId="77777777" w:rsidR="00CE5AAF" w:rsidRDefault="00CE5AAF">
            <w:pPr>
              <w:spacing w:after="160" w:line="259" w:lineRule="auto"/>
              <w:ind w:left="0" w:firstLine="0"/>
              <w:jc w:val="left"/>
            </w:pPr>
          </w:p>
        </w:tc>
        <w:tc>
          <w:tcPr>
            <w:tcW w:w="6638" w:type="dxa"/>
            <w:gridSpan w:val="2"/>
            <w:tcBorders>
              <w:top w:val="single" w:sz="4" w:space="0" w:color="000000"/>
              <w:left w:val="single" w:sz="4" w:space="0" w:color="000000"/>
              <w:bottom w:val="single" w:sz="4" w:space="0" w:color="000000"/>
              <w:right w:val="single" w:sz="4" w:space="0" w:color="000000"/>
            </w:tcBorders>
          </w:tcPr>
          <w:p w14:paraId="4103AED5" w14:textId="77777777" w:rsidR="00CE5AAF" w:rsidRDefault="00E85A33">
            <w:pPr>
              <w:spacing w:after="0" w:line="259" w:lineRule="auto"/>
              <w:ind w:left="106" w:firstLine="0"/>
              <w:jc w:val="left"/>
            </w:pPr>
            <w:r>
              <w:t xml:space="preserve">Approximately 19 months </w:t>
            </w:r>
          </w:p>
        </w:tc>
      </w:tr>
      <w:tr w:rsidR="00CE5AAF" w14:paraId="3AFD0486" w14:textId="77777777" w:rsidTr="00100D62">
        <w:trPr>
          <w:trHeight w:val="380"/>
        </w:trPr>
        <w:tc>
          <w:tcPr>
            <w:tcW w:w="2015" w:type="dxa"/>
            <w:tcBorders>
              <w:top w:val="single" w:sz="4" w:space="0" w:color="000000"/>
              <w:left w:val="single" w:sz="4" w:space="0" w:color="000000"/>
              <w:bottom w:val="single" w:sz="4" w:space="0" w:color="000000"/>
              <w:right w:val="nil"/>
            </w:tcBorders>
          </w:tcPr>
          <w:p w14:paraId="3629B6EC" w14:textId="77777777" w:rsidR="00CE5AAF" w:rsidRDefault="00E85A33">
            <w:pPr>
              <w:spacing w:after="0" w:line="259" w:lineRule="auto"/>
              <w:ind w:left="108" w:firstLine="0"/>
              <w:jc w:val="left"/>
            </w:pPr>
            <w:r>
              <w:t xml:space="preserve"> </w:t>
            </w:r>
          </w:p>
        </w:tc>
        <w:tc>
          <w:tcPr>
            <w:tcW w:w="368" w:type="dxa"/>
            <w:tcBorders>
              <w:top w:val="single" w:sz="4" w:space="0" w:color="000000"/>
              <w:left w:val="nil"/>
              <w:bottom w:val="single" w:sz="4" w:space="0" w:color="000000"/>
              <w:right w:val="single" w:sz="4" w:space="0" w:color="000000"/>
            </w:tcBorders>
          </w:tcPr>
          <w:p w14:paraId="795B39EC" w14:textId="77777777" w:rsidR="00CE5AAF" w:rsidRDefault="00CE5AAF">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14:paraId="3BCA09CC" w14:textId="77777777" w:rsidR="00CE5AAF" w:rsidRDefault="00E85A33">
            <w:pPr>
              <w:spacing w:after="0" w:line="259" w:lineRule="auto"/>
              <w:ind w:left="26" w:firstLine="0"/>
              <w:jc w:val="center"/>
            </w:pPr>
            <w:r>
              <w:t xml:space="preserve">Objectives </w:t>
            </w:r>
          </w:p>
        </w:tc>
        <w:tc>
          <w:tcPr>
            <w:tcW w:w="3375" w:type="dxa"/>
            <w:tcBorders>
              <w:top w:val="single" w:sz="4" w:space="0" w:color="000000"/>
              <w:left w:val="single" w:sz="4" w:space="0" w:color="000000"/>
              <w:bottom w:val="single" w:sz="4" w:space="0" w:color="000000"/>
              <w:right w:val="single" w:sz="4" w:space="0" w:color="000000"/>
            </w:tcBorders>
          </w:tcPr>
          <w:p w14:paraId="50E6A2B6" w14:textId="77777777" w:rsidR="00CE5AAF" w:rsidRDefault="00E85A33">
            <w:pPr>
              <w:spacing w:after="0" w:line="259" w:lineRule="auto"/>
              <w:ind w:left="28" w:firstLine="0"/>
              <w:jc w:val="center"/>
            </w:pPr>
            <w:r>
              <w:t xml:space="preserve">Outcome Measures </w:t>
            </w:r>
          </w:p>
        </w:tc>
      </w:tr>
      <w:tr w:rsidR="00CE5AAF" w14:paraId="004F6893" w14:textId="77777777" w:rsidTr="00100D62">
        <w:trPr>
          <w:trHeight w:val="2160"/>
        </w:trPr>
        <w:tc>
          <w:tcPr>
            <w:tcW w:w="2015" w:type="dxa"/>
            <w:tcBorders>
              <w:top w:val="single" w:sz="4" w:space="0" w:color="000000"/>
              <w:left w:val="single" w:sz="4" w:space="0" w:color="000000"/>
              <w:bottom w:val="single" w:sz="4" w:space="0" w:color="000000"/>
              <w:right w:val="nil"/>
            </w:tcBorders>
          </w:tcPr>
          <w:p w14:paraId="17A34B72" w14:textId="77777777" w:rsidR="00CE5AAF" w:rsidRDefault="00E85A33">
            <w:pPr>
              <w:spacing w:after="0" w:line="259" w:lineRule="auto"/>
              <w:ind w:left="108" w:firstLine="0"/>
              <w:jc w:val="left"/>
            </w:pPr>
            <w:r>
              <w:t xml:space="preserve">Primary </w:t>
            </w:r>
          </w:p>
          <w:p w14:paraId="6E9201D1" w14:textId="77777777" w:rsidR="00CE5AAF" w:rsidRDefault="00E85A33">
            <w:pPr>
              <w:spacing w:after="0" w:line="259" w:lineRule="auto"/>
              <w:ind w:left="108" w:firstLine="0"/>
              <w:jc w:val="left"/>
            </w:pPr>
            <w:r>
              <w:t xml:space="preserve"> </w:t>
            </w:r>
          </w:p>
        </w:tc>
        <w:tc>
          <w:tcPr>
            <w:tcW w:w="368" w:type="dxa"/>
            <w:tcBorders>
              <w:top w:val="single" w:sz="4" w:space="0" w:color="000000"/>
              <w:left w:val="nil"/>
              <w:bottom w:val="single" w:sz="4" w:space="0" w:color="000000"/>
              <w:right w:val="single" w:sz="4" w:space="0" w:color="000000"/>
            </w:tcBorders>
          </w:tcPr>
          <w:p w14:paraId="725CB1F9" w14:textId="77777777" w:rsidR="00CE5AAF" w:rsidRDefault="00CE5AAF">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14:paraId="692491D2" w14:textId="77777777" w:rsidR="00CE5AAF" w:rsidRDefault="00E85A33">
            <w:pPr>
              <w:spacing w:after="0" w:line="239" w:lineRule="auto"/>
              <w:ind w:left="106" w:right="80" w:firstLine="0"/>
            </w:pPr>
            <w:r>
              <w:t xml:space="preserve">Compare the immunogenicity of the </w:t>
            </w:r>
            <w:r>
              <w:rPr>
                <w:i/>
              </w:rPr>
              <w:t>Haemophilus influenza</w:t>
            </w:r>
            <w:r>
              <w:t xml:space="preserve"> type B (Hib) component of 6 in 1(IH) (Infanrix hexa) and 6 in 1(V) (Vaxelis) when co-administered with 4CMenB in the UK routine immunisation schedule at 5 </w:t>
            </w:r>
          </w:p>
          <w:p w14:paraId="3AFB0293" w14:textId="77777777" w:rsidR="00CE5AAF" w:rsidRDefault="00E85A33">
            <w:pPr>
              <w:spacing w:after="0" w:line="259" w:lineRule="auto"/>
              <w:ind w:left="106" w:firstLine="0"/>
              <w:jc w:val="left"/>
            </w:pPr>
            <w:r>
              <w:t xml:space="preserve">months of age </w:t>
            </w:r>
          </w:p>
        </w:tc>
        <w:tc>
          <w:tcPr>
            <w:tcW w:w="3375" w:type="dxa"/>
            <w:tcBorders>
              <w:top w:val="single" w:sz="4" w:space="0" w:color="000000"/>
              <w:left w:val="single" w:sz="4" w:space="0" w:color="000000"/>
              <w:bottom w:val="single" w:sz="4" w:space="0" w:color="000000"/>
              <w:right w:val="single" w:sz="4" w:space="0" w:color="000000"/>
            </w:tcBorders>
          </w:tcPr>
          <w:p w14:paraId="4A9EA0B6" w14:textId="77777777" w:rsidR="00CE5AAF" w:rsidRDefault="00E85A33">
            <w:pPr>
              <w:spacing w:after="0" w:line="239" w:lineRule="auto"/>
              <w:ind w:left="108" w:right="82" w:firstLine="0"/>
            </w:pPr>
            <w:r>
              <w:t xml:space="preserve">Assess the anti-PRP (Hib) IgG concentrations at 5 months of age as measured by ELISA. </w:t>
            </w:r>
          </w:p>
          <w:p w14:paraId="428841C1" w14:textId="77777777" w:rsidR="00CE5AAF" w:rsidRDefault="00E85A33">
            <w:pPr>
              <w:spacing w:after="0" w:line="259" w:lineRule="auto"/>
              <w:ind w:left="108" w:firstLine="0"/>
              <w:jc w:val="left"/>
            </w:pPr>
            <w:r>
              <w:t xml:space="preserve"> </w:t>
            </w:r>
          </w:p>
        </w:tc>
      </w:tr>
      <w:tr w:rsidR="00CE5AAF" w14:paraId="67796F2F" w14:textId="77777777" w:rsidTr="00100D62">
        <w:trPr>
          <w:trHeight w:val="6457"/>
        </w:trPr>
        <w:tc>
          <w:tcPr>
            <w:tcW w:w="2015" w:type="dxa"/>
            <w:tcBorders>
              <w:top w:val="single" w:sz="4" w:space="0" w:color="000000"/>
              <w:left w:val="single" w:sz="4" w:space="0" w:color="000000"/>
              <w:bottom w:val="single" w:sz="4" w:space="0" w:color="000000"/>
              <w:right w:val="nil"/>
            </w:tcBorders>
          </w:tcPr>
          <w:p w14:paraId="016B929E" w14:textId="77777777" w:rsidR="00CE5AAF" w:rsidRDefault="00E85A33">
            <w:pPr>
              <w:spacing w:after="0" w:line="259" w:lineRule="auto"/>
              <w:ind w:left="108" w:firstLine="0"/>
              <w:jc w:val="left"/>
            </w:pPr>
            <w:r>
              <w:t xml:space="preserve">Secondary </w:t>
            </w:r>
          </w:p>
          <w:p w14:paraId="16E46842" w14:textId="77777777" w:rsidR="00CE5AAF" w:rsidRDefault="00E85A33">
            <w:pPr>
              <w:spacing w:after="0" w:line="259" w:lineRule="auto"/>
              <w:ind w:left="108" w:firstLine="0"/>
              <w:jc w:val="left"/>
            </w:pPr>
            <w:r>
              <w:t xml:space="preserve"> </w:t>
            </w:r>
          </w:p>
        </w:tc>
        <w:tc>
          <w:tcPr>
            <w:tcW w:w="368" w:type="dxa"/>
            <w:tcBorders>
              <w:top w:val="single" w:sz="4" w:space="0" w:color="000000"/>
              <w:left w:val="nil"/>
              <w:bottom w:val="single" w:sz="4" w:space="0" w:color="000000"/>
              <w:right w:val="single" w:sz="4" w:space="0" w:color="000000"/>
            </w:tcBorders>
          </w:tcPr>
          <w:p w14:paraId="538057F2" w14:textId="77777777" w:rsidR="00CE5AAF" w:rsidRDefault="00CE5AAF">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14:paraId="7DBAC543" w14:textId="77777777" w:rsidR="00CE5AAF" w:rsidRDefault="00E85A33">
            <w:pPr>
              <w:spacing w:after="1" w:line="239" w:lineRule="auto"/>
              <w:ind w:left="106" w:right="81" w:firstLine="0"/>
            </w:pPr>
            <w:r>
              <w:t xml:space="preserve">Compare the anti-PRP (Hib) IgG concentrations at 13 months of age (1 month after administration of Hib-MenC at 12 months of age) in participants primed with 6 in </w:t>
            </w:r>
          </w:p>
          <w:p w14:paraId="012EA031" w14:textId="77777777" w:rsidR="00CE5AAF" w:rsidRDefault="00E85A33">
            <w:pPr>
              <w:spacing w:after="0" w:line="259" w:lineRule="auto"/>
              <w:ind w:left="106" w:firstLine="0"/>
              <w:jc w:val="left"/>
            </w:pPr>
            <w:r>
              <w:t xml:space="preserve">1(IH) and 6 in 1(V)  </w:t>
            </w:r>
          </w:p>
          <w:p w14:paraId="74C42D39" w14:textId="77777777" w:rsidR="00CE5AAF" w:rsidRDefault="00E85A33">
            <w:pPr>
              <w:spacing w:after="0" w:line="259" w:lineRule="auto"/>
              <w:ind w:left="106" w:firstLine="0"/>
              <w:jc w:val="left"/>
            </w:pPr>
            <w:r>
              <w:t xml:space="preserve"> </w:t>
            </w:r>
          </w:p>
          <w:p w14:paraId="2507D11B" w14:textId="77777777" w:rsidR="00CE5AAF" w:rsidRDefault="00E85A33">
            <w:pPr>
              <w:spacing w:after="0" w:line="259" w:lineRule="auto"/>
              <w:ind w:left="106" w:firstLine="0"/>
              <w:jc w:val="left"/>
            </w:pPr>
            <w:r>
              <w:t xml:space="preserve"> </w:t>
            </w:r>
          </w:p>
          <w:p w14:paraId="37EDBF51" w14:textId="77777777" w:rsidR="00CE5AAF" w:rsidRDefault="00E85A33">
            <w:pPr>
              <w:spacing w:after="0" w:line="259" w:lineRule="auto"/>
              <w:ind w:left="106" w:right="81" w:firstLine="0"/>
            </w:pPr>
            <w:r>
              <w:t xml:space="preserve">Compare the immunogenicity of the other antigens in the routine UK infant immunisation schedule at 5 and 13 months of age in participants receiving 6 in 1(IH) and 6 in 1(V)  </w:t>
            </w:r>
          </w:p>
        </w:tc>
        <w:tc>
          <w:tcPr>
            <w:tcW w:w="3375" w:type="dxa"/>
            <w:tcBorders>
              <w:top w:val="single" w:sz="4" w:space="0" w:color="000000"/>
              <w:left w:val="single" w:sz="4" w:space="0" w:color="000000"/>
              <w:bottom w:val="single" w:sz="4" w:space="0" w:color="000000"/>
              <w:right w:val="single" w:sz="4" w:space="0" w:color="000000"/>
            </w:tcBorders>
          </w:tcPr>
          <w:p w14:paraId="36D15D58" w14:textId="77777777" w:rsidR="00CE5AAF" w:rsidRDefault="00E85A33">
            <w:pPr>
              <w:spacing w:after="0" w:line="240" w:lineRule="auto"/>
              <w:ind w:left="108" w:right="81" w:firstLine="0"/>
            </w:pPr>
            <w:r>
              <w:t xml:space="preserve">Assess the anti-PRP (Hib) IgG concentrations at 13 months of age as measured by ELISA. </w:t>
            </w:r>
          </w:p>
          <w:p w14:paraId="18F6C76C" w14:textId="77777777" w:rsidR="00CE5AAF" w:rsidRDefault="00E85A33">
            <w:pPr>
              <w:spacing w:after="0" w:line="259" w:lineRule="auto"/>
              <w:ind w:left="108" w:firstLine="0"/>
              <w:jc w:val="left"/>
            </w:pPr>
            <w:r>
              <w:t xml:space="preserve"> </w:t>
            </w:r>
          </w:p>
          <w:p w14:paraId="4E4D3487" w14:textId="77777777" w:rsidR="00CE5AAF" w:rsidRDefault="00E85A33">
            <w:pPr>
              <w:spacing w:after="0" w:line="259" w:lineRule="auto"/>
              <w:ind w:left="108" w:firstLine="0"/>
              <w:jc w:val="left"/>
            </w:pPr>
            <w:r>
              <w:t xml:space="preserve"> </w:t>
            </w:r>
          </w:p>
          <w:p w14:paraId="02E50506" w14:textId="77777777" w:rsidR="00CE5AAF" w:rsidRDefault="00E85A33">
            <w:pPr>
              <w:spacing w:after="0" w:line="259" w:lineRule="auto"/>
              <w:ind w:left="108" w:firstLine="0"/>
              <w:jc w:val="left"/>
            </w:pPr>
            <w:r>
              <w:t xml:space="preserve"> </w:t>
            </w:r>
          </w:p>
          <w:p w14:paraId="26FE72D3" w14:textId="77777777" w:rsidR="00CE5AAF" w:rsidRDefault="00E85A33">
            <w:pPr>
              <w:spacing w:after="0" w:line="259" w:lineRule="auto"/>
              <w:ind w:left="108" w:firstLine="0"/>
              <w:jc w:val="left"/>
            </w:pPr>
            <w:r>
              <w:t xml:space="preserve"> </w:t>
            </w:r>
          </w:p>
          <w:p w14:paraId="0A87D29D" w14:textId="77777777" w:rsidR="00CE5AAF" w:rsidRDefault="00E85A33">
            <w:pPr>
              <w:spacing w:after="0" w:line="259" w:lineRule="auto"/>
              <w:ind w:left="108" w:firstLine="0"/>
              <w:jc w:val="left"/>
            </w:pPr>
            <w:r>
              <w:t xml:space="preserve"> </w:t>
            </w:r>
          </w:p>
          <w:p w14:paraId="17A77FDE" w14:textId="77777777" w:rsidR="00CE5AAF" w:rsidRDefault="00E85A33">
            <w:pPr>
              <w:spacing w:after="33" w:line="239" w:lineRule="auto"/>
              <w:ind w:left="108" w:firstLine="0"/>
            </w:pPr>
            <w:r>
              <w:t xml:space="preserve">Assess the IgG concentrations at 5 and 13 months of: </w:t>
            </w:r>
          </w:p>
          <w:p w14:paraId="0FE12F48" w14:textId="77777777" w:rsidR="00CE5AAF" w:rsidRDefault="00E85A33">
            <w:pPr>
              <w:numPr>
                <w:ilvl w:val="0"/>
                <w:numId w:val="16"/>
              </w:numPr>
              <w:spacing w:after="11" w:line="259" w:lineRule="auto"/>
              <w:ind w:hanging="360"/>
              <w:jc w:val="left"/>
            </w:pPr>
            <w:r>
              <w:t xml:space="preserve">Diphtheria toxoid </w:t>
            </w:r>
          </w:p>
          <w:p w14:paraId="4CDFA982" w14:textId="77777777" w:rsidR="00CE5AAF" w:rsidRDefault="00E85A33">
            <w:pPr>
              <w:numPr>
                <w:ilvl w:val="0"/>
                <w:numId w:val="16"/>
              </w:numPr>
              <w:spacing w:after="11" w:line="259" w:lineRule="auto"/>
              <w:ind w:hanging="360"/>
              <w:jc w:val="left"/>
            </w:pPr>
            <w:r>
              <w:t xml:space="preserve">Tetanus toxoid </w:t>
            </w:r>
          </w:p>
          <w:p w14:paraId="3B76BD96" w14:textId="77777777" w:rsidR="00CE5AAF" w:rsidRDefault="00E85A33">
            <w:pPr>
              <w:numPr>
                <w:ilvl w:val="0"/>
                <w:numId w:val="16"/>
              </w:numPr>
              <w:spacing w:after="11" w:line="259" w:lineRule="auto"/>
              <w:ind w:hanging="360"/>
              <w:jc w:val="left"/>
            </w:pPr>
            <w:r>
              <w:t xml:space="preserve">Hepatitis B  </w:t>
            </w:r>
          </w:p>
          <w:p w14:paraId="555409C5" w14:textId="77777777" w:rsidR="00CE5AAF" w:rsidRDefault="00E85A33">
            <w:pPr>
              <w:numPr>
                <w:ilvl w:val="0"/>
                <w:numId w:val="16"/>
              </w:numPr>
              <w:spacing w:after="35" w:line="238" w:lineRule="auto"/>
              <w:ind w:hanging="360"/>
              <w:jc w:val="left"/>
            </w:pPr>
            <w:r>
              <w:t xml:space="preserve">Vaccine-serotype pneumococcal capsule antigens </w:t>
            </w:r>
          </w:p>
          <w:p w14:paraId="1407A216" w14:textId="77777777" w:rsidR="00CE5AAF" w:rsidRDefault="00E85A33">
            <w:pPr>
              <w:numPr>
                <w:ilvl w:val="0"/>
                <w:numId w:val="16"/>
              </w:numPr>
              <w:spacing w:after="11" w:line="259" w:lineRule="auto"/>
              <w:ind w:hanging="360"/>
              <w:jc w:val="left"/>
            </w:pPr>
            <w:r>
              <w:t xml:space="preserve">Pertussis antigens </w:t>
            </w:r>
          </w:p>
          <w:p w14:paraId="03E1DF77" w14:textId="77777777" w:rsidR="00CE5AAF" w:rsidRDefault="00E85A33">
            <w:pPr>
              <w:numPr>
                <w:ilvl w:val="0"/>
                <w:numId w:val="16"/>
              </w:numPr>
              <w:spacing w:after="0" w:line="240" w:lineRule="auto"/>
              <w:ind w:hanging="360"/>
              <w:jc w:val="left"/>
            </w:pPr>
            <w:r>
              <w:t xml:space="preserve">Poliovirus neutralising antibodies </w:t>
            </w:r>
          </w:p>
          <w:p w14:paraId="0B4697EC" w14:textId="77777777" w:rsidR="00CE5AAF" w:rsidRDefault="00E85A33">
            <w:pPr>
              <w:spacing w:after="0" w:line="259" w:lineRule="auto"/>
              <w:ind w:left="108" w:firstLine="0"/>
              <w:jc w:val="left"/>
            </w:pPr>
            <w:r>
              <w:t xml:space="preserve"> </w:t>
            </w:r>
          </w:p>
          <w:p w14:paraId="2E3EFB59" w14:textId="77777777" w:rsidR="00CE5AAF" w:rsidRDefault="00E85A33">
            <w:pPr>
              <w:spacing w:after="33" w:line="239" w:lineRule="auto"/>
              <w:ind w:left="108" w:right="45" w:firstLine="0"/>
              <w:jc w:val="left"/>
            </w:pPr>
            <w:r>
              <w:t xml:space="preserve">Assess serum bactericidal titres at 5 and 13 months of age of: </w:t>
            </w:r>
          </w:p>
          <w:p w14:paraId="793F11CB" w14:textId="4D5F35BE" w:rsidR="00CE5AAF" w:rsidRDefault="00E85A33" w:rsidP="00100D62">
            <w:pPr>
              <w:pStyle w:val="ListParagraph"/>
              <w:numPr>
                <w:ilvl w:val="0"/>
                <w:numId w:val="26"/>
              </w:numPr>
              <w:spacing w:after="0" w:line="259" w:lineRule="auto"/>
              <w:jc w:val="left"/>
            </w:pPr>
            <w:r>
              <w:t xml:space="preserve">3 reference serogroup B meningococcal strains </w:t>
            </w:r>
          </w:p>
          <w:p w14:paraId="65814784" w14:textId="4DE326FA" w:rsidR="00100D62" w:rsidRDefault="00100D62" w:rsidP="00100D62">
            <w:pPr>
              <w:spacing w:after="0" w:line="240" w:lineRule="auto"/>
              <w:ind w:left="722" w:hanging="360"/>
              <w:jc w:val="left"/>
            </w:pPr>
            <w:r>
              <w:t xml:space="preserve">  b.</w:t>
            </w:r>
            <w:r>
              <w:rPr>
                <w:rFonts w:ascii="Arial" w:eastAsia="Arial" w:hAnsi="Arial" w:cs="Arial"/>
              </w:rPr>
              <w:t xml:space="preserve"> </w:t>
            </w:r>
            <w:r>
              <w:t xml:space="preserve">Serogroup C meningococcus </w:t>
            </w:r>
          </w:p>
          <w:p w14:paraId="413D4B2A" w14:textId="5E3D85B3" w:rsidR="00100D62" w:rsidRDefault="00100D62" w:rsidP="00100D62">
            <w:pPr>
              <w:spacing w:after="0" w:line="259" w:lineRule="auto"/>
              <w:ind w:left="468" w:firstLine="0"/>
              <w:jc w:val="left"/>
            </w:pPr>
          </w:p>
        </w:tc>
      </w:tr>
      <w:tr w:rsidR="00CE5AAF" w14:paraId="1FAC98FF" w14:textId="77777777">
        <w:trPr>
          <w:trHeight w:val="1085"/>
        </w:trPr>
        <w:tc>
          <w:tcPr>
            <w:tcW w:w="0" w:type="auto"/>
            <w:gridSpan w:val="2"/>
            <w:tcBorders>
              <w:top w:val="nil"/>
              <w:left w:val="single" w:sz="4" w:space="0" w:color="000000"/>
              <w:bottom w:val="single" w:sz="4" w:space="0" w:color="000000"/>
              <w:right w:val="single" w:sz="4" w:space="0" w:color="000000"/>
            </w:tcBorders>
          </w:tcPr>
          <w:p w14:paraId="7CFE358B" w14:textId="77777777" w:rsidR="00CE5AAF" w:rsidRDefault="00CE5AAF">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14:paraId="3F591314" w14:textId="77777777" w:rsidR="00CE5AAF" w:rsidRDefault="00E85A33">
            <w:pPr>
              <w:spacing w:after="1" w:line="238" w:lineRule="auto"/>
              <w:ind w:left="0" w:right="48" w:firstLine="0"/>
            </w:pPr>
            <w:r>
              <w:t xml:space="preserve">Reactogenicity of 6 in 1(IH) and  6 in 1(V) when administered in the routine UK immunisation </w:t>
            </w:r>
          </w:p>
          <w:p w14:paraId="573DAA39" w14:textId="77777777" w:rsidR="00CE5AAF" w:rsidRDefault="00E85A33">
            <w:pPr>
              <w:spacing w:after="0" w:line="259" w:lineRule="auto"/>
              <w:ind w:left="0" w:firstLine="0"/>
              <w:jc w:val="left"/>
            </w:pPr>
            <w:r>
              <w:t xml:space="preserve">schedule </w:t>
            </w:r>
          </w:p>
        </w:tc>
        <w:tc>
          <w:tcPr>
            <w:tcW w:w="3375" w:type="dxa"/>
            <w:tcBorders>
              <w:top w:val="single" w:sz="4" w:space="0" w:color="000000"/>
              <w:left w:val="single" w:sz="4" w:space="0" w:color="000000"/>
              <w:bottom w:val="single" w:sz="4" w:space="0" w:color="000000"/>
              <w:right w:val="single" w:sz="4" w:space="0" w:color="000000"/>
            </w:tcBorders>
          </w:tcPr>
          <w:p w14:paraId="73B8433E" w14:textId="77777777" w:rsidR="00CE5AAF" w:rsidRDefault="00E85A33">
            <w:pPr>
              <w:spacing w:after="0" w:line="239" w:lineRule="auto"/>
              <w:ind w:left="2" w:firstLine="0"/>
            </w:pPr>
            <w:r>
              <w:t xml:space="preserve">Solicited local and systemic adverse events within 5 days of </w:t>
            </w:r>
          </w:p>
          <w:p w14:paraId="7EF888FF" w14:textId="77777777" w:rsidR="00CE5AAF" w:rsidRDefault="00E85A33">
            <w:pPr>
              <w:spacing w:after="0" w:line="259" w:lineRule="auto"/>
              <w:ind w:left="2" w:firstLine="0"/>
              <w:jc w:val="left"/>
            </w:pPr>
            <w:r>
              <w:t xml:space="preserve">immunisation </w:t>
            </w:r>
          </w:p>
        </w:tc>
      </w:tr>
      <w:tr w:rsidR="00CE5AAF" w14:paraId="796B5AB6" w14:textId="77777777" w:rsidTr="00100D62">
        <w:trPr>
          <w:trHeight w:val="780"/>
        </w:trPr>
        <w:tc>
          <w:tcPr>
            <w:tcW w:w="2383" w:type="dxa"/>
            <w:gridSpan w:val="2"/>
            <w:tcBorders>
              <w:top w:val="single" w:sz="4" w:space="0" w:color="000000"/>
              <w:left w:val="single" w:sz="4" w:space="0" w:color="000000"/>
              <w:bottom w:val="single" w:sz="4" w:space="0" w:color="000000"/>
              <w:right w:val="single" w:sz="4" w:space="0" w:color="000000"/>
            </w:tcBorders>
          </w:tcPr>
          <w:p w14:paraId="3B7639F1" w14:textId="77777777" w:rsidR="00CE5AAF" w:rsidRDefault="00E85A33">
            <w:pPr>
              <w:spacing w:after="0" w:line="259" w:lineRule="auto"/>
              <w:ind w:left="3" w:firstLine="0"/>
              <w:jc w:val="left"/>
            </w:pPr>
            <w:r>
              <w:t xml:space="preserve">Investigational </w:t>
            </w:r>
          </w:p>
          <w:p w14:paraId="41999B15" w14:textId="77777777" w:rsidR="00CE5AAF" w:rsidRDefault="00E85A33">
            <w:pPr>
              <w:spacing w:after="0" w:line="259" w:lineRule="auto"/>
              <w:ind w:left="3" w:firstLine="0"/>
              <w:jc w:val="left"/>
            </w:pPr>
            <w:r>
              <w:t xml:space="preserve">Medicinal Product(s) </w:t>
            </w:r>
          </w:p>
        </w:tc>
        <w:tc>
          <w:tcPr>
            <w:tcW w:w="6638" w:type="dxa"/>
            <w:gridSpan w:val="2"/>
            <w:tcBorders>
              <w:top w:val="single" w:sz="4" w:space="0" w:color="000000"/>
              <w:left w:val="single" w:sz="4" w:space="0" w:color="000000"/>
              <w:bottom w:val="single" w:sz="4" w:space="0" w:color="000000"/>
              <w:right w:val="single" w:sz="4" w:space="0" w:color="000000"/>
            </w:tcBorders>
          </w:tcPr>
          <w:p w14:paraId="3CDF47E0" w14:textId="77777777" w:rsidR="00CE5AAF" w:rsidRDefault="00E85A33">
            <w:pPr>
              <w:spacing w:after="0" w:line="259" w:lineRule="auto"/>
              <w:ind w:left="0" w:firstLine="0"/>
              <w:jc w:val="left"/>
            </w:pPr>
            <w:r>
              <w:t xml:space="preserve">6 in 1(IH) (Infanrix hexa) </w:t>
            </w:r>
          </w:p>
          <w:p w14:paraId="5CD52EA5" w14:textId="77777777" w:rsidR="00CE5AAF" w:rsidRDefault="00E85A33">
            <w:pPr>
              <w:spacing w:after="0" w:line="259" w:lineRule="auto"/>
              <w:ind w:left="0" w:firstLine="0"/>
              <w:jc w:val="left"/>
            </w:pPr>
            <w:r>
              <w:t xml:space="preserve">6 in 1 (V) (Vaxelis)  </w:t>
            </w:r>
          </w:p>
        </w:tc>
      </w:tr>
      <w:tr w:rsidR="00CE5AAF" w14:paraId="10795FB0" w14:textId="77777777" w:rsidTr="00100D62">
        <w:trPr>
          <w:trHeight w:val="2429"/>
        </w:trPr>
        <w:tc>
          <w:tcPr>
            <w:tcW w:w="2383" w:type="dxa"/>
            <w:gridSpan w:val="2"/>
            <w:tcBorders>
              <w:top w:val="single" w:sz="4" w:space="0" w:color="000000"/>
              <w:left w:val="single" w:sz="4" w:space="0" w:color="000000"/>
              <w:bottom w:val="single" w:sz="4" w:space="0" w:color="000000"/>
              <w:right w:val="single" w:sz="4" w:space="0" w:color="000000"/>
            </w:tcBorders>
          </w:tcPr>
          <w:p w14:paraId="2683F21A" w14:textId="77777777" w:rsidR="00CE5AAF" w:rsidRDefault="00E85A33">
            <w:pPr>
              <w:spacing w:after="0" w:line="259" w:lineRule="auto"/>
              <w:ind w:left="3" w:firstLine="0"/>
              <w:jc w:val="left"/>
            </w:pPr>
            <w:r>
              <w:t xml:space="preserve">Formulation, Dose, </w:t>
            </w:r>
          </w:p>
          <w:p w14:paraId="2EEB9E32" w14:textId="77777777" w:rsidR="00CE5AAF" w:rsidRDefault="00E85A33">
            <w:pPr>
              <w:spacing w:after="0" w:line="259" w:lineRule="auto"/>
              <w:ind w:left="3" w:firstLine="0"/>
              <w:jc w:val="left"/>
            </w:pPr>
            <w:r>
              <w:t xml:space="preserve">Route of Administration </w:t>
            </w:r>
          </w:p>
        </w:tc>
        <w:tc>
          <w:tcPr>
            <w:tcW w:w="6638" w:type="dxa"/>
            <w:gridSpan w:val="2"/>
            <w:tcBorders>
              <w:top w:val="single" w:sz="4" w:space="0" w:color="000000"/>
              <w:left w:val="single" w:sz="4" w:space="0" w:color="000000"/>
              <w:bottom w:val="single" w:sz="4" w:space="0" w:color="000000"/>
              <w:right w:val="single" w:sz="4" w:space="0" w:color="000000"/>
            </w:tcBorders>
          </w:tcPr>
          <w:p w14:paraId="2020BA55" w14:textId="0F11A65E" w:rsidR="00CE5AAF" w:rsidRDefault="00E85A33">
            <w:pPr>
              <w:spacing w:after="0" w:line="239" w:lineRule="auto"/>
              <w:ind w:left="0" w:right="48" w:firstLine="0"/>
            </w:pPr>
            <w:r>
              <w:t>6 in 1(IH) – a licensed hexavalent vaccine for DTaP/IPV/Hib/HepB. It is available as a powder and suspension for intramuscular injection with a volume of 0.5ml. It can be given as a 3 dose primary series on the current UK immunisation schedule (1)</w:t>
            </w:r>
            <w:r w:rsidR="00837131">
              <w:t>.</w:t>
            </w:r>
            <w:r>
              <w:t xml:space="preserve">  </w:t>
            </w:r>
          </w:p>
          <w:p w14:paraId="22992460" w14:textId="77777777" w:rsidR="00CE5AAF" w:rsidRDefault="00E85A33">
            <w:pPr>
              <w:spacing w:after="0" w:line="259" w:lineRule="auto"/>
              <w:ind w:left="0" w:firstLine="0"/>
              <w:jc w:val="left"/>
            </w:pPr>
            <w:r>
              <w:t xml:space="preserve"> </w:t>
            </w:r>
          </w:p>
          <w:p w14:paraId="68153404" w14:textId="33281AFF" w:rsidR="00CE5AAF" w:rsidRDefault="00E85A33" w:rsidP="00837131">
            <w:pPr>
              <w:spacing w:after="0" w:line="259" w:lineRule="auto"/>
              <w:ind w:left="0" w:right="49" w:firstLine="0"/>
            </w:pPr>
            <w:r>
              <w:t>6 in 1(V) – another licensed hexavalent vaccine for DTaP/IPV/Hib/HepB. It is available in a pre-filled syringe as a suspension for intramuscular injection with a volume of 0.5ml. It is given as a 3 dose primary series at least 1 month apart (2)</w:t>
            </w:r>
            <w:r w:rsidR="00837131">
              <w:t>.</w:t>
            </w:r>
            <w:r>
              <w:t xml:space="preserve"> </w:t>
            </w:r>
          </w:p>
        </w:tc>
      </w:tr>
    </w:tbl>
    <w:p w14:paraId="1B589B70" w14:textId="77777777" w:rsidR="00CE5AAF" w:rsidRDefault="00E85A33">
      <w:pPr>
        <w:spacing w:after="218" w:line="259" w:lineRule="auto"/>
        <w:ind w:left="29" w:firstLine="0"/>
      </w:pPr>
      <w:r>
        <w:t xml:space="preserve"> </w:t>
      </w:r>
    </w:p>
    <w:p w14:paraId="314FC984" w14:textId="77777777" w:rsidR="00CE5AAF" w:rsidRDefault="00E85A33">
      <w:pPr>
        <w:spacing w:after="218" w:line="259" w:lineRule="auto"/>
        <w:ind w:left="29" w:firstLine="0"/>
      </w:pPr>
      <w:r>
        <w:t xml:space="preserve"> </w:t>
      </w:r>
    </w:p>
    <w:p w14:paraId="5CF29EC6" w14:textId="77777777" w:rsidR="00CE5AAF" w:rsidRDefault="00E85A33">
      <w:pPr>
        <w:spacing w:after="218" w:line="259" w:lineRule="auto"/>
        <w:ind w:left="29" w:firstLine="0"/>
      </w:pPr>
      <w:r>
        <w:t xml:space="preserve"> </w:t>
      </w:r>
    </w:p>
    <w:p w14:paraId="1D6C4ECA" w14:textId="75A2FB0D" w:rsidR="00CE5AAF" w:rsidRDefault="00CE5AAF" w:rsidP="009B04B7">
      <w:pPr>
        <w:spacing w:after="218" w:line="259" w:lineRule="auto"/>
      </w:pPr>
    </w:p>
    <w:p w14:paraId="5F175AB2" w14:textId="77777777" w:rsidR="00CE5AAF" w:rsidRDefault="00E85A33">
      <w:pPr>
        <w:spacing w:after="0" w:line="259" w:lineRule="auto"/>
        <w:ind w:left="29" w:firstLine="0"/>
      </w:pPr>
      <w:r>
        <w:t xml:space="preserve"> </w:t>
      </w:r>
    </w:p>
    <w:p w14:paraId="1DFF4B2A" w14:textId="77777777" w:rsidR="00CE5AAF" w:rsidRDefault="00E85A33">
      <w:pPr>
        <w:pStyle w:val="Heading1"/>
        <w:tabs>
          <w:tab w:val="center" w:pos="1207"/>
        </w:tabs>
        <w:ind w:left="0" w:firstLine="0"/>
      </w:pPr>
      <w:r>
        <w:t>3.</w:t>
      </w:r>
      <w:r>
        <w:tab/>
        <w:t xml:space="preserve">ABBREVIATIONS </w:t>
      </w:r>
    </w:p>
    <w:tbl>
      <w:tblPr>
        <w:tblStyle w:val="TableGrid"/>
        <w:tblW w:w="8932" w:type="dxa"/>
        <w:tblInd w:w="284" w:type="dxa"/>
        <w:tblCellMar>
          <w:top w:w="46" w:type="dxa"/>
          <w:left w:w="108" w:type="dxa"/>
          <w:right w:w="60" w:type="dxa"/>
        </w:tblCellMar>
        <w:tblLook w:val="04A0" w:firstRow="1" w:lastRow="0" w:firstColumn="1" w:lastColumn="0" w:noHBand="0" w:noVBand="1"/>
      </w:tblPr>
      <w:tblGrid>
        <w:gridCol w:w="1702"/>
        <w:gridCol w:w="7230"/>
      </w:tblGrid>
      <w:tr w:rsidR="00CE5AAF" w14:paraId="23DB209C"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65F33E55" w14:textId="77777777" w:rsidR="00CE5AAF" w:rsidRDefault="00E85A33">
            <w:pPr>
              <w:spacing w:after="0" w:line="259" w:lineRule="auto"/>
              <w:ind w:left="0" w:firstLine="0"/>
              <w:jc w:val="left"/>
            </w:pPr>
            <w:r>
              <w:t xml:space="preserve">6 in 1(IH) </w:t>
            </w:r>
          </w:p>
        </w:tc>
        <w:tc>
          <w:tcPr>
            <w:tcW w:w="7230" w:type="dxa"/>
            <w:tcBorders>
              <w:top w:val="single" w:sz="4" w:space="0" w:color="000000"/>
              <w:left w:val="single" w:sz="4" w:space="0" w:color="000000"/>
              <w:bottom w:val="single" w:sz="4" w:space="0" w:color="000000"/>
              <w:right w:val="single" w:sz="4" w:space="0" w:color="000000"/>
            </w:tcBorders>
          </w:tcPr>
          <w:p w14:paraId="3FAB25EF" w14:textId="77777777" w:rsidR="00CE5AAF" w:rsidRDefault="00E85A33">
            <w:pPr>
              <w:spacing w:after="0" w:line="259" w:lineRule="auto"/>
              <w:ind w:left="0" w:firstLine="0"/>
              <w:jc w:val="left"/>
            </w:pPr>
            <w:r>
              <w:t xml:space="preserve">Infanrix hexa </w:t>
            </w:r>
          </w:p>
        </w:tc>
      </w:tr>
      <w:tr w:rsidR="00CE5AAF" w14:paraId="55DC434D"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287ED1E5" w14:textId="77777777" w:rsidR="00CE5AAF" w:rsidRDefault="00E85A33">
            <w:pPr>
              <w:spacing w:after="0" w:line="259" w:lineRule="auto"/>
              <w:ind w:left="0" w:firstLine="0"/>
              <w:jc w:val="left"/>
            </w:pPr>
            <w:r>
              <w:t xml:space="preserve">6 in 1(V) </w:t>
            </w:r>
          </w:p>
        </w:tc>
        <w:tc>
          <w:tcPr>
            <w:tcW w:w="7230" w:type="dxa"/>
            <w:tcBorders>
              <w:top w:val="single" w:sz="4" w:space="0" w:color="000000"/>
              <w:left w:val="single" w:sz="4" w:space="0" w:color="000000"/>
              <w:bottom w:val="single" w:sz="4" w:space="0" w:color="000000"/>
              <w:right w:val="single" w:sz="4" w:space="0" w:color="000000"/>
            </w:tcBorders>
          </w:tcPr>
          <w:p w14:paraId="24471423" w14:textId="77777777" w:rsidR="00CE5AAF" w:rsidRDefault="00E85A33">
            <w:pPr>
              <w:spacing w:after="0" w:line="259" w:lineRule="auto"/>
              <w:ind w:left="0" w:firstLine="0"/>
              <w:jc w:val="left"/>
            </w:pPr>
            <w:r>
              <w:t xml:space="preserve">Vaxelis </w:t>
            </w:r>
          </w:p>
        </w:tc>
      </w:tr>
      <w:tr w:rsidR="00CE5AAF" w14:paraId="455E660B"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7E0ED0D6" w14:textId="77777777" w:rsidR="00CE5AAF" w:rsidRDefault="00E85A33">
            <w:pPr>
              <w:spacing w:after="0" w:line="259" w:lineRule="auto"/>
              <w:ind w:left="0" w:firstLine="0"/>
              <w:jc w:val="left"/>
            </w:pPr>
            <w:r>
              <w:t xml:space="preserve">AE </w:t>
            </w:r>
          </w:p>
        </w:tc>
        <w:tc>
          <w:tcPr>
            <w:tcW w:w="7230" w:type="dxa"/>
            <w:tcBorders>
              <w:top w:val="single" w:sz="4" w:space="0" w:color="000000"/>
              <w:left w:val="single" w:sz="4" w:space="0" w:color="000000"/>
              <w:bottom w:val="single" w:sz="4" w:space="0" w:color="000000"/>
              <w:right w:val="single" w:sz="4" w:space="0" w:color="000000"/>
            </w:tcBorders>
          </w:tcPr>
          <w:p w14:paraId="196EA937" w14:textId="77777777" w:rsidR="00CE5AAF" w:rsidRDefault="00E85A33">
            <w:pPr>
              <w:spacing w:after="0" w:line="259" w:lineRule="auto"/>
              <w:ind w:left="0" w:firstLine="0"/>
              <w:jc w:val="left"/>
            </w:pPr>
            <w:r>
              <w:t xml:space="preserve">Adverse event </w:t>
            </w:r>
          </w:p>
        </w:tc>
      </w:tr>
      <w:tr w:rsidR="00CE5AAF" w14:paraId="51007E0F"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517D7D46" w14:textId="77777777" w:rsidR="00CE5AAF" w:rsidRDefault="00E85A33">
            <w:pPr>
              <w:spacing w:after="0" w:line="259" w:lineRule="auto"/>
              <w:ind w:left="0" w:firstLine="0"/>
              <w:jc w:val="left"/>
            </w:pPr>
            <w:r>
              <w:t xml:space="preserve">AR  </w:t>
            </w:r>
          </w:p>
        </w:tc>
        <w:tc>
          <w:tcPr>
            <w:tcW w:w="7230" w:type="dxa"/>
            <w:tcBorders>
              <w:top w:val="single" w:sz="4" w:space="0" w:color="000000"/>
              <w:left w:val="single" w:sz="4" w:space="0" w:color="000000"/>
              <w:bottom w:val="single" w:sz="4" w:space="0" w:color="000000"/>
              <w:right w:val="single" w:sz="4" w:space="0" w:color="000000"/>
            </w:tcBorders>
          </w:tcPr>
          <w:p w14:paraId="563BD8FE" w14:textId="77777777" w:rsidR="00CE5AAF" w:rsidRDefault="00E85A33">
            <w:pPr>
              <w:spacing w:after="0" w:line="259" w:lineRule="auto"/>
              <w:ind w:left="0" w:firstLine="0"/>
              <w:jc w:val="left"/>
            </w:pPr>
            <w:r>
              <w:t xml:space="preserve">Adverse reaction </w:t>
            </w:r>
          </w:p>
        </w:tc>
      </w:tr>
      <w:tr w:rsidR="00CE5AAF" w14:paraId="3FEDA9CC"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1AF0F3F9" w14:textId="77777777" w:rsidR="00CE5AAF" w:rsidRDefault="00E85A33">
            <w:pPr>
              <w:spacing w:after="0" w:line="259" w:lineRule="auto"/>
              <w:ind w:left="0" w:firstLine="0"/>
              <w:jc w:val="left"/>
            </w:pPr>
            <w:r>
              <w:t xml:space="preserve">CI </w:t>
            </w:r>
          </w:p>
        </w:tc>
        <w:tc>
          <w:tcPr>
            <w:tcW w:w="7230" w:type="dxa"/>
            <w:tcBorders>
              <w:top w:val="single" w:sz="4" w:space="0" w:color="000000"/>
              <w:left w:val="single" w:sz="4" w:space="0" w:color="000000"/>
              <w:bottom w:val="single" w:sz="4" w:space="0" w:color="000000"/>
              <w:right w:val="single" w:sz="4" w:space="0" w:color="000000"/>
            </w:tcBorders>
          </w:tcPr>
          <w:p w14:paraId="28CC47DD" w14:textId="77777777" w:rsidR="00CE5AAF" w:rsidRDefault="00E85A33">
            <w:pPr>
              <w:spacing w:after="0" w:line="259" w:lineRule="auto"/>
              <w:ind w:left="0" w:firstLine="0"/>
              <w:jc w:val="left"/>
            </w:pPr>
            <w:r>
              <w:t xml:space="preserve">Chief Investigator </w:t>
            </w:r>
          </w:p>
        </w:tc>
      </w:tr>
      <w:tr w:rsidR="00CE5AAF" w14:paraId="4EE126B1"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1B97E003" w14:textId="77777777" w:rsidR="00CE5AAF" w:rsidRDefault="00E85A33">
            <w:pPr>
              <w:spacing w:after="0" w:line="259" w:lineRule="auto"/>
              <w:ind w:left="0" w:firstLine="0"/>
              <w:jc w:val="left"/>
            </w:pPr>
            <w:r>
              <w:t xml:space="preserve">CRA </w:t>
            </w:r>
          </w:p>
        </w:tc>
        <w:tc>
          <w:tcPr>
            <w:tcW w:w="7230" w:type="dxa"/>
            <w:tcBorders>
              <w:top w:val="single" w:sz="4" w:space="0" w:color="000000"/>
              <w:left w:val="single" w:sz="4" w:space="0" w:color="000000"/>
              <w:bottom w:val="single" w:sz="4" w:space="0" w:color="000000"/>
              <w:right w:val="single" w:sz="4" w:space="0" w:color="000000"/>
            </w:tcBorders>
          </w:tcPr>
          <w:p w14:paraId="2C7991F5" w14:textId="77777777" w:rsidR="00CE5AAF" w:rsidRDefault="00E85A33">
            <w:pPr>
              <w:spacing w:after="0" w:line="259" w:lineRule="auto"/>
              <w:ind w:left="0" w:firstLine="0"/>
              <w:jc w:val="left"/>
            </w:pPr>
            <w:r>
              <w:t xml:space="preserve">Clinical Research Associate (Monitor) </w:t>
            </w:r>
          </w:p>
        </w:tc>
      </w:tr>
      <w:tr w:rsidR="00CE5AAF" w14:paraId="76CF6229"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2E96211B" w14:textId="77777777" w:rsidR="00CE5AAF" w:rsidRDefault="00E85A33">
            <w:pPr>
              <w:spacing w:after="0" w:line="259" w:lineRule="auto"/>
              <w:ind w:left="0" w:firstLine="0"/>
              <w:jc w:val="left"/>
            </w:pPr>
            <w:r>
              <w:t xml:space="preserve">CRF </w:t>
            </w:r>
          </w:p>
        </w:tc>
        <w:tc>
          <w:tcPr>
            <w:tcW w:w="7230" w:type="dxa"/>
            <w:tcBorders>
              <w:top w:val="single" w:sz="4" w:space="0" w:color="000000"/>
              <w:left w:val="single" w:sz="4" w:space="0" w:color="000000"/>
              <w:bottom w:val="single" w:sz="4" w:space="0" w:color="000000"/>
              <w:right w:val="single" w:sz="4" w:space="0" w:color="000000"/>
            </w:tcBorders>
          </w:tcPr>
          <w:p w14:paraId="5080C341" w14:textId="77777777" w:rsidR="00CE5AAF" w:rsidRDefault="00E85A33">
            <w:pPr>
              <w:spacing w:after="0" w:line="259" w:lineRule="auto"/>
              <w:ind w:left="0" w:firstLine="0"/>
              <w:jc w:val="left"/>
            </w:pPr>
            <w:r>
              <w:t xml:space="preserve">Case Report Form </w:t>
            </w:r>
          </w:p>
        </w:tc>
      </w:tr>
      <w:tr w:rsidR="00CE5AAF" w14:paraId="1343625B"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0CF5BF06" w14:textId="77777777" w:rsidR="00CE5AAF" w:rsidRDefault="00E85A33">
            <w:pPr>
              <w:spacing w:after="0" w:line="259" w:lineRule="auto"/>
              <w:ind w:left="0" w:firstLine="0"/>
              <w:jc w:val="left"/>
            </w:pPr>
            <w:r>
              <w:t xml:space="preserve">CRO  </w:t>
            </w:r>
          </w:p>
        </w:tc>
        <w:tc>
          <w:tcPr>
            <w:tcW w:w="7230" w:type="dxa"/>
            <w:tcBorders>
              <w:top w:val="single" w:sz="4" w:space="0" w:color="000000"/>
              <w:left w:val="single" w:sz="4" w:space="0" w:color="000000"/>
              <w:bottom w:val="single" w:sz="4" w:space="0" w:color="000000"/>
              <w:right w:val="single" w:sz="4" w:space="0" w:color="000000"/>
            </w:tcBorders>
          </w:tcPr>
          <w:p w14:paraId="4AAE1408" w14:textId="77777777" w:rsidR="00CE5AAF" w:rsidRDefault="00E85A33">
            <w:pPr>
              <w:spacing w:after="0" w:line="259" w:lineRule="auto"/>
              <w:ind w:left="0" w:firstLine="0"/>
              <w:jc w:val="left"/>
            </w:pPr>
            <w:r>
              <w:t xml:space="preserve">Contract Research Organisation </w:t>
            </w:r>
          </w:p>
        </w:tc>
      </w:tr>
      <w:tr w:rsidR="00CE5AAF" w14:paraId="560DA6FB"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1B2102AB" w14:textId="77777777" w:rsidR="00CE5AAF" w:rsidRDefault="00E85A33">
            <w:pPr>
              <w:spacing w:after="0" w:line="259" w:lineRule="auto"/>
              <w:ind w:left="0" w:firstLine="0"/>
              <w:jc w:val="left"/>
            </w:pPr>
            <w:r>
              <w:t xml:space="preserve">CT </w:t>
            </w:r>
          </w:p>
        </w:tc>
        <w:tc>
          <w:tcPr>
            <w:tcW w:w="7230" w:type="dxa"/>
            <w:tcBorders>
              <w:top w:val="single" w:sz="4" w:space="0" w:color="000000"/>
              <w:left w:val="single" w:sz="4" w:space="0" w:color="000000"/>
              <w:bottom w:val="single" w:sz="4" w:space="0" w:color="000000"/>
              <w:right w:val="single" w:sz="4" w:space="0" w:color="000000"/>
            </w:tcBorders>
          </w:tcPr>
          <w:p w14:paraId="5C702A25" w14:textId="77777777" w:rsidR="00CE5AAF" w:rsidRDefault="00E85A33">
            <w:pPr>
              <w:spacing w:after="0" w:line="259" w:lineRule="auto"/>
              <w:ind w:left="0" w:firstLine="0"/>
              <w:jc w:val="left"/>
            </w:pPr>
            <w:r>
              <w:t xml:space="preserve">Clinical Trials </w:t>
            </w:r>
          </w:p>
        </w:tc>
      </w:tr>
      <w:tr w:rsidR="00CE5AAF" w14:paraId="62487F32"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64CBC758" w14:textId="77777777" w:rsidR="00CE5AAF" w:rsidRDefault="00E85A33">
            <w:pPr>
              <w:spacing w:after="0" w:line="259" w:lineRule="auto"/>
              <w:ind w:left="0" w:firstLine="0"/>
              <w:jc w:val="left"/>
            </w:pPr>
            <w:r>
              <w:t xml:space="preserve">CTA </w:t>
            </w:r>
          </w:p>
        </w:tc>
        <w:tc>
          <w:tcPr>
            <w:tcW w:w="7230" w:type="dxa"/>
            <w:tcBorders>
              <w:top w:val="single" w:sz="4" w:space="0" w:color="000000"/>
              <w:left w:val="single" w:sz="4" w:space="0" w:color="000000"/>
              <w:bottom w:val="single" w:sz="4" w:space="0" w:color="000000"/>
              <w:right w:val="single" w:sz="4" w:space="0" w:color="000000"/>
            </w:tcBorders>
          </w:tcPr>
          <w:p w14:paraId="78AB64D7" w14:textId="77777777" w:rsidR="00CE5AAF" w:rsidRDefault="00E85A33">
            <w:pPr>
              <w:spacing w:after="0" w:line="259" w:lineRule="auto"/>
              <w:ind w:left="0" w:firstLine="0"/>
              <w:jc w:val="left"/>
            </w:pPr>
            <w:r>
              <w:t xml:space="preserve">Clinical Trials Authorisation </w:t>
            </w:r>
          </w:p>
        </w:tc>
      </w:tr>
      <w:tr w:rsidR="00CE5AAF" w14:paraId="0727DDAA"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12447B02" w14:textId="77777777" w:rsidR="00CE5AAF" w:rsidRDefault="00E85A33">
            <w:pPr>
              <w:spacing w:after="0" w:line="259" w:lineRule="auto"/>
              <w:ind w:left="0" w:firstLine="0"/>
              <w:jc w:val="left"/>
            </w:pPr>
            <w:r>
              <w:t xml:space="preserve">CTRG </w:t>
            </w:r>
          </w:p>
        </w:tc>
        <w:tc>
          <w:tcPr>
            <w:tcW w:w="7230" w:type="dxa"/>
            <w:tcBorders>
              <w:top w:val="single" w:sz="4" w:space="0" w:color="000000"/>
              <w:left w:val="single" w:sz="4" w:space="0" w:color="000000"/>
              <w:bottom w:val="single" w:sz="4" w:space="0" w:color="000000"/>
              <w:right w:val="single" w:sz="4" w:space="0" w:color="000000"/>
            </w:tcBorders>
          </w:tcPr>
          <w:p w14:paraId="682FA708" w14:textId="77777777" w:rsidR="00CE5AAF" w:rsidRDefault="00E85A33">
            <w:pPr>
              <w:spacing w:after="0" w:line="259" w:lineRule="auto"/>
              <w:ind w:left="0" w:firstLine="0"/>
              <w:jc w:val="left"/>
            </w:pPr>
            <w:r>
              <w:t xml:space="preserve">Clinical Trials and Research Governance </w:t>
            </w:r>
          </w:p>
        </w:tc>
      </w:tr>
      <w:tr w:rsidR="00CE5AAF" w14:paraId="6CC490EE"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1F6F6A9F" w14:textId="77777777" w:rsidR="00CE5AAF" w:rsidRDefault="00E85A33">
            <w:pPr>
              <w:spacing w:after="0" w:line="259" w:lineRule="auto"/>
              <w:ind w:left="0" w:firstLine="0"/>
              <w:jc w:val="left"/>
            </w:pPr>
            <w:r>
              <w:t xml:space="preserve">DMC/DMSC </w:t>
            </w:r>
          </w:p>
        </w:tc>
        <w:tc>
          <w:tcPr>
            <w:tcW w:w="7230" w:type="dxa"/>
            <w:tcBorders>
              <w:top w:val="single" w:sz="4" w:space="0" w:color="000000"/>
              <w:left w:val="single" w:sz="4" w:space="0" w:color="000000"/>
              <w:bottom w:val="single" w:sz="4" w:space="0" w:color="000000"/>
              <w:right w:val="single" w:sz="4" w:space="0" w:color="000000"/>
            </w:tcBorders>
          </w:tcPr>
          <w:p w14:paraId="105A2184" w14:textId="77777777" w:rsidR="00CE5AAF" w:rsidRDefault="00E85A33">
            <w:pPr>
              <w:spacing w:after="0" w:line="259" w:lineRule="auto"/>
              <w:ind w:left="0" w:firstLine="0"/>
              <w:jc w:val="left"/>
            </w:pPr>
            <w:r>
              <w:t xml:space="preserve">Data Monitoring Committee / Data Monitoring and Safety Committee </w:t>
            </w:r>
          </w:p>
        </w:tc>
      </w:tr>
      <w:tr w:rsidR="00CE5AAF" w14:paraId="1540D7ED"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4BF8DB58" w14:textId="77777777" w:rsidR="00CE5AAF" w:rsidRDefault="00E85A33">
            <w:pPr>
              <w:spacing w:after="0" w:line="259" w:lineRule="auto"/>
              <w:ind w:left="0" w:firstLine="0"/>
              <w:jc w:val="left"/>
            </w:pPr>
            <w:r>
              <w:t xml:space="preserve">DSUR </w:t>
            </w:r>
          </w:p>
        </w:tc>
        <w:tc>
          <w:tcPr>
            <w:tcW w:w="7230" w:type="dxa"/>
            <w:tcBorders>
              <w:top w:val="single" w:sz="4" w:space="0" w:color="000000"/>
              <w:left w:val="single" w:sz="4" w:space="0" w:color="000000"/>
              <w:bottom w:val="single" w:sz="4" w:space="0" w:color="000000"/>
              <w:right w:val="single" w:sz="4" w:space="0" w:color="000000"/>
            </w:tcBorders>
          </w:tcPr>
          <w:p w14:paraId="25039391" w14:textId="77777777" w:rsidR="00CE5AAF" w:rsidRDefault="00E85A33">
            <w:pPr>
              <w:spacing w:after="0" w:line="259" w:lineRule="auto"/>
              <w:ind w:left="0" w:firstLine="0"/>
              <w:jc w:val="left"/>
            </w:pPr>
            <w:r>
              <w:t xml:space="preserve">Development Safety Update Report </w:t>
            </w:r>
          </w:p>
        </w:tc>
      </w:tr>
      <w:tr w:rsidR="00CE5AAF" w14:paraId="64247503"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73A8660D" w14:textId="77777777" w:rsidR="00CE5AAF" w:rsidRDefault="00E85A33">
            <w:pPr>
              <w:spacing w:after="0" w:line="259" w:lineRule="auto"/>
              <w:ind w:left="0" w:firstLine="0"/>
              <w:jc w:val="left"/>
            </w:pPr>
            <w:r>
              <w:t xml:space="preserve">EMA </w:t>
            </w:r>
          </w:p>
        </w:tc>
        <w:tc>
          <w:tcPr>
            <w:tcW w:w="7230" w:type="dxa"/>
            <w:tcBorders>
              <w:top w:val="single" w:sz="4" w:space="0" w:color="000000"/>
              <w:left w:val="single" w:sz="4" w:space="0" w:color="000000"/>
              <w:bottom w:val="single" w:sz="4" w:space="0" w:color="000000"/>
              <w:right w:val="single" w:sz="4" w:space="0" w:color="000000"/>
            </w:tcBorders>
          </w:tcPr>
          <w:p w14:paraId="1E600174" w14:textId="77777777" w:rsidR="00CE5AAF" w:rsidRDefault="00E85A33">
            <w:pPr>
              <w:spacing w:after="0" w:line="259" w:lineRule="auto"/>
              <w:ind w:left="0" w:firstLine="0"/>
              <w:jc w:val="left"/>
            </w:pPr>
            <w:r>
              <w:t xml:space="preserve">European Medicines Agency </w:t>
            </w:r>
          </w:p>
        </w:tc>
      </w:tr>
      <w:tr w:rsidR="00CE5AAF" w14:paraId="0E32EF2E"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65A9E4EE" w14:textId="77777777" w:rsidR="00CE5AAF" w:rsidRDefault="00E85A33">
            <w:pPr>
              <w:spacing w:after="0" w:line="259" w:lineRule="auto"/>
              <w:ind w:left="0" w:firstLine="0"/>
              <w:jc w:val="left"/>
            </w:pPr>
            <w:r>
              <w:t xml:space="preserve">GCP </w:t>
            </w:r>
          </w:p>
        </w:tc>
        <w:tc>
          <w:tcPr>
            <w:tcW w:w="7230" w:type="dxa"/>
            <w:tcBorders>
              <w:top w:val="single" w:sz="4" w:space="0" w:color="000000"/>
              <w:left w:val="single" w:sz="4" w:space="0" w:color="000000"/>
              <w:bottom w:val="single" w:sz="4" w:space="0" w:color="000000"/>
              <w:right w:val="single" w:sz="4" w:space="0" w:color="000000"/>
            </w:tcBorders>
          </w:tcPr>
          <w:p w14:paraId="41C06D6E" w14:textId="77777777" w:rsidR="00CE5AAF" w:rsidRDefault="00E85A33">
            <w:pPr>
              <w:spacing w:after="0" w:line="259" w:lineRule="auto"/>
              <w:ind w:left="0" w:firstLine="0"/>
              <w:jc w:val="left"/>
            </w:pPr>
            <w:r>
              <w:t xml:space="preserve">Good Clinical Practice </w:t>
            </w:r>
          </w:p>
        </w:tc>
      </w:tr>
      <w:tr w:rsidR="00CE5AAF" w14:paraId="67309E9E"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530E5F7F" w14:textId="77777777" w:rsidR="00CE5AAF" w:rsidRDefault="00E85A33">
            <w:pPr>
              <w:spacing w:after="0" w:line="259" w:lineRule="auto"/>
              <w:ind w:left="0" w:firstLine="0"/>
              <w:jc w:val="left"/>
            </w:pPr>
            <w:r>
              <w:t xml:space="preserve">GMC </w:t>
            </w:r>
          </w:p>
        </w:tc>
        <w:tc>
          <w:tcPr>
            <w:tcW w:w="7230" w:type="dxa"/>
            <w:tcBorders>
              <w:top w:val="single" w:sz="4" w:space="0" w:color="000000"/>
              <w:left w:val="single" w:sz="4" w:space="0" w:color="000000"/>
              <w:bottom w:val="single" w:sz="4" w:space="0" w:color="000000"/>
              <w:right w:val="single" w:sz="4" w:space="0" w:color="000000"/>
            </w:tcBorders>
          </w:tcPr>
          <w:p w14:paraId="69727648" w14:textId="77777777" w:rsidR="00CE5AAF" w:rsidRDefault="00E85A33">
            <w:pPr>
              <w:spacing w:after="0" w:line="259" w:lineRule="auto"/>
              <w:ind w:left="0" w:firstLine="0"/>
              <w:jc w:val="left"/>
            </w:pPr>
            <w:r>
              <w:t xml:space="preserve">Geometric Mean Concentration </w:t>
            </w:r>
          </w:p>
        </w:tc>
      </w:tr>
      <w:tr w:rsidR="00CE5AAF" w14:paraId="44BBAB0A"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4F41F3E8" w14:textId="77777777" w:rsidR="00CE5AAF" w:rsidRDefault="00E85A33">
            <w:pPr>
              <w:spacing w:after="0" w:line="259" w:lineRule="auto"/>
              <w:ind w:left="0" w:firstLine="0"/>
              <w:jc w:val="left"/>
            </w:pPr>
            <w:r>
              <w:t xml:space="preserve">GP </w:t>
            </w:r>
          </w:p>
        </w:tc>
        <w:tc>
          <w:tcPr>
            <w:tcW w:w="7230" w:type="dxa"/>
            <w:tcBorders>
              <w:top w:val="single" w:sz="4" w:space="0" w:color="000000"/>
              <w:left w:val="single" w:sz="4" w:space="0" w:color="000000"/>
              <w:bottom w:val="single" w:sz="4" w:space="0" w:color="000000"/>
              <w:right w:val="single" w:sz="4" w:space="0" w:color="000000"/>
            </w:tcBorders>
          </w:tcPr>
          <w:p w14:paraId="3036E353" w14:textId="77777777" w:rsidR="00CE5AAF" w:rsidRDefault="00E85A33">
            <w:pPr>
              <w:spacing w:after="0" w:line="259" w:lineRule="auto"/>
              <w:ind w:left="0" w:firstLine="0"/>
              <w:jc w:val="left"/>
            </w:pPr>
            <w:r>
              <w:t xml:space="preserve">General Practitioner </w:t>
            </w:r>
          </w:p>
        </w:tc>
      </w:tr>
      <w:tr w:rsidR="00CE5AAF" w14:paraId="0FA0A527"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6E9D67D6" w14:textId="77777777" w:rsidR="00CE5AAF" w:rsidRDefault="00E85A33">
            <w:pPr>
              <w:spacing w:after="0" w:line="259" w:lineRule="auto"/>
              <w:ind w:left="0" w:firstLine="0"/>
              <w:jc w:val="left"/>
            </w:pPr>
            <w:r>
              <w:t xml:space="preserve">GTAC </w:t>
            </w:r>
          </w:p>
        </w:tc>
        <w:tc>
          <w:tcPr>
            <w:tcW w:w="7230" w:type="dxa"/>
            <w:tcBorders>
              <w:top w:val="single" w:sz="4" w:space="0" w:color="000000"/>
              <w:left w:val="single" w:sz="4" w:space="0" w:color="000000"/>
              <w:bottom w:val="single" w:sz="4" w:space="0" w:color="000000"/>
              <w:right w:val="single" w:sz="4" w:space="0" w:color="000000"/>
            </w:tcBorders>
          </w:tcPr>
          <w:p w14:paraId="27A56857" w14:textId="77777777" w:rsidR="00CE5AAF" w:rsidRDefault="00E85A33">
            <w:pPr>
              <w:spacing w:after="0" w:line="259" w:lineRule="auto"/>
              <w:ind w:left="0" w:firstLine="0"/>
              <w:jc w:val="left"/>
            </w:pPr>
            <w:r>
              <w:t xml:space="preserve">Gene Therapy Advisory Committee </w:t>
            </w:r>
          </w:p>
        </w:tc>
      </w:tr>
      <w:tr w:rsidR="00CE5AAF" w14:paraId="3C2D53CB"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20EC90F4" w14:textId="77777777" w:rsidR="00CE5AAF" w:rsidRDefault="00E85A33">
            <w:pPr>
              <w:spacing w:after="0" w:line="259" w:lineRule="auto"/>
              <w:ind w:left="0" w:firstLine="0"/>
              <w:jc w:val="left"/>
            </w:pPr>
            <w:r>
              <w:t xml:space="preserve">Hib </w:t>
            </w:r>
          </w:p>
        </w:tc>
        <w:tc>
          <w:tcPr>
            <w:tcW w:w="7230" w:type="dxa"/>
            <w:tcBorders>
              <w:top w:val="single" w:sz="4" w:space="0" w:color="000000"/>
              <w:left w:val="single" w:sz="4" w:space="0" w:color="000000"/>
              <w:bottom w:val="single" w:sz="4" w:space="0" w:color="000000"/>
              <w:right w:val="single" w:sz="4" w:space="0" w:color="000000"/>
            </w:tcBorders>
          </w:tcPr>
          <w:p w14:paraId="2E819491" w14:textId="77777777" w:rsidR="00CE5AAF" w:rsidRDefault="00E85A33">
            <w:pPr>
              <w:spacing w:after="0" w:line="259" w:lineRule="auto"/>
              <w:ind w:left="0" w:firstLine="0"/>
              <w:jc w:val="left"/>
            </w:pPr>
            <w:r>
              <w:rPr>
                <w:i/>
              </w:rPr>
              <w:t xml:space="preserve">Haemophilus influenza </w:t>
            </w:r>
            <w:r>
              <w:t xml:space="preserve">type B </w:t>
            </w:r>
          </w:p>
        </w:tc>
      </w:tr>
      <w:tr w:rsidR="00CE5AAF" w14:paraId="453B5967"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31F479C6" w14:textId="77777777" w:rsidR="00CE5AAF" w:rsidRDefault="00E85A33">
            <w:pPr>
              <w:spacing w:after="0" w:line="259" w:lineRule="auto"/>
              <w:ind w:left="0" w:firstLine="0"/>
              <w:jc w:val="left"/>
            </w:pPr>
            <w:r>
              <w:t xml:space="preserve">HRA </w:t>
            </w:r>
          </w:p>
        </w:tc>
        <w:tc>
          <w:tcPr>
            <w:tcW w:w="7230" w:type="dxa"/>
            <w:tcBorders>
              <w:top w:val="single" w:sz="4" w:space="0" w:color="000000"/>
              <w:left w:val="single" w:sz="4" w:space="0" w:color="000000"/>
              <w:bottom w:val="single" w:sz="4" w:space="0" w:color="000000"/>
              <w:right w:val="single" w:sz="4" w:space="0" w:color="000000"/>
            </w:tcBorders>
          </w:tcPr>
          <w:p w14:paraId="0AF07168" w14:textId="77777777" w:rsidR="00CE5AAF" w:rsidRDefault="00E85A33">
            <w:pPr>
              <w:spacing w:after="0" w:line="259" w:lineRule="auto"/>
              <w:ind w:left="0" w:firstLine="0"/>
              <w:jc w:val="left"/>
            </w:pPr>
            <w:r>
              <w:t xml:space="preserve">Health Research Authority </w:t>
            </w:r>
          </w:p>
        </w:tc>
      </w:tr>
      <w:tr w:rsidR="00CE5AAF" w14:paraId="46A4A368"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10E1AE38" w14:textId="77777777" w:rsidR="00CE5AAF" w:rsidRDefault="00E85A33">
            <w:pPr>
              <w:spacing w:after="0" w:line="259" w:lineRule="auto"/>
              <w:ind w:left="0" w:firstLine="0"/>
              <w:jc w:val="left"/>
            </w:pPr>
            <w:r>
              <w:t xml:space="preserve">HBV </w:t>
            </w:r>
          </w:p>
        </w:tc>
        <w:tc>
          <w:tcPr>
            <w:tcW w:w="7230" w:type="dxa"/>
            <w:tcBorders>
              <w:top w:val="single" w:sz="4" w:space="0" w:color="000000"/>
              <w:left w:val="single" w:sz="4" w:space="0" w:color="000000"/>
              <w:bottom w:val="single" w:sz="4" w:space="0" w:color="000000"/>
              <w:right w:val="single" w:sz="4" w:space="0" w:color="000000"/>
            </w:tcBorders>
          </w:tcPr>
          <w:p w14:paraId="3CE5601A" w14:textId="77777777" w:rsidR="00CE5AAF" w:rsidRDefault="00E85A33">
            <w:pPr>
              <w:spacing w:after="0" w:line="259" w:lineRule="auto"/>
              <w:ind w:left="0" w:firstLine="0"/>
              <w:jc w:val="left"/>
            </w:pPr>
            <w:r>
              <w:t xml:space="preserve">Hepatitis B virus </w:t>
            </w:r>
          </w:p>
        </w:tc>
      </w:tr>
      <w:tr w:rsidR="00CE5AAF" w14:paraId="3E659B2E"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351D9E14" w14:textId="77777777" w:rsidR="00CE5AAF" w:rsidRDefault="00E85A33">
            <w:pPr>
              <w:spacing w:after="0" w:line="259" w:lineRule="auto"/>
              <w:ind w:left="0" w:firstLine="0"/>
              <w:jc w:val="left"/>
            </w:pPr>
            <w:r>
              <w:t xml:space="preserve">IB </w:t>
            </w:r>
          </w:p>
        </w:tc>
        <w:tc>
          <w:tcPr>
            <w:tcW w:w="7230" w:type="dxa"/>
            <w:tcBorders>
              <w:top w:val="single" w:sz="4" w:space="0" w:color="000000"/>
              <w:left w:val="single" w:sz="4" w:space="0" w:color="000000"/>
              <w:bottom w:val="single" w:sz="4" w:space="0" w:color="000000"/>
              <w:right w:val="single" w:sz="4" w:space="0" w:color="000000"/>
            </w:tcBorders>
          </w:tcPr>
          <w:p w14:paraId="4C46422D" w14:textId="77777777" w:rsidR="00CE5AAF" w:rsidRDefault="00E85A33">
            <w:pPr>
              <w:spacing w:after="0" w:line="259" w:lineRule="auto"/>
              <w:ind w:left="0" w:firstLine="0"/>
              <w:jc w:val="left"/>
            </w:pPr>
            <w:r>
              <w:t xml:space="preserve">Investigators Brochure </w:t>
            </w:r>
          </w:p>
        </w:tc>
      </w:tr>
      <w:tr w:rsidR="00CE5AAF" w14:paraId="31B42EDF"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5AFEFD97" w14:textId="77777777" w:rsidR="00CE5AAF" w:rsidRDefault="00E85A33">
            <w:pPr>
              <w:spacing w:after="0" w:line="259" w:lineRule="auto"/>
              <w:ind w:left="0" w:firstLine="0"/>
              <w:jc w:val="left"/>
            </w:pPr>
            <w:r>
              <w:t xml:space="preserve">ICF </w:t>
            </w:r>
          </w:p>
        </w:tc>
        <w:tc>
          <w:tcPr>
            <w:tcW w:w="7230" w:type="dxa"/>
            <w:tcBorders>
              <w:top w:val="single" w:sz="4" w:space="0" w:color="000000"/>
              <w:left w:val="single" w:sz="4" w:space="0" w:color="000000"/>
              <w:bottom w:val="single" w:sz="4" w:space="0" w:color="000000"/>
              <w:right w:val="single" w:sz="4" w:space="0" w:color="000000"/>
            </w:tcBorders>
          </w:tcPr>
          <w:p w14:paraId="03536772" w14:textId="77777777" w:rsidR="00CE5AAF" w:rsidRDefault="00E85A33">
            <w:pPr>
              <w:spacing w:after="0" w:line="259" w:lineRule="auto"/>
              <w:ind w:left="0" w:firstLine="0"/>
              <w:jc w:val="left"/>
            </w:pPr>
            <w:r>
              <w:t xml:space="preserve">Informed Consent Form </w:t>
            </w:r>
          </w:p>
        </w:tc>
      </w:tr>
      <w:tr w:rsidR="00CE5AAF" w14:paraId="32A1D9C4"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6876EC2A" w14:textId="77777777" w:rsidR="00CE5AAF" w:rsidRDefault="00E85A33">
            <w:pPr>
              <w:spacing w:after="0" w:line="259" w:lineRule="auto"/>
              <w:ind w:left="0" w:firstLine="0"/>
              <w:jc w:val="left"/>
            </w:pPr>
            <w:r>
              <w:t xml:space="preserve">ICH </w:t>
            </w:r>
          </w:p>
        </w:tc>
        <w:tc>
          <w:tcPr>
            <w:tcW w:w="7230" w:type="dxa"/>
            <w:tcBorders>
              <w:top w:val="single" w:sz="4" w:space="0" w:color="000000"/>
              <w:left w:val="single" w:sz="4" w:space="0" w:color="000000"/>
              <w:bottom w:val="single" w:sz="4" w:space="0" w:color="000000"/>
              <w:right w:val="single" w:sz="4" w:space="0" w:color="000000"/>
            </w:tcBorders>
          </w:tcPr>
          <w:p w14:paraId="354EFF38" w14:textId="77777777" w:rsidR="00CE5AAF" w:rsidRDefault="00E85A33">
            <w:pPr>
              <w:spacing w:after="0" w:line="259" w:lineRule="auto"/>
              <w:ind w:left="0" w:firstLine="0"/>
              <w:jc w:val="left"/>
            </w:pPr>
            <w:r>
              <w:t xml:space="preserve">International Conference on Harmonisation </w:t>
            </w:r>
          </w:p>
        </w:tc>
      </w:tr>
      <w:tr w:rsidR="00CE5AAF" w14:paraId="527D5572"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062C068E" w14:textId="77777777" w:rsidR="00CE5AAF" w:rsidRDefault="00E85A33">
            <w:pPr>
              <w:spacing w:after="0" w:line="259" w:lineRule="auto"/>
              <w:ind w:left="0" w:firstLine="0"/>
              <w:jc w:val="left"/>
            </w:pPr>
            <w:r>
              <w:t xml:space="preserve">IMP </w:t>
            </w:r>
          </w:p>
        </w:tc>
        <w:tc>
          <w:tcPr>
            <w:tcW w:w="7230" w:type="dxa"/>
            <w:tcBorders>
              <w:top w:val="single" w:sz="4" w:space="0" w:color="000000"/>
              <w:left w:val="single" w:sz="4" w:space="0" w:color="000000"/>
              <w:bottom w:val="single" w:sz="4" w:space="0" w:color="000000"/>
              <w:right w:val="single" w:sz="4" w:space="0" w:color="000000"/>
            </w:tcBorders>
          </w:tcPr>
          <w:p w14:paraId="62041A99" w14:textId="77777777" w:rsidR="00CE5AAF" w:rsidRDefault="00E85A33">
            <w:pPr>
              <w:spacing w:after="0" w:line="259" w:lineRule="auto"/>
              <w:ind w:left="0" w:firstLine="0"/>
              <w:jc w:val="left"/>
            </w:pPr>
            <w:r>
              <w:t xml:space="preserve">Investigational Medicinal Product </w:t>
            </w:r>
          </w:p>
        </w:tc>
      </w:tr>
      <w:tr w:rsidR="00CE5AAF" w14:paraId="7CFCE68A"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2D43C58A" w14:textId="77777777" w:rsidR="00CE5AAF" w:rsidRDefault="00E85A33">
            <w:pPr>
              <w:spacing w:after="0" w:line="259" w:lineRule="auto"/>
              <w:ind w:left="0" w:firstLine="0"/>
              <w:jc w:val="left"/>
            </w:pPr>
            <w:r>
              <w:t xml:space="preserve">IRB </w:t>
            </w:r>
          </w:p>
        </w:tc>
        <w:tc>
          <w:tcPr>
            <w:tcW w:w="7230" w:type="dxa"/>
            <w:tcBorders>
              <w:top w:val="single" w:sz="4" w:space="0" w:color="000000"/>
              <w:left w:val="single" w:sz="4" w:space="0" w:color="000000"/>
              <w:bottom w:val="single" w:sz="4" w:space="0" w:color="000000"/>
              <w:right w:val="single" w:sz="4" w:space="0" w:color="000000"/>
            </w:tcBorders>
          </w:tcPr>
          <w:p w14:paraId="1BFE11C8" w14:textId="77777777" w:rsidR="00CE5AAF" w:rsidRDefault="00E85A33">
            <w:pPr>
              <w:spacing w:after="0" w:line="259" w:lineRule="auto"/>
              <w:ind w:left="0" w:firstLine="0"/>
              <w:jc w:val="left"/>
            </w:pPr>
            <w:r>
              <w:t xml:space="preserve">Independent Review Board </w:t>
            </w:r>
          </w:p>
        </w:tc>
      </w:tr>
      <w:tr w:rsidR="00CE5AAF" w14:paraId="2E24FD6E" w14:textId="77777777">
        <w:trPr>
          <w:trHeight w:val="547"/>
        </w:trPr>
        <w:tc>
          <w:tcPr>
            <w:tcW w:w="1702" w:type="dxa"/>
            <w:tcBorders>
              <w:top w:val="single" w:sz="4" w:space="0" w:color="000000"/>
              <w:left w:val="single" w:sz="4" w:space="0" w:color="000000"/>
              <w:bottom w:val="single" w:sz="4" w:space="0" w:color="000000"/>
              <w:right w:val="single" w:sz="4" w:space="0" w:color="000000"/>
            </w:tcBorders>
            <w:vAlign w:val="center"/>
          </w:tcPr>
          <w:p w14:paraId="0D2547E1" w14:textId="77777777" w:rsidR="00CE5AAF" w:rsidRDefault="00E85A33">
            <w:pPr>
              <w:spacing w:after="0" w:line="259" w:lineRule="auto"/>
              <w:ind w:left="0" w:firstLine="0"/>
              <w:jc w:val="left"/>
            </w:pPr>
            <w:r>
              <w:t xml:space="preserve">MCM </w:t>
            </w:r>
          </w:p>
        </w:tc>
        <w:tc>
          <w:tcPr>
            <w:tcW w:w="7230" w:type="dxa"/>
            <w:tcBorders>
              <w:top w:val="single" w:sz="4" w:space="0" w:color="000000"/>
              <w:left w:val="single" w:sz="4" w:space="0" w:color="000000"/>
              <w:bottom w:val="single" w:sz="4" w:space="0" w:color="000000"/>
              <w:right w:val="single" w:sz="4" w:space="0" w:color="000000"/>
            </w:tcBorders>
          </w:tcPr>
          <w:p w14:paraId="6A432D12" w14:textId="77777777" w:rsidR="00CE5AAF" w:rsidRDefault="00E85A33">
            <w:pPr>
              <w:spacing w:after="0" w:line="259" w:lineRule="auto"/>
              <w:ind w:left="0" w:firstLine="0"/>
            </w:pPr>
            <w:r>
              <w:t xml:space="preserve">Merck Connaught Merieux (partnership between Merck, Sharp and Dohme (MSD) and Sanofi Pasteur) </w:t>
            </w:r>
          </w:p>
        </w:tc>
      </w:tr>
      <w:tr w:rsidR="00CE5AAF" w14:paraId="4DBD0F95"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5C1B4265" w14:textId="77777777" w:rsidR="00CE5AAF" w:rsidRDefault="00E85A33">
            <w:pPr>
              <w:spacing w:after="0" w:line="259" w:lineRule="auto"/>
              <w:ind w:left="0" w:firstLine="0"/>
              <w:jc w:val="left"/>
            </w:pPr>
            <w:r>
              <w:t xml:space="preserve">MenB </w:t>
            </w:r>
          </w:p>
        </w:tc>
        <w:tc>
          <w:tcPr>
            <w:tcW w:w="7230" w:type="dxa"/>
            <w:tcBorders>
              <w:top w:val="single" w:sz="4" w:space="0" w:color="000000"/>
              <w:left w:val="single" w:sz="4" w:space="0" w:color="000000"/>
              <w:bottom w:val="single" w:sz="4" w:space="0" w:color="000000"/>
              <w:right w:val="single" w:sz="4" w:space="0" w:color="000000"/>
            </w:tcBorders>
          </w:tcPr>
          <w:p w14:paraId="1CCF09F0" w14:textId="77777777" w:rsidR="00CE5AAF" w:rsidRDefault="00E85A33">
            <w:pPr>
              <w:spacing w:after="0" w:line="259" w:lineRule="auto"/>
              <w:ind w:left="0" w:firstLine="0"/>
              <w:jc w:val="left"/>
            </w:pPr>
            <w:r>
              <w:t xml:space="preserve">Meningococcal B vaccine  </w:t>
            </w:r>
          </w:p>
        </w:tc>
      </w:tr>
      <w:tr w:rsidR="00CE5AAF" w14:paraId="7436304C"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690BA756" w14:textId="77777777" w:rsidR="00CE5AAF" w:rsidRDefault="00E85A33">
            <w:pPr>
              <w:spacing w:after="0" w:line="259" w:lineRule="auto"/>
              <w:ind w:left="0" w:firstLine="0"/>
              <w:jc w:val="left"/>
            </w:pPr>
            <w:r>
              <w:t xml:space="preserve">MenC </w:t>
            </w:r>
          </w:p>
        </w:tc>
        <w:tc>
          <w:tcPr>
            <w:tcW w:w="7230" w:type="dxa"/>
            <w:tcBorders>
              <w:top w:val="single" w:sz="4" w:space="0" w:color="000000"/>
              <w:left w:val="single" w:sz="4" w:space="0" w:color="000000"/>
              <w:bottom w:val="single" w:sz="4" w:space="0" w:color="000000"/>
              <w:right w:val="single" w:sz="4" w:space="0" w:color="000000"/>
            </w:tcBorders>
          </w:tcPr>
          <w:p w14:paraId="7F1F70C5" w14:textId="77777777" w:rsidR="00CE5AAF" w:rsidRDefault="00E85A33">
            <w:pPr>
              <w:spacing w:after="0" w:line="259" w:lineRule="auto"/>
              <w:ind w:left="0" w:firstLine="0"/>
              <w:jc w:val="left"/>
            </w:pPr>
            <w:r>
              <w:t xml:space="preserve">Meningococcal C vaccine </w:t>
            </w:r>
          </w:p>
        </w:tc>
      </w:tr>
      <w:tr w:rsidR="00CE5AAF" w14:paraId="6E6A054C"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5DE7C1D4" w14:textId="77777777" w:rsidR="00CE5AAF" w:rsidRDefault="00E85A33">
            <w:pPr>
              <w:spacing w:after="0" w:line="259" w:lineRule="auto"/>
              <w:ind w:left="0" w:firstLine="0"/>
              <w:jc w:val="left"/>
            </w:pPr>
            <w:r>
              <w:t xml:space="preserve">MHRA </w:t>
            </w:r>
          </w:p>
        </w:tc>
        <w:tc>
          <w:tcPr>
            <w:tcW w:w="7230" w:type="dxa"/>
            <w:tcBorders>
              <w:top w:val="single" w:sz="4" w:space="0" w:color="000000"/>
              <w:left w:val="single" w:sz="4" w:space="0" w:color="000000"/>
              <w:bottom w:val="single" w:sz="4" w:space="0" w:color="000000"/>
              <w:right w:val="single" w:sz="4" w:space="0" w:color="000000"/>
            </w:tcBorders>
          </w:tcPr>
          <w:p w14:paraId="1F03C35A" w14:textId="77777777" w:rsidR="00CE5AAF" w:rsidRDefault="00E85A33">
            <w:pPr>
              <w:spacing w:after="0" w:line="259" w:lineRule="auto"/>
              <w:ind w:left="0" w:firstLine="0"/>
              <w:jc w:val="left"/>
            </w:pPr>
            <w:r>
              <w:t xml:space="preserve">Medicines and Healthcare products Regulatory Agency </w:t>
            </w:r>
          </w:p>
        </w:tc>
      </w:tr>
      <w:tr w:rsidR="00CE5AAF" w14:paraId="7AACCA55"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745A17E3" w14:textId="77777777" w:rsidR="00CE5AAF" w:rsidRDefault="00E85A33">
            <w:pPr>
              <w:spacing w:after="0" w:line="259" w:lineRule="auto"/>
              <w:ind w:left="0" w:firstLine="0"/>
              <w:jc w:val="left"/>
            </w:pPr>
            <w:r>
              <w:t xml:space="preserve">MMR </w:t>
            </w:r>
          </w:p>
        </w:tc>
        <w:tc>
          <w:tcPr>
            <w:tcW w:w="7230" w:type="dxa"/>
            <w:tcBorders>
              <w:top w:val="single" w:sz="4" w:space="0" w:color="000000"/>
              <w:left w:val="single" w:sz="4" w:space="0" w:color="000000"/>
              <w:bottom w:val="single" w:sz="4" w:space="0" w:color="000000"/>
              <w:right w:val="single" w:sz="4" w:space="0" w:color="000000"/>
            </w:tcBorders>
          </w:tcPr>
          <w:p w14:paraId="3F53533B" w14:textId="77777777" w:rsidR="00CE5AAF" w:rsidRDefault="00E85A33">
            <w:pPr>
              <w:spacing w:after="0" w:line="259" w:lineRule="auto"/>
              <w:ind w:left="0" w:firstLine="0"/>
              <w:jc w:val="left"/>
            </w:pPr>
            <w:r>
              <w:t xml:space="preserve">Measles, Mumps and Rubella vaccine </w:t>
            </w:r>
          </w:p>
        </w:tc>
      </w:tr>
      <w:tr w:rsidR="00CE5AAF" w14:paraId="68C3DF40"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51DB1F28" w14:textId="77777777" w:rsidR="00CE5AAF" w:rsidRDefault="00E85A33">
            <w:pPr>
              <w:spacing w:after="0" w:line="259" w:lineRule="auto"/>
              <w:ind w:left="0" w:firstLine="0"/>
              <w:jc w:val="left"/>
            </w:pPr>
            <w:r>
              <w:t xml:space="preserve">NHS </w:t>
            </w:r>
          </w:p>
        </w:tc>
        <w:tc>
          <w:tcPr>
            <w:tcW w:w="7230" w:type="dxa"/>
            <w:tcBorders>
              <w:top w:val="single" w:sz="4" w:space="0" w:color="000000"/>
              <w:left w:val="single" w:sz="4" w:space="0" w:color="000000"/>
              <w:bottom w:val="single" w:sz="4" w:space="0" w:color="000000"/>
              <w:right w:val="single" w:sz="4" w:space="0" w:color="000000"/>
            </w:tcBorders>
          </w:tcPr>
          <w:p w14:paraId="5E471A2B" w14:textId="77777777" w:rsidR="00CE5AAF" w:rsidRDefault="00E85A33">
            <w:pPr>
              <w:spacing w:after="0" w:line="259" w:lineRule="auto"/>
              <w:ind w:left="0" w:firstLine="0"/>
              <w:jc w:val="left"/>
            </w:pPr>
            <w:r>
              <w:t xml:space="preserve">National Health Service </w:t>
            </w:r>
          </w:p>
        </w:tc>
      </w:tr>
      <w:tr w:rsidR="00CE5AAF" w14:paraId="4DB76A5A"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3D588F37" w14:textId="77777777" w:rsidR="00CE5AAF" w:rsidRDefault="00E85A33">
            <w:pPr>
              <w:spacing w:after="0" w:line="259" w:lineRule="auto"/>
              <w:ind w:left="0" w:firstLine="0"/>
              <w:jc w:val="left"/>
            </w:pPr>
            <w:r>
              <w:t xml:space="preserve">NRES </w:t>
            </w:r>
          </w:p>
        </w:tc>
        <w:tc>
          <w:tcPr>
            <w:tcW w:w="7230" w:type="dxa"/>
            <w:tcBorders>
              <w:top w:val="single" w:sz="4" w:space="0" w:color="000000"/>
              <w:left w:val="single" w:sz="4" w:space="0" w:color="000000"/>
              <w:bottom w:val="single" w:sz="4" w:space="0" w:color="000000"/>
              <w:right w:val="single" w:sz="4" w:space="0" w:color="000000"/>
            </w:tcBorders>
          </w:tcPr>
          <w:p w14:paraId="097AF937" w14:textId="77777777" w:rsidR="00CE5AAF" w:rsidRDefault="00E85A33">
            <w:pPr>
              <w:spacing w:after="0" w:line="259" w:lineRule="auto"/>
              <w:ind w:left="0" w:firstLine="0"/>
              <w:jc w:val="left"/>
            </w:pPr>
            <w:r>
              <w:t xml:space="preserve">National Research Ethics Service  </w:t>
            </w:r>
          </w:p>
        </w:tc>
      </w:tr>
      <w:tr w:rsidR="00CE5AAF" w14:paraId="3CBCEE6E"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1077E174" w14:textId="77777777" w:rsidR="00CE5AAF" w:rsidRDefault="00E85A33">
            <w:pPr>
              <w:spacing w:after="0" w:line="259" w:lineRule="auto"/>
              <w:ind w:left="0" w:firstLine="0"/>
              <w:jc w:val="left"/>
            </w:pPr>
            <w:r>
              <w:t xml:space="preserve">OMPC </w:t>
            </w:r>
          </w:p>
        </w:tc>
        <w:tc>
          <w:tcPr>
            <w:tcW w:w="7230" w:type="dxa"/>
            <w:tcBorders>
              <w:top w:val="single" w:sz="4" w:space="0" w:color="000000"/>
              <w:left w:val="single" w:sz="4" w:space="0" w:color="000000"/>
              <w:bottom w:val="single" w:sz="4" w:space="0" w:color="000000"/>
              <w:right w:val="single" w:sz="4" w:space="0" w:color="000000"/>
            </w:tcBorders>
          </w:tcPr>
          <w:p w14:paraId="6210E20D" w14:textId="77777777" w:rsidR="00CE5AAF" w:rsidRDefault="00E85A33">
            <w:pPr>
              <w:spacing w:after="0" w:line="259" w:lineRule="auto"/>
              <w:ind w:left="0" w:firstLine="0"/>
              <w:jc w:val="left"/>
            </w:pPr>
            <w:r>
              <w:t xml:space="preserve">Outer membrane protein complex </w:t>
            </w:r>
          </w:p>
        </w:tc>
      </w:tr>
      <w:tr w:rsidR="00CE5AAF" w14:paraId="3CFB21B4"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3713C668" w14:textId="77777777" w:rsidR="00CE5AAF" w:rsidRDefault="00E85A33">
            <w:pPr>
              <w:spacing w:after="0" w:line="259" w:lineRule="auto"/>
              <w:ind w:left="0" w:firstLine="0"/>
              <w:jc w:val="left"/>
            </w:pPr>
            <w:r>
              <w:t xml:space="preserve">OVG </w:t>
            </w:r>
          </w:p>
        </w:tc>
        <w:tc>
          <w:tcPr>
            <w:tcW w:w="7230" w:type="dxa"/>
            <w:tcBorders>
              <w:top w:val="single" w:sz="4" w:space="0" w:color="000000"/>
              <w:left w:val="single" w:sz="4" w:space="0" w:color="000000"/>
              <w:bottom w:val="single" w:sz="4" w:space="0" w:color="000000"/>
              <w:right w:val="single" w:sz="4" w:space="0" w:color="000000"/>
            </w:tcBorders>
          </w:tcPr>
          <w:p w14:paraId="0CAF5276" w14:textId="77777777" w:rsidR="00CE5AAF" w:rsidRDefault="00E85A33">
            <w:pPr>
              <w:spacing w:after="0" w:line="259" w:lineRule="auto"/>
              <w:ind w:left="0" w:firstLine="0"/>
              <w:jc w:val="left"/>
            </w:pPr>
            <w:r>
              <w:t xml:space="preserve">Oxford Vaccine Group </w:t>
            </w:r>
          </w:p>
        </w:tc>
      </w:tr>
      <w:tr w:rsidR="00CE5AAF" w14:paraId="19ED5C87"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0948D002" w14:textId="77777777" w:rsidR="00CE5AAF" w:rsidRDefault="00E85A33">
            <w:pPr>
              <w:spacing w:after="0" w:line="259" w:lineRule="auto"/>
              <w:ind w:left="0" w:firstLine="0"/>
              <w:jc w:val="left"/>
            </w:pPr>
            <w:r>
              <w:t xml:space="preserve">PCV13 </w:t>
            </w:r>
          </w:p>
        </w:tc>
        <w:tc>
          <w:tcPr>
            <w:tcW w:w="7230" w:type="dxa"/>
            <w:tcBorders>
              <w:top w:val="single" w:sz="4" w:space="0" w:color="000000"/>
              <w:left w:val="single" w:sz="4" w:space="0" w:color="000000"/>
              <w:bottom w:val="single" w:sz="4" w:space="0" w:color="000000"/>
              <w:right w:val="single" w:sz="4" w:space="0" w:color="000000"/>
            </w:tcBorders>
          </w:tcPr>
          <w:p w14:paraId="4960997E" w14:textId="77777777" w:rsidR="00CE5AAF" w:rsidRDefault="00E85A33">
            <w:pPr>
              <w:spacing w:after="0" w:line="259" w:lineRule="auto"/>
              <w:ind w:left="0" w:firstLine="0"/>
              <w:jc w:val="left"/>
            </w:pPr>
            <w:r>
              <w:t xml:space="preserve">Pneumococcal conjugate vaccine for 13 serotypes </w:t>
            </w:r>
          </w:p>
        </w:tc>
      </w:tr>
      <w:tr w:rsidR="00CE5AAF" w14:paraId="189746E9"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42037425" w14:textId="77777777" w:rsidR="00CE5AAF" w:rsidRDefault="00E85A33">
            <w:pPr>
              <w:spacing w:after="0" w:line="259" w:lineRule="auto"/>
              <w:ind w:left="0" w:firstLine="0"/>
              <w:jc w:val="left"/>
            </w:pPr>
            <w:r>
              <w:t xml:space="preserve">PI </w:t>
            </w:r>
          </w:p>
        </w:tc>
        <w:tc>
          <w:tcPr>
            <w:tcW w:w="7230" w:type="dxa"/>
            <w:tcBorders>
              <w:top w:val="single" w:sz="4" w:space="0" w:color="000000"/>
              <w:left w:val="single" w:sz="4" w:space="0" w:color="000000"/>
              <w:bottom w:val="single" w:sz="4" w:space="0" w:color="000000"/>
              <w:right w:val="single" w:sz="4" w:space="0" w:color="000000"/>
            </w:tcBorders>
          </w:tcPr>
          <w:p w14:paraId="198B85C3" w14:textId="77777777" w:rsidR="00CE5AAF" w:rsidRDefault="00E85A33">
            <w:pPr>
              <w:spacing w:after="0" w:line="259" w:lineRule="auto"/>
              <w:ind w:left="0" w:firstLine="0"/>
              <w:jc w:val="left"/>
            </w:pPr>
            <w:r>
              <w:t xml:space="preserve">Principal Investigator </w:t>
            </w:r>
          </w:p>
        </w:tc>
      </w:tr>
      <w:tr w:rsidR="00CE5AAF" w14:paraId="74F3D035"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7E880D8A" w14:textId="77777777" w:rsidR="00CE5AAF" w:rsidRDefault="00E85A33">
            <w:pPr>
              <w:spacing w:after="0" w:line="259" w:lineRule="auto"/>
              <w:ind w:left="0" w:firstLine="0"/>
              <w:jc w:val="left"/>
            </w:pPr>
            <w:r>
              <w:t xml:space="preserve">PIL </w:t>
            </w:r>
          </w:p>
        </w:tc>
        <w:tc>
          <w:tcPr>
            <w:tcW w:w="7230" w:type="dxa"/>
            <w:tcBorders>
              <w:top w:val="single" w:sz="4" w:space="0" w:color="000000"/>
              <w:left w:val="single" w:sz="4" w:space="0" w:color="000000"/>
              <w:bottom w:val="single" w:sz="4" w:space="0" w:color="000000"/>
              <w:right w:val="single" w:sz="4" w:space="0" w:color="000000"/>
            </w:tcBorders>
          </w:tcPr>
          <w:p w14:paraId="447C707A" w14:textId="77777777" w:rsidR="00CE5AAF" w:rsidRDefault="00E85A33">
            <w:pPr>
              <w:spacing w:after="0" w:line="259" w:lineRule="auto"/>
              <w:ind w:left="0" w:firstLine="0"/>
              <w:jc w:val="left"/>
            </w:pPr>
            <w:r>
              <w:t xml:space="preserve">Participant/ Patient Information Leaflet </w:t>
            </w:r>
          </w:p>
        </w:tc>
      </w:tr>
      <w:tr w:rsidR="00CE5AAF" w14:paraId="692B3920"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488783EE" w14:textId="77777777" w:rsidR="00CE5AAF" w:rsidRDefault="00E85A33">
            <w:pPr>
              <w:spacing w:after="0" w:line="259" w:lineRule="auto"/>
              <w:ind w:left="0" w:firstLine="0"/>
              <w:jc w:val="left"/>
            </w:pPr>
            <w:r>
              <w:t xml:space="preserve">R&amp;D </w:t>
            </w:r>
          </w:p>
        </w:tc>
        <w:tc>
          <w:tcPr>
            <w:tcW w:w="7230" w:type="dxa"/>
            <w:tcBorders>
              <w:top w:val="single" w:sz="4" w:space="0" w:color="000000"/>
              <w:left w:val="single" w:sz="4" w:space="0" w:color="000000"/>
              <w:bottom w:val="single" w:sz="4" w:space="0" w:color="000000"/>
              <w:right w:val="single" w:sz="4" w:space="0" w:color="000000"/>
            </w:tcBorders>
          </w:tcPr>
          <w:p w14:paraId="11DD12E9" w14:textId="77777777" w:rsidR="00CE5AAF" w:rsidRDefault="00E85A33">
            <w:pPr>
              <w:spacing w:after="0" w:line="259" w:lineRule="auto"/>
              <w:ind w:left="0" w:firstLine="0"/>
              <w:jc w:val="left"/>
            </w:pPr>
            <w:r>
              <w:t xml:space="preserve">NHS Trust R&amp;D Department </w:t>
            </w:r>
          </w:p>
        </w:tc>
      </w:tr>
      <w:tr w:rsidR="00CE5AAF" w14:paraId="0D955A3D"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3A3B8194" w14:textId="77777777" w:rsidR="00CE5AAF" w:rsidRDefault="00E85A33">
            <w:pPr>
              <w:spacing w:after="0" w:line="259" w:lineRule="auto"/>
              <w:ind w:left="0" w:firstLine="0"/>
              <w:jc w:val="left"/>
            </w:pPr>
            <w:r>
              <w:t xml:space="preserve">REC </w:t>
            </w:r>
          </w:p>
        </w:tc>
        <w:tc>
          <w:tcPr>
            <w:tcW w:w="7230" w:type="dxa"/>
            <w:tcBorders>
              <w:top w:val="single" w:sz="4" w:space="0" w:color="000000"/>
              <w:left w:val="single" w:sz="4" w:space="0" w:color="000000"/>
              <w:bottom w:val="single" w:sz="4" w:space="0" w:color="000000"/>
              <w:right w:val="single" w:sz="4" w:space="0" w:color="000000"/>
            </w:tcBorders>
          </w:tcPr>
          <w:p w14:paraId="17E6D566" w14:textId="77777777" w:rsidR="00CE5AAF" w:rsidRDefault="00E85A33">
            <w:pPr>
              <w:spacing w:after="0" w:line="259" w:lineRule="auto"/>
              <w:ind w:left="0" w:firstLine="0"/>
              <w:jc w:val="left"/>
            </w:pPr>
            <w:r>
              <w:t xml:space="preserve">Research Ethics Committee </w:t>
            </w:r>
          </w:p>
        </w:tc>
      </w:tr>
      <w:tr w:rsidR="00CE5AAF" w14:paraId="31248656"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35B381C5" w14:textId="77777777" w:rsidR="00CE5AAF" w:rsidRDefault="00E85A33">
            <w:pPr>
              <w:spacing w:after="0" w:line="259" w:lineRule="auto"/>
              <w:ind w:left="0" w:firstLine="0"/>
              <w:jc w:val="left"/>
            </w:pPr>
            <w:r>
              <w:t xml:space="preserve">SAE </w:t>
            </w:r>
          </w:p>
        </w:tc>
        <w:tc>
          <w:tcPr>
            <w:tcW w:w="7230" w:type="dxa"/>
            <w:tcBorders>
              <w:top w:val="single" w:sz="4" w:space="0" w:color="000000"/>
              <w:left w:val="single" w:sz="4" w:space="0" w:color="000000"/>
              <w:bottom w:val="single" w:sz="4" w:space="0" w:color="000000"/>
              <w:right w:val="single" w:sz="4" w:space="0" w:color="000000"/>
            </w:tcBorders>
          </w:tcPr>
          <w:p w14:paraId="42863177" w14:textId="77777777" w:rsidR="00CE5AAF" w:rsidRDefault="00E85A33">
            <w:pPr>
              <w:spacing w:after="0" w:line="259" w:lineRule="auto"/>
              <w:ind w:left="0" w:firstLine="0"/>
              <w:jc w:val="left"/>
            </w:pPr>
            <w:r>
              <w:t xml:space="preserve">Serious Adverse Event </w:t>
            </w:r>
          </w:p>
        </w:tc>
      </w:tr>
      <w:tr w:rsidR="00CE5AAF" w14:paraId="2B7EA3BB"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61425E7E" w14:textId="77777777" w:rsidR="00CE5AAF" w:rsidRDefault="00E85A33">
            <w:pPr>
              <w:spacing w:after="0" w:line="259" w:lineRule="auto"/>
              <w:ind w:left="0" w:firstLine="0"/>
              <w:jc w:val="left"/>
            </w:pPr>
            <w:r>
              <w:t xml:space="preserve">SAR </w:t>
            </w:r>
          </w:p>
        </w:tc>
        <w:tc>
          <w:tcPr>
            <w:tcW w:w="7230" w:type="dxa"/>
            <w:tcBorders>
              <w:top w:val="single" w:sz="4" w:space="0" w:color="000000"/>
              <w:left w:val="single" w:sz="4" w:space="0" w:color="000000"/>
              <w:bottom w:val="single" w:sz="4" w:space="0" w:color="000000"/>
              <w:right w:val="single" w:sz="4" w:space="0" w:color="000000"/>
            </w:tcBorders>
          </w:tcPr>
          <w:p w14:paraId="4A2FEC07" w14:textId="77777777" w:rsidR="00CE5AAF" w:rsidRDefault="00E85A33">
            <w:pPr>
              <w:spacing w:after="0" w:line="259" w:lineRule="auto"/>
              <w:ind w:left="0" w:firstLine="0"/>
              <w:jc w:val="left"/>
            </w:pPr>
            <w:r>
              <w:t xml:space="preserve">Serious Adverse Reaction </w:t>
            </w:r>
          </w:p>
        </w:tc>
      </w:tr>
      <w:tr w:rsidR="00CE5AAF" w14:paraId="48A69B2A"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345C18F2" w14:textId="77777777" w:rsidR="00CE5AAF" w:rsidRDefault="00E85A33">
            <w:pPr>
              <w:spacing w:after="0" w:line="259" w:lineRule="auto"/>
              <w:ind w:left="0" w:firstLine="0"/>
              <w:jc w:val="left"/>
            </w:pPr>
            <w:r>
              <w:t xml:space="preserve">SBA </w:t>
            </w:r>
          </w:p>
        </w:tc>
        <w:tc>
          <w:tcPr>
            <w:tcW w:w="7230" w:type="dxa"/>
            <w:tcBorders>
              <w:top w:val="single" w:sz="4" w:space="0" w:color="000000"/>
              <w:left w:val="single" w:sz="4" w:space="0" w:color="000000"/>
              <w:bottom w:val="single" w:sz="4" w:space="0" w:color="000000"/>
              <w:right w:val="single" w:sz="4" w:space="0" w:color="000000"/>
            </w:tcBorders>
          </w:tcPr>
          <w:p w14:paraId="4C35D7DA" w14:textId="77777777" w:rsidR="00CE5AAF" w:rsidRDefault="00E85A33">
            <w:pPr>
              <w:spacing w:after="0" w:line="259" w:lineRule="auto"/>
              <w:ind w:left="0" w:firstLine="0"/>
              <w:jc w:val="left"/>
            </w:pPr>
            <w:r>
              <w:t xml:space="preserve">Serum bactericidal activity </w:t>
            </w:r>
          </w:p>
        </w:tc>
      </w:tr>
      <w:tr w:rsidR="00CE5AAF" w14:paraId="6B800698" w14:textId="77777777">
        <w:trPr>
          <w:trHeight w:val="409"/>
        </w:trPr>
        <w:tc>
          <w:tcPr>
            <w:tcW w:w="1702" w:type="dxa"/>
            <w:tcBorders>
              <w:top w:val="single" w:sz="4" w:space="0" w:color="000000"/>
              <w:left w:val="single" w:sz="4" w:space="0" w:color="000000"/>
              <w:bottom w:val="single" w:sz="4" w:space="0" w:color="000000"/>
              <w:right w:val="single" w:sz="4" w:space="0" w:color="000000"/>
            </w:tcBorders>
          </w:tcPr>
          <w:p w14:paraId="3A9B7359" w14:textId="77777777" w:rsidR="00CE5AAF" w:rsidRDefault="00E85A33">
            <w:pPr>
              <w:spacing w:after="0" w:line="259" w:lineRule="auto"/>
              <w:ind w:left="0" w:firstLine="0"/>
              <w:jc w:val="left"/>
            </w:pPr>
            <w:r>
              <w:t xml:space="preserve">SDV </w:t>
            </w:r>
          </w:p>
        </w:tc>
        <w:tc>
          <w:tcPr>
            <w:tcW w:w="7230" w:type="dxa"/>
            <w:tcBorders>
              <w:top w:val="single" w:sz="4" w:space="0" w:color="000000"/>
              <w:left w:val="single" w:sz="4" w:space="0" w:color="000000"/>
              <w:bottom w:val="single" w:sz="4" w:space="0" w:color="000000"/>
              <w:right w:val="single" w:sz="4" w:space="0" w:color="000000"/>
            </w:tcBorders>
          </w:tcPr>
          <w:p w14:paraId="78A4F60B" w14:textId="77777777" w:rsidR="00CE5AAF" w:rsidRDefault="00E85A33">
            <w:pPr>
              <w:spacing w:after="0" w:line="259" w:lineRule="auto"/>
              <w:ind w:left="0" w:firstLine="0"/>
              <w:jc w:val="left"/>
            </w:pPr>
            <w:r>
              <w:t xml:space="preserve">Source Data Verification </w:t>
            </w:r>
          </w:p>
        </w:tc>
      </w:tr>
      <w:tr w:rsidR="00CE5AAF" w14:paraId="24D178D9"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2989E623" w14:textId="77777777" w:rsidR="00CE5AAF" w:rsidRDefault="00E85A33">
            <w:pPr>
              <w:spacing w:after="0" w:line="259" w:lineRule="auto"/>
              <w:ind w:left="0" w:firstLine="0"/>
              <w:jc w:val="left"/>
            </w:pPr>
            <w:r>
              <w:t xml:space="preserve">SmPC </w:t>
            </w:r>
          </w:p>
        </w:tc>
        <w:tc>
          <w:tcPr>
            <w:tcW w:w="7230" w:type="dxa"/>
            <w:tcBorders>
              <w:top w:val="single" w:sz="4" w:space="0" w:color="000000"/>
              <w:left w:val="single" w:sz="4" w:space="0" w:color="000000"/>
              <w:bottom w:val="single" w:sz="4" w:space="0" w:color="000000"/>
              <w:right w:val="single" w:sz="4" w:space="0" w:color="000000"/>
            </w:tcBorders>
          </w:tcPr>
          <w:p w14:paraId="2A4E9C5E" w14:textId="77777777" w:rsidR="00CE5AAF" w:rsidRDefault="00E85A33">
            <w:pPr>
              <w:spacing w:after="0" w:line="259" w:lineRule="auto"/>
              <w:ind w:left="0" w:firstLine="0"/>
              <w:jc w:val="left"/>
            </w:pPr>
            <w:r>
              <w:t xml:space="preserve">Summary of Product Characteristics </w:t>
            </w:r>
          </w:p>
        </w:tc>
      </w:tr>
      <w:tr w:rsidR="00CE5AAF" w14:paraId="32DB0072"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1315E73D" w14:textId="77777777" w:rsidR="00CE5AAF" w:rsidRDefault="00E85A33">
            <w:pPr>
              <w:spacing w:after="0" w:line="259" w:lineRule="auto"/>
              <w:ind w:left="0" w:firstLine="0"/>
              <w:jc w:val="left"/>
            </w:pPr>
            <w:r>
              <w:t xml:space="preserve">SOP </w:t>
            </w:r>
          </w:p>
        </w:tc>
        <w:tc>
          <w:tcPr>
            <w:tcW w:w="7230" w:type="dxa"/>
            <w:tcBorders>
              <w:top w:val="single" w:sz="4" w:space="0" w:color="000000"/>
              <w:left w:val="single" w:sz="4" w:space="0" w:color="000000"/>
              <w:bottom w:val="single" w:sz="4" w:space="0" w:color="000000"/>
              <w:right w:val="single" w:sz="4" w:space="0" w:color="000000"/>
            </w:tcBorders>
          </w:tcPr>
          <w:p w14:paraId="4A54D0CC" w14:textId="77777777" w:rsidR="00CE5AAF" w:rsidRDefault="00E85A33">
            <w:pPr>
              <w:spacing w:after="0" w:line="259" w:lineRule="auto"/>
              <w:ind w:left="0" w:firstLine="0"/>
              <w:jc w:val="left"/>
            </w:pPr>
            <w:r>
              <w:t xml:space="preserve">Standard Operating Procedure </w:t>
            </w:r>
          </w:p>
        </w:tc>
      </w:tr>
      <w:tr w:rsidR="00CE5AAF" w14:paraId="3C75CB83"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16ACE331" w14:textId="77777777" w:rsidR="00CE5AAF" w:rsidRDefault="00E85A33">
            <w:pPr>
              <w:spacing w:after="0" w:line="259" w:lineRule="auto"/>
              <w:ind w:left="0" w:firstLine="0"/>
              <w:jc w:val="left"/>
            </w:pPr>
            <w:r>
              <w:t xml:space="preserve">SUSAR </w:t>
            </w:r>
          </w:p>
        </w:tc>
        <w:tc>
          <w:tcPr>
            <w:tcW w:w="7230" w:type="dxa"/>
            <w:tcBorders>
              <w:top w:val="single" w:sz="4" w:space="0" w:color="000000"/>
              <w:left w:val="single" w:sz="4" w:space="0" w:color="000000"/>
              <w:bottom w:val="single" w:sz="4" w:space="0" w:color="000000"/>
              <w:right w:val="single" w:sz="4" w:space="0" w:color="000000"/>
            </w:tcBorders>
          </w:tcPr>
          <w:p w14:paraId="0194971C" w14:textId="77777777" w:rsidR="00CE5AAF" w:rsidRDefault="00E85A33">
            <w:pPr>
              <w:spacing w:after="0" w:line="259" w:lineRule="auto"/>
              <w:ind w:left="0" w:firstLine="0"/>
              <w:jc w:val="left"/>
            </w:pPr>
            <w:r>
              <w:t xml:space="preserve">Suspected Unexpected Serious Adverse Reactions </w:t>
            </w:r>
          </w:p>
        </w:tc>
      </w:tr>
      <w:tr w:rsidR="00CE5AAF" w14:paraId="73BEE874" w14:textId="77777777">
        <w:trPr>
          <w:trHeight w:val="406"/>
        </w:trPr>
        <w:tc>
          <w:tcPr>
            <w:tcW w:w="1702" w:type="dxa"/>
            <w:tcBorders>
              <w:top w:val="single" w:sz="4" w:space="0" w:color="000000"/>
              <w:left w:val="single" w:sz="4" w:space="0" w:color="000000"/>
              <w:bottom w:val="single" w:sz="4" w:space="0" w:color="000000"/>
              <w:right w:val="single" w:sz="4" w:space="0" w:color="000000"/>
            </w:tcBorders>
          </w:tcPr>
          <w:p w14:paraId="0E0D3F3B" w14:textId="77777777" w:rsidR="00CE5AAF" w:rsidRDefault="00E85A33">
            <w:pPr>
              <w:spacing w:after="0" w:line="259" w:lineRule="auto"/>
              <w:ind w:left="0" w:firstLine="0"/>
              <w:jc w:val="left"/>
            </w:pPr>
            <w:r>
              <w:t xml:space="preserve">TMF </w:t>
            </w:r>
          </w:p>
        </w:tc>
        <w:tc>
          <w:tcPr>
            <w:tcW w:w="7230" w:type="dxa"/>
            <w:tcBorders>
              <w:top w:val="single" w:sz="4" w:space="0" w:color="000000"/>
              <w:left w:val="single" w:sz="4" w:space="0" w:color="000000"/>
              <w:bottom w:val="single" w:sz="4" w:space="0" w:color="000000"/>
              <w:right w:val="single" w:sz="4" w:space="0" w:color="000000"/>
            </w:tcBorders>
          </w:tcPr>
          <w:p w14:paraId="2D3F62D2" w14:textId="77777777" w:rsidR="00CE5AAF" w:rsidRDefault="00E85A33">
            <w:pPr>
              <w:spacing w:after="0" w:line="259" w:lineRule="auto"/>
              <w:ind w:left="0" w:firstLine="0"/>
              <w:jc w:val="left"/>
            </w:pPr>
            <w:r>
              <w:t xml:space="preserve">Trial Master File </w:t>
            </w:r>
          </w:p>
        </w:tc>
      </w:tr>
      <w:tr w:rsidR="00CE5AAF" w14:paraId="4AFC2641" w14:textId="77777777">
        <w:trPr>
          <w:trHeight w:val="547"/>
        </w:trPr>
        <w:tc>
          <w:tcPr>
            <w:tcW w:w="1702" w:type="dxa"/>
            <w:tcBorders>
              <w:top w:val="single" w:sz="4" w:space="0" w:color="000000"/>
              <w:left w:val="single" w:sz="4" w:space="0" w:color="000000"/>
              <w:bottom w:val="single" w:sz="4" w:space="0" w:color="000000"/>
              <w:right w:val="single" w:sz="4" w:space="0" w:color="000000"/>
            </w:tcBorders>
            <w:vAlign w:val="center"/>
          </w:tcPr>
          <w:p w14:paraId="7DE8A5FE" w14:textId="77777777" w:rsidR="00CE5AAF" w:rsidRDefault="00E85A33">
            <w:pPr>
              <w:spacing w:after="0" w:line="259" w:lineRule="auto"/>
              <w:ind w:left="0" w:firstLine="0"/>
              <w:jc w:val="left"/>
            </w:pPr>
            <w:r>
              <w:t xml:space="preserve">TSG </w:t>
            </w:r>
          </w:p>
        </w:tc>
        <w:tc>
          <w:tcPr>
            <w:tcW w:w="7230" w:type="dxa"/>
            <w:tcBorders>
              <w:top w:val="single" w:sz="4" w:space="0" w:color="000000"/>
              <w:left w:val="single" w:sz="4" w:space="0" w:color="000000"/>
              <w:bottom w:val="single" w:sz="4" w:space="0" w:color="000000"/>
              <w:right w:val="single" w:sz="4" w:space="0" w:color="000000"/>
            </w:tcBorders>
          </w:tcPr>
          <w:p w14:paraId="61350B37" w14:textId="77777777" w:rsidR="00CE5AAF" w:rsidRDefault="00E85A33">
            <w:pPr>
              <w:spacing w:after="0" w:line="259" w:lineRule="auto"/>
              <w:ind w:left="0" w:firstLine="0"/>
            </w:pPr>
            <w:r>
              <w:t xml:space="preserve">Oxford University Hospitals NHS Foundation Trust / University of Oxford Trials Safety Group </w:t>
            </w:r>
          </w:p>
        </w:tc>
      </w:tr>
      <w:tr w:rsidR="00CE5AAF" w14:paraId="0D6C477A"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46546D52" w14:textId="77777777" w:rsidR="00CE5AAF" w:rsidRDefault="00E85A33">
            <w:pPr>
              <w:spacing w:after="0" w:line="259" w:lineRule="auto"/>
              <w:ind w:left="0" w:firstLine="0"/>
              <w:jc w:val="left"/>
            </w:pPr>
            <w:r>
              <w:t xml:space="preserve">UKPVG </w:t>
            </w:r>
          </w:p>
        </w:tc>
        <w:tc>
          <w:tcPr>
            <w:tcW w:w="7230" w:type="dxa"/>
            <w:tcBorders>
              <w:top w:val="single" w:sz="4" w:space="0" w:color="000000"/>
              <w:left w:val="single" w:sz="4" w:space="0" w:color="000000"/>
              <w:bottom w:val="single" w:sz="4" w:space="0" w:color="000000"/>
              <w:right w:val="single" w:sz="4" w:space="0" w:color="000000"/>
            </w:tcBorders>
          </w:tcPr>
          <w:p w14:paraId="2FF2B73C" w14:textId="77777777" w:rsidR="00CE5AAF" w:rsidRDefault="00E85A33">
            <w:pPr>
              <w:spacing w:after="0" w:line="259" w:lineRule="auto"/>
              <w:ind w:left="0" w:firstLine="0"/>
              <w:jc w:val="left"/>
            </w:pPr>
            <w:r>
              <w:t xml:space="preserve">United Kingdom Paediatric Vaccine Group </w:t>
            </w:r>
          </w:p>
        </w:tc>
      </w:tr>
      <w:tr w:rsidR="00CE5AAF" w14:paraId="0EC88293" w14:textId="77777777">
        <w:trPr>
          <w:trHeight w:val="408"/>
        </w:trPr>
        <w:tc>
          <w:tcPr>
            <w:tcW w:w="1702" w:type="dxa"/>
            <w:tcBorders>
              <w:top w:val="single" w:sz="4" w:space="0" w:color="000000"/>
              <w:left w:val="single" w:sz="4" w:space="0" w:color="000000"/>
              <w:bottom w:val="single" w:sz="4" w:space="0" w:color="000000"/>
              <w:right w:val="single" w:sz="4" w:space="0" w:color="000000"/>
            </w:tcBorders>
          </w:tcPr>
          <w:p w14:paraId="0DFEBC29" w14:textId="77777777" w:rsidR="00CE5AAF" w:rsidRDefault="00E85A33">
            <w:pPr>
              <w:spacing w:after="0" w:line="259" w:lineRule="auto"/>
              <w:ind w:left="0" w:firstLine="0"/>
              <w:jc w:val="left"/>
            </w:pPr>
            <w:r>
              <w:t xml:space="preserve">WHO </w:t>
            </w:r>
          </w:p>
        </w:tc>
        <w:tc>
          <w:tcPr>
            <w:tcW w:w="7230" w:type="dxa"/>
            <w:tcBorders>
              <w:top w:val="single" w:sz="4" w:space="0" w:color="000000"/>
              <w:left w:val="single" w:sz="4" w:space="0" w:color="000000"/>
              <w:bottom w:val="single" w:sz="4" w:space="0" w:color="000000"/>
              <w:right w:val="single" w:sz="4" w:space="0" w:color="000000"/>
            </w:tcBorders>
          </w:tcPr>
          <w:p w14:paraId="00852426" w14:textId="77777777" w:rsidR="00CE5AAF" w:rsidRDefault="00E85A33">
            <w:pPr>
              <w:spacing w:after="0" w:line="259" w:lineRule="auto"/>
              <w:ind w:left="0" w:firstLine="0"/>
              <w:jc w:val="left"/>
            </w:pPr>
            <w:r>
              <w:t xml:space="preserve">World Health Organisation </w:t>
            </w:r>
          </w:p>
        </w:tc>
      </w:tr>
    </w:tbl>
    <w:p w14:paraId="3D4600CB" w14:textId="77777777" w:rsidR="00CE5AAF" w:rsidRDefault="00E85A33">
      <w:pPr>
        <w:spacing w:after="218" w:line="259" w:lineRule="auto"/>
        <w:ind w:left="29" w:firstLine="0"/>
      </w:pPr>
      <w:r>
        <w:t xml:space="preserve"> </w:t>
      </w:r>
    </w:p>
    <w:p w14:paraId="41994459" w14:textId="77777777" w:rsidR="00CE5AAF" w:rsidRDefault="00E85A33">
      <w:pPr>
        <w:spacing w:after="218" w:line="259" w:lineRule="auto"/>
        <w:ind w:left="29" w:firstLine="0"/>
      </w:pPr>
      <w:r>
        <w:t xml:space="preserve"> </w:t>
      </w:r>
    </w:p>
    <w:p w14:paraId="2FDFEF56" w14:textId="77777777" w:rsidR="00CE5AAF" w:rsidRDefault="00E85A33">
      <w:pPr>
        <w:spacing w:after="218" w:line="259" w:lineRule="auto"/>
        <w:ind w:left="29" w:firstLine="0"/>
      </w:pPr>
      <w:r>
        <w:t xml:space="preserve"> </w:t>
      </w:r>
    </w:p>
    <w:p w14:paraId="3CED8A63" w14:textId="77777777" w:rsidR="00CE5AAF" w:rsidRDefault="00E85A33">
      <w:pPr>
        <w:spacing w:after="218" w:line="259" w:lineRule="auto"/>
        <w:ind w:left="29" w:firstLine="0"/>
      </w:pPr>
      <w:r>
        <w:t xml:space="preserve"> </w:t>
      </w:r>
    </w:p>
    <w:p w14:paraId="7FE2D120" w14:textId="77777777" w:rsidR="00CE5AAF" w:rsidRDefault="00E85A33">
      <w:pPr>
        <w:spacing w:after="218" w:line="259" w:lineRule="auto"/>
        <w:ind w:left="29" w:firstLine="0"/>
      </w:pPr>
      <w:r>
        <w:t xml:space="preserve"> </w:t>
      </w:r>
    </w:p>
    <w:p w14:paraId="35FC9F8D" w14:textId="77777777" w:rsidR="00837131" w:rsidRDefault="00837131">
      <w:pPr>
        <w:pStyle w:val="Heading1"/>
        <w:tabs>
          <w:tab w:val="center" w:pos="1943"/>
        </w:tabs>
        <w:ind w:left="0" w:firstLine="0"/>
      </w:pPr>
    </w:p>
    <w:p w14:paraId="267235E6" w14:textId="64CA0A5E" w:rsidR="00CE5AAF" w:rsidRDefault="00E85A33">
      <w:pPr>
        <w:pStyle w:val="Heading1"/>
        <w:tabs>
          <w:tab w:val="center" w:pos="1943"/>
        </w:tabs>
        <w:ind w:left="0" w:firstLine="0"/>
      </w:pPr>
      <w:r>
        <w:t xml:space="preserve"> 4.</w:t>
      </w:r>
      <w:r>
        <w:tab/>
        <w:t xml:space="preserve">BACKGROUND AND RATIONALE </w:t>
      </w:r>
    </w:p>
    <w:p w14:paraId="068A8057" w14:textId="77777777" w:rsidR="00CE5AAF" w:rsidRDefault="00E85A33">
      <w:pPr>
        <w:spacing w:after="216" w:line="259" w:lineRule="auto"/>
        <w:ind w:left="0" w:firstLine="0"/>
        <w:jc w:val="left"/>
      </w:pPr>
      <w:r>
        <w:t xml:space="preserve"> </w:t>
      </w:r>
    </w:p>
    <w:p w14:paraId="0A6A3D89" w14:textId="3C80D694" w:rsidR="00CE5AAF" w:rsidRDefault="00E85A33">
      <w:pPr>
        <w:ind w:left="24"/>
      </w:pPr>
      <w:r>
        <w:t>Hepatitis B virus (HBV) is a viral illness that results in inflammation of the liver. It causes significant morbidity and mortality worldwide and is the most common chronic viral infection in the world. It is estimated that up to 30% of the world’s population has serological evidence of a current or past HBV infection (3)</w:t>
      </w:r>
      <w:r w:rsidR="00837131">
        <w:t>.</w:t>
      </w:r>
      <w:r>
        <w:t xml:space="preserve"> HBV can manifest either as an acute illness causing nausea, malaise, abdominal pain and jaundice or as an often asymptomatic chronic infection. Chronic HBV infection can lead to liver cirrhosis and hepatocellular carcinoma (4)</w:t>
      </w:r>
      <w:r w:rsidR="00837131">
        <w:t>.</w:t>
      </w:r>
      <w:r>
        <w:t xml:space="preserve"> </w:t>
      </w:r>
    </w:p>
    <w:p w14:paraId="28C75F87" w14:textId="35B4CADA" w:rsidR="00CE5AAF" w:rsidRDefault="00E85A33">
      <w:pPr>
        <w:ind w:left="24"/>
      </w:pPr>
      <w:r>
        <w:t>HBV is blood borne and transmitted via exposure to infected blood or bodily fluids contaminated by blood. One of the most common forms of transmission is vertical or perinatal transmission of HBV from infected mothers to neonates. Low and middle-income countries have disproportionally higher rates of HBV thus there is a high prevalence in immigrants to higher-income countries. Of those who develop an acute HBV infection, 95% of babies, 20-30% of children and less than 5% of adults will go on to have a chronic infection. There is no available treatment for an acute HBV infection whilst antivirals such as Tenofovir can improve chronic HBV infections by slowing cirrhosis and reducing the risk of liver cancer (3)</w:t>
      </w:r>
      <w:r w:rsidR="00837131">
        <w:t>.</w:t>
      </w:r>
      <w:r>
        <w:t xml:space="preserve"> </w:t>
      </w:r>
    </w:p>
    <w:p w14:paraId="03A87EB6" w14:textId="73D6D3ED" w:rsidR="00CE5AAF" w:rsidRDefault="00E85A33">
      <w:pPr>
        <w:ind w:left="24"/>
      </w:pPr>
      <w:r>
        <w:t>Given the complications associated with HBV, prevention of transmission is the best method for controlling this infection. Prevention includes avoidance of transmission from infected people via counselling against high risk behaviours, screening of blood products and more stringent infection control in healthcare settings through universal precautions. By far the most effective way of controlling HBV is through vaccination (3)</w:t>
      </w:r>
      <w:r w:rsidR="00837131">
        <w:t>.</w:t>
      </w:r>
      <w:r>
        <w:t xml:space="preserve"> </w:t>
      </w:r>
    </w:p>
    <w:p w14:paraId="7211B639" w14:textId="138D16EC" w:rsidR="00CE5AAF" w:rsidRDefault="00E85A33">
      <w:pPr>
        <w:spacing w:after="4"/>
        <w:ind w:left="24"/>
      </w:pPr>
      <w:r>
        <w:t xml:space="preserve">The first HBV vaccine was developed in 1982 and is in widespread use. Most vaccines for HBV were developed using recombinant DNA to express a protein (antigen) against hepatitis (HBsAg). HBV vaccines are available in monovalent (single), combination (with Hepatitis A) and multivalent forms (with multiple other vaccines). Routine immunisation of neonates is a common practice worldwide with the WHO recommending a dose of HBV at birth followed by either a 2 or 3 dose schedule. Completion of either of these programmes induces protective antibody levels in up to 95% of infants, children and adolescents </w:t>
      </w:r>
    </w:p>
    <w:p w14:paraId="2C88AC0F" w14:textId="1AEECA63" w:rsidR="00CE5AAF" w:rsidRDefault="00E85A33">
      <w:pPr>
        <w:ind w:left="24"/>
      </w:pPr>
      <w:r>
        <w:t>(3)</w:t>
      </w:r>
      <w:r w:rsidR="00837131">
        <w:t>.</w:t>
      </w:r>
      <w:r>
        <w:t xml:space="preserve"> </w:t>
      </w:r>
    </w:p>
    <w:p w14:paraId="123D7EF6" w14:textId="3B6B6ED8" w:rsidR="00CE5AAF" w:rsidRDefault="00E85A33">
      <w:pPr>
        <w:ind w:left="24"/>
      </w:pPr>
      <w:r>
        <w:t>The burden of HBV in the UK reflects that of other high-income countries. In 2016 there were 453 cases of acute HBV reported and an annual incidence of 0.82 per 100,000 people. During the same period 11,901 cases of HBV were recorded, the remainder being chronic infections (4)</w:t>
      </w:r>
      <w:r w:rsidR="002D00AB">
        <w:t>.</w:t>
      </w:r>
      <w:r>
        <w:t xml:space="preserve"> The UK added a vaccine for HBV to the routine childhood immunisation schedule in 2017 as part of a multivalent vaccine. Multivalent vaccines are cost effective on a population level</w:t>
      </w:r>
      <w:r w:rsidR="002D00AB">
        <w:t>.</w:t>
      </w:r>
      <w:r>
        <w:t xml:space="preserve"> </w:t>
      </w:r>
      <w:r w:rsidR="002D00AB">
        <w:t>T</w:t>
      </w:r>
      <w:r>
        <w:t>hey reduce the number of needles that need to be administered thus reducing the risk of complications, the</w:t>
      </w:r>
      <w:r w:rsidR="00012A53">
        <w:t>y</w:t>
      </w:r>
      <w:r>
        <w:t xml:space="preserve"> </w:t>
      </w:r>
      <w:r w:rsidR="002D00AB">
        <w:t xml:space="preserve">minimise the </w:t>
      </w:r>
      <w:r>
        <w:t xml:space="preserve">number of vaccine healthcare visits needed and </w:t>
      </w:r>
      <w:r w:rsidR="002D00AB">
        <w:t xml:space="preserve">associated </w:t>
      </w:r>
      <w:r>
        <w:t>cost</w:t>
      </w:r>
      <w:r w:rsidR="002D00AB">
        <w:t>s</w:t>
      </w:r>
      <w:r>
        <w:t xml:space="preserve"> and </w:t>
      </w:r>
      <w:r w:rsidR="002D00AB">
        <w:t xml:space="preserve">they </w:t>
      </w:r>
      <w:r>
        <w:t>improve compliance and vaccine coverage (5)</w:t>
      </w:r>
      <w:r w:rsidR="002D00AB">
        <w:t>.</w:t>
      </w:r>
      <w:r>
        <w:t xml:space="preserve"> </w:t>
      </w:r>
    </w:p>
    <w:p w14:paraId="5C3C7018" w14:textId="77777777" w:rsidR="00CE5AAF" w:rsidRDefault="00E85A33">
      <w:pPr>
        <w:spacing w:after="218" w:line="259" w:lineRule="auto"/>
        <w:ind w:left="-5"/>
        <w:jc w:val="left"/>
      </w:pPr>
      <w:r>
        <w:rPr>
          <w:b/>
          <w:u w:val="single" w:color="000000"/>
        </w:rPr>
        <w:t>Characteristics of licensed vaccines</w:t>
      </w:r>
      <w:r>
        <w:rPr>
          <w:b/>
        </w:rPr>
        <w:t xml:space="preserve"> </w:t>
      </w:r>
    </w:p>
    <w:p w14:paraId="15A52290" w14:textId="77777777" w:rsidR="00CE5AAF" w:rsidRDefault="00E85A33">
      <w:pPr>
        <w:spacing w:after="205" w:line="269" w:lineRule="auto"/>
        <w:ind w:left="-5"/>
        <w:jc w:val="left"/>
      </w:pPr>
      <w:r>
        <w:rPr>
          <w:i/>
        </w:rPr>
        <w:t xml:space="preserve">6 in 1(IH) (Infanrix hexa) </w:t>
      </w:r>
    </w:p>
    <w:p w14:paraId="1C681B5D" w14:textId="23881F66" w:rsidR="002D00AB" w:rsidRDefault="00E85A33">
      <w:pPr>
        <w:spacing w:after="151"/>
        <w:ind w:left="24"/>
      </w:pPr>
      <w:r>
        <w:t xml:space="preserve">Developed by GlaxoSmithKline, 6 in 1(IH) is a multivalent vaccine that protects against diphtheria, tetanus, pertussis, poliomyelitis, </w:t>
      </w:r>
      <w:r>
        <w:rPr>
          <w:i/>
        </w:rPr>
        <w:t>Haemophilus influenza</w:t>
      </w:r>
      <w:r>
        <w:t xml:space="preserve"> type B (Hib) and hepatitis B virus (HBV). It is licensed in Europe and has been widely used internationally with data to support its efficacy and safety. It is available in a powder and suspension for injection form. 6 in 1(IH) has been included in the UK’s routine immunisation schedule at 2, 3 and 4 months of age since 2017. It is made up of diphtheria and tetanus toxoid, Bordetella pertussis antigens (pertussis toxoid, filamentous haemagglutinin and pertactin), inactivated poliovirus (type 1 – 3), Hib polysaccharide conjugated to tetanus toxoid as the carrier protein and hepatitis B surface antigen (1)</w:t>
      </w:r>
      <w:r w:rsidR="002D00AB">
        <w:t>.</w:t>
      </w:r>
    </w:p>
    <w:p w14:paraId="7B2B999E" w14:textId="2525EBA9" w:rsidR="00CE5AAF" w:rsidRDefault="00E85A33">
      <w:pPr>
        <w:spacing w:after="151"/>
        <w:ind w:left="24"/>
      </w:pPr>
      <w:r w:rsidRPr="002D00AB">
        <w:t xml:space="preserve"> 6 in 1(V)</w:t>
      </w:r>
      <w:r>
        <w:t xml:space="preserve"> </w:t>
      </w:r>
      <w:r>
        <w:rPr>
          <w:i/>
        </w:rPr>
        <w:t xml:space="preserve">(Vaxelis) </w:t>
      </w:r>
    </w:p>
    <w:p w14:paraId="52B14226" w14:textId="3ACE82CB" w:rsidR="00CE5AAF" w:rsidRDefault="00E85A33">
      <w:pPr>
        <w:ind w:left="24"/>
      </w:pPr>
      <w:r>
        <w:t xml:space="preserve">One of the other multivalent vaccines that contains Hepatitis B currently licensed in Europe is 6 in 1(V). Developed jointly by Merck/MSD and Sanofi Pasteur, 6 in 1(V) is available as a fully liquid and ready to use injection and protects against the same organisms as 6 in 1(IH) however the structure of some components differs. 6 in 1(V) contains diphtheria and tetanus toxoid, </w:t>
      </w:r>
      <w:r>
        <w:rPr>
          <w:i/>
        </w:rPr>
        <w:t xml:space="preserve">Bordetella pertussis </w:t>
      </w:r>
      <w:r>
        <w:t>antigens (including pertussis toxoid, filamentous haemagglutinin, pertactin and fimbriae types 2 and 3), inactivated poliovirus (including type 1 – 3), Hib polysaccharide conjugated to a meningococcal outer membrane complex (OMPC) and hepatitis B surface antigen (2)</w:t>
      </w:r>
      <w:r w:rsidR="002D00AB">
        <w:t>.</w:t>
      </w:r>
      <w:r>
        <w:t xml:space="preserve"> It is the structure of the Hib component that may be relevant to the use of 6 in 1(V) in the UK. 4CMenB is the meningococcal B vaccine currently in use in the UK’s routine immunisation schedule at 2, 4 and 12 months of age. The structure of 4CMenB includes meningococcal outer membrane vesicles which carries with it a theoretical risk of a carrier induced epitopic suppression of the Hib responses of 6 in 1(V) when given concurrently with 4CMenB. This interaction has the potential to lead to the creation of a birth cohort with sub-optimal responses to the Hib antigen of 6 in 1(V) and thus risk a re-emergence of Hib as was seen in the UK in 1999 – 2003. (6) </w:t>
      </w:r>
    </w:p>
    <w:p w14:paraId="7543A077" w14:textId="77777777" w:rsidR="00CE5AAF" w:rsidRDefault="00E85A33">
      <w:pPr>
        <w:ind w:left="24"/>
      </w:pPr>
      <w:r>
        <w:t xml:space="preserve">There is also the possibility that the combination of the OMPC from 6 in 1(V) and 4CMenB could cause increased systemic and local vaccine adverse reactions when co-administered (as compared to adverse reactions that can occur using the existing schedule). In the absence of any evidence to show that these concerns are unfounded, it is possible that the use of 6 in 1(V) in the UK immunisation schedule would be seen as inappropriate. This could limit the flexibility of vaccine procurement for the UK government. </w:t>
      </w:r>
    </w:p>
    <w:p w14:paraId="3E6FEE51" w14:textId="062A37FE" w:rsidR="00CE5AAF" w:rsidRDefault="00E85A33">
      <w:pPr>
        <w:ind w:left="24"/>
      </w:pPr>
      <w:r>
        <w:t>We plan to conduct a head-to-head</w:t>
      </w:r>
      <w:r w:rsidR="00C71586">
        <w:t xml:space="preserve"> unblinded</w:t>
      </w:r>
      <w:r>
        <w:t xml:space="preserve"> open randomised</w:t>
      </w:r>
      <w:r w:rsidR="00C71586">
        <w:t xml:space="preserve"> </w:t>
      </w:r>
      <w:r>
        <w:t xml:space="preserve">trial comparing the immunogenicity and reactogenicity at 5 and 13 months of both licensed DTaP-Hib-IPV-HepB vaccines when administered at 2, 3 and 4 months of age alongside the current UK vaccination schedule (including 4CMenB). </w:t>
      </w:r>
    </w:p>
    <w:p w14:paraId="67166148" w14:textId="77777777" w:rsidR="00CE5AAF" w:rsidRDefault="00E85A33">
      <w:pPr>
        <w:spacing w:after="218" w:line="259" w:lineRule="auto"/>
        <w:ind w:left="-5"/>
        <w:jc w:val="left"/>
      </w:pPr>
      <w:r>
        <w:rPr>
          <w:b/>
          <w:u w:val="single" w:color="000000"/>
        </w:rPr>
        <w:t>Known potential risks and benefits to participants</w:t>
      </w:r>
      <w:r>
        <w:rPr>
          <w:b/>
        </w:rPr>
        <w:t xml:space="preserve"> </w:t>
      </w:r>
    </w:p>
    <w:p w14:paraId="609EE869" w14:textId="77777777" w:rsidR="00CE5AAF" w:rsidRDefault="00E85A33">
      <w:pPr>
        <w:pStyle w:val="Heading2"/>
        <w:spacing w:after="210"/>
        <w:ind w:left="24" w:right="3507"/>
      </w:pPr>
      <w:r>
        <w:t xml:space="preserve">Potential risks to participants </w:t>
      </w:r>
    </w:p>
    <w:p w14:paraId="4B46FB81" w14:textId="05A4D5C3" w:rsidR="00CE5AAF" w:rsidRDefault="00E85A33">
      <w:pPr>
        <w:ind w:left="24"/>
      </w:pPr>
      <w:r>
        <w:t>Participants in this trial will be receiving licensed vaccine</w:t>
      </w:r>
      <w:r w:rsidR="002D00AB">
        <w:t>s</w:t>
      </w:r>
      <w:r>
        <w:t>, which are either the same as, or similar to, those already included in the routine UK immunisation schedule. The risks to participants include the common side effects of vaccination with 6 in 1(IH) and 6 in 1(V) and the risks of blood sampling. These include swelling, redness and pain at the injection site, fever, irritability, crying, tiredness, reduced appetite and vomiting (7, 8)</w:t>
      </w:r>
      <w:r w:rsidR="002D00AB">
        <w:t>.</w:t>
      </w:r>
      <w:r>
        <w:t xml:space="preserve"> </w:t>
      </w:r>
    </w:p>
    <w:p w14:paraId="7D2B6B43" w14:textId="52E4E6A4" w:rsidR="00CE5AAF" w:rsidRDefault="00E85A33">
      <w:pPr>
        <w:ind w:left="24"/>
      </w:pPr>
      <w:r>
        <w:t>As with all vaccines, there is a small chance of an allergic reaction including severe reactions such as anaphylaxis (risk is less than 1 in a million doses for existing vaccines) (7)</w:t>
      </w:r>
      <w:r w:rsidR="002D00AB">
        <w:t>.</w:t>
      </w:r>
      <w:r>
        <w:t xml:space="preserve"> The risks associated with blood sampling include pain at the injection site, bruising, bleeding and infection</w:t>
      </w:r>
      <w:r w:rsidR="002D00AB">
        <w:t>.</w:t>
      </w:r>
      <w:r>
        <w:t xml:space="preserve"> </w:t>
      </w:r>
      <w:r w:rsidR="002D00AB">
        <w:t>A</w:t>
      </w:r>
      <w:r>
        <w:t>naesthetic cream is offered to minimise any pain</w:t>
      </w:r>
      <w:r w:rsidR="002D00AB">
        <w:t xml:space="preserve"> during venepuncture</w:t>
      </w:r>
      <w:r>
        <w:t>. Additionally, the volume of blood taken during the study period does not exceed the recommended European limits for infants (8)</w:t>
      </w:r>
      <w:r w:rsidR="002D00AB">
        <w:t>.</w:t>
      </w:r>
      <w:r>
        <w:t xml:space="preserve"> </w:t>
      </w:r>
    </w:p>
    <w:p w14:paraId="05BEDCA9" w14:textId="1F9C8E5C" w:rsidR="00CE5AAF" w:rsidRDefault="00E85A33">
      <w:pPr>
        <w:ind w:left="24"/>
      </w:pPr>
      <w:r>
        <w:t>There is also a potential for reduced Hib immunogenicity in the group that receives</w:t>
      </w:r>
      <w:r w:rsidR="002D00AB">
        <w:t xml:space="preserve"> </w:t>
      </w:r>
      <w:r>
        <w:t xml:space="preserve">6 in 1(V). If any participants (in either group) have a sub-optimal response to the Hib component of the immunisation schedule (i.e. anti-PRP IgG &lt; 1.0 </w:t>
      </w:r>
      <w:r w:rsidR="00C122CF">
        <w:rPr>
          <w:rFonts w:ascii="Segoe UI Symbol" w:eastAsia="Segoe UI Symbol" w:hAnsi="Segoe UI Symbol" w:cs="Segoe UI Symbol"/>
        </w:rPr>
        <w:t>µ</w:t>
      </w:r>
      <w:r>
        <w:t xml:space="preserve">g/ml at 13 months of age), their GP will be contacted and advised that the participant requires an additional dose of the Hib-MenC combination vaccine.  </w:t>
      </w:r>
    </w:p>
    <w:p w14:paraId="0623E17E" w14:textId="32711605" w:rsidR="00CE5AAF" w:rsidRDefault="00E85A33">
      <w:pPr>
        <w:spacing w:after="7"/>
        <w:ind w:left="24"/>
      </w:pPr>
      <w:r>
        <w:t>As outlined above, there is also a theoretical risk of increased reactogenicity in 6 in 1(V) group when coadministered with 4CMenB. 4CMenB has been shown to have an increased risk of fever when given with other vaccines and paracetamol administration is advised to ameliorate this (9)</w:t>
      </w:r>
      <w:r w:rsidR="002D00AB">
        <w:t>.</w:t>
      </w:r>
      <w:r>
        <w:t xml:space="preserve"> The practice of giving prophylactic paracetamol will be continued in this study and parents will be asked to give the three recommended doses of paracetamol after vaccination with 4CMenB as per guidance from Public Health </w:t>
      </w:r>
    </w:p>
    <w:p w14:paraId="298E44B0" w14:textId="37667BA2" w:rsidR="00CE5AAF" w:rsidRDefault="00E85A33">
      <w:pPr>
        <w:ind w:left="24"/>
      </w:pPr>
      <w:r>
        <w:t>England (10)</w:t>
      </w:r>
      <w:r w:rsidR="002D00AB">
        <w:t>.</w:t>
      </w:r>
      <w:r>
        <w:t xml:space="preserve"> </w:t>
      </w:r>
    </w:p>
    <w:p w14:paraId="51EDEA54" w14:textId="77777777" w:rsidR="00CE5AAF" w:rsidRDefault="00E85A33">
      <w:pPr>
        <w:pStyle w:val="Heading2"/>
        <w:spacing w:after="210"/>
        <w:ind w:left="24" w:right="3507"/>
      </w:pPr>
      <w:r>
        <w:t xml:space="preserve">Potential benefits to participants </w:t>
      </w:r>
    </w:p>
    <w:p w14:paraId="2F4382EA" w14:textId="77777777" w:rsidR="00CE5AAF" w:rsidRDefault="00E85A33">
      <w:pPr>
        <w:ind w:left="24"/>
      </w:pPr>
      <w:r>
        <w:t xml:space="preserve">The benefits to participants is the administration of their routine vaccines in their own home or in a suitable and convenient location and telephone access to an on-call study team member for urgent clinical queries related to the study. </w:t>
      </w:r>
    </w:p>
    <w:p w14:paraId="4C022226" w14:textId="77777777" w:rsidR="00CE5AAF" w:rsidRDefault="00E85A33">
      <w:pPr>
        <w:spacing w:after="218" w:line="259" w:lineRule="auto"/>
        <w:ind w:left="-5"/>
        <w:jc w:val="left"/>
      </w:pPr>
      <w:r>
        <w:rPr>
          <w:b/>
          <w:u w:val="single" w:color="000000"/>
        </w:rPr>
        <w:t>Route of administration, dosage, dosage regimen and treatment period</w:t>
      </w:r>
      <w:r>
        <w:rPr>
          <w:b/>
        </w:rPr>
        <w:t xml:space="preserve"> </w:t>
      </w:r>
    </w:p>
    <w:p w14:paraId="08E4EF2A" w14:textId="77777777" w:rsidR="00CE5AAF" w:rsidRDefault="00E85A33">
      <w:pPr>
        <w:ind w:left="24"/>
      </w:pPr>
      <w:r>
        <w:t xml:space="preserve">Both 6 in 1(IH) and 6 in 1(V) are administered intramuscularly and will be given as per the UK immunisation schedule for hexavalent vaccines at 2, 3 and 4 months of age. The study period will be over 11 months therefore routine vaccines will be administered until 12 months of age with the last study visit at 13 months. </w:t>
      </w:r>
    </w:p>
    <w:p w14:paraId="51B7CC30" w14:textId="77777777" w:rsidR="00CE5AAF" w:rsidRDefault="00E85A33">
      <w:pPr>
        <w:spacing w:after="218" w:line="259" w:lineRule="auto"/>
        <w:ind w:left="-5"/>
        <w:jc w:val="left"/>
      </w:pPr>
      <w:r>
        <w:rPr>
          <w:b/>
          <w:u w:val="single" w:color="000000"/>
        </w:rPr>
        <w:t>Description of population to be studied</w:t>
      </w:r>
      <w:r>
        <w:rPr>
          <w:b/>
        </w:rPr>
        <w:t xml:space="preserve"> </w:t>
      </w:r>
    </w:p>
    <w:p w14:paraId="1321348B" w14:textId="1A3CFB07" w:rsidR="00CE5AAF" w:rsidRDefault="00E85A33">
      <w:pPr>
        <w:ind w:left="24"/>
      </w:pPr>
      <w:r>
        <w:t xml:space="preserve">This study will recruit healthy infants born at </w:t>
      </w:r>
      <w:r w:rsidR="00C122CF">
        <w:t>≥</w:t>
      </w:r>
      <w:r>
        <w:t xml:space="preserve"> 37 weeks in the UK in the local geographic areas of study sites. They will be aged between 8 and 13 weeks at enrolment and have no significant medical problems or known allergies to 6 in 1(IH), 6 in 1(V) or the routine immunisations given in the UK schedule or their components.   </w:t>
      </w:r>
    </w:p>
    <w:p w14:paraId="7BE96992" w14:textId="77777777" w:rsidR="00CE5AAF" w:rsidRDefault="00E85A33">
      <w:pPr>
        <w:spacing w:after="218" w:line="259" w:lineRule="auto"/>
        <w:ind w:left="0" w:firstLine="0"/>
        <w:jc w:val="left"/>
      </w:pPr>
      <w:r>
        <w:t xml:space="preserve"> </w:t>
      </w:r>
    </w:p>
    <w:p w14:paraId="44840544" w14:textId="77777777" w:rsidR="00CE5AAF" w:rsidRDefault="00E85A33">
      <w:pPr>
        <w:spacing w:after="218" w:line="259" w:lineRule="auto"/>
        <w:ind w:left="0" w:firstLine="0"/>
        <w:jc w:val="left"/>
      </w:pPr>
      <w:r>
        <w:t xml:space="preserve"> </w:t>
      </w:r>
    </w:p>
    <w:p w14:paraId="17CAEC07" w14:textId="77777777" w:rsidR="00CE5AAF" w:rsidRDefault="00E85A33">
      <w:pPr>
        <w:spacing w:after="218" w:line="259" w:lineRule="auto"/>
        <w:ind w:left="0" w:firstLine="0"/>
        <w:jc w:val="left"/>
      </w:pPr>
      <w:r>
        <w:t xml:space="preserve"> </w:t>
      </w:r>
    </w:p>
    <w:p w14:paraId="5ECD98B7" w14:textId="77777777" w:rsidR="00CE5AAF" w:rsidRDefault="00E85A33">
      <w:pPr>
        <w:spacing w:after="218" w:line="259" w:lineRule="auto"/>
        <w:ind w:left="0" w:firstLine="0"/>
        <w:jc w:val="left"/>
      </w:pPr>
      <w:r>
        <w:t xml:space="preserve"> </w:t>
      </w:r>
    </w:p>
    <w:p w14:paraId="10688BF6" w14:textId="77777777" w:rsidR="00CE5AAF" w:rsidRDefault="00E85A33">
      <w:pPr>
        <w:spacing w:after="218" w:line="259" w:lineRule="auto"/>
        <w:ind w:left="0" w:firstLine="0"/>
        <w:jc w:val="left"/>
      </w:pPr>
      <w:r>
        <w:t xml:space="preserve"> </w:t>
      </w:r>
    </w:p>
    <w:p w14:paraId="15CE09ED" w14:textId="77777777" w:rsidR="00CE5AAF" w:rsidRDefault="00E85A33">
      <w:pPr>
        <w:spacing w:after="218" w:line="259" w:lineRule="auto"/>
        <w:ind w:left="0" w:firstLine="0"/>
        <w:jc w:val="left"/>
      </w:pPr>
      <w:r>
        <w:t xml:space="preserve"> </w:t>
      </w:r>
    </w:p>
    <w:p w14:paraId="1C5F8D5C" w14:textId="77777777" w:rsidR="00CE5AAF" w:rsidRDefault="00E85A33">
      <w:pPr>
        <w:spacing w:after="218" w:line="259" w:lineRule="auto"/>
        <w:ind w:left="0" w:firstLine="0"/>
        <w:jc w:val="left"/>
      </w:pPr>
      <w:r>
        <w:t xml:space="preserve"> </w:t>
      </w:r>
    </w:p>
    <w:p w14:paraId="18BEC81C" w14:textId="77777777" w:rsidR="00CE5AAF" w:rsidRDefault="00E85A33">
      <w:pPr>
        <w:spacing w:after="218" w:line="259" w:lineRule="auto"/>
        <w:ind w:left="0" w:firstLine="0"/>
        <w:jc w:val="left"/>
      </w:pPr>
      <w:r>
        <w:t xml:space="preserve"> </w:t>
      </w:r>
    </w:p>
    <w:p w14:paraId="6A0F8ACC" w14:textId="77777777" w:rsidR="00CE5AAF" w:rsidRDefault="00E85A33">
      <w:pPr>
        <w:spacing w:after="218" w:line="259" w:lineRule="auto"/>
        <w:ind w:left="0" w:firstLine="0"/>
        <w:jc w:val="left"/>
      </w:pPr>
      <w:r>
        <w:t xml:space="preserve"> </w:t>
      </w:r>
    </w:p>
    <w:p w14:paraId="714CAFE3" w14:textId="77777777" w:rsidR="00CE5AAF" w:rsidRDefault="00E85A33">
      <w:pPr>
        <w:spacing w:after="218" w:line="259" w:lineRule="auto"/>
        <w:ind w:left="0" w:firstLine="0"/>
        <w:jc w:val="left"/>
      </w:pPr>
      <w:r>
        <w:t xml:space="preserve"> </w:t>
      </w:r>
    </w:p>
    <w:p w14:paraId="26049A5E" w14:textId="77777777" w:rsidR="00CE5AAF" w:rsidRDefault="00E85A33">
      <w:pPr>
        <w:spacing w:after="0" w:line="259" w:lineRule="auto"/>
        <w:ind w:left="0" w:firstLine="0"/>
        <w:jc w:val="left"/>
      </w:pPr>
      <w:r>
        <w:t xml:space="preserve"> </w:t>
      </w:r>
    </w:p>
    <w:p w14:paraId="19A2C837" w14:textId="77777777" w:rsidR="00CE5AAF" w:rsidRDefault="00E85A33">
      <w:pPr>
        <w:pStyle w:val="Heading1"/>
        <w:ind w:left="24"/>
      </w:pPr>
      <w:r>
        <w:t>5.</w:t>
      </w:r>
      <w:r>
        <w:rPr>
          <w:rFonts w:ascii="Arial" w:eastAsia="Arial" w:hAnsi="Arial" w:cs="Arial"/>
        </w:rPr>
        <w:t xml:space="preserve"> </w:t>
      </w:r>
      <w:r>
        <w:t xml:space="preserve">OUTCOME AND OUTCOME MEASURES </w:t>
      </w:r>
    </w:p>
    <w:tbl>
      <w:tblPr>
        <w:tblStyle w:val="TableGrid"/>
        <w:tblW w:w="9405" w:type="dxa"/>
        <w:tblInd w:w="5" w:type="dxa"/>
        <w:tblCellMar>
          <w:top w:w="46" w:type="dxa"/>
          <w:left w:w="108" w:type="dxa"/>
          <w:right w:w="66" w:type="dxa"/>
        </w:tblCellMar>
        <w:tblLook w:val="04A0" w:firstRow="1" w:lastRow="0" w:firstColumn="1" w:lastColumn="0" w:noHBand="0" w:noVBand="1"/>
      </w:tblPr>
      <w:tblGrid>
        <w:gridCol w:w="3464"/>
        <w:gridCol w:w="3478"/>
        <w:gridCol w:w="2463"/>
      </w:tblGrid>
      <w:tr w:rsidR="00CE5AAF" w14:paraId="253A3251" w14:textId="77777777" w:rsidTr="002D00AB">
        <w:trPr>
          <w:trHeight w:val="1193"/>
        </w:trPr>
        <w:tc>
          <w:tcPr>
            <w:tcW w:w="3464" w:type="dxa"/>
            <w:tcBorders>
              <w:top w:val="single" w:sz="4" w:space="0" w:color="000000"/>
              <w:left w:val="single" w:sz="4" w:space="0" w:color="000000"/>
              <w:bottom w:val="single" w:sz="4" w:space="0" w:color="000000"/>
              <w:right w:val="single" w:sz="4" w:space="0" w:color="000000"/>
            </w:tcBorders>
          </w:tcPr>
          <w:p w14:paraId="14E7A513" w14:textId="77777777" w:rsidR="00CE5AAF" w:rsidRDefault="00E85A33">
            <w:pPr>
              <w:spacing w:after="0" w:line="259" w:lineRule="auto"/>
              <w:ind w:left="0" w:firstLine="0"/>
              <w:jc w:val="left"/>
            </w:pPr>
            <w:r>
              <w:rPr>
                <w:b/>
              </w:rPr>
              <w:t xml:space="preserve">Objectives </w:t>
            </w:r>
          </w:p>
        </w:tc>
        <w:tc>
          <w:tcPr>
            <w:tcW w:w="3478" w:type="dxa"/>
            <w:tcBorders>
              <w:top w:val="single" w:sz="4" w:space="0" w:color="000000"/>
              <w:left w:val="single" w:sz="4" w:space="0" w:color="000000"/>
              <w:bottom w:val="single" w:sz="4" w:space="0" w:color="000000"/>
              <w:right w:val="single" w:sz="4" w:space="0" w:color="000000"/>
            </w:tcBorders>
          </w:tcPr>
          <w:p w14:paraId="15B47B22" w14:textId="77777777" w:rsidR="00CE5AAF" w:rsidRDefault="00E85A33">
            <w:pPr>
              <w:spacing w:after="0" w:line="259" w:lineRule="auto"/>
              <w:ind w:left="0" w:firstLine="0"/>
              <w:jc w:val="left"/>
            </w:pPr>
            <w:r>
              <w:rPr>
                <w:b/>
              </w:rPr>
              <w:t xml:space="preserve">Outcome Measures  </w:t>
            </w:r>
          </w:p>
        </w:tc>
        <w:tc>
          <w:tcPr>
            <w:tcW w:w="2463" w:type="dxa"/>
            <w:tcBorders>
              <w:top w:val="single" w:sz="4" w:space="0" w:color="000000"/>
              <w:left w:val="single" w:sz="4" w:space="0" w:color="000000"/>
              <w:bottom w:val="single" w:sz="4" w:space="0" w:color="000000"/>
              <w:right w:val="single" w:sz="4" w:space="0" w:color="000000"/>
            </w:tcBorders>
          </w:tcPr>
          <w:p w14:paraId="47E487CA" w14:textId="77777777" w:rsidR="00CE5AAF" w:rsidRDefault="00E85A33">
            <w:pPr>
              <w:spacing w:after="0" w:line="259" w:lineRule="auto"/>
              <w:ind w:left="0" w:firstLine="0"/>
              <w:jc w:val="left"/>
            </w:pPr>
            <w:r>
              <w:rPr>
                <w:b/>
              </w:rPr>
              <w:t xml:space="preserve">Timepoint(s) of evaluation of this outcome measure (if applicable) </w:t>
            </w:r>
          </w:p>
        </w:tc>
      </w:tr>
      <w:tr w:rsidR="00CE5AAF" w14:paraId="5F496CAA" w14:textId="77777777">
        <w:trPr>
          <w:trHeight w:val="2881"/>
        </w:trPr>
        <w:tc>
          <w:tcPr>
            <w:tcW w:w="3464" w:type="dxa"/>
            <w:tcBorders>
              <w:top w:val="single" w:sz="4" w:space="0" w:color="000000"/>
              <w:left w:val="single" w:sz="4" w:space="0" w:color="000000"/>
              <w:bottom w:val="single" w:sz="4" w:space="0" w:color="000000"/>
              <w:right w:val="single" w:sz="4" w:space="0" w:color="000000"/>
            </w:tcBorders>
          </w:tcPr>
          <w:p w14:paraId="44A91069" w14:textId="77777777" w:rsidR="00CE5AAF" w:rsidRDefault="00E85A33">
            <w:pPr>
              <w:spacing w:after="16" w:line="259" w:lineRule="auto"/>
              <w:ind w:left="0" w:firstLine="0"/>
              <w:jc w:val="left"/>
            </w:pPr>
            <w:r>
              <w:rPr>
                <w:b/>
              </w:rPr>
              <w:t>Primary Objective</w:t>
            </w:r>
            <w:r>
              <w:t xml:space="preserve"> </w:t>
            </w:r>
          </w:p>
          <w:p w14:paraId="24E774D2" w14:textId="77777777" w:rsidR="00CE5AAF" w:rsidRDefault="00E85A33">
            <w:pPr>
              <w:spacing w:after="19" w:line="259" w:lineRule="auto"/>
              <w:ind w:left="0" w:firstLine="0"/>
              <w:jc w:val="left"/>
            </w:pPr>
            <w:r>
              <w:t xml:space="preserve">Compare the immunogenicity of the </w:t>
            </w:r>
          </w:p>
          <w:p w14:paraId="73489215" w14:textId="57F8A432" w:rsidR="00CE5AAF" w:rsidRDefault="00E85A33" w:rsidP="002D00AB">
            <w:pPr>
              <w:spacing w:after="0" w:line="275" w:lineRule="auto"/>
              <w:ind w:left="0" w:right="89" w:firstLine="0"/>
              <w:jc w:val="left"/>
            </w:pPr>
            <w:r>
              <w:t xml:space="preserve">Hib component of 6 in 1(IH) and  6 in 1(V) when co-administered with 4CMenB in the UK routine immunisation schedule at 5 months of age. </w:t>
            </w:r>
          </w:p>
        </w:tc>
        <w:tc>
          <w:tcPr>
            <w:tcW w:w="3478" w:type="dxa"/>
            <w:tcBorders>
              <w:top w:val="single" w:sz="4" w:space="0" w:color="000000"/>
              <w:left w:val="single" w:sz="4" w:space="0" w:color="000000"/>
              <w:bottom w:val="single" w:sz="4" w:space="0" w:color="000000"/>
              <w:right w:val="single" w:sz="4" w:space="0" w:color="000000"/>
            </w:tcBorders>
          </w:tcPr>
          <w:p w14:paraId="421921AC" w14:textId="77777777" w:rsidR="00CE5AAF" w:rsidRDefault="00E85A33">
            <w:pPr>
              <w:spacing w:after="16" w:line="259" w:lineRule="auto"/>
              <w:ind w:left="0" w:firstLine="0"/>
              <w:jc w:val="left"/>
            </w:pPr>
            <w:r>
              <w:t xml:space="preserve"> </w:t>
            </w:r>
          </w:p>
          <w:p w14:paraId="592D88A4" w14:textId="77777777" w:rsidR="00CE5AAF" w:rsidRDefault="00E85A33">
            <w:pPr>
              <w:spacing w:after="0" w:line="276" w:lineRule="auto"/>
              <w:ind w:left="0" w:firstLine="0"/>
              <w:jc w:val="left"/>
            </w:pPr>
            <w:r>
              <w:t xml:space="preserve">Measurement of anti-PRP (Hib) IgG concentrations at 5 months of age as measured by ELISA. </w:t>
            </w:r>
          </w:p>
          <w:p w14:paraId="42DFEE85" w14:textId="77777777" w:rsidR="00CE5AAF" w:rsidRDefault="00E85A33">
            <w:pPr>
              <w:spacing w:after="19" w:line="259" w:lineRule="auto"/>
              <w:ind w:left="0" w:firstLine="0"/>
              <w:jc w:val="left"/>
            </w:pPr>
            <w:r>
              <w:t xml:space="preserve"> </w:t>
            </w:r>
          </w:p>
          <w:p w14:paraId="23CE3039" w14:textId="77777777" w:rsidR="00CE5AAF" w:rsidRDefault="00E85A33">
            <w:pPr>
              <w:spacing w:after="0" w:line="259" w:lineRule="auto"/>
              <w:ind w:left="0"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381CAE42" w14:textId="77777777" w:rsidR="00CE5AAF" w:rsidRDefault="00E85A33">
            <w:pPr>
              <w:spacing w:after="16" w:line="259" w:lineRule="auto"/>
              <w:ind w:left="0" w:firstLine="0"/>
              <w:jc w:val="left"/>
            </w:pPr>
            <w:r>
              <w:t xml:space="preserve"> </w:t>
            </w:r>
          </w:p>
          <w:p w14:paraId="3F55F29E" w14:textId="77777777" w:rsidR="00CE5AAF" w:rsidRDefault="00E85A33">
            <w:pPr>
              <w:spacing w:after="0" w:line="259" w:lineRule="auto"/>
              <w:ind w:left="0" w:right="30" w:firstLine="0"/>
              <w:jc w:val="left"/>
            </w:pPr>
            <w:r>
              <w:t xml:space="preserve">At 5 months of age (at least 4 weeks after administration of the last dose of either 6 in 1(IH) and 6 in 1(V) primary immunisations). </w:t>
            </w:r>
          </w:p>
        </w:tc>
      </w:tr>
      <w:tr w:rsidR="00CE5AAF" w14:paraId="17406893" w14:textId="77777777">
        <w:trPr>
          <w:trHeight w:val="9584"/>
        </w:trPr>
        <w:tc>
          <w:tcPr>
            <w:tcW w:w="3464" w:type="dxa"/>
            <w:tcBorders>
              <w:top w:val="single" w:sz="4" w:space="0" w:color="000000"/>
              <w:left w:val="single" w:sz="4" w:space="0" w:color="000000"/>
              <w:bottom w:val="single" w:sz="4" w:space="0" w:color="000000"/>
              <w:right w:val="single" w:sz="4" w:space="0" w:color="000000"/>
            </w:tcBorders>
          </w:tcPr>
          <w:p w14:paraId="1EDAAAB9" w14:textId="77777777" w:rsidR="00CE5AAF" w:rsidRDefault="00E85A33">
            <w:pPr>
              <w:spacing w:after="16" w:line="259" w:lineRule="auto"/>
              <w:ind w:left="0" w:firstLine="0"/>
              <w:jc w:val="left"/>
            </w:pPr>
            <w:r>
              <w:rPr>
                <w:b/>
              </w:rPr>
              <w:t>Secondary Objectives</w:t>
            </w:r>
            <w:r>
              <w:t xml:space="preserve"> </w:t>
            </w:r>
          </w:p>
          <w:p w14:paraId="45D44370" w14:textId="77777777" w:rsidR="00CE5AAF" w:rsidRDefault="00E85A33">
            <w:pPr>
              <w:spacing w:after="0" w:line="275" w:lineRule="auto"/>
              <w:ind w:left="0" w:firstLine="0"/>
              <w:jc w:val="left"/>
            </w:pPr>
            <w:r>
              <w:t xml:space="preserve">Compare the anti-PRP (Hib) IgG concentrations at 13 months of age (1 month after administration of Hib-MenC at 12 months of age) in participants primed with 6 in 1(IH) and 6 in 1(V) . </w:t>
            </w:r>
          </w:p>
          <w:p w14:paraId="7B2BFD6B" w14:textId="77777777" w:rsidR="00CE5AAF" w:rsidRDefault="00E85A33">
            <w:pPr>
              <w:spacing w:after="19" w:line="259" w:lineRule="auto"/>
              <w:ind w:left="0" w:firstLine="0"/>
              <w:jc w:val="left"/>
            </w:pPr>
            <w:r>
              <w:t xml:space="preserve"> </w:t>
            </w:r>
          </w:p>
          <w:p w14:paraId="61A5FAFD" w14:textId="77777777" w:rsidR="00CE5AAF" w:rsidRDefault="00E85A33">
            <w:pPr>
              <w:spacing w:after="19" w:line="259" w:lineRule="auto"/>
              <w:ind w:left="0" w:firstLine="0"/>
              <w:jc w:val="left"/>
            </w:pPr>
            <w:r>
              <w:t xml:space="preserve"> </w:t>
            </w:r>
          </w:p>
          <w:p w14:paraId="379AA556" w14:textId="77777777" w:rsidR="00CE5AAF" w:rsidRDefault="00E85A33">
            <w:pPr>
              <w:spacing w:after="0" w:line="275" w:lineRule="auto"/>
              <w:ind w:left="0" w:right="175" w:firstLine="0"/>
              <w:jc w:val="left"/>
            </w:pPr>
            <w:r>
              <w:t xml:space="preserve">The immunogenicity of the other antigens in the routine immunisation schedule incorporating either 6 in 1(IH) or  6 in 1(V) . </w:t>
            </w:r>
          </w:p>
          <w:p w14:paraId="42C59D86" w14:textId="77777777" w:rsidR="00CE5AAF" w:rsidRDefault="00E85A33">
            <w:pPr>
              <w:spacing w:after="19" w:line="259" w:lineRule="auto"/>
              <w:ind w:left="0" w:firstLine="0"/>
              <w:jc w:val="left"/>
            </w:pPr>
            <w:r>
              <w:t xml:space="preserve"> </w:t>
            </w:r>
          </w:p>
          <w:p w14:paraId="3238E9E2" w14:textId="77777777" w:rsidR="00CE5AAF" w:rsidRDefault="00E85A33">
            <w:pPr>
              <w:spacing w:after="19" w:line="259" w:lineRule="auto"/>
              <w:ind w:left="0" w:firstLine="0"/>
              <w:jc w:val="left"/>
            </w:pPr>
            <w:r>
              <w:t xml:space="preserve"> </w:t>
            </w:r>
          </w:p>
          <w:p w14:paraId="4C715286" w14:textId="77777777" w:rsidR="00CE5AAF" w:rsidRDefault="00E85A33">
            <w:pPr>
              <w:spacing w:after="16" w:line="259" w:lineRule="auto"/>
              <w:ind w:left="0" w:firstLine="0"/>
              <w:jc w:val="left"/>
            </w:pPr>
            <w:r>
              <w:t xml:space="preserve"> </w:t>
            </w:r>
          </w:p>
          <w:p w14:paraId="3277CD33" w14:textId="77777777" w:rsidR="00CE5AAF" w:rsidRDefault="00E85A33">
            <w:pPr>
              <w:spacing w:after="19" w:line="259" w:lineRule="auto"/>
              <w:ind w:left="0" w:firstLine="0"/>
              <w:jc w:val="left"/>
            </w:pPr>
            <w:r>
              <w:t xml:space="preserve"> </w:t>
            </w:r>
          </w:p>
          <w:p w14:paraId="3907F44C" w14:textId="77777777" w:rsidR="00CE5AAF" w:rsidRDefault="00E85A33">
            <w:pPr>
              <w:spacing w:after="19" w:line="259" w:lineRule="auto"/>
              <w:ind w:left="0" w:firstLine="0"/>
              <w:jc w:val="left"/>
            </w:pPr>
            <w:r>
              <w:t xml:space="preserve"> </w:t>
            </w:r>
          </w:p>
          <w:p w14:paraId="0133C820" w14:textId="77777777" w:rsidR="00CE5AAF" w:rsidRDefault="00E85A33">
            <w:pPr>
              <w:spacing w:after="16" w:line="259" w:lineRule="auto"/>
              <w:ind w:left="0" w:firstLine="0"/>
              <w:jc w:val="left"/>
            </w:pPr>
            <w:r>
              <w:t xml:space="preserve"> </w:t>
            </w:r>
          </w:p>
          <w:p w14:paraId="3A913629" w14:textId="77777777" w:rsidR="00CE5AAF" w:rsidRDefault="00E85A33">
            <w:pPr>
              <w:spacing w:after="19" w:line="259" w:lineRule="auto"/>
              <w:ind w:left="0" w:firstLine="0"/>
              <w:jc w:val="left"/>
            </w:pPr>
            <w:r>
              <w:t xml:space="preserve"> </w:t>
            </w:r>
          </w:p>
          <w:p w14:paraId="6FD7A81F" w14:textId="77777777" w:rsidR="00CE5AAF" w:rsidRDefault="00E85A33">
            <w:pPr>
              <w:spacing w:after="19" w:line="259" w:lineRule="auto"/>
              <w:ind w:left="0" w:firstLine="0"/>
              <w:jc w:val="left"/>
            </w:pPr>
            <w:r>
              <w:t xml:space="preserve"> </w:t>
            </w:r>
          </w:p>
          <w:p w14:paraId="3F59A1C7" w14:textId="77777777" w:rsidR="00CE5AAF" w:rsidRDefault="00E85A33">
            <w:pPr>
              <w:spacing w:after="16" w:line="259" w:lineRule="auto"/>
              <w:ind w:left="0" w:firstLine="0"/>
              <w:jc w:val="left"/>
            </w:pPr>
            <w:r>
              <w:t xml:space="preserve"> </w:t>
            </w:r>
          </w:p>
          <w:p w14:paraId="6CA01426" w14:textId="77777777" w:rsidR="00CE5AAF" w:rsidRDefault="00E85A33">
            <w:pPr>
              <w:spacing w:after="19" w:line="259" w:lineRule="auto"/>
              <w:ind w:left="0" w:firstLine="0"/>
              <w:jc w:val="left"/>
            </w:pPr>
            <w:r>
              <w:t xml:space="preserve"> </w:t>
            </w:r>
          </w:p>
          <w:p w14:paraId="5431F33C" w14:textId="77777777" w:rsidR="00CE5AAF" w:rsidRDefault="00E85A33">
            <w:pPr>
              <w:spacing w:after="19" w:line="259" w:lineRule="auto"/>
              <w:ind w:left="0" w:firstLine="0"/>
              <w:jc w:val="left"/>
            </w:pPr>
            <w:r>
              <w:t xml:space="preserve"> </w:t>
            </w:r>
          </w:p>
          <w:p w14:paraId="1B4D2156" w14:textId="77777777" w:rsidR="00CE5AAF" w:rsidRDefault="00E85A33">
            <w:pPr>
              <w:spacing w:after="16" w:line="259" w:lineRule="auto"/>
              <w:ind w:left="0" w:firstLine="0"/>
              <w:jc w:val="left"/>
            </w:pPr>
            <w:r>
              <w:t xml:space="preserve"> </w:t>
            </w:r>
          </w:p>
          <w:p w14:paraId="7904A03A" w14:textId="77777777" w:rsidR="00CE5AAF" w:rsidRDefault="00E85A33">
            <w:pPr>
              <w:spacing w:after="19" w:line="259" w:lineRule="auto"/>
              <w:ind w:left="0" w:firstLine="0"/>
              <w:jc w:val="left"/>
            </w:pPr>
            <w:r>
              <w:t xml:space="preserve"> </w:t>
            </w:r>
          </w:p>
          <w:p w14:paraId="4183D5EB" w14:textId="77777777" w:rsidR="00CE5AAF" w:rsidRDefault="00E85A33">
            <w:pPr>
              <w:spacing w:after="19" w:line="259" w:lineRule="auto"/>
              <w:ind w:left="0" w:firstLine="0"/>
              <w:jc w:val="left"/>
            </w:pPr>
            <w:r>
              <w:t xml:space="preserve"> </w:t>
            </w:r>
          </w:p>
          <w:p w14:paraId="79B27428" w14:textId="77777777" w:rsidR="00CE5AAF" w:rsidRDefault="00E85A33">
            <w:pPr>
              <w:spacing w:after="0" w:line="259" w:lineRule="auto"/>
              <w:ind w:left="0" w:firstLine="0"/>
              <w:jc w:val="left"/>
            </w:pPr>
            <w:r>
              <w:t xml:space="preserve">The reactogenicity of 6 in 1(IH) and 6 in 1(V) when administered in the routine UK immunisation schedule </w:t>
            </w:r>
          </w:p>
        </w:tc>
        <w:tc>
          <w:tcPr>
            <w:tcW w:w="3478" w:type="dxa"/>
            <w:tcBorders>
              <w:top w:val="single" w:sz="4" w:space="0" w:color="000000"/>
              <w:left w:val="single" w:sz="4" w:space="0" w:color="000000"/>
              <w:bottom w:val="single" w:sz="4" w:space="0" w:color="000000"/>
              <w:right w:val="single" w:sz="4" w:space="0" w:color="000000"/>
            </w:tcBorders>
          </w:tcPr>
          <w:p w14:paraId="4E1F0FED" w14:textId="77777777" w:rsidR="00CE5AAF" w:rsidRDefault="00E85A33">
            <w:pPr>
              <w:spacing w:after="16" w:line="259" w:lineRule="auto"/>
              <w:ind w:left="0" w:firstLine="0"/>
              <w:jc w:val="left"/>
            </w:pPr>
            <w:r>
              <w:t xml:space="preserve"> </w:t>
            </w:r>
          </w:p>
          <w:p w14:paraId="18B2D86F" w14:textId="77777777" w:rsidR="00CE5AAF" w:rsidRDefault="00E85A33">
            <w:pPr>
              <w:spacing w:after="0" w:line="276" w:lineRule="auto"/>
              <w:ind w:left="0" w:firstLine="0"/>
              <w:jc w:val="left"/>
            </w:pPr>
            <w:r>
              <w:t xml:space="preserve">Assess the anti-PRP (Hib) IgG concentrations at 13 months of age as measured by ELISA. </w:t>
            </w:r>
          </w:p>
          <w:p w14:paraId="2025CBEE" w14:textId="77777777" w:rsidR="00CE5AAF" w:rsidRDefault="00E85A33">
            <w:pPr>
              <w:spacing w:after="19" w:line="259" w:lineRule="auto"/>
              <w:ind w:left="0" w:firstLine="0"/>
              <w:jc w:val="left"/>
            </w:pPr>
            <w:r>
              <w:t xml:space="preserve"> </w:t>
            </w:r>
          </w:p>
          <w:p w14:paraId="650D2660" w14:textId="77777777" w:rsidR="00CE5AAF" w:rsidRDefault="00E85A33">
            <w:pPr>
              <w:spacing w:after="19" w:line="259" w:lineRule="auto"/>
              <w:ind w:left="0" w:firstLine="0"/>
              <w:jc w:val="left"/>
            </w:pPr>
            <w:r>
              <w:t xml:space="preserve"> </w:t>
            </w:r>
          </w:p>
          <w:p w14:paraId="44862490" w14:textId="77777777" w:rsidR="00CE5AAF" w:rsidRDefault="00E85A33">
            <w:pPr>
              <w:spacing w:after="16" w:line="259" w:lineRule="auto"/>
              <w:ind w:left="0" w:firstLine="0"/>
              <w:jc w:val="left"/>
            </w:pPr>
            <w:r>
              <w:t xml:space="preserve"> </w:t>
            </w:r>
          </w:p>
          <w:p w14:paraId="69359388" w14:textId="77777777" w:rsidR="00CE5AAF" w:rsidRDefault="00E85A33">
            <w:pPr>
              <w:spacing w:after="19" w:line="259" w:lineRule="auto"/>
              <w:ind w:left="0" w:firstLine="0"/>
              <w:jc w:val="left"/>
            </w:pPr>
            <w:r>
              <w:t xml:space="preserve"> </w:t>
            </w:r>
          </w:p>
          <w:p w14:paraId="4769C5D6" w14:textId="77777777" w:rsidR="00CE5AAF" w:rsidRDefault="00E85A33">
            <w:pPr>
              <w:spacing w:after="19" w:line="259" w:lineRule="auto"/>
              <w:ind w:left="0" w:firstLine="0"/>
              <w:jc w:val="left"/>
            </w:pPr>
            <w:r>
              <w:t xml:space="preserve"> </w:t>
            </w:r>
          </w:p>
          <w:p w14:paraId="3FD77F21" w14:textId="77777777" w:rsidR="00CE5AAF" w:rsidRDefault="00E85A33">
            <w:pPr>
              <w:spacing w:after="0" w:line="276" w:lineRule="auto"/>
              <w:ind w:left="0" w:firstLine="0"/>
              <w:jc w:val="left"/>
            </w:pPr>
            <w:r>
              <w:t xml:space="preserve">Assess the IgG concentrations at 5 and 13 months of: </w:t>
            </w:r>
          </w:p>
          <w:p w14:paraId="2351E00B" w14:textId="77777777" w:rsidR="002D00AB" w:rsidRDefault="00E85A33">
            <w:pPr>
              <w:spacing w:after="0" w:line="276" w:lineRule="auto"/>
              <w:ind w:left="0" w:firstLine="0"/>
              <w:jc w:val="left"/>
            </w:pPr>
            <w:r>
              <w:t>a.Diphtheria-toxoid</w:t>
            </w:r>
          </w:p>
          <w:p w14:paraId="551FC47F" w14:textId="77777777" w:rsidR="002D00AB" w:rsidRDefault="00E85A33">
            <w:pPr>
              <w:spacing w:after="0" w:line="276" w:lineRule="auto"/>
              <w:ind w:left="0" w:firstLine="0"/>
              <w:jc w:val="left"/>
            </w:pPr>
            <w:r>
              <w:t>b.Tetanus toxoid</w:t>
            </w:r>
          </w:p>
          <w:p w14:paraId="4934ED67" w14:textId="71A1CA11" w:rsidR="00CE5AAF" w:rsidRDefault="002D00AB">
            <w:pPr>
              <w:spacing w:after="0" w:line="276" w:lineRule="auto"/>
              <w:ind w:left="0" w:firstLine="0"/>
              <w:jc w:val="left"/>
            </w:pPr>
            <w:r>
              <w:t>c</w:t>
            </w:r>
            <w:r w:rsidR="00E85A33">
              <w:t xml:space="preserve">.Hepatitis B virus </w:t>
            </w:r>
          </w:p>
          <w:p w14:paraId="0E846F26" w14:textId="66D1F4AC" w:rsidR="00CE5AAF" w:rsidRDefault="002D00AB">
            <w:pPr>
              <w:spacing w:after="2" w:line="274" w:lineRule="auto"/>
              <w:ind w:left="0" w:firstLine="0"/>
              <w:jc w:val="left"/>
            </w:pPr>
            <w:r>
              <w:t>d</w:t>
            </w:r>
            <w:r w:rsidR="00E85A33">
              <w:t xml:space="preserve">.Vaccine-serotype pneumococcal capsule antigens </w:t>
            </w:r>
          </w:p>
          <w:p w14:paraId="09A8B968" w14:textId="1FA44620" w:rsidR="00CE5AAF" w:rsidRDefault="002D00AB">
            <w:pPr>
              <w:spacing w:after="19" w:line="259" w:lineRule="auto"/>
              <w:ind w:left="0" w:firstLine="0"/>
              <w:jc w:val="left"/>
            </w:pPr>
            <w:r>
              <w:t>e</w:t>
            </w:r>
            <w:r w:rsidR="00E85A33">
              <w:t xml:space="preserve">.Pertussis antigens </w:t>
            </w:r>
          </w:p>
          <w:p w14:paraId="28DD91E4" w14:textId="7C22F2B8" w:rsidR="00CE5AAF" w:rsidRDefault="002D00AB">
            <w:pPr>
              <w:spacing w:after="16" w:line="259" w:lineRule="auto"/>
              <w:ind w:left="0" w:firstLine="0"/>
              <w:jc w:val="left"/>
            </w:pPr>
            <w:r>
              <w:t>f</w:t>
            </w:r>
            <w:r w:rsidR="00E85A33">
              <w:t xml:space="preserve">.Poliovirus neutralising antibodies </w:t>
            </w:r>
          </w:p>
          <w:p w14:paraId="573299C4" w14:textId="77777777" w:rsidR="00CE5AAF" w:rsidRDefault="00E85A33">
            <w:pPr>
              <w:spacing w:after="19" w:line="259" w:lineRule="auto"/>
              <w:ind w:left="0" w:firstLine="0"/>
              <w:jc w:val="left"/>
            </w:pPr>
            <w:r>
              <w:t xml:space="preserve"> </w:t>
            </w:r>
          </w:p>
          <w:p w14:paraId="4B41C80C" w14:textId="77777777" w:rsidR="00CE5AAF" w:rsidRDefault="00E85A33">
            <w:pPr>
              <w:spacing w:after="31" w:line="276" w:lineRule="auto"/>
              <w:ind w:left="0" w:firstLine="0"/>
              <w:jc w:val="left"/>
            </w:pPr>
            <w:r>
              <w:t xml:space="preserve">Assess serum bactericidal titres at 5 and 13 months of age of: </w:t>
            </w:r>
          </w:p>
          <w:p w14:paraId="35A45804" w14:textId="77777777" w:rsidR="00CE5AAF" w:rsidRDefault="00E85A33">
            <w:pPr>
              <w:numPr>
                <w:ilvl w:val="0"/>
                <w:numId w:val="17"/>
              </w:numPr>
              <w:spacing w:after="33" w:line="276" w:lineRule="auto"/>
              <w:ind w:right="26" w:hanging="360"/>
              <w:jc w:val="left"/>
            </w:pPr>
            <w:r>
              <w:t xml:space="preserve">3 reference serogroup B meningococcal strains </w:t>
            </w:r>
          </w:p>
          <w:p w14:paraId="7CD15B41" w14:textId="77777777" w:rsidR="00CE5AAF" w:rsidRDefault="00E85A33">
            <w:pPr>
              <w:numPr>
                <w:ilvl w:val="0"/>
                <w:numId w:val="17"/>
              </w:numPr>
              <w:spacing w:after="16" w:line="259" w:lineRule="auto"/>
              <w:ind w:right="26" w:hanging="360"/>
              <w:jc w:val="left"/>
            </w:pPr>
            <w:r>
              <w:t xml:space="preserve">Serogroup C meningococcus </w:t>
            </w:r>
          </w:p>
          <w:p w14:paraId="06A6C999" w14:textId="77777777" w:rsidR="00CE5AAF" w:rsidRDefault="00E85A33">
            <w:pPr>
              <w:spacing w:after="19" w:line="259" w:lineRule="auto"/>
              <w:ind w:left="0" w:firstLine="0"/>
              <w:jc w:val="left"/>
            </w:pPr>
            <w:r>
              <w:t xml:space="preserve"> </w:t>
            </w:r>
          </w:p>
          <w:p w14:paraId="4790A529" w14:textId="77777777" w:rsidR="00CE5AAF" w:rsidRDefault="00E85A33">
            <w:pPr>
              <w:spacing w:after="19" w:line="259" w:lineRule="auto"/>
              <w:ind w:left="0" w:firstLine="0"/>
              <w:jc w:val="left"/>
            </w:pPr>
            <w:r>
              <w:t xml:space="preserve"> </w:t>
            </w:r>
          </w:p>
          <w:p w14:paraId="308B3275" w14:textId="77777777" w:rsidR="002D00AB" w:rsidRDefault="002D00AB">
            <w:pPr>
              <w:spacing w:after="0" w:line="259" w:lineRule="auto"/>
              <w:ind w:left="0" w:firstLine="0"/>
              <w:jc w:val="left"/>
            </w:pPr>
          </w:p>
          <w:p w14:paraId="0EA17929" w14:textId="77777777" w:rsidR="002D00AB" w:rsidRDefault="002D00AB">
            <w:pPr>
              <w:spacing w:after="0" w:line="259" w:lineRule="auto"/>
              <w:ind w:left="0" w:firstLine="0"/>
              <w:jc w:val="left"/>
            </w:pPr>
          </w:p>
          <w:p w14:paraId="131CE0AD" w14:textId="01575696" w:rsidR="00CE5AAF" w:rsidRDefault="00E85A33">
            <w:pPr>
              <w:spacing w:after="0" w:line="259" w:lineRule="auto"/>
              <w:ind w:left="0" w:firstLine="0"/>
              <w:jc w:val="left"/>
            </w:pPr>
            <w:r>
              <w:t xml:space="preserve">Solicited local and systemic adverse events within 5 days of immunisations </w:t>
            </w:r>
          </w:p>
        </w:tc>
        <w:tc>
          <w:tcPr>
            <w:tcW w:w="2463" w:type="dxa"/>
            <w:tcBorders>
              <w:top w:val="single" w:sz="4" w:space="0" w:color="000000"/>
              <w:left w:val="single" w:sz="4" w:space="0" w:color="000000"/>
              <w:bottom w:val="single" w:sz="4" w:space="0" w:color="000000"/>
              <w:right w:val="single" w:sz="4" w:space="0" w:color="000000"/>
            </w:tcBorders>
          </w:tcPr>
          <w:p w14:paraId="55E40AF6" w14:textId="77777777" w:rsidR="00CE5AAF" w:rsidRDefault="00E85A33">
            <w:pPr>
              <w:spacing w:after="16" w:line="259" w:lineRule="auto"/>
              <w:ind w:left="0" w:firstLine="0"/>
              <w:jc w:val="left"/>
            </w:pPr>
            <w:r>
              <w:t xml:space="preserve"> </w:t>
            </w:r>
          </w:p>
          <w:p w14:paraId="28856F76" w14:textId="77777777" w:rsidR="00CE5AAF" w:rsidRDefault="00E85A33">
            <w:pPr>
              <w:spacing w:after="1" w:line="275" w:lineRule="auto"/>
              <w:ind w:left="0" w:firstLine="0"/>
              <w:jc w:val="left"/>
            </w:pPr>
            <w:r>
              <w:t xml:space="preserve">At 13 months of age (at least 4 weeks after the Hib-MenC vaccination at 12 months of age). </w:t>
            </w:r>
          </w:p>
          <w:p w14:paraId="2211D185" w14:textId="77777777" w:rsidR="00CE5AAF" w:rsidRDefault="00E85A33">
            <w:pPr>
              <w:spacing w:after="19" w:line="259" w:lineRule="auto"/>
              <w:ind w:left="0" w:firstLine="0"/>
              <w:jc w:val="left"/>
            </w:pPr>
            <w:r>
              <w:t xml:space="preserve"> </w:t>
            </w:r>
          </w:p>
          <w:p w14:paraId="209F9204" w14:textId="77777777" w:rsidR="00CE5AAF" w:rsidRDefault="00E85A33">
            <w:pPr>
              <w:spacing w:after="16" w:line="259" w:lineRule="auto"/>
              <w:ind w:left="0" w:firstLine="0"/>
              <w:jc w:val="left"/>
            </w:pPr>
            <w:r>
              <w:t xml:space="preserve"> </w:t>
            </w:r>
          </w:p>
          <w:p w14:paraId="24B16DDC" w14:textId="77777777" w:rsidR="00CE5AAF" w:rsidRDefault="00E85A33">
            <w:pPr>
              <w:spacing w:after="19" w:line="259" w:lineRule="auto"/>
              <w:ind w:left="0" w:firstLine="0"/>
              <w:jc w:val="left"/>
            </w:pPr>
            <w:r>
              <w:t xml:space="preserve"> </w:t>
            </w:r>
          </w:p>
          <w:p w14:paraId="45D0528F" w14:textId="77777777" w:rsidR="00CE5AAF" w:rsidRDefault="00E85A33">
            <w:pPr>
              <w:spacing w:after="19" w:line="259" w:lineRule="auto"/>
              <w:ind w:left="0" w:firstLine="0"/>
              <w:jc w:val="left"/>
            </w:pPr>
            <w:r>
              <w:t xml:space="preserve"> </w:t>
            </w:r>
          </w:p>
          <w:p w14:paraId="63FC1648" w14:textId="77777777" w:rsidR="00CE5AAF" w:rsidRDefault="00E85A33">
            <w:pPr>
              <w:spacing w:after="1" w:line="275" w:lineRule="auto"/>
              <w:ind w:left="0" w:right="88" w:firstLine="0"/>
            </w:pPr>
            <w:r>
              <w:t xml:space="preserve">At 5 and 13 months of age (approximately  4 weeks after completion of the primary routine immunisations and approximately 4 weeks after the booster doses in the routine immunisation schedule). </w:t>
            </w:r>
          </w:p>
          <w:p w14:paraId="58EFBC4B" w14:textId="77777777" w:rsidR="00CE5AAF" w:rsidRDefault="00E85A33">
            <w:pPr>
              <w:spacing w:after="19" w:line="259" w:lineRule="auto"/>
              <w:ind w:left="0" w:firstLine="0"/>
              <w:jc w:val="left"/>
            </w:pPr>
            <w:r>
              <w:t xml:space="preserve"> </w:t>
            </w:r>
          </w:p>
          <w:p w14:paraId="001777EB" w14:textId="77777777" w:rsidR="00CE5AAF" w:rsidRDefault="00E85A33">
            <w:pPr>
              <w:spacing w:after="16" w:line="259" w:lineRule="auto"/>
              <w:ind w:left="0" w:firstLine="0"/>
              <w:jc w:val="left"/>
            </w:pPr>
            <w:r>
              <w:t xml:space="preserve"> </w:t>
            </w:r>
          </w:p>
          <w:p w14:paraId="1F6030B7" w14:textId="77777777" w:rsidR="00CE5AAF" w:rsidRDefault="00E85A33">
            <w:pPr>
              <w:spacing w:after="19" w:line="259" w:lineRule="auto"/>
              <w:ind w:left="0" w:firstLine="0"/>
              <w:jc w:val="left"/>
            </w:pPr>
            <w:r>
              <w:t xml:space="preserve"> </w:t>
            </w:r>
          </w:p>
          <w:p w14:paraId="483994C1" w14:textId="77777777" w:rsidR="00CE5AAF" w:rsidRDefault="00E85A33">
            <w:pPr>
              <w:spacing w:after="19" w:line="259" w:lineRule="auto"/>
              <w:ind w:left="0" w:firstLine="0"/>
              <w:jc w:val="left"/>
            </w:pPr>
            <w:r>
              <w:t xml:space="preserve"> </w:t>
            </w:r>
          </w:p>
          <w:p w14:paraId="640C8109" w14:textId="77777777" w:rsidR="00CE5AAF" w:rsidRDefault="00E85A33">
            <w:pPr>
              <w:spacing w:after="16" w:line="259" w:lineRule="auto"/>
              <w:ind w:left="0" w:firstLine="0"/>
              <w:jc w:val="left"/>
            </w:pPr>
            <w:r>
              <w:t xml:space="preserve"> </w:t>
            </w:r>
          </w:p>
          <w:p w14:paraId="4EBF16B4" w14:textId="77777777" w:rsidR="00CE5AAF" w:rsidRDefault="00E85A33">
            <w:pPr>
              <w:spacing w:after="19" w:line="259" w:lineRule="auto"/>
              <w:ind w:left="0" w:firstLine="0"/>
              <w:jc w:val="left"/>
            </w:pPr>
            <w:r>
              <w:t xml:space="preserve"> </w:t>
            </w:r>
          </w:p>
          <w:p w14:paraId="13D6C877" w14:textId="77777777" w:rsidR="00CE5AAF" w:rsidRDefault="00E85A33">
            <w:pPr>
              <w:spacing w:after="19" w:line="259" w:lineRule="auto"/>
              <w:ind w:left="0" w:firstLine="0"/>
              <w:jc w:val="left"/>
            </w:pPr>
            <w:r>
              <w:t xml:space="preserve"> </w:t>
            </w:r>
          </w:p>
          <w:p w14:paraId="31D5453D" w14:textId="77777777" w:rsidR="00CE5AAF" w:rsidRDefault="00E85A33">
            <w:pPr>
              <w:spacing w:after="16" w:line="259" w:lineRule="auto"/>
              <w:ind w:left="0" w:firstLine="0"/>
              <w:jc w:val="left"/>
            </w:pPr>
            <w:r>
              <w:t xml:space="preserve"> </w:t>
            </w:r>
          </w:p>
          <w:p w14:paraId="5DCDFDFD" w14:textId="77777777" w:rsidR="00CE5AAF" w:rsidRDefault="00E85A33">
            <w:pPr>
              <w:spacing w:after="19" w:line="259" w:lineRule="auto"/>
              <w:ind w:left="0" w:firstLine="0"/>
              <w:jc w:val="left"/>
            </w:pPr>
            <w:r>
              <w:t xml:space="preserve"> </w:t>
            </w:r>
          </w:p>
          <w:p w14:paraId="4295C207" w14:textId="77777777" w:rsidR="00CE5AAF" w:rsidRDefault="00E85A33">
            <w:pPr>
              <w:spacing w:after="19" w:line="259" w:lineRule="auto"/>
              <w:ind w:left="0" w:firstLine="0"/>
              <w:jc w:val="left"/>
            </w:pPr>
            <w:r>
              <w:t xml:space="preserve"> </w:t>
            </w:r>
          </w:p>
          <w:p w14:paraId="06416EB2" w14:textId="77777777" w:rsidR="00CE5AAF" w:rsidRDefault="00E85A33">
            <w:pPr>
              <w:spacing w:after="0" w:line="259" w:lineRule="auto"/>
              <w:ind w:left="0" w:firstLine="0"/>
              <w:jc w:val="left"/>
            </w:pPr>
            <w:r>
              <w:t xml:space="preserve">In the 5 days post immunisation in participant diaries  </w:t>
            </w:r>
          </w:p>
        </w:tc>
      </w:tr>
    </w:tbl>
    <w:p w14:paraId="1CF894F0" w14:textId="77777777" w:rsidR="00CE5AAF" w:rsidRDefault="00E85A33">
      <w:pPr>
        <w:pStyle w:val="Heading2"/>
        <w:ind w:left="24" w:right="3507"/>
      </w:pPr>
      <w:r>
        <w:t>6.</w:t>
      </w:r>
      <w:r>
        <w:rPr>
          <w:rFonts w:ascii="Arial" w:eastAsia="Arial" w:hAnsi="Arial" w:cs="Arial"/>
        </w:rPr>
        <w:t xml:space="preserve"> </w:t>
      </w:r>
      <w:r>
        <w:t xml:space="preserve">TRIAL DESIGN </w:t>
      </w:r>
    </w:p>
    <w:p w14:paraId="0776843F" w14:textId="77777777" w:rsidR="00CE5AAF" w:rsidRDefault="00E85A33">
      <w:pPr>
        <w:pStyle w:val="Heading3"/>
        <w:spacing w:after="210"/>
        <w:ind w:left="24" w:right="3507"/>
      </w:pPr>
      <w:r>
        <w:t xml:space="preserve">6.1 Study design </w:t>
      </w:r>
    </w:p>
    <w:p w14:paraId="68BC1C2F" w14:textId="4318C21D" w:rsidR="00CE5AAF" w:rsidRDefault="00E85A33">
      <w:pPr>
        <w:ind w:left="24"/>
      </w:pPr>
      <w:r>
        <w:t>This study will be an open label, non-inferiority 1:1 randomised clinical trial</w:t>
      </w:r>
      <w:r w:rsidR="002D00AB">
        <w:t xml:space="preserve"> </w:t>
      </w:r>
      <w:r>
        <w:t xml:space="preserve">conducted by the UKPVG sites led by the Oxford Vaccine Group (OVG). We will enrol healthy infants who reside in the UK aged between 8 and 13+0 weeks. There will be 6 visits in total throughout this study including two blood tests. These visits will take place in participant’s homes or a suitable, convenient location. Participants will expect to be involved in the study for approximately 11 months (from enrolment at 8 weeks minimum to the last blood test at 13 months of age).  </w:t>
      </w:r>
    </w:p>
    <w:p w14:paraId="139212DD" w14:textId="77777777" w:rsidR="00CE5AAF" w:rsidRDefault="00E85A33">
      <w:pPr>
        <w:spacing w:after="158"/>
        <w:ind w:left="24"/>
      </w:pPr>
      <w:r>
        <w:t xml:space="preserve">Participants will only be enrolled after written informed consent is obtained from a parent or legal guardian. Study visits will be made up of four visits for vaccination and two visits for blood sampling as shown in Table 1. </w:t>
      </w:r>
    </w:p>
    <w:p w14:paraId="65EA6F51" w14:textId="77777777" w:rsidR="00CE5AAF" w:rsidRDefault="00E85A33">
      <w:pPr>
        <w:spacing w:after="0" w:line="259" w:lineRule="auto"/>
        <w:ind w:left="0" w:firstLine="0"/>
        <w:jc w:val="left"/>
      </w:pPr>
      <w:r>
        <w:rPr>
          <w:rFonts w:ascii="Arial" w:eastAsia="Arial" w:hAnsi="Arial" w:cs="Arial"/>
          <w:b/>
          <w:sz w:val="18"/>
        </w:rPr>
        <w:t xml:space="preserve">Table 1: Study design </w:t>
      </w:r>
    </w:p>
    <w:tbl>
      <w:tblPr>
        <w:tblStyle w:val="TableGrid"/>
        <w:tblW w:w="9629" w:type="dxa"/>
        <w:tblInd w:w="5" w:type="dxa"/>
        <w:tblCellMar>
          <w:top w:w="46" w:type="dxa"/>
          <w:left w:w="106" w:type="dxa"/>
          <w:right w:w="61" w:type="dxa"/>
        </w:tblCellMar>
        <w:tblLook w:val="04A0" w:firstRow="1" w:lastRow="0" w:firstColumn="1" w:lastColumn="0" w:noHBand="0" w:noVBand="1"/>
      </w:tblPr>
      <w:tblGrid>
        <w:gridCol w:w="1419"/>
        <w:gridCol w:w="1253"/>
        <w:gridCol w:w="1272"/>
        <w:gridCol w:w="1544"/>
        <w:gridCol w:w="1261"/>
        <w:gridCol w:w="1213"/>
        <w:gridCol w:w="1667"/>
      </w:tblGrid>
      <w:tr w:rsidR="004600CD" w14:paraId="2F28D11C" w14:textId="77777777" w:rsidTr="00C54D53">
        <w:trPr>
          <w:trHeight w:val="279"/>
        </w:trPr>
        <w:tc>
          <w:tcPr>
            <w:tcW w:w="1419" w:type="dxa"/>
            <w:tcBorders>
              <w:top w:val="single" w:sz="4" w:space="0" w:color="000000"/>
              <w:left w:val="single" w:sz="4" w:space="0" w:color="000000"/>
              <w:bottom w:val="single" w:sz="4" w:space="0" w:color="000000"/>
              <w:right w:val="single" w:sz="4" w:space="0" w:color="000000"/>
            </w:tcBorders>
          </w:tcPr>
          <w:p w14:paraId="6DBD57C1" w14:textId="77777777" w:rsidR="00CE5AAF" w:rsidRDefault="00E85A33">
            <w:pPr>
              <w:spacing w:after="0" w:line="259" w:lineRule="auto"/>
              <w:ind w:left="0" w:right="46" w:firstLine="0"/>
              <w:jc w:val="center"/>
            </w:pPr>
            <w:r>
              <w:rPr>
                <w:b/>
              </w:rPr>
              <w:t xml:space="preserve">Group  </w:t>
            </w:r>
          </w:p>
        </w:tc>
        <w:tc>
          <w:tcPr>
            <w:tcW w:w="1253" w:type="dxa"/>
            <w:tcBorders>
              <w:top w:val="single" w:sz="4" w:space="0" w:color="000000"/>
              <w:left w:val="single" w:sz="4" w:space="0" w:color="000000"/>
              <w:bottom w:val="single" w:sz="4" w:space="0" w:color="000000"/>
              <w:right w:val="single" w:sz="4" w:space="0" w:color="000000"/>
            </w:tcBorders>
          </w:tcPr>
          <w:p w14:paraId="13DC8572" w14:textId="77777777" w:rsidR="00CE5AAF" w:rsidRDefault="00E85A33">
            <w:pPr>
              <w:spacing w:after="0" w:line="259" w:lineRule="auto"/>
              <w:ind w:left="0" w:right="47" w:firstLine="0"/>
              <w:jc w:val="center"/>
            </w:pPr>
            <w:r>
              <w:rPr>
                <w:b/>
              </w:rPr>
              <w:t xml:space="preserve">Visit 1 </w:t>
            </w:r>
          </w:p>
        </w:tc>
        <w:tc>
          <w:tcPr>
            <w:tcW w:w="1272" w:type="dxa"/>
            <w:tcBorders>
              <w:top w:val="single" w:sz="4" w:space="0" w:color="000000"/>
              <w:left w:val="single" w:sz="4" w:space="0" w:color="000000"/>
              <w:bottom w:val="single" w:sz="4" w:space="0" w:color="000000"/>
              <w:right w:val="single" w:sz="4" w:space="0" w:color="000000"/>
            </w:tcBorders>
          </w:tcPr>
          <w:p w14:paraId="0DF8237C" w14:textId="77777777" w:rsidR="00CE5AAF" w:rsidRDefault="00E85A33">
            <w:pPr>
              <w:spacing w:after="0" w:line="259" w:lineRule="auto"/>
              <w:ind w:left="0" w:right="46" w:firstLine="0"/>
              <w:jc w:val="center"/>
            </w:pPr>
            <w:r>
              <w:rPr>
                <w:b/>
              </w:rPr>
              <w:t xml:space="preserve">Visit 2 </w:t>
            </w:r>
          </w:p>
        </w:tc>
        <w:tc>
          <w:tcPr>
            <w:tcW w:w="1544" w:type="dxa"/>
            <w:tcBorders>
              <w:top w:val="single" w:sz="4" w:space="0" w:color="000000"/>
              <w:left w:val="single" w:sz="4" w:space="0" w:color="000000"/>
              <w:bottom w:val="single" w:sz="4" w:space="0" w:color="000000"/>
              <w:right w:val="single" w:sz="4" w:space="0" w:color="000000"/>
            </w:tcBorders>
          </w:tcPr>
          <w:p w14:paraId="037600F3" w14:textId="77777777" w:rsidR="00CE5AAF" w:rsidRDefault="00E85A33">
            <w:pPr>
              <w:spacing w:after="0" w:line="259" w:lineRule="auto"/>
              <w:ind w:left="0" w:right="44" w:firstLine="0"/>
              <w:jc w:val="center"/>
            </w:pPr>
            <w:r>
              <w:rPr>
                <w:b/>
              </w:rPr>
              <w:t xml:space="preserve">Visit 3 </w:t>
            </w:r>
          </w:p>
        </w:tc>
        <w:tc>
          <w:tcPr>
            <w:tcW w:w="1261" w:type="dxa"/>
            <w:tcBorders>
              <w:top w:val="single" w:sz="4" w:space="0" w:color="000000"/>
              <w:left w:val="single" w:sz="4" w:space="0" w:color="000000"/>
              <w:bottom w:val="single" w:sz="4" w:space="0" w:color="000000"/>
              <w:right w:val="single" w:sz="4" w:space="0" w:color="000000"/>
            </w:tcBorders>
          </w:tcPr>
          <w:p w14:paraId="610F26E5" w14:textId="77777777" w:rsidR="00CE5AAF" w:rsidRDefault="00E85A33">
            <w:pPr>
              <w:spacing w:after="0" w:line="259" w:lineRule="auto"/>
              <w:ind w:left="0" w:right="46" w:firstLine="0"/>
              <w:jc w:val="center"/>
            </w:pPr>
            <w:r>
              <w:rPr>
                <w:b/>
              </w:rPr>
              <w:t xml:space="preserve">Visit 4 </w:t>
            </w:r>
          </w:p>
        </w:tc>
        <w:tc>
          <w:tcPr>
            <w:tcW w:w="1213" w:type="dxa"/>
            <w:tcBorders>
              <w:top w:val="single" w:sz="4" w:space="0" w:color="000000"/>
              <w:left w:val="single" w:sz="4" w:space="0" w:color="000000"/>
              <w:bottom w:val="single" w:sz="4" w:space="0" w:color="000000"/>
              <w:right w:val="single" w:sz="4" w:space="0" w:color="000000"/>
            </w:tcBorders>
          </w:tcPr>
          <w:p w14:paraId="1D53F703" w14:textId="77777777" w:rsidR="00CE5AAF" w:rsidRDefault="00E85A33">
            <w:pPr>
              <w:spacing w:after="0" w:line="259" w:lineRule="auto"/>
              <w:ind w:left="0" w:right="46" w:firstLine="0"/>
              <w:jc w:val="center"/>
            </w:pPr>
            <w:r>
              <w:rPr>
                <w:b/>
              </w:rPr>
              <w:t xml:space="preserve">Visit 5 </w:t>
            </w:r>
          </w:p>
        </w:tc>
        <w:tc>
          <w:tcPr>
            <w:tcW w:w="1667" w:type="dxa"/>
            <w:tcBorders>
              <w:top w:val="single" w:sz="4" w:space="0" w:color="000000"/>
              <w:left w:val="single" w:sz="4" w:space="0" w:color="000000"/>
              <w:bottom w:val="single" w:sz="4" w:space="0" w:color="000000"/>
              <w:right w:val="single" w:sz="4" w:space="0" w:color="000000"/>
            </w:tcBorders>
          </w:tcPr>
          <w:p w14:paraId="3937DD12" w14:textId="77777777" w:rsidR="00CE5AAF" w:rsidRDefault="00E85A33">
            <w:pPr>
              <w:spacing w:after="0" w:line="259" w:lineRule="auto"/>
              <w:ind w:left="0" w:right="49" w:firstLine="0"/>
              <w:jc w:val="center"/>
            </w:pPr>
            <w:r>
              <w:rPr>
                <w:b/>
              </w:rPr>
              <w:t xml:space="preserve">Visit 6 </w:t>
            </w:r>
          </w:p>
        </w:tc>
      </w:tr>
      <w:tr w:rsidR="004600CD" w14:paraId="0BCCA3F5" w14:textId="77777777" w:rsidTr="00C54D53">
        <w:trPr>
          <w:trHeight w:val="547"/>
        </w:trPr>
        <w:tc>
          <w:tcPr>
            <w:tcW w:w="1419" w:type="dxa"/>
            <w:tcBorders>
              <w:top w:val="single" w:sz="4" w:space="0" w:color="000000"/>
              <w:left w:val="single" w:sz="4" w:space="0" w:color="000000"/>
              <w:bottom w:val="single" w:sz="4" w:space="0" w:color="000000"/>
              <w:right w:val="single" w:sz="4" w:space="0" w:color="000000"/>
            </w:tcBorders>
          </w:tcPr>
          <w:p w14:paraId="4BEAE348" w14:textId="77777777" w:rsidR="00CE5AAF" w:rsidRDefault="00E85A33">
            <w:pPr>
              <w:spacing w:after="0" w:line="259" w:lineRule="auto"/>
              <w:ind w:left="0" w:firstLine="0"/>
              <w:jc w:val="center"/>
            </w:pPr>
            <w:r>
              <w:rPr>
                <w:b/>
              </w:rPr>
              <w:t xml:space="preserve">Age of participant  </w:t>
            </w:r>
          </w:p>
        </w:tc>
        <w:tc>
          <w:tcPr>
            <w:tcW w:w="1253" w:type="dxa"/>
            <w:tcBorders>
              <w:top w:val="single" w:sz="4" w:space="0" w:color="000000"/>
              <w:left w:val="single" w:sz="4" w:space="0" w:color="000000"/>
              <w:bottom w:val="single" w:sz="4" w:space="0" w:color="000000"/>
              <w:right w:val="single" w:sz="4" w:space="0" w:color="000000"/>
            </w:tcBorders>
          </w:tcPr>
          <w:p w14:paraId="0D1E1F45" w14:textId="77777777" w:rsidR="00CE5AAF" w:rsidRDefault="00E85A33">
            <w:pPr>
              <w:spacing w:after="0" w:line="259" w:lineRule="auto"/>
              <w:ind w:left="0" w:right="43" w:firstLine="0"/>
              <w:jc w:val="center"/>
            </w:pPr>
            <w:r>
              <w:t xml:space="preserve">2 months  </w:t>
            </w:r>
          </w:p>
        </w:tc>
        <w:tc>
          <w:tcPr>
            <w:tcW w:w="1272" w:type="dxa"/>
            <w:tcBorders>
              <w:top w:val="single" w:sz="4" w:space="0" w:color="000000"/>
              <w:left w:val="single" w:sz="4" w:space="0" w:color="000000"/>
              <w:bottom w:val="single" w:sz="4" w:space="0" w:color="000000"/>
              <w:right w:val="single" w:sz="4" w:space="0" w:color="000000"/>
            </w:tcBorders>
          </w:tcPr>
          <w:p w14:paraId="57A252F0" w14:textId="77777777" w:rsidR="00CE5AAF" w:rsidRDefault="00E85A33">
            <w:pPr>
              <w:spacing w:after="0" w:line="259" w:lineRule="auto"/>
              <w:ind w:left="0" w:right="42" w:firstLine="0"/>
              <w:jc w:val="center"/>
            </w:pPr>
            <w:r>
              <w:t xml:space="preserve">3 months  </w:t>
            </w:r>
          </w:p>
        </w:tc>
        <w:tc>
          <w:tcPr>
            <w:tcW w:w="1544" w:type="dxa"/>
            <w:tcBorders>
              <w:top w:val="single" w:sz="4" w:space="0" w:color="000000"/>
              <w:left w:val="single" w:sz="4" w:space="0" w:color="000000"/>
              <w:bottom w:val="single" w:sz="4" w:space="0" w:color="000000"/>
              <w:right w:val="single" w:sz="4" w:space="0" w:color="000000"/>
            </w:tcBorders>
          </w:tcPr>
          <w:p w14:paraId="095495DC" w14:textId="77777777" w:rsidR="00CE5AAF" w:rsidRDefault="00E85A33">
            <w:pPr>
              <w:spacing w:after="0" w:line="259" w:lineRule="auto"/>
              <w:ind w:left="0" w:right="45" w:firstLine="0"/>
              <w:jc w:val="center"/>
            </w:pPr>
            <w:r>
              <w:t xml:space="preserve">4 months  </w:t>
            </w:r>
          </w:p>
        </w:tc>
        <w:tc>
          <w:tcPr>
            <w:tcW w:w="1261" w:type="dxa"/>
            <w:tcBorders>
              <w:top w:val="single" w:sz="4" w:space="0" w:color="000000"/>
              <w:left w:val="single" w:sz="4" w:space="0" w:color="000000"/>
              <w:bottom w:val="single" w:sz="4" w:space="0" w:color="000000"/>
              <w:right w:val="single" w:sz="4" w:space="0" w:color="000000"/>
            </w:tcBorders>
          </w:tcPr>
          <w:p w14:paraId="0D05D624" w14:textId="77777777" w:rsidR="00CE5AAF" w:rsidRDefault="00E85A33">
            <w:pPr>
              <w:spacing w:after="0" w:line="259" w:lineRule="auto"/>
              <w:ind w:left="0" w:right="42" w:firstLine="0"/>
              <w:jc w:val="center"/>
            </w:pPr>
            <w:r>
              <w:t xml:space="preserve">5 months  </w:t>
            </w:r>
          </w:p>
        </w:tc>
        <w:tc>
          <w:tcPr>
            <w:tcW w:w="1213" w:type="dxa"/>
            <w:tcBorders>
              <w:top w:val="single" w:sz="4" w:space="0" w:color="000000"/>
              <w:left w:val="single" w:sz="4" w:space="0" w:color="000000"/>
              <w:bottom w:val="single" w:sz="4" w:space="0" w:color="000000"/>
              <w:right w:val="single" w:sz="4" w:space="0" w:color="000000"/>
            </w:tcBorders>
          </w:tcPr>
          <w:p w14:paraId="33F4E5EA" w14:textId="77777777" w:rsidR="00CE5AAF" w:rsidRDefault="00E85A33">
            <w:pPr>
              <w:spacing w:after="0" w:line="259" w:lineRule="auto"/>
              <w:ind w:left="0" w:right="48" w:firstLine="0"/>
              <w:jc w:val="center"/>
            </w:pPr>
            <w:r>
              <w:t xml:space="preserve">12 months  </w:t>
            </w:r>
          </w:p>
        </w:tc>
        <w:tc>
          <w:tcPr>
            <w:tcW w:w="1667" w:type="dxa"/>
            <w:tcBorders>
              <w:top w:val="single" w:sz="4" w:space="0" w:color="000000"/>
              <w:left w:val="single" w:sz="4" w:space="0" w:color="000000"/>
              <w:bottom w:val="single" w:sz="4" w:space="0" w:color="000000"/>
              <w:right w:val="single" w:sz="4" w:space="0" w:color="000000"/>
            </w:tcBorders>
          </w:tcPr>
          <w:p w14:paraId="55251CBF" w14:textId="77777777" w:rsidR="00CE5AAF" w:rsidRDefault="00E85A33">
            <w:pPr>
              <w:spacing w:after="0" w:line="259" w:lineRule="auto"/>
              <w:ind w:left="0" w:right="50" w:firstLine="0"/>
              <w:jc w:val="center"/>
            </w:pPr>
            <w:r>
              <w:t xml:space="preserve">13 months  </w:t>
            </w:r>
          </w:p>
        </w:tc>
      </w:tr>
      <w:tr w:rsidR="004600CD" w14:paraId="6F2B42AC" w14:textId="77777777" w:rsidTr="00C54D53">
        <w:trPr>
          <w:trHeight w:val="1354"/>
        </w:trPr>
        <w:tc>
          <w:tcPr>
            <w:tcW w:w="1419" w:type="dxa"/>
            <w:tcBorders>
              <w:top w:val="single" w:sz="4" w:space="0" w:color="000000"/>
              <w:left w:val="single" w:sz="4" w:space="0" w:color="000000"/>
              <w:bottom w:val="single" w:sz="4" w:space="0" w:color="000000"/>
              <w:right w:val="single" w:sz="4" w:space="0" w:color="000000"/>
            </w:tcBorders>
          </w:tcPr>
          <w:p w14:paraId="44BA95F1" w14:textId="77777777" w:rsidR="00CE5AAF" w:rsidRDefault="00E85A33">
            <w:pPr>
              <w:spacing w:after="0" w:line="259" w:lineRule="auto"/>
              <w:ind w:left="70" w:firstLine="0"/>
              <w:jc w:val="left"/>
            </w:pPr>
            <w:r>
              <w:rPr>
                <w:b/>
              </w:rPr>
              <w:t xml:space="preserve">Visit windows </w:t>
            </w:r>
          </w:p>
        </w:tc>
        <w:tc>
          <w:tcPr>
            <w:tcW w:w="1253" w:type="dxa"/>
            <w:tcBorders>
              <w:top w:val="single" w:sz="4" w:space="0" w:color="000000"/>
              <w:left w:val="single" w:sz="4" w:space="0" w:color="000000"/>
              <w:bottom w:val="single" w:sz="4" w:space="0" w:color="000000"/>
              <w:right w:val="single" w:sz="4" w:space="0" w:color="000000"/>
            </w:tcBorders>
          </w:tcPr>
          <w:p w14:paraId="45171146" w14:textId="13EA4851" w:rsidR="00CE5AAF" w:rsidRDefault="00E85A33" w:rsidP="004600CD">
            <w:pPr>
              <w:spacing w:after="0" w:line="259" w:lineRule="auto"/>
              <w:ind w:left="0" w:firstLine="0"/>
              <w:jc w:val="center"/>
            </w:pPr>
            <w:r>
              <w:t>8 – 13 weeks  of age</w:t>
            </w:r>
          </w:p>
        </w:tc>
        <w:tc>
          <w:tcPr>
            <w:tcW w:w="1272" w:type="dxa"/>
            <w:tcBorders>
              <w:top w:val="single" w:sz="4" w:space="0" w:color="000000"/>
              <w:left w:val="single" w:sz="4" w:space="0" w:color="000000"/>
              <w:bottom w:val="single" w:sz="4" w:space="0" w:color="000000"/>
              <w:right w:val="single" w:sz="4" w:space="0" w:color="000000"/>
            </w:tcBorders>
          </w:tcPr>
          <w:p w14:paraId="20FE724A" w14:textId="1DE4F709" w:rsidR="00CE5AAF" w:rsidRDefault="00E85A33" w:rsidP="004600CD">
            <w:pPr>
              <w:spacing w:after="0" w:line="259" w:lineRule="auto"/>
              <w:ind w:left="0" w:right="47" w:firstLine="0"/>
              <w:jc w:val="center"/>
            </w:pPr>
            <w:r>
              <w:t>4-6 weeks</w:t>
            </w:r>
          </w:p>
          <w:p w14:paraId="5C733BC6" w14:textId="73E5E32B" w:rsidR="00CE5AAF" w:rsidRDefault="00E85A33" w:rsidP="004600CD">
            <w:pPr>
              <w:spacing w:after="0" w:line="259" w:lineRule="auto"/>
              <w:ind w:left="0" w:right="43" w:firstLine="0"/>
              <w:jc w:val="center"/>
            </w:pPr>
            <w:r>
              <w:t>after visit 1</w:t>
            </w:r>
          </w:p>
        </w:tc>
        <w:tc>
          <w:tcPr>
            <w:tcW w:w="1544" w:type="dxa"/>
            <w:tcBorders>
              <w:top w:val="single" w:sz="4" w:space="0" w:color="000000"/>
              <w:left w:val="single" w:sz="4" w:space="0" w:color="000000"/>
              <w:bottom w:val="single" w:sz="4" w:space="0" w:color="000000"/>
              <w:right w:val="single" w:sz="4" w:space="0" w:color="000000"/>
            </w:tcBorders>
          </w:tcPr>
          <w:p w14:paraId="4BC9124A" w14:textId="5548CCB9" w:rsidR="00CE5AAF" w:rsidRDefault="00E85A33" w:rsidP="004600CD">
            <w:pPr>
              <w:spacing w:after="0" w:line="259" w:lineRule="auto"/>
              <w:ind w:left="2" w:firstLine="0"/>
              <w:jc w:val="center"/>
            </w:pPr>
            <w:r>
              <w:t>4-6 weeks after</w:t>
            </w:r>
          </w:p>
          <w:p w14:paraId="7BCF8848" w14:textId="64E2C8D2" w:rsidR="00CE5AAF" w:rsidRDefault="00E85A33" w:rsidP="004600CD">
            <w:pPr>
              <w:spacing w:after="0" w:line="259" w:lineRule="auto"/>
              <w:ind w:left="0" w:right="43" w:firstLine="0"/>
              <w:jc w:val="center"/>
            </w:pPr>
            <w:r>
              <w:t>visit 2</w:t>
            </w:r>
          </w:p>
        </w:tc>
        <w:tc>
          <w:tcPr>
            <w:tcW w:w="1261" w:type="dxa"/>
            <w:tcBorders>
              <w:top w:val="single" w:sz="4" w:space="0" w:color="000000"/>
              <w:left w:val="single" w:sz="4" w:space="0" w:color="000000"/>
              <w:bottom w:val="single" w:sz="4" w:space="0" w:color="000000"/>
              <w:right w:val="single" w:sz="4" w:space="0" w:color="000000"/>
            </w:tcBorders>
          </w:tcPr>
          <w:p w14:paraId="63AC2578" w14:textId="6B3F048A" w:rsidR="00CE5AAF" w:rsidRDefault="00E85A33" w:rsidP="004600CD">
            <w:pPr>
              <w:spacing w:after="0" w:line="259" w:lineRule="auto"/>
              <w:ind w:left="0" w:right="45" w:firstLine="0"/>
              <w:jc w:val="center"/>
            </w:pPr>
            <w:r>
              <w:t>4</w:t>
            </w:r>
            <w:r w:rsidR="002D00AB">
              <w:t>-6</w:t>
            </w:r>
            <w:r>
              <w:t xml:space="preserve"> weeks</w:t>
            </w:r>
          </w:p>
          <w:p w14:paraId="5E265B69" w14:textId="6B9E23AE" w:rsidR="00CE5AAF" w:rsidRDefault="00E85A33" w:rsidP="004600CD">
            <w:pPr>
              <w:spacing w:after="0" w:line="259" w:lineRule="auto"/>
              <w:ind w:left="31" w:firstLine="0"/>
              <w:jc w:val="center"/>
            </w:pPr>
            <w:r>
              <w:t>after visit 3</w:t>
            </w:r>
          </w:p>
          <w:p w14:paraId="58B69E69" w14:textId="6ABE7842" w:rsidR="00CE5AAF" w:rsidRDefault="00CE5AAF" w:rsidP="004600CD">
            <w:pPr>
              <w:spacing w:after="0" w:line="259" w:lineRule="auto"/>
              <w:ind w:left="0" w:firstLine="0"/>
              <w:jc w:val="center"/>
            </w:pPr>
          </w:p>
        </w:tc>
        <w:tc>
          <w:tcPr>
            <w:tcW w:w="1213" w:type="dxa"/>
            <w:tcBorders>
              <w:top w:val="single" w:sz="4" w:space="0" w:color="000000"/>
              <w:left w:val="single" w:sz="4" w:space="0" w:color="000000"/>
              <w:bottom w:val="single" w:sz="4" w:space="0" w:color="000000"/>
              <w:right w:val="single" w:sz="4" w:space="0" w:color="000000"/>
            </w:tcBorders>
          </w:tcPr>
          <w:p w14:paraId="1136131B" w14:textId="2A65E4C5" w:rsidR="00CE5AAF" w:rsidRDefault="00E85A33" w:rsidP="00C54D53">
            <w:pPr>
              <w:spacing w:after="0" w:line="239" w:lineRule="auto"/>
              <w:ind w:left="12" w:firstLine="2"/>
              <w:jc w:val="center"/>
            </w:pPr>
            <w:r>
              <w:t>12 months of age  (+28 days)</w:t>
            </w:r>
          </w:p>
        </w:tc>
        <w:tc>
          <w:tcPr>
            <w:tcW w:w="1667" w:type="dxa"/>
            <w:tcBorders>
              <w:top w:val="single" w:sz="4" w:space="0" w:color="000000"/>
              <w:left w:val="single" w:sz="4" w:space="0" w:color="000000"/>
              <w:bottom w:val="single" w:sz="4" w:space="0" w:color="000000"/>
              <w:right w:val="single" w:sz="4" w:space="0" w:color="000000"/>
            </w:tcBorders>
          </w:tcPr>
          <w:p w14:paraId="6287A7C8" w14:textId="7B6FF7CF" w:rsidR="00CE5AAF" w:rsidRDefault="004600CD" w:rsidP="00C54D53">
            <w:pPr>
              <w:spacing w:after="0" w:line="259" w:lineRule="auto"/>
              <w:ind w:right="26"/>
              <w:jc w:val="center"/>
            </w:pPr>
            <w:r>
              <w:t>4-6</w:t>
            </w:r>
            <w:r w:rsidR="00012A53">
              <w:t xml:space="preserve"> </w:t>
            </w:r>
            <w:r w:rsidR="00E85A33">
              <w:t>weeks</w:t>
            </w:r>
          </w:p>
          <w:p w14:paraId="093C8D9C" w14:textId="7F57BF91" w:rsidR="00CE5AAF" w:rsidRDefault="00E85A33" w:rsidP="004600CD">
            <w:pPr>
              <w:spacing w:after="0" w:line="259" w:lineRule="auto"/>
              <w:ind w:left="0" w:right="50" w:firstLine="0"/>
              <w:jc w:val="center"/>
            </w:pPr>
            <w:r>
              <w:t>after visit 5</w:t>
            </w:r>
          </w:p>
          <w:p w14:paraId="78DDC714" w14:textId="5FDE31C2" w:rsidR="00CE5AAF" w:rsidRDefault="00CE5AAF" w:rsidP="00C54D53">
            <w:pPr>
              <w:spacing w:after="0" w:line="259" w:lineRule="auto"/>
              <w:ind w:left="0" w:right="26" w:firstLine="0"/>
              <w:jc w:val="center"/>
            </w:pPr>
          </w:p>
        </w:tc>
      </w:tr>
      <w:tr w:rsidR="004600CD" w14:paraId="241D4A57" w14:textId="77777777" w:rsidTr="00C54D53">
        <w:trPr>
          <w:trHeight w:val="936"/>
        </w:trPr>
        <w:tc>
          <w:tcPr>
            <w:tcW w:w="1419" w:type="dxa"/>
            <w:tcBorders>
              <w:top w:val="single" w:sz="4" w:space="0" w:color="000000"/>
              <w:left w:val="single" w:sz="4" w:space="0" w:color="000000"/>
              <w:bottom w:val="single" w:sz="4" w:space="0" w:color="000000"/>
              <w:right w:val="single" w:sz="4" w:space="0" w:color="000000"/>
            </w:tcBorders>
          </w:tcPr>
          <w:p w14:paraId="69A9BCCA" w14:textId="77777777" w:rsidR="00CE5AAF" w:rsidRDefault="00E85A33">
            <w:pPr>
              <w:spacing w:after="0" w:line="259" w:lineRule="auto"/>
              <w:ind w:left="3" w:firstLine="0"/>
              <w:jc w:val="left"/>
            </w:pPr>
            <w:r>
              <w:rPr>
                <w:b/>
              </w:rPr>
              <w:t xml:space="preserve">Visit description </w:t>
            </w:r>
          </w:p>
        </w:tc>
        <w:tc>
          <w:tcPr>
            <w:tcW w:w="1253" w:type="dxa"/>
            <w:tcBorders>
              <w:top w:val="single" w:sz="4" w:space="0" w:color="000000"/>
              <w:left w:val="single" w:sz="4" w:space="0" w:color="000000"/>
              <w:bottom w:val="single" w:sz="4" w:space="0" w:color="000000"/>
              <w:right w:val="single" w:sz="4" w:space="0" w:color="000000"/>
            </w:tcBorders>
          </w:tcPr>
          <w:p w14:paraId="2FBC7869" w14:textId="77777777" w:rsidR="00CE5AAF" w:rsidRDefault="00E85A33">
            <w:pPr>
              <w:spacing w:after="19" w:line="259" w:lineRule="auto"/>
              <w:ind w:left="2" w:firstLine="0"/>
              <w:jc w:val="left"/>
            </w:pPr>
            <w:r>
              <w:t xml:space="preserve">Enrolment </w:t>
            </w:r>
          </w:p>
          <w:p w14:paraId="6C64249D" w14:textId="77777777" w:rsidR="00CE5AAF" w:rsidRDefault="00E85A33">
            <w:pPr>
              <w:spacing w:after="16" w:line="259" w:lineRule="auto"/>
              <w:ind w:left="2" w:firstLine="0"/>
              <w:jc w:val="left"/>
            </w:pPr>
            <w:r>
              <w:t xml:space="preserve">Vaccination </w:t>
            </w:r>
          </w:p>
          <w:p w14:paraId="58DD9E62" w14:textId="77777777" w:rsidR="00CE5AAF" w:rsidRDefault="00E85A33">
            <w:pPr>
              <w:spacing w:after="0" w:line="259" w:lineRule="auto"/>
              <w:ind w:left="2" w:firstLine="0"/>
              <w:jc w:val="left"/>
            </w:pPr>
            <w: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4911FF7A" w14:textId="77777777" w:rsidR="00CE5AAF" w:rsidRDefault="00E85A33">
            <w:pPr>
              <w:spacing w:after="0" w:line="259" w:lineRule="auto"/>
              <w:ind w:left="2" w:firstLine="0"/>
              <w:jc w:val="left"/>
            </w:pPr>
            <w:r>
              <w:t xml:space="preserve">Vaccination </w:t>
            </w:r>
          </w:p>
        </w:tc>
        <w:tc>
          <w:tcPr>
            <w:tcW w:w="1544" w:type="dxa"/>
            <w:tcBorders>
              <w:top w:val="single" w:sz="4" w:space="0" w:color="000000"/>
              <w:left w:val="single" w:sz="4" w:space="0" w:color="000000"/>
              <w:bottom w:val="single" w:sz="4" w:space="0" w:color="000000"/>
              <w:right w:val="single" w:sz="4" w:space="0" w:color="000000"/>
            </w:tcBorders>
          </w:tcPr>
          <w:p w14:paraId="5282B80C" w14:textId="77777777" w:rsidR="00CE5AAF" w:rsidRDefault="00E85A33">
            <w:pPr>
              <w:spacing w:after="0" w:line="259" w:lineRule="auto"/>
              <w:ind w:left="2" w:firstLine="0"/>
              <w:jc w:val="left"/>
            </w:pPr>
            <w:r>
              <w:t xml:space="preserve">Vaccination </w:t>
            </w:r>
          </w:p>
        </w:tc>
        <w:tc>
          <w:tcPr>
            <w:tcW w:w="1261" w:type="dxa"/>
            <w:tcBorders>
              <w:top w:val="single" w:sz="4" w:space="0" w:color="000000"/>
              <w:left w:val="single" w:sz="4" w:space="0" w:color="000000"/>
              <w:bottom w:val="single" w:sz="4" w:space="0" w:color="000000"/>
              <w:right w:val="single" w:sz="4" w:space="0" w:color="000000"/>
            </w:tcBorders>
          </w:tcPr>
          <w:p w14:paraId="7BDB7E32" w14:textId="77777777" w:rsidR="00CE5AAF" w:rsidRDefault="00E85A33">
            <w:pPr>
              <w:spacing w:after="0" w:line="259" w:lineRule="auto"/>
              <w:ind w:left="2" w:firstLine="0"/>
              <w:jc w:val="left"/>
            </w:pPr>
            <w:r>
              <w:t xml:space="preserve">Blood sampling </w:t>
            </w:r>
          </w:p>
        </w:tc>
        <w:tc>
          <w:tcPr>
            <w:tcW w:w="1213" w:type="dxa"/>
            <w:tcBorders>
              <w:top w:val="single" w:sz="4" w:space="0" w:color="000000"/>
              <w:left w:val="single" w:sz="4" w:space="0" w:color="000000"/>
              <w:bottom w:val="single" w:sz="4" w:space="0" w:color="000000"/>
              <w:right w:val="single" w:sz="4" w:space="0" w:color="000000"/>
            </w:tcBorders>
          </w:tcPr>
          <w:p w14:paraId="2E853C33" w14:textId="77777777" w:rsidR="00CE5AAF" w:rsidRDefault="00E85A33">
            <w:pPr>
              <w:spacing w:after="0" w:line="259" w:lineRule="auto"/>
              <w:ind w:left="2" w:firstLine="0"/>
              <w:jc w:val="left"/>
            </w:pPr>
            <w:r>
              <w:t xml:space="preserve">Vaccination </w:t>
            </w:r>
          </w:p>
        </w:tc>
        <w:tc>
          <w:tcPr>
            <w:tcW w:w="1667" w:type="dxa"/>
            <w:tcBorders>
              <w:top w:val="single" w:sz="4" w:space="0" w:color="000000"/>
              <w:left w:val="single" w:sz="4" w:space="0" w:color="000000"/>
              <w:bottom w:val="single" w:sz="4" w:space="0" w:color="000000"/>
              <w:right w:val="single" w:sz="4" w:space="0" w:color="000000"/>
            </w:tcBorders>
          </w:tcPr>
          <w:p w14:paraId="48634A11" w14:textId="77777777" w:rsidR="00CE5AAF" w:rsidRDefault="00E85A33">
            <w:pPr>
              <w:spacing w:after="0" w:line="259" w:lineRule="auto"/>
              <w:ind w:left="0" w:firstLine="0"/>
              <w:jc w:val="left"/>
            </w:pPr>
            <w:r>
              <w:t xml:space="preserve">Blood sampling </w:t>
            </w:r>
          </w:p>
        </w:tc>
      </w:tr>
      <w:tr w:rsidR="004600CD" w14:paraId="1D672922" w14:textId="77777777" w:rsidTr="00C54D53">
        <w:trPr>
          <w:trHeight w:val="1246"/>
        </w:trPr>
        <w:tc>
          <w:tcPr>
            <w:tcW w:w="1419" w:type="dxa"/>
            <w:tcBorders>
              <w:top w:val="single" w:sz="4" w:space="0" w:color="000000"/>
              <w:left w:val="single" w:sz="4" w:space="0" w:color="000000"/>
              <w:bottom w:val="single" w:sz="4" w:space="0" w:color="000000"/>
              <w:right w:val="single" w:sz="4" w:space="0" w:color="000000"/>
            </w:tcBorders>
          </w:tcPr>
          <w:p w14:paraId="12B9AF1E" w14:textId="77777777" w:rsidR="00CE5AAF" w:rsidRDefault="00E85A33">
            <w:pPr>
              <w:spacing w:after="19" w:line="259" w:lineRule="auto"/>
              <w:ind w:left="3" w:firstLine="0"/>
              <w:jc w:val="left"/>
            </w:pPr>
            <w:r>
              <w:rPr>
                <w:b/>
              </w:rPr>
              <w:t xml:space="preserve">Group 1 </w:t>
            </w:r>
          </w:p>
          <w:p w14:paraId="787FDE9F" w14:textId="77777777" w:rsidR="00CE5AAF" w:rsidRDefault="00E85A33">
            <w:pPr>
              <w:spacing w:after="19" w:line="259" w:lineRule="auto"/>
              <w:ind w:left="3" w:firstLine="0"/>
              <w:jc w:val="left"/>
            </w:pPr>
            <w:r>
              <w:rPr>
                <w:b/>
              </w:rPr>
              <w:t xml:space="preserve">6 in 1(IH) arm </w:t>
            </w:r>
          </w:p>
          <w:p w14:paraId="5C8C79F6" w14:textId="77777777" w:rsidR="00CE5AAF" w:rsidRDefault="00E85A33">
            <w:pPr>
              <w:spacing w:after="0" w:line="259" w:lineRule="auto"/>
              <w:ind w:left="3" w:firstLine="0"/>
              <w:jc w:val="left"/>
            </w:pPr>
            <w:r>
              <w:rPr>
                <w:b/>
              </w:rPr>
              <w:t xml:space="preserve"> (n=120) </w:t>
            </w:r>
          </w:p>
        </w:tc>
        <w:tc>
          <w:tcPr>
            <w:tcW w:w="1253" w:type="dxa"/>
            <w:tcBorders>
              <w:top w:val="single" w:sz="4" w:space="0" w:color="000000"/>
              <w:left w:val="single" w:sz="4" w:space="0" w:color="000000"/>
              <w:bottom w:val="single" w:sz="4" w:space="0" w:color="000000"/>
              <w:right w:val="single" w:sz="4" w:space="0" w:color="000000"/>
            </w:tcBorders>
          </w:tcPr>
          <w:p w14:paraId="142FCA7B" w14:textId="77777777" w:rsidR="00CE5AAF" w:rsidRDefault="00E85A33">
            <w:pPr>
              <w:spacing w:after="19" w:line="259" w:lineRule="auto"/>
              <w:ind w:left="2" w:firstLine="0"/>
              <w:jc w:val="left"/>
            </w:pPr>
            <w:r>
              <w:t xml:space="preserve">6 in 1(IH)  </w:t>
            </w:r>
          </w:p>
          <w:p w14:paraId="6D0FFF50" w14:textId="77777777" w:rsidR="00CE5AAF" w:rsidRDefault="00E85A33">
            <w:pPr>
              <w:spacing w:after="16" w:line="259" w:lineRule="auto"/>
              <w:ind w:left="2" w:firstLine="0"/>
              <w:jc w:val="left"/>
            </w:pPr>
            <w:r>
              <w:t xml:space="preserve">MenB  </w:t>
            </w:r>
          </w:p>
          <w:p w14:paraId="19C2928E" w14:textId="77777777" w:rsidR="00CE5AAF" w:rsidRDefault="00E85A33">
            <w:pPr>
              <w:spacing w:after="0" w:line="259" w:lineRule="auto"/>
              <w:ind w:left="2" w:firstLine="0"/>
              <w:jc w:val="left"/>
            </w:pPr>
            <w:r>
              <w:t xml:space="preserve">Rotavirus  </w:t>
            </w:r>
          </w:p>
        </w:tc>
        <w:tc>
          <w:tcPr>
            <w:tcW w:w="1272" w:type="dxa"/>
            <w:tcBorders>
              <w:top w:val="single" w:sz="4" w:space="0" w:color="000000"/>
              <w:left w:val="single" w:sz="4" w:space="0" w:color="000000"/>
              <w:bottom w:val="single" w:sz="4" w:space="0" w:color="000000"/>
              <w:right w:val="single" w:sz="4" w:space="0" w:color="000000"/>
            </w:tcBorders>
          </w:tcPr>
          <w:p w14:paraId="587D1A0A" w14:textId="77777777" w:rsidR="00CE5AAF" w:rsidRDefault="00E85A33">
            <w:pPr>
              <w:spacing w:after="19" w:line="259" w:lineRule="auto"/>
              <w:ind w:left="2" w:firstLine="0"/>
              <w:jc w:val="left"/>
            </w:pPr>
            <w:r>
              <w:t xml:space="preserve">6 in 1(IH)  </w:t>
            </w:r>
          </w:p>
          <w:p w14:paraId="525CE446" w14:textId="77777777" w:rsidR="00CE5AAF" w:rsidRDefault="00E85A33">
            <w:pPr>
              <w:spacing w:after="19" w:line="259" w:lineRule="auto"/>
              <w:ind w:left="2" w:firstLine="0"/>
              <w:jc w:val="left"/>
            </w:pPr>
            <w:r>
              <w:t xml:space="preserve">Rotavirus </w:t>
            </w:r>
          </w:p>
          <w:p w14:paraId="50AE27D2" w14:textId="15F52C50" w:rsidR="00CE5AAF" w:rsidRDefault="00C122CF">
            <w:pPr>
              <w:spacing w:after="0" w:line="259" w:lineRule="auto"/>
              <w:ind w:left="2" w:firstLine="0"/>
              <w:jc w:val="left"/>
            </w:pPr>
            <w:r>
              <w:t>PCV13*</w:t>
            </w:r>
          </w:p>
        </w:tc>
        <w:tc>
          <w:tcPr>
            <w:tcW w:w="1544" w:type="dxa"/>
            <w:tcBorders>
              <w:top w:val="single" w:sz="4" w:space="0" w:color="000000"/>
              <w:left w:val="single" w:sz="4" w:space="0" w:color="000000"/>
              <w:bottom w:val="single" w:sz="4" w:space="0" w:color="000000"/>
              <w:right w:val="single" w:sz="4" w:space="0" w:color="000000"/>
            </w:tcBorders>
          </w:tcPr>
          <w:p w14:paraId="443A8DB0" w14:textId="77777777" w:rsidR="00CE5AAF" w:rsidRDefault="00E85A33">
            <w:pPr>
              <w:spacing w:after="19" w:line="259" w:lineRule="auto"/>
              <w:ind w:left="2" w:firstLine="0"/>
              <w:jc w:val="left"/>
            </w:pPr>
            <w:r>
              <w:t xml:space="preserve">6 in 1(IH)  </w:t>
            </w:r>
          </w:p>
          <w:p w14:paraId="6427B20E" w14:textId="77777777" w:rsidR="00CE5AAF" w:rsidRDefault="00E85A33">
            <w:pPr>
              <w:spacing w:after="0" w:line="259" w:lineRule="auto"/>
              <w:ind w:left="2" w:firstLine="0"/>
              <w:jc w:val="left"/>
            </w:pPr>
            <w:r>
              <w:t xml:space="preserve">MenB </w:t>
            </w:r>
          </w:p>
        </w:tc>
        <w:tc>
          <w:tcPr>
            <w:tcW w:w="1261" w:type="dxa"/>
            <w:vMerge w:val="restart"/>
            <w:tcBorders>
              <w:top w:val="single" w:sz="4" w:space="0" w:color="000000"/>
              <w:left w:val="single" w:sz="4" w:space="0" w:color="000000"/>
              <w:bottom w:val="single" w:sz="4" w:space="0" w:color="000000"/>
              <w:right w:val="single" w:sz="4" w:space="0" w:color="000000"/>
            </w:tcBorders>
            <w:vAlign w:val="center"/>
          </w:tcPr>
          <w:p w14:paraId="61E6AA2F" w14:textId="77777777" w:rsidR="00CE5AAF" w:rsidRDefault="00E85A33">
            <w:pPr>
              <w:spacing w:after="19" w:line="259" w:lineRule="auto"/>
              <w:ind w:left="2" w:firstLine="0"/>
              <w:jc w:val="left"/>
            </w:pPr>
            <w:r>
              <w:t xml:space="preserve"> </w:t>
            </w:r>
          </w:p>
          <w:p w14:paraId="691BCAE0" w14:textId="77777777" w:rsidR="00CE5AAF" w:rsidRDefault="00E85A33">
            <w:pPr>
              <w:spacing w:after="19" w:line="259" w:lineRule="auto"/>
              <w:ind w:left="2" w:firstLine="0"/>
              <w:jc w:val="left"/>
            </w:pPr>
            <w:r>
              <w:t xml:space="preserve"> </w:t>
            </w:r>
          </w:p>
          <w:p w14:paraId="6A42F29A" w14:textId="77777777" w:rsidR="00CE5AAF" w:rsidRDefault="00E85A33">
            <w:pPr>
              <w:spacing w:after="0" w:line="259" w:lineRule="auto"/>
              <w:ind w:left="2" w:firstLine="0"/>
              <w:jc w:val="left"/>
            </w:pPr>
            <w:r>
              <w:t xml:space="preserve"> </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14:paraId="2561E81F" w14:textId="77777777" w:rsidR="00CE5AAF" w:rsidRDefault="00E85A33">
            <w:pPr>
              <w:spacing w:after="19" w:line="259" w:lineRule="auto"/>
              <w:ind w:left="2" w:firstLine="0"/>
              <w:jc w:val="left"/>
            </w:pPr>
            <w:r>
              <w:t xml:space="preserve">Hib-MenC </w:t>
            </w:r>
          </w:p>
          <w:p w14:paraId="3812AF80" w14:textId="77777777" w:rsidR="00CE5AAF" w:rsidRDefault="00E85A33">
            <w:pPr>
              <w:spacing w:after="0" w:line="276" w:lineRule="auto"/>
              <w:ind w:left="2" w:right="139" w:firstLine="0"/>
              <w:jc w:val="left"/>
            </w:pPr>
            <w:r>
              <w:t xml:space="preserve">PCV13 MMR </w:t>
            </w:r>
          </w:p>
          <w:p w14:paraId="3FE38ADB" w14:textId="77777777" w:rsidR="00CE5AAF" w:rsidRDefault="00E85A33">
            <w:pPr>
              <w:spacing w:after="19" w:line="259" w:lineRule="auto"/>
              <w:ind w:left="2" w:firstLine="0"/>
              <w:jc w:val="left"/>
            </w:pPr>
            <w:r>
              <w:t xml:space="preserve">MenB  </w:t>
            </w:r>
          </w:p>
          <w:p w14:paraId="1752C6BB" w14:textId="77777777" w:rsidR="00CE5AAF" w:rsidRDefault="00E85A33">
            <w:pPr>
              <w:spacing w:after="19" w:line="259" w:lineRule="auto"/>
              <w:ind w:left="2" w:firstLine="0"/>
              <w:jc w:val="left"/>
            </w:pPr>
            <w:r>
              <w:t xml:space="preserve"> </w:t>
            </w:r>
          </w:p>
          <w:p w14:paraId="5D9EBF3C" w14:textId="77777777" w:rsidR="00CE5AAF" w:rsidRDefault="00E85A33">
            <w:pPr>
              <w:spacing w:after="0" w:line="259" w:lineRule="auto"/>
              <w:ind w:left="2" w:firstLine="0"/>
              <w:jc w:val="left"/>
            </w:pPr>
            <w:r>
              <w:t xml:space="preserve"> </w:t>
            </w:r>
          </w:p>
        </w:tc>
        <w:tc>
          <w:tcPr>
            <w:tcW w:w="1667" w:type="dxa"/>
            <w:vMerge w:val="restart"/>
            <w:tcBorders>
              <w:top w:val="single" w:sz="4" w:space="0" w:color="000000"/>
              <w:left w:val="single" w:sz="4" w:space="0" w:color="000000"/>
              <w:bottom w:val="single" w:sz="4" w:space="0" w:color="000000"/>
              <w:right w:val="single" w:sz="4" w:space="0" w:color="000000"/>
            </w:tcBorders>
            <w:vAlign w:val="center"/>
          </w:tcPr>
          <w:p w14:paraId="2E1B4FB1" w14:textId="77777777" w:rsidR="00CE5AAF" w:rsidRDefault="00E85A33">
            <w:pPr>
              <w:spacing w:after="16" w:line="259" w:lineRule="auto"/>
              <w:ind w:left="0" w:firstLine="0"/>
              <w:jc w:val="left"/>
            </w:pPr>
            <w:r>
              <w:t xml:space="preserve"> </w:t>
            </w:r>
          </w:p>
          <w:p w14:paraId="68CD0C8B" w14:textId="77777777" w:rsidR="00CE5AAF" w:rsidRDefault="00E85A33">
            <w:pPr>
              <w:spacing w:after="0" w:line="259" w:lineRule="auto"/>
              <w:ind w:left="0" w:firstLine="0"/>
              <w:jc w:val="left"/>
            </w:pPr>
            <w:r>
              <w:t xml:space="preserve"> </w:t>
            </w:r>
          </w:p>
        </w:tc>
      </w:tr>
      <w:tr w:rsidR="004600CD" w14:paraId="627543E8" w14:textId="77777777" w:rsidTr="00C54D53">
        <w:trPr>
          <w:trHeight w:val="1555"/>
        </w:trPr>
        <w:tc>
          <w:tcPr>
            <w:tcW w:w="1419" w:type="dxa"/>
            <w:tcBorders>
              <w:top w:val="single" w:sz="4" w:space="0" w:color="000000"/>
              <w:left w:val="single" w:sz="4" w:space="0" w:color="000000"/>
              <w:bottom w:val="single" w:sz="4" w:space="0" w:color="000000"/>
              <w:right w:val="single" w:sz="4" w:space="0" w:color="000000"/>
            </w:tcBorders>
          </w:tcPr>
          <w:p w14:paraId="19A1C1C4" w14:textId="77777777" w:rsidR="00CE5AAF" w:rsidRDefault="00E85A33">
            <w:pPr>
              <w:spacing w:after="19" w:line="259" w:lineRule="auto"/>
              <w:ind w:left="3" w:firstLine="0"/>
              <w:jc w:val="left"/>
            </w:pPr>
            <w:r>
              <w:rPr>
                <w:b/>
              </w:rPr>
              <w:t xml:space="preserve">Group 2 </w:t>
            </w:r>
          </w:p>
          <w:p w14:paraId="6D932975" w14:textId="77777777" w:rsidR="00CE5AAF" w:rsidRDefault="00E85A33">
            <w:pPr>
              <w:spacing w:after="16" w:line="259" w:lineRule="auto"/>
              <w:ind w:left="3" w:firstLine="0"/>
              <w:jc w:val="left"/>
            </w:pPr>
            <w:r>
              <w:rPr>
                <w:b/>
              </w:rPr>
              <w:t>6 in 1(V)</w:t>
            </w:r>
            <w:r>
              <w:t xml:space="preserve"> </w:t>
            </w:r>
            <w:r>
              <w:rPr>
                <w:b/>
              </w:rPr>
              <w:t xml:space="preserve">arm </w:t>
            </w:r>
          </w:p>
          <w:p w14:paraId="41AA629E" w14:textId="77777777" w:rsidR="00CE5AAF" w:rsidRDefault="00E85A33">
            <w:pPr>
              <w:spacing w:after="0" w:line="259" w:lineRule="auto"/>
              <w:ind w:left="3" w:firstLine="0"/>
              <w:jc w:val="left"/>
            </w:pPr>
            <w:r>
              <w:rPr>
                <w:b/>
              </w:rPr>
              <w:t xml:space="preserve"> (n=120) </w:t>
            </w:r>
          </w:p>
        </w:tc>
        <w:tc>
          <w:tcPr>
            <w:tcW w:w="1253" w:type="dxa"/>
            <w:tcBorders>
              <w:top w:val="single" w:sz="4" w:space="0" w:color="000000"/>
              <w:left w:val="single" w:sz="4" w:space="0" w:color="000000"/>
              <w:bottom w:val="single" w:sz="4" w:space="0" w:color="000000"/>
              <w:right w:val="single" w:sz="4" w:space="0" w:color="000000"/>
            </w:tcBorders>
          </w:tcPr>
          <w:p w14:paraId="40961DA4" w14:textId="77777777" w:rsidR="00CE5AAF" w:rsidRDefault="00E85A33">
            <w:pPr>
              <w:spacing w:after="19" w:line="259" w:lineRule="auto"/>
              <w:ind w:left="2" w:firstLine="0"/>
              <w:jc w:val="left"/>
            </w:pPr>
            <w:r>
              <w:t xml:space="preserve">6 in 1(V) </w:t>
            </w:r>
          </w:p>
          <w:p w14:paraId="060B8010" w14:textId="77777777" w:rsidR="00CE5AAF" w:rsidRDefault="00E85A33">
            <w:pPr>
              <w:spacing w:after="19" w:line="259" w:lineRule="auto"/>
              <w:ind w:left="2" w:firstLine="0"/>
              <w:jc w:val="left"/>
            </w:pPr>
            <w:r>
              <w:t xml:space="preserve">MenB </w:t>
            </w:r>
          </w:p>
          <w:p w14:paraId="023C9ACA" w14:textId="77777777" w:rsidR="00CE5AAF" w:rsidRDefault="00E85A33">
            <w:pPr>
              <w:spacing w:after="0" w:line="259" w:lineRule="auto"/>
              <w:ind w:left="2" w:firstLine="0"/>
              <w:jc w:val="left"/>
            </w:pPr>
            <w:r>
              <w:t xml:space="preserve">Rotavirus </w:t>
            </w:r>
          </w:p>
        </w:tc>
        <w:tc>
          <w:tcPr>
            <w:tcW w:w="1272" w:type="dxa"/>
            <w:tcBorders>
              <w:top w:val="single" w:sz="4" w:space="0" w:color="000000"/>
              <w:left w:val="single" w:sz="4" w:space="0" w:color="000000"/>
              <w:bottom w:val="single" w:sz="4" w:space="0" w:color="000000"/>
              <w:right w:val="single" w:sz="4" w:space="0" w:color="000000"/>
            </w:tcBorders>
          </w:tcPr>
          <w:p w14:paraId="6A0AFAF7" w14:textId="77777777" w:rsidR="00CE5AAF" w:rsidRDefault="00E85A33">
            <w:pPr>
              <w:spacing w:after="19" w:line="259" w:lineRule="auto"/>
              <w:ind w:left="2" w:firstLine="0"/>
              <w:jc w:val="left"/>
            </w:pPr>
            <w:r>
              <w:t xml:space="preserve">6 in 1(V)  </w:t>
            </w:r>
          </w:p>
          <w:p w14:paraId="4B12651A" w14:textId="2264D88F" w:rsidR="00CE5AAF" w:rsidRDefault="00E85A33" w:rsidP="004E3544">
            <w:pPr>
              <w:spacing w:after="16" w:line="259" w:lineRule="auto"/>
              <w:ind w:left="0" w:firstLine="0"/>
              <w:jc w:val="left"/>
            </w:pPr>
            <w:r>
              <w:t xml:space="preserve">Rotavirus </w:t>
            </w:r>
          </w:p>
          <w:p w14:paraId="11D49E87" w14:textId="043B079A" w:rsidR="00C122CF" w:rsidRDefault="00C122CF" w:rsidP="004E3544">
            <w:pPr>
              <w:spacing w:after="16" w:line="259" w:lineRule="auto"/>
              <w:ind w:left="0" w:firstLine="0"/>
              <w:jc w:val="left"/>
            </w:pPr>
            <w:r>
              <w:t>PCV13*</w:t>
            </w:r>
          </w:p>
          <w:p w14:paraId="1BBD85CB" w14:textId="77777777" w:rsidR="00CE5AAF" w:rsidRDefault="00E85A33">
            <w:pPr>
              <w:spacing w:after="19" w:line="259" w:lineRule="auto"/>
              <w:ind w:left="2" w:firstLine="0"/>
              <w:jc w:val="left"/>
            </w:pPr>
            <w:r>
              <w:t xml:space="preserve"> </w:t>
            </w:r>
          </w:p>
          <w:p w14:paraId="50C26D13" w14:textId="77777777" w:rsidR="00CE5AAF" w:rsidRDefault="00E85A33">
            <w:pPr>
              <w:spacing w:after="0" w:line="259" w:lineRule="auto"/>
              <w:ind w:left="2" w:firstLine="0"/>
              <w:jc w:val="left"/>
            </w:pPr>
            <w: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4DDF51CF" w14:textId="77777777" w:rsidR="00CE5AAF" w:rsidRDefault="00E85A33">
            <w:pPr>
              <w:spacing w:after="19" w:line="259" w:lineRule="auto"/>
              <w:ind w:left="2" w:firstLine="0"/>
              <w:jc w:val="left"/>
            </w:pPr>
            <w:r>
              <w:t xml:space="preserve">6 in 1(V)  </w:t>
            </w:r>
          </w:p>
          <w:p w14:paraId="2F7586BD" w14:textId="77777777" w:rsidR="00CE5AAF" w:rsidRDefault="00E85A33">
            <w:pPr>
              <w:spacing w:after="19" w:line="259" w:lineRule="auto"/>
              <w:ind w:left="2" w:firstLine="0"/>
              <w:jc w:val="left"/>
            </w:pPr>
            <w:r>
              <w:t xml:space="preserve">MenB </w:t>
            </w:r>
          </w:p>
          <w:p w14:paraId="4ABEBBC7" w14:textId="77777777" w:rsidR="00CE5AAF" w:rsidRDefault="00E85A33">
            <w:pPr>
              <w:spacing w:after="0" w:line="259" w:lineRule="auto"/>
              <w:ind w:left="2" w:firstLine="0"/>
              <w:jc w:val="left"/>
            </w:pPr>
            <w:r>
              <w:t xml:space="preserve"> </w:t>
            </w:r>
          </w:p>
        </w:tc>
        <w:tc>
          <w:tcPr>
            <w:tcW w:w="1261" w:type="dxa"/>
            <w:vMerge/>
            <w:tcBorders>
              <w:top w:val="nil"/>
              <w:left w:val="single" w:sz="4" w:space="0" w:color="000000"/>
              <w:bottom w:val="single" w:sz="4" w:space="0" w:color="000000"/>
              <w:right w:val="single" w:sz="4" w:space="0" w:color="000000"/>
            </w:tcBorders>
          </w:tcPr>
          <w:p w14:paraId="1236A733" w14:textId="77777777" w:rsidR="00CE5AAF" w:rsidRDefault="00CE5AAF">
            <w:pPr>
              <w:spacing w:after="160" w:line="259" w:lineRule="auto"/>
              <w:ind w:left="0" w:firstLine="0"/>
              <w:jc w:val="left"/>
            </w:pPr>
          </w:p>
        </w:tc>
        <w:tc>
          <w:tcPr>
            <w:tcW w:w="1213" w:type="dxa"/>
            <w:vMerge/>
            <w:tcBorders>
              <w:top w:val="nil"/>
              <w:left w:val="single" w:sz="4" w:space="0" w:color="000000"/>
              <w:bottom w:val="single" w:sz="4" w:space="0" w:color="000000"/>
              <w:right w:val="single" w:sz="4" w:space="0" w:color="000000"/>
            </w:tcBorders>
          </w:tcPr>
          <w:p w14:paraId="55B90433" w14:textId="77777777" w:rsidR="00CE5AAF" w:rsidRDefault="00CE5AAF">
            <w:pPr>
              <w:spacing w:after="160" w:line="259" w:lineRule="auto"/>
              <w:ind w:left="0" w:firstLine="0"/>
              <w:jc w:val="left"/>
            </w:pPr>
          </w:p>
        </w:tc>
        <w:tc>
          <w:tcPr>
            <w:tcW w:w="1667" w:type="dxa"/>
            <w:vMerge/>
            <w:tcBorders>
              <w:top w:val="nil"/>
              <w:left w:val="single" w:sz="4" w:space="0" w:color="000000"/>
              <w:bottom w:val="single" w:sz="4" w:space="0" w:color="000000"/>
              <w:right w:val="single" w:sz="4" w:space="0" w:color="000000"/>
            </w:tcBorders>
          </w:tcPr>
          <w:p w14:paraId="35E30CF8" w14:textId="77777777" w:rsidR="00CE5AAF" w:rsidRDefault="00CE5AAF">
            <w:pPr>
              <w:spacing w:after="160" w:line="259" w:lineRule="auto"/>
              <w:ind w:left="0" w:firstLine="0"/>
              <w:jc w:val="left"/>
            </w:pPr>
          </w:p>
        </w:tc>
      </w:tr>
    </w:tbl>
    <w:p w14:paraId="47BB15DD" w14:textId="2326167F" w:rsidR="00CE5AAF" w:rsidRDefault="00E85A33">
      <w:pPr>
        <w:spacing w:line="275" w:lineRule="auto"/>
        <w:ind w:left="0" w:firstLine="0"/>
        <w:jc w:val="left"/>
      </w:pPr>
      <w:r>
        <w:rPr>
          <w:sz w:val="18"/>
        </w:rPr>
        <w:t xml:space="preserve">* PCV13 </w:t>
      </w:r>
      <w:r w:rsidR="00C122CF">
        <w:rPr>
          <w:sz w:val="18"/>
        </w:rPr>
        <w:t xml:space="preserve">will be administered </w:t>
      </w:r>
      <w:r w:rsidR="0098044E">
        <w:rPr>
          <w:sz w:val="18"/>
        </w:rPr>
        <w:t xml:space="preserve">at 3 and 12 months. This reflects </w:t>
      </w:r>
      <w:r w:rsidR="00C122CF">
        <w:rPr>
          <w:sz w:val="18"/>
        </w:rPr>
        <w:t xml:space="preserve">the </w:t>
      </w:r>
      <w:r w:rsidR="000A0CA7">
        <w:rPr>
          <w:sz w:val="18"/>
        </w:rPr>
        <w:t xml:space="preserve">change in the </w:t>
      </w:r>
      <w:r w:rsidR="0035459E">
        <w:rPr>
          <w:sz w:val="18"/>
        </w:rPr>
        <w:t xml:space="preserve">routine </w:t>
      </w:r>
      <w:r w:rsidR="000A0CA7">
        <w:rPr>
          <w:sz w:val="18"/>
        </w:rPr>
        <w:t>UK infant immunisation</w:t>
      </w:r>
      <w:r w:rsidR="00C122CF">
        <w:rPr>
          <w:sz w:val="18"/>
        </w:rPr>
        <w:t xml:space="preserve"> s</w:t>
      </w:r>
      <w:r w:rsidR="000A0CA7">
        <w:rPr>
          <w:sz w:val="18"/>
        </w:rPr>
        <w:t>chedule</w:t>
      </w:r>
      <w:r w:rsidR="0035459E">
        <w:rPr>
          <w:sz w:val="18"/>
        </w:rPr>
        <w:t xml:space="preserve"> for infants born on or after 1 January 2020.</w:t>
      </w:r>
    </w:p>
    <w:p w14:paraId="6F429F6A" w14:textId="77777777" w:rsidR="00CE5AAF" w:rsidRDefault="00E85A33">
      <w:pPr>
        <w:spacing w:after="214" w:line="259" w:lineRule="auto"/>
        <w:ind w:left="0" w:firstLine="0"/>
        <w:jc w:val="left"/>
      </w:pPr>
      <w:r>
        <w:rPr>
          <w:sz w:val="18"/>
        </w:rPr>
        <w:t xml:space="preserve"> </w:t>
      </w:r>
    </w:p>
    <w:p w14:paraId="69EAA76E" w14:textId="77777777" w:rsidR="00CE5AAF" w:rsidRDefault="00E85A33">
      <w:pPr>
        <w:spacing w:after="217" w:line="259" w:lineRule="auto"/>
        <w:ind w:left="0" w:firstLine="0"/>
        <w:jc w:val="left"/>
      </w:pPr>
      <w:r>
        <w:rPr>
          <w:sz w:val="18"/>
        </w:rPr>
        <w:t xml:space="preserve"> </w:t>
      </w:r>
    </w:p>
    <w:p w14:paraId="6A2625F6" w14:textId="77777777" w:rsidR="00CE5AAF" w:rsidRDefault="00E85A33">
      <w:pPr>
        <w:spacing w:after="214" w:line="259" w:lineRule="auto"/>
        <w:ind w:left="0" w:firstLine="0"/>
        <w:jc w:val="left"/>
      </w:pPr>
      <w:r>
        <w:rPr>
          <w:sz w:val="18"/>
        </w:rPr>
        <w:t xml:space="preserve"> </w:t>
      </w:r>
    </w:p>
    <w:p w14:paraId="548B49FF" w14:textId="77777777" w:rsidR="00CE5AAF" w:rsidRDefault="00E85A33">
      <w:pPr>
        <w:spacing w:after="216" w:line="259" w:lineRule="auto"/>
        <w:ind w:left="0" w:firstLine="0"/>
        <w:jc w:val="left"/>
      </w:pPr>
      <w:r>
        <w:rPr>
          <w:sz w:val="18"/>
        </w:rPr>
        <w:t xml:space="preserve"> </w:t>
      </w:r>
    </w:p>
    <w:p w14:paraId="7EA2B099" w14:textId="77777777" w:rsidR="00CE5AAF" w:rsidRDefault="00E85A33">
      <w:pPr>
        <w:spacing w:after="255" w:line="259" w:lineRule="auto"/>
        <w:ind w:left="0" w:firstLine="0"/>
        <w:jc w:val="left"/>
      </w:pPr>
      <w:r>
        <w:rPr>
          <w:sz w:val="18"/>
        </w:rPr>
        <w:t xml:space="preserve"> </w:t>
      </w:r>
    </w:p>
    <w:p w14:paraId="425DCC2D" w14:textId="77777777" w:rsidR="00CE5AAF" w:rsidRDefault="00E85A33">
      <w:pPr>
        <w:spacing w:after="218" w:line="259" w:lineRule="auto"/>
        <w:ind w:left="0" w:firstLine="0"/>
        <w:jc w:val="left"/>
      </w:pPr>
      <w:r>
        <w:rPr>
          <w:b/>
        </w:rPr>
        <w:t xml:space="preserve"> </w:t>
      </w:r>
    </w:p>
    <w:p w14:paraId="236EB816" w14:textId="77777777" w:rsidR="00CE5AAF" w:rsidRDefault="00E85A33">
      <w:pPr>
        <w:pStyle w:val="Heading3"/>
        <w:spacing w:after="3" w:line="259" w:lineRule="auto"/>
        <w:ind w:right="34"/>
        <w:jc w:val="center"/>
      </w:pPr>
      <w:r>
        <w:t xml:space="preserve">Table 2: Vaccine products </w:t>
      </w:r>
    </w:p>
    <w:p w14:paraId="6998E062" w14:textId="77777777" w:rsidR="00CE5AAF" w:rsidRDefault="00E85A33">
      <w:pPr>
        <w:spacing w:after="0" w:line="259" w:lineRule="auto"/>
        <w:ind w:left="0" w:right="1580" w:firstLine="0"/>
        <w:jc w:val="left"/>
      </w:pPr>
      <w:r>
        <w:rPr>
          <w:b/>
        </w:rPr>
        <w:t xml:space="preserve"> </w:t>
      </w:r>
    </w:p>
    <w:tbl>
      <w:tblPr>
        <w:tblStyle w:val="TableGrid"/>
        <w:tblW w:w="6270" w:type="dxa"/>
        <w:tblInd w:w="1570" w:type="dxa"/>
        <w:tblCellMar>
          <w:top w:w="46" w:type="dxa"/>
          <w:left w:w="108" w:type="dxa"/>
          <w:right w:w="115" w:type="dxa"/>
        </w:tblCellMar>
        <w:tblLook w:val="04A0" w:firstRow="1" w:lastRow="0" w:firstColumn="1" w:lastColumn="0" w:noHBand="0" w:noVBand="1"/>
      </w:tblPr>
      <w:tblGrid>
        <w:gridCol w:w="3135"/>
        <w:gridCol w:w="3135"/>
      </w:tblGrid>
      <w:tr w:rsidR="00CE5AAF" w14:paraId="0EE07914"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28E4F8E1" w14:textId="77777777" w:rsidR="00CE5AAF" w:rsidRDefault="00E85A33">
            <w:pPr>
              <w:spacing w:after="0" w:line="259" w:lineRule="auto"/>
              <w:ind w:left="2" w:firstLine="0"/>
              <w:jc w:val="left"/>
            </w:pPr>
            <w:r>
              <w:rPr>
                <w:b/>
              </w:rPr>
              <w:t xml:space="preserve">Vaccines to be used </w:t>
            </w:r>
          </w:p>
        </w:tc>
        <w:tc>
          <w:tcPr>
            <w:tcW w:w="3135" w:type="dxa"/>
            <w:tcBorders>
              <w:top w:val="single" w:sz="4" w:space="0" w:color="000000"/>
              <w:left w:val="single" w:sz="4" w:space="0" w:color="000000"/>
              <w:bottom w:val="single" w:sz="4" w:space="0" w:color="000000"/>
              <w:right w:val="single" w:sz="4" w:space="0" w:color="000000"/>
            </w:tcBorders>
          </w:tcPr>
          <w:p w14:paraId="732C8B14" w14:textId="77777777" w:rsidR="00CE5AAF" w:rsidRDefault="00E85A33">
            <w:pPr>
              <w:spacing w:after="0" w:line="259" w:lineRule="auto"/>
              <w:ind w:left="0" w:firstLine="0"/>
              <w:jc w:val="left"/>
            </w:pPr>
            <w:r>
              <w:rPr>
                <w:b/>
              </w:rPr>
              <w:t xml:space="preserve">Commercial name </w:t>
            </w:r>
          </w:p>
        </w:tc>
      </w:tr>
      <w:tr w:rsidR="00CE5AAF" w14:paraId="61154F3C" w14:textId="77777777">
        <w:trPr>
          <w:trHeight w:val="279"/>
        </w:trPr>
        <w:tc>
          <w:tcPr>
            <w:tcW w:w="3135" w:type="dxa"/>
            <w:tcBorders>
              <w:top w:val="single" w:sz="4" w:space="0" w:color="000000"/>
              <w:left w:val="single" w:sz="4" w:space="0" w:color="000000"/>
              <w:bottom w:val="single" w:sz="4" w:space="0" w:color="000000"/>
              <w:right w:val="single" w:sz="4" w:space="0" w:color="000000"/>
            </w:tcBorders>
          </w:tcPr>
          <w:p w14:paraId="54919CA7" w14:textId="77777777" w:rsidR="00CE5AAF" w:rsidRDefault="00E85A33">
            <w:pPr>
              <w:spacing w:after="0" w:line="259" w:lineRule="auto"/>
              <w:ind w:left="2" w:firstLine="0"/>
              <w:jc w:val="left"/>
            </w:pPr>
            <w:r>
              <w:t xml:space="preserve">6 in 1(IH)  </w:t>
            </w:r>
          </w:p>
        </w:tc>
        <w:tc>
          <w:tcPr>
            <w:tcW w:w="3135" w:type="dxa"/>
            <w:tcBorders>
              <w:top w:val="single" w:sz="4" w:space="0" w:color="000000"/>
              <w:left w:val="single" w:sz="4" w:space="0" w:color="000000"/>
              <w:bottom w:val="single" w:sz="4" w:space="0" w:color="000000"/>
              <w:right w:val="single" w:sz="4" w:space="0" w:color="000000"/>
            </w:tcBorders>
          </w:tcPr>
          <w:p w14:paraId="713388D5" w14:textId="77777777" w:rsidR="00CE5AAF" w:rsidRDefault="00E85A33">
            <w:pPr>
              <w:spacing w:after="0" w:line="259" w:lineRule="auto"/>
              <w:ind w:left="0" w:firstLine="0"/>
              <w:jc w:val="left"/>
            </w:pPr>
            <w:r>
              <w:t xml:space="preserve">Infanrix hexa </w:t>
            </w:r>
          </w:p>
        </w:tc>
      </w:tr>
      <w:tr w:rsidR="00CE5AAF" w14:paraId="73AF83A3"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098D9461" w14:textId="77777777" w:rsidR="00CE5AAF" w:rsidRDefault="00E85A33">
            <w:pPr>
              <w:spacing w:after="0" w:line="259" w:lineRule="auto"/>
              <w:ind w:left="2" w:firstLine="0"/>
              <w:jc w:val="left"/>
            </w:pPr>
            <w:r>
              <w:t xml:space="preserve">6 in 1(V)  </w:t>
            </w:r>
          </w:p>
        </w:tc>
        <w:tc>
          <w:tcPr>
            <w:tcW w:w="3135" w:type="dxa"/>
            <w:tcBorders>
              <w:top w:val="single" w:sz="4" w:space="0" w:color="000000"/>
              <w:left w:val="single" w:sz="4" w:space="0" w:color="000000"/>
              <w:bottom w:val="single" w:sz="4" w:space="0" w:color="000000"/>
              <w:right w:val="single" w:sz="4" w:space="0" w:color="000000"/>
            </w:tcBorders>
          </w:tcPr>
          <w:p w14:paraId="17821014" w14:textId="77777777" w:rsidR="00CE5AAF" w:rsidRDefault="00E85A33">
            <w:pPr>
              <w:spacing w:after="0" w:line="259" w:lineRule="auto"/>
              <w:ind w:left="0" w:firstLine="0"/>
              <w:jc w:val="left"/>
            </w:pPr>
            <w:r>
              <w:t xml:space="preserve">Vaxelis </w:t>
            </w:r>
          </w:p>
        </w:tc>
      </w:tr>
      <w:tr w:rsidR="00CE5AAF" w14:paraId="08F2BB7D"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2F5A0325" w14:textId="77777777" w:rsidR="00CE5AAF" w:rsidRDefault="00E85A33">
            <w:pPr>
              <w:spacing w:after="0" w:line="259" w:lineRule="auto"/>
              <w:ind w:left="2" w:firstLine="0"/>
              <w:jc w:val="left"/>
            </w:pPr>
            <w:r>
              <w:t xml:space="preserve">PCV13 </w:t>
            </w:r>
          </w:p>
        </w:tc>
        <w:tc>
          <w:tcPr>
            <w:tcW w:w="3135" w:type="dxa"/>
            <w:tcBorders>
              <w:top w:val="single" w:sz="4" w:space="0" w:color="000000"/>
              <w:left w:val="single" w:sz="4" w:space="0" w:color="000000"/>
              <w:bottom w:val="single" w:sz="4" w:space="0" w:color="000000"/>
              <w:right w:val="single" w:sz="4" w:space="0" w:color="000000"/>
            </w:tcBorders>
          </w:tcPr>
          <w:p w14:paraId="2B3770E5" w14:textId="77777777" w:rsidR="00CE5AAF" w:rsidRDefault="00E85A33">
            <w:pPr>
              <w:spacing w:after="0" w:line="259" w:lineRule="auto"/>
              <w:ind w:left="0" w:firstLine="0"/>
              <w:jc w:val="left"/>
            </w:pPr>
            <w:r>
              <w:t xml:space="preserve">Prevenar13 </w:t>
            </w:r>
          </w:p>
        </w:tc>
      </w:tr>
      <w:tr w:rsidR="00CE5AAF" w14:paraId="3921DD64"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630F6A06" w14:textId="77777777" w:rsidR="00CE5AAF" w:rsidRDefault="00E85A33">
            <w:pPr>
              <w:spacing w:after="0" w:line="259" w:lineRule="auto"/>
              <w:ind w:left="2" w:firstLine="0"/>
              <w:jc w:val="left"/>
            </w:pPr>
            <w:r>
              <w:t xml:space="preserve">MenB </w:t>
            </w:r>
          </w:p>
        </w:tc>
        <w:tc>
          <w:tcPr>
            <w:tcW w:w="3135" w:type="dxa"/>
            <w:tcBorders>
              <w:top w:val="single" w:sz="4" w:space="0" w:color="000000"/>
              <w:left w:val="single" w:sz="4" w:space="0" w:color="000000"/>
              <w:bottom w:val="single" w:sz="4" w:space="0" w:color="000000"/>
              <w:right w:val="single" w:sz="4" w:space="0" w:color="000000"/>
            </w:tcBorders>
          </w:tcPr>
          <w:p w14:paraId="61634A2F" w14:textId="77777777" w:rsidR="00CE5AAF" w:rsidRDefault="00E85A33">
            <w:pPr>
              <w:spacing w:after="0" w:line="259" w:lineRule="auto"/>
              <w:ind w:left="0" w:firstLine="0"/>
              <w:jc w:val="left"/>
            </w:pPr>
            <w:r>
              <w:t xml:space="preserve">Bexsero </w:t>
            </w:r>
          </w:p>
        </w:tc>
      </w:tr>
      <w:tr w:rsidR="00CE5AAF" w14:paraId="1F88EB01"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633729E1" w14:textId="77777777" w:rsidR="00CE5AAF" w:rsidRDefault="00E85A33">
            <w:pPr>
              <w:spacing w:after="0" w:line="259" w:lineRule="auto"/>
              <w:ind w:left="2" w:firstLine="0"/>
              <w:jc w:val="left"/>
            </w:pPr>
            <w:r>
              <w:t xml:space="preserve">Rotavirus </w:t>
            </w:r>
          </w:p>
        </w:tc>
        <w:tc>
          <w:tcPr>
            <w:tcW w:w="3135" w:type="dxa"/>
            <w:tcBorders>
              <w:top w:val="single" w:sz="4" w:space="0" w:color="000000"/>
              <w:left w:val="single" w:sz="4" w:space="0" w:color="000000"/>
              <w:bottom w:val="single" w:sz="4" w:space="0" w:color="000000"/>
              <w:right w:val="single" w:sz="4" w:space="0" w:color="000000"/>
            </w:tcBorders>
          </w:tcPr>
          <w:p w14:paraId="564E93CC" w14:textId="77777777" w:rsidR="00CE5AAF" w:rsidRDefault="00E85A33">
            <w:pPr>
              <w:spacing w:after="0" w:line="259" w:lineRule="auto"/>
              <w:ind w:left="0" w:firstLine="0"/>
              <w:jc w:val="left"/>
            </w:pPr>
            <w:r>
              <w:t xml:space="preserve">Rotarix </w:t>
            </w:r>
          </w:p>
        </w:tc>
      </w:tr>
      <w:tr w:rsidR="00CE5AAF" w14:paraId="3DA0C36F"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62AC3C6F" w14:textId="77777777" w:rsidR="00CE5AAF" w:rsidRDefault="00E85A33">
            <w:pPr>
              <w:spacing w:after="0" w:line="259" w:lineRule="auto"/>
              <w:ind w:left="2" w:firstLine="0"/>
              <w:jc w:val="left"/>
            </w:pPr>
            <w:r>
              <w:t xml:space="preserve">Hib/MenC </w:t>
            </w:r>
          </w:p>
        </w:tc>
        <w:tc>
          <w:tcPr>
            <w:tcW w:w="3135" w:type="dxa"/>
            <w:tcBorders>
              <w:top w:val="single" w:sz="4" w:space="0" w:color="000000"/>
              <w:left w:val="single" w:sz="4" w:space="0" w:color="000000"/>
              <w:bottom w:val="single" w:sz="4" w:space="0" w:color="000000"/>
              <w:right w:val="single" w:sz="4" w:space="0" w:color="000000"/>
            </w:tcBorders>
          </w:tcPr>
          <w:p w14:paraId="04975B93" w14:textId="77777777" w:rsidR="00CE5AAF" w:rsidRDefault="00E85A33">
            <w:pPr>
              <w:spacing w:after="0" w:line="259" w:lineRule="auto"/>
              <w:ind w:left="0" w:firstLine="0"/>
              <w:jc w:val="left"/>
            </w:pPr>
            <w:r>
              <w:t xml:space="preserve">Menitorix </w:t>
            </w:r>
          </w:p>
        </w:tc>
      </w:tr>
      <w:tr w:rsidR="00CE5AAF" w14:paraId="7CD9038E"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5B765988" w14:textId="77777777" w:rsidR="00CE5AAF" w:rsidRDefault="00E85A33">
            <w:pPr>
              <w:spacing w:after="0" w:line="259" w:lineRule="auto"/>
              <w:ind w:left="2" w:firstLine="0"/>
              <w:jc w:val="left"/>
            </w:pPr>
            <w:r>
              <w:t xml:space="preserve">MMR </w:t>
            </w:r>
          </w:p>
        </w:tc>
        <w:tc>
          <w:tcPr>
            <w:tcW w:w="3135" w:type="dxa"/>
            <w:tcBorders>
              <w:top w:val="single" w:sz="4" w:space="0" w:color="000000"/>
              <w:left w:val="single" w:sz="4" w:space="0" w:color="000000"/>
              <w:bottom w:val="single" w:sz="4" w:space="0" w:color="000000"/>
              <w:right w:val="single" w:sz="4" w:space="0" w:color="000000"/>
            </w:tcBorders>
          </w:tcPr>
          <w:p w14:paraId="665598EF" w14:textId="77777777" w:rsidR="00CE5AAF" w:rsidRDefault="00E85A33">
            <w:pPr>
              <w:spacing w:after="0" w:line="259" w:lineRule="auto"/>
              <w:ind w:left="0" w:firstLine="0"/>
              <w:jc w:val="left"/>
            </w:pPr>
            <w:r>
              <w:t xml:space="preserve">MMR VaxPRO or Priorix </w:t>
            </w:r>
          </w:p>
        </w:tc>
      </w:tr>
    </w:tbl>
    <w:p w14:paraId="2C6A4CA8" w14:textId="77777777" w:rsidR="00CE5AAF" w:rsidRDefault="00E85A33">
      <w:pPr>
        <w:spacing w:after="16" w:line="259" w:lineRule="auto"/>
        <w:ind w:left="0" w:firstLine="0"/>
        <w:jc w:val="left"/>
      </w:pPr>
      <w:r>
        <w:rPr>
          <w:b/>
        </w:rPr>
        <w:t xml:space="preserve"> </w:t>
      </w:r>
    </w:p>
    <w:p w14:paraId="050B9C6E" w14:textId="77777777" w:rsidR="00CE5AAF" w:rsidRDefault="00E85A33">
      <w:pPr>
        <w:spacing w:after="13" w:line="265" w:lineRule="auto"/>
        <w:ind w:left="24" w:right="3507"/>
        <w:jc w:val="left"/>
      </w:pPr>
      <w:r>
        <w:rPr>
          <w:b/>
        </w:rPr>
        <w:t xml:space="preserve">6.2 Study outcomes </w:t>
      </w:r>
    </w:p>
    <w:p w14:paraId="297CE1CF" w14:textId="77777777" w:rsidR="00CE5AAF" w:rsidRDefault="00E85A33">
      <w:pPr>
        <w:pStyle w:val="Heading4"/>
        <w:spacing w:after="19"/>
        <w:ind w:left="-5"/>
      </w:pPr>
      <w:r>
        <w:rPr>
          <w:b w:val="0"/>
          <w:sz w:val="22"/>
          <w:u w:val="single" w:color="000000"/>
        </w:rPr>
        <w:t>Immunogenicity</w:t>
      </w:r>
      <w:r>
        <w:rPr>
          <w:b w:val="0"/>
          <w:sz w:val="22"/>
        </w:rPr>
        <w:t xml:space="preserve">  </w:t>
      </w:r>
    </w:p>
    <w:p w14:paraId="36EF7E5E" w14:textId="77777777" w:rsidR="00CE5AAF" w:rsidRDefault="00E85A33">
      <w:pPr>
        <w:spacing w:after="16" w:line="259" w:lineRule="auto"/>
        <w:ind w:left="0" w:firstLine="0"/>
        <w:jc w:val="left"/>
      </w:pPr>
      <w:r>
        <w:t xml:space="preserve"> </w:t>
      </w:r>
    </w:p>
    <w:p w14:paraId="1CCFB085" w14:textId="77777777" w:rsidR="00CE5AAF" w:rsidRDefault="00E85A33">
      <w:pPr>
        <w:spacing w:after="4"/>
        <w:ind w:left="24"/>
      </w:pPr>
      <w:r>
        <w:t xml:space="preserve">Blood samples will be tested for immunogenicity of the vaccines administered in the routine UK schedule and the two vaccines under investigation in this study (6 in 1(IH) and 6 in 1(V)). The primary outcome is to determine immunogenicity to Hib through anti-PRP Hib IgG concentrations at 5 months of age. The secondary outcomes are to determine immunogenicity to Hib through anti-PRP Hib IgG concentrations at 13 months of age, the IgG concentrations against diphtheria-toxoid, tetanus-toxoid, Hepatitis B, vaccine serotype pneumococcal capsule, pertussis antigens and poliovirus neutralising antibodies and SBA titres against 3 reference serogroup B meningococcal strains at 5 and 13 months of age and serogroup C meningococcus at 13 months of age. </w:t>
      </w:r>
    </w:p>
    <w:p w14:paraId="66B3A605" w14:textId="77777777" w:rsidR="00CE5AAF" w:rsidRDefault="00E85A33">
      <w:pPr>
        <w:spacing w:after="19" w:line="259" w:lineRule="auto"/>
        <w:ind w:left="0" w:firstLine="0"/>
        <w:jc w:val="left"/>
      </w:pPr>
      <w:r>
        <w:t xml:space="preserve"> </w:t>
      </w:r>
    </w:p>
    <w:p w14:paraId="14F50781" w14:textId="77777777" w:rsidR="00CE5AAF" w:rsidRDefault="00E85A33">
      <w:pPr>
        <w:pStyle w:val="Heading4"/>
        <w:spacing w:after="16"/>
        <w:ind w:left="-5"/>
      </w:pPr>
      <w:r>
        <w:rPr>
          <w:b w:val="0"/>
          <w:sz w:val="22"/>
          <w:u w:val="single" w:color="000000"/>
        </w:rPr>
        <w:t>Reactogencity</w:t>
      </w:r>
      <w:r>
        <w:rPr>
          <w:b w:val="0"/>
          <w:sz w:val="22"/>
        </w:rPr>
        <w:t xml:space="preserve">  </w:t>
      </w:r>
    </w:p>
    <w:p w14:paraId="172D92BE" w14:textId="77777777" w:rsidR="00CE5AAF" w:rsidRDefault="00E85A33">
      <w:pPr>
        <w:spacing w:after="19" w:line="259" w:lineRule="auto"/>
        <w:ind w:left="0" w:firstLine="0"/>
        <w:jc w:val="left"/>
      </w:pPr>
      <w:r>
        <w:t xml:space="preserve"> </w:t>
      </w:r>
    </w:p>
    <w:p w14:paraId="4A634350" w14:textId="0DC1348C" w:rsidR="00CE5AAF" w:rsidRDefault="00E85A33">
      <w:pPr>
        <w:spacing w:after="127"/>
        <w:ind w:left="24"/>
      </w:pPr>
      <w:r>
        <w:t>Reactogenicity will be measured after each vaccination visit through the collection of information from participant diaries. The parents/legal guardians of participants will be asked to maintain an electronic</w:t>
      </w:r>
      <w:r w:rsidR="004600CD">
        <w:t>/paper</w:t>
      </w:r>
      <w:r>
        <w:t xml:space="preserve"> diary card detailing all (solicited and unsolicited) reactions in the 5 days following vaccination after each vaccination visit for both groups (Visit 1, Visit 2, Visit 3 and Visit 5). Comparison of reactogenicity data between the two study groups will allow us to determine if one schedule is more reactogenic than the other. We will ask parents to measure participant’s temperature daily using axillary thermometers supplied by the study team.  </w:t>
      </w:r>
    </w:p>
    <w:p w14:paraId="5D1A280E" w14:textId="77777777" w:rsidR="00CE5AAF" w:rsidRDefault="00E85A33">
      <w:pPr>
        <w:spacing w:after="251"/>
        <w:ind w:left="24"/>
      </w:pPr>
      <w:r>
        <w:t xml:space="preserve">For participants in both groups, parents/legal guardians will be asked to record: </w:t>
      </w:r>
    </w:p>
    <w:p w14:paraId="6A7DE3AD" w14:textId="12CBF547" w:rsidR="004600CD" w:rsidRDefault="00E85A33" w:rsidP="00C54D53">
      <w:pPr>
        <w:pStyle w:val="ListParagraph"/>
        <w:numPr>
          <w:ilvl w:val="0"/>
          <w:numId w:val="22"/>
        </w:numPr>
      </w:pPr>
      <w:r>
        <w:t xml:space="preserve">For 5 days post vaccination; details of any illnesses, and any medicines </w:t>
      </w:r>
      <w:r w:rsidR="004600CD">
        <w:t>including</w:t>
      </w:r>
      <w:r>
        <w:t xml:space="preserve"> prescription medications given to treat these. </w:t>
      </w:r>
    </w:p>
    <w:p w14:paraId="43B1294C" w14:textId="27BE20AC" w:rsidR="00CE5AAF" w:rsidRDefault="004600CD" w:rsidP="00C54D53">
      <w:pPr>
        <w:pStyle w:val="ListParagraph"/>
        <w:numPr>
          <w:ilvl w:val="0"/>
          <w:numId w:val="22"/>
        </w:numPr>
      </w:pPr>
      <w:r>
        <w:t xml:space="preserve">Any </w:t>
      </w:r>
      <w:r w:rsidR="00E85A33">
        <w:t>illness considered serious (i.e. those that would be classified as a serious adverse event)</w:t>
      </w:r>
      <w:r>
        <w:t xml:space="preserve"> for the duration of the study.</w:t>
      </w:r>
      <w:r w:rsidR="00E85A33">
        <w:t xml:space="preserve"> </w:t>
      </w:r>
    </w:p>
    <w:p w14:paraId="7E8A1AA7" w14:textId="77777777" w:rsidR="00CE5AAF" w:rsidRDefault="00E85A33">
      <w:pPr>
        <w:spacing w:after="218" w:line="259" w:lineRule="auto"/>
        <w:ind w:left="0" w:firstLine="0"/>
        <w:jc w:val="left"/>
      </w:pPr>
      <w:r>
        <w:t xml:space="preserve"> </w:t>
      </w:r>
    </w:p>
    <w:p w14:paraId="2B97EA80" w14:textId="0BA5F308" w:rsidR="00CE5AAF" w:rsidRDefault="00E85A33" w:rsidP="004600CD">
      <w:pPr>
        <w:spacing w:after="218" w:line="259" w:lineRule="auto"/>
        <w:ind w:left="0" w:firstLine="0"/>
        <w:jc w:val="left"/>
      </w:pPr>
      <w:r>
        <w:t xml:space="preserve"> </w:t>
      </w:r>
    </w:p>
    <w:p w14:paraId="7E0C08FD" w14:textId="77777777" w:rsidR="00CE5AAF" w:rsidRDefault="00E85A33">
      <w:pPr>
        <w:pStyle w:val="Heading2"/>
        <w:spacing w:after="524"/>
        <w:ind w:left="24" w:right="3507"/>
      </w:pPr>
      <w:r>
        <w:t>7.</w:t>
      </w:r>
      <w:r>
        <w:rPr>
          <w:rFonts w:ascii="Arial" w:eastAsia="Arial" w:hAnsi="Arial" w:cs="Arial"/>
        </w:rPr>
        <w:t xml:space="preserve"> </w:t>
      </w:r>
      <w:r>
        <w:t xml:space="preserve">PARTICIPANT IDENTIFICATION </w:t>
      </w:r>
    </w:p>
    <w:p w14:paraId="2EC1BF9B" w14:textId="77777777" w:rsidR="00CE5AAF" w:rsidRDefault="00E85A33">
      <w:pPr>
        <w:spacing w:after="13" w:line="265" w:lineRule="auto"/>
        <w:ind w:left="370" w:right="3507"/>
        <w:jc w:val="left"/>
      </w:pPr>
      <w:r>
        <w:rPr>
          <w:b/>
        </w:rPr>
        <w:t>7.1.</w:t>
      </w:r>
      <w:r>
        <w:rPr>
          <w:rFonts w:ascii="Arial" w:eastAsia="Arial" w:hAnsi="Arial" w:cs="Arial"/>
          <w:b/>
        </w:rPr>
        <w:t xml:space="preserve"> </w:t>
      </w:r>
      <w:r>
        <w:rPr>
          <w:b/>
        </w:rPr>
        <w:t xml:space="preserve">Trial Participants </w:t>
      </w:r>
    </w:p>
    <w:p w14:paraId="59E07426" w14:textId="77777777" w:rsidR="00CE5AAF" w:rsidRDefault="00E85A33">
      <w:pPr>
        <w:spacing w:after="218" w:line="259" w:lineRule="auto"/>
        <w:ind w:left="0" w:firstLine="0"/>
        <w:jc w:val="left"/>
      </w:pPr>
      <w:r>
        <w:t xml:space="preserve"> </w:t>
      </w:r>
    </w:p>
    <w:p w14:paraId="12D4C3A7" w14:textId="77777777" w:rsidR="00CE5AAF" w:rsidRDefault="00E85A33">
      <w:pPr>
        <w:spacing w:after="518"/>
        <w:ind w:left="24"/>
      </w:pPr>
      <w:r>
        <w:t xml:space="preserve">Healthy infants aged 8 to 13+0 weeks who are yet to receive their routine 2 month immunisations. </w:t>
      </w:r>
    </w:p>
    <w:p w14:paraId="07629C16" w14:textId="77777777" w:rsidR="00CE5AAF" w:rsidRDefault="00E85A33">
      <w:pPr>
        <w:pStyle w:val="Heading3"/>
        <w:ind w:left="370" w:right="3507"/>
      </w:pPr>
      <w:r>
        <w:t>7.2.</w:t>
      </w:r>
      <w:r>
        <w:rPr>
          <w:rFonts w:ascii="Arial" w:eastAsia="Arial" w:hAnsi="Arial" w:cs="Arial"/>
        </w:rPr>
        <w:t xml:space="preserve"> </w:t>
      </w:r>
      <w:r>
        <w:t xml:space="preserve">Inclusion Criteria </w:t>
      </w:r>
    </w:p>
    <w:p w14:paraId="6D0AB73B" w14:textId="77777777" w:rsidR="00CE5AAF" w:rsidRDefault="00E85A33">
      <w:pPr>
        <w:spacing w:after="218" w:line="259" w:lineRule="auto"/>
        <w:ind w:left="0" w:firstLine="0"/>
        <w:jc w:val="left"/>
      </w:pPr>
      <w:r>
        <w:t xml:space="preserve"> </w:t>
      </w:r>
    </w:p>
    <w:p w14:paraId="4F2437F6" w14:textId="77777777" w:rsidR="00CE5AAF" w:rsidRDefault="00E85A33">
      <w:pPr>
        <w:spacing w:after="251"/>
        <w:ind w:left="24"/>
      </w:pPr>
      <w:r>
        <w:t xml:space="preserve">For recruitment to all study groups, participants MUST FULFILL each of the below criterion: </w:t>
      </w:r>
    </w:p>
    <w:p w14:paraId="3B83B701" w14:textId="77777777" w:rsidR="00CE5AAF" w:rsidRDefault="00E85A33">
      <w:pPr>
        <w:numPr>
          <w:ilvl w:val="0"/>
          <w:numId w:val="6"/>
        </w:numPr>
        <w:spacing w:after="47" w:line="359" w:lineRule="auto"/>
        <w:ind w:hanging="360"/>
      </w:pPr>
      <w:r>
        <w:t xml:space="preserve">Parents/legal guardians are over 16 years of age, and are willing and able to consent to enrol their child/children in the study </w:t>
      </w:r>
    </w:p>
    <w:p w14:paraId="471064A6" w14:textId="2F2C7AA5" w:rsidR="00CE5AAF" w:rsidRDefault="00E85A33">
      <w:pPr>
        <w:numPr>
          <w:ilvl w:val="0"/>
          <w:numId w:val="6"/>
        </w:numPr>
        <w:spacing w:after="46" w:line="359" w:lineRule="auto"/>
        <w:ind w:hanging="360"/>
      </w:pPr>
      <w:r>
        <w:t xml:space="preserve">Parents/legal guardians able </w:t>
      </w:r>
      <w:r w:rsidR="004600CD">
        <w:t xml:space="preserve">to </w:t>
      </w:r>
      <w:r>
        <w:t xml:space="preserve">comply with the requirements of the trial protocol and have internet access for the duration of the study </w:t>
      </w:r>
    </w:p>
    <w:p w14:paraId="5AF2127D" w14:textId="77777777" w:rsidR="00CE5AAF" w:rsidRDefault="00E85A33">
      <w:pPr>
        <w:numPr>
          <w:ilvl w:val="0"/>
          <w:numId w:val="6"/>
        </w:numPr>
        <w:spacing w:after="49" w:line="357" w:lineRule="auto"/>
        <w:ind w:hanging="360"/>
      </w:pPr>
      <w:r>
        <w:t xml:space="preserve">Parents/legal guardians are willing to allow their General Practitioner, health visitor and consultant, if appropriate, to be notified of participation in the trial. </w:t>
      </w:r>
    </w:p>
    <w:p w14:paraId="13BC2B9E" w14:textId="43F82DD1" w:rsidR="00CE5AAF" w:rsidRDefault="00E85A33">
      <w:pPr>
        <w:numPr>
          <w:ilvl w:val="0"/>
          <w:numId w:val="6"/>
        </w:numPr>
        <w:spacing w:after="122"/>
        <w:ind w:hanging="360"/>
      </w:pPr>
      <w:r>
        <w:t xml:space="preserve">Participants born at </w:t>
      </w:r>
      <w:r w:rsidR="0039182A">
        <w:rPr>
          <w:rFonts w:ascii="Segoe UI Symbol" w:eastAsia="Segoe UI Symbol" w:hAnsi="Segoe UI Symbol" w:cs="Segoe UI Symbol"/>
        </w:rPr>
        <w:t>≥</w:t>
      </w:r>
      <w:r>
        <w:t xml:space="preserve"> 37 weeks gestation </w:t>
      </w:r>
    </w:p>
    <w:p w14:paraId="34E1F696" w14:textId="77777777" w:rsidR="00CE5AAF" w:rsidRDefault="00E85A33">
      <w:pPr>
        <w:numPr>
          <w:ilvl w:val="0"/>
          <w:numId w:val="6"/>
        </w:numPr>
        <w:spacing w:after="513" w:line="359" w:lineRule="auto"/>
        <w:ind w:hanging="360"/>
      </w:pPr>
      <w:r>
        <w:t xml:space="preserve">Participants are due to receive their primary immunisations, aged 8 to 13 weeks (i.e. the day the child turns 13 weeks of age) at enrolment </w:t>
      </w:r>
    </w:p>
    <w:p w14:paraId="5BBD9615" w14:textId="77777777" w:rsidR="00CE5AAF" w:rsidRDefault="00E85A33">
      <w:pPr>
        <w:pStyle w:val="Heading3"/>
        <w:ind w:left="370" w:right="3507"/>
      </w:pPr>
      <w:r>
        <w:t>7.3.</w:t>
      </w:r>
      <w:r>
        <w:rPr>
          <w:rFonts w:ascii="Arial" w:eastAsia="Arial" w:hAnsi="Arial" w:cs="Arial"/>
        </w:rPr>
        <w:t xml:space="preserve"> </w:t>
      </w:r>
      <w:r>
        <w:t xml:space="preserve">Exclusion Criteria </w:t>
      </w:r>
    </w:p>
    <w:p w14:paraId="1333894F" w14:textId="77777777" w:rsidR="00CE5AAF" w:rsidRDefault="00E85A33">
      <w:pPr>
        <w:spacing w:after="218" w:line="259" w:lineRule="auto"/>
        <w:ind w:left="0" w:firstLine="0"/>
        <w:jc w:val="left"/>
      </w:pPr>
      <w:r>
        <w:t xml:space="preserve"> </w:t>
      </w:r>
    </w:p>
    <w:p w14:paraId="3B2761D5" w14:textId="77777777" w:rsidR="00CE5AAF" w:rsidRDefault="00E85A33">
      <w:pPr>
        <w:spacing w:after="251"/>
        <w:ind w:left="24"/>
      </w:pPr>
      <w:r>
        <w:t xml:space="preserve">The participant may not enter the trial IF ANY of the following apply: </w:t>
      </w:r>
    </w:p>
    <w:p w14:paraId="70E102D1" w14:textId="77777777" w:rsidR="00CE5AAF" w:rsidRDefault="00E85A33">
      <w:pPr>
        <w:numPr>
          <w:ilvl w:val="0"/>
          <w:numId w:val="7"/>
        </w:numPr>
        <w:spacing w:after="121"/>
        <w:ind w:hanging="360"/>
      </w:pPr>
      <w:r>
        <w:t xml:space="preserve">Parents/legal guardians of children are on the delegation log of this study </w:t>
      </w:r>
    </w:p>
    <w:p w14:paraId="0335EEFC" w14:textId="77777777" w:rsidR="00CE5AAF" w:rsidRDefault="00E85A33">
      <w:pPr>
        <w:numPr>
          <w:ilvl w:val="0"/>
          <w:numId w:val="7"/>
        </w:numPr>
        <w:spacing w:after="122"/>
        <w:ind w:hanging="360"/>
      </w:pPr>
      <w:r>
        <w:t xml:space="preserve">Confirmed or suspected immunodeficiency </w:t>
      </w:r>
    </w:p>
    <w:p w14:paraId="471DF21E" w14:textId="77777777" w:rsidR="00CE5AAF" w:rsidRDefault="00E85A33">
      <w:pPr>
        <w:numPr>
          <w:ilvl w:val="0"/>
          <w:numId w:val="7"/>
        </w:numPr>
        <w:spacing w:after="26"/>
        <w:ind w:hanging="360"/>
      </w:pPr>
      <w:r>
        <w:t xml:space="preserve">Fulfil any of the contraindications to vaccination as specified in The Green Book (11) </w:t>
      </w:r>
    </w:p>
    <w:p w14:paraId="62DE480F" w14:textId="77777777" w:rsidR="00CE5AAF" w:rsidRDefault="00E85A33">
      <w:pPr>
        <w:numPr>
          <w:ilvl w:val="0"/>
          <w:numId w:val="7"/>
        </w:numPr>
        <w:spacing w:after="28"/>
        <w:ind w:hanging="360"/>
      </w:pPr>
      <w:r>
        <w:t xml:space="preserve">Confirmed anaphylactic reaction/s to any constituent/s or excipient/s of the vaccine(s) </w:t>
      </w:r>
    </w:p>
    <w:p w14:paraId="047F4C28" w14:textId="77777777" w:rsidR="00CE5AAF" w:rsidRDefault="00E85A33">
      <w:pPr>
        <w:numPr>
          <w:ilvl w:val="0"/>
          <w:numId w:val="7"/>
        </w:numPr>
        <w:spacing w:after="1" w:line="275" w:lineRule="auto"/>
        <w:ind w:hanging="360"/>
      </w:pPr>
      <w:r>
        <w:t xml:space="preserve">Confirmed anaphylactic reaction to neomycin, streptomycin or polymyxin B (which may be present in trace amounts in the tetanus vaccine), kanamycin, histidine, sodium chloride or sucrose (which may be present in trace amounts in the Meningococcal B vaccine) or to gelatin </w:t>
      </w:r>
    </w:p>
    <w:p w14:paraId="229952CE" w14:textId="77777777" w:rsidR="00CE5AAF" w:rsidRDefault="00E85A33">
      <w:pPr>
        <w:spacing w:after="52"/>
        <w:ind w:left="730"/>
      </w:pPr>
      <w:r>
        <w:t xml:space="preserve">(which may be present in trace amounts in the MMR vaccine) </w:t>
      </w:r>
    </w:p>
    <w:p w14:paraId="6F0A6C1E" w14:textId="77777777" w:rsidR="00CE5AAF" w:rsidRDefault="00E85A33">
      <w:pPr>
        <w:numPr>
          <w:ilvl w:val="0"/>
          <w:numId w:val="7"/>
        </w:numPr>
        <w:spacing w:after="50"/>
        <w:ind w:hanging="360"/>
      </w:pPr>
      <w:r>
        <w:t xml:space="preserve">Latex hypersensitivity (the syringe cap of the Meningococcal B vaccine Bexsero may contain natural rubber latex) </w:t>
      </w:r>
    </w:p>
    <w:p w14:paraId="7DE2BF71" w14:textId="77777777" w:rsidR="00CE5AAF" w:rsidRDefault="00E85A33">
      <w:pPr>
        <w:numPr>
          <w:ilvl w:val="0"/>
          <w:numId w:val="7"/>
        </w:numPr>
        <w:spacing w:after="51"/>
        <w:ind w:hanging="360"/>
      </w:pPr>
      <w:r>
        <w:t xml:space="preserve">Any other significant disease or disorder which, in the opinion of the Investigator, may either put the participants at risk because of participation in the trial, or may influence the result of the trial, or the participant’s ability to participate in the trial. </w:t>
      </w:r>
    </w:p>
    <w:p w14:paraId="7ED75EB0" w14:textId="77777777" w:rsidR="00CE5AAF" w:rsidRDefault="00E85A33">
      <w:pPr>
        <w:numPr>
          <w:ilvl w:val="0"/>
          <w:numId w:val="7"/>
        </w:numPr>
        <w:ind w:hanging="360"/>
      </w:pPr>
      <w:r>
        <w:t xml:space="preserve">Child is currently participating in another interventional clinical trial </w:t>
      </w:r>
    </w:p>
    <w:p w14:paraId="275883E5" w14:textId="77777777" w:rsidR="00CE5AAF" w:rsidRDefault="00E85A33">
      <w:pPr>
        <w:spacing w:after="213" w:line="265" w:lineRule="auto"/>
        <w:ind w:left="24" w:right="3507"/>
        <w:jc w:val="left"/>
      </w:pPr>
      <w:r>
        <w:rPr>
          <w:b/>
        </w:rPr>
        <w:t xml:space="preserve">7.4 Temporary exclusions for all groups </w:t>
      </w:r>
    </w:p>
    <w:p w14:paraId="09C8A8B5" w14:textId="77777777" w:rsidR="00CE5AAF" w:rsidRDefault="00E85A33">
      <w:pPr>
        <w:pStyle w:val="Heading3"/>
        <w:spacing w:after="261" w:line="259" w:lineRule="auto"/>
        <w:ind w:left="-5"/>
      </w:pPr>
      <w:r>
        <w:rPr>
          <w:b w:val="0"/>
          <w:u w:val="single" w:color="000000"/>
        </w:rPr>
        <w:t>For a vaccination visit only (visit 1, 2, 3, and 5)</w:t>
      </w:r>
      <w:r>
        <w:rPr>
          <w:b w:val="0"/>
        </w:rPr>
        <w:t xml:space="preserve"> </w:t>
      </w:r>
    </w:p>
    <w:p w14:paraId="71FCEA4A" w14:textId="77777777" w:rsidR="00CE5AAF" w:rsidRDefault="00E85A33">
      <w:pPr>
        <w:numPr>
          <w:ilvl w:val="0"/>
          <w:numId w:val="8"/>
        </w:numPr>
        <w:spacing w:after="26"/>
        <w:ind w:hanging="360"/>
      </w:pPr>
      <w:r>
        <w:t xml:space="preserve">Administration of any other vaccine within 14 days prior to study vaccines. </w:t>
      </w:r>
    </w:p>
    <w:p w14:paraId="0EB4FE1D" w14:textId="77777777" w:rsidR="00CE5AAF" w:rsidRDefault="00E85A33">
      <w:pPr>
        <w:numPr>
          <w:ilvl w:val="0"/>
          <w:numId w:val="8"/>
        </w:numPr>
        <w:spacing w:after="48"/>
        <w:ind w:hanging="360"/>
      </w:pPr>
      <w:r>
        <w:t xml:space="preserve">Scheduled elective surgery, planned admission or other procedures requiring general anaesthesia within 7 days of receiving a vaccine. </w:t>
      </w:r>
    </w:p>
    <w:p w14:paraId="5085614C" w14:textId="77777777" w:rsidR="00CE5AAF" w:rsidRDefault="00E85A33">
      <w:pPr>
        <w:numPr>
          <w:ilvl w:val="0"/>
          <w:numId w:val="8"/>
        </w:numPr>
        <w:spacing w:after="74"/>
        <w:ind w:hanging="360"/>
      </w:pPr>
      <w:r>
        <w:t xml:space="preserve">Febrile illness (axillary temperature ≥38.0°C) within the previous 24 hours or on the day of vaccination. </w:t>
      </w:r>
    </w:p>
    <w:p w14:paraId="27F27462" w14:textId="77777777" w:rsidR="00CE5AAF" w:rsidRDefault="00E85A33">
      <w:pPr>
        <w:spacing w:after="91" w:line="259" w:lineRule="auto"/>
        <w:ind w:left="0" w:firstLine="0"/>
        <w:jc w:val="left"/>
      </w:pPr>
      <w:r>
        <w:t xml:space="preserve"> </w:t>
      </w:r>
    </w:p>
    <w:p w14:paraId="1B6789ED" w14:textId="77777777" w:rsidR="00CE5AAF" w:rsidRDefault="00E85A33">
      <w:pPr>
        <w:spacing w:after="88" w:line="259" w:lineRule="auto"/>
        <w:ind w:left="-5"/>
        <w:jc w:val="left"/>
      </w:pPr>
      <w:r>
        <w:rPr>
          <w:u w:val="single" w:color="000000"/>
        </w:rPr>
        <w:t>For a blood sampling visit only (visit 4 and 6)</w:t>
      </w:r>
      <w:r>
        <w:t xml:space="preserve"> </w:t>
      </w:r>
    </w:p>
    <w:p w14:paraId="6E231705" w14:textId="77777777" w:rsidR="00CE5AAF" w:rsidRDefault="00E85A33" w:rsidP="004E3544">
      <w:pPr>
        <w:pStyle w:val="ListParagraph"/>
        <w:numPr>
          <w:ilvl w:val="0"/>
          <w:numId w:val="27"/>
        </w:numPr>
        <w:spacing w:after="521"/>
      </w:pPr>
      <w:r>
        <w:t xml:space="preserve">Have received parenteral or oral antibiotics within the last 7 days. </w:t>
      </w:r>
    </w:p>
    <w:p w14:paraId="5337176C" w14:textId="77777777" w:rsidR="00CE5AAF" w:rsidRDefault="00E85A33">
      <w:pPr>
        <w:pStyle w:val="Heading2"/>
        <w:spacing w:after="524"/>
        <w:ind w:left="24" w:right="3507"/>
      </w:pPr>
      <w:r>
        <w:t>8.</w:t>
      </w:r>
      <w:r>
        <w:rPr>
          <w:rFonts w:ascii="Arial" w:eastAsia="Arial" w:hAnsi="Arial" w:cs="Arial"/>
        </w:rPr>
        <w:t xml:space="preserve"> </w:t>
      </w:r>
      <w:r>
        <w:t xml:space="preserve">TRIAL PROCEDURES </w:t>
      </w:r>
    </w:p>
    <w:p w14:paraId="038A66C6" w14:textId="77777777" w:rsidR="00CE5AAF" w:rsidRDefault="00E85A33">
      <w:pPr>
        <w:pStyle w:val="Heading3"/>
        <w:ind w:left="370" w:right="3507"/>
      </w:pPr>
      <w:r>
        <w:t>8.1.</w:t>
      </w:r>
      <w:r>
        <w:rPr>
          <w:rFonts w:ascii="Arial" w:eastAsia="Arial" w:hAnsi="Arial" w:cs="Arial"/>
        </w:rPr>
        <w:t xml:space="preserve"> </w:t>
      </w:r>
      <w:r>
        <w:t xml:space="preserve">Recruitment </w:t>
      </w:r>
    </w:p>
    <w:p w14:paraId="6F9579EA" w14:textId="77777777" w:rsidR="00CE5AAF" w:rsidRDefault="00E85A33">
      <w:pPr>
        <w:spacing w:after="19" w:line="259" w:lineRule="auto"/>
        <w:ind w:left="0" w:firstLine="0"/>
        <w:jc w:val="left"/>
      </w:pPr>
      <w:r>
        <w:t xml:space="preserve"> </w:t>
      </w:r>
    </w:p>
    <w:p w14:paraId="54730ADB" w14:textId="230281C5" w:rsidR="00CE5AAF" w:rsidRDefault="00E85A33">
      <w:pPr>
        <w:spacing w:after="5"/>
        <w:ind w:left="24"/>
      </w:pPr>
      <w:r>
        <w:t xml:space="preserve">Recruitment will take place in geographical areas where appropriate approvals have been granted. Parents/legal guardians of potential participants will be informed of the study through similar methods employed for other paediatric studies including website based advertising, social media, contacting families registered with a study site research database and poster advertisements. The participant information will be available on websites if available and recruitment material can direct potential participants to this. </w:t>
      </w:r>
    </w:p>
    <w:p w14:paraId="5C744F58" w14:textId="77777777" w:rsidR="00CE5AAF" w:rsidRDefault="00E85A33">
      <w:pPr>
        <w:spacing w:after="16" w:line="259" w:lineRule="auto"/>
        <w:ind w:left="0" w:firstLine="0"/>
        <w:jc w:val="left"/>
      </w:pPr>
      <w:r>
        <w:t xml:space="preserve"> </w:t>
      </w:r>
    </w:p>
    <w:p w14:paraId="7514D05C" w14:textId="77777777" w:rsidR="00CE5AAF" w:rsidRDefault="00E85A33">
      <w:pPr>
        <w:ind w:left="24"/>
      </w:pPr>
      <w:r>
        <w:t xml:space="preserve">We may also identify potential participants by mailing out invitation letters (with reply slip and pre-paid envelope) and the study information booklets to the parents/legal guardians of age appropriate children via the Open Exeter system of National Health Application and Infrastructure Services, the Child Health Information Service, equivalent NHS database or through the Clinical Research Network.  </w:t>
      </w:r>
    </w:p>
    <w:p w14:paraId="3A8A611E" w14:textId="77777777" w:rsidR="00CE5AAF" w:rsidRDefault="00E85A33">
      <w:pPr>
        <w:spacing w:after="515"/>
        <w:ind w:left="24"/>
      </w:pPr>
      <w:r>
        <w:t xml:space="preserve">Those parents/legal guardians that indicate that they do not want to take part in the study and/or receive further communication about the study will not be included in any subsequent contact lists.  </w:t>
      </w:r>
    </w:p>
    <w:p w14:paraId="69BC93F0" w14:textId="77777777" w:rsidR="00CE5AAF" w:rsidRDefault="00E85A33">
      <w:pPr>
        <w:pStyle w:val="Heading3"/>
        <w:ind w:left="370" w:right="3507"/>
      </w:pPr>
      <w:r>
        <w:t>8.1.</w:t>
      </w:r>
      <w:r>
        <w:rPr>
          <w:rFonts w:ascii="Arial" w:eastAsia="Arial" w:hAnsi="Arial" w:cs="Arial"/>
        </w:rPr>
        <w:t xml:space="preserve"> </w:t>
      </w:r>
      <w:r>
        <w:t xml:space="preserve">Screening and Eligibility Assessment </w:t>
      </w:r>
    </w:p>
    <w:p w14:paraId="02844871" w14:textId="77777777" w:rsidR="00CE5AAF" w:rsidRDefault="00E85A33">
      <w:pPr>
        <w:spacing w:after="19" w:line="259" w:lineRule="auto"/>
        <w:ind w:left="0" w:firstLine="0"/>
        <w:jc w:val="left"/>
      </w:pPr>
      <w:r>
        <w:t xml:space="preserve"> </w:t>
      </w:r>
    </w:p>
    <w:p w14:paraId="27DBB9E5" w14:textId="100EA094" w:rsidR="00CE5AAF" w:rsidRDefault="00E85A33">
      <w:pPr>
        <w:spacing w:after="15"/>
        <w:ind w:left="24"/>
      </w:pPr>
      <w:r>
        <w:t>Once an expression of interest to take part in this study has been received</w:t>
      </w:r>
      <w:r w:rsidR="004600CD">
        <w:t>,</w:t>
      </w:r>
      <w:r>
        <w:t xml:space="preserve"> study staff will contact parents/legal guardians of potential participants either by phone or email to answer any questions and/or discuss the study further, conduct an eligibility check and book the 1</w:t>
      </w:r>
      <w:r>
        <w:rPr>
          <w:vertAlign w:val="superscript"/>
        </w:rPr>
        <w:t>st</w:t>
      </w:r>
      <w:r>
        <w:t xml:space="preserve"> visit.   </w:t>
      </w:r>
    </w:p>
    <w:p w14:paraId="33774B6E" w14:textId="77777777" w:rsidR="00CE5AAF" w:rsidRDefault="00E85A33">
      <w:pPr>
        <w:spacing w:after="19" w:line="259" w:lineRule="auto"/>
        <w:ind w:left="0" w:firstLine="0"/>
        <w:jc w:val="left"/>
      </w:pPr>
      <w:r>
        <w:t xml:space="preserve"> </w:t>
      </w:r>
    </w:p>
    <w:p w14:paraId="02957F26" w14:textId="32392A0D" w:rsidR="00CE5AAF" w:rsidRDefault="00E85A33">
      <w:pPr>
        <w:spacing w:after="518"/>
        <w:ind w:left="24"/>
      </w:pPr>
      <w:r>
        <w:t>During the first study visit, the participant’s eligibility will be assessed by a study doctor after a medical history has been taken and examination performed. Parents/legal guardians must have given written informed consent prior to an eligibility check being performed. If available, the participant’s mother will be asked to give consent to access her immunisation history. This is due to the UK Department of Health pertussis immunisation programme that offers all pregnant women in the UK a vaccine against pertussis during pregnancy and this possible effect on infant’s immune response to the pertussis vaccine (12)</w:t>
      </w:r>
      <w:r w:rsidR="004600CD">
        <w:t>.</w:t>
      </w:r>
      <w:r>
        <w:t xml:space="preserve"> Throughout the study, parents/legal guardians would be discouraged from administering analgesic agents with antipyretic effects in the 12 hours prior to vaccination with 6 in 1(IH) or 6 in 1(V). If this is unavoidable, this should be documented and vaccination and study participation should continue as planned. </w:t>
      </w:r>
    </w:p>
    <w:p w14:paraId="3C3B9385" w14:textId="77777777" w:rsidR="00CE5AAF" w:rsidRDefault="00E85A33">
      <w:pPr>
        <w:pStyle w:val="Heading3"/>
        <w:ind w:left="370" w:right="3507"/>
      </w:pPr>
      <w:r>
        <w:t>8.2.</w:t>
      </w:r>
      <w:r>
        <w:rPr>
          <w:rFonts w:ascii="Arial" w:eastAsia="Arial" w:hAnsi="Arial" w:cs="Arial"/>
        </w:rPr>
        <w:t xml:space="preserve"> </w:t>
      </w:r>
      <w:r>
        <w:t xml:space="preserve">Informed Consent </w:t>
      </w:r>
    </w:p>
    <w:p w14:paraId="5497306E" w14:textId="77777777" w:rsidR="00CE5AAF" w:rsidRDefault="00E85A33">
      <w:pPr>
        <w:spacing w:after="215" w:line="259" w:lineRule="auto"/>
        <w:ind w:left="0" w:firstLine="0"/>
        <w:jc w:val="left"/>
      </w:pPr>
      <w:r>
        <w:t xml:space="preserve"> </w:t>
      </w:r>
    </w:p>
    <w:p w14:paraId="4729D802" w14:textId="77777777" w:rsidR="00CE5AAF" w:rsidRDefault="00E85A33">
      <w:pPr>
        <w:ind w:left="24"/>
      </w:pPr>
      <w:r>
        <w:t xml:space="preserve">The parent/legal guardian of the participant will personally sign and date the latest approved version of the Informed Consent form. Where possible, the participant’s mother will be asked to sign the consent form to ensure we have permission to obtain her pertussis immunisation history during pregnancy. </w:t>
      </w:r>
    </w:p>
    <w:p w14:paraId="2B509BB8" w14:textId="77777777" w:rsidR="00CE5AAF" w:rsidRDefault="00E85A33">
      <w:pPr>
        <w:spacing w:after="247"/>
        <w:ind w:left="24"/>
      </w:pPr>
      <w:r>
        <w:t xml:space="preserve">A written version and verbal explanation of the Study Information leaflet and Informed Consent will be presented to the parent/legal guardian of the participant detailing: </w:t>
      </w:r>
    </w:p>
    <w:p w14:paraId="4E72B743" w14:textId="77777777" w:rsidR="00CE5AAF" w:rsidRDefault="00E85A33">
      <w:pPr>
        <w:numPr>
          <w:ilvl w:val="0"/>
          <w:numId w:val="9"/>
        </w:numPr>
        <w:spacing w:after="149"/>
        <w:ind w:left="770" w:hanging="410"/>
      </w:pPr>
      <w:r>
        <w:t xml:space="preserve">the exact nature of the study </w:t>
      </w:r>
    </w:p>
    <w:p w14:paraId="21ED61E1" w14:textId="77777777" w:rsidR="00CE5AAF" w:rsidRDefault="00E85A33">
      <w:pPr>
        <w:numPr>
          <w:ilvl w:val="0"/>
          <w:numId w:val="9"/>
        </w:numPr>
        <w:spacing w:after="148"/>
        <w:ind w:left="770" w:hanging="410"/>
      </w:pPr>
      <w:r>
        <w:t xml:space="preserve">what it will involve for the participant </w:t>
      </w:r>
    </w:p>
    <w:p w14:paraId="2AD0B4BB" w14:textId="77777777" w:rsidR="00CE5AAF" w:rsidRDefault="00E85A33">
      <w:pPr>
        <w:numPr>
          <w:ilvl w:val="0"/>
          <w:numId w:val="9"/>
        </w:numPr>
        <w:spacing w:after="146"/>
        <w:ind w:left="770" w:hanging="410"/>
      </w:pPr>
      <w:r>
        <w:t xml:space="preserve">the implications and constraints of the protocol </w:t>
      </w:r>
    </w:p>
    <w:p w14:paraId="23B2220F" w14:textId="77777777" w:rsidR="00CE5AAF" w:rsidRDefault="00E85A33">
      <w:pPr>
        <w:numPr>
          <w:ilvl w:val="0"/>
          <w:numId w:val="9"/>
        </w:numPr>
        <w:spacing w:after="148"/>
        <w:ind w:left="770" w:hanging="410"/>
      </w:pPr>
      <w:r>
        <w:t xml:space="preserve">the known side effects and any risks involved in taking part </w:t>
      </w:r>
    </w:p>
    <w:p w14:paraId="03D14ECD" w14:textId="77777777" w:rsidR="00CE5AAF" w:rsidRDefault="00E85A33">
      <w:pPr>
        <w:numPr>
          <w:ilvl w:val="0"/>
          <w:numId w:val="9"/>
        </w:numPr>
        <w:spacing w:after="169"/>
        <w:ind w:left="770" w:hanging="410"/>
      </w:pPr>
      <w:r>
        <w:t xml:space="preserve">sample handling – participants will be informed that anonymised samples taken during the course of study may be shared with study collaborators, including collaborators outside of the European Union, for the purposes of this study. Any leftover samples will be transferred to a local biobank for storage once the sample is no longer required for the study endpoints if consent to do so has been obtained under local procedures. In Oxford this will be the Oxford Vaccine Centre Biobank. If parents/guardians do not consent to Biobank then all samples will be destroyed at the end of the study. </w:t>
      </w:r>
    </w:p>
    <w:p w14:paraId="0FC8CE8A" w14:textId="77777777" w:rsidR="00CE5AAF" w:rsidRDefault="00E85A33">
      <w:pPr>
        <w:numPr>
          <w:ilvl w:val="0"/>
          <w:numId w:val="9"/>
        </w:numPr>
        <w:ind w:left="770" w:hanging="410"/>
      </w:pPr>
      <w:r>
        <w:t xml:space="preserve">We will request permission to contact the child’s GP and/or other treating doctors for medical and vaccine history. We will also request permission to inform the child’s GP/health visitor that the child is taking part in the study and that we will be administering their routine vaccinations up to and including their 12 months vaccines. </w:t>
      </w:r>
    </w:p>
    <w:p w14:paraId="25A84339" w14:textId="77777777" w:rsidR="00CE5AAF" w:rsidRDefault="00E85A33">
      <w:pPr>
        <w:ind w:left="24"/>
      </w:pPr>
      <w:r>
        <w:t xml:space="preserve">It will be clearly stated that the participant is free to withdraw from the trial at any time for any reason without prejudice to future care, without affecting their legal rights and with no obligation to give the reason for withdrawal. </w:t>
      </w:r>
    </w:p>
    <w:p w14:paraId="4327B94C" w14:textId="77777777" w:rsidR="00CE5AAF" w:rsidRDefault="00E85A33">
      <w:pPr>
        <w:ind w:left="24"/>
      </w:pPr>
      <w:r>
        <w:t xml:space="preserve">The parent/legal guardian of the participant will be allowed as much time as wished to consider the information, and the opportunity to question the Investigator, their GP or other independent parties to decide whether they will participate in the study. Written informed consent will then be obtained by means of parent/legal guardian of the participant dated signature, and dated signature of the person who presented and obtained the Informed Consent. The person who obtained the consent must be suitably qualified and experienced, and have been authorised to do so by the Chief/Principal Investigator and listed on the delegation log. A copy of the signed informed consent will be given to the parent/legal guardian of the participant. The original signed form will be retained at the trial site. </w:t>
      </w:r>
    </w:p>
    <w:p w14:paraId="65FC7F69" w14:textId="77777777" w:rsidR="00CE5AAF" w:rsidRDefault="00E85A33">
      <w:pPr>
        <w:spacing w:after="0" w:line="259" w:lineRule="auto"/>
        <w:ind w:left="0" w:firstLine="0"/>
        <w:jc w:val="left"/>
      </w:pPr>
      <w:r>
        <w:t xml:space="preserve"> </w:t>
      </w:r>
    </w:p>
    <w:p w14:paraId="22B0C114" w14:textId="77777777" w:rsidR="00CE5AAF" w:rsidRDefault="00E85A33">
      <w:pPr>
        <w:pStyle w:val="Heading3"/>
        <w:ind w:left="370" w:right="3507"/>
      </w:pPr>
      <w:r>
        <w:t>8.3.</w:t>
      </w:r>
      <w:r>
        <w:rPr>
          <w:rFonts w:ascii="Arial" w:eastAsia="Arial" w:hAnsi="Arial" w:cs="Arial"/>
        </w:rPr>
        <w:t xml:space="preserve"> </w:t>
      </w:r>
      <w:r>
        <w:t xml:space="preserve">Randomisation, blinding and code-breaking </w:t>
      </w:r>
    </w:p>
    <w:p w14:paraId="71EBDF40" w14:textId="77777777" w:rsidR="00CE5AAF" w:rsidRDefault="00E85A33">
      <w:pPr>
        <w:spacing w:after="218" w:line="259" w:lineRule="auto"/>
        <w:ind w:left="0" w:firstLine="0"/>
        <w:jc w:val="left"/>
      </w:pPr>
      <w:r>
        <w:t xml:space="preserve"> </w:t>
      </w:r>
    </w:p>
    <w:p w14:paraId="00E082EE" w14:textId="77777777" w:rsidR="00CE5AAF" w:rsidRDefault="00E85A33">
      <w:pPr>
        <w:pStyle w:val="Heading4"/>
        <w:spacing w:after="210" w:line="265" w:lineRule="auto"/>
        <w:ind w:left="24" w:right="3507"/>
      </w:pPr>
      <w:r>
        <w:rPr>
          <w:sz w:val="22"/>
        </w:rPr>
        <w:t xml:space="preserve">8.3.1 Randomisation </w:t>
      </w:r>
    </w:p>
    <w:p w14:paraId="400B8E7F" w14:textId="67CEDB25" w:rsidR="00CE5AAF" w:rsidRDefault="00E85A33">
      <w:pPr>
        <w:spacing w:after="198" w:line="275" w:lineRule="auto"/>
        <w:ind w:left="-5"/>
        <w:jc w:val="left"/>
      </w:pPr>
      <w:r>
        <w:t xml:space="preserve">This is a parallel group study with two groups. Participants will be randomised to either Group 1 (6 in 1(IH)) or Group 2 (6 in 1(V)) on a 1:1 basis. Computer generated randomisation lists will be prepared by the study statistician using </w:t>
      </w:r>
      <w:r w:rsidR="008D0FE5">
        <w:t>stratified</w:t>
      </w:r>
      <w:r>
        <w:t xml:space="preserve"> block </w:t>
      </w:r>
      <w:r w:rsidR="008D0FE5">
        <w:t>randomisation</w:t>
      </w:r>
      <w:r>
        <w:t xml:space="preserve">. The randomisation lists will be prepared by the statistician at the Oxford Vaccine Group and will be </w:t>
      </w:r>
      <w:r w:rsidR="008D0FE5">
        <w:t>stratified</w:t>
      </w:r>
      <w:r>
        <w:t xml:space="preserve"> by study sites, each site will have a unique randomisation list. The randomisation list will be loaded to a central randomisation system and each site will have unique log in details to access their corresponding randomisation list. A detailed description of the randomisation process will be written into the clinical study plan. </w:t>
      </w:r>
    </w:p>
    <w:p w14:paraId="16667429" w14:textId="77777777" w:rsidR="00CE5AAF" w:rsidRDefault="00E85A33">
      <w:pPr>
        <w:pStyle w:val="Heading4"/>
        <w:spacing w:after="210" w:line="265" w:lineRule="auto"/>
        <w:ind w:left="24" w:right="3507"/>
      </w:pPr>
      <w:r>
        <w:rPr>
          <w:sz w:val="22"/>
        </w:rPr>
        <w:t xml:space="preserve">8.3.2 Blinding and code breaking </w:t>
      </w:r>
    </w:p>
    <w:p w14:paraId="7382F58D" w14:textId="77777777" w:rsidR="00CE5AAF" w:rsidRDefault="00E85A33">
      <w:pPr>
        <w:spacing w:after="514"/>
        <w:ind w:left="24"/>
      </w:pPr>
      <w:r>
        <w:t xml:space="preserve">This is an open label trial so there will be no blinding of study staff or participant’s parents/legal guardians. Code breaking will thus be unnecessary for this study. Laboratory staff will have no knowledge of the group assignment of the individual participants. </w:t>
      </w:r>
    </w:p>
    <w:p w14:paraId="021305F5" w14:textId="77777777" w:rsidR="00CE5AAF" w:rsidRDefault="00E85A33">
      <w:pPr>
        <w:pStyle w:val="Heading3"/>
        <w:ind w:left="370" w:right="3507"/>
      </w:pPr>
      <w:r>
        <w:t>8.4.</w:t>
      </w:r>
      <w:r>
        <w:rPr>
          <w:rFonts w:ascii="Arial" w:eastAsia="Arial" w:hAnsi="Arial" w:cs="Arial"/>
        </w:rPr>
        <w:t xml:space="preserve"> </w:t>
      </w:r>
      <w:r>
        <w:t xml:space="preserve">Study visits </w:t>
      </w:r>
    </w:p>
    <w:p w14:paraId="2ED8327D" w14:textId="77777777" w:rsidR="00CE5AAF" w:rsidRDefault="00E85A33">
      <w:pPr>
        <w:spacing w:after="215" w:line="259" w:lineRule="auto"/>
        <w:ind w:left="0" w:firstLine="0"/>
        <w:jc w:val="left"/>
      </w:pPr>
      <w:r>
        <w:t xml:space="preserve"> </w:t>
      </w:r>
    </w:p>
    <w:p w14:paraId="3715BEE1" w14:textId="77777777" w:rsidR="00CE5AAF" w:rsidRDefault="00E85A33">
      <w:pPr>
        <w:ind w:left="24"/>
      </w:pPr>
      <w:r>
        <w:t xml:space="preserve">Six study visits will be conducted by trial staff either at the participant’s home, or at convenient and suitable venues (with appropriate permission in place).  The location of the study visits will be site specific based on local site capacity and visit model for delivery of the trial. A telephone/email follow up may occur at any time prior to the next scheduled study visit should there be a need to clarify data collected in the electronic diary, in particular the reactogenicity data collected after a participant has received a dose of 6 in 1(IH) or 6 in 1(V). </w:t>
      </w:r>
    </w:p>
    <w:p w14:paraId="58488392" w14:textId="77777777" w:rsidR="00CE5AAF" w:rsidRDefault="00E85A33">
      <w:pPr>
        <w:ind w:left="24"/>
      </w:pPr>
      <w:r>
        <w:t xml:space="preserve">Participants will be eligible if they do not fulfil any of the temporary exclusion criteria for the specific visit listed above. Parents or legal guardians will be asked about adverse events. Table 1 above gives a summary of the study visits. </w:t>
      </w:r>
    </w:p>
    <w:p w14:paraId="70EC5CF7" w14:textId="560EF323" w:rsidR="00CE5AAF" w:rsidRDefault="00E85A33">
      <w:pPr>
        <w:pStyle w:val="Heading3"/>
        <w:spacing w:after="138"/>
        <w:ind w:left="24" w:right="3507"/>
      </w:pPr>
      <w:r>
        <w:t xml:space="preserve">Visit 1: First infant vaccinations at 8 – 13+0 weeks of age </w:t>
      </w:r>
    </w:p>
    <w:p w14:paraId="36B76345" w14:textId="77777777" w:rsidR="00CE5AAF" w:rsidRDefault="00E85A33">
      <w:pPr>
        <w:numPr>
          <w:ilvl w:val="0"/>
          <w:numId w:val="10"/>
        </w:numPr>
        <w:spacing w:after="26"/>
        <w:ind w:hanging="360"/>
      </w:pPr>
      <w:r>
        <w:t xml:space="preserve">Provide explanation of the study to parents/legal guardians. </w:t>
      </w:r>
    </w:p>
    <w:p w14:paraId="34682B81" w14:textId="77777777" w:rsidR="00CE5AAF" w:rsidRDefault="00E85A33">
      <w:pPr>
        <w:numPr>
          <w:ilvl w:val="0"/>
          <w:numId w:val="10"/>
        </w:numPr>
        <w:spacing w:after="48"/>
        <w:ind w:hanging="360"/>
      </w:pPr>
      <w:r>
        <w:t xml:space="preserve">Obtain written informed consent from the parents/legal guardians of the participant. As above, where possible consent will be obtained from the participant’s mother in order to ascertain her pertussis immunisation history during pregnancy. </w:t>
      </w:r>
    </w:p>
    <w:p w14:paraId="1B59BABF" w14:textId="77777777" w:rsidR="00CE5AAF" w:rsidRDefault="00E85A33">
      <w:pPr>
        <w:numPr>
          <w:ilvl w:val="0"/>
          <w:numId w:val="10"/>
        </w:numPr>
        <w:spacing w:after="36"/>
        <w:ind w:hanging="360"/>
      </w:pPr>
      <w:r>
        <w:t xml:space="preserve">Medical staff will perform a thorough check of inclusion and exclusion criteria using parents/legal guardians recall of relevant medical history and physical examination and record findings, including: </w:t>
      </w:r>
    </w:p>
    <w:p w14:paraId="2414760F" w14:textId="77777777" w:rsidR="00C8508D" w:rsidRDefault="00E85A33">
      <w:pPr>
        <w:numPr>
          <w:ilvl w:val="1"/>
          <w:numId w:val="10"/>
        </w:numPr>
        <w:spacing w:after="50"/>
        <w:ind w:hanging="360"/>
      </w:pPr>
      <w:r>
        <w:t xml:space="preserve">Medical history of relevance to the inclusion/exclusion criteria </w:t>
      </w:r>
    </w:p>
    <w:p w14:paraId="5C5E04C8" w14:textId="0A2BE7F5" w:rsidR="00CE5AAF" w:rsidRDefault="00E85A33">
      <w:pPr>
        <w:numPr>
          <w:ilvl w:val="1"/>
          <w:numId w:val="10"/>
        </w:numPr>
        <w:spacing w:after="50"/>
        <w:ind w:hanging="360"/>
      </w:pPr>
      <w:r>
        <w:t xml:space="preserve">Details and indications of any prescription medications and vaccines </w:t>
      </w:r>
    </w:p>
    <w:p w14:paraId="1DEA4CDE" w14:textId="77777777" w:rsidR="00CE5AAF" w:rsidRDefault="00E85A33">
      <w:pPr>
        <w:numPr>
          <w:ilvl w:val="0"/>
          <w:numId w:val="10"/>
        </w:numPr>
        <w:spacing w:after="51"/>
        <w:ind w:hanging="360"/>
      </w:pPr>
      <w:r>
        <w:t xml:space="preserve">If all inclusion and exclusion criteria are met the participant will be considered enrolled into the study. </w:t>
      </w:r>
    </w:p>
    <w:p w14:paraId="40939CD1" w14:textId="77777777" w:rsidR="00CE5AAF" w:rsidRDefault="00E85A33">
      <w:pPr>
        <w:numPr>
          <w:ilvl w:val="0"/>
          <w:numId w:val="10"/>
        </w:numPr>
        <w:ind w:hanging="360"/>
      </w:pPr>
      <w:r>
        <w:t xml:space="preserve">Record date of birth and gender, for subsequent data analysis. </w:t>
      </w:r>
    </w:p>
    <w:p w14:paraId="79F3D24B" w14:textId="77777777" w:rsidR="00CE5AAF" w:rsidRDefault="00E85A33">
      <w:pPr>
        <w:numPr>
          <w:ilvl w:val="0"/>
          <w:numId w:val="10"/>
        </w:numPr>
        <w:spacing w:after="51"/>
        <w:ind w:hanging="360"/>
      </w:pPr>
      <w:r>
        <w:t xml:space="preserve">History of immunisations received during pregnancy by the participant’s mother by parental report and/or GP medical records (if mother consents). </w:t>
      </w:r>
    </w:p>
    <w:p w14:paraId="19D77552" w14:textId="77777777" w:rsidR="00CE5AAF" w:rsidRDefault="00E85A33">
      <w:pPr>
        <w:numPr>
          <w:ilvl w:val="0"/>
          <w:numId w:val="10"/>
        </w:numPr>
        <w:spacing w:after="26"/>
        <w:ind w:hanging="360"/>
      </w:pPr>
      <w:r>
        <w:t xml:space="preserve">Measure and record the participant’s axillary temperature. </w:t>
      </w:r>
    </w:p>
    <w:p w14:paraId="79BC77D1" w14:textId="77777777" w:rsidR="00CE5AAF" w:rsidRDefault="00E85A33">
      <w:pPr>
        <w:numPr>
          <w:ilvl w:val="0"/>
          <w:numId w:val="10"/>
        </w:numPr>
        <w:spacing w:after="28"/>
        <w:ind w:hanging="360"/>
      </w:pPr>
      <w:r>
        <w:t xml:space="preserve">The parent/guardian will be informed of the randomisation group. </w:t>
      </w:r>
    </w:p>
    <w:p w14:paraId="465E318F" w14:textId="77777777" w:rsidR="00C8508D" w:rsidRDefault="00E85A33">
      <w:pPr>
        <w:numPr>
          <w:ilvl w:val="0"/>
          <w:numId w:val="10"/>
        </w:numPr>
        <w:spacing w:after="35"/>
        <w:ind w:hanging="360"/>
      </w:pPr>
      <w:r>
        <w:t xml:space="preserve">Administer the following vaccines as per the Green Book guidelines for administration of vaccinations and relevant study site SOPs </w:t>
      </w:r>
    </w:p>
    <w:p w14:paraId="38758074" w14:textId="05B9FD93" w:rsidR="008D0FE5" w:rsidRDefault="00E85A33">
      <w:pPr>
        <w:numPr>
          <w:ilvl w:val="1"/>
          <w:numId w:val="10"/>
        </w:numPr>
        <w:spacing w:after="50"/>
        <w:ind w:hanging="360"/>
      </w:pPr>
      <w:r>
        <w:t>DTaP-IPV-Hib-HepB (6 in 1(IH) for Group 1, 6 in 1(V) for Group 2) via intramuscular injection into the right upper anterolateral thigh</w:t>
      </w:r>
      <w:r w:rsidR="008D0FE5">
        <w:t>.</w:t>
      </w:r>
      <w:r>
        <w:t xml:space="preserve"> </w:t>
      </w:r>
    </w:p>
    <w:p w14:paraId="2276F4B7" w14:textId="26F5A2DB" w:rsidR="00C8508D" w:rsidRDefault="00E85A33">
      <w:pPr>
        <w:numPr>
          <w:ilvl w:val="1"/>
          <w:numId w:val="10"/>
        </w:numPr>
        <w:spacing w:after="50"/>
        <w:ind w:hanging="360"/>
      </w:pPr>
      <w:r>
        <w:t xml:space="preserve">4CMenB (Bexsero) via intramuscular injection into the left anterolateral thigh </w:t>
      </w:r>
    </w:p>
    <w:p w14:paraId="1FE9E17E" w14:textId="11873936" w:rsidR="00CE5AAF" w:rsidRDefault="00E85A33">
      <w:pPr>
        <w:numPr>
          <w:ilvl w:val="1"/>
          <w:numId w:val="10"/>
        </w:numPr>
        <w:spacing w:after="50"/>
        <w:ind w:hanging="360"/>
      </w:pPr>
      <w:r>
        <w:t xml:space="preserve">Oral Rotavirus vaccine (Rotarix) </w:t>
      </w:r>
    </w:p>
    <w:p w14:paraId="6A7C667A" w14:textId="77777777" w:rsidR="00CE5AAF" w:rsidRDefault="00E85A33">
      <w:pPr>
        <w:numPr>
          <w:ilvl w:val="0"/>
          <w:numId w:val="10"/>
        </w:numPr>
        <w:spacing w:after="51"/>
        <w:ind w:hanging="360"/>
      </w:pPr>
      <w:r>
        <w:t xml:space="preserve">Observe the participant for 15 minutes after vaccination for any significant acute reactions, with adrenaline readily available in case of anaphylactic reaction. Any adverse events (AEs) that occurred during the observation period should be recorded.  </w:t>
      </w:r>
    </w:p>
    <w:p w14:paraId="41745001" w14:textId="0BAA8890" w:rsidR="00CE5AAF" w:rsidRDefault="00E85A33">
      <w:pPr>
        <w:numPr>
          <w:ilvl w:val="0"/>
          <w:numId w:val="10"/>
        </w:numPr>
        <w:spacing w:after="51"/>
        <w:ind w:hanging="360"/>
      </w:pPr>
      <w:r>
        <w:t xml:space="preserve">Issue eDiary/diary card.  Give login details to parent/legal guardian for the eDiary.  Demonstrate eDiary/diary card to parents/legal guardians for recording AEs and antipyretic use and check understanding.  </w:t>
      </w:r>
    </w:p>
    <w:p w14:paraId="262E0F9B" w14:textId="77777777" w:rsidR="00CE5AAF" w:rsidRDefault="00E85A33">
      <w:pPr>
        <w:numPr>
          <w:ilvl w:val="0"/>
          <w:numId w:val="10"/>
        </w:numPr>
        <w:spacing w:after="48"/>
        <w:ind w:hanging="360"/>
      </w:pPr>
      <w:r>
        <w:t xml:space="preserve">Issue a digital thermometer and ruler. Explain how to measure and record temperature, local and systemic reactions, adverse events (for 5 days post vaccination) and concomitant medications administered. Local and systemic reactions to vaccination should be recorded for 5 days post vaccination.  </w:t>
      </w:r>
    </w:p>
    <w:p w14:paraId="50196D99" w14:textId="77777777" w:rsidR="00CE5AAF" w:rsidRDefault="00E85A33">
      <w:pPr>
        <w:numPr>
          <w:ilvl w:val="0"/>
          <w:numId w:val="10"/>
        </w:numPr>
        <w:spacing w:after="37"/>
        <w:ind w:hanging="360"/>
      </w:pPr>
      <w:r>
        <w:t xml:space="preserve">Parents/legal guardians would be discouraged from administering antipyretics in the 12 hours prior to vaccination. If this is unavoidable, this should be documented and vaccination and study participation should continue as planned.  </w:t>
      </w:r>
    </w:p>
    <w:p w14:paraId="7A8E5A93" w14:textId="77777777" w:rsidR="00CE5AAF" w:rsidRDefault="00E85A33">
      <w:pPr>
        <w:numPr>
          <w:ilvl w:val="1"/>
          <w:numId w:val="10"/>
        </w:numPr>
        <w:spacing w:after="47"/>
        <w:ind w:hanging="360"/>
      </w:pPr>
      <w:r>
        <w:t xml:space="preserve">Advise parents to give paracetamol at time of immunisation with 4CMenB as per PHE book guidelines, with 2 further doses over subsequent 24 hours. This written information will be provided. </w:t>
      </w:r>
    </w:p>
    <w:p w14:paraId="4235AAFE" w14:textId="77777777" w:rsidR="00CE5AAF" w:rsidRDefault="00E85A33">
      <w:pPr>
        <w:numPr>
          <w:ilvl w:val="0"/>
          <w:numId w:val="10"/>
        </w:numPr>
        <w:spacing w:after="48"/>
        <w:ind w:hanging="360"/>
      </w:pPr>
      <w:r>
        <w:t xml:space="preserve">Instruct parents/legal guardians to contact the study team as soon as possible should the participant manifest any signs/symptoms they perceive as serious, or if the child is admitted overnight to hospital.  </w:t>
      </w:r>
    </w:p>
    <w:p w14:paraId="1FEDBA34" w14:textId="77777777" w:rsidR="00CE5AAF" w:rsidRDefault="00E85A33">
      <w:pPr>
        <w:numPr>
          <w:ilvl w:val="0"/>
          <w:numId w:val="10"/>
        </w:numPr>
        <w:spacing w:after="29"/>
        <w:ind w:hanging="360"/>
      </w:pPr>
      <w:r>
        <w:t xml:space="preserve">Schedule next visit. </w:t>
      </w:r>
    </w:p>
    <w:p w14:paraId="7E0D0DE4" w14:textId="77777777" w:rsidR="00CE5AAF" w:rsidRDefault="00E85A33">
      <w:pPr>
        <w:numPr>
          <w:ilvl w:val="0"/>
          <w:numId w:val="10"/>
        </w:numPr>
        <w:spacing w:after="51"/>
        <w:ind w:hanging="360"/>
      </w:pPr>
      <w:r>
        <w:t xml:space="preserve">Study staff to complete red book (parent held child record) if available, source and electronic CRF and enter onto study database. </w:t>
      </w:r>
    </w:p>
    <w:p w14:paraId="55DADC16" w14:textId="77777777" w:rsidR="00CE5AAF" w:rsidRDefault="00E85A33">
      <w:pPr>
        <w:numPr>
          <w:ilvl w:val="0"/>
          <w:numId w:val="10"/>
        </w:numPr>
        <w:spacing w:after="51"/>
        <w:ind w:hanging="360"/>
      </w:pPr>
      <w:r>
        <w:t xml:space="preserve">Notify the participant’s General Practitioner that they are participating in the study and that the child’s routine infant immunisations will be administered by the Oxford Vaccine Group or local study site. </w:t>
      </w:r>
    </w:p>
    <w:p w14:paraId="483A265D" w14:textId="77777777" w:rsidR="00CE5AAF" w:rsidRDefault="00E85A33">
      <w:pPr>
        <w:numPr>
          <w:ilvl w:val="0"/>
          <w:numId w:val="10"/>
        </w:numPr>
        <w:ind w:hanging="360"/>
      </w:pPr>
      <w:r>
        <w:t xml:space="preserve">Notify the Child Health Information Services, or equivalent NHS database that the participant’s routine vaccines (including a DTaP-IPV-Hib-HepB vaccine - either 6 in 1(IH) or 6 in 1(V)) have been administered.  </w:t>
      </w:r>
    </w:p>
    <w:p w14:paraId="537AD464" w14:textId="6ED14692" w:rsidR="00CE5AAF" w:rsidRDefault="00E85A33" w:rsidP="00C8508D">
      <w:pPr>
        <w:spacing w:after="218" w:line="259" w:lineRule="auto"/>
        <w:ind w:left="0" w:firstLine="0"/>
        <w:jc w:val="left"/>
      </w:pPr>
      <w:r>
        <w:t xml:space="preserve">  </w:t>
      </w:r>
    </w:p>
    <w:p w14:paraId="0C18BC2B" w14:textId="1641955E" w:rsidR="00012A53" w:rsidRDefault="00E85A33">
      <w:pPr>
        <w:spacing w:after="13" w:line="265" w:lineRule="auto"/>
        <w:ind w:left="374" w:right="3507" w:hanging="360"/>
        <w:jc w:val="left"/>
        <w:rPr>
          <w:rFonts w:ascii="Arial" w:eastAsia="Arial" w:hAnsi="Arial" w:cs="Arial"/>
        </w:rPr>
      </w:pPr>
      <w:r>
        <w:rPr>
          <w:b/>
        </w:rPr>
        <w:t xml:space="preserve">Visit 2 – Routine and study immunisation 4-6 weeks post visit 1 </w:t>
      </w:r>
    </w:p>
    <w:p w14:paraId="2A32F392" w14:textId="2BF763E9" w:rsidR="00CE5AAF" w:rsidRDefault="00E85A33" w:rsidP="00C54D53">
      <w:pPr>
        <w:pStyle w:val="ListParagraph"/>
        <w:numPr>
          <w:ilvl w:val="0"/>
          <w:numId w:val="25"/>
        </w:numPr>
        <w:spacing w:after="13" w:line="265" w:lineRule="auto"/>
        <w:ind w:right="3507"/>
        <w:jc w:val="left"/>
      </w:pPr>
      <w:r>
        <w:t xml:space="preserve">Check inclusion/exclusion criteria are still valid. </w:t>
      </w:r>
    </w:p>
    <w:p w14:paraId="7FB6E973" w14:textId="77777777" w:rsidR="00CE5AAF" w:rsidRDefault="00E85A33">
      <w:pPr>
        <w:numPr>
          <w:ilvl w:val="1"/>
          <w:numId w:val="10"/>
        </w:numPr>
        <w:spacing w:after="58"/>
        <w:ind w:hanging="360"/>
      </w:pPr>
      <w:r>
        <w:t xml:space="preserve">Check temporary exclusion for a vaccination visit. </w:t>
      </w:r>
    </w:p>
    <w:p w14:paraId="2726D092" w14:textId="6D0BE2FB" w:rsidR="00CE5AAF" w:rsidRDefault="00E85A33">
      <w:pPr>
        <w:numPr>
          <w:ilvl w:val="0"/>
          <w:numId w:val="10"/>
        </w:numPr>
        <w:spacing w:after="48"/>
        <w:ind w:hanging="360"/>
      </w:pPr>
      <w:r>
        <w:t xml:space="preserve">Review eDiary/diary card for AEs (5 days post vaccination only) </w:t>
      </w:r>
    </w:p>
    <w:p w14:paraId="171C4B2E" w14:textId="77777777" w:rsidR="00CE5AAF" w:rsidRDefault="00E85A33">
      <w:pPr>
        <w:numPr>
          <w:ilvl w:val="0"/>
          <w:numId w:val="10"/>
        </w:numPr>
        <w:spacing w:after="28"/>
        <w:ind w:hanging="360"/>
      </w:pPr>
      <w:r>
        <w:t xml:space="preserve">Record and report any SAEs that have occurred since the last visit. </w:t>
      </w:r>
    </w:p>
    <w:p w14:paraId="337CEAE5" w14:textId="77777777" w:rsidR="00CE5AAF" w:rsidRDefault="00E85A33">
      <w:pPr>
        <w:numPr>
          <w:ilvl w:val="0"/>
          <w:numId w:val="10"/>
        </w:numPr>
        <w:spacing w:after="28"/>
        <w:ind w:hanging="360"/>
      </w:pPr>
      <w:r>
        <w:t xml:space="preserve">Measure and record the participant’s axillary temperature. </w:t>
      </w:r>
    </w:p>
    <w:p w14:paraId="1AF82682" w14:textId="77777777" w:rsidR="00C8508D" w:rsidRDefault="00E85A33">
      <w:pPr>
        <w:numPr>
          <w:ilvl w:val="0"/>
          <w:numId w:val="10"/>
        </w:numPr>
        <w:spacing w:after="37"/>
        <w:ind w:hanging="360"/>
      </w:pPr>
      <w:r>
        <w:t xml:space="preserve">Administer the following vaccines as per the Green Book guidelines for administration of vaccinations and relevant study site SOPs </w:t>
      </w:r>
    </w:p>
    <w:p w14:paraId="5A4C1C18" w14:textId="0D5AD8AE" w:rsidR="00CE5AAF" w:rsidRDefault="00E85A33" w:rsidP="00C54D53">
      <w:pPr>
        <w:numPr>
          <w:ilvl w:val="1"/>
          <w:numId w:val="10"/>
        </w:numPr>
        <w:spacing w:after="37"/>
        <w:ind w:hanging="360"/>
      </w:pPr>
      <w:r>
        <w:t xml:space="preserve">DTaP-IPV-Hib-HepB (6 in 1(IH) for Group 1, 6 in 1(V) for Group 2) via intramuscular injection into right anterolateral thigh </w:t>
      </w:r>
    </w:p>
    <w:p w14:paraId="6318D907" w14:textId="4F525D98" w:rsidR="003D6694" w:rsidRDefault="003350BF" w:rsidP="003D6694">
      <w:pPr>
        <w:numPr>
          <w:ilvl w:val="1"/>
          <w:numId w:val="10"/>
        </w:numPr>
        <w:spacing w:after="38"/>
        <w:ind w:hanging="360"/>
      </w:pPr>
      <w:r>
        <w:t>*</w:t>
      </w:r>
      <w:r w:rsidR="003D6694">
        <w:t xml:space="preserve">PCV13 via intramuscular injection into the left anterolateral thigh </w:t>
      </w:r>
    </w:p>
    <w:p w14:paraId="34DEBACF" w14:textId="77777777" w:rsidR="00CE5AAF" w:rsidRDefault="00E85A33">
      <w:pPr>
        <w:numPr>
          <w:ilvl w:val="1"/>
          <w:numId w:val="10"/>
        </w:numPr>
        <w:spacing w:after="61"/>
        <w:ind w:hanging="360"/>
      </w:pPr>
      <w:r>
        <w:t xml:space="preserve">Oral Rotavirus vaccine (Rotarix) </w:t>
      </w:r>
    </w:p>
    <w:p w14:paraId="5FB154DD" w14:textId="77777777" w:rsidR="00CE5AAF" w:rsidRDefault="00E85A33">
      <w:pPr>
        <w:numPr>
          <w:ilvl w:val="0"/>
          <w:numId w:val="10"/>
        </w:numPr>
        <w:spacing w:after="51"/>
        <w:ind w:hanging="360"/>
      </w:pPr>
      <w:r>
        <w:t xml:space="preserve">Observe the participant for 15 minutes after vaccination for any significant acute reactions, with adrenaline readily available in case of anaphylactic reaction. Any AEs occurring during the observation period should be recorded. </w:t>
      </w:r>
    </w:p>
    <w:p w14:paraId="31118EEF" w14:textId="77777777" w:rsidR="00CE5AAF" w:rsidRDefault="00E85A33">
      <w:pPr>
        <w:numPr>
          <w:ilvl w:val="0"/>
          <w:numId w:val="10"/>
        </w:numPr>
        <w:spacing w:after="39"/>
        <w:ind w:hanging="360"/>
      </w:pPr>
      <w:r>
        <w:t xml:space="preserve">Parents/legal guardians would be discouraged from administering antipyretics in the 12 hours prior to vaccination. If this is unavoidable, this should be documented and vaccination and study participation should continue as planned.  </w:t>
      </w:r>
    </w:p>
    <w:p w14:paraId="70A97990" w14:textId="77777777" w:rsidR="00C8508D" w:rsidRDefault="00E85A33">
      <w:pPr>
        <w:numPr>
          <w:ilvl w:val="0"/>
          <w:numId w:val="10"/>
        </w:numPr>
        <w:spacing w:after="40"/>
        <w:ind w:hanging="360"/>
      </w:pPr>
      <w:r>
        <w:t xml:space="preserve">Remind parents/legal guardians to </w:t>
      </w:r>
    </w:p>
    <w:p w14:paraId="201C748F" w14:textId="4D0D1C5C" w:rsidR="00CE5AAF" w:rsidRDefault="00E85A33" w:rsidP="00C54D53">
      <w:pPr>
        <w:numPr>
          <w:ilvl w:val="1"/>
          <w:numId w:val="10"/>
        </w:numPr>
        <w:spacing w:after="40"/>
        <w:ind w:hanging="360"/>
      </w:pPr>
      <w:r>
        <w:t xml:space="preserve">Complete the eDiary/diary card for 5 days post vaccination. </w:t>
      </w:r>
    </w:p>
    <w:p w14:paraId="7EB04B1E" w14:textId="77777777" w:rsidR="00CE5AAF" w:rsidRDefault="00E85A33">
      <w:pPr>
        <w:numPr>
          <w:ilvl w:val="1"/>
          <w:numId w:val="10"/>
        </w:numPr>
        <w:spacing w:after="50"/>
        <w:ind w:hanging="360"/>
      </w:pPr>
      <w:r>
        <w:t xml:space="preserve">Contact the study team as soon as possible should the participant manifest any signs/symptoms they perceive as serious, or if the child is admitted overnight to hospital. Ask them to record this within the eDiary/diary card.  </w:t>
      </w:r>
    </w:p>
    <w:p w14:paraId="4C3EAE71" w14:textId="77777777" w:rsidR="00CE5AAF" w:rsidRDefault="00E85A33">
      <w:pPr>
        <w:numPr>
          <w:ilvl w:val="0"/>
          <w:numId w:val="10"/>
        </w:numPr>
        <w:spacing w:after="29"/>
        <w:ind w:hanging="360"/>
      </w:pPr>
      <w:r>
        <w:t xml:space="preserve">Schedule next visit. </w:t>
      </w:r>
    </w:p>
    <w:p w14:paraId="1BB6F84C" w14:textId="77777777" w:rsidR="00CE5AAF" w:rsidRDefault="00E85A33">
      <w:pPr>
        <w:numPr>
          <w:ilvl w:val="0"/>
          <w:numId w:val="10"/>
        </w:numPr>
        <w:spacing w:after="51"/>
        <w:ind w:hanging="360"/>
      </w:pPr>
      <w:r>
        <w:t xml:space="preserve">Study staff to complete red book (parent held child record) if available, source and electronic CRF and enter onto study database. </w:t>
      </w:r>
    </w:p>
    <w:p w14:paraId="55604DE1" w14:textId="77777777" w:rsidR="00CE5AAF" w:rsidRDefault="00E85A33">
      <w:pPr>
        <w:numPr>
          <w:ilvl w:val="0"/>
          <w:numId w:val="10"/>
        </w:numPr>
        <w:ind w:hanging="360"/>
      </w:pPr>
      <w:r>
        <w:t xml:space="preserve">Notify the Child Health Information Services, or equivalent NHS database that the participant’s routine vaccines (including a DTaP-IPV-Hib-HepB vaccine - either 6 in 1(IH) or 6 in 1(V)) have been administered.  </w:t>
      </w:r>
    </w:p>
    <w:p w14:paraId="6A989B82" w14:textId="77777777" w:rsidR="00CE5AAF" w:rsidRDefault="00E85A33">
      <w:pPr>
        <w:spacing w:after="19" w:line="259" w:lineRule="auto"/>
        <w:ind w:left="0" w:firstLine="0"/>
        <w:jc w:val="left"/>
      </w:pPr>
      <w:r>
        <w:t xml:space="preserve"> </w:t>
      </w:r>
    </w:p>
    <w:p w14:paraId="78CF9CBD" w14:textId="78B0B1B9" w:rsidR="00012A53" w:rsidRDefault="00E85A33">
      <w:pPr>
        <w:spacing w:after="13" w:line="265" w:lineRule="auto"/>
        <w:ind w:left="374" w:right="3507" w:hanging="360"/>
        <w:jc w:val="left"/>
        <w:rPr>
          <w:rFonts w:ascii="Arial" w:eastAsia="Arial" w:hAnsi="Arial" w:cs="Arial"/>
        </w:rPr>
      </w:pPr>
      <w:r>
        <w:rPr>
          <w:b/>
        </w:rPr>
        <w:t xml:space="preserve">Visit 3 – Routine and study immunisations 4-6 weeks post visit 2 </w:t>
      </w:r>
    </w:p>
    <w:p w14:paraId="7B92C435" w14:textId="2D9F0FC7" w:rsidR="00CE5AAF" w:rsidRDefault="00E85A33" w:rsidP="00C54D53">
      <w:pPr>
        <w:pStyle w:val="ListParagraph"/>
        <w:numPr>
          <w:ilvl w:val="0"/>
          <w:numId w:val="25"/>
        </w:numPr>
        <w:spacing w:after="13" w:line="265" w:lineRule="auto"/>
        <w:ind w:right="3507"/>
        <w:jc w:val="left"/>
      </w:pPr>
      <w:r>
        <w:t xml:space="preserve">Check inclusion/exclusion criteria are still valid. </w:t>
      </w:r>
    </w:p>
    <w:p w14:paraId="487E1A5E" w14:textId="77777777" w:rsidR="00CE5AAF" w:rsidRDefault="00E85A33">
      <w:pPr>
        <w:numPr>
          <w:ilvl w:val="1"/>
          <w:numId w:val="10"/>
        </w:numPr>
        <w:spacing w:after="61"/>
        <w:ind w:hanging="360"/>
      </w:pPr>
      <w:r>
        <w:t xml:space="preserve">Check temporary exclusion for a vaccination visit. </w:t>
      </w:r>
    </w:p>
    <w:p w14:paraId="28C65E65" w14:textId="3D24CEA6" w:rsidR="00CE5AAF" w:rsidRDefault="00E85A33">
      <w:pPr>
        <w:numPr>
          <w:ilvl w:val="0"/>
          <w:numId w:val="10"/>
        </w:numPr>
        <w:spacing w:after="51"/>
        <w:ind w:hanging="360"/>
      </w:pPr>
      <w:r>
        <w:t xml:space="preserve">Review eDiary/diary card for AEs (5 days post vaccination only) </w:t>
      </w:r>
    </w:p>
    <w:p w14:paraId="079BB586" w14:textId="77777777" w:rsidR="00C8508D" w:rsidRDefault="00E85A33">
      <w:pPr>
        <w:numPr>
          <w:ilvl w:val="0"/>
          <w:numId w:val="10"/>
        </w:numPr>
        <w:spacing w:after="18"/>
        <w:ind w:hanging="360"/>
      </w:pPr>
      <w:r>
        <w:t xml:space="preserve">Record and report any SAEs that have occurred since the last visit </w:t>
      </w:r>
    </w:p>
    <w:p w14:paraId="5D1FFECA" w14:textId="70E5F28B" w:rsidR="00CE5AAF" w:rsidRDefault="00E85A33" w:rsidP="00C54D53">
      <w:pPr>
        <w:pStyle w:val="ListParagraph"/>
        <w:numPr>
          <w:ilvl w:val="1"/>
          <w:numId w:val="25"/>
        </w:numPr>
        <w:spacing w:after="18"/>
      </w:pPr>
      <w:r>
        <w:t xml:space="preserve">Measure and record the participant’s axillary temperature. </w:t>
      </w:r>
    </w:p>
    <w:p w14:paraId="2F7E6AC5" w14:textId="77777777" w:rsidR="00CE5AAF" w:rsidRDefault="00E85A33">
      <w:pPr>
        <w:numPr>
          <w:ilvl w:val="0"/>
          <w:numId w:val="10"/>
        </w:numPr>
        <w:ind w:hanging="360"/>
      </w:pPr>
      <w:r>
        <w:t xml:space="preserve">Administer the following vaccines as per the Green Book guidelines for administration of vaccinations and relevant study site SOPs </w:t>
      </w:r>
    </w:p>
    <w:p w14:paraId="1FD2C3D0" w14:textId="22A8DCA0" w:rsidR="00CE5AAF" w:rsidRDefault="00E85A33">
      <w:pPr>
        <w:numPr>
          <w:ilvl w:val="1"/>
          <w:numId w:val="10"/>
        </w:numPr>
        <w:spacing w:after="38"/>
        <w:ind w:hanging="360"/>
      </w:pPr>
      <w:r>
        <w:t xml:space="preserve">DTaP-IPV-Hib-HepB (6 in 1(IH) for Group 1, 6 in 1(V) for Group 2) via intramuscular injection into right upper anterolateral thigh </w:t>
      </w:r>
    </w:p>
    <w:p w14:paraId="10C3ECB9" w14:textId="21DB4EFF" w:rsidR="00CE5AAF" w:rsidRDefault="00E85A33" w:rsidP="00C54D53">
      <w:pPr>
        <w:spacing w:after="51"/>
        <w:ind w:left="720" w:right="488" w:firstLine="360"/>
      </w:pPr>
      <w:r>
        <w:rPr>
          <w:rFonts w:ascii="Courier New" w:eastAsia="Courier New" w:hAnsi="Courier New" w:cs="Courier New"/>
        </w:rPr>
        <w:t>o</w:t>
      </w:r>
      <w:r>
        <w:rPr>
          <w:rFonts w:ascii="Arial" w:eastAsia="Arial" w:hAnsi="Arial" w:cs="Arial"/>
        </w:rPr>
        <w:t xml:space="preserve"> </w:t>
      </w:r>
      <w:r w:rsidR="003D6694">
        <w:rPr>
          <w:rFonts w:ascii="Arial" w:eastAsia="Arial" w:hAnsi="Arial" w:cs="Arial"/>
        </w:rPr>
        <w:t xml:space="preserve">  </w:t>
      </w:r>
      <w:r>
        <w:t xml:space="preserve">4CMenB (Bexsero) via intramuscular injection into the left anterolateral thigh </w:t>
      </w:r>
    </w:p>
    <w:p w14:paraId="475D22B0" w14:textId="77777777" w:rsidR="00CE5AAF" w:rsidRDefault="00E85A33">
      <w:pPr>
        <w:numPr>
          <w:ilvl w:val="0"/>
          <w:numId w:val="10"/>
        </w:numPr>
        <w:spacing w:after="51"/>
        <w:ind w:hanging="360"/>
      </w:pPr>
      <w:r>
        <w:t xml:space="preserve">Observe the participant for 15 minutes after vaccination for any significant acute reactions, with adrenaline readily available in case of anaphylactic reaction. Any AEs occurring during the observation period should be recorded.  </w:t>
      </w:r>
    </w:p>
    <w:p w14:paraId="5B089D97" w14:textId="77777777" w:rsidR="00CE5AAF" w:rsidRDefault="00E85A33">
      <w:pPr>
        <w:numPr>
          <w:ilvl w:val="0"/>
          <w:numId w:val="10"/>
        </w:numPr>
        <w:spacing w:after="39"/>
        <w:ind w:hanging="360"/>
      </w:pPr>
      <w:r>
        <w:t xml:space="preserve">Parents/legal guardians would be discouraged from administering antipyretics in the 12 hours prior to vaccination. If this is unavoidable, this should be documented and vaccination and study participation should continue as planned.  </w:t>
      </w:r>
    </w:p>
    <w:p w14:paraId="74929A05" w14:textId="77777777" w:rsidR="00CE5AAF" w:rsidRDefault="00E85A33">
      <w:pPr>
        <w:numPr>
          <w:ilvl w:val="1"/>
          <w:numId w:val="10"/>
        </w:numPr>
        <w:spacing w:after="50"/>
        <w:ind w:hanging="360"/>
      </w:pPr>
      <w:r>
        <w:t xml:space="preserve">Advise parents to give paracetamol at time of immunisation with 4CMenB as per Green book guidelines, with 2 further doses over subsequent 24 hours  </w:t>
      </w:r>
    </w:p>
    <w:p w14:paraId="4785EA72" w14:textId="77777777" w:rsidR="00C8508D" w:rsidRDefault="00E85A33">
      <w:pPr>
        <w:numPr>
          <w:ilvl w:val="0"/>
          <w:numId w:val="10"/>
        </w:numPr>
        <w:spacing w:after="40"/>
        <w:ind w:hanging="360"/>
      </w:pPr>
      <w:r>
        <w:t xml:space="preserve">Remind parents/legal guardians to </w:t>
      </w:r>
    </w:p>
    <w:p w14:paraId="372BAECC" w14:textId="57206A47" w:rsidR="00CE5AAF" w:rsidRDefault="00E85A33" w:rsidP="00C54D53">
      <w:pPr>
        <w:numPr>
          <w:ilvl w:val="1"/>
          <w:numId w:val="10"/>
        </w:numPr>
        <w:spacing w:after="40"/>
        <w:ind w:hanging="360"/>
      </w:pPr>
      <w:r>
        <w:t xml:space="preserve">Complete the eDiary/diary card for 5 days post vaccination. </w:t>
      </w:r>
    </w:p>
    <w:p w14:paraId="21DDA10D" w14:textId="77777777" w:rsidR="00CE5AAF" w:rsidRDefault="00E85A33">
      <w:pPr>
        <w:numPr>
          <w:ilvl w:val="1"/>
          <w:numId w:val="10"/>
        </w:numPr>
        <w:spacing w:after="47"/>
        <w:ind w:hanging="360"/>
      </w:pPr>
      <w:r>
        <w:t xml:space="preserve">Contact the study team as soon as possible should the participant manifest any signs/symptoms they perceive as serious, or if the child is admitted overnight to hospital. Ask them to record this within the eDiary/diary card.  </w:t>
      </w:r>
    </w:p>
    <w:p w14:paraId="4E783A80" w14:textId="77777777" w:rsidR="00CE5AAF" w:rsidRDefault="00E85A33">
      <w:pPr>
        <w:numPr>
          <w:ilvl w:val="0"/>
          <w:numId w:val="10"/>
        </w:numPr>
        <w:spacing w:after="29"/>
        <w:ind w:hanging="360"/>
      </w:pPr>
      <w:r>
        <w:t xml:space="preserve">Schedule next visit. </w:t>
      </w:r>
    </w:p>
    <w:p w14:paraId="756924FA" w14:textId="77777777" w:rsidR="00CE5AAF" w:rsidRDefault="00E85A33">
      <w:pPr>
        <w:numPr>
          <w:ilvl w:val="0"/>
          <w:numId w:val="10"/>
        </w:numPr>
        <w:spacing w:after="51"/>
        <w:ind w:hanging="360"/>
      </w:pPr>
      <w:r>
        <w:t xml:space="preserve">Study staff to complete red book (parent held child record) if available, source and electronic CRF and enter onto study database. </w:t>
      </w:r>
    </w:p>
    <w:p w14:paraId="5DBC7AE9" w14:textId="77777777" w:rsidR="00CE5AAF" w:rsidRDefault="00E85A33">
      <w:pPr>
        <w:numPr>
          <w:ilvl w:val="0"/>
          <w:numId w:val="10"/>
        </w:numPr>
        <w:spacing w:after="48"/>
        <w:ind w:hanging="360"/>
      </w:pPr>
      <w:r>
        <w:t xml:space="preserve">Leave anaesthetic cream, dressing and instructions for next visit for the blood test required by the participant </w:t>
      </w:r>
    </w:p>
    <w:p w14:paraId="22C432A9" w14:textId="77777777" w:rsidR="00CE5AAF" w:rsidRDefault="00E85A33">
      <w:pPr>
        <w:numPr>
          <w:ilvl w:val="0"/>
          <w:numId w:val="10"/>
        </w:numPr>
        <w:ind w:hanging="360"/>
      </w:pPr>
      <w:r>
        <w:t xml:space="preserve">Notify the Child Health Information Services, or equivalent NHS database that the participant’s routine vaccines (including a DTaP-IPV-Hib-HepB vaccine - either 6 in 1(IH) or 6 in 1(V)) have been administered.  </w:t>
      </w:r>
    </w:p>
    <w:p w14:paraId="78536678" w14:textId="77777777" w:rsidR="003D6694" w:rsidRDefault="003D6694">
      <w:pPr>
        <w:pStyle w:val="Heading3"/>
        <w:spacing w:after="59"/>
        <w:ind w:left="24" w:right="3507"/>
      </w:pPr>
    </w:p>
    <w:p w14:paraId="5BD83417" w14:textId="5076CAEA" w:rsidR="00CE5AAF" w:rsidRDefault="00E85A33">
      <w:pPr>
        <w:pStyle w:val="Heading3"/>
        <w:spacing w:after="59"/>
        <w:ind w:left="24" w:right="3507"/>
      </w:pPr>
      <w:r>
        <w:t xml:space="preserve">Visit 4 – Blood test 4-6 weeks post visit 3 </w:t>
      </w:r>
    </w:p>
    <w:p w14:paraId="0EA58C91" w14:textId="77777777" w:rsidR="00C8508D" w:rsidRDefault="00E85A33">
      <w:pPr>
        <w:numPr>
          <w:ilvl w:val="0"/>
          <w:numId w:val="11"/>
        </w:numPr>
        <w:spacing w:after="49"/>
        <w:ind w:hanging="360"/>
      </w:pPr>
      <w:r>
        <w:t xml:space="preserve">Check inclusion/exclusion criteria are still valid </w:t>
      </w:r>
    </w:p>
    <w:p w14:paraId="10534720" w14:textId="5C7AB550" w:rsidR="00CE5AAF" w:rsidRDefault="00E85A33" w:rsidP="00C54D53">
      <w:pPr>
        <w:numPr>
          <w:ilvl w:val="1"/>
          <w:numId w:val="11"/>
        </w:numPr>
        <w:spacing w:after="49"/>
        <w:ind w:hanging="360"/>
      </w:pPr>
      <w:r>
        <w:t xml:space="preserve">Check temporary exclusion for a blood sampling visit. </w:t>
      </w:r>
    </w:p>
    <w:p w14:paraId="65DC5843" w14:textId="6A8AB7D2" w:rsidR="00CE5AAF" w:rsidRDefault="00E85A33">
      <w:pPr>
        <w:numPr>
          <w:ilvl w:val="0"/>
          <w:numId w:val="11"/>
        </w:numPr>
        <w:spacing w:after="28"/>
        <w:ind w:hanging="360"/>
      </w:pPr>
      <w:r>
        <w:t>Check anaesthetic cream and dressing has been applied, if this has not been done then apply s</w:t>
      </w:r>
      <w:r w:rsidR="00C8508D">
        <w:t>o</w:t>
      </w:r>
      <w:r>
        <w:t xml:space="preserve">me.  </w:t>
      </w:r>
    </w:p>
    <w:p w14:paraId="5132E0AD" w14:textId="285091AB" w:rsidR="00CE5AAF" w:rsidRDefault="00E85A33">
      <w:pPr>
        <w:numPr>
          <w:ilvl w:val="0"/>
          <w:numId w:val="11"/>
        </w:numPr>
        <w:spacing w:after="48"/>
        <w:ind w:hanging="360"/>
      </w:pPr>
      <w:r>
        <w:t xml:space="preserve">Review eDiary/diary card for AEs (5 days post vaccination only) </w:t>
      </w:r>
    </w:p>
    <w:p w14:paraId="4EE2E8CC" w14:textId="77777777" w:rsidR="0039182A" w:rsidRDefault="00E85A33">
      <w:pPr>
        <w:numPr>
          <w:ilvl w:val="0"/>
          <w:numId w:val="11"/>
        </w:numPr>
        <w:spacing w:after="18"/>
        <w:ind w:hanging="360"/>
      </w:pPr>
      <w:r>
        <w:t xml:space="preserve">Record and report any SAEs that have occurred since the last visit </w:t>
      </w:r>
    </w:p>
    <w:p w14:paraId="27E21AA0" w14:textId="7E9EA67A" w:rsidR="00CE5AAF" w:rsidRDefault="00E85A33" w:rsidP="00C54D53">
      <w:pPr>
        <w:numPr>
          <w:ilvl w:val="1"/>
          <w:numId w:val="11"/>
        </w:numPr>
        <w:spacing w:after="18"/>
        <w:ind w:hanging="360"/>
      </w:pPr>
      <w:r>
        <w:t xml:space="preserve">Collect 5 ml of venous blood for blood test.  </w:t>
      </w:r>
    </w:p>
    <w:p w14:paraId="2824346F" w14:textId="77777777" w:rsidR="00CE5AAF" w:rsidRDefault="00E85A33">
      <w:pPr>
        <w:numPr>
          <w:ilvl w:val="0"/>
          <w:numId w:val="11"/>
        </w:numPr>
        <w:spacing w:after="29"/>
        <w:ind w:hanging="360"/>
      </w:pPr>
      <w:r>
        <w:t xml:space="preserve">Schedule next visit. </w:t>
      </w:r>
    </w:p>
    <w:p w14:paraId="0FFC44AB" w14:textId="77777777" w:rsidR="00CE5AAF" w:rsidRDefault="00E85A33">
      <w:pPr>
        <w:numPr>
          <w:ilvl w:val="0"/>
          <w:numId w:val="11"/>
        </w:numPr>
        <w:spacing w:after="51"/>
        <w:ind w:hanging="360"/>
      </w:pPr>
      <w:r>
        <w:t xml:space="preserve">Remind parents/legal guardians if the child is admitted to hospital overnight and record this within the eDiary/diary card. </w:t>
      </w:r>
    </w:p>
    <w:p w14:paraId="5BE30C64" w14:textId="77777777" w:rsidR="00CE5AAF" w:rsidRDefault="00E85A33">
      <w:pPr>
        <w:numPr>
          <w:ilvl w:val="0"/>
          <w:numId w:val="11"/>
        </w:numPr>
        <w:spacing w:after="181"/>
        <w:ind w:hanging="360"/>
      </w:pPr>
      <w:r>
        <w:t xml:space="preserve">Study staff to complete source and electronic CRF and enter onto study database. </w:t>
      </w:r>
    </w:p>
    <w:p w14:paraId="718F08F8" w14:textId="77777777" w:rsidR="00C8508D" w:rsidRDefault="00C8508D">
      <w:pPr>
        <w:spacing w:after="49" w:line="275" w:lineRule="auto"/>
        <w:ind w:left="345" w:right="3408" w:hanging="360"/>
        <w:jc w:val="left"/>
        <w:rPr>
          <w:b/>
        </w:rPr>
      </w:pPr>
    </w:p>
    <w:p w14:paraId="7CECD7A7" w14:textId="27659001" w:rsidR="00C8508D" w:rsidRDefault="00E85A33">
      <w:pPr>
        <w:spacing w:after="49" w:line="275" w:lineRule="auto"/>
        <w:ind w:left="345" w:right="3408" w:hanging="360"/>
        <w:jc w:val="left"/>
        <w:rPr>
          <w:b/>
        </w:rPr>
      </w:pPr>
      <w:r>
        <w:rPr>
          <w:b/>
        </w:rPr>
        <w:t>Visit 5 – Routine immunisations at 12 months of age (+</w:t>
      </w:r>
      <w:r w:rsidR="00C8508D">
        <w:rPr>
          <w:b/>
        </w:rPr>
        <w:t xml:space="preserve"> 28 days) </w:t>
      </w:r>
    </w:p>
    <w:p w14:paraId="157F9D0E" w14:textId="36C4AD99" w:rsidR="00C8508D" w:rsidRDefault="00E85A33" w:rsidP="00C54D53">
      <w:pPr>
        <w:pStyle w:val="ListParagraph"/>
        <w:numPr>
          <w:ilvl w:val="0"/>
          <w:numId w:val="24"/>
        </w:numPr>
        <w:spacing w:after="49" w:line="275" w:lineRule="auto"/>
        <w:ind w:right="3408"/>
        <w:jc w:val="left"/>
      </w:pPr>
      <w:r>
        <w:t xml:space="preserve">Check inclusion/exclusion criteria are still valid. </w:t>
      </w:r>
    </w:p>
    <w:p w14:paraId="305F41FA" w14:textId="32449ABA" w:rsidR="00CE5AAF" w:rsidRDefault="00E85A33" w:rsidP="00C54D53">
      <w:pPr>
        <w:spacing w:after="49" w:line="275" w:lineRule="auto"/>
        <w:ind w:left="1080" w:right="3408" w:hanging="360"/>
        <w:jc w:val="left"/>
      </w:pPr>
      <w:r>
        <w:rPr>
          <w:rFonts w:ascii="Courier New" w:eastAsia="Courier New" w:hAnsi="Courier New" w:cs="Courier New"/>
        </w:rPr>
        <w:t>o</w:t>
      </w:r>
      <w:r>
        <w:rPr>
          <w:rFonts w:ascii="Arial" w:eastAsia="Arial" w:hAnsi="Arial" w:cs="Arial"/>
        </w:rPr>
        <w:t xml:space="preserve"> </w:t>
      </w:r>
      <w:r>
        <w:t xml:space="preserve">Check temporary exclusion for a vaccination </w:t>
      </w:r>
      <w:r w:rsidR="00C8508D">
        <w:t>v</w:t>
      </w:r>
      <w:r>
        <w:t xml:space="preserve">isit. </w:t>
      </w:r>
    </w:p>
    <w:p w14:paraId="5172F201" w14:textId="07D2CDFC" w:rsidR="00CE5AAF" w:rsidRPr="0039182A" w:rsidRDefault="00E85A33" w:rsidP="0039182A">
      <w:pPr>
        <w:numPr>
          <w:ilvl w:val="0"/>
          <w:numId w:val="11"/>
        </w:numPr>
        <w:spacing w:after="28"/>
        <w:ind w:hanging="360"/>
      </w:pPr>
      <w:r>
        <w:t xml:space="preserve">Review eDiary/diary card for AEs </w:t>
      </w:r>
      <w:r w:rsidR="0039182A" w:rsidRPr="0039182A">
        <w:t>(5 days post vaccination only)</w:t>
      </w:r>
    </w:p>
    <w:p w14:paraId="41BAF691" w14:textId="77777777" w:rsidR="00CE5AAF" w:rsidRDefault="00E85A33">
      <w:pPr>
        <w:numPr>
          <w:ilvl w:val="0"/>
          <w:numId w:val="11"/>
        </w:numPr>
        <w:ind w:hanging="360"/>
      </w:pPr>
      <w:r>
        <w:t xml:space="preserve">Record and report any SAEs that have occurred since the last visit </w:t>
      </w:r>
    </w:p>
    <w:p w14:paraId="3C91E939" w14:textId="77777777" w:rsidR="00CE5AAF" w:rsidRDefault="00E85A33">
      <w:pPr>
        <w:numPr>
          <w:ilvl w:val="0"/>
          <w:numId w:val="11"/>
        </w:numPr>
        <w:spacing w:after="26"/>
        <w:ind w:hanging="360"/>
      </w:pPr>
      <w:r>
        <w:t xml:space="preserve">Measure and record the participant’s axillary temperature. </w:t>
      </w:r>
    </w:p>
    <w:p w14:paraId="440F734B" w14:textId="77777777" w:rsidR="00780D55" w:rsidRDefault="00E85A33">
      <w:pPr>
        <w:numPr>
          <w:ilvl w:val="0"/>
          <w:numId w:val="11"/>
        </w:numPr>
        <w:spacing w:after="36"/>
        <w:ind w:hanging="360"/>
      </w:pPr>
      <w:r>
        <w:t xml:space="preserve">Administer the following vaccines as per the Green Book guidelines for administration of vaccinations and relevant study site SOPs </w:t>
      </w:r>
    </w:p>
    <w:p w14:paraId="44AD13A9" w14:textId="43BFEC1A" w:rsidR="00CE5AAF" w:rsidRDefault="00E85A33" w:rsidP="00C54D53">
      <w:pPr>
        <w:numPr>
          <w:ilvl w:val="1"/>
          <w:numId w:val="11"/>
        </w:numPr>
        <w:spacing w:after="36"/>
        <w:ind w:hanging="360"/>
      </w:pPr>
      <w:r>
        <w:t xml:space="preserve">MMR </w:t>
      </w:r>
      <w:r w:rsidR="00780D55">
        <w:t xml:space="preserve">(MMRVaxPro or Priorix) </w:t>
      </w:r>
      <w:r>
        <w:t xml:space="preserve">via intramuscular injection into the right upper anterolateral thigh separated by at least 2.5cm from the PCV injection site </w:t>
      </w:r>
    </w:p>
    <w:p w14:paraId="3ED82013" w14:textId="6C9DB48B" w:rsidR="00CE5AAF" w:rsidRDefault="003350BF">
      <w:pPr>
        <w:numPr>
          <w:ilvl w:val="1"/>
          <w:numId w:val="11"/>
        </w:numPr>
        <w:spacing w:after="38"/>
        <w:ind w:hanging="360"/>
      </w:pPr>
      <w:r>
        <w:t>*</w:t>
      </w:r>
      <w:r w:rsidR="00E85A33">
        <w:t xml:space="preserve">PCV13 via intramuscular injection into the right lower anterolateral thigh separated by at least 2.5cm from the MMR injection site </w:t>
      </w:r>
    </w:p>
    <w:p w14:paraId="6862E20F" w14:textId="77777777" w:rsidR="00780D55" w:rsidRDefault="00E85A33">
      <w:pPr>
        <w:numPr>
          <w:ilvl w:val="1"/>
          <w:numId w:val="11"/>
        </w:numPr>
        <w:spacing w:after="46"/>
        <w:ind w:hanging="360"/>
      </w:pPr>
      <w:r>
        <w:t xml:space="preserve">4CMenB (Bexsero) via intramuscular injection into the left upper anterolateral thigh </w:t>
      </w:r>
    </w:p>
    <w:p w14:paraId="04533F0A" w14:textId="15441548" w:rsidR="00CE5AAF" w:rsidRDefault="00E85A33">
      <w:pPr>
        <w:numPr>
          <w:ilvl w:val="1"/>
          <w:numId w:val="11"/>
        </w:numPr>
        <w:spacing w:after="46"/>
        <w:ind w:hanging="360"/>
      </w:pPr>
      <w:r>
        <w:t xml:space="preserve">MenC/Hib (Menitorix) via intramuscular injection into the left upper arm </w:t>
      </w:r>
    </w:p>
    <w:p w14:paraId="08A616B6" w14:textId="77777777" w:rsidR="00CE5AAF" w:rsidRDefault="00E85A33">
      <w:pPr>
        <w:numPr>
          <w:ilvl w:val="0"/>
          <w:numId w:val="11"/>
        </w:numPr>
        <w:spacing w:after="51"/>
        <w:ind w:hanging="360"/>
      </w:pPr>
      <w:r>
        <w:t xml:space="preserve">Observe the participant for 15 minutes after vaccination for any significant acute reactions, with adrenaline readily available in case of anaphylactic reaction. Any AEs occurring during the observation period should be recorded.  </w:t>
      </w:r>
    </w:p>
    <w:p w14:paraId="66C200CF" w14:textId="77777777" w:rsidR="00CE5AAF" w:rsidRDefault="00E85A33">
      <w:pPr>
        <w:numPr>
          <w:ilvl w:val="0"/>
          <w:numId w:val="11"/>
        </w:numPr>
        <w:spacing w:after="39"/>
        <w:ind w:hanging="360"/>
      </w:pPr>
      <w:r>
        <w:t xml:space="preserve">Parents/legal guardians would be discouraged from administering antipyretics in the 12 hours prior to vaccination. If this is unavoidable, this should be documented and vaccination and study participation should continue as planned.  </w:t>
      </w:r>
    </w:p>
    <w:p w14:paraId="064F149B" w14:textId="77777777" w:rsidR="00780D55" w:rsidRDefault="00E85A33">
      <w:pPr>
        <w:numPr>
          <w:ilvl w:val="0"/>
          <w:numId w:val="11"/>
        </w:numPr>
        <w:spacing w:after="37"/>
        <w:ind w:hanging="360"/>
      </w:pPr>
      <w:r>
        <w:t xml:space="preserve">Remind parents/legal guardians to </w:t>
      </w:r>
    </w:p>
    <w:p w14:paraId="66280BC4" w14:textId="129822DA" w:rsidR="00CE5AAF" w:rsidRDefault="00E85A33" w:rsidP="00C54D53">
      <w:pPr>
        <w:numPr>
          <w:ilvl w:val="1"/>
          <w:numId w:val="11"/>
        </w:numPr>
        <w:spacing w:after="37"/>
        <w:ind w:hanging="360"/>
      </w:pPr>
      <w:r>
        <w:t xml:space="preserve">Complete the eDiary/diary card for 5 days post vaccination. </w:t>
      </w:r>
    </w:p>
    <w:p w14:paraId="29585A83" w14:textId="77777777" w:rsidR="00CE5AAF" w:rsidRDefault="00E85A33">
      <w:pPr>
        <w:numPr>
          <w:ilvl w:val="1"/>
          <w:numId w:val="11"/>
        </w:numPr>
        <w:spacing w:after="47"/>
        <w:ind w:hanging="360"/>
      </w:pPr>
      <w:r>
        <w:t xml:space="preserve">Contact the study team as soon as possible should the participant manifest any signs/symptoms they perceive as serious, or if the child is admitted overnight to hospital. Ask them to record this within the eDiary/diary card.  </w:t>
      </w:r>
    </w:p>
    <w:p w14:paraId="3D95142E" w14:textId="77777777" w:rsidR="00CE5AAF" w:rsidRDefault="00E85A33">
      <w:pPr>
        <w:numPr>
          <w:ilvl w:val="0"/>
          <w:numId w:val="11"/>
        </w:numPr>
        <w:spacing w:after="29"/>
        <w:ind w:hanging="360"/>
      </w:pPr>
      <w:r>
        <w:t xml:space="preserve">Schedule next visit. </w:t>
      </w:r>
    </w:p>
    <w:p w14:paraId="1B33F238" w14:textId="77777777" w:rsidR="00CE5AAF" w:rsidRDefault="00E85A33">
      <w:pPr>
        <w:numPr>
          <w:ilvl w:val="0"/>
          <w:numId w:val="11"/>
        </w:numPr>
        <w:spacing w:after="51"/>
        <w:ind w:hanging="360"/>
      </w:pPr>
      <w:r>
        <w:t xml:space="preserve">Study staff to complete red book (parent held child record) if available, source and electronic CRF and enter onto study database. </w:t>
      </w:r>
    </w:p>
    <w:p w14:paraId="32E00917" w14:textId="77777777" w:rsidR="00CE5AAF" w:rsidRDefault="00E85A33">
      <w:pPr>
        <w:numPr>
          <w:ilvl w:val="0"/>
          <w:numId w:val="11"/>
        </w:numPr>
        <w:spacing w:after="48"/>
        <w:ind w:hanging="360"/>
      </w:pPr>
      <w:r>
        <w:t xml:space="preserve">Leave anaesthetic cream, dressing and instructions for next visit for the blood test required by the participant </w:t>
      </w:r>
    </w:p>
    <w:p w14:paraId="57C97A6A" w14:textId="77777777" w:rsidR="00CE5AAF" w:rsidRDefault="00E85A33">
      <w:pPr>
        <w:numPr>
          <w:ilvl w:val="0"/>
          <w:numId w:val="11"/>
        </w:numPr>
        <w:ind w:hanging="360"/>
      </w:pPr>
      <w:r>
        <w:t xml:space="preserve">Notify the Child Health Information Services, or equivalent NHS database that the participant’s routine vaccines have been administered.  </w:t>
      </w:r>
    </w:p>
    <w:p w14:paraId="50BAD233" w14:textId="77777777" w:rsidR="00780D55" w:rsidRDefault="00780D55">
      <w:pPr>
        <w:pStyle w:val="Heading3"/>
        <w:spacing w:after="59"/>
        <w:ind w:left="24" w:right="3507"/>
      </w:pPr>
    </w:p>
    <w:p w14:paraId="676A2426" w14:textId="532BC1E8" w:rsidR="00CE5AAF" w:rsidRDefault="00E85A33">
      <w:pPr>
        <w:pStyle w:val="Heading3"/>
        <w:spacing w:after="59"/>
        <w:ind w:left="24" w:right="3507"/>
      </w:pPr>
      <w:r>
        <w:t xml:space="preserve">Visit 6 – Blood test 4-6 weeks post visit 5 </w:t>
      </w:r>
    </w:p>
    <w:p w14:paraId="178F7B9E" w14:textId="77777777" w:rsidR="00780D55" w:rsidRDefault="00E85A33">
      <w:pPr>
        <w:numPr>
          <w:ilvl w:val="0"/>
          <w:numId w:val="12"/>
        </w:numPr>
        <w:spacing w:after="52"/>
        <w:ind w:hanging="360"/>
      </w:pPr>
      <w:r>
        <w:t xml:space="preserve">Check inclusion/exclusion criteria are still valid </w:t>
      </w:r>
    </w:p>
    <w:p w14:paraId="6DF9B85E" w14:textId="67358812" w:rsidR="00CE5AAF" w:rsidRDefault="00E85A33" w:rsidP="00C54D53">
      <w:pPr>
        <w:numPr>
          <w:ilvl w:val="1"/>
          <w:numId w:val="12"/>
        </w:numPr>
        <w:spacing w:after="52"/>
        <w:ind w:hanging="360"/>
      </w:pPr>
      <w:r>
        <w:t>Check temporary exclusion for a</w:t>
      </w:r>
      <w:r w:rsidR="00780D55">
        <w:t xml:space="preserve"> blood sampling</w:t>
      </w:r>
      <w:r>
        <w:t xml:space="preserve"> visit. </w:t>
      </w:r>
    </w:p>
    <w:p w14:paraId="2022E3F0" w14:textId="0BB1F6C8" w:rsidR="00CE5AAF" w:rsidRDefault="00E85A33">
      <w:pPr>
        <w:numPr>
          <w:ilvl w:val="0"/>
          <w:numId w:val="12"/>
        </w:numPr>
        <w:spacing w:after="26"/>
        <w:ind w:hanging="360"/>
      </w:pPr>
      <w:r>
        <w:t>Check anaesthetic cream and dressing has been applied, if this has not been done then apply s</w:t>
      </w:r>
      <w:r w:rsidR="00780D55">
        <w:t>o</w:t>
      </w:r>
      <w:r>
        <w:t xml:space="preserve">me.   </w:t>
      </w:r>
    </w:p>
    <w:p w14:paraId="758F3657" w14:textId="790FCFFB" w:rsidR="00CE5AAF" w:rsidRDefault="00E85A33">
      <w:pPr>
        <w:numPr>
          <w:ilvl w:val="0"/>
          <w:numId w:val="12"/>
        </w:numPr>
        <w:spacing w:after="51"/>
        <w:ind w:hanging="360"/>
      </w:pPr>
      <w:r>
        <w:t xml:space="preserve">Review eDiary/diary card for AEs (5 days post vaccination only) </w:t>
      </w:r>
    </w:p>
    <w:p w14:paraId="1224A4BD" w14:textId="77777777" w:rsidR="00CE5AAF" w:rsidRDefault="00E85A33">
      <w:pPr>
        <w:numPr>
          <w:ilvl w:val="0"/>
          <w:numId w:val="12"/>
        </w:numPr>
        <w:spacing w:after="26"/>
        <w:ind w:hanging="360"/>
      </w:pPr>
      <w:r>
        <w:t xml:space="preserve">Record and report any SAEs that have occurred since the last visit </w:t>
      </w:r>
    </w:p>
    <w:p w14:paraId="22D0A753" w14:textId="77777777" w:rsidR="00CE5AAF" w:rsidRDefault="00E85A33">
      <w:pPr>
        <w:numPr>
          <w:ilvl w:val="0"/>
          <w:numId w:val="12"/>
        </w:numPr>
        <w:spacing w:after="28"/>
        <w:ind w:hanging="360"/>
      </w:pPr>
      <w:r>
        <w:t xml:space="preserve">Collect 5 ml of venous blood for blood test </w:t>
      </w:r>
    </w:p>
    <w:p w14:paraId="39AFEBA0" w14:textId="77777777" w:rsidR="00CE5AAF" w:rsidRDefault="00E85A33">
      <w:pPr>
        <w:numPr>
          <w:ilvl w:val="0"/>
          <w:numId w:val="12"/>
        </w:numPr>
        <w:spacing w:after="181"/>
        <w:ind w:hanging="360"/>
      </w:pPr>
      <w:r>
        <w:t xml:space="preserve">Study staff to complete source and electronic CRF and enter onto study database. </w:t>
      </w:r>
    </w:p>
    <w:p w14:paraId="7D5796FD" w14:textId="55DF7905" w:rsidR="003350BF" w:rsidRDefault="003350BF">
      <w:pPr>
        <w:spacing w:after="535" w:line="275" w:lineRule="auto"/>
        <w:ind w:left="-5"/>
        <w:jc w:val="left"/>
      </w:pPr>
      <w:r>
        <w:t xml:space="preserve">*PCV 13 will be administered at 3 and 12months (not 2,4 and 12months) to reflect the </w:t>
      </w:r>
      <w:r w:rsidR="00607A94">
        <w:t xml:space="preserve">change to the routine </w:t>
      </w:r>
      <w:r>
        <w:t>schedule in the UK</w:t>
      </w:r>
      <w:r w:rsidR="00607A94">
        <w:t xml:space="preserve"> for </w:t>
      </w:r>
      <w:r w:rsidR="00607A94" w:rsidRPr="00607A94">
        <w:t>infants born on or after 1 January 2020</w:t>
      </w:r>
      <w:r>
        <w:t xml:space="preserve">. </w:t>
      </w:r>
    </w:p>
    <w:p w14:paraId="2CEF361D" w14:textId="7833FC00" w:rsidR="00CE5AAF" w:rsidRDefault="00E85A33">
      <w:pPr>
        <w:spacing w:after="535" w:line="275" w:lineRule="auto"/>
        <w:ind w:left="-5"/>
        <w:jc w:val="left"/>
      </w:pPr>
      <w:r>
        <w:t xml:space="preserve">In addition, at the Oxford site parents will be asked to consent for any samples taken from their child and not used up in the initial testing to be archived in the Oxford Vaccine Centre biobank (REC ref: 16/SC/0141).  There is a separate information and consent form for this and parents will be free to decline this but remain in the main study. This can happen at any study visit.  </w:t>
      </w:r>
    </w:p>
    <w:p w14:paraId="6FFBB9F8" w14:textId="77777777" w:rsidR="00CE5AAF" w:rsidRDefault="00E85A33">
      <w:pPr>
        <w:pStyle w:val="Heading3"/>
        <w:spacing w:after="0" w:line="259" w:lineRule="auto"/>
        <w:ind w:left="370"/>
      </w:pPr>
      <w:r>
        <w:rPr>
          <w:sz w:val="24"/>
        </w:rPr>
        <w:t>8.5.</w:t>
      </w:r>
      <w:r>
        <w:rPr>
          <w:rFonts w:ascii="Arial" w:eastAsia="Arial" w:hAnsi="Arial" w:cs="Arial"/>
          <w:sz w:val="24"/>
        </w:rPr>
        <w:t xml:space="preserve"> </w:t>
      </w:r>
      <w:r>
        <w:rPr>
          <w:sz w:val="24"/>
        </w:rPr>
        <w:t xml:space="preserve">Recording symptoms: Diary card/eDiary </w:t>
      </w:r>
    </w:p>
    <w:p w14:paraId="271A4B38" w14:textId="77777777" w:rsidR="00CE5AAF" w:rsidRDefault="00E85A33">
      <w:pPr>
        <w:spacing w:after="16" w:line="259" w:lineRule="auto"/>
        <w:ind w:left="0" w:firstLine="0"/>
        <w:jc w:val="left"/>
      </w:pPr>
      <w:r>
        <w:t xml:space="preserve"> </w:t>
      </w:r>
    </w:p>
    <w:p w14:paraId="36C45B04" w14:textId="2848CBE3" w:rsidR="00CE5AAF" w:rsidRDefault="00E85A33">
      <w:pPr>
        <w:ind w:left="24"/>
      </w:pPr>
      <w:r>
        <w:t xml:space="preserve">The parents/legal guardians of the participant will be asked to maintain an electronic diary/paper diary card detailing all (solicited and unsolicited) reactions in the 5 days following vaccination after each vaccination visit (visit 1, 2, 3 and 5 for all groups).  If a symptom persists after 5 days, an end-date should be entered if available, or otherwise recorded as ongoing. </w:t>
      </w:r>
    </w:p>
    <w:p w14:paraId="25E480B8" w14:textId="77777777" w:rsidR="00CE5AAF" w:rsidRDefault="00E85A33">
      <w:pPr>
        <w:spacing w:after="539"/>
        <w:ind w:left="24"/>
      </w:pPr>
      <w:r>
        <w:t xml:space="preserve">The eDiary will be on a secure website hosted by OVG. The diary will also be available in paper form should internet access be temporarily unavailable. There will be provision to record the following reactions after vaccine visit.  </w:t>
      </w:r>
    </w:p>
    <w:p w14:paraId="4A2AEBA2" w14:textId="77777777" w:rsidR="00CE5AAF" w:rsidRDefault="00E85A33">
      <w:pPr>
        <w:pStyle w:val="Heading4"/>
        <w:ind w:left="730"/>
      </w:pPr>
      <w:r>
        <w:t>8.5.1.</w:t>
      </w:r>
      <w:r>
        <w:rPr>
          <w:rFonts w:ascii="Arial" w:eastAsia="Arial" w:hAnsi="Arial" w:cs="Arial"/>
        </w:rPr>
        <w:t xml:space="preserve"> </w:t>
      </w:r>
      <w:r>
        <w:t xml:space="preserve">Local reactions </w:t>
      </w:r>
    </w:p>
    <w:p w14:paraId="6B9E890E" w14:textId="77777777" w:rsidR="00CE5AAF" w:rsidRDefault="00E85A33">
      <w:pPr>
        <w:spacing w:after="19" w:line="259" w:lineRule="auto"/>
        <w:ind w:left="0" w:firstLine="0"/>
        <w:jc w:val="left"/>
      </w:pPr>
      <w:r>
        <w:t xml:space="preserve"> </w:t>
      </w:r>
    </w:p>
    <w:p w14:paraId="3BFCCACF" w14:textId="77777777" w:rsidR="00CE5AAF" w:rsidRDefault="00E85A33">
      <w:pPr>
        <w:ind w:left="24"/>
      </w:pPr>
      <w:r>
        <w:t xml:space="preserve">The local reactions that will be recorded include erythema, induration and swelling (Table 3). Tenderness (pain) is listed in table 5. Parents/legal guardians will be issued with a ruler to measure erythema, induration or swelling and tenderness severity will be graded as shown in table 5. Erythema, induration and swelling will be categorised according to the table below: </w:t>
      </w:r>
    </w:p>
    <w:p w14:paraId="6BFD3040" w14:textId="77777777" w:rsidR="00CE5AAF" w:rsidRDefault="00E85A33">
      <w:pPr>
        <w:pStyle w:val="Heading5"/>
        <w:spacing w:after="3" w:line="259" w:lineRule="auto"/>
        <w:ind w:right="33"/>
        <w:jc w:val="center"/>
      </w:pPr>
      <w:r>
        <w:t xml:space="preserve">Table 3: Local reactions </w:t>
      </w:r>
    </w:p>
    <w:tbl>
      <w:tblPr>
        <w:tblStyle w:val="TableGrid"/>
        <w:tblW w:w="5349" w:type="dxa"/>
        <w:tblInd w:w="2031" w:type="dxa"/>
        <w:tblCellMar>
          <w:top w:w="168" w:type="dxa"/>
          <w:left w:w="106" w:type="dxa"/>
          <w:right w:w="90" w:type="dxa"/>
        </w:tblCellMar>
        <w:tblLook w:val="04A0" w:firstRow="1" w:lastRow="0" w:firstColumn="1" w:lastColumn="0" w:noHBand="0" w:noVBand="1"/>
      </w:tblPr>
      <w:tblGrid>
        <w:gridCol w:w="2133"/>
        <w:gridCol w:w="1609"/>
        <w:gridCol w:w="1607"/>
      </w:tblGrid>
      <w:tr w:rsidR="00CE5AAF" w14:paraId="5554AEDC" w14:textId="77777777">
        <w:trPr>
          <w:trHeight w:val="523"/>
        </w:trPr>
        <w:tc>
          <w:tcPr>
            <w:tcW w:w="2134" w:type="dxa"/>
            <w:tcBorders>
              <w:top w:val="single" w:sz="8" w:space="0" w:color="000000"/>
              <w:left w:val="single" w:sz="8" w:space="0" w:color="000000"/>
              <w:bottom w:val="single" w:sz="8" w:space="0" w:color="000000"/>
              <w:right w:val="single" w:sz="8" w:space="0" w:color="000000"/>
            </w:tcBorders>
            <w:shd w:val="clear" w:color="auto" w:fill="4F81BD"/>
            <w:vAlign w:val="center"/>
          </w:tcPr>
          <w:p w14:paraId="6B310B45" w14:textId="77777777" w:rsidR="00CE5AAF" w:rsidRDefault="00E85A33">
            <w:pPr>
              <w:spacing w:after="0" w:line="259" w:lineRule="auto"/>
              <w:ind w:left="0" w:firstLine="0"/>
              <w:jc w:val="left"/>
            </w:pPr>
            <w:r>
              <w:rPr>
                <w:b/>
                <w:color w:val="FFFFFF"/>
              </w:rPr>
              <w:t xml:space="preserve">Symptom </w:t>
            </w:r>
          </w:p>
        </w:tc>
        <w:tc>
          <w:tcPr>
            <w:tcW w:w="1609" w:type="dxa"/>
            <w:tcBorders>
              <w:top w:val="single" w:sz="8" w:space="0" w:color="000000"/>
              <w:left w:val="single" w:sz="8" w:space="0" w:color="000000"/>
              <w:bottom w:val="single" w:sz="8" w:space="0" w:color="000000"/>
              <w:right w:val="single" w:sz="8" w:space="0" w:color="000000"/>
            </w:tcBorders>
            <w:shd w:val="clear" w:color="auto" w:fill="4F81BD"/>
            <w:vAlign w:val="center"/>
          </w:tcPr>
          <w:p w14:paraId="538A585E" w14:textId="77777777" w:rsidR="00CE5AAF" w:rsidRDefault="00E85A33">
            <w:pPr>
              <w:spacing w:after="0" w:line="259" w:lineRule="auto"/>
              <w:ind w:left="2" w:firstLine="0"/>
              <w:jc w:val="left"/>
            </w:pPr>
            <w:r>
              <w:rPr>
                <w:b/>
                <w:color w:val="FFFFFF"/>
              </w:rPr>
              <w:t xml:space="preserve">Grade </w:t>
            </w:r>
          </w:p>
        </w:tc>
        <w:tc>
          <w:tcPr>
            <w:tcW w:w="1607" w:type="dxa"/>
            <w:tcBorders>
              <w:top w:val="single" w:sz="8" w:space="0" w:color="000000"/>
              <w:left w:val="single" w:sz="8" w:space="0" w:color="000000"/>
              <w:bottom w:val="single" w:sz="8" w:space="0" w:color="000000"/>
              <w:right w:val="single" w:sz="8" w:space="0" w:color="000000"/>
            </w:tcBorders>
            <w:shd w:val="clear" w:color="auto" w:fill="4F81BD"/>
            <w:vAlign w:val="center"/>
          </w:tcPr>
          <w:p w14:paraId="7D6CE330" w14:textId="77777777" w:rsidR="00CE5AAF" w:rsidRDefault="00E85A33">
            <w:pPr>
              <w:spacing w:after="0" w:line="259" w:lineRule="auto"/>
              <w:ind w:left="2" w:firstLine="0"/>
              <w:jc w:val="left"/>
            </w:pPr>
            <w:r>
              <w:rPr>
                <w:b/>
                <w:color w:val="FFFFFF"/>
              </w:rPr>
              <w:t xml:space="preserve">Definition </w:t>
            </w:r>
          </w:p>
        </w:tc>
      </w:tr>
      <w:tr w:rsidR="00CE5AAF" w14:paraId="4D8A6C9F" w14:textId="77777777">
        <w:trPr>
          <w:trHeight w:val="530"/>
        </w:trPr>
        <w:tc>
          <w:tcPr>
            <w:tcW w:w="2134" w:type="dxa"/>
            <w:vMerge w:val="restart"/>
            <w:tcBorders>
              <w:top w:val="single" w:sz="8" w:space="0" w:color="000000"/>
              <w:left w:val="single" w:sz="8" w:space="0" w:color="000000"/>
              <w:bottom w:val="single" w:sz="8" w:space="0" w:color="000000"/>
              <w:right w:val="single" w:sz="8" w:space="0" w:color="000000"/>
            </w:tcBorders>
          </w:tcPr>
          <w:p w14:paraId="2CC502AB" w14:textId="77777777" w:rsidR="00CE5AAF" w:rsidRDefault="00E85A33">
            <w:pPr>
              <w:spacing w:after="0" w:line="259" w:lineRule="auto"/>
              <w:ind w:left="0" w:firstLine="0"/>
              <w:jc w:val="left"/>
            </w:pPr>
            <w:r>
              <w:rPr>
                <w:b/>
              </w:rPr>
              <w:t xml:space="preserve">Injection site reaction (erythema, induration and swelling) </w:t>
            </w:r>
          </w:p>
        </w:tc>
        <w:tc>
          <w:tcPr>
            <w:tcW w:w="1609" w:type="dxa"/>
            <w:tcBorders>
              <w:top w:val="single" w:sz="8" w:space="0" w:color="000000"/>
              <w:left w:val="single" w:sz="8" w:space="0" w:color="000000"/>
              <w:bottom w:val="single" w:sz="8" w:space="0" w:color="000000"/>
              <w:right w:val="single" w:sz="8" w:space="0" w:color="000000"/>
            </w:tcBorders>
            <w:vAlign w:val="center"/>
          </w:tcPr>
          <w:p w14:paraId="1D041E4F" w14:textId="77777777" w:rsidR="00CE5AAF" w:rsidRDefault="00E85A33">
            <w:pPr>
              <w:spacing w:after="0" w:line="259" w:lineRule="auto"/>
              <w:ind w:left="2" w:firstLine="0"/>
              <w:jc w:val="left"/>
            </w:pPr>
            <w:r>
              <w:t>0</w:t>
            </w:r>
            <w:r>
              <w:rPr>
                <w:b/>
              </w:rPr>
              <w:t xml:space="preserve"> </w:t>
            </w:r>
          </w:p>
        </w:tc>
        <w:tc>
          <w:tcPr>
            <w:tcW w:w="1607" w:type="dxa"/>
            <w:tcBorders>
              <w:top w:val="single" w:sz="8" w:space="0" w:color="000000"/>
              <w:left w:val="single" w:sz="8" w:space="0" w:color="000000"/>
              <w:bottom w:val="single" w:sz="8" w:space="0" w:color="000000"/>
              <w:right w:val="single" w:sz="8" w:space="0" w:color="4F81BD"/>
            </w:tcBorders>
            <w:vAlign w:val="center"/>
          </w:tcPr>
          <w:p w14:paraId="420B7B6A" w14:textId="77777777" w:rsidR="00CE5AAF" w:rsidRDefault="00E85A33">
            <w:pPr>
              <w:spacing w:after="0" w:line="259" w:lineRule="auto"/>
              <w:ind w:left="2" w:firstLine="0"/>
              <w:jc w:val="left"/>
            </w:pPr>
            <w:r>
              <w:t xml:space="preserve">No reaction </w:t>
            </w:r>
          </w:p>
        </w:tc>
      </w:tr>
      <w:tr w:rsidR="00CE5AAF" w14:paraId="7FD50EA1" w14:textId="77777777">
        <w:trPr>
          <w:trHeight w:val="528"/>
        </w:trPr>
        <w:tc>
          <w:tcPr>
            <w:tcW w:w="0" w:type="auto"/>
            <w:vMerge/>
            <w:tcBorders>
              <w:top w:val="nil"/>
              <w:left w:val="single" w:sz="8" w:space="0" w:color="000000"/>
              <w:bottom w:val="nil"/>
              <w:right w:val="single" w:sz="8" w:space="0" w:color="000000"/>
            </w:tcBorders>
          </w:tcPr>
          <w:p w14:paraId="5275E4CE" w14:textId="77777777" w:rsidR="00CE5AAF" w:rsidRDefault="00CE5AAF">
            <w:pPr>
              <w:spacing w:after="160" w:line="259" w:lineRule="auto"/>
              <w:ind w:left="0" w:firstLine="0"/>
              <w:jc w:val="left"/>
            </w:pPr>
          </w:p>
        </w:tc>
        <w:tc>
          <w:tcPr>
            <w:tcW w:w="1609" w:type="dxa"/>
            <w:tcBorders>
              <w:top w:val="single" w:sz="8" w:space="0" w:color="000000"/>
              <w:left w:val="single" w:sz="8" w:space="0" w:color="000000"/>
              <w:bottom w:val="single" w:sz="8" w:space="0" w:color="000000"/>
              <w:right w:val="single" w:sz="8" w:space="0" w:color="000000"/>
            </w:tcBorders>
            <w:vAlign w:val="center"/>
          </w:tcPr>
          <w:p w14:paraId="0FD792E6" w14:textId="77777777" w:rsidR="00CE5AAF" w:rsidRDefault="00E85A33">
            <w:pPr>
              <w:spacing w:after="0" w:line="259" w:lineRule="auto"/>
              <w:ind w:left="2" w:firstLine="0"/>
              <w:jc w:val="left"/>
            </w:pPr>
            <w:r>
              <w:t>1</w:t>
            </w:r>
            <w:r>
              <w:rPr>
                <w:b/>
              </w:rPr>
              <w:t xml:space="preserve"> </w:t>
            </w:r>
          </w:p>
        </w:tc>
        <w:tc>
          <w:tcPr>
            <w:tcW w:w="1607" w:type="dxa"/>
            <w:tcBorders>
              <w:top w:val="single" w:sz="8" w:space="0" w:color="000000"/>
              <w:left w:val="single" w:sz="8" w:space="0" w:color="000000"/>
              <w:bottom w:val="single" w:sz="8" w:space="0" w:color="000000"/>
              <w:right w:val="single" w:sz="8" w:space="0" w:color="000000"/>
            </w:tcBorders>
            <w:vAlign w:val="center"/>
          </w:tcPr>
          <w:p w14:paraId="5C2B2FC9" w14:textId="77777777" w:rsidR="00CE5AAF" w:rsidRDefault="00E85A33">
            <w:pPr>
              <w:spacing w:after="0" w:line="259" w:lineRule="auto"/>
              <w:ind w:left="2" w:firstLine="0"/>
              <w:jc w:val="left"/>
            </w:pPr>
            <w:r>
              <w:t xml:space="preserve">1 to ≤10mm </w:t>
            </w:r>
          </w:p>
        </w:tc>
      </w:tr>
      <w:tr w:rsidR="00CE5AAF" w14:paraId="220E0BDA" w14:textId="77777777">
        <w:trPr>
          <w:trHeight w:val="530"/>
        </w:trPr>
        <w:tc>
          <w:tcPr>
            <w:tcW w:w="0" w:type="auto"/>
            <w:vMerge/>
            <w:tcBorders>
              <w:top w:val="nil"/>
              <w:left w:val="single" w:sz="8" w:space="0" w:color="000000"/>
              <w:bottom w:val="nil"/>
              <w:right w:val="single" w:sz="8" w:space="0" w:color="000000"/>
            </w:tcBorders>
          </w:tcPr>
          <w:p w14:paraId="2B9F23CF" w14:textId="77777777" w:rsidR="00CE5AAF" w:rsidRDefault="00CE5AAF">
            <w:pPr>
              <w:spacing w:after="160" w:line="259" w:lineRule="auto"/>
              <w:ind w:left="0" w:firstLine="0"/>
              <w:jc w:val="left"/>
            </w:pPr>
          </w:p>
        </w:tc>
        <w:tc>
          <w:tcPr>
            <w:tcW w:w="1609" w:type="dxa"/>
            <w:tcBorders>
              <w:top w:val="single" w:sz="8" w:space="0" w:color="000000"/>
              <w:left w:val="single" w:sz="8" w:space="0" w:color="000000"/>
              <w:bottom w:val="single" w:sz="8" w:space="0" w:color="000000"/>
              <w:right w:val="single" w:sz="8" w:space="0" w:color="000000"/>
            </w:tcBorders>
            <w:vAlign w:val="center"/>
          </w:tcPr>
          <w:p w14:paraId="132D96A4" w14:textId="77777777" w:rsidR="00CE5AAF" w:rsidRDefault="00E85A33">
            <w:pPr>
              <w:spacing w:after="0" w:line="259" w:lineRule="auto"/>
              <w:ind w:left="2" w:firstLine="0"/>
              <w:jc w:val="left"/>
            </w:pPr>
            <w:r>
              <w:t>2</w:t>
            </w:r>
            <w:r>
              <w:rPr>
                <w:b/>
              </w:rPr>
              <w:t xml:space="preserve"> </w:t>
            </w:r>
          </w:p>
        </w:tc>
        <w:tc>
          <w:tcPr>
            <w:tcW w:w="1607" w:type="dxa"/>
            <w:tcBorders>
              <w:top w:val="single" w:sz="8" w:space="0" w:color="000000"/>
              <w:left w:val="single" w:sz="8" w:space="0" w:color="000000"/>
              <w:bottom w:val="single" w:sz="8" w:space="0" w:color="000000"/>
              <w:right w:val="single" w:sz="8" w:space="0" w:color="4F81BD"/>
            </w:tcBorders>
            <w:vAlign w:val="center"/>
          </w:tcPr>
          <w:p w14:paraId="56F8CE45" w14:textId="77777777" w:rsidR="00CE5AAF" w:rsidRDefault="00E85A33">
            <w:pPr>
              <w:spacing w:after="0" w:line="259" w:lineRule="auto"/>
              <w:ind w:left="2" w:firstLine="0"/>
              <w:jc w:val="left"/>
            </w:pPr>
            <w:r>
              <w:t xml:space="preserve">11 to ≤25mm </w:t>
            </w:r>
          </w:p>
        </w:tc>
      </w:tr>
      <w:tr w:rsidR="00CE5AAF" w14:paraId="5906D075" w14:textId="77777777">
        <w:trPr>
          <w:trHeight w:val="528"/>
        </w:trPr>
        <w:tc>
          <w:tcPr>
            <w:tcW w:w="0" w:type="auto"/>
            <w:vMerge/>
            <w:tcBorders>
              <w:top w:val="nil"/>
              <w:left w:val="single" w:sz="8" w:space="0" w:color="000000"/>
              <w:bottom w:val="nil"/>
              <w:right w:val="single" w:sz="8" w:space="0" w:color="000000"/>
            </w:tcBorders>
          </w:tcPr>
          <w:p w14:paraId="0FE97B6C" w14:textId="77777777" w:rsidR="00CE5AAF" w:rsidRDefault="00CE5AAF">
            <w:pPr>
              <w:spacing w:after="160" w:line="259" w:lineRule="auto"/>
              <w:ind w:left="0" w:firstLine="0"/>
              <w:jc w:val="left"/>
            </w:pPr>
          </w:p>
        </w:tc>
        <w:tc>
          <w:tcPr>
            <w:tcW w:w="1609" w:type="dxa"/>
            <w:tcBorders>
              <w:top w:val="single" w:sz="8" w:space="0" w:color="000000"/>
              <w:left w:val="single" w:sz="8" w:space="0" w:color="000000"/>
              <w:bottom w:val="single" w:sz="8" w:space="0" w:color="000000"/>
              <w:right w:val="single" w:sz="8" w:space="0" w:color="000000"/>
            </w:tcBorders>
            <w:vAlign w:val="center"/>
          </w:tcPr>
          <w:p w14:paraId="0B308DD1" w14:textId="77777777" w:rsidR="00CE5AAF" w:rsidRDefault="00E85A33">
            <w:pPr>
              <w:spacing w:after="0" w:line="259" w:lineRule="auto"/>
              <w:ind w:left="2" w:firstLine="0"/>
              <w:jc w:val="left"/>
            </w:pPr>
            <w:r>
              <w:t>3</w:t>
            </w:r>
            <w:r>
              <w:rPr>
                <w:b/>
              </w:rPr>
              <w:t xml:space="preserve"> </w:t>
            </w:r>
          </w:p>
        </w:tc>
        <w:tc>
          <w:tcPr>
            <w:tcW w:w="1607" w:type="dxa"/>
            <w:tcBorders>
              <w:top w:val="single" w:sz="8" w:space="0" w:color="000000"/>
              <w:left w:val="single" w:sz="8" w:space="0" w:color="000000"/>
              <w:bottom w:val="single" w:sz="8" w:space="0" w:color="000000"/>
              <w:right w:val="single" w:sz="8" w:space="0" w:color="000000"/>
            </w:tcBorders>
            <w:vAlign w:val="center"/>
          </w:tcPr>
          <w:p w14:paraId="60BD4B83" w14:textId="77777777" w:rsidR="00CE5AAF" w:rsidRDefault="00E85A33">
            <w:pPr>
              <w:spacing w:after="0" w:line="259" w:lineRule="auto"/>
              <w:ind w:left="2" w:firstLine="0"/>
              <w:jc w:val="left"/>
            </w:pPr>
            <w:r>
              <w:t xml:space="preserve">26 to ≤50mm </w:t>
            </w:r>
          </w:p>
        </w:tc>
      </w:tr>
      <w:tr w:rsidR="00CE5AAF" w14:paraId="754EFADB" w14:textId="77777777">
        <w:trPr>
          <w:trHeight w:val="528"/>
        </w:trPr>
        <w:tc>
          <w:tcPr>
            <w:tcW w:w="0" w:type="auto"/>
            <w:vMerge/>
            <w:tcBorders>
              <w:top w:val="nil"/>
              <w:left w:val="single" w:sz="8" w:space="0" w:color="000000"/>
              <w:bottom w:val="nil"/>
              <w:right w:val="single" w:sz="8" w:space="0" w:color="000000"/>
            </w:tcBorders>
          </w:tcPr>
          <w:p w14:paraId="7577F99C" w14:textId="77777777" w:rsidR="00CE5AAF" w:rsidRDefault="00CE5AAF">
            <w:pPr>
              <w:spacing w:after="160" w:line="259" w:lineRule="auto"/>
              <w:ind w:left="0" w:firstLine="0"/>
              <w:jc w:val="left"/>
            </w:pPr>
          </w:p>
        </w:tc>
        <w:tc>
          <w:tcPr>
            <w:tcW w:w="1609" w:type="dxa"/>
            <w:tcBorders>
              <w:top w:val="single" w:sz="8" w:space="0" w:color="000000"/>
              <w:left w:val="single" w:sz="8" w:space="0" w:color="000000"/>
              <w:bottom w:val="single" w:sz="8" w:space="0" w:color="000000"/>
              <w:right w:val="single" w:sz="8" w:space="0" w:color="000000"/>
            </w:tcBorders>
            <w:vAlign w:val="center"/>
          </w:tcPr>
          <w:p w14:paraId="16AFBF19" w14:textId="77777777" w:rsidR="00CE5AAF" w:rsidRDefault="00E85A33">
            <w:pPr>
              <w:spacing w:after="0" w:line="259" w:lineRule="auto"/>
              <w:ind w:left="2" w:firstLine="0"/>
              <w:jc w:val="left"/>
            </w:pPr>
            <w:r>
              <w:t xml:space="preserve">4 (severe) </w:t>
            </w:r>
          </w:p>
        </w:tc>
        <w:tc>
          <w:tcPr>
            <w:tcW w:w="1607" w:type="dxa"/>
            <w:tcBorders>
              <w:top w:val="single" w:sz="8" w:space="0" w:color="000000"/>
              <w:left w:val="single" w:sz="8" w:space="0" w:color="000000"/>
              <w:bottom w:val="single" w:sz="8" w:space="0" w:color="000000"/>
              <w:right w:val="single" w:sz="8" w:space="0" w:color="4F81BD"/>
            </w:tcBorders>
            <w:vAlign w:val="center"/>
          </w:tcPr>
          <w:p w14:paraId="6F42EB6F" w14:textId="77777777" w:rsidR="00CE5AAF" w:rsidRDefault="00E85A33">
            <w:pPr>
              <w:spacing w:after="0" w:line="259" w:lineRule="auto"/>
              <w:ind w:left="2" w:firstLine="0"/>
              <w:jc w:val="left"/>
            </w:pPr>
            <w:r>
              <w:t xml:space="preserve">51 to ≤ 100mm </w:t>
            </w:r>
          </w:p>
        </w:tc>
      </w:tr>
      <w:tr w:rsidR="00CE5AAF" w14:paraId="72C8E93C" w14:textId="77777777">
        <w:trPr>
          <w:trHeight w:val="531"/>
        </w:trPr>
        <w:tc>
          <w:tcPr>
            <w:tcW w:w="0" w:type="auto"/>
            <w:vMerge/>
            <w:tcBorders>
              <w:top w:val="nil"/>
              <w:left w:val="single" w:sz="8" w:space="0" w:color="000000"/>
              <w:bottom w:val="single" w:sz="8" w:space="0" w:color="000000"/>
              <w:right w:val="single" w:sz="8" w:space="0" w:color="000000"/>
            </w:tcBorders>
          </w:tcPr>
          <w:p w14:paraId="71FA955F" w14:textId="77777777" w:rsidR="00CE5AAF" w:rsidRDefault="00CE5AAF">
            <w:pPr>
              <w:spacing w:after="160" w:line="259" w:lineRule="auto"/>
              <w:ind w:left="0" w:firstLine="0"/>
              <w:jc w:val="left"/>
            </w:pPr>
          </w:p>
        </w:tc>
        <w:tc>
          <w:tcPr>
            <w:tcW w:w="1609" w:type="dxa"/>
            <w:tcBorders>
              <w:top w:val="single" w:sz="8" w:space="0" w:color="000000"/>
              <w:left w:val="single" w:sz="8" w:space="0" w:color="000000"/>
              <w:bottom w:val="single" w:sz="8" w:space="0" w:color="000000"/>
              <w:right w:val="single" w:sz="8" w:space="0" w:color="000000"/>
            </w:tcBorders>
            <w:vAlign w:val="center"/>
          </w:tcPr>
          <w:p w14:paraId="35415A6B" w14:textId="77777777" w:rsidR="00CE5AAF" w:rsidRDefault="00E85A33">
            <w:pPr>
              <w:spacing w:after="0" w:line="259" w:lineRule="auto"/>
              <w:ind w:left="2" w:firstLine="0"/>
              <w:jc w:val="left"/>
            </w:pPr>
            <w:r>
              <w:t xml:space="preserve">5 (severe) </w:t>
            </w:r>
          </w:p>
        </w:tc>
        <w:tc>
          <w:tcPr>
            <w:tcW w:w="1607" w:type="dxa"/>
            <w:tcBorders>
              <w:top w:val="single" w:sz="8" w:space="0" w:color="000000"/>
              <w:left w:val="single" w:sz="8" w:space="0" w:color="000000"/>
              <w:bottom w:val="single" w:sz="8" w:space="0" w:color="000000"/>
              <w:right w:val="single" w:sz="8" w:space="0" w:color="000000"/>
            </w:tcBorders>
            <w:vAlign w:val="center"/>
          </w:tcPr>
          <w:p w14:paraId="27368CEB" w14:textId="77777777" w:rsidR="00CE5AAF" w:rsidRDefault="00E85A33">
            <w:pPr>
              <w:spacing w:after="0" w:line="259" w:lineRule="auto"/>
              <w:ind w:left="2" w:firstLine="0"/>
              <w:jc w:val="left"/>
            </w:pPr>
            <w:r>
              <w:t xml:space="preserve">&gt;100mm </w:t>
            </w:r>
          </w:p>
        </w:tc>
      </w:tr>
    </w:tbl>
    <w:p w14:paraId="750850FF" w14:textId="77777777" w:rsidR="00B44FCE" w:rsidRDefault="00B44FCE">
      <w:pPr>
        <w:pStyle w:val="Heading4"/>
        <w:ind w:left="730"/>
      </w:pPr>
    </w:p>
    <w:p w14:paraId="20A8A925" w14:textId="17D8D8F8" w:rsidR="00CE5AAF" w:rsidRDefault="00E85A33">
      <w:pPr>
        <w:pStyle w:val="Heading4"/>
        <w:ind w:left="730"/>
      </w:pPr>
      <w:r>
        <w:t>8.5.2.</w:t>
      </w:r>
      <w:r>
        <w:rPr>
          <w:rFonts w:ascii="Arial" w:eastAsia="Arial" w:hAnsi="Arial" w:cs="Arial"/>
        </w:rPr>
        <w:t xml:space="preserve"> </w:t>
      </w:r>
      <w:r>
        <w:t xml:space="preserve">Temperature </w:t>
      </w:r>
    </w:p>
    <w:p w14:paraId="016DBE25" w14:textId="77777777" w:rsidR="00CE5AAF" w:rsidRDefault="00E85A33">
      <w:pPr>
        <w:spacing w:after="18" w:line="259" w:lineRule="auto"/>
        <w:ind w:left="0" w:firstLine="0"/>
        <w:jc w:val="left"/>
      </w:pPr>
      <w:r>
        <w:t xml:space="preserve"> </w:t>
      </w:r>
    </w:p>
    <w:p w14:paraId="6A2452C7" w14:textId="43B20FAA" w:rsidR="00CE5AAF" w:rsidRDefault="00E85A33">
      <w:pPr>
        <w:spacing w:after="3"/>
        <w:ind w:left="24"/>
      </w:pPr>
      <w:r>
        <w:t xml:space="preserve">Parents/legal guardians will be asked to record </w:t>
      </w:r>
      <w:r w:rsidR="00780D55">
        <w:t xml:space="preserve">the participants </w:t>
      </w:r>
      <w:r>
        <w:t>axillary temperature at around six hours post vaccine or before the night</w:t>
      </w:r>
      <w:r w:rsidR="00780D55">
        <w:t xml:space="preserve"> </w:t>
      </w:r>
      <w:r>
        <w:t xml:space="preserve">time sleep, whichever comes first, and daily for the 5 days following immunisation. The axillary temperature will also be measured if at any time, the parent/legal guardian feels that the participant may have developed a fever. Temperature taken by the axillary route will be graded as follows: </w:t>
      </w:r>
    </w:p>
    <w:p w14:paraId="0E88851F" w14:textId="77777777" w:rsidR="00CE5AAF" w:rsidRDefault="00E85A33">
      <w:pPr>
        <w:spacing w:after="19" w:line="259" w:lineRule="auto"/>
        <w:ind w:left="720" w:firstLine="0"/>
        <w:jc w:val="left"/>
      </w:pPr>
      <w:r>
        <w:t xml:space="preserve"> </w:t>
      </w:r>
    </w:p>
    <w:p w14:paraId="2667B9A0" w14:textId="77777777" w:rsidR="00CE5AAF" w:rsidRDefault="00E85A33">
      <w:pPr>
        <w:pStyle w:val="Heading5"/>
        <w:spacing w:after="3" w:line="259" w:lineRule="auto"/>
        <w:ind w:right="35"/>
        <w:jc w:val="center"/>
      </w:pPr>
      <w:r>
        <w:t xml:space="preserve">Table 4: Temperature grading </w:t>
      </w:r>
    </w:p>
    <w:tbl>
      <w:tblPr>
        <w:tblStyle w:val="TableGrid"/>
        <w:tblW w:w="3444" w:type="dxa"/>
        <w:tblInd w:w="2984" w:type="dxa"/>
        <w:tblCellMar>
          <w:top w:w="168" w:type="dxa"/>
          <w:left w:w="106" w:type="dxa"/>
          <w:right w:w="57" w:type="dxa"/>
        </w:tblCellMar>
        <w:tblLook w:val="04A0" w:firstRow="1" w:lastRow="0" w:firstColumn="1" w:lastColumn="0" w:noHBand="0" w:noVBand="1"/>
      </w:tblPr>
      <w:tblGrid>
        <w:gridCol w:w="1411"/>
        <w:gridCol w:w="2033"/>
      </w:tblGrid>
      <w:tr w:rsidR="00CE5AAF" w14:paraId="10C89F5B" w14:textId="77777777">
        <w:trPr>
          <w:trHeight w:val="1061"/>
        </w:trPr>
        <w:tc>
          <w:tcPr>
            <w:tcW w:w="1411" w:type="dxa"/>
            <w:tcBorders>
              <w:top w:val="single" w:sz="8" w:space="0" w:color="000000"/>
              <w:left w:val="single" w:sz="8" w:space="0" w:color="000000"/>
              <w:bottom w:val="single" w:sz="8" w:space="0" w:color="000000"/>
              <w:right w:val="single" w:sz="8" w:space="0" w:color="000000"/>
            </w:tcBorders>
            <w:shd w:val="clear" w:color="auto" w:fill="4F81BD"/>
          </w:tcPr>
          <w:p w14:paraId="7448EDE9" w14:textId="77777777" w:rsidR="00CE5AAF" w:rsidRDefault="00E85A33">
            <w:pPr>
              <w:spacing w:after="0" w:line="259" w:lineRule="auto"/>
              <w:ind w:left="0" w:firstLine="0"/>
              <w:jc w:val="left"/>
            </w:pPr>
            <w:r>
              <w:rPr>
                <w:b/>
                <w:color w:val="FFFFFF"/>
              </w:rPr>
              <w:t xml:space="preserve">Temperature Grade </w:t>
            </w:r>
          </w:p>
        </w:tc>
        <w:tc>
          <w:tcPr>
            <w:tcW w:w="2033" w:type="dxa"/>
            <w:tcBorders>
              <w:top w:val="single" w:sz="8" w:space="0" w:color="000000"/>
              <w:left w:val="single" w:sz="8" w:space="0" w:color="000000"/>
              <w:bottom w:val="single" w:sz="8" w:space="0" w:color="000000"/>
              <w:right w:val="single" w:sz="8" w:space="0" w:color="000000"/>
            </w:tcBorders>
            <w:shd w:val="clear" w:color="auto" w:fill="4F81BD"/>
            <w:vAlign w:val="center"/>
          </w:tcPr>
          <w:p w14:paraId="2CDC0C17" w14:textId="77777777" w:rsidR="00CE5AAF" w:rsidRDefault="00E85A33">
            <w:pPr>
              <w:spacing w:after="0" w:line="259" w:lineRule="auto"/>
              <w:ind w:left="2" w:firstLine="0"/>
              <w:jc w:val="left"/>
            </w:pPr>
            <w:r>
              <w:rPr>
                <w:b/>
                <w:color w:val="FFFFFF"/>
              </w:rPr>
              <w:t xml:space="preserve">Temperature definition (degrees Celsius) </w:t>
            </w:r>
          </w:p>
        </w:tc>
      </w:tr>
      <w:tr w:rsidR="00CE5AAF" w14:paraId="61889CB9" w14:textId="77777777">
        <w:trPr>
          <w:trHeight w:val="530"/>
        </w:trPr>
        <w:tc>
          <w:tcPr>
            <w:tcW w:w="1411" w:type="dxa"/>
            <w:tcBorders>
              <w:top w:val="single" w:sz="8" w:space="0" w:color="000000"/>
              <w:left w:val="single" w:sz="8" w:space="0" w:color="4F81BD"/>
              <w:bottom w:val="single" w:sz="8" w:space="0" w:color="000000"/>
              <w:right w:val="single" w:sz="8" w:space="0" w:color="000000"/>
            </w:tcBorders>
            <w:vAlign w:val="center"/>
          </w:tcPr>
          <w:p w14:paraId="7B962718" w14:textId="77777777" w:rsidR="00CE5AAF" w:rsidRDefault="00E85A33">
            <w:pPr>
              <w:spacing w:after="0" w:line="259" w:lineRule="auto"/>
              <w:ind w:left="0" w:firstLine="0"/>
              <w:jc w:val="left"/>
            </w:pPr>
            <w:r>
              <w:rPr>
                <w:b/>
              </w:rPr>
              <w:t>0</w:t>
            </w:r>
            <w:r>
              <w:t xml:space="preserve"> </w:t>
            </w:r>
          </w:p>
        </w:tc>
        <w:tc>
          <w:tcPr>
            <w:tcW w:w="2033" w:type="dxa"/>
            <w:tcBorders>
              <w:top w:val="single" w:sz="8" w:space="0" w:color="000000"/>
              <w:left w:val="single" w:sz="8" w:space="0" w:color="000000"/>
              <w:bottom w:val="single" w:sz="8" w:space="0" w:color="000000"/>
              <w:right w:val="single" w:sz="8" w:space="0" w:color="4F81BD"/>
            </w:tcBorders>
            <w:vAlign w:val="center"/>
          </w:tcPr>
          <w:p w14:paraId="4A66B708" w14:textId="77777777" w:rsidR="00CE5AAF" w:rsidRDefault="00E85A33">
            <w:pPr>
              <w:spacing w:after="0" w:line="259" w:lineRule="auto"/>
              <w:ind w:left="2" w:firstLine="0"/>
              <w:jc w:val="left"/>
            </w:pPr>
            <w:r>
              <w:t xml:space="preserve">&lt; 37.6 </w:t>
            </w:r>
          </w:p>
        </w:tc>
      </w:tr>
      <w:tr w:rsidR="00CE5AAF" w14:paraId="59C9D31B" w14:textId="77777777">
        <w:trPr>
          <w:trHeight w:val="528"/>
        </w:trPr>
        <w:tc>
          <w:tcPr>
            <w:tcW w:w="1411" w:type="dxa"/>
            <w:tcBorders>
              <w:top w:val="single" w:sz="8" w:space="0" w:color="000000"/>
              <w:left w:val="single" w:sz="8" w:space="0" w:color="000000"/>
              <w:bottom w:val="single" w:sz="8" w:space="0" w:color="000000"/>
              <w:right w:val="single" w:sz="8" w:space="0" w:color="000000"/>
            </w:tcBorders>
            <w:vAlign w:val="center"/>
          </w:tcPr>
          <w:p w14:paraId="50F157D9" w14:textId="77777777" w:rsidR="00CE5AAF" w:rsidRDefault="00E85A33">
            <w:pPr>
              <w:spacing w:after="0" w:line="259" w:lineRule="auto"/>
              <w:ind w:left="0" w:firstLine="0"/>
              <w:jc w:val="left"/>
            </w:pPr>
            <w:r>
              <w:rPr>
                <w:b/>
              </w:rPr>
              <w:t>1</w:t>
            </w:r>
            <w:r>
              <w:t xml:space="preserve"> </w:t>
            </w:r>
          </w:p>
        </w:tc>
        <w:tc>
          <w:tcPr>
            <w:tcW w:w="2033" w:type="dxa"/>
            <w:tcBorders>
              <w:top w:val="single" w:sz="8" w:space="0" w:color="000000"/>
              <w:left w:val="single" w:sz="8" w:space="0" w:color="000000"/>
              <w:bottom w:val="single" w:sz="8" w:space="0" w:color="000000"/>
              <w:right w:val="single" w:sz="8" w:space="0" w:color="000000"/>
            </w:tcBorders>
            <w:vAlign w:val="center"/>
          </w:tcPr>
          <w:p w14:paraId="55C3F639" w14:textId="77777777" w:rsidR="00CE5AAF" w:rsidRDefault="00E85A33">
            <w:pPr>
              <w:spacing w:after="0" w:line="259" w:lineRule="auto"/>
              <w:ind w:left="2" w:firstLine="0"/>
              <w:jc w:val="left"/>
            </w:pPr>
            <w:r>
              <w:t xml:space="preserve">37.6 – 38.0 </w:t>
            </w:r>
          </w:p>
        </w:tc>
      </w:tr>
      <w:tr w:rsidR="00CE5AAF" w14:paraId="7960A525" w14:textId="77777777">
        <w:trPr>
          <w:trHeight w:val="528"/>
        </w:trPr>
        <w:tc>
          <w:tcPr>
            <w:tcW w:w="1411" w:type="dxa"/>
            <w:tcBorders>
              <w:top w:val="single" w:sz="8" w:space="0" w:color="000000"/>
              <w:left w:val="single" w:sz="8" w:space="0" w:color="4F81BD"/>
              <w:bottom w:val="single" w:sz="8" w:space="0" w:color="000000"/>
              <w:right w:val="single" w:sz="8" w:space="0" w:color="000000"/>
            </w:tcBorders>
            <w:vAlign w:val="center"/>
          </w:tcPr>
          <w:p w14:paraId="2EB489F4" w14:textId="77777777" w:rsidR="00CE5AAF" w:rsidRDefault="00E85A33">
            <w:pPr>
              <w:spacing w:after="0" w:line="259" w:lineRule="auto"/>
              <w:ind w:left="0" w:firstLine="0"/>
              <w:jc w:val="left"/>
            </w:pPr>
            <w:r>
              <w:rPr>
                <w:b/>
              </w:rPr>
              <w:t>2</w:t>
            </w:r>
            <w:r>
              <w:t xml:space="preserve"> </w:t>
            </w:r>
          </w:p>
        </w:tc>
        <w:tc>
          <w:tcPr>
            <w:tcW w:w="2033" w:type="dxa"/>
            <w:tcBorders>
              <w:top w:val="single" w:sz="8" w:space="0" w:color="000000"/>
              <w:left w:val="single" w:sz="8" w:space="0" w:color="000000"/>
              <w:bottom w:val="single" w:sz="8" w:space="0" w:color="000000"/>
              <w:right w:val="single" w:sz="8" w:space="0" w:color="4F81BD"/>
            </w:tcBorders>
            <w:vAlign w:val="center"/>
          </w:tcPr>
          <w:p w14:paraId="5F1D12A1" w14:textId="77777777" w:rsidR="00CE5AAF" w:rsidRDefault="00E85A33">
            <w:pPr>
              <w:spacing w:after="0" w:line="259" w:lineRule="auto"/>
              <w:ind w:left="2" w:firstLine="0"/>
              <w:jc w:val="left"/>
            </w:pPr>
            <w:r>
              <w:t xml:space="preserve">38.1 – 39.0 </w:t>
            </w:r>
          </w:p>
        </w:tc>
      </w:tr>
      <w:tr w:rsidR="00CE5AAF" w14:paraId="423EAA0D" w14:textId="77777777">
        <w:trPr>
          <w:trHeight w:val="531"/>
        </w:trPr>
        <w:tc>
          <w:tcPr>
            <w:tcW w:w="1411" w:type="dxa"/>
            <w:tcBorders>
              <w:top w:val="single" w:sz="8" w:space="0" w:color="000000"/>
              <w:left w:val="single" w:sz="8" w:space="0" w:color="000000"/>
              <w:bottom w:val="single" w:sz="8" w:space="0" w:color="000000"/>
              <w:right w:val="single" w:sz="8" w:space="0" w:color="000000"/>
            </w:tcBorders>
            <w:vAlign w:val="center"/>
          </w:tcPr>
          <w:p w14:paraId="0BAC638C" w14:textId="77777777" w:rsidR="00CE5AAF" w:rsidRDefault="00E85A33">
            <w:pPr>
              <w:spacing w:after="0" w:line="259" w:lineRule="auto"/>
              <w:ind w:left="0" w:firstLine="0"/>
              <w:jc w:val="left"/>
            </w:pPr>
            <w:r>
              <w:rPr>
                <w:b/>
              </w:rPr>
              <w:t>3 (severe)</w:t>
            </w:r>
            <w:r>
              <w:t xml:space="preserve"> </w:t>
            </w:r>
          </w:p>
        </w:tc>
        <w:tc>
          <w:tcPr>
            <w:tcW w:w="2033" w:type="dxa"/>
            <w:tcBorders>
              <w:top w:val="single" w:sz="8" w:space="0" w:color="000000"/>
              <w:left w:val="single" w:sz="8" w:space="0" w:color="000000"/>
              <w:bottom w:val="single" w:sz="8" w:space="0" w:color="000000"/>
              <w:right w:val="single" w:sz="8" w:space="0" w:color="000000"/>
            </w:tcBorders>
            <w:vAlign w:val="center"/>
          </w:tcPr>
          <w:p w14:paraId="6F73A2EF" w14:textId="77777777" w:rsidR="00CE5AAF" w:rsidRDefault="00E85A33">
            <w:pPr>
              <w:spacing w:after="0" w:line="259" w:lineRule="auto"/>
              <w:ind w:left="2" w:firstLine="0"/>
              <w:jc w:val="left"/>
            </w:pPr>
            <w:r>
              <w:t xml:space="preserve">&gt; 39.0 </w:t>
            </w:r>
          </w:p>
        </w:tc>
      </w:tr>
    </w:tbl>
    <w:p w14:paraId="790E9F0B" w14:textId="77777777" w:rsidR="00CE5AAF" w:rsidRDefault="00E85A33">
      <w:pPr>
        <w:spacing w:after="554" w:line="259" w:lineRule="auto"/>
        <w:ind w:left="0" w:firstLine="0"/>
        <w:jc w:val="left"/>
      </w:pPr>
      <w:r>
        <w:t xml:space="preserve"> </w:t>
      </w:r>
    </w:p>
    <w:p w14:paraId="40F85F88" w14:textId="77777777" w:rsidR="00CE5AAF" w:rsidRDefault="00E85A33">
      <w:pPr>
        <w:pStyle w:val="Heading4"/>
        <w:ind w:left="730"/>
      </w:pPr>
      <w:r>
        <w:t>8.5.3.</w:t>
      </w:r>
      <w:r>
        <w:rPr>
          <w:rFonts w:ascii="Arial" w:eastAsia="Arial" w:hAnsi="Arial" w:cs="Arial"/>
        </w:rPr>
        <w:t xml:space="preserve"> </w:t>
      </w:r>
      <w:r>
        <w:t xml:space="preserve">Solicited systemic reactions  </w:t>
      </w:r>
    </w:p>
    <w:p w14:paraId="1375CC09" w14:textId="77777777" w:rsidR="00CE5AAF" w:rsidRDefault="00E85A33">
      <w:pPr>
        <w:spacing w:after="19" w:line="259" w:lineRule="auto"/>
        <w:ind w:left="0" w:firstLine="0"/>
        <w:jc w:val="left"/>
      </w:pPr>
      <w:r>
        <w:t xml:space="preserve"> </w:t>
      </w:r>
    </w:p>
    <w:p w14:paraId="292130C4" w14:textId="210FC10E" w:rsidR="00CE5AAF" w:rsidRDefault="00E85A33">
      <w:pPr>
        <w:spacing w:after="5"/>
        <w:ind w:left="24"/>
      </w:pPr>
      <w:r>
        <w:t xml:space="preserve">The eDiary/diary card will record the presence or absence of a number of systemic symptoms that have previously been reported following vaccination: change in feeding, lethargy, malaise, vomiting, </w:t>
      </w:r>
      <w:r w:rsidR="00780D55">
        <w:t>diarrhoea</w:t>
      </w:r>
      <w:r>
        <w:t xml:space="preserve"> and excessive crying. Parents/legal guardians will grade severity according to the descriptions in Table 5. </w:t>
      </w:r>
    </w:p>
    <w:p w14:paraId="79588B38" w14:textId="77777777" w:rsidR="00CE5AAF" w:rsidRDefault="00E85A33">
      <w:pPr>
        <w:spacing w:after="0" w:line="259" w:lineRule="auto"/>
        <w:ind w:left="0" w:firstLine="0"/>
        <w:jc w:val="left"/>
      </w:pPr>
      <w:r>
        <w:t xml:space="preserve"> </w:t>
      </w:r>
    </w:p>
    <w:p w14:paraId="54E1D024" w14:textId="77777777" w:rsidR="00CE5AAF" w:rsidRDefault="00E85A33">
      <w:pPr>
        <w:pStyle w:val="Heading5"/>
        <w:spacing w:after="0" w:line="259" w:lineRule="auto"/>
        <w:ind w:left="10" w:right="8"/>
        <w:jc w:val="center"/>
      </w:pPr>
      <w:r>
        <w:rPr>
          <w:rFonts w:ascii="Arial" w:eastAsia="Arial" w:hAnsi="Arial" w:cs="Arial"/>
          <w:sz w:val="18"/>
        </w:rPr>
        <w:t xml:space="preserve">Table 5: Grading of local and systemic reactions </w:t>
      </w:r>
    </w:p>
    <w:tbl>
      <w:tblPr>
        <w:tblStyle w:val="TableGrid"/>
        <w:tblW w:w="8641" w:type="dxa"/>
        <w:tblInd w:w="386" w:type="dxa"/>
        <w:tblCellMar>
          <w:top w:w="46" w:type="dxa"/>
          <w:right w:w="11" w:type="dxa"/>
        </w:tblCellMar>
        <w:tblLook w:val="04A0" w:firstRow="1" w:lastRow="0" w:firstColumn="1" w:lastColumn="0" w:noHBand="0" w:noVBand="1"/>
      </w:tblPr>
      <w:tblGrid>
        <w:gridCol w:w="2087"/>
        <w:gridCol w:w="2090"/>
        <w:gridCol w:w="2091"/>
        <w:gridCol w:w="2373"/>
      </w:tblGrid>
      <w:tr w:rsidR="00780D55" w14:paraId="7218432A" w14:textId="77777777" w:rsidTr="00780D55">
        <w:trPr>
          <w:trHeight w:val="558"/>
        </w:trPr>
        <w:tc>
          <w:tcPr>
            <w:tcW w:w="2087" w:type="dxa"/>
            <w:tcBorders>
              <w:top w:val="single" w:sz="4" w:space="0" w:color="000000"/>
              <w:left w:val="single" w:sz="4" w:space="0" w:color="000000"/>
              <w:bottom w:val="single" w:sz="4" w:space="0" w:color="000000"/>
              <w:right w:val="nil"/>
            </w:tcBorders>
            <w:shd w:val="clear" w:color="auto" w:fill="4F81BD"/>
          </w:tcPr>
          <w:p w14:paraId="75FAC506" w14:textId="77777777" w:rsidR="00780D55" w:rsidRDefault="00780D55">
            <w:pPr>
              <w:spacing w:after="160" w:line="259" w:lineRule="auto"/>
              <w:ind w:left="0" w:firstLine="0"/>
              <w:jc w:val="left"/>
            </w:pPr>
          </w:p>
        </w:tc>
        <w:tc>
          <w:tcPr>
            <w:tcW w:w="6554" w:type="dxa"/>
            <w:gridSpan w:val="3"/>
            <w:tcBorders>
              <w:top w:val="single" w:sz="4" w:space="0" w:color="000000"/>
              <w:left w:val="nil"/>
              <w:bottom w:val="single" w:sz="4" w:space="0" w:color="000000"/>
              <w:right w:val="single" w:sz="4" w:space="0" w:color="000000"/>
            </w:tcBorders>
            <w:shd w:val="clear" w:color="auto" w:fill="4F81BD"/>
            <w:vAlign w:val="center"/>
          </w:tcPr>
          <w:p w14:paraId="55A0B162" w14:textId="394EF59A" w:rsidR="00780D55" w:rsidRDefault="00780D55" w:rsidP="00780D55">
            <w:pPr>
              <w:spacing w:after="0" w:line="259" w:lineRule="auto"/>
              <w:ind w:left="-1" w:firstLine="0"/>
              <w:jc w:val="left"/>
            </w:pPr>
          </w:p>
          <w:p w14:paraId="3E8AE8F8" w14:textId="2530D469" w:rsidR="00780D55" w:rsidRDefault="00780D55" w:rsidP="00780D55">
            <w:pPr>
              <w:spacing w:after="0" w:line="259" w:lineRule="auto"/>
              <w:ind w:left="10" w:firstLine="0"/>
              <w:jc w:val="center"/>
            </w:pPr>
            <w:r>
              <w:rPr>
                <w:b/>
                <w:color w:val="FFFFFF"/>
              </w:rPr>
              <w:t>Grading of severity</w:t>
            </w:r>
          </w:p>
        </w:tc>
      </w:tr>
      <w:tr w:rsidR="00CE5AAF" w14:paraId="0D9F816B" w14:textId="77777777" w:rsidTr="00780D55">
        <w:trPr>
          <w:trHeight w:val="558"/>
        </w:trPr>
        <w:tc>
          <w:tcPr>
            <w:tcW w:w="2087"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27D590A1" w14:textId="77777777" w:rsidR="00CE5AAF" w:rsidRDefault="00E85A33">
            <w:pPr>
              <w:spacing w:after="0" w:line="259" w:lineRule="auto"/>
              <w:ind w:left="7" w:firstLine="0"/>
              <w:jc w:val="center"/>
            </w:pPr>
            <w:r>
              <w:rPr>
                <w:b/>
                <w:color w:val="FFFFFF"/>
              </w:rPr>
              <w:t xml:space="preserve">Solicited Reactions </w:t>
            </w:r>
          </w:p>
        </w:tc>
        <w:tc>
          <w:tcPr>
            <w:tcW w:w="2090"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471A3965" w14:textId="77777777" w:rsidR="00CE5AAF" w:rsidRDefault="00E85A33">
            <w:pPr>
              <w:spacing w:after="0" w:line="259" w:lineRule="auto"/>
              <w:ind w:left="0" w:right="118" w:firstLine="0"/>
              <w:jc w:val="center"/>
            </w:pPr>
            <w:r>
              <w:rPr>
                <w:b/>
                <w:color w:val="FFFFFF"/>
              </w:rPr>
              <w:t>1.</w:t>
            </w:r>
            <w:r>
              <w:rPr>
                <w:rFonts w:ascii="Arial" w:eastAsia="Arial" w:hAnsi="Arial" w:cs="Arial"/>
                <w:b/>
                <w:color w:val="FFFFFF"/>
              </w:rPr>
              <w:t xml:space="preserve"> </w:t>
            </w:r>
            <w:r>
              <w:rPr>
                <w:b/>
                <w:color w:val="FFFFFF"/>
              </w:rPr>
              <w:t xml:space="preserve">Mild </w:t>
            </w:r>
          </w:p>
        </w:tc>
        <w:tc>
          <w:tcPr>
            <w:tcW w:w="2091"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5418A76A" w14:textId="77777777" w:rsidR="00CE5AAF" w:rsidRDefault="00E85A33">
            <w:pPr>
              <w:spacing w:after="0" w:line="259" w:lineRule="auto"/>
              <w:ind w:left="588" w:firstLine="0"/>
              <w:jc w:val="left"/>
            </w:pPr>
            <w:r>
              <w:rPr>
                <w:b/>
                <w:color w:val="FFFFFF"/>
              </w:rPr>
              <w:t>2.</w:t>
            </w:r>
            <w:r>
              <w:rPr>
                <w:rFonts w:ascii="Arial" w:eastAsia="Arial" w:hAnsi="Arial" w:cs="Arial"/>
                <w:b/>
                <w:color w:val="FFFFFF"/>
              </w:rPr>
              <w:t xml:space="preserve"> </w:t>
            </w:r>
            <w:r>
              <w:rPr>
                <w:b/>
                <w:color w:val="FFFFFF"/>
              </w:rPr>
              <w:t xml:space="preserve">Moderate </w:t>
            </w:r>
          </w:p>
        </w:tc>
        <w:tc>
          <w:tcPr>
            <w:tcW w:w="2373"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50DB7189" w14:textId="77777777" w:rsidR="00CE5AAF" w:rsidRDefault="00E85A33">
            <w:pPr>
              <w:spacing w:after="0" w:line="259" w:lineRule="auto"/>
              <w:ind w:left="876" w:firstLine="0"/>
              <w:jc w:val="left"/>
            </w:pPr>
            <w:r>
              <w:rPr>
                <w:b/>
                <w:color w:val="FFFFFF"/>
              </w:rPr>
              <w:t>3.</w:t>
            </w:r>
            <w:r>
              <w:rPr>
                <w:rFonts w:ascii="Arial" w:eastAsia="Arial" w:hAnsi="Arial" w:cs="Arial"/>
                <w:b/>
                <w:color w:val="FFFFFF"/>
              </w:rPr>
              <w:t xml:space="preserve"> </w:t>
            </w:r>
            <w:r>
              <w:rPr>
                <w:b/>
                <w:color w:val="FFFFFF"/>
              </w:rPr>
              <w:t xml:space="preserve">Severe </w:t>
            </w:r>
          </w:p>
        </w:tc>
      </w:tr>
      <w:tr w:rsidR="00CE5AAF" w14:paraId="6CEE6623" w14:textId="77777777" w:rsidTr="00780D55">
        <w:trPr>
          <w:trHeight w:val="937"/>
        </w:trPr>
        <w:tc>
          <w:tcPr>
            <w:tcW w:w="2087" w:type="dxa"/>
            <w:tcBorders>
              <w:top w:val="single" w:sz="4" w:space="0" w:color="000000"/>
              <w:left w:val="single" w:sz="4" w:space="0" w:color="000000"/>
              <w:bottom w:val="single" w:sz="4" w:space="0" w:color="000000"/>
              <w:right w:val="single" w:sz="4" w:space="0" w:color="000000"/>
            </w:tcBorders>
            <w:vAlign w:val="center"/>
          </w:tcPr>
          <w:p w14:paraId="3B34A7E2" w14:textId="77777777" w:rsidR="00CE5AAF" w:rsidRDefault="00E85A33">
            <w:pPr>
              <w:spacing w:after="0" w:line="259" w:lineRule="auto"/>
              <w:ind w:left="0" w:firstLine="0"/>
              <w:jc w:val="center"/>
            </w:pPr>
            <w:r>
              <w:t xml:space="preserve">Tenderness (pain) at the injection site </w:t>
            </w:r>
          </w:p>
        </w:tc>
        <w:tc>
          <w:tcPr>
            <w:tcW w:w="2090" w:type="dxa"/>
            <w:tcBorders>
              <w:top w:val="single" w:sz="4" w:space="0" w:color="000000"/>
              <w:left w:val="single" w:sz="4" w:space="0" w:color="000000"/>
              <w:bottom w:val="single" w:sz="4" w:space="0" w:color="000000"/>
              <w:right w:val="single" w:sz="4" w:space="0" w:color="000000"/>
            </w:tcBorders>
            <w:vAlign w:val="center"/>
          </w:tcPr>
          <w:p w14:paraId="6E1963EA" w14:textId="77777777" w:rsidR="00CE5AAF" w:rsidRDefault="00E85A33">
            <w:pPr>
              <w:spacing w:after="0" w:line="259" w:lineRule="auto"/>
              <w:ind w:left="0" w:firstLine="0"/>
              <w:jc w:val="center"/>
            </w:pPr>
            <w:r>
              <w:t xml:space="preserve">Minor reaction to touch </w:t>
            </w:r>
          </w:p>
        </w:tc>
        <w:tc>
          <w:tcPr>
            <w:tcW w:w="2091" w:type="dxa"/>
            <w:tcBorders>
              <w:top w:val="single" w:sz="4" w:space="0" w:color="000000"/>
              <w:left w:val="single" w:sz="4" w:space="0" w:color="000000"/>
              <w:bottom w:val="single" w:sz="4" w:space="0" w:color="000000"/>
              <w:right w:val="single" w:sz="4" w:space="0" w:color="000000"/>
            </w:tcBorders>
            <w:vAlign w:val="center"/>
          </w:tcPr>
          <w:p w14:paraId="5F1AE78A" w14:textId="77777777" w:rsidR="00CE5AAF" w:rsidRDefault="00E85A33">
            <w:pPr>
              <w:spacing w:after="0" w:line="259" w:lineRule="auto"/>
              <w:ind w:left="13" w:firstLine="0"/>
              <w:jc w:val="center"/>
            </w:pPr>
            <w:r>
              <w:t xml:space="preserve">Cries/protests on touch </w:t>
            </w:r>
          </w:p>
        </w:tc>
        <w:tc>
          <w:tcPr>
            <w:tcW w:w="2373" w:type="dxa"/>
            <w:tcBorders>
              <w:top w:val="single" w:sz="4" w:space="0" w:color="000000"/>
              <w:left w:val="single" w:sz="4" w:space="0" w:color="000000"/>
              <w:bottom w:val="single" w:sz="4" w:space="0" w:color="000000"/>
              <w:right w:val="single" w:sz="4" w:space="0" w:color="000000"/>
            </w:tcBorders>
          </w:tcPr>
          <w:p w14:paraId="263189C0" w14:textId="77777777" w:rsidR="00CE5AAF" w:rsidRDefault="00E85A33">
            <w:pPr>
              <w:spacing w:after="2" w:line="274" w:lineRule="auto"/>
              <w:ind w:left="0" w:firstLine="0"/>
              <w:jc w:val="center"/>
            </w:pPr>
            <w:r>
              <w:t xml:space="preserve">Cries when limb is moved/spontaneously </w:t>
            </w:r>
          </w:p>
          <w:p w14:paraId="557E64D0" w14:textId="77777777" w:rsidR="00CE5AAF" w:rsidRDefault="00E85A33">
            <w:pPr>
              <w:spacing w:after="0" w:line="259" w:lineRule="auto"/>
              <w:ind w:left="10" w:firstLine="0"/>
              <w:jc w:val="center"/>
            </w:pPr>
            <w:r>
              <w:t xml:space="preserve">painful </w:t>
            </w:r>
          </w:p>
        </w:tc>
      </w:tr>
      <w:tr w:rsidR="00CE5AAF" w14:paraId="3A080D90" w14:textId="77777777" w:rsidTr="00780D55">
        <w:trPr>
          <w:trHeight w:val="1246"/>
        </w:trPr>
        <w:tc>
          <w:tcPr>
            <w:tcW w:w="2087" w:type="dxa"/>
            <w:tcBorders>
              <w:top w:val="single" w:sz="4" w:space="0" w:color="000000"/>
              <w:left w:val="single" w:sz="4" w:space="0" w:color="000000"/>
              <w:bottom w:val="single" w:sz="4" w:space="0" w:color="000000"/>
              <w:right w:val="single" w:sz="4" w:space="0" w:color="000000"/>
            </w:tcBorders>
            <w:vAlign w:val="center"/>
          </w:tcPr>
          <w:p w14:paraId="10D1401C" w14:textId="77777777" w:rsidR="00CE5AAF" w:rsidRDefault="00E85A33">
            <w:pPr>
              <w:spacing w:after="0" w:line="259" w:lineRule="auto"/>
              <w:ind w:left="0" w:firstLine="0"/>
              <w:jc w:val="center"/>
            </w:pPr>
            <w:r>
              <w:t xml:space="preserve">Change in feeding/eating habit </w:t>
            </w:r>
          </w:p>
        </w:tc>
        <w:tc>
          <w:tcPr>
            <w:tcW w:w="2090" w:type="dxa"/>
            <w:tcBorders>
              <w:top w:val="single" w:sz="4" w:space="0" w:color="000000"/>
              <w:left w:val="single" w:sz="4" w:space="0" w:color="000000"/>
              <w:bottom w:val="single" w:sz="4" w:space="0" w:color="000000"/>
              <w:right w:val="single" w:sz="4" w:space="0" w:color="000000"/>
            </w:tcBorders>
            <w:vAlign w:val="center"/>
          </w:tcPr>
          <w:p w14:paraId="46951B28" w14:textId="77777777" w:rsidR="00CE5AAF" w:rsidRDefault="00E85A33">
            <w:pPr>
              <w:spacing w:after="0" w:line="259" w:lineRule="auto"/>
              <w:ind w:left="0" w:firstLine="0"/>
              <w:jc w:val="center"/>
            </w:pPr>
            <w:r>
              <w:t xml:space="preserve">Feeding/eating less than usual/ no effect on normal activity </w:t>
            </w:r>
          </w:p>
        </w:tc>
        <w:tc>
          <w:tcPr>
            <w:tcW w:w="2091" w:type="dxa"/>
            <w:tcBorders>
              <w:top w:val="single" w:sz="4" w:space="0" w:color="000000"/>
              <w:left w:val="single" w:sz="4" w:space="0" w:color="000000"/>
              <w:bottom w:val="single" w:sz="4" w:space="0" w:color="000000"/>
              <w:right w:val="single" w:sz="4" w:space="0" w:color="000000"/>
            </w:tcBorders>
          </w:tcPr>
          <w:p w14:paraId="613FB515" w14:textId="77777777" w:rsidR="00CE5AAF" w:rsidRDefault="00E85A33">
            <w:pPr>
              <w:spacing w:after="0" w:line="276" w:lineRule="auto"/>
              <w:ind w:left="0" w:firstLine="0"/>
              <w:jc w:val="center"/>
            </w:pPr>
            <w:r>
              <w:t xml:space="preserve">Feeding/eating less than usual with an </w:t>
            </w:r>
          </w:p>
          <w:p w14:paraId="6412C184" w14:textId="77777777" w:rsidR="00CE5AAF" w:rsidRDefault="00E85A33">
            <w:pPr>
              <w:spacing w:after="0" w:line="259" w:lineRule="auto"/>
              <w:ind w:left="0" w:firstLine="0"/>
              <w:jc w:val="center"/>
            </w:pPr>
            <w:r>
              <w:t xml:space="preserve">effect on normal activity </w:t>
            </w:r>
          </w:p>
        </w:tc>
        <w:tc>
          <w:tcPr>
            <w:tcW w:w="2373" w:type="dxa"/>
            <w:tcBorders>
              <w:top w:val="single" w:sz="4" w:space="0" w:color="000000"/>
              <w:left w:val="single" w:sz="4" w:space="0" w:color="000000"/>
              <w:bottom w:val="single" w:sz="4" w:space="0" w:color="000000"/>
              <w:right w:val="single" w:sz="4" w:space="0" w:color="000000"/>
            </w:tcBorders>
            <w:vAlign w:val="center"/>
          </w:tcPr>
          <w:p w14:paraId="3E96CB75" w14:textId="77777777" w:rsidR="00CE5AAF" w:rsidRDefault="00E85A33">
            <w:pPr>
              <w:spacing w:after="0" w:line="259" w:lineRule="auto"/>
              <w:ind w:left="120" w:right="59" w:firstLine="0"/>
              <w:jc w:val="center"/>
            </w:pPr>
            <w:r>
              <w:t xml:space="preserve">Not feeding/eating at all </w:t>
            </w:r>
          </w:p>
        </w:tc>
      </w:tr>
      <w:tr w:rsidR="00CE5AAF" w14:paraId="7707A10F" w14:textId="77777777" w:rsidTr="00780D55">
        <w:trPr>
          <w:trHeight w:val="937"/>
        </w:trPr>
        <w:tc>
          <w:tcPr>
            <w:tcW w:w="2087" w:type="dxa"/>
            <w:tcBorders>
              <w:top w:val="single" w:sz="4" w:space="0" w:color="000000"/>
              <w:left w:val="single" w:sz="4" w:space="0" w:color="000000"/>
              <w:bottom w:val="single" w:sz="4" w:space="0" w:color="000000"/>
              <w:right w:val="single" w:sz="4" w:space="0" w:color="000000"/>
            </w:tcBorders>
            <w:vAlign w:val="center"/>
          </w:tcPr>
          <w:p w14:paraId="61FD20C8" w14:textId="77777777" w:rsidR="00CE5AAF" w:rsidRDefault="00E85A33">
            <w:pPr>
              <w:spacing w:after="0" w:line="259" w:lineRule="auto"/>
              <w:ind w:left="9" w:firstLine="0"/>
              <w:jc w:val="center"/>
            </w:pPr>
            <w:r>
              <w:t xml:space="preserve">Drowsiness </w:t>
            </w:r>
          </w:p>
        </w:tc>
        <w:tc>
          <w:tcPr>
            <w:tcW w:w="2090" w:type="dxa"/>
            <w:tcBorders>
              <w:top w:val="single" w:sz="4" w:space="0" w:color="000000"/>
              <w:left w:val="single" w:sz="4" w:space="0" w:color="000000"/>
              <w:bottom w:val="single" w:sz="4" w:space="0" w:color="000000"/>
              <w:right w:val="single" w:sz="4" w:space="0" w:color="000000"/>
            </w:tcBorders>
          </w:tcPr>
          <w:p w14:paraId="46DF7FD5" w14:textId="77777777" w:rsidR="00CE5AAF" w:rsidRDefault="00E85A33">
            <w:pPr>
              <w:spacing w:after="0" w:line="259" w:lineRule="auto"/>
              <w:ind w:left="0" w:firstLine="0"/>
              <w:jc w:val="center"/>
            </w:pPr>
            <w:r>
              <w:t xml:space="preserve">Drowsiness easily tolerated </w:t>
            </w:r>
          </w:p>
        </w:tc>
        <w:tc>
          <w:tcPr>
            <w:tcW w:w="2091" w:type="dxa"/>
            <w:tcBorders>
              <w:top w:val="single" w:sz="4" w:space="0" w:color="000000"/>
              <w:left w:val="single" w:sz="4" w:space="0" w:color="000000"/>
              <w:bottom w:val="single" w:sz="4" w:space="0" w:color="000000"/>
              <w:right w:val="single" w:sz="4" w:space="0" w:color="000000"/>
            </w:tcBorders>
          </w:tcPr>
          <w:p w14:paraId="0737ECCB" w14:textId="77777777" w:rsidR="00CE5AAF" w:rsidRDefault="00E85A33">
            <w:pPr>
              <w:spacing w:after="0" w:line="259" w:lineRule="auto"/>
              <w:ind w:left="67" w:right="2" w:hanging="5"/>
              <w:jc w:val="center"/>
            </w:pPr>
            <w:r>
              <w:t xml:space="preserve">Drowsiness that interferes with normal activity </w:t>
            </w:r>
          </w:p>
        </w:tc>
        <w:tc>
          <w:tcPr>
            <w:tcW w:w="2373" w:type="dxa"/>
            <w:tcBorders>
              <w:top w:val="single" w:sz="4" w:space="0" w:color="000000"/>
              <w:left w:val="single" w:sz="4" w:space="0" w:color="000000"/>
              <w:bottom w:val="single" w:sz="4" w:space="0" w:color="000000"/>
              <w:right w:val="single" w:sz="4" w:space="0" w:color="000000"/>
            </w:tcBorders>
          </w:tcPr>
          <w:p w14:paraId="0783D621" w14:textId="77777777" w:rsidR="00CE5AAF" w:rsidRDefault="00E85A33">
            <w:pPr>
              <w:spacing w:after="0" w:line="276" w:lineRule="auto"/>
              <w:ind w:left="72" w:right="13" w:firstLine="0"/>
              <w:jc w:val="center"/>
            </w:pPr>
            <w:r>
              <w:t xml:space="preserve">Drowsiness that prevents normal </w:t>
            </w:r>
          </w:p>
          <w:p w14:paraId="67BA742C" w14:textId="77777777" w:rsidR="00CE5AAF" w:rsidRDefault="00E85A33">
            <w:pPr>
              <w:spacing w:after="0" w:line="259" w:lineRule="auto"/>
              <w:ind w:left="13" w:firstLine="0"/>
              <w:jc w:val="center"/>
            </w:pPr>
            <w:r>
              <w:t xml:space="preserve">activity </w:t>
            </w:r>
          </w:p>
        </w:tc>
      </w:tr>
      <w:tr w:rsidR="00CE5AAF" w14:paraId="64043B33" w14:textId="77777777" w:rsidTr="00780D55">
        <w:trPr>
          <w:trHeight w:val="936"/>
        </w:trPr>
        <w:tc>
          <w:tcPr>
            <w:tcW w:w="2087" w:type="dxa"/>
            <w:tcBorders>
              <w:top w:val="single" w:sz="4" w:space="0" w:color="000000"/>
              <w:left w:val="single" w:sz="4" w:space="0" w:color="000000"/>
              <w:bottom w:val="single" w:sz="4" w:space="0" w:color="000000"/>
              <w:right w:val="single" w:sz="4" w:space="0" w:color="000000"/>
            </w:tcBorders>
            <w:vAlign w:val="center"/>
          </w:tcPr>
          <w:p w14:paraId="7ABABDEC" w14:textId="77777777" w:rsidR="00CE5AAF" w:rsidRDefault="00E85A33">
            <w:pPr>
              <w:spacing w:after="0" w:line="259" w:lineRule="auto"/>
              <w:ind w:left="9" w:firstLine="0"/>
              <w:jc w:val="center"/>
            </w:pPr>
            <w:r>
              <w:t xml:space="preserve">Vomiting </w:t>
            </w:r>
          </w:p>
        </w:tc>
        <w:tc>
          <w:tcPr>
            <w:tcW w:w="2090" w:type="dxa"/>
            <w:tcBorders>
              <w:top w:val="single" w:sz="4" w:space="0" w:color="000000"/>
              <w:left w:val="single" w:sz="4" w:space="0" w:color="000000"/>
              <w:bottom w:val="single" w:sz="4" w:space="0" w:color="000000"/>
              <w:right w:val="single" w:sz="4" w:space="0" w:color="000000"/>
            </w:tcBorders>
          </w:tcPr>
          <w:p w14:paraId="69150224" w14:textId="77777777" w:rsidR="00CE5AAF" w:rsidRDefault="00E85A33">
            <w:pPr>
              <w:spacing w:after="0" w:line="259" w:lineRule="auto"/>
              <w:ind w:left="127" w:right="67" w:firstLine="0"/>
              <w:jc w:val="center"/>
            </w:pPr>
            <w:r>
              <w:t xml:space="preserve">1-2 episodes without interfering with routine </w:t>
            </w:r>
          </w:p>
        </w:tc>
        <w:tc>
          <w:tcPr>
            <w:tcW w:w="2091" w:type="dxa"/>
            <w:tcBorders>
              <w:top w:val="single" w:sz="4" w:space="0" w:color="000000"/>
              <w:left w:val="single" w:sz="4" w:space="0" w:color="000000"/>
              <w:bottom w:val="single" w:sz="4" w:space="0" w:color="000000"/>
              <w:right w:val="single" w:sz="4" w:space="0" w:color="000000"/>
            </w:tcBorders>
          </w:tcPr>
          <w:p w14:paraId="65FFFF36" w14:textId="77777777" w:rsidR="00CE5AAF" w:rsidRDefault="00E85A33">
            <w:pPr>
              <w:spacing w:after="0" w:line="259" w:lineRule="auto"/>
              <w:ind w:left="98" w:right="38" w:firstLine="0"/>
              <w:jc w:val="center"/>
            </w:pPr>
            <w:r>
              <w:t xml:space="preserve">Several episodes &amp; cannot keep any food down </w:t>
            </w:r>
          </w:p>
        </w:tc>
        <w:tc>
          <w:tcPr>
            <w:tcW w:w="2373" w:type="dxa"/>
            <w:tcBorders>
              <w:top w:val="single" w:sz="4" w:space="0" w:color="000000"/>
              <w:left w:val="single" w:sz="4" w:space="0" w:color="000000"/>
              <w:bottom w:val="single" w:sz="4" w:space="0" w:color="000000"/>
              <w:right w:val="single" w:sz="4" w:space="0" w:color="000000"/>
            </w:tcBorders>
          </w:tcPr>
          <w:p w14:paraId="28EE962E" w14:textId="77777777" w:rsidR="00CE5AAF" w:rsidRDefault="00E85A33">
            <w:pPr>
              <w:spacing w:after="0" w:line="259" w:lineRule="auto"/>
              <w:ind w:left="103" w:right="45" w:firstLine="0"/>
              <w:jc w:val="center"/>
            </w:pPr>
            <w:r>
              <w:t xml:space="preserve">Frequent episodes &amp; not feeding/eating at all  </w:t>
            </w:r>
          </w:p>
        </w:tc>
      </w:tr>
      <w:tr w:rsidR="00CE5AAF" w14:paraId="6F64DB39" w14:textId="77777777" w:rsidTr="00780D55">
        <w:trPr>
          <w:trHeight w:val="936"/>
        </w:trPr>
        <w:tc>
          <w:tcPr>
            <w:tcW w:w="2087" w:type="dxa"/>
            <w:tcBorders>
              <w:top w:val="single" w:sz="4" w:space="0" w:color="000000"/>
              <w:left w:val="single" w:sz="4" w:space="0" w:color="000000"/>
              <w:bottom w:val="single" w:sz="4" w:space="0" w:color="000000"/>
              <w:right w:val="single" w:sz="4" w:space="0" w:color="000000"/>
            </w:tcBorders>
            <w:vAlign w:val="center"/>
          </w:tcPr>
          <w:p w14:paraId="1160013A" w14:textId="77777777" w:rsidR="00CE5AAF" w:rsidRDefault="00E85A33">
            <w:pPr>
              <w:spacing w:after="0" w:line="259" w:lineRule="auto"/>
              <w:ind w:left="9" w:firstLine="0"/>
              <w:jc w:val="center"/>
            </w:pPr>
            <w:r>
              <w:t xml:space="preserve">Diarrhoea </w:t>
            </w:r>
          </w:p>
        </w:tc>
        <w:tc>
          <w:tcPr>
            <w:tcW w:w="2090" w:type="dxa"/>
            <w:tcBorders>
              <w:top w:val="single" w:sz="4" w:space="0" w:color="000000"/>
              <w:left w:val="single" w:sz="4" w:space="0" w:color="000000"/>
              <w:bottom w:val="single" w:sz="4" w:space="0" w:color="000000"/>
              <w:right w:val="single" w:sz="4" w:space="0" w:color="000000"/>
            </w:tcBorders>
          </w:tcPr>
          <w:p w14:paraId="2B1BBE8D" w14:textId="77777777" w:rsidR="00CE5AAF" w:rsidRDefault="00E85A33">
            <w:pPr>
              <w:spacing w:after="0" w:line="259" w:lineRule="auto"/>
              <w:ind w:left="98" w:right="39" w:firstLine="0"/>
              <w:jc w:val="center"/>
            </w:pPr>
            <w:r>
              <w:t xml:space="preserve">Stools are more loose than normal </w:t>
            </w:r>
          </w:p>
        </w:tc>
        <w:tc>
          <w:tcPr>
            <w:tcW w:w="2091" w:type="dxa"/>
            <w:tcBorders>
              <w:top w:val="single" w:sz="4" w:space="0" w:color="000000"/>
              <w:left w:val="single" w:sz="4" w:space="0" w:color="000000"/>
              <w:bottom w:val="single" w:sz="4" w:space="0" w:color="000000"/>
              <w:right w:val="single" w:sz="4" w:space="0" w:color="000000"/>
            </w:tcBorders>
          </w:tcPr>
          <w:p w14:paraId="6269EEB4" w14:textId="77777777" w:rsidR="00CE5AAF" w:rsidRDefault="00E85A33">
            <w:pPr>
              <w:spacing w:after="0" w:line="259" w:lineRule="auto"/>
              <w:ind w:left="83" w:right="25" w:firstLine="0"/>
              <w:jc w:val="center"/>
            </w:pPr>
            <w:r>
              <w:t>Frequent runny stools without much solid material</w:t>
            </w:r>
            <w:r>
              <w:rPr>
                <w:color w:val="3B3B3B"/>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14F7542C" w14:textId="77777777" w:rsidR="00CE5AAF" w:rsidRDefault="00E85A33">
            <w:pPr>
              <w:spacing w:after="0" w:line="259" w:lineRule="auto"/>
              <w:ind w:left="0" w:firstLine="0"/>
              <w:jc w:val="center"/>
            </w:pPr>
            <w:r>
              <w:t>Multiple liquid stools without much solid material</w:t>
            </w:r>
            <w:r>
              <w:rPr>
                <w:color w:val="3B3B3B"/>
              </w:rPr>
              <w:t xml:space="preserve"> </w:t>
            </w:r>
          </w:p>
        </w:tc>
      </w:tr>
      <w:tr w:rsidR="00CE5AAF" w14:paraId="349ED6AD" w14:textId="77777777" w:rsidTr="00780D55">
        <w:trPr>
          <w:trHeight w:val="940"/>
        </w:trPr>
        <w:tc>
          <w:tcPr>
            <w:tcW w:w="2087" w:type="dxa"/>
            <w:tcBorders>
              <w:top w:val="single" w:sz="4" w:space="0" w:color="000000"/>
              <w:left w:val="single" w:sz="4" w:space="0" w:color="000000"/>
              <w:bottom w:val="single" w:sz="4" w:space="0" w:color="000000"/>
              <w:right w:val="single" w:sz="4" w:space="0" w:color="000000"/>
            </w:tcBorders>
          </w:tcPr>
          <w:p w14:paraId="5EFD6074" w14:textId="77777777" w:rsidR="00CE5AAF" w:rsidRDefault="00E85A33">
            <w:pPr>
              <w:spacing w:after="0" w:line="259" w:lineRule="auto"/>
              <w:ind w:left="103" w:firstLine="0"/>
              <w:jc w:val="center"/>
            </w:pPr>
            <w:r>
              <w:t xml:space="preserve">Irritability/fussiness </w:t>
            </w:r>
          </w:p>
        </w:tc>
        <w:tc>
          <w:tcPr>
            <w:tcW w:w="2090" w:type="dxa"/>
            <w:tcBorders>
              <w:top w:val="single" w:sz="4" w:space="0" w:color="000000"/>
              <w:left w:val="single" w:sz="4" w:space="0" w:color="000000"/>
              <w:bottom w:val="single" w:sz="4" w:space="0" w:color="000000"/>
              <w:right w:val="single" w:sz="4" w:space="0" w:color="000000"/>
            </w:tcBorders>
          </w:tcPr>
          <w:p w14:paraId="396A3648" w14:textId="77777777" w:rsidR="00CE5AAF" w:rsidRDefault="00E85A33">
            <w:pPr>
              <w:spacing w:after="0" w:line="259" w:lineRule="auto"/>
              <w:ind w:left="32" w:firstLine="0"/>
              <w:jc w:val="center"/>
            </w:pPr>
            <w:r>
              <w:t>Crying more than usual / no effect on normal activity</w:t>
            </w:r>
            <w:r>
              <w:rPr>
                <w:color w:val="3B3B3B"/>
              </w:rPr>
              <w:t xml:space="preserve"> </w:t>
            </w:r>
          </w:p>
        </w:tc>
        <w:tc>
          <w:tcPr>
            <w:tcW w:w="2091" w:type="dxa"/>
            <w:tcBorders>
              <w:top w:val="single" w:sz="4" w:space="0" w:color="000000"/>
              <w:left w:val="single" w:sz="4" w:space="0" w:color="000000"/>
              <w:bottom w:val="single" w:sz="4" w:space="0" w:color="000000"/>
              <w:right w:val="single" w:sz="4" w:space="0" w:color="000000"/>
            </w:tcBorders>
          </w:tcPr>
          <w:p w14:paraId="3AB13076" w14:textId="77777777" w:rsidR="00CE5AAF" w:rsidRDefault="00E85A33">
            <w:pPr>
              <w:spacing w:after="0" w:line="259" w:lineRule="auto"/>
              <w:ind w:left="79" w:firstLine="0"/>
              <w:jc w:val="center"/>
            </w:pPr>
            <w:r>
              <w:t>Crying more than usual / interferes with normal activity</w:t>
            </w:r>
            <w:r>
              <w:rPr>
                <w:color w:val="3B3B3B"/>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3A9D0392" w14:textId="77777777" w:rsidR="00CE5AAF" w:rsidRDefault="00E85A33">
            <w:pPr>
              <w:spacing w:after="0" w:line="259" w:lineRule="auto"/>
              <w:ind w:left="0" w:firstLine="0"/>
              <w:jc w:val="center"/>
            </w:pPr>
            <w:r>
              <w:t>Crying that cannot be comforted / prevents normal activity</w:t>
            </w:r>
            <w:r>
              <w:rPr>
                <w:color w:val="3B3B3B"/>
              </w:rPr>
              <w:t xml:space="preserve"> </w:t>
            </w:r>
          </w:p>
        </w:tc>
      </w:tr>
    </w:tbl>
    <w:p w14:paraId="1BA92D54" w14:textId="77777777" w:rsidR="00780D55" w:rsidRDefault="00780D55">
      <w:pPr>
        <w:pStyle w:val="Heading4"/>
        <w:ind w:left="730"/>
      </w:pPr>
    </w:p>
    <w:p w14:paraId="4C9E6E22" w14:textId="5031A58F" w:rsidR="00CE5AAF" w:rsidRDefault="00E85A33">
      <w:pPr>
        <w:pStyle w:val="Heading4"/>
        <w:ind w:left="730"/>
      </w:pPr>
      <w:r>
        <w:t>8.5.4.</w:t>
      </w:r>
      <w:r>
        <w:rPr>
          <w:rFonts w:ascii="Arial" w:eastAsia="Arial" w:hAnsi="Arial" w:cs="Arial"/>
        </w:rPr>
        <w:t xml:space="preserve"> </w:t>
      </w:r>
      <w:r>
        <w:t xml:space="preserve">Unsolicited adverse events </w:t>
      </w:r>
    </w:p>
    <w:p w14:paraId="74F3EC89" w14:textId="77777777" w:rsidR="00CE5AAF" w:rsidRDefault="00E85A33">
      <w:pPr>
        <w:spacing w:after="19" w:line="259" w:lineRule="auto"/>
        <w:ind w:left="0" w:firstLine="0"/>
        <w:jc w:val="left"/>
      </w:pPr>
      <w:r>
        <w:t xml:space="preserve"> </w:t>
      </w:r>
    </w:p>
    <w:p w14:paraId="4CC629F9" w14:textId="77777777" w:rsidR="00CE5AAF" w:rsidRDefault="00E85A33">
      <w:pPr>
        <w:spacing w:after="5"/>
        <w:ind w:left="24"/>
      </w:pPr>
      <w:r>
        <w:t xml:space="preserve">There will be space to record any other symptoms that occur in the 5 days post vaccination. </w:t>
      </w:r>
    </w:p>
    <w:p w14:paraId="69450601" w14:textId="77777777" w:rsidR="00CE5AAF" w:rsidRDefault="00E85A33">
      <w:pPr>
        <w:spacing w:after="19" w:line="259" w:lineRule="auto"/>
        <w:ind w:left="720" w:firstLine="0"/>
        <w:jc w:val="left"/>
      </w:pPr>
      <w:r>
        <w:t xml:space="preserve"> </w:t>
      </w:r>
    </w:p>
    <w:p w14:paraId="18043852" w14:textId="77777777" w:rsidR="00CE5AAF" w:rsidRDefault="00E85A33">
      <w:pPr>
        <w:ind w:left="24"/>
      </w:pPr>
      <w:r>
        <w:t xml:space="preserve">The eDiary card will be reviewed in real time after visit 1, 2, 3 and 5 for both study groups. Telephone/email contact will occur at any time if there is data that needs to be clarified. Parents/legal guardians will be provided with a 24 hour phone number to access a member of the study team should they require urgent advice following vaccination.  </w:t>
      </w:r>
    </w:p>
    <w:p w14:paraId="74F1611A" w14:textId="77777777" w:rsidR="00CE5AAF" w:rsidRDefault="00E85A33">
      <w:pPr>
        <w:spacing w:after="535" w:line="275" w:lineRule="auto"/>
        <w:ind w:left="-5"/>
        <w:jc w:val="left"/>
      </w:pPr>
      <w:r>
        <w:t xml:space="preserve">If a parent is unable to enter data electronically the site staff will collect the paper version and enter data into the relevant system. The paper records will remain with the site and be stored in the ISF at the end of the study. </w:t>
      </w:r>
    </w:p>
    <w:p w14:paraId="6B270EF0" w14:textId="77777777" w:rsidR="00CE5AAF" w:rsidRDefault="00E85A33">
      <w:pPr>
        <w:pStyle w:val="Heading3"/>
        <w:spacing w:after="0" w:line="259" w:lineRule="auto"/>
        <w:ind w:left="370"/>
      </w:pPr>
      <w:r>
        <w:rPr>
          <w:sz w:val="24"/>
        </w:rPr>
        <w:t>8.6.</w:t>
      </w:r>
      <w:r>
        <w:rPr>
          <w:rFonts w:ascii="Arial" w:eastAsia="Arial" w:hAnsi="Arial" w:cs="Arial"/>
          <w:sz w:val="24"/>
        </w:rPr>
        <w:t xml:space="preserve"> </w:t>
      </w:r>
      <w:r>
        <w:rPr>
          <w:sz w:val="24"/>
        </w:rPr>
        <w:t xml:space="preserve">Blood sample </w:t>
      </w:r>
    </w:p>
    <w:p w14:paraId="54750DFD" w14:textId="77777777" w:rsidR="00CE5AAF" w:rsidRDefault="00E85A33">
      <w:pPr>
        <w:spacing w:after="16" w:line="259" w:lineRule="auto"/>
        <w:ind w:left="0" w:firstLine="0"/>
        <w:jc w:val="left"/>
      </w:pPr>
      <w:r>
        <w:t xml:space="preserve"> </w:t>
      </w:r>
    </w:p>
    <w:p w14:paraId="29A6860B" w14:textId="04456D84" w:rsidR="00CE5AAF" w:rsidRDefault="00E85A33">
      <w:pPr>
        <w:ind w:left="24"/>
      </w:pPr>
      <w:r>
        <w:t>Blood sampling will be carried out in line with local SOPs at visit 4 and 6.  A local anaesthetic cream will be offered prior to each venepuncture. A maximum of 5ml of blood will be obtained during blood visits for laboratory analysis. If the initial attempt at venepuncture draws less than 5ml, verbal consent will be sought for a further attempt at that visit. Finger or heel prick may be attempted</w:t>
      </w:r>
      <w:r w:rsidR="00000AFA">
        <w:t xml:space="preserve"> (with parental approval)</w:t>
      </w:r>
      <w:r>
        <w:t xml:space="preserve"> if </w:t>
      </w:r>
      <w:r w:rsidR="00000AFA">
        <w:t xml:space="preserve">2 attempts at </w:t>
      </w:r>
      <w:r>
        <w:t xml:space="preserve">venous sampling </w:t>
      </w:r>
      <w:r w:rsidR="00000AFA">
        <w:t>has been</w:t>
      </w:r>
      <w:r>
        <w:t xml:space="preserve"> unsuccessful. An additional visit may be rescheduled for another day within the visit timelines if no blood is obtained at all.  Blood samples that are obtained will be centrifuged, separated and frozen within 24 hours. They will then be stored at the local study site laboratories prior to shipment. Samples will be shipped to laboratories for processing as follows. Processing of anti-PRP (Hib) IgG concentrations and IgG concentrations against diphtheria-toxoid, tetanus-toxoid and pertussis antigens and polio neutralizing </w:t>
      </w:r>
      <w:r w:rsidRPr="00653B23">
        <w:t xml:space="preserve">antibodies </w:t>
      </w:r>
      <w:r w:rsidR="00653B23" w:rsidRPr="004E3544">
        <w:t>and serum bactericidal activity against meningococcal strains</w:t>
      </w:r>
      <w:r w:rsidR="00653B23" w:rsidRPr="00653B23">
        <w:t xml:space="preserve"> </w:t>
      </w:r>
      <w:r w:rsidRPr="00653B23">
        <w:t>will be processed at the Public Health En</w:t>
      </w:r>
      <w:r>
        <w:t>gland (PHE) laborator</w:t>
      </w:r>
      <w:r w:rsidR="00653B23">
        <w:t>ies</w:t>
      </w:r>
      <w:r>
        <w:t xml:space="preserve">. IgG concentrations against hepatitis B will be processed by Oxford University Hospital NHS Foundation Trust laboratory. IgG concentrations against vaccine-serotype pneumococcal capsule antigens will be processed at the University College London laboratory. </w:t>
      </w:r>
    </w:p>
    <w:p w14:paraId="231A8492" w14:textId="1411A5A7" w:rsidR="00CE5AAF" w:rsidRDefault="00E85A33" w:rsidP="00780D55">
      <w:pPr>
        <w:spacing w:after="218" w:line="259" w:lineRule="auto"/>
        <w:ind w:left="0" w:firstLine="0"/>
        <w:jc w:val="left"/>
      </w:pPr>
      <w:r>
        <w:t xml:space="preserve">  </w:t>
      </w:r>
    </w:p>
    <w:p w14:paraId="4B5C9913" w14:textId="77777777" w:rsidR="00CE5AAF" w:rsidRDefault="00E85A33">
      <w:pPr>
        <w:pStyle w:val="Heading3"/>
        <w:spacing w:after="0" w:line="259" w:lineRule="auto"/>
        <w:ind w:left="370"/>
      </w:pPr>
      <w:r>
        <w:rPr>
          <w:sz w:val="24"/>
        </w:rPr>
        <w:t>8.7.</w:t>
      </w:r>
      <w:r>
        <w:rPr>
          <w:rFonts w:ascii="Arial" w:eastAsia="Arial" w:hAnsi="Arial" w:cs="Arial"/>
          <w:sz w:val="24"/>
        </w:rPr>
        <w:t xml:space="preserve"> </w:t>
      </w:r>
      <w:r>
        <w:rPr>
          <w:sz w:val="24"/>
        </w:rPr>
        <w:t xml:space="preserve">Discontinuation/Withdrawal of participants from trial treatment </w:t>
      </w:r>
    </w:p>
    <w:p w14:paraId="3A69450B" w14:textId="77777777" w:rsidR="00CE5AAF" w:rsidRDefault="00E85A33">
      <w:pPr>
        <w:spacing w:after="139" w:line="259" w:lineRule="auto"/>
        <w:ind w:left="0" w:firstLine="0"/>
        <w:jc w:val="left"/>
      </w:pPr>
      <w:r>
        <w:t xml:space="preserve"> </w:t>
      </w:r>
    </w:p>
    <w:p w14:paraId="738A9A59" w14:textId="77777777" w:rsidR="00CE5AAF" w:rsidRDefault="00E85A33">
      <w:pPr>
        <w:spacing w:after="247"/>
        <w:ind w:left="24"/>
      </w:pPr>
      <w:r>
        <w:t>The parents/legal guardians of participants have the right to withdraw the participants from the trial at any time.  In addition, the Investigator may discontinue a participant from the trial at any time if the Investigator considers it necessary for any reason including:</w:t>
      </w:r>
      <w:r>
        <w:rPr>
          <w:b/>
        </w:rPr>
        <w:t xml:space="preserve"> </w:t>
      </w:r>
    </w:p>
    <w:p w14:paraId="275042FE" w14:textId="77777777" w:rsidR="00CE5AAF" w:rsidRDefault="00E85A33">
      <w:pPr>
        <w:numPr>
          <w:ilvl w:val="0"/>
          <w:numId w:val="13"/>
        </w:numPr>
        <w:spacing w:after="28"/>
        <w:ind w:hanging="360"/>
      </w:pPr>
      <w:r>
        <w:t xml:space="preserve">Ineligibility (either arising during the trial or retrospectively having been overlooked at screening) </w:t>
      </w:r>
    </w:p>
    <w:p w14:paraId="4D26CB16" w14:textId="77777777" w:rsidR="00CE5AAF" w:rsidRDefault="00E85A33">
      <w:pPr>
        <w:numPr>
          <w:ilvl w:val="0"/>
          <w:numId w:val="13"/>
        </w:numPr>
        <w:spacing w:after="26"/>
        <w:ind w:hanging="360"/>
      </w:pPr>
      <w:r>
        <w:t xml:space="preserve">Significant protocol deviation </w:t>
      </w:r>
    </w:p>
    <w:p w14:paraId="6449E966" w14:textId="77777777" w:rsidR="00CE5AAF" w:rsidRDefault="00E85A33">
      <w:pPr>
        <w:numPr>
          <w:ilvl w:val="0"/>
          <w:numId w:val="13"/>
        </w:numPr>
        <w:spacing w:after="28"/>
        <w:ind w:hanging="360"/>
      </w:pPr>
      <w:r>
        <w:t xml:space="preserve">Significant non-compliance with treatment regimen or trial requirements </w:t>
      </w:r>
    </w:p>
    <w:p w14:paraId="028BE92A" w14:textId="77777777" w:rsidR="00CE5AAF" w:rsidRDefault="00E85A33">
      <w:pPr>
        <w:numPr>
          <w:ilvl w:val="0"/>
          <w:numId w:val="13"/>
        </w:numPr>
        <w:spacing w:after="51"/>
        <w:ind w:hanging="360"/>
      </w:pPr>
      <w:r>
        <w:t xml:space="preserve">An adverse event which requires discontinuation of the trial vaccines or results in inability to continue to comply with trial procedures </w:t>
      </w:r>
    </w:p>
    <w:p w14:paraId="4C7CB471" w14:textId="77777777" w:rsidR="00CE5AAF" w:rsidRDefault="00E85A33">
      <w:pPr>
        <w:numPr>
          <w:ilvl w:val="0"/>
          <w:numId w:val="13"/>
        </w:numPr>
        <w:spacing w:after="48"/>
        <w:ind w:hanging="360"/>
      </w:pPr>
      <w:r>
        <w:t xml:space="preserve">Disease progression which requires discontinuation of vaccination or results in inability to continue to comply with trial procedures </w:t>
      </w:r>
    </w:p>
    <w:p w14:paraId="67233821" w14:textId="77777777" w:rsidR="00CE5AAF" w:rsidRDefault="00E85A33">
      <w:pPr>
        <w:numPr>
          <w:ilvl w:val="0"/>
          <w:numId w:val="13"/>
        </w:numPr>
        <w:spacing w:after="29"/>
        <w:ind w:hanging="360"/>
      </w:pPr>
      <w:r>
        <w:t xml:space="preserve">Withdrawal of Consent </w:t>
      </w:r>
    </w:p>
    <w:p w14:paraId="4D2D3C1B" w14:textId="77777777" w:rsidR="00CE5AAF" w:rsidRDefault="00E85A33">
      <w:pPr>
        <w:numPr>
          <w:ilvl w:val="0"/>
          <w:numId w:val="13"/>
        </w:numPr>
        <w:ind w:hanging="360"/>
      </w:pPr>
      <w:r>
        <w:t xml:space="preserve">Loss to follow up </w:t>
      </w:r>
    </w:p>
    <w:p w14:paraId="5B67A3C9" w14:textId="77777777" w:rsidR="00CE5AAF" w:rsidRDefault="00E85A33">
      <w:pPr>
        <w:ind w:left="24"/>
      </w:pPr>
      <w:r>
        <w:t xml:space="preserve">Data from participants will continue to be analysed for the study unless the parents/legal guardians request this to be withdrawn. If participants withdraw prior to administration of vaccines in visit 1 then they will be replaced. </w:t>
      </w:r>
    </w:p>
    <w:p w14:paraId="320336E7" w14:textId="77777777" w:rsidR="00CE5AAF" w:rsidRDefault="00E85A33">
      <w:pPr>
        <w:ind w:left="24"/>
      </w:pPr>
      <w:r>
        <w:t xml:space="preserve">The reason for withdrawal will be recorded in the CRF. </w:t>
      </w:r>
    </w:p>
    <w:p w14:paraId="405E1070" w14:textId="77777777" w:rsidR="00CE5AAF" w:rsidRDefault="00E85A33">
      <w:pPr>
        <w:spacing w:after="539"/>
        <w:ind w:left="24"/>
      </w:pPr>
      <w:r>
        <w:t xml:space="preserve">If the participant is withdrawn due to an adverse event, the Investigator will arrange for follow-up visits or telephone calls until the adverse event has resolved or stabilised. </w:t>
      </w:r>
    </w:p>
    <w:p w14:paraId="73A96E54" w14:textId="77777777" w:rsidR="00CE5AAF" w:rsidRDefault="00E85A33">
      <w:pPr>
        <w:pStyle w:val="Heading3"/>
        <w:spacing w:after="0" w:line="259" w:lineRule="auto"/>
        <w:ind w:left="370"/>
      </w:pPr>
      <w:r>
        <w:rPr>
          <w:sz w:val="24"/>
        </w:rPr>
        <w:t>8.8.</w:t>
      </w:r>
      <w:r>
        <w:rPr>
          <w:rFonts w:ascii="Arial" w:eastAsia="Arial" w:hAnsi="Arial" w:cs="Arial"/>
          <w:sz w:val="24"/>
        </w:rPr>
        <w:t xml:space="preserve"> </w:t>
      </w:r>
      <w:r>
        <w:rPr>
          <w:sz w:val="24"/>
        </w:rPr>
        <w:t xml:space="preserve">Definition of End of Trial </w:t>
      </w:r>
    </w:p>
    <w:p w14:paraId="45FA7DF5" w14:textId="77777777" w:rsidR="00CE5AAF" w:rsidRDefault="00E85A33">
      <w:pPr>
        <w:spacing w:after="16" w:line="259" w:lineRule="auto"/>
        <w:ind w:left="0" w:firstLine="0"/>
        <w:jc w:val="left"/>
      </w:pPr>
      <w:r>
        <w:t xml:space="preserve"> </w:t>
      </w:r>
    </w:p>
    <w:p w14:paraId="35BEFA25" w14:textId="77777777" w:rsidR="00CE5AAF" w:rsidRDefault="00E85A33">
      <w:pPr>
        <w:spacing w:after="4"/>
        <w:ind w:left="24"/>
      </w:pPr>
      <w:r>
        <w:t xml:space="preserve">The end of study will be when laboratory analysis of the primary and secondary endpoints has been completed for all biological samples. All visits will have been completed by this point. </w:t>
      </w:r>
    </w:p>
    <w:p w14:paraId="7A8F249F" w14:textId="77777777" w:rsidR="00CE5AAF" w:rsidRDefault="00E85A33">
      <w:pPr>
        <w:spacing w:after="568" w:line="259" w:lineRule="auto"/>
        <w:ind w:left="0" w:firstLine="0"/>
        <w:jc w:val="left"/>
      </w:pPr>
      <w:r>
        <w:t xml:space="preserve"> </w:t>
      </w:r>
    </w:p>
    <w:p w14:paraId="607CD707" w14:textId="77777777" w:rsidR="00CE5AAF" w:rsidRDefault="00E85A33">
      <w:pPr>
        <w:pStyle w:val="Heading2"/>
        <w:spacing w:after="503"/>
        <w:ind w:left="24" w:right="3507"/>
      </w:pPr>
      <w:r>
        <w:rPr>
          <w:sz w:val="24"/>
        </w:rPr>
        <w:t>9.</w:t>
      </w:r>
      <w:r>
        <w:rPr>
          <w:rFonts w:ascii="Arial" w:eastAsia="Arial" w:hAnsi="Arial" w:cs="Arial"/>
          <w:sz w:val="24"/>
        </w:rPr>
        <w:t xml:space="preserve"> </w:t>
      </w:r>
      <w:r>
        <w:t>INVESTIGATIONAL MEDICINAL PRODUCT (IMP)</w:t>
      </w:r>
      <w:r>
        <w:rPr>
          <w:sz w:val="24"/>
        </w:rPr>
        <w:t xml:space="preserve"> </w:t>
      </w:r>
    </w:p>
    <w:p w14:paraId="30521DB5" w14:textId="77777777" w:rsidR="00CE5AAF" w:rsidRDefault="00E85A33">
      <w:pPr>
        <w:spacing w:after="13" w:line="265" w:lineRule="auto"/>
        <w:ind w:left="24" w:right="3507"/>
        <w:jc w:val="left"/>
      </w:pPr>
      <w:r>
        <w:rPr>
          <w:b/>
        </w:rPr>
        <w:t>9.1</w:t>
      </w:r>
      <w:r>
        <w:rPr>
          <w:rFonts w:ascii="Arial" w:eastAsia="Arial" w:hAnsi="Arial" w:cs="Arial"/>
          <w:b/>
        </w:rPr>
        <w:t xml:space="preserve"> </w:t>
      </w:r>
      <w:r>
        <w:rPr>
          <w:b/>
        </w:rPr>
        <w:t xml:space="preserve">IMP Description </w:t>
      </w:r>
    </w:p>
    <w:p w14:paraId="594A6D63" w14:textId="77777777" w:rsidR="00CE5AAF" w:rsidRDefault="00E85A33">
      <w:pPr>
        <w:pStyle w:val="Heading3"/>
        <w:spacing w:after="216" w:line="259" w:lineRule="auto"/>
        <w:ind w:left="-5"/>
      </w:pPr>
      <w:r>
        <w:rPr>
          <w:b w:val="0"/>
          <w:u w:val="single" w:color="000000"/>
        </w:rPr>
        <w:t>6 in 1(IH) (Infanrix hexa)</w:t>
      </w:r>
      <w:r>
        <w:rPr>
          <w:b w:val="0"/>
        </w:rPr>
        <w:t xml:space="preserve"> </w:t>
      </w:r>
    </w:p>
    <w:p w14:paraId="1753577E" w14:textId="746DF6D2" w:rsidR="00CE5AAF" w:rsidRDefault="00E85A33">
      <w:pPr>
        <w:ind w:left="24"/>
      </w:pPr>
      <w:r>
        <w:t xml:space="preserve">6 in 1(IH) is a multivalent vaccine that protects against DTaP/IPV/Hib/HepB (diphtheria, tetanus, pertussis, poliomyelitis, </w:t>
      </w:r>
      <w:r>
        <w:rPr>
          <w:i/>
        </w:rPr>
        <w:t xml:space="preserve">Haemophilus influenza </w:t>
      </w:r>
      <w:r>
        <w:t xml:space="preserve">type B and Hepatitis B virus). It is produced as a powder and suspension for injection which must be combined by the provider before administration. The total volume of the vaccine when reconstituted is 0.5ml and should be given intramuscularly as 2-3 primary doses at least 1 month apart with a booster usually given 6 months later. The packaging and labelling will be as per the manufacturer as is standard practice. (1) </w:t>
      </w:r>
    </w:p>
    <w:p w14:paraId="73503F28" w14:textId="77777777" w:rsidR="00CE5AAF" w:rsidRDefault="00E85A33">
      <w:pPr>
        <w:spacing w:after="0" w:line="259" w:lineRule="auto"/>
        <w:ind w:left="0" w:firstLine="0"/>
        <w:jc w:val="left"/>
      </w:pPr>
      <w:r>
        <w:t xml:space="preserve"> </w:t>
      </w:r>
    </w:p>
    <w:p w14:paraId="6893DF2F" w14:textId="77777777" w:rsidR="00CE5AAF" w:rsidRDefault="00E85A33">
      <w:pPr>
        <w:pStyle w:val="Heading4"/>
        <w:ind w:left="10" w:right="3"/>
        <w:jc w:val="center"/>
      </w:pPr>
      <w:r>
        <w:rPr>
          <w:rFonts w:ascii="Arial" w:eastAsia="Arial" w:hAnsi="Arial" w:cs="Arial"/>
          <w:sz w:val="18"/>
        </w:rPr>
        <w:t>Table 6: Components of 6 in 1(IH) (1)</w:t>
      </w:r>
      <w:r>
        <w:rPr>
          <w:i/>
          <w:sz w:val="18"/>
        </w:rPr>
        <w:t xml:space="preserve"> </w:t>
      </w:r>
    </w:p>
    <w:tbl>
      <w:tblPr>
        <w:tblStyle w:val="TableGrid"/>
        <w:tblW w:w="9405" w:type="dxa"/>
        <w:tblInd w:w="5" w:type="dxa"/>
        <w:tblCellMar>
          <w:top w:w="46" w:type="dxa"/>
          <w:left w:w="106" w:type="dxa"/>
          <w:right w:w="115" w:type="dxa"/>
        </w:tblCellMar>
        <w:tblLook w:val="04A0" w:firstRow="1" w:lastRow="0" w:firstColumn="1" w:lastColumn="0" w:noHBand="0" w:noVBand="1"/>
      </w:tblPr>
      <w:tblGrid>
        <w:gridCol w:w="3135"/>
        <w:gridCol w:w="3135"/>
        <w:gridCol w:w="3135"/>
      </w:tblGrid>
      <w:tr w:rsidR="00CE5AAF" w14:paraId="5851F2D7" w14:textId="77777777">
        <w:trPr>
          <w:trHeight w:val="279"/>
        </w:trPr>
        <w:tc>
          <w:tcPr>
            <w:tcW w:w="3135" w:type="dxa"/>
            <w:tcBorders>
              <w:top w:val="single" w:sz="4" w:space="0" w:color="000000"/>
              <w:left w:val="single" w:sz="4" w:space="0" w:color="000000"/>
              <w:bottom w:val="single" w:sz="4" w:space="0" w:color="000000"/>
              <w:right w:val="single" w:sz="4" w:space="0" w:color="000000"/>
            </w:tcBorders>
          </w:tcPr>
          <w:p w14:paraId="0BE5FF72" w14:textId="77777777" w:rsidR="00CE5AAF" w:rsidRDefault="00E85A33">
            <w:pPr>
              <w:spacing w:after="0" w:line="259" w:lineRule="auto"/>
              <w:ind w:left="3" w:firstLine="0"/>
              <w:jc w:val="left"/>
            </w:pPr>
            <w:r>
              <w:rPr>
                <w:b/>
              </w:rPr>
              <w:t xml:space="preserve">Component  </w:t>
            </w:r>
          </w:p>
        </w:tc>
        <w:tc>
          <w:tcPr>
            <w:tcW w:w="3135" w:type="dxa"/>
            <w:tcBorders>
              <w:top w:val="single" w:sz="4" w:space="0" w:color="000000"/>
              <w:left w:val="single" w:sz="4" w:space="0" w:color="000000"/>
              <w:bottom w:val="single" w:sz="4" w:space="0" w:color="000000"/>
              <w:right w:val="single" w:sz="4" w:space="0" w:color="000000"/>
            </w:tcBorders>
          </w:tcPr>
          <w:p w14:paraId="11856513" w14:textId="77777777" w:rsidR="00CE5AAF" w:rsidRDefault="00E85A33">
            <w:pPr>
              <w:spacing w:after="0" w:line="259" w:lineRule="auto"/>
              <w:ind w:left="0" w:firstLine="0"/>
              <w:jc w:val="left"/>
            </w:pPr>
            <w:r>
              <w:rPr>
                <w:b/>
              </w:rPr>
              <w:t xml:space="preserve">Dose </w:t>
            </w:r>
          </w:p>
        </w:tc>
        <w:tc>
          <w:tcPr>
            <w:tcW w:w="3135" w:type="dxa"/>
            <w:tcBorders>
              <w:top w:val="single" w:sz="4" w:space="0" w:color="000000"/>
              <w:left w:val="single" w:sz="4" w:space="0" w:color="000000"/>
              <w:bottom w:val="single" w:sz="4" w:space="0" w:color="000000"/>
              <w:right w:val="single" w:sz="4" w:space="0" w:color="000000"/>
            </w:tcBorders>
          </w:tcPr>
          <w:p w14:paraId="45834745" w14:textId="77777777" w:rsidR="00CE5AAF" w:rsidRDefault="00E85A33">
            <w:pPr>
              <w:spacing w:after="0" w:line="259" w:lineRule="auto"/>
              <w:ind w:left="0" w:firstLine="0"/>
              <w:jc w:val="left"/>
            </w:pPr>
            <w:r>
              <w:rPr>
                <w:b/>
              </w:rPr>
              <w:t xml:space="preserve">Additional information </w:t>
            </w:r>
          </w:p>
        </w:tc>
      </w:tr>
      <w:tr w:rsidR="00CE5AAF" w14:paraId="46978375" w14:textId="77777777">
        <w:trPr>
          <w:trHeight w:val="547"/>
        </w:trPr>
        <w:tc>
          <w:tcPr>
            <w:tcW w:w="3135" w:type="dxa"/>
            <w:tcBorders>
              <w:top w:val="single" w:sz="4" w:space="0" w:color="000000"/>
              <w:left w:val="single" w:sz="4" w:space="0" w:color="000000"/>
              <w:bottom w:val="single" w:sz="4" w:space="0" w:color="000000"/>
              <w:right w:val="single" w:sz="4" w:space="0" w:color="000000"/>
            </w:tcBorders>
          </w:tcPr>
          <w:p w14:paraId="5ADDF49A" w14:textId="77777777" w:rsidR="00CE5AAF" w:rsidRDefault="00E85A33">
            <w:pPr>
              <w:spacing w:after="0" w:line="259" w:lineRule="auto"/>
              <w:ind w:left="3" w:firstLine="0"/>
              <w:jc w:val="left"/>
            </w:pPr>
            <w:r>
              <w:rPr>
                <w:i/>
              </w:rPr>
              <w:t xml:space="preserve">Diphtheria toxoid </w:t>
            </w:r>
          </w:p>
        </w:tc>
        <w:tc>
          <w:tcPr>
            <w:tcW w:w="3135" w:type="dxa"/>
            <w:tcBorders>
              <w:top w:val="single" w:sz="4" w:space="0" w:color="000000"/>
              <w:left w:val="single" w:sz="4" w:space="0" w:color="000000"/>
              <w:bottom w:val="single" w:sz="4" w:space="0" w:color="000000"/>
              <w:right w:val="single" w:sz="4" w:space="0" w:color="000000"/>
            </w:tcBorders>
          </w:tcPr>
          <w:p w14:paraId="0FFD9143" w14:textId="77777777" w:rsidR="00CE5AAF" w:rsidRDefault="00E85A33">
            <w:pPr>
              <w:spacing w:after="0" w:line="259" w:lineRule="auto"/>
              <w:ind w:left="0" w:firstLine="0"/>
              <w:jc w:val="left"/>
            </w:pPr>
            <w:r>
              <w:t xml:space="preserve">Not less than 20 international units (IU) </w:t>
            </w:r>
          </w:p>
        </w:tc>
        <w:tc>
          <w:tcPr>
            <w:tcW w:w="3135" w:type="dxa"/>
            <w:tcBorders>
              <w:top w:val="single" w:sz="4" w:space="0" w:color="000000"/>
              <w:left w:val="single" w:sz="4" w:space="0" w:color="000000"/>
              <w:bottom w:val="single" w:sz="4" w:space="0" w:color="000000"/>
              <w:right w:val="single" w:sz="4" w:space="0" w:color="000000"/>
            </w:tcBorders>
          </w:tcPr>
          <w:p w14:paraId="0DBA7E9A" w14:textId="77777777" w:rsidR="00CE5AAF" w:rsidRDefault="00E85A33">
            <w:pPr>
              <w:spacing w:after="0" w:line="259" w:lineRule="auto"/>
              <w:ind w:left="0" w:firstLine="0"/>
              <w:jc w:val="left"/>
            </w:pPr>
            <w:r>
              <w:t xml:space="preserve">Absorbed onto aluminium hydroxide </w:t>
            </w:r>
          </w:p>
        </w:tc>
      </w:tr>
      <w:tr w:rsidR="00CE5AAF" w14:paraId="4DE553DE" w14:textId="77777777">
        <w:trPr>
          <w:trHeight w:val="547"/>
        </w:trPr>
        <w:tc>
          <w:tcPr>
            <w:tcW w:w="3135" w:type="dxa"/>
            <w:tcBorders>
              <w:top w:val="single" w:sz="4" w:space="0" w:color="000000"/>
              <w:left w:val="single" w:sz="4" w:space="0" w:color="000000"/>
              <w:bottom w:val="single" w:sz="4" w:space="0" w:color="000000"/>
              <w:right w:val="single" w:sz="4" w:space="0" w:color="000000"/>
            </w:tcBorders>
          </w:tcPr>
          <w:p w14:paraId="3D9AEB1B" w14:textId="77777777" w:rsidR="00CE5AAF" w:rsidRDefault="00E85A33">
            <w:pPr>
              <w:spacing w:after="0" w:line="259" w:lineRule="auto"/>
              <w:ind w:left="3" w:firstLine="0"/>
              <w:jc w:val="left"/>
            </w:pPr>
            <w:r>
              <w:rPr>
                <w:i/>
              </w:rPr>
              <w:t xml:space="preserve">Tetanus toxoid </w:t>
            </w:r>
          </w:p>
        </w:tc>
        <w:tc>
          <w:tcPr>
            <w:tcW w:w="3135" w:type="dxa"/>
            <w:tcBorders>
              <w:top w:val="single" w:sz="4" w:space="0" w:color="000000"/>
              <w:left w:val="single" w:sz="4" w:space="0" w:color="000000"/>
              <w:bottom w:val="single" w:sz="4" w:space="0" w:color="000000"/>
              <w:right w:val="single" w:sz="4" w:space="0" w:color="000000"/>
            </w:tcBorders>
          </w:tcPr>
          <w:p w14:paraId="7B3A4F36" w14:textId="77777777" w:rsidR="00CE5AAF" w:rsidRDefault="00E85A33">
            <w:pPr>
              <w:spacing w:after="0" w:line="259" w:lineRule="auto"/>
              <w:ind w:left="0" w:firstLine="0"/>
              <w:jc w:val="left"/>
            </w:pPr>
            <w:r>
              <w:t xml:space="preserve">Not less than 40 international units (IU) </w:t>
            </w:r>
          </w:p>
        </w:tc>
        <w:tc>
          <w:tcPr>
            <w:tcW w:w="3135" w:type="dxa"/>
            <w:tcBorders>
              <w:top w:val="single" w:sz="4" w:space="0" w:color="000000"/>
              <w:left w:val="single" w:sz="4" w:space="0" w:color="000000"/>
              <w:bottom w:val="single" w:sz="4" w:space="0" w:color="000000"/>
              <w:right w:val="single" w:sz="4" w:space="0" w:color="000000"/>
            </w:tcBorders>
          </w:tcPr>
          <w:p w14:paraId="06FDB3BF" w14:textId="77777777" w:rsidR="00CE5AAF" w:rsidRDefault="00E85A33">
            <w:pPr>
              <w:spacing w:after="0" w:line="259" w:lineRule="auto"/>
              <w:ind w:left="0" w:firstLine="0"/>
              <w:jc w:val="left"/>
            </w:pPr>
            <w:r>
              <w:t xml:space="preserve">Absorbed onto aluminium hydroxide </w:t>
            </w:r>
          </w:p>
        </w:tc>
      </w:tr>
      <w:tr w:rsidR="00CE5AAF" w14:paraId="4F9A2979" w14:textId="77777777">
        <w:trPr>
          <w:trHeight w:val="278"/>
        </w:trPr>
        <w:tc>
          <w:tcPr>
            <w:tcW w:w="3135" w:type="dxa"/>
            <w:tcBorders>
              <w:top w:val="single" w:sz="4" w:space="0" w:color="000000"/>
              <w:left w:val="single" w:sz="4" w:space="0" w:color="000000"/>
              <w:bottom w:val="single" w:sz="4" w:space="0" w:color="000000"/>
              <w:right w:val="nil"/>
            </w:tcBorders>
          </w:tcPr>
          <w:p w14:paraId="71CF4F4D" w14:textId="77777777" w:rsidR="00CE5AAF" w:rsidRDefault="00E85A33">
            <w:pPr>
              <w:spacing w:after="0" w:line="259" w:lineRule="auto"/>
              <w:ind w:left="3" w:firstLine="0"/>
              <w:jc w:val="left"/>
            </w:pPr>
            <w:r>
              <w:rPr>
                <w:i/>
              </w:rPr>
              <w:t>Bordetella pertussis antigens</w:t>
            </w:r>
            <w:r>
              <w:t xml:space="preserve"> </w:t>
            </w:r>
          </w:p>
        </w:tc>
        <w:tc>
          <w:tcPr>
            <w:tcW w:w="3135" w:type="dxa"/>
            <w:tcBorders>
              <w:top w:val="single" w:sz="4" w:space="0" w:color="000000"/>
              <w:left w:val="nil"/>
              <w:bottom w:val="single" w:sz="4" w:space="0" w:color="000000"/>
              <w:right w:val="nil"/>
            </w:tcBorders>
          </w:tcPr>
          <w:p w14:paraId="39222D24" w14:textId="77777777" w:rsidR="00CE5AAF" w:rsidRDefault="00CE5AAF">
            <w:pPr>
              <w:spacing w:after="160" w:line="259" w:lineRule="auto"/>
              <w:ind w:left="0" w:firstLine="0"/>
              <w:jc w:val="left"/>
            </w:pPr>
          </w:p>
        </w:tc>
        <w:tc>
          <w:tcPr>
            <w:tcW w:w="3135" w:type="dxa"/>
            <w:tcBorders>
              <w:top w:val="single" w:sz="4" w:space="0" w:color="000000"/>
              <w:left w:val="nil"/>
              <w:bottom w:val="single" w:sz="4" w:space="0" w:color="000000"/>
              <w:right w:val="single" w:sz="4" w:space="0" w:color="000000"/>
            </w:tcBorders>
          </w:tcPr>
          <w:p w14:paraId="6F2A94C5" w14:textId="77777777" w:rsidR="00CE5AAF" w:rsidRDefault="00CE5AAF">
            <w:pPr>
              <w:spacing w:after="160" w:line="259" w:lineRule="auto"/>
              <w:ind w:left="0" w:firstLine="0"/>
              <w:jc w:val="left"/>
            </w:pPr>
          </w:p>
        </w:tc>
      </w:tr>
      <w:tr w:rsidR="00CE5AAF" w14:paraId="1B4E3392" w14:textId="77777777">
        <w:trPr>
          <w:trHeight w:val="547"/>
        </w:trPr>
        <w:tc>
          <w:tcPr>
            <w:tcW w:w="3135" w:type="dxa"/>
            <w:tcBorders>
              <w:top w:val="single" w:sz="4" w:space="0" w:color="000000"/>
              <w:left w:val="single" w:sz="4" w:space="0" w:color="000000"/>
              <w:bottom w:val="single" w:sz="4" w:space="0" w:color="000000"/>
              <w:right w:val="single" w:sz="4" w:space="0" w:color="000000"/>
            </w:tcBorders>
          </w:tcPr>
          <w:p w14:paraId="6835F3FA" w14:textId="77777777" w:rsidR="00CE5AAF" w:rsidRDefault="00E85A33">
            <w:pPr>
              <w:spacing w:after="0" w:line="259" w:lineRule="auto"/>
              <w:ind w:left="3" w:firstLine="0"/>
              <w:jc w:val="left"/>
            </w:pPr>
            <w:r>
              <w:t xml:space="preserve">- Pertussis toxoid (PT) </w:t>
            </w:r>
          </w:p>
        </w:tc>
        <w:tc>
          <w:tcPr>
            <w:tcW w:w="3135" w:type="dxa"/>
            <w:tcBorders>
              <w:top w:val="single" w:sz="4" w:space="0" w:color="000000"/>
              <w:left w:val="single" w:sz="4" w:space="0" w:color="000000"/>
              <w:bottom w:val="single" w:sz="4" w:space="0" w:color="000000"/>
              <w:right w:val="single" w:sz="4" w:space="0" w:color="000000"/>
            </w:tcBorders>
          </w:tcPr>
          <w:p w14:paraId="78DDA2AC" w14:textId="77777777" w:rsidR="00CE5AAF" w:rsidRDefault="00E85A33">
            <w:pPr>
              <w:spacing w:after="0" w:line="259" w:lineRule="auto"/>
              <w:ind w:left="0" w:firstLine="0"/>
              <w:jc w:val="left"/>
            </w:pPr>
            <w:r>
              <w:t xml:space="preserve">25 micrograms  </w:t>
            </w:r>
          </w:p>
        </w:tc>
        <w:tc>
          <w:tcPr>
            <w:tcW w:w="3135" w:type="dxa"/>
            <w:tcBorders>
              <w:top w:val="single" w:sz="4" w:space="0" w:color="000000"/>
              <w:left w:val="single" w:sz="4" w:space="0" w:color="000000"/>
              <w:bottom w:val="single" w:sz="4" w:space="0" w:color="000000"/>
              <w:right w:val="single" w:sz="4" w:space="0" w:color="000000"/>
            </w:tcBorders>
          </w:tcPr>
          <w:p w14:paraId="69B68D0E" w14:textId="77777777" w:rsidR="00CE5AAF" w:rsidRDefault="00E85A33">
            <w:pPr>
              <w:spacing w:after="0" w:line="259" w:lineRule="auto"/>
              <w:ind w:left="0" w:firstLine="0"/>
              <w:jc w:val="left"/>
            </w:pPr>
            <w:r>
              <w:t xml:space="preserve">Absorbed onto aluminium hydroxide </w:t>
            </w:r>
          </w:p>
        </w:tc>
      </w:tr>
      <w:tr w:rsidR="00CE5AAF" w14:paraId="6DD153DF" w14:textId="77777777">
        <w:trPr>
          <w:trHeight w:val="547"/>
        </w:trPr>
        <w:tc>
          <w:tcPr>
            <w:tcW w:w="3135" w:type="dxa"/>
            <w:tcBorders>
              <w:top w:val="single" w:sz="4" w:space="0" w:color="000000"/>
              <w:left w:val="single" w:sz="4" w:space="0" w:color="000000"/>
              <w:bottom w:val="single" w:sz="4" w:space="0" w:color="000000"/>
              <w:right w:val="single" w:sz="4" w:space="0" w:color="000000"/>
            </w:tcBorders>
          </w:tcPr>
          <w:p w14:paraId="221D2795" w14:textId="77777777" w:rsidR="00CE5AAF" w:rsidRDefault="00E85A33">
            <w:pPr>
              <w:spacing w:after="0" w:line="259" w:lineRule="auto"/>
              <w:ind w:left="3" w:firstLine="0"/>
              <w:jc w:val="left"/>
            </w:pPr>
            <w:r>
              <w:t xml:space="preserve">- Filamentous Haemagglutinin </w:t>
            </w:r>
          </w:p>
          <w:p w14:paraId="538433CD" w14:textId="77777777" w:rsidR="00CE5AAF" w:rsidRDefault="00E85A33">
            <w:pPr>
              <w:spacing w:after="0" w:line="259" w:lineRule="auto"/>
              <w:ind w:left="3" w:firstLine="0"/>
              <w:jc w:val="left"/>
            </w:pPr>
            <w:r>
              <w:t xml:space="preserve">(FHA) </w:t>
            </w:r>
          </w:p>
        </w:tc>
        <w:tc>
          <w:tcPr>
            <w:tcW w:w="3135" w:type="dxa"/>
            <w:tcBorders>
              <w:top w:val="single" w:sz="4" w:space="0" w:color="000000"/>
              <w:left w:val="single" w:sz="4" w:space="0" w:color="000000"/>
              <w:bottom w:val="single" w:sz="4" w:space="0" w:color="000000"/>
              <w:right w:val="single" w:sz="4" w:space="0" w:color="000000"/>
            </w:tcBorders>
          </w:tcPr>
          <w:p w14:paraId="11C433EA" w14:textId="77777777" w:rsidR="00CE5AAF" w:rsidRDefault="00E85A33">
            <w:pPr>
              <w:spacing w:after="0" w:line="259" w:lineRule="auto"/>
              <w:ind w:left="0" w:firstLine="0"/>
              <w:jc w:val="left"/>
            </w:pPr>
            <w:r>
              <w:t xml:space="preserve">25 micrograms </w:t>
            </w:r>
          </w:p>
        </w:tc>
        <w:tc>
          <w:tcPr>
            <w:tcW w:w="3135" w:type="dxa"/>
            <w:tcBorders>
              <w:top w:val="single" w:sz="4" w:space="0" w:color="000000"/>
              <w:left w:val="single" w:sz="4" w:space="0" w:color="000000"/>
              <w:bottom w:val="single" w:sz="4" w:space="0" w:color="000000"/>
              <w:right w:val="single" w:sz="4" w:space="0" w:color="000000"/>
            </w:tcBorders>
          </w:tcPr>
          <w:p w14:paraId="2F0855D3" w14:textId="77777777" w:rsidR="00CE5AAF" w:rsidRDefault="00E85A33">
            <w:pPr>
              <w:spacing w:after="0" w:line="259" w:lineRule="auto"/>
              <w:ind w:left="0" w:firstLine="0"/>
              <w:jc w:val="left"/>
            </w:pPr>
            <w:r>
              <w:t xml:space="preserve">Absorbed onto aluminium hydroxide </w:t>
            </w:r>
          </w:p>
        </w:tc>
      </w:tr>
      <w:tr w:rsidR="00CE5AAF" w14:paraId="3F2761C8" w14:textId="77777777">
        <w:trPr>
          <w:trHeight w:val="547"/>
        </w:trPr>
        <w:tc>
          <w:tcPr>
            <w:tcW w:w="3135" w:type="dxa"/>
            <w:tcBorders>
              <w:top w:val="single" w:sz="4" w:space="0" w:color="000000"/>
              <w:left w:val="single" w:sz="4" w:space="0" w:color="000000"/>
              <w:bottom w:val="single" w:sz="4" w:space="0" w:color="000000"/>
              <w:right w:val="single" w:sz="4" w:space="0" w:color="000000"/>
            </w:tcBorders>
          </w:tcPr>
          <w:p w14:paraId="128B7226" w14:textId="77777777" w:rsidR="00CE5AAF" w:rsidRDefault="00E85A33">
            <w:pPr>
              <w:spacing w:after="0" w:line="259" w:lineRule="auto"/>
              <w:ind w:left="3" w:firstLine="0"/>
              <w:jc w:val="left"/>
            </w:pPr>
            <w:r>
              <w:t xml:space="preserve">- Pertactin (PRN) </w:t>
            </w:r>
          </w:p>
        </w:tc>
        <w:tc>
          <w:tcPr>
            <w:tcW w:w="3135" w:type="dxa"/>
            <w:tcBorders>
              <w:top w:val="single" w:sz="4" w:space="0" w:color="000000"/>
              <w:left w:val="single" w:sz="4" w:space="0" w:color="000000"/>
              <w:bottom w:val="single" w:sz="4" w:space="0" w:color="000000"/>
              <w:right w:val="single" w:sz="4" w:space="0" w:color="000000"/>
            </w:tcBorders>
          </w:tcPr>
          <w:p w14:paraId="0AA6D115" w14:textId="77777777" w:rsidR="00CE5AAF" w:rsidRDefault="00E85A33">
            <w:pPr>
              <w:spacing w:after="0" w:line="259" w:lineRule="auto"/>
              <w:ind w:left="0" w:firstLine="0"/>
              <w:jc w:val="left"/>
            </w:pPr>
            <w:r>
              <w:t xml:space="preserve">8 micrograms </w:t>
            </w:r>
          </w:p>
        </w:tc>
        <w:tc>
          <w:tcPr>
            <w:tcW w:w="3135" w:type="dxa"/>
            <w:tcBorders>
              <w:top w:val="single" w:sz="4" w:space="0" w:color="000000"/>
              <w:left w:val="single" w:sz="4" w:space="0" w:color="000000"/>
              <w:bottom w:val="single" w:sz="4" w:space="0" w:color="000000"/>
              <w:right w:val="single" w:sz="4" w:space="0" w:color="000000"/>
            </w:tcBorders>
          </w:tcPr>
          <w:p w14:paraId="3CAFCBBA" w14:textId="77777777" w:rsidR="00CE5AAF" w:rsidRDefault="00E85A33">
            <w:pPr>
              <w:spacing w:after="0" w:line="259" w:lineRule="auto"/>
              <w:ind w:left="0" w:firstLine="0"/>
              <w:jc w:val="left"/>
            </w:pPr>
            <w:r>
              <w:t xml:space="preserve">Absorbed onto aluminium hydroxide </w:t>
            </w:r>
          </w:p>
        </w:tc>
      </w:tr>
      <w:tr w:rsidR="00CE5AAF" w14:paraId="58E1C9FC" w14:textId="77777777">
        <w:trPr>
          <w:trHeight w:val="1354"/>
        </w:trPr>
        <w:tc>
          <w:tcPr>
            <w:tcW w:w="3135" w:type="dxa"/>
            <w:tcBorders>
              <w:top w:val="single" w:sz="4" w:space="0" w:color="000000"/>
              <w:left w:val="single" w:sz="4" w:space="0" w:color="000000"/>
              <w:bottom w:val="single" w:sz="4" w:space="0" w:color="000000"/>
              <w:right w:val="single" w:sz="4" w:space="0" w:color="000000"/>
            </w:tcBorders>
          </w:tcPr>
          <w:p w14:paraId="64DF0CDF" w14:textId="77777777" w:rsidR="00CE5AAF" w:rsidRDefault="00E85A33">
            <w:pPr>
              <w:spacing w:after="0" w:line="259" w:lineRule="auto"/>
              <w:ind w:left="3" w:firstLine="0"/>
              <w:jc w:val="left"/>
            </w:pPr>
            <w:r>
              <w:rPr>
                <w:i/>
              </w:rPr>
              <w:t xml:space="preserve">Hepatitis B surface antigen </w:t>
            </w:r>
          </w:p>
        </w:tc>
        <w:tc>
          <w:tcPr>
            <w:tcW w:w="3135" w:type="dxa"/>
            <w:tcBorders>
              <w:top w:val="single" w:sz="4" w:space="0" w:color="000000"/>
              <w:left w:val="single" w:sz="4" w:space="0" w:color="000000"/>
              <w:bottom w:val="single" w:sz="4" w:space="0" w:color="000000"/>
              <w:right w:val="single" w:sz="4" w:space="0" w:color="000000"/>
            </w:tcBorders>
          </w:tcPr>
          <w:p w14:paraId="5BFDB155" w14:textId="77777777" w:rsidR="00CE5AAF" w:rsidRDefault="00E85A33">
            <w:pPr>
              <w:spacing w:after="0" w:line="259" w:lineRule="auto"/>
              <w:ind w:left="0" w:firstLine="0"/>
              <w:jc w:val="left"/>
            </w:pPr>
            <w:r>
              <w:t xml:space="preserve">10 micrograms </w:t>
            </w:r>
          </w:p>
        </w:tc>
        <w:tc>
          <w:tcPr>
            <w:tcW w:w="3135" w:type="dxa"/>
            <w:tcBorders>
              <w:top w:val="single" w:sz="4" w:space="0" w:color="000000"/>
              <w:left w:val="single" w:sz="4" w:space="0" w:color="000000"/>
              <w:bottom w:val="single" w:sz="4" w:space="0" w:color="000000"/>
              <w:right w:val="single" w:sz="4" w:space="0" w:color="000000"/>
            </w:tcBorders>
          </w:tcPr>
          <w:p w14:paraId="2E89006B" w14:textId="77777777" w:rsidR="00CE5AAF" w:rsidRDefault="00E85A33">
            <w:pPr>
              <w:spacing w:after="0" w:line="259" w:lineRule="auto"/>
              <w:ind w:left="0" w:right="151" w:firstLine="0"/>
              <w:jc w:val="left"/>
            </w:pPr>
            <w:r>
              <w:t>- Produced in yeast cells (Saccharomyces cerevisiae) by recombinant DNA technology - absorbed on aluminium phosphate (AIPO</w:t>
            </w:r>
            <w:r>
              <w:rPr>
                <w:vertAlign w:val="subscript"/>
              </w:rPr>
              <w:t>4</w:t>
            </w:r>
            <w:r>
              <w:t xml:space="preserve">) </w:t>
            </w:r>
          </w:p>
        </w:tc>
      </w:tr>
      <w:tr w:rsidR="00CE5AAF" w14:paraId="495FFFAA" w14:textId="77777777">
        <w:trPr>
          <w:trHeight w:val="278"/>
        </w:trPr>
        <w:tc>
          <w:tcPr>
            <w:tcW w:w="3135" w:type="dxa"/>
            <w:tcBorders>
              <w:top w:val="single" w:sz="4" w:space="0" w:color="000000"/>
              <w:left w:val="single" w:sz="4" w:space="0" w:color="000000"/>
              <w:bottom w:val="single" w:sz="4" w:space="0" w:color="000000"/>
              <w:right w:val="nil"/>
            </w:tcBorders>
          </w:tcPr>
          <w:p w14:paraId="690E9C77" w14:textId="77777777" w:rsidR="00CE5AAF" w:rsidRDefault="00E85A33">
            <w:pPr>
              <w:spacing w:after="0" w:line="259" w:lineRule="auto"/>
              <w:ind w:left="3" w:firstLine="0"/>
              <w:jc w:val="left"/>
            </w:pPr>
            <w:r>
              <w:rPr>
                <w:i/>
              </w:rPr>
              <w:t xml:space="preserve">Poliovirus (inactivated) IPV </w:t>
            </w:r>
          </w:p>
        </w:tc>
        <w:tc>
          <w:tcPr>
            <w:tcW w:w="3135" w:type="dxa"/>
            <w:tcBorders>
              <w:top w:val="single" w:sz="4" w:space="0" w:color="000000"/>
              <w:left w:val="nil"/>
              <w:bottom w:val="single" w:sz="4" w:space="0" w:color="000000"/>
              <w:right w:val="nil"/>
            </w:tcBorders>
            <w:vAlign w:val="center"/>
          </w:tcPr>
          <w:p w14:paraId="70956BDA" w14:textId="77777777" w:rsidR="00CE5AAF" w:rsidRDefault="00CE5AAF">
            <w:pPr>
              <w:spacing w:after="160" w:line="259" w:lineRule="auto"/>
              <w:ind w:left="0" w:firstLine="0"/>
              <w:jc w:val="left"/>
            </w:pPr>
          </w:p>
        </w:tc>
        <w:tc>
          <w:tcPr>
            <w:tcW w:w="3135" w:type="dxa"/>
            <w:tcBorders>
              <w:top w:val="single" w:sz="4" w:space="0" w:color="000000"/>
              <w:left w:val="nil"/>
              <w:bottom w:val="single" w:sz="4" w:space="0" w:color="000000"/>
              <w:right w:val="single" w:sz="4" w:space="0" w:color="000000"/>
            </w:tcBorders>
          </w:tcPr>
          <w:p w14:paraId="2F57763E" w14:textId="77777777" w:rsidR="00CE5AAF" w:rsidRDefault="00CE5AAF">
            <w:pPr>
              <w:spacing w:after="160" w:line="259" w:lineRule="auto"/>
              <w:ind w:left="0" w:firstLine="0"/>
              <w:jc w:val="left"/>
            </w:pPr>
          </w:p>
        </w:tc>
      </w:tr>
      <w:tr w:rsidR="00CE5AAF" w14:paraId="6C2B7557"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02E0001E" w14:textId="77777777" w:rsidR="00CE5AAF" w:rsidRDefault="00E85A33">
            <w:pPr>
              <w:spacing w:after="0" w:line="259" w:lineRule="auto"/>
              <w:ind w:left="3" w:firstLine="0"/>
              <w:jc w:val="left"/>
            </w:pPr>
            <w:r>
              <w:t xml:space="preserve">- Type 1 (Mahoney strain) </w:t>
            </w:r>
          </w:p>
        </w:tc>
        <w:tc>
          <w:tcPr>
            <w:tcW w:w="3135" w:type="dxa"/>
            <w:tcBorders>
              <w:top w:val="single" w:sz="4" w:space="0" w:color="000000"/>
              <w:left w:val="single" w:sz="4" w:space="0" w:color="000000"/>
              <w:bottom w:val="single" w:sz="4" w:space="0" w:color="000000"/>
              <w:right w:val="single" w:sz="4" w:space="0" w:color="000000"/>
            </w:tcBorders>
          </w:tcPr>
          <w:p w14:paraId="66712CD4" w14:textId="77777777" w:rsidR="00CE5AAF" w:rsidRDefault="00E85A33">
            <w:pPr>
              <w:spacing w:after="0" w:line="259" w:lineRule="auto"/>
              <w:ind w:left="0" w:firstLine="0"/>
              <w:jc w:val="left"/>
            </w:pPr>
            <w:r>
              <w:t xml:space="preserve">40 D-antigen unit </w:t>
            </w:r>
          </w:p>
        </w:tc>
        <w:tc>
          <w:tcPr>
            <w:tcW w:w="3135" w:type="dxa"/>
            <w:tcBorders>
              <w:top w:val="single" w:sz="4" w:space="0" w:color="000000"/>
              <w:left w:val="single" w:sz="4" w:space="0" w:color="000000"/>
              <w:bottom w:val="single" w:sz="4" w:space="0" w:color="000000"/>
              <w:right w:val="single" w:sz="4" w:space="0" w:color="000000"/>
            </w:tcBorders>
          </w:tcPr>
          <w:p w14:paraId="1ED1A81F" w14:textId="77777777" w:rsidR="00CE5AAF" w:rsidRDefault="00E85A33">
            <w:pPr>
              <w:spacing w:after="0" w:line="259" w:lineRule="auto"/>
              <w:ind w:left="0" w:firstLine="0"/>
              <w:jc w:val="left"/>
            </w:pPr>
            <w:r>
              <w:t xml:space="preserve">Propagated in VERO cells </w:t>
            </w:r>
          </w:p>
        </w:tc>
      </w:tr>
      <w:tr w:rsidR="00CE5AAF" w14:paraId="1ED8185E"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5A4180C4" w14:textId="77777777" w:rsidR="00CE5AAF" w:rsidRDefault="00E85A33">
            <w:pPr>
              <w:spacing w:after="0" w:line="259" w:lineRule="auto"/>
              <w:ind w:left="3" w:firstLine="0"/>
              <w:jc w:val="left"/>
            </w:pPr>
            <w:r>
              <w:t xml:space="preserve">- Type 2 (MEF-1 strain) </w:t>
            </w:r>
          </w:p>
        </w:tc>
        <w:tc>
          <w:tcPr>
            <w:tcW w:w="3135" w:type="dxa"/>
            <w:tcBorders>
              <w:top w:val="single" w:sz="4" w:space="0" w:color="000000"/>
              <w:left w:val="single" w:sz="4" w:space="0" w:color="000000"/>
              <w:bottom w:val="single" w:sz="4" w:space="0" w:color="000000"/>
              <w:right w:val="single" w:sz="4" w:space="0" w:color="000000"/>
            </w:tcBorders>
          </w:tcPr>
          <w:p w14:paraId="1DF5CA47" w14:textId="77777777" w:rsidR="00CE5AAF" w:rsidRDefault="00E85A33">
            <w:pPr>
              <w:spacing w:after="0" w:line="259" w:lineRule="auto"/>
              <w:ind w:left="0" w:firstLine="0"/>
              <w:jc w:val="left"/>
            </w:pPr>
            <w:r>
              <w:t xml:space="preserve">8 D-antigen unit </w:t>
            </w:r>
          </w:p>
        </w:tc>
        <w:tc>
          <w:tcPr>
            <w:tcW w:w="3135" w:type="dxa"/>
            <w:tcBorders>
              <w:top w:val="single" w:sz="4" w:space="0" w:color="000000"/>
              <w:left w:val="single" w:sz="4" w:space="0" w:color="000000"/>
              <w:bottom w:val="single" w:sz="4" w:space="0" w:color="000000"/>
              <w:right w:val="single" w:sz="4" w:space="0" w:color="000000"/>
            </w:tcBorders>
          </w:tcPr>
          <w:p w14:paraId="795DCEEB" w14:textId="77777777" w:rsidR="00CE5AAF" w:rsidRDefault="00E85A33">
            <w:pPr>
              <w:spacing w:after="0" w:line="259" w:lineRule="auto"/>
              <w:ind w:left="0" w:firstLine="0"/>
              <w:jc w:val="left"/>
            </w:pPr>
            <w:r>
              <w:t xml:space="preserve">Propagated in VERO cells </w:t>
            </w:r>
          </w:p>
        </w:tc>
      </w:tr>
      <w:tr w:rsidR="00CE5AAF" w14:paraId="3DD2FE0C"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632B7F86" w14:textId="77777777" w:rsidR="00CE5AAF" w:rsidRDefault="00E85A33">
            <w:pPr>
              <w:spacing w:after="0" w:line="259" w:lineRule="auto"/>
              <w:ind w:left="3" w:firstLine="0"/>
              <w:jc w:val="left"/>
            </w:pPr>
            <w:r>
              <w:t xml:space="preserve">- Type 3 (Saukett strain) </w:t>
            </w:r>
          </w:p>
        </w:tc>
        <w:tc>
          <w:tcPr>
            <w:tcW w:w="3135" w:type="dxa"/>
            <w:tcBorders>
              <w:top w:val="single" w:sz="4" w:space="0" w:color="000000"/>
              <w:left w:val="single" w:sz="4" w:space="0" w:color="000000"/>
              <w:bottom w:val="single" w:sz="4" w:space="0" w:color="000000"/>
              <w:right w:val="single" w:sz="4" w:space="0" w:color="000000"/>
            </w:tcBorders>
          </w:tcPr>
          <w:p w14:paraId="16C82C6C" w14:textId="77777777" w:rsidR="00CE5AAF" w:rsidRDefault="00E85A33">
            <w:pPr>
              <w:spacing w:after="0" w:line="259" w:lineRule="auto"/>
              <w:ind w:left="0" w:firstLine="0"/>
              <w:jc w:val="left"/>
            </w:pPr>
            <w:r>
              <w:t xml:space="preserve">32 D-antigen unit </w:t>
            </w:r>
          </w:p>
        </w:tc>
        <w:tc>
          <w:tcPr>
            <w:tcW w:w="3135" w:type="dxa"/>
            <w:tcBorders>
              <w:top w:val="single" w:sz="4" w:space="0" w:color="000000"/>
              <w:left w:val="single" w:sz="4" w:space="0" w:color="000000"/>
              <w:bottom w:val="single" w:sz="4" w:space="0" w:color="000000"/>
              <w:right w:val="single" w:sz="4" w:space="0" w:color="000000"/>
            </w:tcBorders>
          </w:tcPr>
          <w:p w14:paraId="185CDE90" w14:textId="77777777" w:rsidR="00CE5AAF" w:rsidRDefault="00E85A33">
            <w:pPr>
              <w:spacing w:after="0" w:line="259" w:lineRule="auto"/>
              <w:ind w:left="0" w:firstLine="0"/>
              <w:jc w:val="left"/>
            </w:pPr>
            <w:r>
              <w:t xml:space="preserve">Propagated in VERO cells </w:t>
            </w:r>
          </w:p>
        </w:tc>
      </w:tr>
      <w:tr w:rsidR="00CE5AAF" w14:paraId="23CB45C3" w14:textId="77777777">
        <w:trPr>
          <w:trHeight w:val="547"/>
        </w:trPr>
        <w:tc>
          <w:tcPr>
            <w:tcW w:w="3135" w:type="dxa"/>
            <w:tcBorders>
              <w:top w:val="single" w:sz="4" w:space="0" w:color="000000"/>
              <w:left w:val="single" w:sz="4" w:space="0" w:color="000000"/>
              <w:bottom w:val="single" w:sz="4" w:space="0" w:color="000000"/>
              <w:right w:val="single" w:sz="4" w:space="0" w:color="000000"/>
            </w:tcBorders>
          </w:tcPr>
          <w:p w14:paraId="6268F3FD" w14:textId="77777777" w:rsidR="00CE5AAF" w:rsidRDefault="00E85A33">
            <w:pPr>
              <w:spacing w:after="0" w:line="259" w:lineRule="auto"/>
              <w:ind w:left="3" w:firstLine="0"/>
              <w:jc w:val="left"/>
            </w:pPr>
            <w:r>
              <w:rPr>
                <w:i/>
              </w:rPr>
              <w:t xml:space="preserve">Haemophilus influenza type b polysaccharide </w:t>
            </w:r>
          </w:p>
        </w:tc>
        <w:tc>
          <w:tcPr>
            <w:tcW w:w="3135" w:type="dxa"/>
            <w:tcBorders>
              <w:top w:val="single" w:sz="4" w:space="0" w:color="000000"/>
              <w:left w:val="single" w:sz="4" w:space="0" w:color="000000"/>
              <w:bottom w:val="single" w:sz="4" w:space="0" w:color="000000"/>
              <w:right w:val="single" w:sz="4" w:space="0" w:color="000000"/>
            </w:tcBorders>
          </w:tcPr>
          <w:p w14:paraId="6F6524BF" w14:textId="77777777" w:rsidR="00CE5AAF" w:rsidRDefault="00E85A33">
            <w:pPr>
              <w:spacing w:after="0" w:line="259" w:lineRule="auto"/>
              <w:ind w:left="0" w:firstLine="0"/>
              <w:jc w:val="left"/>
            </w:pPr>
            <w:r>
              <w:t xml:space="preserve">10 micrograms </w:t>
            </w:r>
          </w:p>
        </w:tc>
        <w:tc>
          <w:tcPr>
            <w:tcW w:w="3135" w:type="dxa"/>
            <w:tcBorders>
              <w:top w:val="single" w:sz="4" w:space="0" w:color="000000"/>
              <w:left w:val="single" w:sz="4" w:space="0" w:color="000000"/>
              <w:bottom w:val="single" w:sz="4" w:space="0" w:color="000000"/>
              <w:right w:val="single" w:sz="4" w:space="0" w:color="000000"/>
            </w:tcBorders>
          </w:tcPr>
          <w:p w14:paraId="163FAC8C" w14:textId="77777777" w:rsidR="00CE5AAF" w:rsidRDefault="00E85A33">
            <w:pPr>
              <w:spacing w:after="0" w:line="259" w:lineRule="auto"/>
              <w:ind w:left="0" w:firstLine="0"/>
              <w:jc w:val="left"/>
            </w:pPr>
            <w:r>
              <w:t>Absorbed on aluminium phosphate (AIPO</w:t>
            </w:r>
            <w:r>
              <w:rPr>
                <w:vertAlign w:val="subscript"/>
              </w:rPr>
              <w:t>4</w:t>
            </w:r>
            <w:r>
              <w:t xml:space="preserve">) </w:t>
            </w:r>
          </w:p>
        </w:tc>
      </w:tr>
    </w:tbl>
    <w:p w14:paraId="48400795" w14:textId="77777777" w:rsidR="00CE5AAF" w:rsidRDefault="00E85A33">
      <w:pPr>
        <w:spacing w:after="218" w:line="259" w:lineRule="auto"/>
        <w:ind w:left="0" w:firstLine="0"/>
        <w:jc w:val="left"/>
      </w:pPr>
      <w:r>
        <w:t xml:space="preserve"> </w:t>
      </w:r>
    </w:p>
    <w:p w14:paraId="5B6FAC61" w14:textId="77777777" w:rsidR="00CE5AAF" w:rsidRDefault="00E85A33">
      <w:pPr>
        <w:pStyle w:val="Heading3"/>
        <w:spacing w:after="216" w:line="259" w:lineRule="auto"/>
        <w:ind w:left="-5"/>
      </w:pPr>
      <w:r>
        <w:rPr>
          <w:b w:val="0"/>
          <w:u w:val="single" w:color="000000"/>
        </w:rPr>
        <w:t>6 in 1(V) (Vaxelis)</w:t>
      </w:r>
      <w:r>
        <w:rPr>
          <w:b w:val="0"/>
        </w:rPr>
        <w:t xml:space="preserve"> </w:t>
      </w:r>
    </w:p>
    <w:p w14:paraId="6634E97E" w14:textId="04419F2D" w:rsidR="00CE5AAF" w:rsidRDefault="00E85A33">
      <w:pPr>
        <w:ind w:left="24"/>
      </w:pPr>
      <w:r>
        <w:t>Developed by Sanofi Pasteur, 6 in 1(V) is the other hexavalent vaccine that includes Hepatitis B that is licensed in Europe. It is produced in a fully liquid form in a ready to use injection and protects against the same organisms as 6 in 1(IH) however the structure of some components differs as outlined</w:t>
      </w:r>
      <w:r w:rsidR="00D122B6">
        <w:t xml:space="preserve"> below</w:t>
      </w:r>
      <w:r>
        <w:t>. The total volume of each dose is 0.5ml. The packaging and labelling will be as per the manufacturer as is standard practice (2)</w:t>
      </w:r>
      <w:r w:rsidR="00D122B6">
        <w:t>.</w:t>
      </w:r>
      <w:r>
        <w:t xml:space="preserve"> </w:t>
      </w:r>
    </w:p>
    <w:p w14:paraId="4B972786" w14:textId="5F94ADF4" w:rsidR="00CE5AAF" w:rsidRDefault="00E85A33" w:rsidP="00D122B6">
      <w:pPr>
        <w:spacing w:after="218" w:line="259" w:lineRule="auto"/>
        <w:ind w:left="0" w:firstLine="0"/>
        <w:jc w:val="left"/>
      </w:pPr>
      <w:r>
        <w:t xml:space="preserve">   </w:t>
      </w:r>
    </w:p>
    <w:p w14:paraId="00D419E6" w14:textId="77777777" w:rsidR="00CE5AAF" w:rsidRDefault="00E85A33">
      <w:pPr>
        <w:pStyle w:val="Heading4"/>
        <w:ind w:left="10" w:right="5"/>
        <w:jc w:val="center"/>
      </w:pPr>
      <w:r>
        <w:rPr>
          <w:rFonts w:ascii="Arial" w:eastAsia="Arial" w:hAnsi="Arial" w:cs="Arial"/>
          <w:sz w:val="18"/>
        </w:rPr>
        <w:t xml:space="preserve">Table 7: Components of 6 in 1(V) (2) </w:t>
      </w:r>
    </w:p>
    <w:tbl>
      <w:tblPr>
        <w:tblStyle w:val="TableGrid"/>
        <w:tblW w:w="9405" w:type="dxa"/>
        <w:tblInd w:w="5" w:type="dxa"/>
        <w:tblCellMar>
          <w:top w:w="46" w:type="dxa"/>
          <w:left w:w="106" w:type="dxa"/>
          <w:right w:w="65" w:type="dxa"/>
        </w:tblCellMar>
        <w:tblLook w:val="04A0" w:firstRow="1" w:lastRow="0" w:firstColumn="1" w:lastColumn="0" w:noHBand="0" w:noVBand="1"/>
      </w:tblPr>
      <w:tblGrid>
        <w:gridCol w:w="3135"/>
        <w:gridCol w:w="3135"/>
        <w:gridCol w:w="3135"/>
      </w:tblGrid>
      <w:tr w:rsidR="00CE5AAF" w14:paraId="31BDA857" w14:textId="77777777">
        <w:trPr>
          <w:trHeight w:val="279"/>
        </w:trPr>
        <w:tc>
          <w:tcPr>
            <w:tcW w:w="3135" w:type="dxa"/>
            <w:tcBorders>
              <w:top w:val="single" w:sz="4" w:space="0" w:color="000000"/>
              <w:left w:val="single" w:sz="4" w:space="0" w:color="000000"/>
              <w:bottom w:val="single" w:sz="4" w:space="0" w:color="000000"/>
              <w:right w:val="single" w:sz="4" w:space="0" w:color="000000"/>
            </w:tcBorders>
          </w:tcPr>
          <w:p w14:paraId="63F23457" w14:textId="77777777" w:rsidR="00CE5AAF" w:rsidRDefault="00E85A33">
            <w:pPr>
              <w:spacing w:after="0" w:line="259" w:lineRule="auto"/>
              <w:ind w:left="3" w:firstLine="0"/>
              <w:jc w:val="left"/>
            </w:pPr>
            <w:r>
              <w:rPr>
                <w:b/>
              </w:rPr>
              <w:t xml:space="preserve">Component  </w:t>
            </w:r>
          </w:p>
        </w:tc>
        <w:tc>
          <w:tcPr>
            <w:tcW w:w="3135" w:type="dxa"/>
            <w:tcBorders>
              <w:top w:val="single" w:sz="4" w:space="0" w:color="000000"/>
              <w:left w:val="single" w:sz="4" w:space="0" w:color="000000"/>
              <w:bottom w:val="single" w:sz="4" w:space="0" w:color="000000"/>
              <w:right w:val="single" w:sz="4" w:space="0" w:color="000000"/>
            </w:tcBorders>
          </w:tcPr>
          <w:p w14:paraId="5DCED8C1" w14:textId="77777777" w:rsidR="00CE5AAF" w:rsidRDefault="00E85A33">
            <w:pPr>
              <w:spacing w:after="0" w:line="259" w:lineRule="auto"/>
              <w:ind w:left="0" w:firstLine="0"/>
              <w:jc w:val="left"/>
            </w:pPr>
            <w:r>
              <w:rPr>
                <w:b/>
              </w:rPr>
              <w:t xml:space="preserve">Dose </w:t>
            </w:r>
          </w:p>
        </w:tc>
        <w:tc>
          <w:tcPr>
            <w:tcW w:w="3135" w:type="dxa"/>
            <w:tcBorders>
              <w:top w:val="single" w:sz="4" w:space="0" w:color="000000"/>
              <w:left w:val="single" w:sz="4" w:space="0" w:color="000000"/>
              <w:bottom w:val="single" w:sz="4" w:space="0" w:color="000000"/>
              <w:right w:val="single" w:sz="4" w:space="0" w:color="000000"/>
            </w:tcBorders>
          </w:tcPr>
          <w:p w14:paraId="635E3FAC" w14:textId="77777777" w:rsidR="00CE5AAF" w:rsidRDefault="00E85A33">
            <w:pPr>
              <w:spacing w:after="0" w:line="259" w:lineRule="auto"/>
              <w:ind w:left="0" w:firstLine="0"/>
              <w:jc w:val="left"/>
            </w:pPr>
            <w:r>
              <w:rPr>
                <w:b/>
              </w:rPr>
              <w:t xml:space="preserve">Additional information </w:t>
            </w:r>
          </w:p>
        </w:tc>
      </w:tr>
      <w:tr w:rsidR="00CE5AAF" w14:paraId="20FE98A1" w14:textId="77777777">
        <w:trPr>
          <w:trHeight w:val="547"/>
        </w:trPr>
        <w:tc>
          <w:tcPr>
            <w:tcW w:w="3135" w:type="dxa"/>
            <w:tcBorders>
              <w:top w:val="single" w:sz="4" w:space="0" w:color="000000"/>
              <w:left w:val="single" w:sz="4" w:space="0" w:color="000000"/>
              <w:bottom w:val="single" w:sz="4" w:space="0" w:color="000000"/>
              <w:right w:val="single" w:sz="4" w:space="0" w:color="000000"/>
            </w:tcBorders>
          </w:tcPr>
          <w:p w14:paraId="53EFD8F0" w14:textId="77777777" w:rsidR="00CE5AAF" w:rsidRDefault="00E85A33">
            <w:pPr>
              <w:spacing w:after="0" w:line="259" w:lineRule="auto"/>
              <w:ind w:left="3" w:firstLine="0"/>
              <w:jc w:val="left"/>
            </w:pPr>
            <w:r>
              <w:rPr>
                <w:i/>
              </w:rPr>
              <w:t xml:space="preserve">Diphtheria toxoid </w:t>
            </w:r>
          </w:p>
        </w:tc>
        <w:tc>
          <w:tcPr>
            <w:tcW w:w="3135" w:type="dxa"/>
            <w:tcBorders>
              <w:top w:val="single" w:sz="4" w:space="0" w:color="000000"/>
              <w:left w:val="single" w:sz="4" w:space="0" w:color="000000"/>
              <w:bottom w:val="single" w:sz="4" w:space="0" w:color="000000"/>
              <w:right w:val="single" w:sz="4" w:space="0" w:color="000000"/>
            </w:tcBorders>
          </w:tcPr>
          <w:p w14:paraId="33624608" w14:textId="77777777" w:rsidR="00CE5AAF" w:rsidRDefault="00E85A33">
            <w:pPr>
              <w:spacing w:after="0" w:line="259" w:lineRule="auto"/>
              <w:ind w:left="0" w:firstLine="0"/>
              <w:jc w:val="left"/>
            </w:pPr>
            <w:r>
              <w:t xml:space="preserve">Not less than 20 international units (IU) </w:t>
            </w:r>
          </w:p>
        </w:tc>
        <w:tc>
          <w:tcPr>
            <w:tcW w:w="3135" w:type="dxa"/>
            <w:vMerge w:val="restart"/>
            <w:tcBorders>
              <w:top w:val="single" w:sz="4" w:space="0" w:color="000000"/>
              <w:left w:val="single" w:sz="4" w:space="0" w:color="000000"/>
              <w:bottom w:val="single" w:sz="4" w:space="0" w:color="000000"/>
              <w:right w:val="single" w:sz="4" w:space="0" w:color="000000"/>
            </w:tcBorders>
          </w:tcPr>
          <w:p w14:paraId="5C256863" w14:textId="77777777" w:rsidR="00CE5AAF" w:rsidRDefault="00E85A33">
            <w:pPr>
              <w:spacing w:after="0" w:line="239" w:lineRule="auto"/>
              <w:ind w:left="0" w:firstLine="0"/>
              <w:jc w:val="left"/>
            </w:pPr>
            <w:r>
              <w:t xml:space="preserve">Absorbed onto aluminium hydroxide </w:t>
            </w:r>
          </w:p>
          <w:p w14:paraId="222282BF" w14:textId="77777777" w:rsidR="00CE5AAF" w:rsidRDefault="00E85A33">
            <w:pPr>
              <w:spacing w:after="0" w:line="259" w:lineRule="auto"/>
              <w:ind w:left="0" w:firstLine="0"/>
              <w:jc w:val="left"/>
            </w:pPr>
            <w:r>
              <w:t xml:space="preserve"> </w:t>
            </w:r>
          </w:p>
        </w:tc>
      </w:tr>
      <w:tr w:rsidR="00CE5AAF" w14:paraId="4D964F0E" w14:textId="77777777">
        <w:trPr>
          <w:trHeight w:val="547"/>
        </w:trPr>
        <w:tc>
          <w:tcPr>
            <w:tcW w:w="3135" w:type="dxa"/>
            <w:tcBorders>
              <w:top w:val="single" w:sz="4" w:space="0" w:color="000000"/>
              <w:left w:val="single" w:sz="4" w:space="0" w:color="000000"/>
              <w:bottom w:val="single" w:sz="4" w:space="0" w:color="000000"/>
              <w:right w:val="single" w:sz="4" w:space="0" w:color="000000"/>
            </w:tcBorders>
          </w:tcPr>
          <w:p w14:paraId="623217A7" w14:textId="77777777" w:rsidR="00CE5AAF" w:rsidRDefault="00E85A33">
            <w:pPr>
              <w:spacing w:after="0" w:line="259" w:lineRule="auto"/>
              <w:ind w:left="3" w:firstLine="0"/>
              <w:jc w:val="left"/>
            </w:pPr>
            <w:r>
              <w:rPr>
                <w:i/>
              </w:rPr>
              <w:t xml:space="preserve">Tetanus toxoid </w:t>
            </w:r>
          </w:p>
        </w:tc>
        <w:tc>
          <w:tcPr>
            <w:tcW w:w="3135" w:type="dxa"/>
            <w:tcBorders>
              <w:top w:val="single" w:sz="4" w:space="0" w:color="000000"/>
              <w:left w:val="single" w:sz="4" w:space="0" w:color="000000"/>
              <w:bottom w:val="single" w:sz="4" w:space="0" w:color="000000"/>
              <w:right w:val="single" w:sz="4" w:space="0" w:color="000000"/>
            </w:tcBorders>
          </w:tcPr>
          <w:p w14:paraId="36C2403A" w14:textId="77777777" w:rsidR="00CE5AAF" w:rsidRDefault="00E85A33">
            <w:pPr>
              <w:spacing w:after="0" w:line="259" w:lineRule="auto"/>
              <w:ind w:left="0" w:firstLine="0"/>
              <w:jc w:val="left"/>
            </w:pPr>
            <w:r>
              <w:t xml:space="preserve">Not less than 40 international units (IU) </w:t>
            </w:r>
          </w:p>
        </w:tc>
        <w:tc>
          <w:tcPr>
            <w:tcW w:w="0" w:type="auto"/>
            <w:vMerge/>
            <w:tcBorders>
              <w:top w:val="nil"/>
              <w:left w:val="single" w:sz="4" w:space="0" w:color="000000"/>
              <w:bottom w:val="single" w:sz="4" w:space="0" w:color="000000"/>
              <w:right w:val="single" w:sz="4" w:space="0" w:color="000000"/>
            </w:tcBorders>
          </w:tcPr>
          <w:p w14:paraId="5526D3C0" w14:textId="77777777" w:rsidR="00CE5AAF" w:rsidRDefault="00CE5AAF">
            <w:pPr>
              <w:spacing w:after="160" w:line="259" w:lineRule="auto"/>
              <w:ind w:left="0" w:firstLine="0"/>
              <w:jc w:val="left"/>
            </w:pPr>
          </w:p>
        </w:tc>
      </w:tr>
      <w:tr w:rsidR="00CE5AAF" w14:paraId="21C9C1C0" w14:textId="77777777">
        <w:trPr>
          <w:trHeight w:val="278"/>
        </w:trPr>
        <w:tc>
          <w:tcPr>
            <w:tcW w:w="3135" w:type="dxa"/>
            <w:tcBorders>
              <w:top w:val="single" w:sz="4" w:space="0" w:color="000000"/>
              <w:left w:val="single" w:sz="4" w:space="0" w:color="000000"/>
              <w:bottom w:val="single" w:sz="4" w:space="0" w:color="000000"/>
              <w:right w:val="nil"/>
            </w:tcBorders>
          </w:tcPr>
          <w:p w14:paraId="1A63B1EB" w14:textId="77777777" w:rsidR="00CE5AAF" w:rsidRDefault="00E85A33">
            <w:pPr>
              <w:spacing w:after="0" w:line="259" w:lineRule="auto"/>
              <w:ind w:left="3" w:firstLine="0"/>
              <w:jc w:val="left"/>
            </w:pPr>
            <w:r>
              <w:rPr>
                <w:i/>
              </w:rPr>
              <w:t>Bordetella pertussis antigens</w:t>
            </w:r>
            <w:r>
              <w:t xml:space="preserve"> </w:t>
            </w:r>
          </w:p>
        </w:tc>
        <w:tc>
          <w:tcPr>
            <w:tcW w:w="3135" w:type="dxa"/>
            <w:tcBorders>
              <w:top w:val="single" w:sz="4" w:space="0" w:color="000000"/>
              <w:left w:val="nil"/>
              <w:bottom w:val="single" w:sz="4" w:space="0" w:color="000000"/>
              <w:right w:val="nil"/>
            </w:tcBorders>
          </w:tcPr>
          <w:p w14:paraId="7DAD3213" w14:textId="77777777" w:rsidR="00CE5AAF" w:rsidRDefault="00CE5AAF">
            <w:pPr>
              <w:spacing w:after="160" w:line="259" w:lineRule="auto"/>
              <w:ind w:left="0" w:firstLine="0"/>
              <w:jc w:val="left"/>
            </w:pPr>
          </w:p>
        </w:tc>
        <w:tc>
          <w:tcPr>
            <w:tcW w:w="3135" w:type="dxa"/>
            <w:tcBorders>
              <w:top w:val="single" w:sz="4" w:space="0" w:color="000000"/>
              <w:left w:val="nil"/>
              <w:bottom w:val="single" w:sz="4" w:space="0" w:color="000000"/>
              <w:right w:val="single" w:sz="4" w:space="0" w:color="000000"/>
            </w:tcBorders>
          </w:tcPr>
          <w:p w14:paraId="7866FB75" w14:textId="77777777" w:rsidR="00CE5AAF" w:rsidRDefault="00CE5AAF">
            <w:pPr>
              <w:spacing w:after="160" w:line="259" w:lineRule="auto"/>
              <w:ind w:left="0" w:firstLine="0"/>
              <w:jc w:val="left"/>
            </w:pPr>
          </w:p>
        </w:tc>
      </w:tr>
      <w:tr w:rsidR="00CE5AAF" w14:paraId="238A281E"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541A9B2C" w14:textId="77777777" w:rsidR="00CE5AAF" w:rsidRDefault="00E85A33">
            <w:pPr>
              <w:spacing w:after="0" w:line="259" w:lineRule="auto"/>
              <w:ind w:left="3" w:firstLine="0"/>
              <w:jc w:val="left"/>
            </w:pPr>
            <w:r>
              <w:t xml:space="preserve">               - Pertussis toxoid (PT) </w:t>
            </w:r>
          </w:p>
        </w:tc>
        <w:tc>
          <w:tcPr>
            <w:tcW w:w="3135" w:type="dxa"/>
            <w:tcBorders>
              <w:top w:val="single" w:sz="4" w:space="0" w:color="000000"/>
              <w:left w:val="single" w:sz="4" w:space="0" w:color="000000"/>
              <w:bottom w:val="single" w:sz="4" w:space="0" w:color="000000"/>
              <w:right w:val="single" w:sz="4" w:space="0" w:color="000000"/>
            </w:tcBorders>
          </w:tcPr>
          <w:p w14:paraId="1BBFB836" w14:textId="77777777" w:rsidR="00CE5AAF" w:rsidRDefault="00E85A33">
            <w:pPr>
              <w:spacing w:after="0" w:line="259" w:lineRule="auto"/>
              <w:ind w:left="0" w:firstLine="0"/>
              <w:jc w:val="left"/>
            </w:pPr>
            <w:r>
              <w:t xml:space="preserve">20 micrograms  </w:t>
            </w:r>
          </w:p>
        </w:tc>
        <w:tc>
          <w:tcPr>
            <w:tcW w:w="3135" w:type="dxa"/>
            <w:vMerge w:val="restart"/>
            <w:tcBorders>
              <w:top w:val="single" w:sz="4" w:space="0" w:color="000000"/>
              <w:left w:val="single" w:sz="4" w:space="0" w:color="000000"/>
              <w:bottom w:val="single" w:sz="4" w:space="0" w:color="000000"/>
              <w:right w:val="single" w:sz="4" w:space="0" w:color="000000"/>
            </w:tcBorders>
          </w:tcPr>
          <w:p w14:paraId="250A9F33" w14:textId="77777777" w:rsidR="00CE5AAF" w:rsidRDefault="00E85A33">
            <w:pPr>
              <w:spacing w:after="0" w:line="259" w:lineRule="auto"/>
              <w:ind w:left="0" w:firstLine="0"/>
              <w:jc w:val="left"/>
            </w:pPr>
            <w:r>
              <w:t xml:space="preserve">Absorbed onto aluminium hydroxide </w:t>
            </w:r>
          </w:p>
        </w:tc>
      </w:tr>
      <w:tr w:rsidR="00CE5AAF" w14:paraId="49A16DB5" w14:textId="77777777">
        <w:trPr>
          <w:trHeight w:val="547"/>
        </w:trPr>
        <w:tc>
          <w:tcPr>
            <w:tcW w:w="3135" w:type="dxa"/>
            <w:tcBorders>
              <w:top w:val="single" w:sz="4" w:space="0" w:color="000000"/>
              <w:left w:val="single" w:sz="4" w:space="0" w:color="000000"/>
              <w:bottom w:val="single" w:sz="4" w:space="0" w:color="000000"/>
              <w:right w:val="single" w:sz="4" w:space="0" w:color="000000"/>
            </w:tcBorders>
          </w:tcPr>
          <w:p w14:paraId="0631D068" w14:textId="77777777" w:rsidR="00CE5AAF" w:rsidRDefault="00E85A33">
            <w:pPr>
              <w:spacing w:after="0" w:line="259" w:lineRule="auto"/>
              <w:ind w:left="3" w:firstLine="0"/>
              <w:jc w:val="left"/>
            </w:pPr>
            <w:r>
              <w:t xml:space="preserve">               - Filamentous    </w:t>
            </w:r>
          </w:p>
          <w:p w14:paraId="4014E086" w14:textId="77777777" w:rsidR="00CE5AAF" w:rsidRDefault="00E85A33">
            <w:pPr>
              <w:spacing w:after="0" w:line="259" w:lineRule="auto"/>
              <w:ind w:left="3" w:firstLine="0"/>
              <w:jc w:val="left"/>
            </w:pPr>
            <w:r>
              <w:t xml:space="preserve">                 Haemagglutinin (FHA) </w:t>
            </w:r>
          </w:p>
        </w:tc>
        <w:tc>
          <w:tcPr>
            <w:tcW w:w="3135" w:type="dxa"/>
            <w:tcBorders>
              <w:top w:val="single" w:sz="4" w:space="0" w:color="000000"/>
              <w:left w:val="single" w:sz="4" w:space="0" w:color="000000"/>
              <w:bottom w:val="single" w:sz="4" w:space="0" w:color="000000"/>
              <w:right w:val="single" w:sz="4" w:space="0" w:color="000000"/>
            </w:tcBorders>
          </w:tcPr>
          <w:p w14:paraId="7BF65E1A" w14:textId="77777777" w:rsidR="00CE5AAF" w:rsidRDefault="00E85A33">
            <w:pPr>
              <w:spacing w:after="0" w:line="259" w:lineRule="auto"/>
              <w:ind w:left="0" w:firstLine="0"/>
              <w:jc w:val="left"/>
            </w:pPr>
            <w:r>
              <w:t xml:space="preserve">20 micrograms </w:t>
            </w:r>
          </w:p>
        </w:tc>
        <w:tc>
          <w:tcPr>
            <w:tcW w:w="0" w:type="auto"/>
            <w:vMerge/>
            <w:tcBorders>
              <w:top w:val="nil"/>
              <w:left w:val="single" w:sz="4" w:space="0" w:color="000000"/>
              <w:bottom w:val="nil"/>
              <w:right w:val="single" w:sz="4" w:space="0" w:color="000000"/>
            </w:tcBorders>
          </w:tcPr>
          <w:p w14:paraId="3584FB17" w14:textId="77777777" w:rsidR="00CE5AAF" w:rsidRDefault="00CE5AAF">
            <w:pPr>
              <w:spacing w:after="160" w:line="259" w:lineRule="auto"/>
              <w:ind w:left="0" w:firstLine="0"/>
              <w:jc w:val="left"/>
            </w:pPr>
          </w:p>
        </w:tc>
      </w:tr>
      <w:tr w:rsidR="00CE5AAF" w14:paraId="3BE39219"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50FA961D" w14:textId="77777777" w:rsidR="00CE5AAF" w:rsidRDefault="00E85A33">
            <w:pPr>
              <w:spacing w:after="0" w:line="259" w:lineRule="auto"/>
              <w:ind w:left="3" w:firstLine="0"/>
              <w:jc w:val="left"/>
            </w:pPr>
            <w:r>
              <w:t xml:space="preserve">               - Pertactin (PRN) </w:t>
            </w:r>
          </w:p>
        </w:tc>
        <w:tc>
          <w:tcPr>
            <w:tcW w:w="3135" w:type="dxa"/>
            <w:tcBorders>
              <w:top w:val="single" w:sz="4" w:space="0" w:color="000000"/>
              <w:left w:val="single" w:sz="4" w:space="0" w:color="000000"/>
              <w:bottom w:val="single" w:sz="4" w:space="0" w:color="000000"/>
              <w:right w:val="single" w:sz="4" w:space="0" w:color="000000"/>
            </w:tcBorders>
          </w:tcPr>
          <w:p w14:paraId="385DBCD0" w14:textId="77777777" w:rsidR="00CE5AAF" w:rsidRDefault="00E85A33">
            <w:pPr>
              <w:spacing w:after="0" w:line="259" w:lineRule="auto"/>
              <w:ind w:left="0" w:firstLine="0"/>
              <w:jc w:val="left"/>
            </w:pPr>
            <w:r>
              <w:t xml:space="preserve">3 micrograms </w:t>
            </w:r>
          </w:p>
        </w:tc>
        <w:tc>
          <w:tcPr>
            <w:tcW w:w="0" w:type="auto"/>
            <w:vMerge/>
            <w:tcBorders>
              <w:top w:val="nil"/>
              <w:left w:val="single" w:sz="4" w:space="0" w:color="000000"/>
              <w:bottom w:val="nil"/>
              <w:right w:val="single" w:sz="4" w:space="0" w:color="000000"/>
            </w:tcBorders>
          </w:tcPr>
          <w:p w14:paraId="7F214F13" w14:textId="77777777" w:rsidR="00CE5AAF" w:rsidRDefault="00CE5AAF">
            <w:pPr>
              <w:spacing w:after="160" w:line="259" w:lineRule="auto"/>
              <w:ind w:left="0" w:firstLine="0"/>
              <w:jc w:val="left"/>
            </w:pPr>
          </w:p>
        </w:tc>
      </w:tr>
      <w:tr w:rsidR="00CE5AAF" w14:paraId="25D83DE3" w14:textId="77777777">
        <w:trPr>
          <w:trHeight w:val="547"/>
        </w:trPr>
        <w:tc>
          <w:tcPr>
            <w:tcW w:w="3135" w:type="dxa"/>
            <w:tcBorders>
              <w:top w:val="single" w:sz="4" w:space="0" w:color="000000"/>
              <w:left w:val="single" w:sz="4" w:space="0" w:color="000000"/>
              <w:bottom w:val="single" w:sz="4" w:space="0" w:color="000000"/>
              <w:right w:val="single" w:sz="4" w:space="0" w:color="000000"/>
            </w:tcBorders>
          </w:tcPr>
          <w:p w14:paraId="2468AF36" w14:textId="77777777" w:rsidR="00CE5AAF" w:rsidRDefault="00E85A33">
            <w:pPr>
              <w:spacing w:after="0" w:line="259" w:lineRule="auto"/>
              <w:ind w:left="3" w:firstLine="0"/>
              <w:jc w:val="left"/>
            </w:pPr>
            <w:r>
              <w:t xml:space="preserve">               - Fimbriae Types 2 and    </w:t>
            </w:r>
          </w:p>
          <w:p w14:paraId="5F167432" w14:textId="77777777" w:rsidR="00CE5AAF" w:rsidRDefault="00E85A33">
            <w:pPr>
              <w:spacing w:after="0" w:line="259" w:lineRule="auto"/>
              <w:ind w:left="3" w:firstLine="0"/>
              <w:jc w:val="left"/>
            </w:pPr>
            <w:r>
              <w:t xml:space="preserve">                 3 (FIM) </w:t>
            </w:r>
          </w:p>
        </w:tc>
        <w:tc>
          <w:tcPr>
            <w:tcW w:w="3135" w:type="dxa"/>
            <w:tcBorders>
              <w:top w:val="single" w:sz="4" w:space="0" w:color="000000"/>
              <w:left w:val="single" w:sz="4" w:space="0" w:color="000000"/>
              <w:bottom w:val="single" w:sz="4" w:space="0" w:color="000000"/>
              <w:right w:val="single" w:sz="4" w:space="0" w:color="000000"/>
            </w:tcBorders>
          </w:tcPr>
          <w:p w14:paraId="7B748A3C" w14:textId="77777777" w:rsidR="00CE5AAF" w:rsidRDefault="00E85A33">
            <w:pPr>
              <w:spacing w:after="0" w:line="259" w:lineRule="auto"/>
              <w:ind w:left="0" w:firstLine="0"/>
              <w:jc w:val="left"/>
            </w:pPr>
            <w:r>
              <w:t xml:space="preserve">5 micrograms </w:t>
            </w:r>
          </w:p>
        </w:tc>
        <w:tc>
          <w:tcPr>
            <w:tcW w:w="0" w:type="auto"/>
            <w:vMerge/>
            <w:tcBorders>
              <w:top w:val="nil"/>
              <w:left w:val="single" w:sz="4" w:space="0" w:color="000000"/>
              <w:bottom w:val="single" w:sz="4" w:space="0" w:color="000000"/>
              <w:right w:val="single" w:sz="4" w:space="0" w:color="000000"/>
            </w:tcBorders>
          </w:tcPr>
          <w:p w14:paraId="40E82B77" w14:textId="77777777" w:rsidR="00CE5AAF" w:rsidRDefault="00CE5AAF">
            <w:pPr>
              <w:spacing w:after="160" w:line="259" w:lineRule="auto"/>
              <w:ind w:left="0" w:firstLine="0"/>
              <w:jc w:val="left"/>
            </w:pPr>
          </w:p>
        </w:tc>
      </w:tr>
      <w:tr w:rsidR="00CE5AAF" w14:paraId="70E2718F" w14:textId="77777777">
        <w:trPr>
          <w:trHeight w:val="1354"/>
        </w:trPr>
        <w:tc>
          <w:tcPr>
            <w:tcW w:w="3135" w:type="dxa"/>
            <w:tcBorders>
              <w:top w:val="single" w:sz="4" w:space="0" w:color="000000"/>
              <w:left w:val="single" w:sz="4" w:space="0" w:color="000000"/>
              <w:bottom w:val="single" w:sz="4" w:space="0" w:color="000000"/>
              <w:right w:val="single" w:sz="4" w:space="0" w:color="000000"/>
            </w:tcBorders>
          </w:tcPr>
          <w:p w14:paraId="73CAF624" w14:textId="77777777" w:rsidR="00CE5AAF" w:rsidRDefault="00E85A33">
            <w:pPr>
              <w:spacing w:after="0" w:line="259" w:lineRule="auto"/>
              <w:ind w:left="3" w:firstLine="0"/>
              <w:jc w:val="left"/>
            </w:pPr>
            <w:r>
              <w:rPr>
                <w:i/>
              </w:rPr>
              <w:t xml:space="preserve">Hepatitis B surface antigen </w:t>
            </w:r>
          </w:p>
        </w:tc>
        <w:tc>
          <w:tcPr>
            <w:tcW w:w="3135" w:type="dxa"/>
            <w:tcBorders>
              <w:top w:val="single" w:sz="4" w:space="0" w:color="000000"/>
              <w:left w:val="single" w:sz="4" w:space="0" w:color="000000"/>
              <w:bottom w:val="single" w:sz="4" w:space="0" w:color="000000"/>
              <w:right w:val="single" w:sz="4" w:space="0" w:color="000000"/>
            </w:tcBorders>
          </w:tcPr>
          <w:p w14:paraId="4C51CA9F" w14:textId="77777777" w:rsidR="00CE5AAF" w:rsidRDefault="00E85A33">
            <w:pPr>
              <w:spacing w:after="0" w:line="259" w:lineRule="auto"/>
              <w:ind w:left="0" w:firstLine="0"/>
              <w:jc w:val="left"/>
            </w:pPr>
            <w:r>
              <w:t xml:space="preserve">10 micrograms </w:t>
            </w:r>
          </w:p>
        </w:tc>
        <w:tc>
          <w:tcPr>
            <w:tcW w:w="3135" w:type="dxa"/>
            <w:tcBorders>
              <w:top w:val="single" w:sz="4" w:space="0" w:color="000000"/>
              <w:left w:val="single" w:sz="4" w:space="0" w:color="000000"/>
              <w:bottom w:val="single" w:sz="4" w:space="0" w:color="000000"/>
              <w:right w:val="single" w:sz="4" w:space="0" w:color="000000"/>
            </w:tcBorders>
          </w:tcPr>
          <w:p w14:paraId="78D7263A" w14:textId="77777777" w:rsidR="00CE5AAF" w:rsidRDefault="00E85A33">
            <w:pPr>
              <w:spacing w:after="0" w:line="259" w:lineRule="auto"/>
              <w:ind w:left="0" w:right="201" w:firstLine="0"/>
              <w:jc w:val="left"/>
            </w:pPr>
            <w:r>
              <w:t xml:space="preserve">- Produced in yeast cells (Saccharomyces cerevisiae) by recombinant DNA technology - Absorbed onto aluminium hydroxyphosphate sulfate </w:t>
            </w:r>
          </w:p>
        </w:tc>
      </w:tr>
      <w:tr w:rsidR="00CE5AAF" w14:paraId="377FD636" w14:textId="77777777">
        <w:trPr>
          <w:trHeight w:val="278"/>
        </w:trPr>
        <w:tc>
          <w:tcPr>
            <w:tcW w:w="3135" w:type="dxa"/>
            <w:tcBorders>
              <w:top w:val="single" w:sz="4" w:space="0" w:color="000000"/>
              <w:left w:val="single" w:sz="4" w:space="0" w:color="000000"/>
              <w:bottom w:val="single" w:sz="4" w:space="0" w:color="000000"/>
              <w:right w:val="nil"/>
            </w:tcBorders>
          </w:tcPr>
          <w:p w14:paraId="3A2B69C5" w14:textId="77777777" w:rsidR="00CE5AAF" w:rsidRDefault="00E85A33">
            <w:pPr>
              <w:spacing w:after="0" w:line="259" w:lineRule="auto"/>
              <w:ind w:left="3" w:firstLine="0"/>
              <w:jc w:val="left"/>
            </w:pPr>
            <w:r>
              <w:rPr>
                <w:i/>
              </w:rPr>
              <w:t xml:space="preserve">Poliovirus (inactivated) IPV </w:t>
            </w:r>
          </w:p>
        </w:tc>
        <w:tc>
          <w:tcPr>
            <w:tcW w:w="3135" w:type="dxa"/>
            <w:tcBorders>
              <w:top w:val="single" w:sz="4" w:space="0" w:color="000000"/>
              <w:left w:val="nil"/>
              <w:bottom w:val="single" w:sz="4" w:space="0" w:color="000000"/>
              <w:right w:val="nil"/>
            </w:tcBorders>
          </w:tcPr>
          <w:p w14:paraId="2E8576EB" w14:textId="77777777" w:rsidR="00CE5AAF" w:rsidRDefault="00CE5AAF">
            <w:pPr>
              <w:spacing w:after="160" w:line="259" w:lineRule="auto"/>
              <w:ind w:left="0" w:firstLine="0"/>
              <w:jc w:val="left"/>
            </w:pPr>
          </w:p>
        </w:tc>
        <w:tc>
          <w:tcPr>
            <w:tcW w:w="3135" w:type="dxa"/>
            <w:tcBorders>
              <w:top w:val="single" w:sz="4" w:space="0" w:color="000000"/>
              <w:left w:val="nil"/>
              <w:bottom w:val="single" w:sz="4" w:space="0" w:color="000000"/>
              <w:right w:val="single" w:sz="4" w:space="0" w:color="000000"/>
            </w:tcBorders>
          </w:tcPr>
          <w:p w14:paraId="512FF2BB" w14:textId="77777777" w:rsidR="00CE5AAF" w:rsidRDefault="00CE5AAF">
            <w:pPr>
              <w:spacing w:after="160" w:line="259" w:lineRule="auto"/>
              <w:ind w:left="0" w:firstLine="0"/>
              <w:jc w:val="left"/>
            </w:pPr>
          </w:p>
        </w:tc>
      </w:tr>
      <w:tr w:rsidR="00CE5AAF" w14:paraId="51E25A99"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3E49AD22" w14:textId="77777777" w:rsidR="00CE5AAF" w:rsidRDefault="00E85A33">
            <w:pPr>
              <w:spacing w:after="0" w:line="259" w:lineRule="auto"/>
              <w:ind w:left="3" w:firstLine="0"/>
              <w:jc w:val="left"/>
            </w:pPr>
            <w:r>
              <w:t xml:space="preserve">- Type 1 (Mahoney strain) </w:t>
            </w:r>
          </w:p>
        </w:tc>
        <w:tc>
          <w:tcPr>
            <w:tcW w:w="3135" w:type="dxa"/>
            <w:tcBorders>
              <w:top w:val="single" w:sz="4" w:space="0" w:color="000000"/>
              <w:left w:val="single" w:sz="4" w:space="0" w:color="000000"/>
              <w:bottom w:val="single" w:sz="4" w:space="0" w:color="000000"/>
              <w:right w:val="single" w:sz="4" w:space="0" w:color="000000"/>
            </w:tcBorders>
          </w:tcPr>
          <w:p w14:paraId="2B83D130" w14:textId="77777777" w:rsidR="00CE5AAF" w:rsidRDefault="00E85A33">
            <w:pPr>
              <w:spacing w:after="0" w:line="259" w:lineRule="auto"/>
              <w:ind w:left="0" w:firstLine="0"/>
              <w:jc w:val="left"/>
            </w:pPr>
            <w:r>
              <w:t xml:space="preserve">40 D-antigen unit </w:t>
            </w:r>
          </w:p>
        </w:tc>
        <w:tc>
          <w:tcPr>
            <w:tcW w:w="3135" w:type="dxa"/>
            <w:tcBorders>
              <w:top w:val="single" w:sz="4" w:space="0" w:color="000000"/>
              <w:left w:val="single" w:sz="4" w:space="0" w:color="000000"/>
              <w:bottom w:val="single" w:sz="4" w:space="0" w:color="000000"/>
              <w:right w:val="single" w:sz="4" w:space="0" w:color="000000"/>
            </w:tcBorders>
          </w:tcPr>
          <w:p w14:paraId="7AFCDE20" w14:textId="77777777" w:rsidR="00CE5AAF" w:rsidRDefault="00E85A33">
            <w:pPr>
              <w:spacing w:after="0" w:line="259" w:lineRule="auto"/>
              <w:ind w:left="0" w:firstLine="0"/>
              <w:jc w:val="left"/>
            </w:pPr>
            <w:r>
              <w:t xml:space="preserve">Propagated in VERO cells </w:t>
            </w:r>
          </w:p>
        </w:tc>
      </w:tr>
      <w:tr w:rsidR="00CE5AAF" w14:paraId="17070C98"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73BA8BDA" w14:textId="77777777" w:rsidR="00CE5AAF" w:rsidRDefault="00E85A33">
            <w:pPr>
              <w:spacing w:after="0" w:line="259" w:lineRule="auto"/>
              <w:ind w:left="3" w:firstLine="0"/>
              <w:jc w:val="left"/>
            </w:pPr>
            <w:r>
              <w:t xml:space="preserve">- Type 2 (MEF-1 strain) </w:t>
            </w:r>
          </w:p>
        </w:tc>
        <w:tc>
          <w:tcPr>
            <w:tcW w:w="3135" w:type="dxa"/>
            <w:tcBorders>
              <w:top w:val="single" w:sz="4" w:space="0" w:color="000000"/>
              <w:left w:val="single" w:sz="4" w:space="0" w:color="000000"/>
              <w:bottom w:val="single" w:sz="4" w:space="0" w:color="000000"/>
              <w:right w:val="single" w:sz="4" w:space="0" w:color="000000"/>
            </w:tcBorders>
          </w:tcPr>
          <w:p w14:paraId="56941617" w14:textId="77777777" w:rsidR="00CE5AAF" w:rsidRDefault="00E85A33">
            <w:pPr>
              <w:spacing w:after="0" w:line="259" w:lineRule="auto"/>
              <w:ind w:left="0" w:firstLine="0"/>
              <w:jc w:val="left"/>
            </w:pPr>
            <w:r>
              <w:t xml:space="preserve">8 D-antigen unit </w:t>
            </w:r>
          </w:p>
        </w:tc>
        <w:tc>
          <w:tcPr>
            <w:tcW w:w="3135" w:type="dxa"/>
            <w:tcBorders>
              <w:top w:val="single" w:sz="4" w:space="0" w:color="000000"/>
              <w:left w:val="single" w:sz="4" w:space="0" w:color="000000"/>
              <w:bottom w:val="single" w:sz="4" w:space="0" w:color="000000"/>
              <w:right w:val="single" w:sz="4" w:space="0" w:color="000000"/>
            </w:tcBorders>
          </w:tcPr>
          <w:p w14:paraId="0A205FC7" w14:textId="77777777" w:rsidR="00CE5AAF" w:rsidRDefault="00E85A33">
            <w:pPr>
              <w:spacing w:after="0" w:line="259" w:lineRule="auto"/>
              <w:ind w:left="0" w:firstLine="0"/>
              <w:jc w:val="left"/>
            </w:pPr>
            <w:r>
              <w:t xml:space="preserve">Propagated in VERO cells </w:t>
            </w:r>
          </w:p>
        </w:tc>
      </w:tr>
      <w:tr w:rsidR="00CE5AAF" w14:paraId="06C4A26D" w14:textId="77777777">
        <w:trPr>
          <w:trHeight w:val="278"/>
        </w:trPr>
        <w:tc>
          <w:tcPr>
            <w:tcW w:w="3135" w:type="dxa"/>
            <w:tcBorders>
              <w:top w:val="single" w:sz="4" w:space="0" w:color="000000"/>
              <w:left w:val="single" w:sz="4" w:space="0" w:color="000000"/>
              <w:bottom w:val="single" w:sz="4" w:space="0" w:color="000000"/>
              <w:right w:val="single" w:sz="4" w:space="0" w:color="000000"/>
            </w:tcBorders>
          </w:tcPr>
          <w:p w14:paraId="047AD8A6" w14:textId="77777777" w:rsidR="00CE5AAF" w:rsidRDefault="00E85A33">
            <w:pPr>
              <w:spacing w:after="0" w:line="259" w:lineRule="auto"/>
              <w:ind w:left="3" w:firstLine="0"/>
              <w:jc w:val="left"/>
            </w:pPr>
            <w:r>
              <w:t xml:space="preserve">- Type 3 (Saukett strain) </w:t>
            </w:r>
          </w:p>
        </w:tc>
        <w:tc>
          <w:tcPr>
            <w:tcW w:w="3135" w:type="dxa"/>
            <w:tcBorders>
              <w:top w:val="single" w:sz="4" w:space="0" w:color="000000"/>
              <w:left w:val="single" w:sz="4" w:space="0" w:color="000000"/>
              <w:bottom w:val="single" w:sz="4" w:space="0" w:color="000000"/>
              <w:right w:val="single" w:sz="4" w:space="0" w:color="000000"/>
            </w:tcBorders>
          </w:tcPr>
          <w:p w14:paraId="77D5F8F8" w14:textId="77777777" w:rsidR="00CE5AAF" w:rsidRDefault="00E85A33">
            <w:pPr>
              <w:spacing w:after="0" w:line="259" w:lineRule="auto"/>
              <w:ind w:left="0" w:firstLine="0"/>
              <w:jc w:val="left"/>
            </w:pPr>
            <w:r>
              <w:t xml:space="preserve">32 D-antigen unit </w:t>
            </w:r>
          </w:p>
        </w:tc>
        <w:tc>
          <w:tcPr>
            <w:tcW w:w="3135" w:type="dxa"/>
            <w:tcBorders>
              <w:top w:val="single" w:sz="4" w:space="0" w:color="000000"/>
              <w:left w:val="single" w:sz="4" w:space="0" w:color="000000"/>
              <w:bottom w:val="single" w:sz="4" w:space="0" w:color="000000"/>
              <w:right w:val="single" w:sz="4" w:space="0" w:color="000000"/>
            </w:tcBorders>
          </w:tcPr>
          <w:p w14:paraId="66BD49C9" w14:textId="77777777" w:rsidR="00CE5AAF" w:rsidRDefault="00E85A33">
            <w:pPr>
              <w:spacing w:after="0" w:line="259" w:lineRule="auto"/>
              <w:ind w:left="0" w:firstLine="0"/>
              <w:jc w:val="left"/>
            </w:pPr>
            <w:r>
              <w:t xml:space="preserve">Propagated in VERO cells </w:t>
            </w:r>
          </w:p>
        </w:tc>
      </w:tr>
      <w:tr w:rsidR="00CE5AAF" w14:paraId="4AC706ED" w14:textId="77777777">
        <w:trPr>
          <w:trHeight w:val="1085"/>
        </w:trPr>
        <w:tc>
          <w:tcPr>
            <w:tcW w:w="3135" w:type="dxa"/>
            <w:tcBorders>
              <w:top w:val="single" w:sz="4" w:space="0" w:color="000000"/>
              <w:left w:val="single" w:sz="4" w:space="0" w:color="000000"/>
              <w:bottom w:val="single" w:sz="4" w:space="0" w:color="000000"/>
              <w:right w:val="single" w:sz="4" w:space="0" w:color="000000"/>
            </w:tcBorders>
          </w:tcPr>
          <w:p w14:paraId="4097F37C" w14:textId="77777777" w:rsidR="00CE5AAF" w:rsidRDefault="00E85A33">
            <w:pPr>
              <w:spacing w:after="0" w:line="239" w:lineRule="auto"/>
              <w:ind w:left="3" w:firstLine="0"/>
              <w:jc w:val="left"/>
            </w:pPr>
            <w:r>
              <w:rPr>
                <w:i/>
              </w:rPr>
              <w:t xml:space="preserve">Haemophilus influenza type b polysaccharide </w:t>
            </w:r>
          </w:p>
          <w:p w14:paraId="2064A541" w14:textId="77777777" w:rsidR="00CE5AAF" w:rsidRDefault="00E85A33">
            <w:pPr>
              <w:spacing w:after="0" w:line="259" w:lineRule="auto"/>
              <w:ind w:left="3" w:firstLine="0"/>
              <w:jc w:val="left"/>
            </w:pPr>
            <w:r>
              <w:rPr>
                <w:i/>
              </w:rPr>
              <w:t xml:space="preserve"> - </w:t>
            </w:r>
            <w:r>
              <w:t xml:space="preserve">conjugated to meningococcal protein </w:t>
            </w:r>
          </w:p>
        </w:tc>
        <w:tc>
          <w:tcPr>
            <w:tcW w:w="3135" w:type="dxa"/>
            <w:tcBorders>
              <w:top w:val="single" w:sz="4" w:space="0" w:color="000000"/>
              <w:left w:val="single" w:sz="4" w:space="0" w:color="000000"/>
              <w:bottom w:val="single" w:sz="4" w:space="0" w:color="000000"/>
              <w:right w:val="single" w:sz="4" w:space="0" w:color="000000"/>
            </w:tcBorders>
          </w:tcPr>
          <w:p w14:paraId="502473D9" w14:textId="77777777" w:rsidR="00CE5AAF" w:rsidRDefault="00E85A33">
            <w:pPr>
              <w:spacing w:after="0" w:line="259" w:lineRule="auto"/>
              <w:ind w:left="0" w:firstLine="0"/>
              <w:jc w:val="left"/>
            </w:pPr>
            <w:r>
              <w:t xml:space="preserve">3 micrograms </w:t>
            </w:r>
          </w:p>
          <w:p w14:paraId="217D1F61" w14:textId="77777777" w:rsidR="00CE5AAF" w:rsidRDefault="00E85A33">
            <w:pPr>
              <w:spacing w:after="0" w:line="259" w:lineRule="auto"/>
              <w:ind w:left="0" w:firstLine="0"/>
              <w:jc w:val="left"/>
            </w:pPr>
            <w:r>
              <w:t xml:space="preserve"> </w:t>
            </w:r>
          </w:p>
          <w:p w14:paraId="58299405" w14:textId="77777777" w:rsidR="00CE5AAF" w:rsidRDefault="00E85A33">
            <w:pPr>
              <w:spacing w:after="0" w:line="259" w:lineRule="auto"/>
              <w:ind w:left="0" w:firstLine="0"/>
              <w:jc w:val="left"/>
            </w:pPr>
            <w:r>
              <w:t xml:space="preserve">50 micrograms </w:t>
            </w:r>
          </w:p>
        </w:tc>
        <w:tc>
          <w:tcPr>
            <w:tcW w:w="3135" w:type="dxa"/>
            <w:tcBorders>
              <w:top w:val="single" w:sz="4" w:space="0" w:color="000000"/>
              <w:left w:val="single" w:sz="4" w:space="0" w:color="000000"/>
              <w:bottom w:val="single" w:sz="4" w:space="0" w:color="000000"/>
              <w:right w:val="single" w:sz="4" w:space="0" w:color="000000"/>
            </w:tcBorders>
          </w:tcPr>
          <w:p w14:paraId="4E205E1B" w14:textId="77777777" w:rsidR="00CE5AAF" w:rsidRDefault="00E85A33">
            <w:pPr>
              <w:spacing w:after="0" w:line="259" w:lineRule="auto"/>
              <w:ind w:left="0" w:firstLine="0"/>
              <w:jc w:val="left"/>
            </w:pPr>
            <w:r>
              <w:t xml:space="preserve">Absorbed onto aluminium hydroxyphosphate sulfate </w:t>
            </w:r>
          </w:p>
        </w:tc>
      </w:tr>
    </w:tbl>
    <w:p w14:paraId="50619920" w14:textId="77777777" w:rsidR="00CE5AAF" w:rsidRDefault="00E85A33">
      <w:pPr>
        <w:spacing w:after="218" w:line="259" w:lineRule="auto"/>
        <w:ind w:left="0" w:firstLine="0"/>
        <w:jc w:val="left"/>
      </w:pPr>
      <w:r>
        <w:t xml:space="preserve"> </w:t>
      </w:r>
    </w:p>
    <w:p w14:paraId="4B3C3119" w14:textId="77777777" w:rsidR="00CE5AAF" w:rsidRDefault="00E85A33">
      <w:pPr>
        <w:pStyle w:val="Heading3"/>
        <w:spacing w:after="216" w:line="259" w:lineRule="auto"/>
        <w:ind w:left="-5"/>
      </w:pPr>
      <w:r>
        <w:rPr>
          <w:b w:val="0"/>
          <w:u w:val="single" w:color="000000"/>
        </w:rPr>
        <w:t>Meningococcal Group B vaccine (Bexsero)</w:t>
      </w:r>
      <w:r>
        <w:rPr>
          <w:b w:val="0"/>
        </w:rPr>
        <w:t xml:space="preserve"> </w:t>
      </w:r>
    </w:p>
    <w:p w14:paraId="5F346911" w14:textId="77777777" w:rsidR="00CE5AAF" w:rsidRDefault="00E85A33">
      <w:pPr>
        <w:ind w:left="24"/>
      </w:pPr>
      <w:r>
        <w:t xml:space="preserve">A vaccine developed by GlaxoSmithKline UK. A suspension for injection containing Meningococcal group B vaccine (rDNA, component, absorbed). Each 0.5ml dose contains: recombinant </w:t>
      </w:r>
      <w:r>
        <w:rPr>
          <w:i/>
        </w:rPr>
        <w:t>Neisseria</w:t>
      </w:r>
      <w:r>
        <w:t xml:space="preserve"> </w:t>
      </w:r>
      <w:r>
        <w:rPr>
          <w:i/>
        </w:rPr>
        <w:t xml:space="preserve">meningitidis </w:t>
      </w:r>
      <w:r>
        <w:t xml:space="preserve">group B Neisseria heparin binding antigen/NHBA fusion protein 50 micrograms, recombinant </w:t>
      </w:r>
      <w:r>
        <w:rPr>
          <w:i/>
        </w:rPr>
        <w:t>Neisseria</w:t>
      </w:r>
      <w:r>
        <w:t xml:space="preserve"> </w:t>
      </w:r>
      <w:r>
        <w:rPr>
          <w:i/>
        </w:rPr>
        <w:t xml:space="preserve">meningitidis </w:t>
      </w:r>
      <w:r>
        <w:t xml:space="preserve">group B Neisserial adhesion A/NadA protein 50 micrograms, recombinant </w:t>
      </w:r>
      <w:r>
        <w:rPr>
          <w:i/>
        </w:rPr>
        <w:t>Neisseria</w:t>
      </w:r>
      <w:r>
        <w:t xml:space="preserve"> </w:t>
      </w:r>
      <w:r>
        <w:rPr>
          <w:i/>
        </w:rPr>
        <w:t xml:space="preserve">meningitidis </w:t>
      </w:r>
      <w:r>
        <w:t xml:space="preserve">group B factor H binding protein/fHbp fusion protein 50 micrograms, outer membrane vesicles (OMV) from </w:t>
      </w:r>
      <w:r>
        <w:rPr>
          <w:i/>
        </w:rPr>
        <w:t>Neisseria</w:t>
      </w:r>
      <w:r>
        <w:t xml:space="preserve"> </w:t>
      </w:r>
      <w:r>
        <w:rPr>
          <w:i/>
        </w:rPr>
        <w:t xml:space="preserve">meningitidis group B </w:t>
      </w:r>
      <w:r>
        <w:t>strain NZ98/254</w:t>
      </w:r>
      <w:r>
        <w:rPr>
          <w:i/>
        </w:rPr>
        <w:t xml:space="preserve"> </w:t>
      </w:r>
      <w:r>
        <w:t xml:space="preserve">25 micrograms. Produced in E. Coli cells by recombinant DNA technology, absorbed on aluminium hydroxide. The packaging and labelling will be as per the manufacturer as is standard practice. </w:t>
      </w:r>
    </w:p>
    <w:p w14:paraId="78AF9AF9" w14:textId="64843F76" w:rsidR="00CE5AAF" w:rsidRDefault="00E85A33">
      <w:pPr>
        <w:pStyle w:val="Heading3"/>
        <w:spacing w:after="216" w:line="259" w:lineRule="auto"/>
        <w:ind w:left="-5"/>
      </w:pPr>
      <w:r>
        <w:rPr>
          <w:b w:val="0"/>
          <w:u w:val="single" w:color="000000"/>
        </w:rPr>
        <w:t>H</w:t>
      </w:r>
      <w:r w:rsidR="00D122B6">
        <w:rPr>
          <w:b w:val="0"/>
          <w:u w:val="single" w:color="000000"/>
        </w:rPr>
        <w:t>a</w:t>
      </w:r>
      <w:r>
        <w:rPr>
          <w:b w:val="0"/>
          <w:u w:val="single" w:color="000000"/>
        </w:rPr>
        <w:t>emophilus type b and Meningococcal group C conjugate vaccine (Menitorix)</w:t>
      </w:r>
      <w:r>
        <w:rPr>
          <w:b w:val="0"/>
        </w:rPr>
        <w:t xml:space="preserve"> </w:t>
      </w:r>
    </w:p>
    <w:p w14:paraId="03D92E95" w14:textId="77777777" w:rsidR="00CE5AAF" w:rsidRDefault="00E85A33">
      <w:pPr>
        <w:ind w:left="24"/>
      </w:pPr>
      <w:r>
        <w:t xml:space="preserve">A vaccine developed by GlaxoSmithKline UK. A powder and solvent solution for injection containing a </w:t>
      </w:r>
      <w:r>
        <w:rPr>
          <w:i/>
        </w:rPr>
        <w:t>Haemophilus</w:t>
      </w:r>
      <w:r>
        <w:t xml:space="preserve"> type b and Meningococcal group C conjugate vaccine. Each 0.5 ml dose after reconstitution contains: Haemophilus type polysaccharide (polyribosylribitol phosphate) 5 micrograms conjugated to tetanus toxoid as a carrier protein 12.5 micrograms, </w:t>
      </w:r>
      <w:r>
        <w:rPr>
          <w:i/>
        </w:rPr>
        <w:t>Neisseria meningitidis</w:t>
      </w:r>
      <w:r>
        <w:t xml:space="preserve"> group C (strain C11) polysaccharide 5 micrograms conjugated to tetanus toxoid as carrier protein 5 micrograms.  </w:t>
      </w:r>
    </w:p>
    <w:p w14:paraId="5903ADBD" w14:textId="24C415CA" w:rsidR="00CE5AAF" w:rsidRDefault="00E85A33" w:rsidP="00D122B6">
      <w:pPr>
        <w:spacing w:after="218" w:line="259" w:lineRule="auto"/>
        <w:ind w:left="0" w:firstLine="0"/>
        <w:jc w:val="left"/>
      </w:pPr>
      <w:r>
        <w:t xml:space="preserve"> </w:t>
      </w:r>
    </w:p>
    <w:p w14:paraId="7D2D0472" w14:textId="77777777" w:rsidR="00CE5AAF" w:rsidRDefault="00E85A33">
      <w:pPr>
        <w:pStyle w:val="Heading3"/>
        <w:spacing w:after="216" w:line="259" w:lineRule="auto"/>
        <w:ind w:left="-5"/>
      </w:pPr>
      <w:r>
        <w:rPr>
          <w:b w:val="0"/>
          <w:u w:val="single" w:color="000000"/>
        </w:rPr>
        <w:t>Measles, mumps and rubella vaccine (live) (M-M-RVAXPRO)</w:t>
      </w:r>
      <w:r>
        <w:rPr>
          <w:b w:val="0"/>
        </w:rPr>
        <w:t xml:space="preserve"> </w:t>
      </w:r>
    </w:p>
    <w:p w14:paraId="431092FC" w14:textId="77777777" w:rsidR="00CE5AAF" w:rsidRDefault="00E85A33">
      <w:pPr>
        <w:ind w:left="24"/>
      </w:pPr>
      <w:r>
        <w:t>A vaccine developed by Merck Sharp &amp; Dohme Limited. M-M-RVAXPRO powder and solvent for injection containing a measles, mumps, and rubella vaccine (live). After reconstitution each 0.5 ml dose contains: measles virus</w:t>
      </w:r>
      <w:r>
        <w:rPr>
          <w:vertAlign w:val="superscript"/>
        </w:rPr>
        <w:t>1</w:t>
      </w:r>
      <w:r>
        <w:t xml:space="preserve"> Enders’ Edmonston strain (live, attenuated) not less than 1x10</w:t>
      </w:r>
      <w:r>
        <w:rPr>
          <w:vertAlign w:val="superscript"/>
        </w:rPr>
        <w:t xml:space="preserve">3 </w:t>
      </w:r>
      <w:r>
        <w:t>CCID</w:t>
      </w:r>
      <w:r>
        <w:rPr>
          <w:vertAlign w:val="subscript"/>
        </w:rPr>
        <w:t>50</w:t>
      </w:r>
      <w:r>
        <w:t>, mumps virus</w:t>
      </w:r>
      <w:r>
        <w:rPr>
          <w:vertAlign w:val="superscript"/>
        </w:rPr>
        <w:t>1</w:t>
      </w:r>
      <w:r>
        <w:t xml:space="preserve"> Jerly Lynn (level B) strain (live, attenuated) not less than 2.5x10</w:t>
      </w:r>
      <w:r>
        <w:rPr>
          <w:vertAlign w:val="superscript"/>
        </w:rPr>
        <w:t xml:space="preserve">3 </w:t>
      </w:r>
      <w:r>
        <w:t>CCID</w:t>
      </w:r>
      <w:r>
        <w:rPr>
          <w:vertAlign w:val="subscript"/>
        </w:rPr>
        <w:t>50</w:t>
      </w:r>
      <w:r>
        <w:t>, Rubella virus</w:t>
      </w:r>
      <w:r>
        <w:rPr>
          <w:vertAlign w:val="superscript"/>
        </w:rPr>
        <w:t>2</w:t>
      </w:r>
      <w:r>
        <w:t xml:space="preserve"> Wistar RA 27/3 strain (live, attenuated) not less than 1x10</w:t>
      </w:r>
      <w:r>
        <w:rPr>
          <w:vertAlign w:val="superscript"/>
        </w:rPr>
        <w:t xml:space="preserve">3 </w:t>
      </w:r>
      <w:r>
        <w:t>CCID</w:t>
      </w:r>
      <w:r>
        <w:rPr>
          <w:vertAlign w:val="subscript"/>
        </w:rPr>
        <w:t>50</w:t>
      </w:r>
      <w:r>
        <w:t xml:space="preserve">. </w:t>
      </w:r>
      <w:r>
        <w:rPr>
          <w:vertAlign w:val="superscript"/>
        </w:rPr>
        <w:t>1</w:t>
      </w:r>
      <w:r>
        <w:t xml:space="preserve"> Produced in chick embryo cells, </w:t>
      </w:r>
      <w:r>
        <w:rPr>
          <w:vertAlign w:val="superscript"/>
        </w:rPr>
        <w:t>2</w:t>
      </w:r>
      <w:r>
        <w:t xml:space="preserve"> produced in WI-38 human diploid lung fibroblasts. The vaccine may contain traces of recombinant human albumin (rHA) and trace amount of neomycin. The vaccine contains 14.5 micrograms of sorbitol. </w:t>
      </w:r>
    </w:p>
    <w:p w14:paraId="6DE393E7" w14:textId="77777777" w:rsidR="00CE5AAF" w:rsidRDefault="00E85A33">
      <w:pPr>
        <w:pStyle w:val="Heading3"/>
        <w:spacing w:after="216" w:line="259" w:lineRule="auto"/>
        <w:ind w:left="-5"/>
      </w:pPr>
      <w:r>
        <w:rPr>
          <w:b w:val="0"/>
          <w:u w:val="single" w:color="000000"/>
        </w:rPr>
        <w:t>Measles, mumps and rubella vaccine (live) Priorix</w:t>
      </w:r>
      <w:r>
        <w:rPr>
          <w:b w:val="0"/>
        </w:rPr>
        <w:t xml:space="preserve"> </w:t>
      </w:r>
    </w:p>
    <w:p w14:paraId="4EADF443" w14:textId="77777777" w:rsidR="00CE5AAF" w:rsidRDefault="00E85A33">
      <w:pPr>
        <w:ind w:left="24"/>
      </w:pPr>
      <w:r>
        <w:t>A vaccine developed by GlaxoSmithKline UK. A powder and solvent for injection containing measles, mumps and rubella vaccine (live). After reconstitution each 0.5 ml dose contains: live attenuated measles virus</w:t>
      </w:r>
      <w:r>
        <w:rPr>
          <w:vertAlign w:val="superscript"/>
        </w:rPr>
        <w:t>1</w:t>
      </w:r>
      <w:r>
        <w:t xml:space="preserve"> (Schwarz strain) not less than 10</w:t>
      </w:r>
      <w:r>
        <w:rPr>
          <w:vertAlign w:val="superscript"/>
        </w:rPr>
        <w:t xml:space="preserve">3.0 </w:t>
      </w:r>
      <w:r>
        <w:t>CCID</w:t>
      </w:r>
      <w:r>
        <w:rPr>
          <w:vertAlign w:val="subscript"/>
        </w:rPr>
        <w:t>50</w:t>
      </w:r>
      <w:r>
        <w:rPr>
          <w:vertAlign w:val="superscript"/>
        </w:rPr>
        <w:t>3</w:t>
      </w:r>
      <w:r>
        <w:t>, live attenuated mumps virus</w:t>
      </w:r>
      <w:r>
        <w:rPr>
          <w:vertAlign w:val="superscript"/>
        </w:rPr>
        <w:t>1</w:t>
      </w:r>
      <w:r>
        <w:t xml:space="preserve"> (RIT 4835 strain, derived from Jeryl Lynn strain) not less than 10</w:t>
      </w:r>
      <w:r>
        <w:rPr>
          <w:vertAlign w:val="superscript"/>
        </w:rPr>
        <w:t xml:space="preserve">3.7 </w:t>
      </w:r>
      <w:r>
        <w:t>CCID</w:t>
      </w:r>
      <w:r>
        <w:rPr>
          <w:vertAlign w:val="subscript"/>
        </w:rPr>
        <w:t>50</w:t>
      </w:r>
      <w:r>
        <w:rPr>
          <w:vertAlign w:val="superscript"/>
        </w:rPr>
        <w:t>3</w:t>
      </w:r>
      <w:r>
        <w:t>, live attenuated rubella virus</w:t>
      </w:r>
      <w:r>
        <w:rPr>
          <w:vertAlign w:val="superscript"/>
        </w:rPr>
        <w:t>2</w:t>
      </w:r>
      <w:r>
        <w:t xml:space="preserve"> (Wistar RA 27/3 strain) not less than 10</w:t>
      </w:r>
      <w:r>
        <w:rPr>
          <w:vertAlign w:val="superscript"/>
        </w:rPr>
        <w:t xml:space="preserve">3.0 </w:t>
      </w:r>
      <w:r>
        <w:t>CCID</w:t>
      </w:r>
      <w:r>
        <w:rPr>
          <w:vertAlign w:val="subscript"/>
        </w:rPr>
        <w:t>50</w:t>
      </w:r>
      <w:r>
        <w:rPr>
          <w:vertAlign w:val="superscript"/>
        </w:rPr>
        <w:t>3</w:t>
      </w:r>
      <w:r>
        <w:t xml:space="preserve">. </w:t>
      </w:r>
      <w:r>
        <w:rPr>
          <w:vertAlign w:val="superscript"/>
        </w:rPr>
        <w:t xml:space="preserve">1 </w:t>
      </w:r>
      <w:r>
        <w:t xml:space="preserve">Produced in chick embryo cells, </w:t>
      </w:r>
      <w:r>
        <w:rPr>
          <w:vertAlign w:val="superscript"/>
        </w:rPr>
        <w:t xml:space="preserve">2 </w:t>
      </w:r>
      <w:r>
        <w:t xml:space="preserve">produced in human diploid (MRC-5) cells and </w:t>
      </w:r>
      <w:r>
        <w:rPr>
          <w:vertAlign w:val="superscript"/>
        </w:rPr>
        <w:t xml:space="preserve">3 </w:t>
      </w:r>
      <w:r>
        <w:t xml:space="preserve">cell culture infective dose. The vaccine contains a trace amount of neomycin. </w:t>
      </w:r>
    </w:p>
    <w:p w14:paraId="02808530" w14:textId="77777777" w:rsidR="00CE5AAF" w:rsidRDefault="00E85A33">
      <w:pPr>
        <w:pStyle w:val="Heading3"/>
        <w:spacing w:after="216" w:line="259" w:lineRule="auto"/>
        <w:ind w:left="-5"/>
      </w:pPr>
      <w:r>
        <w:rPr>
          <w:b w:val="0"/>
          <w:u w:val="single" w:color="000000"/>
        </w:rPr>
        <w:t>Pneumococcal polysaccharide conjugate vaccine (Prevenar 13)</w:t>
      </w:r>
      <w:r>
        <w:rPr>
          <w:b w:val="0"/>
        </w:rPr>
        <w:t xml:space="preserve"> </w:t>
      </w:r>
    </w:p>
    <w:p w14:paraId="1782238F" w14:textId="0E8B5943" w:rsidR="00CE5AAF" w:rsidRDefault="00E85A33">
      <w:pPr>
        <w:spacing w:after="17"/>
        <w:ind w:left="24"/>
      </w:pPr>
      <w:r>
        <w:t>A vaccine developed by Pfizer Limited. Prev</w:t>
      </w:r>
      <w:r w:rsidR="00D122B6">
        <w:t>e</w:t>
      </w:r>
      <w:r>
        <w:t>nar 13 is a suspension for injection containing a Pneumococcal polysaccharide conjugate vaccine (13-valent, absorbed). Each 0.5 ml dose contains: Pneumococcal polysaccharide serotype 1</w:t>
      </w:r>
      <w:r>
        <w:rPr>
          <w:vertAlign w:val="superscript"/>
        </w:rPr>
        <w:t>1</w:t>
      </w:r>
      <w:r>
        <w:t xml:space="preserve"> 2.2 micrograms, Pneumococcal polysaccharide serotype 3</w:t>
      </w:r>
      <w:r>
        <w:rPr>
          <w:vertAlign w:val="superscript"/>
        </w:rPr>
        <w:t xml:space="preserve">1 </w:t>
      </w:r>
      <w:r>
        <w:t>2.2 micrograms, Pneumococcal polysaccharide serotype 4</w:t>
      </w:r>
      <w:r>
        <w:rPr>
          <w:vertAlign w:val="superscript"/>
        </w:rPr>
        <w:t xml:space="preserve">1 </w:t>
      </w:r>
      <w:r>
        <w:t>2.2 micrograms, Pneumococcal polysaccharide serotype 5</w:t>
      </w:r>
      <w:r>
        <w:rPr>
          <w:vertAlign w:val="superscript"/>
        </w:rPr>
        <w:t xml:space="preserve">1 </w:t>
      </w:r>
      <w:r>
        <w:t>2.2 micrograms, Pneumococcal polysaccharide serotype 6A</w:t>
      </w:r>
      <w:r>
        <w:rPr>
          <w:vertAlign w:val="superscript"/>
        </w:rPr>
        <w:t>1</w:t>
      </w:r>
      <w:r>
        <w:t>2.2 micrograms</w:t>
      </w:r>
      <w:r>
        <w:rPr>
          <w:vertAlign w:val="superscript"/>
        </w:rPr>
        <w:t xml:space="preserve"> </w:t>
      </w:r>
      <w:r>
        <w:t>, Pneumococcal polysaccharide serotype 6B</w:t>
      </w:r>
      <w:r>
        <w:rPr>
          <w:vertAlign w:val="superscript"/>
        </w:rPr>
        <w:t xml:space="preserve">1 </w:t>
      </w:r>
      <w:r>
        <w:t>4.4 micrograms</w:t>
      </w:r>
      <w:r>
        <w:rPr>
          <w:vertAlign w:val="superscript"/>
        </w:rPr>
        <w:t xml:space="preserve"> </w:t>
      </w:r>
      <w:r>
        <w:t>, Pneumococcal polysaccharide serotype 7F</w:t>
      </w:r>
      <w:r>
        <w:rPr>
          <w:vertAlign w:val="superscript"/>
        </w:rPr>
        <w:t xml:space="preserve">1 </w:t>
      </w:r>
      <w:r>
        <w:t>2.2 micrograms</w:t>
      </w:r>
      <w:r>
        <w:rPr>
          <w:vertAlign w:val="superscript"/>
        </w:rPr>
        <w:t xml:space="preserve"> </w:t>
      </w:r>
      <w:r>
        <w:t>, Pneumococcal polysaccharide serotype 9V</w:t>
      </w:r>
      <w:r>
        <w:rPr>
          <w:vertAlign w:val="superscript"/>
        </w:rPr>
        <w:t xml:space="preserve">1 </w:t>
      </w:r>
      <w:r>
        <w:t>2.2 micrograms, Pneumococcal polysaccharide serotype 14</w:t>
      </w:r>
      <w:r>
        <w:rPr>
          <w:vertAlign w:val="superscript"/>
        </w:rPr>
        <w:t xml:space="preserve">1 </w:t>
      </w:r>
      <w:r>
        <w:t>2.2 micrograms, Pneumococcal polysaccharide serotype 18C</w:t>
      </w:r>
      <w:r>
        <w:rPr>
          <w:vertAlign w:val="superscript"/>
        </w:rPr>
        <w:t xml:space="preserve">1 </w:t>
      </w:r>
      <w:r>
        <w:t>2.2 micrograms, Pneumococcal polysaccharide serotype 19A</w:t>
      </w:r>
      <w:r>
        <w:rPr>
          <w:vertAlign w:val="superscript"/>
        </w:rPr>
        <w:t xml:space="preserve">1 </w:t>
      </w:r>
      <w:r>
        <w:t>2.2 micrograms, Pneumococcal polysaccharide serotype 19F</w:t>
      </w:r>
      <w:r>
        <w:rPr>
          <w:vertAlign w:val="superscript"/>
        </w:rPr>
        <w:t>1</w:t>
      </w:r>
      <w:r>
        <w:t xml:space="preserve">  2.2 micrograms and Pneumococcal polysaccharide serotype 23F</w:t>
      </w:r>
      <w:r>
        <w:rPr>
          <w:vertAlign w:val="superscript"/>
        </w:rPr>
        <w:t xml:space="preserve">1 </w:t>
      </w:r>
      <w:r>
        <w:t xml:space="preserve">2.2 micrograms. </w:t>
      </w:r>
      <w:r>
        <w:rPr>
          <w:vertAlign w:val="superscript"/>
        </w:rPr>
        <w:t xml:space="preserve">1 </w:t>
      </w:r>
      <w:r>
        <w:t>Conjugated to CRM</w:t>
      </w:r>
      <w:r>
        <w:rPr>
          <w:vertAlign w:val="subscript"/>
        </w:rPr>
        <w:t>197</w:t>
      </w:r>
      <w:r>
        <w:t xml:space="preserve"> carrier protein, absorbed on aluminium phosphate. Each 0.5 ml dose contains approximately 32 micrograms CRM</w:t>
      </w:r>
      <w:r>
        <w:rPr>
          <w:vertAlign w:val="subscript"/>
        </w:rPr>
        <w:t>197</w:t>
      </w:r>
      <w:r>
        <w:t xml:space="preserve"> carrier protein and </w:t>
      </w:r>
    </w:p>
    <w:p w14:paraId="769AE35D" w14:textId="77777777" w:rsidR="00CE5AAF" w:rsidRDefault="00E85A33">
      <w:pPr>
        <w:ind w:left="24"/>
      </w:pPr>
      <w:r>
        <w:t xml:space="preserve">0.125 milligrams of aluminium. </w:t>
      </w:r>
    </w:p>
    <w:p w14:paraId="2F116364" w14:textId="408381F6" w:rsidR="00CE5AAF" w:rsidRDefault="00E85A33">
      <w:pPr>
        <w:pStyle w:val="Heading3"/>
        <w:spacing w:after="216" w:line="259" w:lineRule="auto"/>
        <w:ind w:left="-5"/>
      </w:pPr>
      <w:r>
        <w:rPr>
          <w:b w:val="0"/>
          <w:u w:val="single" w:color="000000"/>
        </w:rPr>
        <w:t>Ro</w:t>
      </w:r>
      <w:r w:rsidR="00D122B6">
        <w:rPr>
          <w:b w:val="0"/>
          <w:u w:val="single" w:color="000000"/>
        </w:rPr>
        <w:t>t</w:t>
      </w:r>
      <w:r>
        <w:rPr>
          <w:b w:val="0"/>
          <w:u w:val="single" w:color="000000"/>
        </w:rPr>
        <w:t>avirus vaccine live (Rotarix)</w:t>
      </w:r>
      <w:r>
        <w:rPr>
          <w:b w:val="0"/>
        </w:rPr>
        <w:t xml:space="preserve"> </w:t>
      </w:r>
    </w:p>
    <w:p w14:paraId="491ECFDD" w14:textId="77777777" w:rsidR="00CE5AAF" w:rsidRDefault="00E85A33">
      <w:pPr>
        <w:ind w:left="24"/>
      </w:pPr>
      <w:r>
        <w:t>A vaccine developed by GlaxoSmithKline UK. An oral suspension containing a live rotavirus vaccine. Each 1.5 ml dose contains: human rotavirus RIX4414 strain (live, attenuated)* not less than 10</w:t>
      </w:r>
      <w:r>
        <w:rPr>
          <w:vertAlign w:val="superscript"/>
        </w:rPr>
        <w:t xml:space="preserve">6.0 </w:t>
      </w:r>
      <w:r>
        <w:t>CCID</w:t>
      </w:r>
      <w:r>
        <w:rPr>
          <w:vertAlign w:val="subscript"/>
        </w:rPr>
        <w:t>50</w:t>
      </w:r>
      <w:r>
        <w:t xml:space="preserve">. * Produced on Vero cells. The vaccine contains sucrose 1,073 milligrams. </w:t>
      </w:r>
    </w:p>
    <w:p w14:paraId="3E1937A3" w14:textId="77777777" w:rsidR="00CE5AAF" w:rsidRDefault="00E85A33">
      <w:pPr>
        <w:spacing w:after="290" w:line="259" w:lineRule="auto"/>
        <w:ind w:left="0" w:firstLine="0"/>
        <w:jc w:val="left"/>
      </w:pPr>
      <w:r>
        <w:t xml:space="preserve"> </w:t>
      </w:r>
    </w:p>
    <w:p w14:paraId="687846B3" w14:textId="77777777" w:rsidR="00CE5AAF" w:rsidRDefault="00E85A33">
      <w:pPr>
        <w:pStyle w:val="Heading4"/>
        <w:spacing w:after="13" w:line="265" w:lineRule="auto"/>
        <w:ind w:left="24" w:right="3507"/>
      </w:pPr>
      <w:r>
        <w:rPr>
          <w:sz w:val="22"/>
        </w:rPr>
        <w:t>9.2</w:t>
      </w:r>
      <w:r>
        <w:rPr>
          <w:rFonts w:ascii="Arial" w:eastAsia="Arial" w:hAnsi="Arial" w:cs="Arial"/>
          <w:sz w:val="22"/>
        </w:rPr>
        <w:t xml:space="preserve"> </w:t>
      </w:r>
      <w:r>
        <w:rPr>
          <w:sz w:val="22"/>
        </w:rPr>
        <w:t xml:space="preserve">Storage of IMP </w:t>
      </w:r>
    </w:p>
    <w:p w14:paraId="693D1CBD" w14:textId="77777777" w:rsidR="00CE5AAF" w:rsidRDefault="00E85A33">
      <w:pPr>
        <w:spacing w:after="0" w:line="259" w:lineRule="auto"/>
        <w:ind w:left="0" w:firstLine="0"/>
        <w:jc w:val="left"/>
      </w:pPr>
      <w:r>
        <w:t xml:space="preserve"> </w:t>
      </w:r>
    </w:p>
    <w:p w14:paraId="68846516" w14:textId="77777777" w:rsidR="00CE5AAF" w:rsidRDefault="00E85A33">
      <w:pPr>
        <w:spacing w:after="0" w:line="275" w:lineRule="auto"/>
        <w:ind w:left="-5"/>
        <w:jc w:val="left"/>
      </w:pPr>
      <w:r>
        <w:t xml:space="preserve">Supply of 6 in 1(IH) and the vaccines in the routine schedule will be through the Department of Health.  6 in 1(V) will be supplied by MCM. Vaccines will be stored in 2 – 8 degree Celsius fridges at each study site or in hospital pharmacies, as per local arrangements. All fridges will be temperature monitored.  </w:t>
      </w:r>
    </w:p>
    <w:p w14:paraId="3A26E272" w14:textId="77777777" w:rsidR="00CE5AAF" w:rsidRDefault="00E85A33">
      <w:pPr>
        <w:spacing w:after="0" w:line="259" w:lineRule="auto"/>
        <w:ind w:left="0" w:firstLine="0"/>
        <w:jc w:val="left"/>
      </w:pPr>
      <w:r>
        <w:t xml:space="preserve"> </w:t>
      </w:r>
    </w:p>
    <w:p w14:paraId="00CA0702" w14:textId="77777777" w:rsidR="00CE5AAF" w:rsidRDefault="00E85A33">
      <w:pPr>
        <w:spacing w:after="516"/>
        <w:ind w:left="24"/>
      </w:pPr>
      <w:r>
        <w:t xml:space="preserve">Vaccines will be transported to participants homes or to a suitable and convenient location in ‘cool-boxes’ that are able to maintain temperatures between 2 – 8 degrees Celsius. </w:t>
      </w:r>
    </w:p>
    <w:p w14:paraId="617B982A" w14:textId="77777777" w:rsidR="00CE5AAF" w:rsidRDefault="00E85A33">
      <w:pPr>
        <w:pStyle w:val="Heading4"/>
        <w:spacing w:after="13" w:line="265" w:lineRule="auto"/>
        <w:ind w:left="24" w:right="3507"/>
      </w:pPr>
      <w:r>
        <w:rPr>
          <w:sz w:val="22"/>
        </w:rPr>
        <w:t>9.3</w:t>
      </w:r>
      <w:r>
        <w:rPr>
          <w:rFonts w:ascii="Arial" w:eastAsia="Arial" w:hAnsi="Arial" w:cs="Arial"/>
          <w:sz w:val="22"/>
        </w:rPr>
        <w:t xml:space="preserve"> </w:t>
      </w:r>
      <w:r>
        <w:rPr>
          <w:sz w:val="22"/>
        </w:rPr>
        <w:t xml:space="preserve">Compliance with Trial Treatment </w:t>
      </w:r>
    </w:p>
    <w:p w14:paraId="5D896530" w14:textId="77777777" w:rsidR="00CE5AAF" w:rsidRDefault="00E85A33">
      <w:pPr>
        <w:spacing w:after="16" w:line="259" w:lineRule="auto"/>
        <w:ind w:left="0" w:firstLine="0"/>
        <w:jc w:val="left"/>
      </w:pPr>
      <w:r>
        <w:t xml:space="preserve"> </w:t>
      </w:r>
    </w:p>
    <w:p w14:paraId="7AFBD73F" w14:textId="77777777" w:rsidR="00CE5AAF" w:rsidRDefault="00E85A33">
      <w:pPr>
        <w:spacing w:after="518"/>
        <w:ind w:left="24"/>
      </w:pPr>
      <w:r>
        <w:t xml:space="preserve">The parents/legal guardians will need to ensure ongoing availability and access for study visits to occur in order to comply with the trial. All vaccines in the trial will be administered by trained study staff. </w:t>
      </w:r>
    </w:p>
    <w:p w14:paraId="2A7D92E9" w14:textId="77777777" w:rsidR="00CE5AAF" w:rsidRDefault="00E85A33">
      <w:pPr>
        <w:pStyle w:val="Heading4"/>
        <w:spacing w:after="13" w:line="265" w:lineRule="auto"/>
        <w:ind w:left="24" w:right="3507"/>
      </w:pPr>
      <w:r>
        <w:rPr>
          <w:sz w:val="22"/>
        </w:rPr>
        <w:t>9.4</w:t>
      </w:r>
      <w:r>
        <w:rPr>
          <w:rFonts w:ascii="Arial" w:eastAsia="Arial" w:hAnsi="Arial" w:cs="Arial"/>
          <w:sz w:val="22"/>
        </w:rPr>
        <w:t xml:space="preserve"> </w:t>
      </w:r>
      <w:r>
        <w:rPr>
          <w:sz w:val="22"/>
        </w:rPr>
        <w:t xml:space="preserve">Accountability of the Trial Treatment </w:t>
      </w:r>
    </w:p>
    <w:p w14:paraId="2E79B469" w14:textId="77777777" w:rsidR="00CE5AAF" w:rsidRDefault="00E85A33">
      <w:pPr>
        <w:spacing w:after="0" w:line="259" w:lineRule="auto"/>
        <w:ind w:left="0" w:firstLine="0"/>
        <w:jc w:val="left"/>
      </w:pPr>
      <w:r>
        <w:t xml:space="preserve"> </w:t>
      </w:r>
    </w:p>
    <w:p w14:paraId="0E0AE9BA" w14:textId="77777777" w:rsidR="00CE5AAF" w:rsidRDefault="00E85A33">
      <w:pPr>
        <w:spacing w:after="0" w:line="275" w:lineRule="auto"/>
        <w:ind w:left="-5"/>
        <w:jc w:val="left"/>
      </w:pPr>
      <w:r>
        <w:t xml:space="preserve">6 in 1(IH) and the other standard schedule vaccinations will be ordered through NHS supplies. 6 in 1(V) will be ordered directly from MCM by the individual sites. Accountability will be documented according to local policy and final vaccine accountability will be recorded. </w:t>
      </w:r>
    </w:p>
    <w:p w14:paraId="53B54648" w14:textId="77777777" w:rsidR="00CE5AAF" w:rsidRDefault="00E85A33">
      <w:pPr>
        <w:spacing w:after="12" w:line="259" w:lineRule="auto"/>
        <w:ind w:left="0" w:firstLine="0"/>
        <w:jc w:val="left"/>
      </w:pPr>
      <w:r>
        <w:t xml:space="preserve"> </w:t>
      </w:r>
    </w:p>
    <w:p w14:paraId="6C561D75" w14:textId="77777777" w:rsidR="00CE5AAF" w:rsidRDefault="00E85A33">
      <w:pPr>
        <w:pStyle w:val="Heading4"/>
        <w:spacing w:after="13" w:line="265" w:lineRule="auto"/>
        <w:ind w:left="24" w:right="3507"/>
      </w:pPr>
      <w:r>
        <w:rPr>
          <w:sz w:val="22"/>
        </w:rPr>
        <w:t>9.5</w:t>
      </w:r>
      <w:r>
        <w:rPr>
          <w:rFonts w:ascii="Arial" w:eastAsia="Arial" w:hAnsi="Arial" w:cs="Arial"/>
          <w:sz w:val="22"/>
        </w:rPr>
        <w:t xml:space="preserve"> </w:t>
      </w:r>
      <w:r>
        <w:rPr>
          <w:sz w:val="22"/>
        </w:rPr>
        <w:t xml:space="preserve">Concomitant Medication </w:t>
      </w:r>
    </w:p>
    <w:p w14:paraId="3EB50186" w14:textId="77777777" w:rsidR="00CE5AAF" w:rsidRDefault="00E85A33">
      <w:pPr>
        <w:spacing w:after="16" w:line="259" w:lineRule="auto"/>
        <w:ind w:left="0" w:firstLine="0"/>
        <w:jc w:val="left"/>
      </w:pPr>
      <w:r>
        <w:t xml:space="preserve"> </w:t>
      </w:r>
    </w:p>
    <w:p w14:paraId="41083A6F" w14:textId="101D8A05" w:rsidR="00CE5AAF" w:rsidRDefault="00D122B6">
      <w:pPr>
        <w:spacing w:after="4"/>
        <w:ind w:left="24"/>
      </w:pPr>
      <w:r>
        <w:t>M</w:t>
      </w:r>
      <w:r w:rsidR="00E85A33">
        <w:t xml:space="preserve">edication associated with an AE </w:t>
      </w:r>
      <w:r>
        <w:t xml:space="preserve">(5 days following vaccine administration) </w:t>
      </w:r>
      <w:r w:rsidR="00E85A33">
        <w:t xml:space="preserve">will be recorded in the ediary.   </w:t>
      </w:r>
    </w:p>
    <w:p w14:paraId="73B69C79" w14:textId="77777777" w:rsidR="00CE5AAF" w:rsidRDefault="00E85A33">
      <w:pPr>
        <w:spacing w:after="49" w:line="259" w:lineRule="auto"/>
        <w:ind w:left="0" w:firstLine="0"/>
        <w:jc w:val="left"/>
      </w:pPr>
      <w:r>
        <w:t xml:space="preserve"> </w:t>
      </w:r>
    </w:p>
    <w:p w14:paraId="3F9DBA3B" w14:textId="77777777" w:rsidR="00CE5AAF" w:rsidRDefault="00E85A33">
      <w:pPr>
        <w:spacing w:after="13" w:line="265" w:lineRule="auto"/>
        <w:ind w:left="24" w:right="3507"/>
        <w:jc w:val="left"/>
      </w:pPr>
      <w:r>
        <w:rPr>
          <w:b/>
        </w:rPr>
        <w:t>9.6</w:t>
      </w:r>
      <w:r>
        <w:rPr>
          <w:rFonts w:ascii="Arial" w:eastAsia="Arial" w:hAnsi="Arial" w:cs="Arial"/>
          <w:b/>
        </w:rPr>
        <w:t xml:space="preserve"> </w:t>
      </w:r>
      <w:r>
        <w:rPr>
          <w:b/>
        </w:rPr>
        <w:t xml:space="preserve">Post-trial Treatment </w:t>
      </w:r>
    </w:p>
    <w:p w14:paraId="20FE2F0B" w14:textId="77777777" w:rsidR="00CE5AAF" w:rsidRDefault="00E85A33">
      <w:pPr>
        <w:spacing w:after="19" w:line="259" w:lineRule="auto"/>
        <w:ind w:left="0" w:firstLine="0"/>
        <w:jc w:val="left"/>
      </w:pPr>
      <w:r>
        <w:t xml:space="preserve"> </w:t>
      </w:r>
    </w:p>
    <w:p w14:paraId="525F8905" w14:textId="77777777" w:rsidR="00CE5AAF" w:rsidRDefault="00E85A33">
      <w:pPr>
        <w:spacing w:after="8"/>
        <w:ind w:left="24"/>
      </w:pPr>
      <w:r>
        <w:t xml:space="preserve">There will be no provision of the IMP after the trial has finished.  </w:t>
      </w:r>
    </w:p>
    <w:p w14:paraId="278E15EE" w14:textId="00DCD61D" w:rsidR="00CE5AAF" w:rsidRDefault="00E85A33" w:rsidP="00012A53">
      <w:pPr>
        <w:spacing w:after="218" w:line="259" w:lineRule="auto"/>
        <w:ind w:left="0" w:firstLine="0"/>
        <w:jc w:val="left"/>
      </w:pPr>
      <w:r>
        <w:t xml:space="preserve"> </w:t>
      </w:r>
    </w:p>
    <w:p w14:paraId="3C615D68" w14:textId="77777777" w:rsidR="00012A53" w:rsidRDefault="00012A53">
      <w:pPr>
        <w:spacing w:after="160" w:line="259" w:lineRule="auto"/>
        <w:ind w:left="0" w:firstLine="0"/>
        <w:jc w:val="left"/>
        <w:rPr>
          <w:b/>
        </w:rPr>
      </w:pPr>
      <w:r>
        <w:br w:type="page"/>
      </w:r>
    </w:p>
    <w:p w14:paraId="10EC25D4" w14:textId="7171F8C4" w:rsidR="00CE5AAF" w:rsidRDefault="00E85A33">
      <w:pPr>
        <w:pStyle w:val="Heading2"/>
        <w:spacing w:after="284"/>
        <w:ind w:left="24" w:right="3507"/>
      </w:pPr>
      <w:r>
        <w:t>10</w:t>
      </w:r>
      <w:r>
        <w:rPr>
          <w:rFonts w:ascii="Arial" w:eastAsia="Arial" w:hAnsi="Arial" w:cs="Arial"/>
        </w:rPr>
        <w:t xml:space="preserve"> </w:t>
      </w:r>
      <w:r>
        <w:t xml:space="preserve">SAFETY REPORTING </w:t>
      </w:r>
    </w:p>
    <w:p w14:paraId="4E73EBBD" w14:textId="77777777" w:rsidR="00CE5AAF" w:rsidRDefault="00E85A33">
      <w:pPr>
        <w:pStyle w:val="Heading3"/>
        <w:tabs>
          <w:tab w:val="center" w:pos="1220"/>
        </w:tabs>
        <w:ind w:left="0" w:firstLine="0"/>
      </w:pPr>
      <w:r>
        <w:t>10.1</w:t>
      </w:r>
      <w:r>
        <w:rPr>
          <w:rFonts w:ascii="Arial" w:eastAsia="Arial" w:hAnsi="Arial" w:cs="Arial"/>
        </w:rPr>
        <w:t xml:space="preserve"> </w:t>
      </w:r>
      <w:r>
        <w:rPr>
          <w:rFonts w:ascii="Arial" w:eastAsia="Arial" w:hAnsi="Arial" w:cs="Arial"/>
        </w:rPr>
        <w:tab/>
      </w:r>
      <w:r>
        <w:t xml:space="preserve">Definitions </w:t>
      </w:r>
    </w:p>
    <w:tbl>
      <w:tblPr>
        <w:tblStyle w:val="TableGrid"/>
        <w:tblW w:w="9244" w:type="dxa"/>
        <w:tblInd w:w="5" w:type="dxa"/>
        <w:tblCellMar>
          <w:top w:w="57" w:type="dxa"/>
          <w:left w:w="108" w:type="dxa"/>
          <w:right w:w="58" w:type="dxa"/>
        </w:tblCellMar>
        <w:tblLook w:val="04A0" w:firstRow="1" w:lastRow="0" w:firstColumn="1" w:lastColumn="0" w:noHBand="0" w:noVBand="1"/>
      </w:tblPr>
      <w:tblGrid>
        <w:gridCol w:w="2631"/>
        <w:gridCol w:w="6613"/>
      </w:tblGrid>
      <w:tr w:rsidR="00CE5AAF" w14:paraId="2AA6A125" w14:textId="77777777" w:rsidTr="00012A53">
        <w:trPr>
          <w:trHeight w:val="1176"/>
        </w:trPr>
        <w:tc>
          <w:tcPr>
            <w:tcW w:w="2631" w:type="dxa"/>
            <w:tcBorders>
              <w:top w:val="single" w:sz="4" w:space="0" w:color="000000"/>
              <w:left w:val="single" w:sz="4" w:space="0" w:color="000000"/>
              <w:bottom w:val="single" w:sz="4" w:space="0" w:color="000000"/>
              <w:right w:val="single" w:sz="4" w:space="0" w:color="000000"/>
            </w:tcBorders>
          </w:tcPr>
          <w:p w14:paraId="50279491" w14:textId="77777777" w:rsidR="00CE5AAF" w:rsidRDefault="00E85A33">
            <w:pPr>
              <w:spacing w:after="0" w:line="259" w:lineRule="auto"/>
              <w:ind w:left="0" w:firstLine="0"/>
              <w:jc w:val="left"/>
            </w:pPr>
            <w:r>
              <w:t xml:space="preserve">Adverse Event (AE) </w:t>
            </w:r>
          </w:p>
        </w:tc>
        <w:tc>
          <w:tcPr>
            <w:tcW w:w="6613" w:type="dxa"/>
            <w:tcBorders>
              <w:top w:val="single" w:sz="4" w:space="0" w:color="000000"/>
              <w:left w:val="single" w:sz="4" w:space="0" w:color="000000"/>
              <w:bottom w:val="single" w:sz="4" w:space="0" w:color="000000"/>
              <w:right w:val="single" w:sz="4" w:space="0" w:color="000000"/>
            </w:tcBorders>
            <w:vAlign w:val="center"/>
          </w:tcPr>
          <w:p w14:paraId="197B4F87" w14:textId="77777777" w:rsidR="00CE5AAF" w:rsidRDefault="00E85A33">
            <w:pPr>
              <w:spacing w:after="0" w:line="259" w:lineRule="auto"/>
              <w:ind w:left="0" w:right="47" w:firstLine="0"/>
            </w:pPr>
            <w:r>
              <w:t xml:space="preserve">Any untoward medical occurrence in a participant to whom a medicinal product has been administered, including occurrences which are not necessarily caused by or related to that product. </w:t>
            </w:r>
          </w:p>
        </w:tc>
      </w:tr>
      <w:tr w:rsidR="00CE5AAF" w14:paraId="38061D76" w14:textId="77777777" w:rsidTr="00012A53">
        <w:trPr>
          <w:trHeight w:val="3269"/>
        </w:trPr>
        <w:tc>
          <w:tcPr>
            <w:tcW w:w="2631" w:type="dxa"/>
            <w:tcBorders>
              <w:top w:val="single" w:sz="4" w:space="0" w:color="000000"/>
              <w:left w:val="single" w:sz="4" w:space="0" w:color="000000"/>
              <w:bottom w:val="single" w:sz="4" w:space="0" w:color="000000"/>
              <w:right w:val="single" w:sz="4" w:space="0" w:color="000000"/>
            </w:tcBorders>
          </w:tcPr>
          <w:p w14:paraId="5580DDA2" w14:textId="77777777" w:rsidR="00CE5AAF" w:rsidRDefault="00E85A33">
            <w:pPr>
              <w:spacing w:after="139" w:line="259" w:lineRule="auto"/>
              <w:ind w:left="0" w:firstLine="0"/>
              <w:jc w:val="left"/>
            </w:pPr>
            <w:r>
              <w:t xml:space="preserve">Adverse Reaction (AR) </w:t>
            </w:r>
          </w:p>
          <w:p w14:paraId="4BC37DD9" w14:textId="77777777" w:rsidR="00CE5AAF" w:rsidRDefault="00E85A33">
            <w:pPr>
              <w:spacing w:after="0" w:line="259" w:lineRule="auto"/>
              <w:ind w:left="0" w:firstLine="0"/>
              <w:jc w:val="left"/>
            </w:pPr>
            <w:r>
              <w:t xml:space="preserve"> </w:t>
            </w:r>
          </w:p>
        </w:tc>
        <w:tc>
          <w:tcPr>
            <w:tcW w:w="6613" w:type="dxa"/>
            <w:tcBorders>
              <w:top w:val="single" w:sz="4" w:space="0" w:color="000000"/>
              <w:left w:val="single" w:sz="4" w:space="0" w:color="000000"/>
              <w:bottom w:val="single" w:sz="4" w:space="0" w:color="000000"/>
              <w:right w:val="single" w:sz="4" w:space="0" w:color="000000"/>
            </w:tcBorders>
            <w:vAlign w:val="center"/>
          </w:tcPr>
          <w:p w14:paraId="25BFBA30" w14:textId="77777777" w:rsidR="00CE5AAF" w:rsidRDefault="00E85A33">
            <w:pPr>
              <w:spacing w:after="118" w:line="276" w:lineRule="auto"/>
              <w:ind w:left="0" w:right="47" w:firstLine="0"/>
            </w:pPr>
            <w:r>
              <w:t xml:space="preserve">An untoward and unintended response in a participant to an investigational medicinal product which is related to any dose administered to that participant. </w:t>
            </w:r>
          </w:p>
          <w:p w14:paraId="47567A6F" w14:textId="77777777" w:rsidR="00CE5AAF" w:rsidRDefault="00E85A33">
            <w:pPr>
              <w:spacing w:after="118" w:line="276" w:lineRule="auto"/>
              <w:ind w:left="0" w:right="48" w:firstLine="0"/>
            </w:pPr>
            <w:r>
              <w:t xml:space="preserve">The phrase "response to an investigational medicinal product" means that a causal relationship between a trial medication and an AE is at least a reasonable possibility, i.e. the relationship cannot be ruled out. </w:t>
            </w:r>
          </w:p>
          <w:p w14:paraId="5BA3DA9A" w14:textId="77777777" w:rsidR="00CE5AAF" w:rsidRDefault="00E85A33">
            <w:pPr>
              <w:spacing w:after="0" w:line="259" w:lineRule="auto"/>
              <w:ind w:left="0" w:right="48" w:firstLine="0"/>
            </w:pPr>
            <w:r>
              <w:t xml:space="preserve">All cases judged by either the reporting medically qualified professional or the Sponsor as having a reasonable suspected causal relationship to the trial medication qualify as adverse reactions. </w:t>
            </w:r>
          </w:p>
        </w:tc>
      </w:tr>
      <w:tr w:rsidR="00CE5AAF" w14:paraId="76725816" w14:textId="77777777" w:rsidTr="00012A53">
        <w:trPr>
          <w:trHeight w:val="5612"/>
        </w:trPr>
        <w:tc>
          <w:tcPr>
            <w:tcW w:w="2631" w:type="dxa"/>
            <w:tcBorders>
              <w:top w:val="single" w:sz="4" w:space="0" w:color="000000"/>
              <w:left w:val="single" w:sz="4" w:space="0" w:color="000000"/>
              <w:bottom w:val="single" w:sz="4" w:space="0" w:color="000000"/>
              <w:right w:val="single" w:sz="4" w:space="0" w:color="000000"/>
            </w:tcBorders>
          </w:tcPr>
          <w:p w14:paraId="5DA517B3" w14:textId="77777777" w:rsidR="00CE5AAF" w:rsidRDefault="00E85A33">
            <w:pPr>
              <w:tabs>
                <w:tab w:val="center" w:pos="1284"/>
                <w:tab w:val="right" w:pos="2464"/>
              </w:tabs>
              <w:spacing w:after="16" w:line="259" w:lineRule="auto"/>
              <w:ind w:left="0" w:firstLine="0"/>
              <w:jc w:val="left"/>
            </w:pPr>
            <w:r>
              <w:t xml:space="preserve">Serious </w:t>
            </w:r>
            <w:r>
              <w:tab/>
              <w:t xml:space="preserve">Adverse </w:t>
            </w:r>
            <w:r>
              <w:tab/>
              <w:t xml:space="preserve">Event </w:t>
            </w:r>
          </w:p>
          <w:p w14:paraId="218B1415" w14:textId="77777777" w:rsidR="00CE5AAF" w:rsidRDefault="00E85A33">
            <w:pPr>
              <w:spacing w:after="0" w:line="259" w:lineRule="auto"/>
              <w:ind w:left="0" w:firstLine="0"/>
              <w:jc w:val="left"/>
            </w:pPr>
            <w:r>
              <w:t xml:space="preserve">(SAE) </w:t>
            </w:r>
          </w:p>
        </w:tc>
        <w:tc>
          <w:tcPr>
            <w:tcW w:w="6613" w:type="dxa"/>
            <w:tcBorders>
              <w:top w:val="single" w:sz="4" w:space="0" w:color="000000"/>
              <w:left w:val="single" w:sz="4" w:space="0" w:color="000000"/>
              <w:bottom w:val="single" w:sz="4" w:space="0" w:color="000000"/>
              <w:right w:val="single" w:sz="4" w:space="0" w:color="000000"/>
            </w:tcBorders>
            <w:vAlign w:val="center"/>
          </w:tcPr>
          <w:p w14:paraId="6F8E2C3D" w14:textId="77777777" w:rsidR="00CE5AAF" w:rsidRDefault="00E85A33">
            <w:pPr>
              <w:spacing w:after="182" w:line="259" w:lineRule="auto"/>
              <w:ind w:left="0" w:firstLine="0"/>
              <w:jc w:val="left"/>
            </w:pPr>
            <w:r>
              <w:t xml:space="preserve">A serious adverse event is any untoward medical occurrence that: </w:t>
            </w:r>
          </w:p>
          <w:p w14:paraId="3C440C5B" w14:textId="77777777" w:rsidR="00CE5AAF" w:rsidRDefault="00E85A33">
            <w:pPr>
              <w:numPr>
                <w:ilvl w:val="0"/>
                <w:numId w:val="19"/>
              </w:numPr>
              <w:spacing w:after="39" w:line="259" w:lineRule="auto"/>
              <w:ind w:hanging="286"/>
              <w:jc w:val="left"/>
            </w:pPr>
            <w:r>
              <w:t xml:space="preserve">results in death </w:t>
            </w:r>
          </w:p>
          <w:p w14:paraId="199AE3FD" w14:textId="77777777" w:rsidR="00CE5AAF" w:rsidRDefault="00E85A33">
            <w:pPr>
              <w:numPr>
                <w:ilvl w:val="0"/>
                <w:numId w:val="19"/>
              </w:numPr>
              <w:spacing w:after="37" w:line="259" w:lineRule="auto"/>
              <w:ind w:hanging="286"/>
              <w:jc w:val="left"/>
            </w:pPr>
            <w:r>
              <w:t xml:space="preserve">is life-threatening </w:t>
            </w:r>
          </w:p>
          <w:p w14:paraId="66292E16" w14:textId="77777777" w:rsidR="00CE5AAF" w:rsidRDefault="00E85A33">
            <w:pPr>
              <w:numPr>
                <w:ilvl w:val="0"/>
                <w:numId w:val="19"/>
              </w:numPr>
              <w:spacing w:after="46" w:line="276" w:lineRule="auto"/>
              <w:ind w:hanging="286"/>
              <w:jc w:val="left"/>
            </w:pPr>
            <w:r>
              <w:t xml:space="preserve">requires inpatient hospitalisation or prolongation of existing hospitalisation </w:t>
            </w:r>
          </w:p>
          <w:p w14:paraId="570E6C6B" w14:textId="77777777" w:rsidR="00012A53" w:rsidRPr="00C54D53" w:rsidRDefault="00E85A33">
            <w:pPr>
              <w:numPr>
                <w:ilvl w:val="0"/>
                <w:numId w:val="19"/>
              </w:numPr>
              <w:spacing w:after="76" w:line="289" w:lineRule="auto"/>
              <w:ind w:hanging="286"/>
              <w:jc w:val="left"/>
            </w:pPr>
            <w:r>
              <w:t xml:space="preserve">results in persistent or significant disability/incapacity </w:t>
            </w:r>
          </w:p>
          <w:p w14:paraId="54D9DF47" w14:textId="330EBA80" w:rsidR="00CE5AAF" w:rsidRDefault="00E85A33">
            <w:pPr>
              <w:numPr>
                <w:ilvl w:val="0"/>
                <w:numId w:val="19"/>
              </w:numPr>
              <w:spacing w:after="76" w:line="289" w:lineRule="auto"/>
              <w:ind w:hanging="286"/>
              <w:jc w:val="left"/>
            </w:pPr>
            <w:r>
              <w:rPr>
                <w:rFonts w:ascii="Arial" w:eastAsia="Arial" w:hAnsi="Arial" w:cs="Arial"/>
              </w:rPr>
              <w:t xml:space="preserve"> </w:t>
            </w:r>
            <w:r>
              <w:t xml:space="preserve">consists of a congenital anomaly or birth defect. </w:t>
            </w:r>
          </w:p>
          <w:p w14:paraId="4557861A" w14:textId="77777777" w:rsidR="00CE5AAF" w:rsidRDefault="00E85A33">
            <w:pPr>
              <w:spacing w:after="118" w:line="275" w:lineRule="auto"/>
              <w:ind w:left="0" w:right="49" w:firstLine="0"/>
            </w:pPr>
            <w:r>
              <w:t xml:space="preserve">Other ‘important medical events’ may also be considered serious if they jeopardise the participant or require an intervention to prevent one of the above consequences. Planned hospitalisations for management of pre-existing conditions need not be reported as an SAE unless this condition has deteriorated during the course of the study. </w:t>
            </w:r>
          </w:p>
          <w:p w14:paraId="49C06F15" w14:textId="77777777" w:rsidR="00CE5AAF" w:rsidRDefault="00E85A33">
            <w:pPr>
              <w:spacing w:after="0" w:line="259" w:lineRule="auto"/>
              <w:ind w:left="0" w:right="50" w:firstLine="0"/>
            </w:pPr>
            <w:r>
              <w:t xml:space="preserve">NOTE: The term "life-threatening" in the definition of "serious" refers to an event in which the participant was at risk of death at the time of the event; it does not refer to an event which hypothetically might have caused death if it were more severe. </w:t>
            </w:r>
          </w:p>
        </w:tc>
      </w:tr>
      <w:tr w:rsidR="00CE5AAF" w14:paraId="7D3D6D3A" w14:textId="77777777" w:rsidTr="00C54D53">
        <w:trPr>
          <w:trHeight w:val="1177"/>
        </w:trPr>
        <w:tc>
          <w:tcPr>
            <w:tcW w:w="2631" w:type="dxa"/>
            <w:tcBorders>
              <w:top w:val="single" w:sz="4" w:space="0" w:color="000000"/>
              <w:left w:val="single" w:sz="4" w:space="0" w:color="000000"/>
              <w:bottom w:val="single" w:sz="4" w:space="0" w:color="000000"/>
              <w:right w:val="single" w:sz="4" w:space="0" w:color="000000"/>
            </w:tcBorders>
          </w:tcPr>
          <w:p w14:paraId="1BAA2D92" w14:textId="77777777" w:rsidR="00CE5AAF" w:rsidRDefault="00E85A33">
            <w:pPr>
              <w:spacing w:after="19" w:line="259" w:lineRule="auto"/>
              <w:ind w:left="0" w:firstLine="0"/>
              <w:jc w:val="left"/>
            </w:pPr>
            <w:r>
              <w:t xml:space="preserve">Serious Adverse Reaction </w:t>
            </w:r>
          </w:p>
          <w:p w14:paraId="6AA2EAF7" w14:textId="77777777" w:rsidR="00CE5AAF" w:rsidRDefault="00E85A33">
            <w:pPr>
              <w:spacing w:after="0" w:line="259" w:lineRule="auto"/>
              <w:ind w:left="0" w:firstLine="0"/>
              <w:jc w:val="left"/>
            </w:pPr>
            <w:r>
              <w:t xml:space="preserve">(SAR) </w:t>
            </w:r>
          </w:p>
        </w:tc>
        <w:tc>
          <w:tcPr>
            <w:tcW w:w="6613" w:type="dxa"/>
            <w:tcBorders>
              <w:top w:val="single" w:sz="4" w:space="0" w:color="000000"/>
              <w:left w:val="single" w:sz="4" w:space="0" w:color="000000"/>
              <w:bottom w:val="single" w:sz="4" w:space="0" w:color="000000"/>
              <w:right w:val="single" w:sz="4" w:space="0" w:color="000000"/>
            </w:tcBorders>
            <w:vAlign w:val="center"/>
          </w:tcPr>
          <w:p w14:paraId="071CF707" w14:textId="77777777" w:rsidR="00CE5AAF" w:rsidRDefault="00E85A33">
            <w:pPr>
              <w:spacing w:after="0" w:line="259" w:lineRule="auto"/>
              <w:ind w:left="0" w:right="47" w:firstLine="0"/>
            </w:pPr>
            <w:r>
              <w:t xml:space="preserve">An adverse event that is both serious and, in the opinion of the reporting Investigator, believed with reasonable probability to be due to one of the trial treatments, based on the information provided. </w:t>
            </w:r>
          </w:p>
        </w:tc>
      </w:tr>
      <w:tr w:rsidR="00012A53" w14:paraId="551D0E41" w14:textId="77777777" w:rsidTr="00C54D53">
        <w:trPr>
          <w:trHeight w:val="2600"/>
        </w:trPr>
        <w:tc>
          <w:tcPr>
            <w:tcW w:w="2631" w:type="dxa"/>
            <w:tcBorders>
              <w:top w:val="single" w:sz="4" w:space="0" w:color="000000"/>
              <w:left w:val="single" w:sz="4" w:space="0" w:color="000000"/>
              <w:bottom w:val="single" w:sz="4" w:space="0" w:color="auto"/>
              <w:right w:val="single" w:sz="4" w:space="0" w:color="000000"/>
            </w:tcBorders>
          </w:tcPr>
          <w:p w14:paraId="38945849" w14:textId="77777777" w:rsidR="00012A53" w:rsidRDefault="00012A53">
            <w:pPr>
              <w:spacing w:after="0" w:line="276" w:lineRule="auto"/>
              <w:ind w:left="0" w:firstLine="0"/>
            </w:pPr>
            <w:r>
              <w:t xml:space="preserve">Suspected Unexpected Serious Adverse Reaction </w:t>
            </w:r>
          </w:p>
          <w:p w14:paraId="2E0BB912" w14:textId="77777777" w:rsidR="00012A53" w:rsidRDefault="00012A53">
            <w:pPr>
              <w:spacing w:after="0" w:line="259" w:lineRule="auto"/>
              <w:ind w:left="0" w:firstLine="0"/>
              <w:jc w:val="left"/>
            </w:pPr>
            <w:r>
              <w:t xml:space="preserve">(SUSAR) </w:t>
            </w:r>
          </w:p>
        </w:tc>
        <w:tc>
          <w:tcPr>
            <w:tcW w:w="6613" w:type="dxa"/>
            <w:tcBorders>
              <w:top w:val="single" w:sz="4" w:space="0" w:color="000000"/>
              <w:left w:val="single" w:sz="4" w:space="0" w:color="000000"/>
              <w:bottom w:val="single" w:sz="4" w:space="0" w:color="auto"/>
              <w:right w:val="single" w:sz="4" w:space="0" w:color="000000"/>
            </w:tcBorders>
            <w:vAlign w:val="bottom"/>
          </w:tcPr>
          <w:p w14:paraId="12C7A522" w14:textId="77777777" w:rsidR="00012A53" w:rsidRDefault="00012A53">
            <w:pPr>
              <w:spacing w:after="164" w:line="276" w:lineRule="auto"/>
              <w:ind w:left="0" w:right="49" w:firstLine="0"/>
            </w:pPr>
            <w:r>
              <w:t xml:space="preserve">A serious adverse reaction, the nature and severity of which is not consistent with the information about the medicinal product in question set out: </w:t>
            </w:r>
          </w:p>
          <w:p w14:paraId="4A509151" w14:textId="5EC6E7CC" w:rsidR="00012A53" w:rsidRDefault="00012A53" w:rsidP="00C54D53">
            <w:pPr>
              <w:pStyle w:val="ListParagraph"/>
              <w:numPr>
                <w:ilvl w:val="0"/>
                <w:numId w:val="25"/>
              </w:numPr>
              <w:spacing w:after="0" w:line="259" w:lineRule="auto"/>
            </w:pPr>
            <w:r>
              <w:t xml:space="preserve">in the case of a product with a marketing authorisation, in the summary of product characteristics (SmPC) for that product </w:t>
            </w:r>
          </w:p>
          <w:p w14:paraId="1016C8AB" w14:textId="07DFF655" w:rsidR="00012A53" w:rsidRDefault="00012A53" w:rsidP="00C54D53">
            <w:pPr>
              <w:pStyle w:val="ListParagraph"/>
              <w:numPr>
                <w:ilvl w:val="0"/>
                <w:numId w:val="25"/>
              </w:numPr>
              <w:spacing w:after="0" w:line="259" w:lineRule="auto"/>
            </w:pPr>
            <w:r>
              <w:t xml:space="preserve">in the case of any other investigational medicinal product, in the investigator’s brochure (IB) relating to the trial in question. </w:t>
            </w:r>
          </w:p>
        </w:tc>
      </w:tr>
    </w:tbl>
    <w:p w14:paraId="5049C07D" w14:textId="77777777" w:rsidR="00CE5AAF" w:rsidRDefault="00E85A33">
      <w:pPr>
        <w:spacing w:after="215" w:line="259" w:lineRule="auto"/>
        <w:ind w:left="0" w:firstLine="0"/>
        <w:jc w:val="left"/>
      </w:pPr>
      <w:r>
        <w:t xml:space="preserve"> </w:t>
      </w:r>
    </w:p>
    <w:p w14:paraId="386A515B" w14:textId="77777777" w:rsidR="00CE5AAF" w:rsidRDefault="00E85A33">
      <w:pPr>
        <w:spacing w:after="515"/>
        <w:ind w:left="24"/>
      </w:pPr>
      <w:r>
        <w:t xml:space="preserve">NB: to avoid confusion or misunderstanding of the difference between the terms “serious” and “severe”, the following note of clarification is provided: “Severe” is often used to describe intensity of a specific event, which </w:t>
      </w:r>
      <w:r>
        <w:rPr>
          <w:u w:val="single" w:color="000000"/>
        </w:rPr>
        <w:t>may</w:t>
      </w:r>
      <w:r>
        <w:t xml:space="preserve"> be of relatively minor medical significance. “Seriousness” is the regulatory definition supplied above. </w:t>
      </w:r>
    </w:p>
    <w:p w14:paraId="61BFD0A5" w14:textId="77777777" w:rsidR="00CE5AAF" w:rsidRDefault="00E85A33">
      <w:pPr>
        <w:pStyle w:val="Heading3"/>
        <w:tabs>
          <w:tab w:val="center" w:pos="1135"/>
        </w:tabs>
        <w:ind w:left="0" w:firstLine="0"/>
      </w:pPr>
      <w:r>
        <w:t>10.2</w:t>
      </w:r>
      <w:r>
        <w:rPr>
          <w:rFonts w:ascii="Arial" w:eastAsia="Arial" w:hAnsi="Arial" w:cs="Arial"/>
        </w:rPr>
        <w:t xml:space="preserve"> </w:t>
      </w:r>
      <w:r>
        <w:rPr>
          <w:rFonts w:ascii="Arial" w:eastAsia="Arial" w:hAnsi="Arial" w:cs="Arial"/>
        </w:rPr>
        <w:tab/>
      </w:r>
      <w:r>
        <w:t xml:space="preserve">Causality </w:t>
      </w:r>
    </w:p>
    <w:p w14:paraId="16B439D0" w14:textId="77777777" w:rsidR="00CE5AAF" w:rsidRDefault="00E85A33">
      <w:pPr>
        <w:spacing w:after="16" w:line="259" w:lineRule="auto"/>
        <w:ind w:left="0" w:firstLine="0"/>
        <w:jc w:val="left"/>
      </w:pPr>
      <w:r>
        <w:t xml:space="preserve"> </w:t>
      </w:r>
    </w:p>
    <w:p w14:paraId="1B1A9B4F" w14:textId="77777777" w:rsidR="00CE5AAF" w:rsidRDefault="00E85A33">
      <w:pPr>
        <w:ind w:left="24"/>
      </w:pPr>
      <w:r>
        <w:t xml:space="preserve">The relationship of each adverse event to the trial medication must be determined by a medically qualified individual according to the following definitions: </w:t>
      </w:r>
    </w:p>
    <w:p w14:paraId="66C4E8C2" w14:textId="77777777" w:rsidR="00CE5AAF" w:rsidRDefault="00E85A33">
      <w:pPr>
        <w:ind w:left="24"/>
      </w:pPr>
      <w:r>
        <w:rPr>
          <w:b/>
        </w:rPr>
        <w:t>Related</w:t>
      </w:r>
      <w:r>
        <w:t xml:space="preserve">: The adverse event follows a reasonable temporal sequence from trial medication administration. It cannot reasonably be attributed to any other cause. </w:t>
      </w:r>
    </w:p>
    <w:p w14:paraId="2B224A1F" w14:textId="77777777" w:rsidR="00CE5AAF" w:rsidRDefault="00E85A33">
      <w:pPr>
        <w:spacing w:after="516"/>
        <w:ind w:left="24"/>
      </w:pPr>
      <w:r>
        <w:rPr>
          <w:b/>
        </w:rPr>
        <w:t>Not Related</w:t>
      </w:r>
      <w:r>
        <w:t xml:space="preserve">: The adverse event is probably produced by the participant’s clinical state or by other modes of therapy administered to the participant. </w:t>
      </w:r>
    </w:p>
    <w:p w14:paraId="5D825376" w14:textId="77777777" w:rsidR="00CE5AAF" w:rsidRDefault="00E85A33">
      <w:pPr>
        <w:pStyle w:val="Heading3"/>
        <w:tabs>
          <w:tab w:val="center" w:pos="2599"/>
        </w:tabs>
        <w:ind w:left="0" w:firstLine="0"/>
      </w:pPr>
      <w:r>
        <w:t>10.3</w:t>
      </w:r>
      <w:r>
        <w:rPr>
          <w:rFonts w:ascii="Arial" w:eastAsia="Arial" w:hAnsi="Arial" w:cs="Arial"/>
        </w:rPr>
        <w:t xml:space="preserve"> </w:t>
      </w:r>
      <w:r>
        <w:rPr>
          <w:rFonts w:ascii="Arial" w:eastAsia="Arial" w:hAnsi="Arial" w:cs="Arial"/>
        </w:rPr>
        <w:tab/>
      </w:r>
      <w:r>
        <w:t xml:space="preserve">Procedures for Recording Adverse Events </w:t>
      </w:r>
    </w:p>
    <w:p w14:paraId="6BC8CBA7" w14:textId="77777777" w:rsidR="00CE5AAF" w:rsidRDefault="00E85A33">
      <w:pPr>
        <w:spacing w:after="16" w:line="259" w:lineRule="auto"/>
        <w:ind w:left="0" w:firstLine="0"/>
        <w:jc w:val="left"/>
      </w:pPr>
      <w:r>
        <w:t xml:space="preserve"> </w:t>
      </w:r>
    </w:p>
    <w:p w14:paraId="1139B431" w14:textId="77777777" w:rsidR="00CE5AAF" w:rsidRDefault="00E85A33">
      <w:pPr>
        <w:ind w:left="24"/>
      </w:pPr>
      <w:r>
        <w:t xml:space="preserve">All AEs that occur within 5 days of a vaccination visit and all SAEs that occur during the study that are observed by the Investigator or reported by the participant’s parent/guardian, will be recorded on the CRF, whether or not attributed to trial vaccines. </w:t>
      </w:r>
    </w:p>
    <w:p w14:paraId="6DC26C47" w14:textId="35F9CD9B" w:rsidR="00CE5AAF" w:rsidRDefault="00E85A33">
      <w:pPr>
        <w:ind w:left="24"/>
      </w:pPr>
      <w:r>
        <w:t xml:space="preserve">The following information will be recorded: description, date of onset and end date, severity, assessment of relatedness to trial medication.  Follow-up information should be provided as necessary. </w:t>
      </w:r>
    </w:p>
    <w:p w14:paraId="56C0CDA3" w14:textId="77777777" w:rsidR="00CE5AAF" w:rsidRDefault="00E85A33">
      <w:pPr>
        <w:ind w:left="24"/>
      </w:pPr>
      <w:r>
        <w:t xml:space="preserve">The severity of events will be assessed on the following scale:  1 = mild, 2 = moderate, 3 = severe. </w:t>
      </w:r>
    </w:p>
    <w:p w14:paraId="3D9DCB25" w14:textId="77777777" w:rsidR="00CE5AAF" w:rsidRDefault="00E85A33">
      <w:pPr>
        <w:ind w:left="24"/>
      </w:pPr>
      <w:r>
        <w:t xml:space="preserve">SAEs considered related to the trial medication as judged by a medically qualified investigator or the Sponsor will be followed either until resolution, or the event is considered stable. </w:t>
      </w:r>
    </w:p>
    <w:p w14:paraId="6987179E" w14:textId="77777777" w:rsidR="00CE5AAF" w:rsidRDefault="00E85A33">
      <w:pPr>
        <w:spacing w:after="516"/>
        <w:ind w:left="24"/>
      </w:pPr>
      <w:r>
        <w:t xml:space="preserve">It will be left to the Investigator’s clinical judgment to decide whether or not an AE is of sufficient severity to require the participant’s removal from treatment. The parents/legal guardians of participants may also voluntarily withdraw from treatment due to what they perceive as an intolerable AE.  If either of these occurs, the participant must undergo an end of trial assessment and be given appropriate care under medical supervision until symptoms cease, or the condition becomes stable. </w:t>
      </w:r>
    </w:p>
    <w:p w14:paraId="7EA1E5AE" w14:textId="77777777" w:rsidR="00CE5AAF" w:rsidRDefault="00E85A33">
      <w:pPr>
        <w:pStyle w:val="Heading3"/>
        <w:tabs>
          <w:tab w:val="center" w:pos="2952"/>
        </w:tabs>
        <w:ind w:left="0" w:firstLine="0"/>
      </w:pPr>
      <w:r>
        <w:t>10.4</w:t>
      </w:r>
      <w:r>
        <w:rPr>
          <w:rFonts w:ascii="Arial" w:eastAsia="Arial" w:hAnsi="Arial" w:cs="Arial"/>
        </w:rPr>
        <w:t xml:space="preserve"> </w:t>
      </w:r>
      <w:r>
        <w:rPr>
          <w:rFonts w:ascii="Arial" w:eastAsia="Arial" w:hAnsi="Arial" w:cs="Arial"/>
        </w:rPr>
        <w:tab/>
      </w:r>
      <w:r>
        <w:t xml:space="preserve">Reporting Procedures for Serious Adverse Events </w:t>
      </w:r>
    </w:p>
    <w:p w14:paraId="23F549E3" w14:textId="77777777" w:rsidR="00CE5AAF" w:rsidRDefault="00E85A33">
      <w:pPr>
        <w:spacing w:after="19" w:line="259" w:lineRule="auto"/>
        <w:ind w:left="0" w:firstLine="0"/>
        <w:jc w:val="left"/>
      </w:pPr>
      <w:r>
        <w:t xml:space="preserve"> </w:t>
      </w:r>
    </w:p>
    <w:p w14:paraId="14203EBE" w14:textId="4B518C06" w:rsidR="00CE5AAF" w:rsidRDefault="00E85A33">
      <w:pPr>
        <w:spacing w:after="515"/>
        <w:ind w:left="24"/>
      </w:pPr>
      <w:r>
        <w:t xml:space="preserve">All SAEs (other than those defined in the protocol as not requiring reporting) must be reported on the Oxford Vaccine Group SAE reporting form and emailed to the Chief Investigator within 24 hours of the site study team becoming aware of the event.  The CI or delegate within the OVG will perform an initial check of the report, request any additional information. OVG will forward the SAE form to the Sponsor (CTRG) via the safety reporting mailbox for review by the Medical Monitor and Trial Safety Group.  Additional and further requested information (follow-up or corrections to the original case) will be detailed on a new SAE Report Form and emailed to CI or delegate within the OVG who will review and forward updated information to the Sponsor (CTRG).  SAEs experienced by participants receiving 6 in 1-V will also be reported to MCM on the same form by the CI or delegate.  </w:t>
      </w:r>
    </w:p>
    <w:p w14:paraId="3413B81F" w14:textId="77777777" w:rsidR="00CE5AAF" w:rsidRDefault="00E85A33">
      <w:pPr>
        <w:pStyle w:val="Heading3"/>
        <w:tabs>
          <w:tab w:val="center" w:pos="1340"/>
        </w:tabs>
        <w:ind w:left="0" w:firstLine="0"/>
      </w:pPr>
      <w:r>
        <w:t>10.5</w:t>
      </w:r>
      <w:r>
        <w:rPr>
          <w:rFonts w:ascii="Arial" w:eastAsia="Arial" w:hAnsi="Arial" w:cs="Arial"/>
        </w:rPr>
        <w:t xml:space="preserve"> </w:t>
      </w:r>
      <w:r>
        <w:rPr>
          <w:rFonts w:ascii="Arial" w:eastAsia="Arial" w:hAnsi="Arial" w:cs="Arial"/>
        </w:rPr>
        <w:tab/>
      </w:r>
      <w:r>
        <w:t xml:space="preserve">Expectedness </w:t>
      </w:r>
    </w:p>
    <w:p w14:paraId="738B4078" w14:textId="77777777" w:rsidR="00CE5AAF" w:rsidRDefault="00E85A33">
      <w:pPr>
        <w:spacing w:after="515"/>
        <w:ind w:left="24"/>
      </w:pPr>
      <w:r>
        <w:t xml:space="preserve">Expectedness will be determined according to the approved RSI within the Summary of Product Characteristics. The local PI will assess relatedness, but the CI or delegate will assess expectedness (as delegated by the Sponsor to the CI).   </w:t>
      </w:r>
    </w:p>
    <w:p w14:paraId="4035392D" w14:textId="77777777" w:rsidR="00CE5AAF" w:rsidRDefault="00E85A33">
      <w:pPr>
        <w:pStyle w:val="Heading3"/>
        <w:tabs>
          <w:tab w:val="center" w:pos="1501"/>
        </w:tabs>
        <w:ind w:left="0" w:firstLine="0"/>
      </w:pPr>
      <w:r>
        <w:t>10.6</w:t>
      </w:r>
      <w:r>
        <w:rPr>
          <w:rFonts w:ascii="Arial" w:eastAsia="Arial" w:hAnsi="Arial" w:cs="Arial"/>
        </w:rPr>
        <w:t xml:space="preserve"> </w:t>
      </w:r>
      <w:r>
        <w:rPr>
          <w:rFonts w:ascii="Arial" w:eastAsia="Arial" w:hAnsi="Arial" w:cs="Arial"/>
        </w:rPr>
        <w:tab/>
      </w:r>
      <w:r>
        <w:t xml:space="preserve">SUSAR Reporting </w:t>
      </w:r>
    </w:p>
    <w:p w14:paraId="54DF374F" w14:textId="77777777" w:rsidR="00CE5AAF" w:rsidRDefault="00E85A33">
      <w:pPr>
        <w:spacing w:after="19" w:line="259" w:lineRule="auto"/>
        <w:ind w:left="0" w:firstLine="0"/>
        <w:jc w:val="left"/>
      </w:pPr>
      <w:r>
        <w:t xml:space="preserve"> </w:t>
      </w:r>
    </w:p>
    <w:p w14:paraId="1259A1E0" w14:textId="77777777" w:rsidR="00CE5AAF" w:rsidRDefault="00E85A33">
      <w:pPr>
        <w:ind w:left="24"/>
      </w:pPr>
      <w:r>
        <w:t xml:space="preserve">All SUSARs will be reported by the CI to the relevant Competent Authority and to the REC and other parties, including MCM. For fatal and life-threatening SUSARS, this will be done no later than 7 calendar days after the Sponsor or delegate is first aware of the reaction. Any additional relevant information will be reported within 8 calendar days of the initial report. All other SUSARs will be reported within 15 calendar days. </w:t>
      </w:r>
    </w:p>
    <w:p w14:paraId="0E5BC255" w14:textId="77777777" w:rsidR="00CE5AAF" w:rsidRDefault="00E85A33">
      <w:pPr>
        <w:spacing w:after="515"/>
        <w:ind w:left="24"/>
      </w:pPr>
      <w:r>
        <w:t xml:space="preserve">Principal Investigators will be informed of all SUSARs for the relevant IMP for all studies with the same Sponsor, whether or not the event occurred in the current trial. </w:t>
      </w:r>
    </w:p>
    <w:p w14:paraId="713AFB23" w14:textId="77777777" w:rsidR="00CE5AAF" w:rsidRDefault="00E85A33">
      <w:pPr>
        <w:tabs>
          <w:tab w:val="center" w:pos="2083"/>
        </w:tabs>
        <w:spacing w:after="13" w:line="265" w:lineRule="auto"/>
        <w:ind w:left="0" w:firstLine="0"/>
        <w:jc w:val="left"/>
      </w:pPr>
      <w:r>
        <w:rPr>
          <w:b/>
        </w:rPr>
        <w:t>10.7</w:t>
      </w:r>
      <w:r>
        <w:rPr>
          <w:rFonts w:ascii="Arial" w:eastAsia="Arial" w:hAnsi="Arial" w:cs="Arial"/>
          <w:b/>
        </w:rPr>
        <w:t xml:space="preserve"> </w:t>
      </w:r>
      <w:r>
        <w:rPr>
          <w:rFonts w:ascii="Arial" w:eastAsia="Arial" w:hAnsi="Arial" w:cs="Arial"/>
          <w:b/>
        </w:rPr>
        <w:tab/>
      </w:r>
      <w:r>
        <w:rPr>
          <w:b/>
        </w:rPr>
        <w:t xml:space="preserve">Safety Monitoring Committee </w:t>
      </w:r>
    </w:p>
    <w:p w14:paraId="7EC159C2" w14:textId="77777777" w:rsidR="00CE5AAF" w:rsidRDefault="00E85A33">
      <w:pPr>
        <w:spacing w:after="21" w:line="259" w:lineRule="auto"/>
        <w:ind w:left="0" w:firstLine="0"/>
        <w:jc w:val="left"/>
      </w:pPr>
      <w:r>
        <w:t xml:space="preserve"> </w:t>
      </w:r>
    </w:p>
    <w:p w14:paraId="5A9D64FB" w14:textId="77777777" w:rsidR="00CE5AAF" w:rsidRDefault="00E85A33">
      <w:pPr>
        <w:spacing w:after="519"/>
        <w:ind w:left="24"/>
      </w:pPr>
      <w:r>
        <w:t xml:space="preserve">As these are licensed vaccines a study specific Safety Committee will not be convened. </w:t>
      </w:r>
    </w:p>
    <w:p w14:paraId="6337D49D" w14:textId="77777777" w:rsidR="00CE5AAF" w:rsidRDefault="00E85A33">
      <w:pPr>
        <w:pStyle w:val="Heading3"/>
        <w:tabs>
          <w:tab w:val="center" w:pos="2396"/>
        </w:tabs>
        <w:ind w:left="0" w:firstLine="0"/>
      </w:pPr>
      <w:r>
        <w:t>10.8</w:t>
      </w:r>
      <w:r>
        <w:rPr>
          <w:rFonts w:ascii="Arial" w:eastAsia="Arial" w:hAnsi="Arial" w:cs="Arial"/>
        </w:rPr>
        <w:t xml:space="preserve"> </w:t>
      </w:r>
      <w:r>
        <w:rPr>
          <w:rFonts w:ascii="Arial" w:eastAsia="Arial" w:hAnsi="Arial" w:cs="Arial"/>
        </w:rPr>
        <w:tab/>
      </w:r>
      <w:r>
        <w:t xml:space="preserve">Development Safety Update Reports </w:t>
      </w:r>
    </w:p>
    <w:p w14:paraId="6FE4664C" w14:textId="77777777" w:rsidR="00CE5AAF" w:rsidRDefault="00E85A33">
      <w:pPr>
        <w:spacing w:after="19" w:line="259" w:lineRule="auto"/>
        <w:ind w:left="0" w:firstLine="0"/>
        <w:jc w:val="left"/>
      </w:pPr>
      <w:r>
        <w:t xml:space="preserve"> </w:t>
      </w:r>
    </w:p>
    <w:p w14:paraId="28355497" w14:textId="77777777" w:rsidR="00CE5AAF" w:rsidRDefault="00E85A33">
      <w:pPr>
        <w:ind w:left="24"/>
      </w:pPr>
      <w:r>
        <w:t xml:space="preserve">The Oxford Vaccine Group will submit DSURs once a year throughout the clinical trial, or on request to the Competent Authority (MHRA in the UK), Ethics Committee, HRA (where required), Host NHS Trust Sponsor and MCM. </w:t>
      </w:r>
    </w:p>
    <w:p w14:paraId="2D5DAC3B" w14:textId="569F0A54" w:rsidR="00CE5AAF" w:rsidRDefault="00E85A33" w:rsidP="00C54D53">
      <w:pPr>
        <w:spacing w:after="218" w:line="259" w:lineRule="auto"/>
        <w:ind w:left="0" w:firstLine="0"/>
        <w:jc w:val="left"/>
      </w:pPr>
      <w:r>
        <w:t xml:space="preserve"> </w:t>
      </w:r>
    </w:p>
    <w:p w14:paraId="7DA50F13" w14:textId="77777777" w:rsidR="00CE5AAF" w:rsidRDefault="00E85A33">
      <w:pPr>
        <w:pStyle w:val="Heading2"/>
        <w:ind w:left="24" w:right="3507"/>
      </w:pPr>
      <w:r>
        <w:rPr>
          <w:sz w:val="24"/>
        </w:rPr>
        <w:t>11</w:t>
      </w:r>
      <w:r>
        <w:rPr>
          <w:rFonts w:ascii="Arial" w:eastAsia="Arial" w:hAnsi="Arial" w:cs="Arial"/>
          <w:sz w:val="24"/>
        </w:rPr>
        <w:t xml:space="preserve"> </w:t>
      </w:r>
      <w:r>
        <w:t>STATISTICS</w:t>
      </w:r>
      <w:r>
        <w:rPr>
          <w:sz w:val="24"/>
        </w:rPr>
        <w:t xml:space="preserve"> </w:t>
      </w:r>
    </w:p>
    <w:p w14:paraId="40403C38" w14:textId="77777777" w:rsidR="00CE5AAF" w:rsidRDefault="00E85A33">
      <w:pPr>
        <w:pStyle w:val="Heading3"/>
        <w:tabs>
          <w:tab w:val="center" w:pos="1775"/>
        </w:tabs>
        <w:ind w:left="0" w:firstLine="0"/>
      </w:pPr>
      <w:r>
        <w:t>11.1</w:t>
      </w:r>
      <w:r>
        <w:rPr>
          <w:rFonts w:ascii="Arial" w:eastAsia="Arial" w:hAnsi="Arial" w:cs="Arial"/>
        </w:rPr>
        <w:t xml:space="preserve"> </w:t>
      </w:r>
      <w:r>
        <w:rPr>
          <w:rFonts w:ascii="Arial" w:eastAsia="Arial" w:hAnsi="Arial" w:cs="Arial"/>
        </w:rPr>
        <w:tab/>
      </w:r>
      <w:r>
        <w:t xml:space="preserve">Sample size calculation </w:t>
      </w:r>
    </w:p>
    <w:p w14:paraId="7B5314F8" w14:textId="77777777" w:rsidR="00CE5AAF" w:rsidRDefault="00E85A33">
      <w:pPr>
        <w:spacing w:after="21" w:line="259" w:lineRule="auto"/>
        <w:ind w:left="0" w:firstLine="0"/>
        <w:jc w:val="left"/>
      </w:pPr>
      <w:r>
        <w:t xml:space="preserve"> </w:t>
      </w:r>
    </w:p>
    <w:p w14:paraId="3D586C20" w14:textId="27DBBC43" w:rsidR="00CE5AAF" w:rsidRDefault="00E85A33">
      <w:pPr>
        <w:spacing w:after="238"/>
        <w:ind w:left="24"/>
      </w:pPr>
      <w:r>
        <w:t xml:space="preserve">The </w:t>
      </w:r>
      <w:r w:rsidR="00FC4C28">
        <w:t xml:space="preserve">original </w:t>
      </w:r>
      <w:r>
        <w:t xml:space="preserve">sample calculation </w:t>
      </w:r>
      <w:r w:rsidR="00FC4C28">
        <w:t>was</w:t>
      </w:r>
      <w:r>
        <w:t xml:space="preserve"> based on the following assumptions:  </w:t>
      </w:r>
    </w:p>
    <w:p w14:paraId="0438CF2F" w14:textId="77777777" w:rsidR="00CE5AAF" w:rsidRDefault="00E85A33">
      <w:pPr>
        <w:spacing w:after="38"/>
        <w:ind w:left="730"/>
      </w:pPr>
      <w:r>
        <w:t>1.</w:t>
      </w:r>
      <w:r>
        <w:rPr>
          <w:rFonts w:ascii="Arial" w:eastAsia="Arial" w:hAnsi="Arial" w:cs="Arial"/>
        </w:rPr>
        <w:t xml:space="preserve"> </w:t>
      </w:r>
      <w:r>
        <w:t>The non-inferiority margin is 0.5 fold-difference between the GMC in the 6 in 1(V) arm and that in the 6 in 1(IH) arm (reference) or -0.3 absolute difference of GMC on log scale (base 10). 2.</w:t>
      </w:r>
      <w:r>
        <w:rPr>
          <w:rFonts w:ascii="Arial" w:eastAsia="Arial" w:hAnsi="Arial" w:cs="Arial"/>
        </w:rPr>
        <w:t xml:space="preserve"> </w:t>
      </w:r>
      <w:r>
        <w:t xml:space="preserve">The standard deviation of GMC on log scale (base 10) is 0.72 (12) </w:t>
      </w:r>
    </w:p>
    <w:p w14:paraId="12710376" w14:textId="77777777" w:rsidR="00CE5AAF" w:rsidRDefault="00E85A33">
      <w:pPr>
        <w:ind w:left="730"/>
      </w:pPr>
      <w:r>
        <w:t>3.</w:t>
      </w:r>
      <w:r>
        <w:rPr>
          <w:rFonts w:ascii="Arial" w:eastAsia="Arial" w:hAnsi="Arial" w:cs="Arial"/>
        </w:rPr>
        <w:t xml:space="preserve"> </w:t>
      </w:r>
      <w:r>
        <w:t xml:space="preserve">The true difference of GMC on log scale (base 10) is 0. </w:t>
      </w:r>
    </w:p>
    <w:p w14:paraId="149E80FD" w14:textId="0A750477" w:rsidR="00CE5AAF" w:rsidRDefault="00E85A33">
      <w:pPr>
        <w:ind w:left="24"/>
      </w:pPr>
      <w:r>
        <w:t xml:space="preserve">Based on the above assumptions, the study </w:t>
      </w:r>
      <w:r w:rsidR="009177BE">
        <w:t>would have needed</w:t>
      </w:r>
      <w:r>
        <w:t xml:space="preserve"> to recruit 104 infants for each arm to achieve 85% of power at two-sided 5% significance level. The attrition rate </w:t>
      </w:r>
      <w:r w:rsidR="009177BE">
        <w:t xml:space="preserve">was </w:t>
      </w:r>
      <w:r>
        <w:t xml:space="preserve">expected to be approximately 10%. To incorporate further allowances for protocol violations and unexpected dropouts, the target sample size </w:t>
      </w:r>
      <w:r w:rsidR="009177BE">
        <w:t>was</w:t>
      </w:r>
      <w:r>
        <w:t xml:space="preserve"> 240 infants (120 per arm). </w:t>
      </w:r>
    </w:p>
    <w:p w14:paraId="6F0F00AD" w14:textId="4639034D" w:rsidR="00FC4C28" w:rsidRDefault="00E85A33" w:rsidP="00FC4C28">
      <w:pPr>
        <w:spacing w:after="200"/>
        <w:ind w:left="22" w:hanging="11"/>
      </w:pPr>
      <w:r>
        <w:t xml:space="preserve">The protective threshold for Hib is 0.15 µg/ml. (13) Assuming the proportion of infant with anti-PRP IgG concentrations at 5 months of age≥ 0.15 µg/ml is 91%, this trial </w:t>
      </w:r>
      <w:r w:rsidR="009177BE">
        <w:t xml:space="preserve">would </w:t>
      </w:r>
      <w:r>
        <w:t>have</w:t>
      </w:r>
      <w:r w:rsidR="009177BE">
        <w:t xml:space="preserve"> had</w:t>
      </w:r>
      <w:r>
        <w:t xml:space="preserve"> &gt;70% of power with two-sided 5% significance level to claim the 6 in 1(V) is non-inferior to 6 in 1(IH) at a margin of 10%. (12)</w:t>
      </w:r>
    </w:p>
    <w:p w14:paraId="047DEDBA" w14:textId="7085DAF5" w:rsidR="00FC4C28" w:rsidRDefault="00FC4C28" w:rsidP="00D2661C">
      <w:pPr>
        <w:spacing w:after="200"/>
        <w:ind w:left="22" w:hanging="11"/>
      </w:pPr>
      <w:r>
        <w:t xml:space="preserve">After reviewing the current disruption on clinical activities by COVID-19 and the urgency to obtain the data for policy making in the UK, the study team </w:t>
      </w:r>
      <w:r w:rsidR="007D5B5D">
        <w:t>decided to evaluate</w:t>
      </w:r>
      <w:r>
        <w:t xml:space="preserve"> the study power based on the recruitment</w:t>
      </w:r>
      <w:r w:rsidR="00337E5D">
        <w:t xml:space="preserve"> up to the time this was paused for the COVID-19 pandemic</w:t>
      </w:r>
      <w:r>
        <w:t xml:space="preserve">, and decided to increase the type I error from </w:t>
      </w:r>
      <w:r w:rsidR="00D2661C">
        <w:t>two-sided 5</w:t>
      </w:r>
      <w:r>
        <w:t>%</w:t>
      </w:r>
      <w:r w:rsidR="00D2661C">
        <w:t xml:space="preserve"> (one-sided 2.5%)</w:t>
      </w:r>
      <w:r>
        <w:t xml:space="preserve"> to</w:t>
      </w:r>
      <w:r w:rsidR="00D2661C">
        <w:t xml:space="preserve"> one-sided 5%, which is a common type I error rate in non-inf</w:t>
      </w:r>
      <w:r w:rsidR="009177BE">
        <w:t>eriority</w:t>
      </w:r>
      <w:r w:rsidR="00D2661C">
        <w:t xml:space="preserve"> trials.</w:t>
      </w:r>
      <w:r>
        <w:t xml:space="preserve"> </w:t>
      </w:r>
      <w:r w:rsidR="00337E5D">
        <w:t>At this stage the</w:t>
      </w:r>
      <w:r>
        <w:t xml:space="preserve"> study ha</w:t>
      </w:r>
      <w:r w:rsidR="00337E5D">
        <w:t>d</w:t>
      </w:r>
      <w:r>
        <w:t xml:space="preserve"> recruited 19</w:t>
      </w:r>
      <w:r w:rsidR="002600C5">
        <w:t>4</w:t>
      </w:r>
      <w:r>
        <w:t xml:space="preserve"> participants</w:t>
      </w:r>
      <w:r w:rsidR="00337E5D">
        <w:t>.</w:t>
      </w:r>
      <w:r>
        <w:t xml:space="preserve"> </w:t>
      </w:r>
      <w:r w:rsidR="00337E5D">
        <w:t>From these there</w:t>
      </w:r>
      <w:r>
        <w:t xml:space="preserve"> </w:t>
      </w:r>
      <w:r w:rsidR="00D2661C">
        <w:t>was</w:t>
      </w:r>
      <w:r>
        <w:t xml:space="preserve"> a</w:t>
      </w:r>
      <w:r w:rsidR="00337E5D">
        <w:t>pproximately</w:t>
      </w:r>
      <w:r>
        <w:t xml:space="preserve"> 172 participants with blood sample</w:t>
      </w:r>
      <w:r w:rsidR="00337E5D">
        <w:t>s likely to be</w:t>
      </w:r>
      <w:r>
        <w:t xml:space="preserve"> available for primary endpoints in the ITT analysis. Based on the original assumptions and the 5% type I error, the current study power is 85%. </w:t>
      </w:r>
      <w:r w:rsidR="007D5B5D">
        <w:t xml:space="preserve">Since the current study recruitment has achieved the planned power based on the adjusted type I error, the </w:t>
      </w:r>
      <w:r w:rsidR="00337E5D">
        <w:t>study CI, sponsor and funder</w:t>
      </w:r>
      <w:r w:rsidR="007D5B5D">
        <w:t xml:space="preserve"> group decided</w:t>
      </w:r>
      <w:r w:rsidR="00337E5D">
        <w:t xml:space="preserve"> not to resume recruiting and continue with a sample size of 194 participants.</w:t>
      </w:r>
    </w:p>
    <w:p w14:paraId="368DFBD1" w14:textId="77777777" w:rsidR="00CE5AAF" w:rsidRDefault="00E85A33">
      <w:pPr>
        <w:pStyle w:val="Heading3"/>
        <w:tabs>
          <w:tab w:val="center" w:pos="2268"/>
        </w:tabs>
        <w:ind w:left="0" w:firstLine="0"/>
      </w:pPr>
      <w:r>
        <w:t>11.2</w:t>
      </w:r>
      <w:r>
        <w:rPr>
          <w:rFonts w:ascii="Arial" w:eastAsia="Arial" w:hAnsi="Arial" w:cs="Arial"/>
        </w:rPr>
        <w:t xml:space="preserve"> </w:t>
      </w:r>
      <w:r>
        <w:rPr>
          <w:rFonts w:ascii="Arial" w:eastAsia="Arial" w:hAnsi="Arial" w:cs="Arial"/>
        </w:rPr>
        <w:tab/>
      </w:r>
      <w:r>
        <w:t xml:space="preserve">Description of Statistical Methods </w:t>
      </w:r>
    </w:p>
    <w:p w14:paraId="00024F01" w14:textId="77777777" w:rsidR="00CE5AAF" w:rsidRDefault="00E85A33">
      <w:pPr>
        <w:spacing w:after="19" w:line="259" w:lineRule="auto"/>
        <w:ind w:left="0" w:firstLine="0"/>
        <w:jc w:val="left"/>
      </w:pPr>
      <w:r>
        <w:t xml:space="preserve"> </w:t>
      </w:r>
    </w:p>
    <w:p w14:paraId="739D972D" w14:textId="77777777" w:rsidR="00CE5AAF" w:rsidRDefault="00E85A33">
      <w:pPr>
        <w:spacing w:after="252"/>
        <w:ind w:left="24"/>
      </w:pPr>
      <w:r>
        <w:t xml:space="preserve">The primary outcome is anti-PRP Hib IgG concentrations at 5 months of age as measured by ELISA. The geometric mean concentrations (GMC) of anti-PRP IgG will be compared between 6 in 1(IH) and 6 in 1(V) under the hypothesis:  </w:t>
      </w:r>
    </w:p>
    <w:p w14:paraId="7FBD93EE" w14:textId="77777777" w:rsidR="00CE5AAF" w:rsidRDefault="00E85A33">
      <w:pPr>
        <w:spacing w:after="275" w:line="259" w:lineRule="auto"/>
        <w:ind w:right="35"/>
        <w:jc w:val="center"/>
      </w:pPr>
      <w:r>
        <w:t>H</w:t>
      </w:r>
      <w:r>
        <w:rPr>
          <w:sz w:val="14"/>
        </w:rPr>
        <w:t>0</w:t>
      </w:r>
      <w:r>
        <w:t>: GMC</w:t>
      </w:r>
      <w:r>
        <w:rPr>
          <w:sz w:val="14"/>
        </w:rPr>
        <w:t xml:space="preserve">6 in 1(V) </w:t>
      </w:r>
      <w:r>
        <w:t>/ GMC</w:t>
      </w:r>
      <w:r>
        <w:rPr>
          <w:sz w:val="14"/>
        </w:rPr>
        <w:t xml:space="preserve">6 in 1-(IH) </w:t>
      </w:r>
      <w:r>
        <w:t xml:space="preserve">≤ 0.5 or </w:t>
      </w:r>
      <w:r>
        <w:rPr>
          <w:rFonts w:ascii="Cambria Math" w:eastAsia="Cambria Math" w:hAnsi="Cambria Math" w:cs="Cambria Math"/>
        </w:rPr>
        <w:t>𝑙𝑜𝑔</w:t>
      </w:r>
      <w:r>
        <w:rPr>
          <w:rFonts w:ascii="Cambria Math" w:eastAsia="Cambria Math" w:hAnsi="Cambria Math" w:cs="Cambria Math"/>
          <w:sz w:val="16"/>
        </w:rPr>
        <w:t>10</w:t>
      </w:r>
      <w:r>
        <w:t xml:space="preserve"> GMC</w:t>
      </w:r>
      <w:r>
        <w:rPr>
          <w:sz w:val="14"/>
        </w:rPr>
        <w:t>6 in 1(V)</w:t>
      </w:r>
      <w:r>
        <w:t xml:space="preserve"> - </w:t>
      </w:r>
      <w:r>
        <w:rPr>
          <w:rFonts w:ascii="Cambria Math" w:eastAsia="Cambria Math" w:hAnsi="Cambria Math" w:cs="Cambria Math"/>
        </w:rPr>
        <w:t>𝑙𝑜𝑔</w:t>
      </w:r>
      <w:r>
        <w:rPr>
          <w:rFonts w:ascii="Cambria Math" w:eastAsia="Cambria Math" w:hAnsi="Cambria Math" w:cs="Cambria Math"/>
          <w:sz w:val="16"/>
        </w:rPr>
        <w:t>10</w:t>
      </w:r>
      <w:r>
        <w:t xml:space="preserve"> GMC</w:t>
      </w:r>
      <w:r>
        <w:rPr>
          <w:sz w:val="14"/>
        </w:rPr>
        <w:t xml:space="preserve">6 in 1(IH) </w:t>
      </w:r>
      <w:r>
        <w:t xml:space="preserve">≤ -0.3; </w:t>
      </w:r>
    </w:p>
    <w:p w14:paraId="26E0FF88" w14:textId="77777777" w:rsidR="00CE5AAF" w:rsidRDefault="00E85A33">
      <w:pPr>
        <w:spacing w:after="218" w:line="259" w:lineRule="auto"/>
        <w:ind w:right="34"/>
        <w:jc w:val="center"/>
      </w:pPr>
      <w:r>
        <w:t>H</w:t>
      </w:r>
      <w:r>
        <w:rPr>
          <w:sz w:val="14"/>
        </w:rPr>
        <w:t>0</w:t>
      </w:r>
      <w:r>
        <w:t>: GMC</w:t>
      </w:r>
      <w:r>
        <w:rPr>
          <w:sz w:val="14"/>
        </w:rPr>
        <w:t xml:space="preserve">6 in 1(V) </w:t>
      </w:r>
      <w:r>
        <w:t>/ GMC</w:t>
      </w:r>
      <w:r>
        <w:rPr>
          <w:sz w:val="14"/>
        </w:rPr>
        <w:t xml:space="preserve">6 in 1(IH) </w:t>
      </w:r>
      <w:r>
        <w:t xml:space="preserve">&gt; 0.5 or </w:t>
      </w:r>
      <w:r>
        <w:rPr>
          <w:rFonts w:ascii="Cambria Math" w:eastAsia="Cambria Math" w:hAnsi="Cambria Math" w:cs="Cambria Math"/>
        </w:rPr>
        <w:t>𝑙𝑜𝑔</w:t>
      </w:r>
      <w:r>
        <w:rPr>
          <w:rFonts w:ascii="Cambria Math" w:eastAsia="Cambria Math" w:hAnsi="Cambria Math" w:cs="Cambria Math"/>
          <w:sz w:val="16"/>
        </w:rPr>
        <w:t>10</w:t>
      </w:r>
      <w:r>
        <w:t xml:space="preserve"> GMC</w:t>
      </w:r>
      <w:r>
        <w:rPr>
          <w:sz w:val="14"/>
        </w:rPr>
        <w:t>6 in 1(V)</w:t>
      </w:r>
      <w:r>
        <w:t xml:space="preserve"> - </w:t>
      </w:r>
      <w:r>
        <w:rPr>
          <w:rFonts w:ascii="Cambria Math" w:eastAsia="Cambria Math" w:hAnsi="Cambria Math" w:cs="Cambria Math"/>
        </w:rPr>
        <w:t>𝑙𝑜𝑔</w:t>
      </w:r>
      <w:r>
        <w:rPr>
          <w:rFonts w:ascii="Cambria Math" w:eastAsia="Cambria Math" w:hAnsi="Cambria Math" w:cs="Cambria Math"/>
          <w:sz w:val="16"/>
        </w:rPr>
        <w:t>10</w:t>
      </w:r>
      <w:r>
        <w:t xml:space="preserve"> GMC</w:t>
      </w:r>
      <w:r>
        <w:rPr>
          <w:sz w:val="14"/>
        </w:rPr>
        <w:t xml:space="preserve">6 in 1(IH) </w:t>
      </w:r>
      <w:r>
        <w:t xml:space="preserve">&gt; -0.3. </w:t>
      </w:r>
    </w:p>
    <w:p w14:paraId="20B7D7CE" w14:textId="23330219" w:rsidR="00CE5AAF" w:rsidRDefault="00E85A33" w:rsidP="00D2661C">
      <w:pPr>
        <w:spacing w:after="200" w:line="259" w:lineRule="auto"/>
        <w:ind w:left="0" w:firstLine="0"/>
        <w:jc w:val="left"/>
      </w:pPr>
      <w:r>
        <w:t xml:space="preserve">The GMC will be transferred using </w:t>
      </w:r>
      <w:r w:rsidRPr="00D2661C">
        <w:t>logarithmic transformations (base 10) to render a normal distribution.</w:t>
      </w:r>
      <w:r>
        <w:t xml:space="preserve"> </w:t>
      </w:r>
    </w:p>
    <w:p w14:paraId="47DEB3AE" w14:textId="77777777" w:rsidR="00CE5AAF" w:rsidRDefault="00E85A33" w:rsidP="00D2661C">
      <w:pPr>
        <w:spacing w:after="200"/>
        <w:ind w:left="24"/>
      </w:pPr>
      <w:r>
        <w:t xml:space="preserve">We will test the above hypothesis using the multiple regression on </w:t>
      </w:r>
      <w:r>
        <w:rPr>
          <w:rFonts w:ascii="Cambria Math" w:eastAsia="Cambria Math" w:hAnsi="Cambria Math" w:cs="Cambria Math"/>
        </w:rPr>
        <w:t>𝑙𝑜𝑔</w:t>
      </w:r>
      <w:r>
        <w:rPr>
          <w:rFonts w:ascii="Cambria Math" w:eastAsia="Cambria Math" w:hAnsi="Cambria Math" w:cs="Cambria Math"/>
          <w:vertAlign w:val="subscript"/>
        </w:rPr>
        <w:t>10</w:t>
      </w:r>
      <w:r>
        <w:t xml:space="preserve">GMC adjusting for the design effect and the pre-specified prognostic factors. The adjusted mean difference of </w:t>
      </w:r>
      <w:r>
        <w:rPr>
          <w:rFonts w:ascii="Cambria Math" w:eastAsia="Cambria Math" w:hAnsi="Cambria Math" w:cs="Cambria Math"/>
        </w:rPr>
        <w:t>𝑙𝑜𝑔</w:t>
      </w:r>
      <w:r>
        <w:rPr>
          <w:rFonts w:ascii="Cambria Math" w:eastAsia="Cambria Math" w:hAnsi="Cambria Math" w:cs="Cambria Math"/>
          <w:vertAlign w:val="subscript"/>
        </w:rPr>
        <w:t>10</w:t>
      </w:r>
      <w:r>
        <w:t xml:space="preserve">GMC will be presented with the 95% confidence interval (CI). The difference will be calculated as the mean of </w:t>
      </w:r>
      <w:r>
        <w:rPr>
          <w:rFonts w:ascii="Cambria Math" w:eastAsia="Cambria Math" w:hAnsi="Cambria Math" w:cs="Cambria Math"/>
        </w:rPr>
        <w:t>𝑙𝑜𝑔</w:t>
      </w:r>
      <w:r>
        <w:rPr>
          <w:rFonts w:ascii="Cambria Math" w:eastAsia="Cambria Math" w:hAnsi="Cambria Math" w:cs="Cambria Math"/>
          <w:vertAlign w:val="subscript"/>
        </w:rPr>
        <w:t>10</w:t>
      </w:r>
      <w:r>
        <w:t xml:space="preserve">GMC in 6 in 1(V) arm compared to that in the 6 in 1(IH) arm. We will claim 6 in 1(V) is non-inferior to 6 in 1(IH) if the lower CI lies above -0.3.  </w:t>
      </w:r>
    </w:p>
    <w:p w14:paraId="459FFCBE" w14:textId="77777777" w:rsidR="00CE5AAF" w:rsidRDefault="00E85A33">
      <w:pPr>
        <w:ind w:left="24"/>
      </w:pPr>
      <w:r>
        <w:t xml:space="preserve">The proportion of infant with anti-PRP Hib IgG concentrations at 5 months of age≥ 0.15 µg/ml will be compared between 6 in 1(IH) and 6 in 1(V) arms and the adjusted difference of the proportion will be presented with the 95% CI.  </w:t>
      </w:r>
    </w:p>
    <w:p w14:paraId="25AFD965" w14:textId="77777777" w:rsidR="00CE5AAF" w:rsidRDefault="00E85A33">
      <w:pPr>
        <w:ind w:left="24"/>
      </w:pPr>
      <w:r>
        <w:t xml:space="preserve">The primary analysis will be conducted on the intent-to-treat basis. The per-protocol analysis will be considered as a sensitivity analysis if the crossover rate is high in this trial.  </w:t>
      </w:r>
    </w:p>
    <w:p w14:paraId="6633BF65" w14:textId="77777777" w:rsidR="00CE5AAF" w:rsidRDefault="00E85A33">
      <w:pPr>
        <w:ind w:left="24"/>
      </w:pPr>
      <w:r>
        <w:t xml:space="preserve">The analysis on primary outcome will be conducted after the 5-month anti-PRP Hib IgG concentrations are available for all participants, while the trial will continue to follow up all participants till 13 months of age. The final analysis for the other outcomes will be carried out once the 5-month and 13-month data are available for all participants.   </w:t>
      </w:r>
    </w:p>
    <w:p w14:paraId="6A427F5F" w14:textId="77777777" w:rsidR="00CE5AAF" w:rsidRDefault="00E85A33">
      <w:pPr>
        <w:spacing w:after="515"/>
        <w:ind w:left="24"/>
      </w:pPr>
      <w:r>
        <w:t xml:space="preserve">A fully detailed statistical analysis plan will be prepared and will be signed off by the Chief Investigator prior to conducting any data analyses.  </w:t>
      </w:r>
    </w:p>
    <w:p w14:paraId="141D5F1E" w14:textId="77777777" w:rsidR="00CE5AAF" w:rsidRDefault="00E85A33">
      <w:pPr>
        <w:pStyle w:val="Heading3"/>
        <w:tabs>
          <w:tab w:val="center" w:pos="1301"/>
        </w:tabs>
        <w:ind w:left="0" w:firstLine="0"/>
      </w:pPr>
      <w:r>
        <w:t>11.3</w:t>
      </w:r>
      <w:r>
        <w:rPr>
          <w:rFonts w:ascii="Arial" w:eastAsia="Arial" w:hAnsi="Arial" w:cs="Arial"/>
        </w:rPr>
        <w:t xml:space="preserve"> </w:t>
      </w:r>
      <w:r>
        <w:rPr>
          <w:rFonts w:ascii="Arial" w:eastAsia="Arial" w:hAnsi="Arial" w:cs="Arial"/>
        </w:rPr>
        <w:tab/>
      </w:r>
      <w:r>
        <w:t xml:space="preserve">Missing data </w:t>
      </w:r>
    </w:p>
    <w:p w14:paraId="45D6C230" w14:textId="77777777" w:rsidR="00CE5AAF" w:rsidRDefault="00E85A33">
      <w:pPr>
        <w:spacing w:after="16" w:line="259" w:lineRule="auto"/>
        <w:ind w:left="0" w:firstLine="0"/>
        <w:jc w:val="left"/>
      </w:pPr>
      <w:r>
        <w:t xml:space="preserve"> </w:t>
      </w:r>
    </w:p>
    <w:p w14:paraId="5AE47F6E" w14:textId="77777777" w:rsidR="00CE5AAF" w:rsidRDefault="00E85A33">
      <w:pPr>
        <w:spacing w:after="515"/>
        <w:ind w:left="24"/>
      </w:pPr>
      <w:r>
        <w:t xml:space="preserve">The level and pattern of the missing data in the baseline variables and outcomes will be reported. The potential causes of any missing data will be investigated and documented as far as possible. Any missing data will be dealt with using methods appropriate to the conjectured missing mechanism and level of missing.  </w:t>
      </w:r>
    </w:p>
    <w:p w14:paraId="0AF9908E" w14:textId="77777777" w:rsidR="00CE5AAF" w:rsidRDefault="00E85A33">
      <w:pPr>
        <w:pStyle w:val="Heading2"/>
        <w:spacing w:after="286"/>
        <w:ind w:left="24" w:right="3507"/>
      </w:pPr>
      <w:r>
        <w:t>12</w:t>
      </w:r>
      <w:r>
        <w:rPr>
          <w:rFonts w:ascii="Arial" w:eastAsia="Arial" w:hAnsi="Arial" w:cs="Arial"/>
        </w:rPr>
        <w:t xml:space="preserve"> </w:t>
      </w:r>
      <w:r>
        <w:t xml:space="preserve">DATA MANAGEMENT </w:t>
      </w:r>
    </w:p>
    <w:p w14:paraId="232B5926" w14:textId="77777777" w:rsidR="00CE5AAF" w:rsidRDefault="00E85A33">
      <w:pPr>
        <w:pStyle w:val="Heading3"/>
        <w:tabs>
          <w:tab w:val="center" w:pos="1273"/>
        </w:tabs>
        <w:ind w:left="0" w:firstLine="0"/>
      </w:pPr>
      <w:r>
        <w:t>12.1</w:t>
      </w:r>
      <w:r>
        <w:rPr>
          <w:rFonts w:ascii="Arial" w:eastAsia="Arial" w:hAnsi="Arial" w:cs="Arial"/>
        </w:rPr>
        <w:t xml:space="preserve"> </w:t>
      </w:r>
      <w:r>
        <w:rPr>
          <w:rFonts w:ascii="Arial" w:eastAsia="Arial" w:hAnsi="Arial" w:cs="Arial"/>
        </w:rPr>
        <w:tab/>
      </w:r>
      <w:r>
        <w:t xml:space="preserve">Source Data </w:t>
      </w:r>
    </w:p>
    <w:p w14:paraId="5107DE2C" w14:textId="77777777" w:rsidR="00CE5AAF" w:rsidRDefault="00E85A33">
      <w:pPr>
        <w:spacing w:after="19" w:line="259" w:lineRule="auto"/>
        <w:ind w:left="0" w:firstLine="0"/>
        <w:jc w:val="left"/>
      </w:pPr>
      <w:r>
        <w:t xml:space="preserve"> </w:t>
      </w:r>
    </w:p>
    <w:p w14:paraId="35E30FE2" w14:textId="77777777" w:rsidR="00CE5AAF" w:rsidRDefault="00E85A33">
      <w:pPr>
        <w:spacing w:after="4"/>
        <w:ind w:left="24"/>
      </w:pPr>
      <w:r>
        <w:t xml:space="preserve">Source documents are where data are first recorded, and from which participants’ CRF data are obtained. These include, but are not limited to, hospital records (from which medical history and previous and concurrent medication may be summarised into the CRF), clinical and office charts, laboratory and pharmacy records, diaries, microfiches, radiographs, and correspondence. </w:t>
      </w:r>
    </w:p>
    <w:p w14:paraId="62E51908" w14:textId="77777777" w:rsidR="00CE5AAF" w:rsidRDefault="00E85A33">
      <w:pPr>
        <w:spacing w:after="515"/>
        <w:ind w:left="24"/>
      </w:pPr>
      <w:r>
        <w:t xml:space="preserve">CRF entries will be considered source data if the CRF is the site of the original recording (e.g. there is no other written or electronic record of data).  All documents will be stored safely in confidential conditions. On all trial-specific documents, other than the signed consent, the participant will be referred to by the trial participant number/code, not by name. </w:t>
      </w:r>
    </w:p>
    <w:p w14:paraId="09FE3023" w14:textId="77777777" w:rsidR="00CE5AAF" w:rsidRDefault="00E85A33">
      <w:pPr>
        <w:pStyle w:val="Heading3"/>
        <w:tabs>
          <w:tab w:val="center" w:pos="1387"/>
        </w:tabs>
        <w:ind w:left="0" w:firstLine="0"/>
      </w:pPr>
      <w:r>
        <w:t>12.2</w:t>
      </w:r>
      <w:r>
        <w:rPr>
          <w:rFonts w:ascii="Arial" w:eastAsia="Arial" w:hAnsi="Arial" w:cs="Arial"/>
        </w:rPr>
        <w:t xml:space="preserve"> </w:t>
      </w:r>
      <w:r>
        <w:rPr>
          <w:rFonts w:ascii="Arial" w:eastAsia="Arial" w:hAnsi="Arial" w:cs="Arial"/>
        </w:rPr>
        <w:tab/>
      </w:r>
      <w:r>
        <w:t xml:space="preserve">Access to Data </w:t>
      </w:r>
    </w:p>
    <w:p w14:paraId="7789553A" w14:textId="77777777" w:rsidR="00CE5AAF" w:rsidRDefault="00E85A33">
      <w:pPr>
        <w:spacing w:after="19" w:line="259" w:lineRule="auto"/>
        <w:ind w:left="0" w:firstLine="0"/>
        <w:jc w:val="left"/>
      </w:pPr>
      <w:r>
        <w:t xml:space="preserve"> </w:t>
      </w:r>
    </w:p>
    <w:p w14:paraId="6A9779D8" w14:textId="77777777" w:rsidR="00CE5AAF" w:rsidRDefault="00E85A33">
      <w:pPr>
        <w:spacing w:after="516"/>
        <w:ind w:left="24"/>
      </w:pPr>
      <w:r>
        <w:t xml:space="preserve">Direct access will be granted to authorised representatives from the Sponsor, host institution and the regulatory authorities to permit trial-related monitoring, audits and inspections. Access to medical records by those outside the direct healthcare team, will only occur if consent has been received. This would be for the purpose of clarifying medical history in relation to the inclusion/exclusion criteria and safety reporting. </w:t>
      </w:r>
    </w:p>
    <w:p w14:paraId="502A4356" w14:textId="77777777" w:rsidR="00CE5AAF" w:rsidRDefault="00E85A33">
      <w:pPr>
        <w:pStyle w:val="Heading3"/>
        <w:tabs>
          <w:tab w:val="center" w:pos="2355"/>
        </w:tabs>
        <w:ind w:left="0" w:firstLine="0"/>
      </w:pPr>
      <w:r>
        <w:t>12.3</w:t>
      </w:r>
      <w:r>
        <w:rPr>
          <w:rFonts w:ascii="Arial" w:eastAsia="Arial" w:hAnsi="Arial" w:cs="Arial"/>
        </w:rPr>
        <w:t xml:space="preserve"> </w:t>
      </w:r>
      <w:r>
        <w:rPr>
          <w:rFonts w:ascii="Arial" w:eastAsia="Arial" w:hAnsi="Arial" w:cs="Arial"/>
        </w:rPr>
        <w:tab/>
      </w:r>
      <w:r>
        <w:t xml:space="preserve">Data Recording and Record Keeping </w:t>
      </w:r>
    </w:p>
    <w:p w14:paraId="00661B5A" w14:textId="77777777" w:rsidR="00CE5AAF" w:rsidRDefault="00E85A33">
      <w:pPr>
        <w:spacing w:after="19" w:line="259" w:lineRule="auto"/>
        <w:ind w:left="0" w:firstLine="0"/>
        <w:jc w:val="left"/>
      </w:pPr>
      <w:r>
        <w:t xml:space="preserve"> </w:t>
      </w:r>
    </w:p>
    <w:p w14:paraId="68340EC1" w14:textId="4953BE66" w:rsidR="00CE5AAF" w:rsidRDefault="00E85A33">
      <w:pPr>
        <w:ind w:left="24"/>
      </w:pPr>
      <w:r>
        <w:t>CRF data will be recorded directly into an EDC system (e.g. OpenClinic</w:t>
      </w:r>
      <w:r w:rsidR="00D122B6">
        <w:t>a</w:t>
      </w:r>
      <w:r>
        <w:t xml:space="preserve">/REDCap) or onto a paper source document for later entry into EDC if direct entry is not available.   Any additional information that needs recording but is not relevant for the CRF (such as sites for venepuncture, parental availability etc) will be recorded on a separate paper source document. All documents will be stored safely in confidential conditions. </w:t>
      </w:r>
    </w:p>
    <w:p w14:paraId="3026F1C2" w14:textId="77777777" w:rsidR="00CE5AAF" w:rsidRDefault="00E85A33">
      <w:pPr>
        <w:ind w:left="24"/>
      </w:pPr>
      <w:r>
        <w:t xml:space="preserve">Parents/legal guardians will consent for email addresses to be entered into an electronic diary system. This enables the diary to be sent to parents to complete online.  The EDC systems (electronic diary and CRF data) uses a MySQL database via a secure web interface with data checks used during data entry to ensure data quality. The database includes a complete suite of features which are compliant with EU and UK regulations and NHS security policies, including a full audit trail, user-based privileges, and integration with the institutional LDAP server. The MySQL database and the web server will both be housed on secure servers operated by the University of Oxford IT Services. The servers are in a physically secure location in Oxford and are backed up in Oxford, with the backups stored in accordance with the IT department schedule of daily, weekly, and monthly tapes retained for 1 month, 3 months, and 6 months, respectively. Weekly backup tapes are stored offsite. The IT servers provide a stable, secure, well-maintained, and highcapacity data storage environment, Drupal and MySQL are widely-used, powerful, reliable, well-supported systems. Access to the study's database and the diary will be restricted to the members of the study team by username and password. </w:t>
      </w:r>
    </w:p>
    <w:p w14:paraId="61157A10" w14:textId="77777777" w:rsidR="00CE5AAF" w:rsidRDefault="00E85A33">
      <w:pPr>
        <w:ind w:left="24"/>
      </w:pPr>
      <w:r>
        <w:t xml:space="preserve">All entries made to the research notes should be printed legibly. If any entry error has been made, to correct such an error, a single straight line should be drawn through the incorrect entry and the correct data entered above it. All such changes must be initialled and dated. DO NOT ERASE OR WHITE OUT ERRORS. For clarification of illegible or uncertain entries, the clarification should be printed above the item, and this should also be initialled and dated. Information entered into the research notes must be subsequently transferred onto the database by the site collecting the data.  The participants will be identified by a unique study specific number in any database. The name and any other identifying detail will NOT be included in any study data file.  </w:t>
      </w:r>
    </w:p>
    <w:p w14:paraId="0FF8A8CF" w14:textId="77777777" w:rsidR="00CE5AAF" w:rsidRDefault="00E85A33">
      <w:pPr>
        <w:ind w:left="24"/>
      </w:pPr>
      <w:r>
        <w:t xml:space="preserve">The investigator at each investigational site must make arrangements to store the essential study documents, (as defined in Essential Documents for the Conduct of a Clinical Trial (International Conference on Harmonisation (ICH) E6, Guideline for Good Clinical Practice) including the Investigator Site File. Copies of all study documents will be retained after the completion or discontinuation of the study for 3 years after the youngest participant turns 18 years. In addition, the investigator is responsible for archiving of all relevant source documents so that the study data can be compared against source data after completion of the study (e.g. in case of inspection from authorities). The investigator is required to ensure the continued storage of the documents, even if the investigator, for example, leaves the clinic/practice or retires before the end of required storage period. Delegation of this transfer of responsibility to their successor must be documented in writing.  </w:t>
      </w:r>
    </w:p>
    <w:p w14:paraId="5170BD61" w14:textId="77777777" w:rsidR="00CE5AAF" w:rsidRDefault="00E85A33">
      <w:pPr>
        <w:ind w:left="24"/>
      </w:pPr>
      <w:r>
        <w:t xml:space="preserve">The participants will be identified by a unique trial specific number and/or code in any database.   </w:t>
      </w:r>
    </w:p>
    <w:p w14:paraId="6D1E0435" w14:textId="77777777" w:rsidR="00CE5AAF" w:rsidRDefault="00E85A33">
      <w:pPr>
        <w:spacing w:after="410" w:line="259" w:lineRule="auto"/>
        <w:ind w:left="0" w:firstLine="0"/>
        <w:jc w:val="left"/>
      </w:pPr>
      <w:r>
        <w:t xml:space="preserve"> </w:t>
      </w:r>
    </w:p>
    <w:p w14:paraId="33945A85" w14:textId="77777777" w:rsidR="00CE5AAF" w:rsidRDefault="00E85A33">
      <w:pPr>
        <w:pStyle w:val="Heading2"/>
        <w:ind w:left="24" w:right="3507"/>
      </w:pPr>
      <w:r>
        <w:t>13</w:t>
      </w:r>
      <w:r>
        <w:rPr>
          <w:rFonts w:ascii="Arial" w:eastAsia="Arial" w:hAnsi="Arial" w:cs="Arial"/>
        </w:rPr>
        <w:t xml:space="preserve"> </w:t>
      </w:r>
      <w:r>
        <w:t xml:space="preserve">QUALITY ASSURANCE PROCEDURES </w:t>
      </w:r>
    </w:p>
    <w:p w14:paraId="5D615E21" w14:textId="77777777" w:rsidR="00CE5AAF" w:rsidRDefault="00E85A33">
      <w:pPr>
        <w:spacing w:after="16" w:line="259" w:lineRule="auto"/>
        <w:ind w:left="0" w:firstLine="0"/>
        <w:jc w:val="left"/>
      </w:pPr>
      <w:r>
        <w:t xml:space="preserve"> </w:t>
      </w:r>
    </w:p>
    <w:p w14:paraId="7B651291" w14:textId="77777777" w:rsidR="00CE5AAF" w:rsidRDefault="00E85A33">
      <w:pPr>
        <w:ind w:left="24"/>
      </w:pPr>
      <w:r>
        <w:t xml:space="preserve">The trial will be conducted in accordance with the current approved protocol, GCP, relevant regulations and standard operating procedures. </w:t>
      </w:r>
    </w:p>
    <w:p w14:paraId="6F864B2B" w14:textId="77777777" w:rsidR="00CE5AAF" w:rsidRDefault="00E85A33">
      <w:pPr>
        <w:ind w:left="24"/>
      </w:pPr>
      <w:r>
        <w:t xml:space="preserve">This trial has been assessed as a low risk CTIMP and as such, monitoring of study conduct and protocol compliance will be delegated by the sponsor to the trials unit. Regular monitoring will be performed by the Oxford Vaccine Centre Quality Assurance team, with details outlined in a study monitoring plan. Data will be evaluated for compliance with the protocol and accuracy in relation to source documents. Following the monitoring plan, the monitors will verify that the clinical trial is conducted and data are generated, documented and reported in compliance with the protocol, GCP and the applicable regulatory requirements. </w:t>
      </w:r>
    </w:p>
    <w:p w14:paraId="0DFEB2A0" w14:textId="77777777" w:rsidR="00CE5AAF" w:rsidRDefault="00E85A33">
      <w:pPr>
        <w:spacing w:after="0" w:line="259" w:lineRule="auto"/>
        <w:ind w:left="0" w:firstLine="0"/>
        <w:jc w:val="left"/>
      </w:pPr>
      <w:r>
        <w:t xml:space="preserve"> </w:t>
      </w:r>
    </w:p>
    <w:p w14:paraId="7F175D4B" w14:textId="77777777" w:rsidR="00CE5AAF" w:rsidRDefault="00E85A33">
      <w:pPr>
        <w:pStyle w:val="Heading2"/>
        <w:ind w:left="24" w:right="3507"/>
      </w:pPr>
      <w:r>
        <w:t>14</w:t>
      </w:r>
      <w:r>
        <w:rPr>
          <w:rFonts w:ascii="Arial" w:eastAsia="Arial" w:hAnsi="Arial" w:cs="Arial"/>
        </w:rPr>
        <w:t xml:space="preserve"> </w:t>
      </w:r>
      <w:r>
        <w:t xml:space="preserve">PROTOCOL DEVIATIONS </w:t>
      </w:r>
    </w:p>
    <w:p w14:paraId="3E62F6CA" w14:textId="77777777" w:rsidR="00CE5AAF" w:rsidRDefault="00E85A33">
      <w:pPr>
        <w:spacing w:after="509"/>
        <w:ind w:left="24"/>
      </w:pPr>
      <w:r>
        <w:t xml:space="preserve">A trial related deviation is a departure from the ethically approved trial protocol or other trial document or process (e.g. consent process or IMP administration) or from Good Clinical Practice (GCP) or any applicable regulatory requirements. </w:t>
      </w:r>
      <w:r>
        <w:rPr>
          <w:sz w:val="23"/>
        </w:rPr>
        <w:t>Any deviations from the protocol will be documented in a protocol deviation form and filed in the trial master file.</w:t>
      </w:r>
      <w:r>
        <w:t xml:space="preserve"> </w:t>
      </w:r>
    </w:p>
    <w:p w14:paraId="75A276A0" w14:textId="77777777" w:rsidR="00CE5AAF" w:rsidRDefault="00E85A33">
      <w:pPr>
        <w:pStyle w:val="Heading2"/>
        <w:ind w:left="24" w:right="3507"/>
      </w:pPr>
      <w:r>
        <w:t>15</w:t>
      </w:r>
      <w:r>
        <w:rPr>
          <w:rFonts w:ascii="Arial" w:eastAsia="Arial" w:hAnsi="Arial" w:cs="Arial"/>
        </w:rPr>
        <w:t xml:space="preserve"> </w:t>
      </w:r>
      <w:r>
        <w:t xml:space="preserve">SERIOUS BREACHES </w:t>
      </w:r>
    </w:p>
    <w:p w14:paraId="74ADD0C2" w14:textId="77777777" w:rsidR="00CE5AAF" w:rsidRDefault="00E85A33">
      <w:pPr>
        <w:spacing w:after="19" w:line="259" w:lineRule="auto"/>
        <w:ind w:left="0" w:firstLine="0"/>
        <w:jc w:val="left"/>
      </w:pPr>
      <w:r>
        <w:t xml:space="preserve"> </w:t>
      </w:r>
    </w:p>
    <w:p w14:paraId="4B2E8D66" w14:textId="77777777" w:rsidR="00CE5AAF" w:rsidRDefault="00E85A33">
      <w:pPr>
        <w:ind w:left="24"/>
      </w:pPr>
      <w:r>
        <w:t xml:space="preserve">The Medicines for Human Use (Clinical Trials) Regulations contain a requirement for the notification of "serious breaches" to the MHRA within 7 days of the Sponsor becoming aware of the breach. </w:t>
      </w:r>
    </w:p>
    <w:p w14:paraId="53F363AF" w14:textId="77777777" w:rsidR="00CE5AAF" w:rsidRDefault="00E85A33">
      <w:pPr>
        <w:ind w:left="24"/>
      </w:pPr>
      <w:r>
        <w:t xml:space="preserve">A serious breach is defined as “A breach of GCP or the trial protocol which is likely to affect to a significant degree –  </w:t>
      </w:r>
    </w:p>
    <w:p w14:paraId="3B44246A" w14:textId="77777777" w:rsidR="00CE5AAF" w:rsidRDefault="00E85A33">
      <w:pPr>
        <w:numPr>
          <w:ilvl w:val="0"/>
          <w:numId w:val="14"/>
        </w:numPr>
        <w:ind w:left="728" w:hanging="300"/>
      </w:pPr>
      <w:r>
        <w:t xml:space="preserve">the safety or physical or mental integrity of the subjects of the trial; or </w:t>
      </w:r>
    </w:p>
    <w:p w14:paraId="4035C94E" w14:textId="77777777" w:rsidR="00CE5AAF" w:rsidRDefault="00E85A33">
      <w:pPr>
        <w:numPr>
          <w:ilvl w:val="0"/>
          <w:numId w:val="14"/>
        </w:numPr>
        <w:ind w:left="728" w:hanging="300"/>
      </w:pPr>
      <w:r>
        <w:t xml:space="preserve">the scientific value of the trial”. </w:t>
      </w:r>
    </w:p>
    <w:p w14:paraId="6A788429" w14:textId="77777777" w:rsidR="00CE5AAF" w:rsidRDefault="00E85A33">
      <w:pPr>
        <w:spacing w:after="516"/>
        <w:ind w:left="24"/>
      </w:pPr>
      <w:r>
        <w:t xml:space="preserve">In the event that a serious breach is suspected the Sponsor must be contacted within 1 working day. In collaboration with the C.I., the serious breach will be reviewed by the Sponsor and, if appropriate, the Sponsor will report it to the REC committee, Regulatory authority and the NHS host organisation within seven calendar days. </w:t>
      </w:r>
    </w:p>
    <w:p w14:paraId="2C72F608" w14:textId="77777777" w:rsidR="00CE5AAF" w:rsidRDefault="00E85A33">
      <w:pPr>
        <w:pStyle w:val="Heading2"/>
        <w:spacing w:after="404"/>
        <w:ind w:left="24" w:right="3507"/>
      </w:pPr>
      <w:r>
        <w:t>16</w:t>
      </w:r>
      <w:r>
        <w:rPr>
          <w:rFonts w:ascii="Arial" w:eastAsia="Arial" w:hAnsi="Arial" w:cs="Arial"/>
        </w:rPr>
        <w:t xml:space="preserve"> </w:t>
      </w:r>
      <w:r>
        <w:t xml:space="preserve">ETHICAL AND REGULATORY CONSIDERATIONS </w:t>
      </w:r>
    </w:p>
    <w:p w14:paraId="51556247" w14:textId="77777777" w:rsidR="00CE5AAF" w:rsidRDefault="00E85A33">
      <w:pPr>
        <w:pStyle w:val="Heading3"/>
        <w:tabs>
          <w:tab w:val="center" w:pos="1755"/>
        </w:tabs>
        <w:ind w:left="0" w:firstLine="0"/>
      </w:pPr>
      <w:r>
        <w:t>16.1</w:t>
      </w:r>
      <w:r>
        <w:rPr>
          <w:rFonts w:ascii="Arial" w:eastAsia="Arial" w:hAnsi="Arial" w:cs="Arial"/>
        </w:rPr>
        <w:t xml:space="preserve"> </w:t>
      </w:r>
      <w:r>
        <w:rPr>
          <w:rFonts w:ascii="Arial" w:eastAsia="Arial" w:hAnsi="Arial" w:cs="Arial"/>
        </w:rPr>
        <w:tab/>
      </w:r>
      <w:r>
        <w:t xml:space="preserve">Declaration of Helsinki </w:t>
      </w:r>
    </w:p>
    <w:p w14:paraId="53A821AC" w14:textId="77777777" w:rsidR="00CE5AAF" w:rsidRDefault="00E85A33">
      <w:pPr>
        <w:spacing w:after="16" w:line="259" w:lineRule="auto"/>
        <w:ind w:left="0" w:firstLine="0"/>
        <w:jc w:val="left"/>
      </w:pPr>
      <w:r>
        <w:t xml:space="preserve"> </w:t>
      </w:r>
    </w:p>
    <w:p w14:paraId="7420A231" w14:textId="77777777" w:rsidR="00CE5AAF" w:rsidRDefault="00E85A33">
      <w:pPr>
        <w:spacing w:after="515"/>
        <w:ind w:left="24"/>
      </w:pPr>
      <w:r>
        <w:t xml:space="preserve">The Investigator will ensure that this trial is conducted in accordance with the principles of the Declaration of Helsinki.  </w:t>
      </w:r>
    </w:p>
    <w:p w14:paraId="22FB226C" w14:textId="77777777" w:rsidR="00CE5AAF" w:rsidRDefault="00E85A33">
      <w:pPr>
        <w:pStyle w:val="Heading3"/>
        <w:tabs>
          <w:tab w:val="center" w:pos="2373"/>
        </w:tabs>
        <w:ind w:left="0" w:firstLine="0"/>
      </w:pPr>
      <w:r>
        <w:t>16.2</w:t>
      </w:r>
      <w:r>
        <w:rPr>
          <w:rFonts w:ascii="Arial" w:eastAsia="Arial" w:hAnsi="Arial" w:cs="Arial"/>
        </w:rPr>
        <w:t xml:space="preserve"> </w:t>
      </w:r>
      <w:r>
        <w:rPr>
          <w:rFonts w:ascii="Arial" w:eastAsia="Arial" w:hAnsi="Arial" w:cs="Arial"/>
        </w:rPr>
        <w:tab/>
      </w:r>
      <w:r>
        <w:t xml:space="preserve">Guidelines for Good Clinical Practice </w:t>
      </w:r>
    </w:p>
    <w:p w14:paraId="17643D03" w14:textId="77777777" w:rsidR="00CE5AAF" w:rsidRDefault="00E85A33">
      <w:pPr>
        <w:spacing w:after="19" w:line="259" w:lineRule="auto"/>
        <w:ind w:left="0" w:firstLine="0"/>
        <w:jc w:val="left"/>
      </w:pPr>
      <w:r>
        <w:t xml:space="preserve"> </w:t>
      </w:r>
    </w:p>
    <w:p w14:paraId="7B856345" w14:textId="77777777" w:rsidR="00CE5AAF" w:rsidRDefault="00E85A33">
      <w:pPr>
        <w:spacing w:after="514"/>
        <w:ind w:left="24"/>
      </w:pPr>
      <w:r>
        <w:t xml:space="preserve">The Investigator will ensure that this trial is conducted in accordance with relevant regulations and with Good Clinical Practice. </w:t>
      </w:r>
    </w:p>
    <w:p w14:paraId="473E3D56" w14:textId="77777777" w:rsidR="00CE5AAF" w:rsidRDefault="00E85A33">
      <w:pPr>
        <w:pStyle w:val="Heading3"/>
        <w:tabs>
          <w:tab w:val="center" w:pos="1182"/>
        </w:tabs>
        <w:ind w:left="0" w:firstLine="0"/>
      </w:pPr>
      <w:r>
        <w:t>16.3</w:t>
      </w:r>
      <w:r>
        <w:rPr>
          <w:rFonts w:ascii="Arial" w:eastAsia="Arial" w:hAnsi="Arial" w:cs="Arial"/>
        </w:rPr>
        <w:t xml:space="preserve"> </w:t>
      </w:r>
      <w:r>
        <w:rPr>
          <w:rFonts w:ascii="Arial" w:eastAsia="Arial" w:hAnsi="Arial" w:cs="Arial"/>
        </w:rPr>
        <w:tab/>
      </w:r>
      <w:r>
        <w:t xml:space="preserve">Approvals </w:t>
      </w:r>
    </w:p>
    <w:p w14:paraId="39C3DC0B" w14:textId="77777777" w:rsidR="00CE5AAF" w:rsidRDefault="00E85A33">
      <w:pPr>
        <w:spacing w:after="19" w:line="259" w:lineRule="auto"/>
        <w:ind w:left="0" w:firstLine="0"/>
        <w:jc w:val="left"/>
      </w:pPr>
      <w:r>
        <w:t xml:space="preserve"> </w:t>
      </w:r>
    </w:p>
    <w:p w14:paraId="29DD56A2" w14:textId="77777777" w:rsidR="00CE5AAF" w:rsidRDefault="00E85A33">
      <w:pPr>
        <w:ind w:left="24"/>
      </w:pPr>
      <w:r>
        <w:t xml:space="preserve">The protocol, informed consent form, participant information sheet and any proposed advertising material will be submitted to an appropriate Research Ethics Committee (REC), HRA (where required), regulatory authorities (MHRA in the UK), and host institution(s) for written approval. </w:t>
      </w:r>
    </w:p>
    <w:p w14:paraId="2B514704" w14:textId="77777777" w:rsidR="00CE5AAF" w:rsidRDefault="00E85A33">
      <w:pPr>
        <w:ind w:left="24"/>
      </w:pPr>
      <w:r>
        <w:t xml:space="preserve">The Investigator will submit and, where necessary, obtain approval from the above parties for all substantial amendments to the original approved documents. </w:t>
      </w:r>
    </w:p>
    <w:p w14:paraId="681E26D6" w14:textId="77777777" w:rsidR="00CE5AAF" w:rsidRDefault="00E85A33">
      <w:pPr>
        <w:pStyle w:val="Heading3"/>
        <w:tabs>
          <w:tab w:val="center" w:pos="1172"/>
        </w:tabs>
        <w:ind w:left="0" w:firstLine="0"/>
      </w:pPr>
      <w:r>
        <w:t>16.4</w:t>
      </w:r>
      <w:r>
        <w:rPr>
          <w:rFonts w:ascii="Arial" w:eastAsia="Arial" w:hAnsi="Arial" w:cs="Arial"/>
        </w:rPr>
        <w:t xml:space="preserve"> </w:t>
      </w:r>
      <w:r>
        <w:rPr>
          <w:rFonts w:ascii="Arial" w:eastAsia="Arial" w:hAnsi="Arial" w:cs="Arial"/>
        </w:rPr>
        <w:tab/>
      </w:r>
      <w:r>
        <w:t xml:space="preserve">Reporting </w:t>
      </w:r>
    </w:p>
    <w:p w14:paraId="67C4DD65" w14:textId="77777777" w:rsidR="00CE5AAF" w:rsidRDefault="00E85A33">
      <w:pPr>
        <w:spacing w:after="19" w:line="259" w:lineRule="auto"/>
        <w:ind w:left="0" w:firstLine="0"/>
        <w:jc w:val="left"/>
      </w:pPr>
      <w:r>
        <w:t xml:space="preserve"> </w:t>
      </w:r>
    </w:p>
    <w:p w14:paraId="066E5CFD" w14:textId="77777777" w:rsidR="00CE5AAF" w:rsidRDefault="00E85A33">
      <w:pPr>
        <w:ind w:left="24"/>
      </w:pPr>
      <w:r>
        <w:t xml:space="preserve">The CI shall submit once a year throughout the clinical trial, or on request, an Annual Progress Report to the REC, HRA (where required), host organisation, Sponsor and MCM.   </w:t>
      </w:r>
    </w:p>
    <w:p w14:paraId="52F1FB99" w14:textId="77777777" w:rsidR="00CE5AAF" w:rsidRDefault="00E85A33">
      <w:pPr>
        <w:spacing w:after="515"/>
        <w:ind w:left="24"/>
      </w:pPr>
      <w:r>
        <w:t xml:space="preserve">In addition, an End of Trial notification and final report will be submitted to the MHRA, the REC, host organisation and Sponsor. </w:t>
      </w:r>
    </w:p>
    <w:p w14:paraId="284E046F" w14:textId="77777777" w:rsidR="00CE5AAF" w:rsidRDefault="00E85A33">
      <w:pPr>
        <w:pStyle w:val="Heading3"/>
        <w:tabs>
          <w:tab w:val="center" w:pos="1922"/>
        </w:tabs>
        <w:ind w:left="0" w:firstLine="0"/>
      </w:pPr>
      <w:r>
        <w:t>16.5</w:t>
      </w:r>
      <w:r>
        <w:rPr>
          <w:rFonts w:ascii="Arial" w:eastAsia="Arial" w:hAnsi="Arial" w:cs="Arial"/>
        </w:rPr>
        <w:t xml:space="preserve"> </w:t>
      </w:r>
      <w:r>
        <w:rPr>
          <w:rFonts w:ascii="Arial" w:eastAsia="Arial" w:hAnsi="Arial" w:cs="Arial"/>
        </w:rPr>
        <w:tab/>
      </w:r>
      <w:r>
        <w:t xml:space="preserve">Participant Confidentiality </w:t>
      </w:r>
    </w:p>
    <w:p w14:paraId="540CE6B9" w14:textId="77777777" w:rsidR="00CE5AAF" w:rsidRDefault="00E85A33">
      <w:pPr>
        <w:spacing w:after="16" w:line="259" w:lineRule="auto"/>
        <w:ind w:left="0" w:firstLine="0"/>
        <w:jc w:val="left"/>
      </w:pPr>
      <w:r>
        <w:t xml:space="preserve"> </w:t>
      </w:r>
    </w:p>
    <w:p w14:paraId="0DFC1D3A" w14:textId="77777777" w:rsidR="00CE5AAF" w:rsidRDefault="00E85A33">
      <w:pPr>
        <w:spacing w:after="515"/>
        <w:ind w:left="24"/>
      </w:pPr>
      <w:r>
        <w:t xml:space="preserve">The trial staff will ensure that the participants’ anonymity is maintained.  The participants will be identified only by a participant ID number on all trial documents and any electronic database, with the exception of the CRF, where participant initials may be added.  All documents will be stored securely and only accessible by trial staff and authorised personnel. The trial will comply with the General Data Protection Regulation (GDPR), including the requirement that data to be anonymised as soon as it is practical to do so. </w:t>
      </w:r>
    </w:p>
    <w:p w14:paraId="1BFA01A1" w14:textId="77777777" w:rsidR="00CE5AAF" w:rsidRDefault="00E85A33">
      <w:pPr>
        <w:tabs>
          <w:tab w:val="center" w:pos="1740"/>
        </w:tabs>
        <w:spacing w:after="13" w:line="265" w:lineRule="auto"/>
        <w:ind w:left="0" w:firstLine="0"/>
        <w:jc w:val="left"/>
      </w:pPr>
      <w:r>
        <w:rPr>
          <w:b/>
        </w:rPr>
        <w:t>16.6</w:t>
      </w:r>
      <w:r>
        <w:rPr>
          <w:rFonts w:ascii="Arial" w:eastAsia="Arial" w:hAnsi="Arial" w:cs="Arial"/>
          <w:b/>
        </w:rPr>
        <w:t xml:space="preserve"> </w:t>
      </w:r>
      <w:r>
        <w:rPr>
          <w:rFonts w:ascii="Arial" w:eastAsia="Arial" w:hAnsi="Arial" w:cs="Arial"/>
          <w:b/>
        </w:rPr>
        <w:tab/>
      </w:r>
      <w:r>
        <w:rPr>
          <w:b/>
        </w:rPr>
        <w:t xml:space="preserve">Expenses and Benefits </w:t>
      </w:r>
    </w:p>
    <w:p w14:paraId="611D42DF" w14:textId="77777777" w:rsidR="00CE5AAF" w:rsidRDefault="00E85A33">
      <w:pPr>
        <w:spacing w:after="21" w:line="259" w:lineRule="auto"/>
        <w:ind w:left="0" w:firstLine="0"/>
        <w:jc w:val="left"/>
      </w:pPr>
      <w:r>
        <w:t xml:space="preserve"> </w:t>
      </w:r>
    </w:p>
    <w:p w14:paraId="3A9B467E" w14:textId="77777777" w:rsidR="00CE5AAF" w:rsidRDefault="00E85A33">
      <w:pPr>
        <w:spacing w:after="519"/>
        <w:ind w:left="24"/>
      </w:pPr>
      <w:r>
        <w:t xml:space="preserve">As study visits will be occurring in the participant’s homes, reimbursement will not be necessary.  </w:t>
      </w:r>
    </w:p>
    <w:p w14:paraId="71EC35AC" w14:textId="77777777" w:rsidR="00CE5AAF" w:rsidRDefault="00E85A33">
      <w:pPr>
        <w:pStyle w:val="Heading3"/>
        <w:tabs>
          <w:tab w:val="center" w:pos="2022"/>
        </w:tabs>
        <w:ind w:left="0" w:firstLine="0"/>
      </w:pPr>
      <w:r>
        <w:t>16.7</w:t>
      </w:r>
      <w:r>
        <w:rPr>
          <w:rFonts w:ascii="Arial" w:eastAsia="Arial" w:hAnsi="Arial" w:cs="Arial"/>
        </w:rPr>
        <w:t xml:space="preserve"> </w:t>
      </w:r>
      <w:r>
        <w:rPr>
          <w:rFonts w:ascii="Arial" w:eastAsia="Arial" w:hAnsi="Arial" w:cs="Arial"/>
        </w:rPr>
        <w:tab/>
      </w:r>
      <w:r>
        <w:t xml:space="preserve">Other Ethical Considerations </w:t>
      </w:r>
    </w:p>
    <w:p w14:paraId="0DD408E4" w14:textId="77777777" w:rsidR="00CE5AAF" w:rsidRDefault="00E85A33">
      <w:pPr>
        <w:spacing w:after="215" w:line="259" w:lineRule="auto"/>
        <w:ind w:left="0" w:firstLine="0"/>
        <w:jc w:val="left"/>
      </w:pPr>
      <w:r>
        <w:t xml:space="preserve"> </w:t>
      </w:r>
    </w:p>
    <w:p w14:paraId="1A65BA9E" w14:textId="5A03E9F0" w:rsidR="00CE5AAF" w:rsidRDefault="00E85A33">
      <w:pPr>
        <w:ind w:left="24"/>
      </w:pPr>
      <w:r>
        <w:t>There is a potential for co-administration of 6 in 1-</w:t>
      </w:r>
      <w:r w:rsidR="00BA1022">
        <w:t>(</w:t>
      </w:r>
      <w:r>
        <w:t>V</w:t>
      </w:r>
      <w:r w:rsidR="00BA1022">
        <w:t>)</w:t>
      </w:r>
      <w:r>
        <w:t xml:space="preserve"> and MenB vaccines to influence the immune responses to the Hib component of 6 in 1-</w:t>
      </w:r>
      <w:r w:rsidR="00BA1022">
        <w:t>(</w:t>
      </w:r>
      <w:r>
        <w:t>V</w:t>
      </w:r>
      <w:r w:rsidR="00BA1022">
        <w:t>)</w:t>
      </w:r>
      <w:r>
        <w:t xml:space="preserve">, either enhancing or inhibiting the immunogenicity of this component.  If any participants (in either group) have a sub-optimal response to the Hib component of the immunisation schedule (i.e. anti-PRP IgG &lt; 1.0 mg/ml at 13 months of age), their GP will be contacted and advised that the participant requires an additional dose of the Hib-MenC combination vaccine. The HibMenC vaccine is used in the UK to boost protection against Hib disease and protects against meningococcal disease caused by type C Neisseria meningitidis bacteria. In the UK the Hib-MenC vaccine is given at 12-13 months (the brand name of the vaccine used in the UK schedule is Menitorix). </w:t>
      </w:r>
    </w:p>
    <w:p w14:paraId="42348DB1" w14:textId="03ACCB9C" w:rsidR="00CE5AAF" w:rsidRDefault="00E85A33" w:rsidP="008A74EC">
      <w:pPr>
        <w:ind w:left="24"/>
      </w:pPr>
      <w:r>
        <w:t xml:space="preserve">Due to the need to obtain maternal immunisation history, if available, the participant’s mother will be asked to give consent to access her immunisation history. </w:t>
      </w:r>
    </w:p>
    <w:p w14:paraId="170BCBBC" w14:textId="77777777" w:rsidR="008A74EC" w:rsidRDefault="008A74EC" w:rsidP="008A74EC">
      <w:pPr>
        <w:ind w:left="24"/>
      </w:pPr>
    </w:p>
    <w:p w14:paraId="752C9338" w14:textId="77777777" w:rsidR="00CE5AAF" w:rsidRDefault="00E85A33">
      <w:pPr>
        <w:pStyle w:val="Heading2"/>
        <w:spacing w:after="524"/>
        <w:ind w:left="24" w:right="3507"/>
      </w:pPr>
      <w:r>
        <w:t>17</w:t>
      </w:r>
      <w:r>
        <w:rPr>
          <w:rFonts w:ascii="Arial" w:eastAsia="Arial" w:hAnsi="Arial" w:cs="Arial"/>
        </w:rPr>
        <w:t xml:space="preserve"> </w:t>
      </w:r>
      <w:r>
        <w:t xml:space="preserve">FINANCE AND INSURANCE </w:t>
      </w:r>
    </w:p>
    <w:p w14:paraId="4A18B5F7" w14:textId="77777777" w:rsidR="00CE5AAF" w:rsidRDefault="00E85A33">
      <w:pPr>
        <w:tabs>
          <w:tab w:val="center" w:pos="1086"/>
        </w:tabs>
        <w:spacing w:after="13" w:line="265" w:lineRule="auto"/>
        <w:ind w:left="0" w:firstLine="0"/>
        <w:jc w:val="left"/>
      </w:pPr>
      <w:r>
        <w:rPr>
          <w:b/>
        </w:rPr>
        <w:t>17.1</w:t>
      </w:r>
      <w:r>
        <w:rPr>
          <w:rFonts w:ascii="Arial" w:eastAsia="Arial" w:hAnsi="Arial" w:cs="Arial"/>
          <w:b/>
        </w:rPr>
        <w:t xml:space="preserve"> </w:t>
      </w:r>
      <w:r>
        <w:rPr>
          <w:rFonts w:ascii="Arial" w:eastAsia="Arial" w:hAnsi="Arial" w:cs="Arial"/>
          <w:b/>
        </w:rPr>
        <w:tab/>
      </w:r>
      <w:r>
        <w:rPr>
          <w:b/>
        </w:rPr>
        <w:t xml:space="preserve">Funding </w:t>
      </w:r>
    </w:p>
    <w:p w14:paraId="3109B0DA" w14:textId="77777777" w:rsidR="00CE5AAF" w:rsidRDefault="00E85A33">
      <w:pPr>
        <w:spacing w:after="19" w:line="259" w:lineRule="auto"/>
        <w:ind w:left="0" w:firstLine="0"/>
        <w:jc w:val="left"/>
      </w:pPr>
      <w:r>
        <w:t xml:space="preserve"> </w:t>
      </w:r>
    </w:p>
    <w:p w14:paraId="5BD27927" w14:textId="77777777" w:rsidR="00CE5AAF" w:rsidRDefault="00E85A33">
      <w:pPr>
        <w:spacing w:after="518"/>
        <w:ind w:left="24"/>
      </w:pPr>
      <w:r>
        <w:t xml:space="preserve">This study will be funded by MCM. </w:t>
      </w:r>
    </w:p>
    <w:p w14:paraId="347EC4D4" w14:textId="77777777" w:rsidR="00CE5AAF" w:rsidRDefault="00E85A33">
      <w:pPr>
        <w:pStyle w:val="Heading3"/>
        <w:tabs>
          <w:tab w:val="center" w:pos="1167"/>
        </w:tabs>
        <w:ind w:left="0" w:firstLine="0"/>
      </w:pPr>
      <w:r>
        <w:t>17.2</w:t>
      </w:r>
      <w:r>
        <w:rPr>
          <w:rFonts w:ascii="Arial" w:eastAsia="Arial" w:hAnsi="Arial" w:cs="Arial"/>
        </w:rPr>
        <w:t xml:space="preserve"> </w:t>
      </w:r>
      <w:r>
        <w:rPr>
          <w:rFonts w:ascii="Arial" w:eastAsia="Arial" w:hAnsi="Arial" w:cs="Arial"/>
        </w:rPr>
        <w:tab/>
      </w:r>
      <w:r>
        <w:t xml:space="preserve">Insurance </w:t>
      </w:r>
    </w:p>
    <w:p w14:paraId="7E51D5EC" w14:textId="77777777" w:rsidR="00CE5AAF" w:rsidRDefault="00E85A33">
      <w:pPr>
        <w:spacing w:after="19" w:line="259" w:lineRule="auto"/>
        <w:ind w:left="0" w:firstLine="0"/>
        <w:jc w:val="left"/>
      </w:pPr>
      <w:r>
        <w:t xml:space="preserve"> </w:t>
      </w:r>
    </w:p>
    <w:p w14:paraId="2488C7EE" w14:textId="77777777" w:rsidR="00CE5AAF" w:rsidRDefault="00E85A33">
      <w:pPr>
        <w:spacing w:after="516"/>
        <w:ind w:left="24"/>
      </w:pPr>
      <w:r>
        <w:t xml:space="preserve">The University has a specialist insurance policy in place which would operate in the event of any participant suffering harm as a result of their involvement in the research (Newline Underwriting Management Ltd, at Lloyd’s of London).  NHS indemnity operates in respect of the clinical treatment that is provided. </w:t>
      </w:r>
    </w:p>
    <w:p w14:paraId="2E6ABF6B" w14:textId="77777777" w:rsidR="00CE5AAF" w:rsidRDefault="00E85A33">
      <w:pPr>
        <w:pStyle w:val="Heading2"/>
        <w:ind w:left="24" w:right="3507"/>
      </w:pPr>
      <w:r>
        <w:t>18</w:t>
      </w:r>
      <w:r>
        <w:rPr>
          <w:rFonts w:ascii="Arial" w:eastAsia="Arial" w:hAnsi="Arial" w:cs="Arial"/>
        </w:rPr>
        <w:t xml:space="preserve"> </w:t>
      </w:r>
      <w:r>
        <w:t xml:space="preserve">PUBLICATION POLICY </w:t>
      </w:r>
    </w:p>
    <w:p w14:paraId="503E2A10" w14:textId="77777777" w:rsidR="00CE5AAF" w:rsidRDefault="00E85A33">
      <w:pPr>
        <w:spacing w:after="19" w:line="259" w:lineRule="auto"/>
        <w:ind w:left="0" w:firstLine="0"/>
        <w:jc w:val="left"/>
      </w:pPr>
      <w:r>
        <w:t xml:space="preserve"> </w:t>
      </w:r>
    </w:p>
    <w:p w14:paraId="7BE07882" w14:textId="4B41AFCB" w:rsidR="00CE5AAF" w:rsidRDefault="00E85A33">
      <w:pPr>
        <w:spacing w:after="11"/>
        <w:ind w:left="24"/>
      </w:pPr>
      <w:r>
        <w:t xml:space="preserve">The Investigators will co-ordinate dissemination of data from this study.  All publications (e.g., manuscripts, abstracts, oral/slide presentations, book chapters) based on this study will be reviewed by each </w:t>
      </w:r>
      <w:r w:rsidR="008D0FE5">
        <w:t>sub investigator</w:t>
      </w:r>
      <w:r>
        <w:t xml:space="preserve"> prior to submission. Authors will acknowledge that the study funded by MCM. Authorship will be determined in accordance with the ICMJE</w:t>
      </w:r>
      <w:r>
        <w:rPr>
          <w:rFonts w:ascii="Arial" w:eastAsia="Arial" w:hAnsi="Arial" w:cs="Arial"/>
          <w:color w:val="545454"/>
        </w:rPr>
        <w:t xml:space="preserve"> </w:t>
      </w:r>
      <w:r>
        <w:t xml:space="preserve">(International Committee of Medical Journal Editors) guidelines and other contributors will be acknowledged. </w:t>
      </w:r>
    </w:p>
    <w:p w14:paraId="6D7C051D" w14:textId="77777777" w:rsidR="00CE5AAF" w:rsidRDefault="00E85A33">
      <w:pPr>
        <w:spacing w:after="19" w:line="259" w:lineRule="auto"/>
        <w:ind w:left="0" w:firstLine="0"/>
        <w:jc w:val="left"/>
      </w:pPr>
      <w:r>
        <w:t xml:space="preserve"> </w:t>
      </w:r>
    </w:p>
    <w:p w14:paraId="1AE4E9E6" w14:textId="284671A6" w:rsidR="00CE5AAF" w:rsidRDefault="00E85A33" w:rsidP="008A74EC">
      <w:pPr>
        <w:ind w:left="24"/>
      </w:pPr>
      <w:r>
        <w:t xml:space="preserve">Further details of funders review prior to publication will be outlined in the Clinical Trials agreement. </w:t>
      </w:r>
    </w:p>
    <w:p w14:paraId="5AEDE708" w14:textId="77777777" w:rsidR="00CE5AAF" w:rsidRDefault="00E85A33">
      <w:pPr>
        <w:spacing w:after="0" w:line="259" w:lineRule="auto"/>
        <w:ind w:left="0" w:firstLine="0"/>
        <w:jc w:val="left"/>
      </w:pPr>
      <w:r>
        <w:t xml:space="preserve"> </w:t>
      </w:r>
    </w:p>
    <w:p w14:paraId="73C50CDF" w14:textId="77777777" w:rsidR="00CE5AAF" w:rsidRDefault="00E85A33">
      <w:pPr>
        <w:pStyle w:val="Heading1"/>
        <w:ind w:left="24"/>
      </w:pPr>
      <w:r>
        <w:rPr>
          <w:sz w:val="22"/>
        </w:rPr>
        <w:t>19</w:t>
      </w:r>
      <w:r>
        <w:rPr>
          <w:rFonts w:ascii="Arial" w:eastAsia="Arial" w:hAnsi="Arial" w:cs="Arial"/>
          <w:sz w:val="22"/>
        </w:rPr>
        <w:t xml:space="preserve"> </w:t>
      </w:r>
      <w:r>
        <w:t>REFERENCES</w:t>
      </w:r>
      <w:r>
        <w:rPr>
          <w:sz w:val="22"/>
        </w:rPr>
        <w:t xml:space="preserve"> </w:t>
      </w:r>
    </w:p>
    <w:p w14:paraId="698BC796" w14:textId="77777777" w:rsidR="00CE5AAF" w:rsidRDefault="00E85A33">
      <w:pPr>
        <w:spacing w:after="0" w:line="259" w:lineRule="auto"/>
        <w:ind w:left="0" w:firstLine="0"/>
        <w:jc w:val="left"/>
      </w:pPr>
      <w:r>
        <w:rPr>
          <w:b/>
          <w:sz w:val="24"/>
        </w:rPr>
        <w:t xml:space="preserve"> </w:t>
      </w:r>
    </w:p>
    <w:p w14:paraId="3274BA02" w14:textId="77777777" w:rsidR="00CE5AAF" w:rsidRDefault="00E85A33">
      <w:pPr>
        <w:numPr>
          <w:ilvl w:val="0"/>
          <w:numId w:val="15"/>
        </w:numPr>
        <w:spacing w:after="4"/>
        <w:ind w:hanging="324"/>
        <w:jc w:val="left"/>
      </w:pPr>
      <w:r>
        <w:rPr>
          <w:b/>
        </w:rPr>
        <w:t>European Medicines Agency.</w:t>
      </w:r>
      <w:r>
        <w:t xml:space="preserve"> Infanrix Hexa. </w:t>
      </w:r>
      <w:r>
        <w:rPr>
          <w:i/>
        </w:rPr>
        <w:t xml:space="preserve">Annex 1 Summary of Product Characteristics. </w:t>
      </w:r>
      <w:r>
        <w:t xml:space="preserve">[Online] March 23, 2018. [Cited: March 26, 2018.] </w:t>
      </w:r>
    </w:p>
    <w:p w14:paraId="4310A383" w14:textId="77777777" w:rsidR="00CE5AAF" w:rsidRDefault="00E85A33">
      <w:pPr>
        <w:ind w:left="24"/>
      </w:pPr>
      <w:r>
        <w:t>http://www.ema.europa.eu/docs/en_GB/document_library/EPAR__Product_Information/human/000296/WC500032505.pdf.</w:t>
      </w:r>
      <w:r>
        <w:rPr>
          <w:sz w:val="24"/>
        </w:rPr>
        <w:t xml:space="preserve"> </w:t>
      </w:r>
    </w:p>
    <w:p w14:paraId="705DA8B0" w14:textId="77777777" w:rsidR="00CE5AAF" w:rsidRDefault="00E85A33">
      <w:pPr>
        <w:numPr>
          <w:ilvl w:val="0"/>
          <w:numId w:val="15"/>
        </w:numPr>
        <w:spacing w:after="198" w:line="275" w:lineRule="auto"/>
        <w:ind w:hanging="324"/>
        <w:jc w:val="left"/>
      </w:pPr>
      <w:r>
        <w:rPr>
          <w:b/>
        </w:rPr>
        <w:t>European Medicines Agency</w:t>
      </w:r>
      <w:r>
        <w:t xml:space="preserve">. Vaxelis. </w:t>
      </w:r>
      <w:r>
        <w:rPr>
          <w:i/>
        </w:rPr>
        <w:t xml:space="preserve">Annex 1 Summary of Product Characteristics. </w:t>
      </w:r>
      <w:r>
        <w:t xml:space="preserve">[Online] June 15, 2018. [Cited: June 27, 2018.] http://www.ema.europa.eu/docs/en_GB/document_library/EPAR__Product_Information/human/003982/WC500202435.pdf. </w:t>
      </w:r>
    </w:p>
    <w:p w14:paraId="541D4872" w14:textId="77777777" w:rsidR="00CE5AAF" w:rsidRDefault="00E85A33">
      <w:pPr>
        <w:numPr>
          <w:ilvl w:val="0"/>
          <w:numId w:val="15"/>
        </w:numPr>
        <w:ind w:hanging="324"/>
        <w:jc w:val="left"/>
      </w:pPr>
      <w:r>
        <w:rPr>
          <w:i/>
        </w:rPr>
        <w:t xml:space="preserve">Hepatitis B virus infection. </w:t>
      </w:r>
      <w:r>
        <w:rPr>
          <w:b/>
        </w:rPr>
        <w:t>Trepo, C, Chan, H and Lok, A.</w:t>
      </w:r>
      <w:r>
        <w:t xml:space="preserve"> s.l. : The Lancet, 2014, Vol. 384. </w:t>
      </w:r>
    </w:p>
    <w:p w14:paraId="02711575" w14:textId="77777777" w:rsidR="00CE5AAF" w:rsidRDefault="00E85A33">
      <w:pPr>
        <w:numPr>
          <w:ilvl w:val="0"/>
          <w:numId w:val="15"/>
        </w:numPr>
        <w:ind w:hanging="324"/>
        <w:jc w:val="left"/>
      </w:pPr>
      <w:r>
        <w:rPr>
          <w:b/>
        </w:rPr>
        <w:t>Public Health England.</w:t>
      </w:r>
      <w:r>
        <w:t xml:space="preserve"> Acute Hepatitis B (England): annual reports. [Online] August 22, 2014. [Cited: March 25, 2018.] https://www.gov.uk/government/publications/hepatitis-b-annual-report-for-2013. </w:t>
      </w:r>
    </w:p>
    <w:p w14:paraId="4750ED64" w14:textId="77777777" w:rsidR="00CE5AAF" w:rsidRDefault="00E85A33">
      <w:pPr>
        <w:numPr>
          <w:ilvl w:val="0"/>
          <w:numId w:val="15"/>
        </w:numPr>
        <w:ind w:hanging="324"/>
        <w:jc w:val="left"/>
      </w:pPr>
      <w:r>
        <w:rPr>
          <w:i/>
        </w:rPr>
        <w:t xml:space="preserve">Hexavalent vaccines for immunisation in paediatric age. </w:t>
      </w:r>
      <w:r>
        <w:rPr>
          <w:b/>
        </w:rPr>
        <w:t>Esposito, S, et al.</w:t>
      </w:r>
      <w:r>
        <w:t xml:space="preserve"> 1111, s.l. : Clinical microbiology and infection, 2013, Vol. 10. </w:t>
      </w:r>
    </w:p>
    <w:p w14:paraId="06AFDE8A" w14:textId="77777777" w:rsidR="00CE5AAF" w:rsidRDefault="00E85A33">
      <w:pPr>
        <w:numPr>
          <w:ilvl w:val="0"/>
          <w:numId w:val="15"/>
        </w:numPr>
        <w:spacing w:after="205" w:line="269" w:lineRule="auto"/>
        <w:ind w:hanging="324"/>
        <w:jc w:val="left"/>
      </w:pPr>
      <w:r>
        <w:rPr>
          <w:i/>
        </w:rPr>
        <w:t xml:space="preserve">Haemophilus influenzae Type b Reemergence after Combination Immunisation. </w:t>
      </w:r>
      <w:r>
        <w:rPr>
          <w:b/>
        </w:rPr>
        <w:t>Johnson, N G, et al.</w:t>
      </w:r>
      <w:r>
        <w:t xml:space="preserve"> 6, s.l. : Emerging Infectious Diseases, 2006, Vol. 12. </w:t>
      </w:r>
    </w:p>
    <w:p w14:paraId="23F90A02" w14:textId="77777777" w:rsidR="00CE5AAF" w:rsidRDefault="00E85A33">
      <w:pPr>
        <w:numPr>
          <w:ilvl w:val="0"/>
          <w:numId w:val="15"/>
        </w:numPr>
        <w:spacing w:after="198" w:line="275" w:lineRule="auto"/>
        <w:ind w:hanging="324"/>
        <w:jc w:val="left"/>
      </w:pPr>
      <w:r>
        <w:rPr>
          <w:b/>
        </w:rPr>
        <w:t>Australian Government Department of Health.</w:t>
      </w:r>
      <w:r>
        <w:t xml:space="preserve"> The Australian Immunisation Handbook 10th Edition. </w:t>
      </w:r>
      <w:r>
        <w:rPr>
          <w:i/>
        </w:rPr>
        <w:t xml:space="preserve">2.3 Post-vaccination. </w:t>
      </w:r>
      <w:r>
        <w:t xml:space="preserve">[Online] August 01, 2017. [Cited: March 25, 2018.] http://www.immunise.health.gov.au/internet/immunise/publishing.nsf/Content/Handbook10home~handbook10part2~handbook10-2-3. </w:t>
      </w:r>
    </w:p>
    <w:p w14:paraId="2401B935" w14:textId="77777777" w:rsidR="00CE5AAF" w:rsidRDefault="00E85A33">
      <w:pPr>
        <w:numPr>
          <w:ilvl w:val="0"/>
          <w:numId w:val="15"/>
        </w:numPr>
        <w:spacing w:after="198" w:line="275" w:lineRule="auto"/>
        <w:ind w:hanging="324"/>
        <w:jc w:val="left"/>
      </w:pPr>
      <w:r>
        <w:rPr>
          <w:b/>
        </w:rPr>
        <w:t>European Commission of Public Health.</w:t>
      </w:r>
      <w:r>
        <w:t xml:space="preserve"> European Commission of Public Health. [Online] September 18, 2017. [Cited: March 25, 2018.] https://ec.europa.eu/health/sites/health/files/files/eudralex/vol10/2017_09_18_ethical_consid_ct_with_minors.pdf. </w:t>
      </w:r>
    </w:p>
    <w:p w14:paraId="712AEEDB" w14:textId="77777777" w:rsidR="00CE5AAF" w:rsidRDefault="00E85A33">
      <w:pPr>
        <w:numPr>
          <w:ilvl w:val="0"/>
          <w:numId w:val="15"/>
        </w:numPr>
        <w:spacing w:after="198" w:line="275" w:lineRule="auto"/>
        <w:ind w:hanging="324"/>
        <w:jc w:val="left"/>
      </w:pPr>
      <w:r>
        <w:rPr>
          <w:b/>
        </w:rPr>
        <w:t>European Medicines Agency.</w:t>
      </w:r>
      <w:r>
        <w:t xml:space="preserve"> Bexsero. </w:t>
      </w:r>
      <w:r>
        <w:rPr>
          <w:i/>
        </w:rPr>
        <w:t xml:space="preserve">Annex 1 - Summary of Product Characteristics. </w:t>
      </w:r>
      <w:r>
        <w:t xml:space="preserve">[Online] February 16, 2018. [Cited: June 26, 2018.] http://www.ema.europa.eu/docs/en_GB/document_library/EPAR__Product_Information/human/002333/WC500137881.pdf. </w:t>
      </w:r>
    </w:p>
    <w:p w14:paraId="171A4823" w14:textId="77777777" w:rsidR="00CE5AAF" w:rsidRDefault="00E85A33">
      <w:pPr>
        <w:numPr>
          <w:ilvl w:val="0"/>
          <w:numId w:val="15"/>
        </w:numPr>
        <w:spacing w:after="198" w:line="275" w:lineRule="auto"/>
        <w:ind w:hanging="324"/>
        <w:jc w:val="left"/>
      </w:pPr>
      <w:r>
        <w:rPr>
          <w:b/>
        </w:rPr>
        <w:t>Public Health England.</w:t>
      </w:r>
      <w:r>
        <w:t xml:space="preserve"> Using paracetamol to prevent and treat fever after MenB vaccination. [Online] December 9, 2015. [Cited: June 26, 2018.] https://assets.publishing.service.gov.uk/government/uploads/system/uploads/attachment_data/file/71 7281/PHE_paracetamol-menB-A4-2018_01.pdf. </w:t>
      </w:r>
    </w:p>
    <w:p w14:paraId="664E34DD" w14:textId="77777777" w:rsidR="00CE5AAF" w:rsidRDefault="00E85A33">
      <w:pPr>
        <w:numPr>
          <w:ilvl w:val="0"/>
          <w:numId w:val="15"/>
        </w:numPr>
        <w:spacing w:after="198" w:line="275" w:lineRule="auto"/>
        <w:ind w:hanging="324"/>
        <w:jc w:val="left"/>
      </w:pPr>
      <w:r>
        <w:rPr>
          <w:b/>
        </w:rPr>
        <w:t>Public Health England</w:t>
      </w:r>
      <w:r>
        <w:t xml:space="preserve">. </w:t>
      </w:r>
      <w:r>
        <w:rPr>
          <w:i/>
        </w:rPr>
        <w:t xml:space="preserve">Immunisation against infectious disease. </w:t>
      </w:r>
      <w:r>
        <w:t xml:space="preserve">[Online] September 2, 2014. [Cited: April 10, 2018.] https://www.gov.uk/government/organisations/public-healthengland/series/immunisation-against-infectious-disease-the-green-book. </w:t>
      </w:r>
    </w:p>
    <w:p w14:paraId="614EED6E" w14:textId="77777777" w:rsidR="00CE5AAF" w:rsidRDefault="00E85A33">
      <w:pPr>
        <w:numPr>
          <w:ilvl w:val="0"/>
          <w:numId w:val="15"/>
        </w:numPr>
        <w:spacing w:after="205" w:line="269" w:lineRule="auto"/>
        <w:ind w:hanging="324"/>
        <w:jc w:val="left"/>
      </w:pPr>
      <w:r>
        <w:rPr>
          <w:i/>
        </w:rPr>
        <w:t xml:space="preserve">Interchangeability of meningococcal group C conjugate vaccines with different carrier proteins in the United Kingdom infant immunisation schedule. </w:t>
      </w:r>
      <w:r>
        <w:rPr>
          <w:b/>
        </w:rPr>
        <w:t>Ladhani, S N, et al.</w:t>
      </w:r>
      <w:r>
        <w:t xml:space="preserve"> 5, 2015, Vaccine, Vol. 33, pp. 648 - 655. </w:t>
      </w:r>
    </w:p>
    <w:p w14:paraId="2BF78B6D" w14:textId="77777777" w:rsidR="00CE5AAF" w:rsidRDefault="00E85A33">
      <w:pPr>
        <w:numPr>
          <w:ilvl w:val="0"/>
          <w:numId w:val="15"/>
        </w:numPr>
        <w:spacing w:after="10" w:line="269" w:lineRule="auto"/>
        <w:ind w:hanging="324"/>
        <w:jc w:val="left"/>
      </w:pPr>
      <w:r>
        <w:rPr>
          <w:i/>
        </w:rPr>
        <w:t xml:space="preserve">The protective level of serum antibodies to the capsular polysaccharide of Haeomphilus influenzae type </w:t>
      </w:r>
    </w:p>
    <w:p w14:paraId="52AC8EBE" w14:textId="77777777" w:rsidR="00CE5AAF" w:rsidRDefault="00E85A33">
      <w:pPr>
        <w:ind w:left="24"/>
      </w:pPr>
      <w:r>
        <w:rPr>
          <w:i/>
        </w:rPr>
        <w:t xml:space="preserve">b. </w:t>
      </w:r>
      <w:r>
        <w:rPr>
          <w:b/>
        </w:rPr>
        <w:t>Kayhty, H, et al.</w:t>
      </w:r>
      <w:r>
        <w:t xml:space="preserve"> 6, 1983, The Journal of Infectious Diseases, Vol. 147, p. 1100. </w:t>
      </w:r>
    </w:p>
    <w:p w14:paraId="40ECE710" w14:textId="77777777" w:rsidR="00CE5AAF" w:rsidRDefault="00E85A33">
      <w:pPr>
        <w:spacing w:after="530" w:line="259" w:lineRule="auto"/>
        <w:ind w:left="0" w:firstLine="0"/>
        <w:jc w:val="left"/>
      </w:pPr>
      <w:r>
        <w:t xml:space="preserve"> </w:t>
      </w:r>
    </w:p>
    <w:p w14:paraId="5B693B0F" w14:textId="2E5C2816" w:rsidR="00CE5AAF" w:rsidRDefault="00E85A33">
      <w:pPr>
        <w:pStyle w:val="Heading2"/>
        <w:ind w:left="24" w:right="3507"/>
      </w:pPr>
      <w:r>
        <w:t>20</w:t>
      </w:r>
      <w:r>
        <w:rPr>
          <w:rFonts w:ascii="Arial" w:eastAsia="Arial" w:hAnsi="Arial" w:cs="Arial"/>
        </w:rPr>
        <w:t xml:space="preserve"> </w:t>
      </w:r>
      <w:r>
        <w:t xml:space="preserve">APPENDIX </w:t>
      </w:r>
      <w:r w:rsidR="00012A53">
        <w:t>A</w:t>
      </w:r>
      <w:r>
        <w:t xml:space="preserve">:  AMENDMENT HISTORY </w:t>
      </w:r>
    </w:p>
    <w:p w14:paraId="6F0B9E04" w14:textId="77777777" w:rsidR="00CE5AAF" w:rsidRDefault="00E85A33">
      <w:pPr>
        <w:spacing w:after="0" w:line="259" w:lineRule="auto"/>
        <w:ind w:left="0" w:firstLine="0"/>
        <w:jc w:val="left"/>
      </w:pPr>
      <w:r>
        <w:t xml:space="preserve"> </w:t>
      </w:r>
    </w:p>
    <w:tbl>
      <w:tblPr>
        <w:tblStyle w:val="TableGrid"/>
        <w:tblW w:w="9645" w:type="dxa"/>
        <w:tblInd w:w="5" w:type="dxa"/>
        <w:tblCellMar>
          <w:top w:w="46" w:type="dxa"/>
          <w:right w:w="60" w:type="dxa"/>
        </w:tblCellMar>
        <w:tblLook w:val="04A0" w:firstRow="1" w:lastRow="0" w:firstColumn="1" w:lastColumn="0" w:noHBand="0" w:noVBand="1"/>
      </w:tblPr>
      <w:tblGrid>
        <w:gridCol w:w="1595"/>
        <w:gridCol w:w="1282"/>
        <w:gridCol w:w="1296"/>
        <w:gridCol w:w="1595"/>
        <w:gridCol w:w="296"/>
        <w:gridCol w:w="3581"/>
      </w:tblGrid>
      <w:tr w:rsidR="00CE5AAF" w14:paraId="6B5772AD" w14:textId="77777777" w:rsidTr="004E3544">
        <w:trPr>
          <w:trHeight w:val="830"/>
        </w:trPr>
        <w:tc>
          <w:tcPr>
            <w:tcW w:w="1595" w:type="dxa"/>
            <w:tcBorders>
              <w:top w:val="single" w:sz="4" w:space="0" w:color="000000"/>
              <w:left w:val="single" w:sz="4" w:space="0" w:color="000000"/>
              <w:bottom w:val="single" w:sz="4" w:space="0" w:color="000000"/>
              <w:right w:val="single" w:sz="4" w:space="0" w:color="000000"/>
            </w:tcBorders>
          </w:tcPr>
          <w:p w14:paraId="2BB9EB0D" w14:textId="77777777" w:rsidR="00CE5AAF" w:rsidRDefault="00E85A33">
            <w:pPr>
              <w:spacing w:after="0" w:line="259" w:lineRule="auto"/>
              <w:ind w:left="108" w:firstLine="0"/>
              <w:jc w:val="left"/>
            </w:pPr>
            <w:r>
              <w:rPr>
                <w:b/>
              </w:rPr>
              <w:t xml:space="preserve">Amendment </w:t>
            </w:r>
          </w:p>
          <w:p w14:paraId="167B2545" w14:textId="77777777" w:rsidR="00CE5AAF" w:rsidRDefault="00E85A33">
            <w:pPr>
              <w:spacing w:after="0" w:line="259" w:lineRule="auto"/>
              <w:ind w:left="108" w:firstLine="0"/>
              <w:jc w:val="left"/>
            </w:pPr>
            <w:r>
              <w:rPr>
                <w:b/>
              </w:rPr>
              <w:t xml:space="preserve">No. </w:t>
            </w:r>
          </w:p>
        </w:tc>
        <w:tc>
          <w:tcPr>
            <w:tcW w:w="1282" w:type="dxa"/>
            <w:tcBorders>
              <w:top w:val="single" w:sz="4" w:space="0" w:color="000000"/>
              <w:left w:val="single" w:sz="4" w:space="0" w:color="000000"/>
              <w:bottom w:val="single" w:sz="4" w:space="0" w:color="000000"/>
              <w:right w:val="single" w:sz="4" w:space="0" w:color="000000"/>
            </w:tcBorders>
          </w:tcPr>
          <w:p w14:paraId="0D518FDA" w14:textId="77777777" w:rsidR="00CE5AAF" w:rsidRDefault="00E85A33">
            <w:pPr>
              <w:spacing w:after="0" w:line="259" w:lineRule="auto"/>
              <w:ind w:left="106" w:firstLine="0"/>
              <w:jc w:val="left"/>
            </w:pPr>
            <w:r>
              <w:rPr>
                <w:b/>
              </w:rPr>
              <w:t xml:space="preserve">Protocol </w:t>
            </w:r>
          </w:p>
          <w:p w14:paraId="0D085220" w14:textId="77777777" w:rsidR="00CE5AAF" w:rsidRDefault="00E85A33">
            <w:pPr>
              <w:spacing w:after="0" w:line="259" w:lineRule="auto"/>
              <w:ind w:left="106" w:firstLine="0"/>
              <w:jc w:val="left"/>
            </w:pPr>
            <w:r>
              <w:rPr>
                <w:b/>
              </w:rPr>
              <w:t xml:space="preserve">Version No. </w:t>
            </w:r>
          </w:p>
        </w:tc>
        <w:tc>
          <w:tcPr>
            <w:tcW w:w="1296" w:type="dxa"/>
            <w:tcBorders>
              <w:top w:val="single" w:sz="4" w:space="0" w:color="000000"/>
              <w:left w:val="single" w:sz="4" w:space="0" w:color="000000"/>
              <w:bottom w:val="single" w:sz="4" w:space="0" w:color="000000"/>
              <w:right w:val="single" w:sz="4" w:space="0" w:color="000000"/>
            </w:tcBorders>
          </w:tcPr>
          <w:p w14:paraId="13434462" w14:textId="77777777" w:rsidR="00CE5AAF" w:rsidRDefault="00E85A33">
            <w:pPr>
              <w:spacing w:after="0" w:line="259" w:lineRule="auto"/>
              <w:ind w:left="106" w:firstLine="0"/>
              <w:jc w:val="left"/>
            </w:pPr>
            <w:r>
              <w:rPr>
                <w:b/>
              </w:rPr>
              <w:t xml:space="preserve">Date issued </w:t>
            </w:r>
          </w:p>
        </w:tc>
        <w:tc>
          <w:tcPr>
            <w:tcW w:w="1595" w:type="dxa"/>
            <w:tcBorders>
              <w:top w:val="single" w:sz="4" w:space="0" w:color="000000"/>
              <w:left w:val="single" w:sz="4" w:space="0" w:color="000000"/>
              <w:bottom w:val="single" w:sz="4" w:space="0" w:color="000000"/>
              <w:right w:val="nil"/>
            </w:tcBorders>
          </w:tcPr>
          <w:p w14:paraId="16A32444" w14:textId="77777777" w:rsidR="00CE5AAF" w:rsidRDefault="00E85A33">
            <w:pPr>
              <w:spacing w:after="0" w:line="259" w:lineRule="auto"/>
              <w:ind w:left="106" w:firstLine="0"/>
              <w:jc w:val="left"/>
            </w:pPr>
            <w:r>
              <w:rPr>
                <w:b/>
              </w:rPr>
              <w:t xml:space="preserve">Author(s) changes </w:t>
            </w:r>
          </w:p>
        </w:tc>
        <w:tc>
          <w:tcPr>
            <w:tcW w:w="296" w:type="dxa"/>
            <w:tcBorders>
              <w:top w:val="single" w:sz="4" w:space="0" w:color="000000"/>
              <w:left w:val="nil"/>
              <w:bottom w:val="single" w:sz="4" w:space="0" w:color="000000"/>
              <w:right w:val="single" w:sz="4" w:space="0" w:color="000000"/>
            </w:tcBorders>
          </w:tcPr>
          <w:p w14:paraId="0BB3152E" w14:textId="77777777" w:rsidR="00CE5AAF" w:rsidRDefault="00E85A33">
            <w:pPr>
              <w:spacing w:after="0" w:line="259" w:lineRule="auto"/>
              <w:ind w:left="0" w:firstLine="0"/>
            </w:pPr>
            <w:r>
              <w:rPr>
                <w:b/>
              </w:rPr>
              <w:t xml:space="preserve">of </w:t>
            </w:r>
          </w:p>
        </w:tc>
        <w:tc>
          <w:tcPr>
            <w:tcW w:w="3581" w:type="dxa"/>
            <w:tcBorders>
              <w:top w:val="single" w:sz="4" w:space="0" w:color="000000"/>
              <w:left w:val="single" w:sz="4" w:space="0" w:color="000000"/>
              <w:bottom w:val="single" w:sz="4" w:space="0" w:color="000000"/>
              <w:right w:val="single" w:sz="4" w:space="0" w:color="000000"/>
            </w:tcBorders>
          </w:tcPr>
          <w:p w14:paraId="70403C55" w14:textId="77777777" w:rsidR="00CE5AAF" w:rsidRDefault="00E85A33">
            <w:pPr>
              <w:spacing w:after="0" w:line="259" w:lineRule="auto"/>
              <w:ind w:left="106" w:firstLine="0"/>
              <w:jc w:val="left"/>
            </w:pPr>
            <w:r>
              <w:rPr>
                <w:b/>
              </w:rPr>
              <w:t xml:space="preserve">Details of Changes made </w:t>
            </w:r>
          </w:p>
        </w:tc>
      </w:tr>
      <w:tr w:rsidR="00CE5AAF" w14:paraId="1E499BEC" w14:textId="77777777" w:rsidTr="004E3544">
        <w:trPr>
          <w:trHeight w:val="300"/>
        </w:trPr>
        <w:tc>
          <w:tcPr>
            <w:tcW w:w="1595" w:type="dxa"/>
            <w:tcBorders>
              <w:top w:val="single" w:sz="4" w:space="0" w:color="000000"/>
              <w:left w:val="single" w:sz="4" w:space="0" w:color="000000"/>
              <w:bottom w:val="single" w:sz="4" w:space="0" w:color="000000"/>
              <w:right w:val="single" w:sz="4" w:space="0" w:color="000000"/>
            </w:tcBorders>
          </w:tcPr>
          <w:p w14:paraId="14D742F9" w14:textId="20C88219" w:rsidR="00CE5AAF" w:rsidRDefault="00E85A33">
            <w:pPr>
              <w:spacing w:after="0" w:line="259" w:lineRule="auto"/>
              <w:ind w:left="108" w:firstLine="0"/>
              <w:jc w:val="left"/>
            </w:pPr>
            <w:r>
              <w:t xml:space="preserve"> </w:t>
            </w:r>
            <w:r w:rsidR="00B44FCE">
              <w:t>1</w:t>
            </w:r>
          </w:p>
        </w:tc>
        <w:tc>
          <w:tcPr>
            <w:tcW w:w="1282" w:type="dxa"/>
            <w:tcBorders>
              <w:top w:val="single" w:sz="4" w:space="0" w:color="000000"/>
              <w:left w:val="single" w:sz="4" w:space="0" w:color="000000"/>
              <w:bottom w:val="single" w:sz="4" w:space="0" w:color="000000"/>
              <w:right w:val="single" w:sz="4" w:space="0" w:color="000000"/>
            </w:tcBorders>
          </w:tcPr>
          <w:p w14:paraId="21310222" w14:textId="44215E9D" w:rsidR="00CE5AAF" w:rsidRDefault="00E85A33">
            <w:pPr>
              <w:spacing w:after="0" w:line="259" w:lineRule="auto"/>
              <w:ind w:left="106" w:firstLine="0"/>
              <w:jc w:val="left"/>
            </w:pPr>
            <w:r>
              <w:t xml:space="preserve"> </w:t>
            </w:r>
            <w:r w:rsidR="00B44FCE">
              <w:t>1.1</w:t>
            </w:r>
          </w:p>
        </w:tc>
        <w:tc>
          <w:tcPr>
            <w:tcW w:w="1296" w:type="dxa"/>
            <w:tcBorders>
              <w:top w:val="single" w:sz="4" w:space="0" w:color="000000"/>
              <w:left w:val="single" w:sz="4" w:space="0" w:color="000000"/>
              <w:bottom w:val="single" w:sz="4" w:space="0" w:color="000000"/>
              <w:right w:val="single" w:sz="4" w:space="0" w:color="000000"/>
            </w:tcBorders>
          </w:tcPr>
          <w:p w14:paraId="702B8440" w14:textId="5E40677B" w:rsidR="00CE5AAF" w:rsidRDefault="00E85A33">
            <w:pPr>
              <w:spacing w:after="0" w:line="259" w:lineRule="auto"/>
              <w:ind w:left="106" w:firstLine="0"/>
              <w:jc w:val="left"/>
            </w:pPr>
            <w:r>
              <w:t xml:space="preserve"> </w:t>
            </w:r>
            <w:r w:rsidR="00B44FCE">
              <w:t>21-FEB-19</w:t>
            </w:r>
          </w:p>
        </w:tc>
        <w:tc>
          <w:tcPr>
            <w:tcW w:w="1595" w:type="dxa"/>
            <w:tcBorders>
              <w:top w:val="single" w:sz="4" w:space="0" w:color="000000"/>
              <w:left w:val="single" w:sz="4" w:space="0" w:color="000000"/>
              <w:bottom w:val="single" w:sz="4" w:space="0" w:color="000000"/>
              <w:right w:val="nil"/>
            </w:tcBorders>
          </w:tcPr>
          <w:p w14:paraId="507D8A67" w14:textId="2F002FB4" w:rsidR="00CE5AAF" w:rsidRDefault="00B44FCE">
            <w:pPr>
              <w:spacing w:after="0" w:line="259" w:lineRule="auto"/>
              <w:ind w:left="106" w:firstLine="0"/>
              <w:jc w:val="left"/>
            </w:pPr>
            <w:r>
              <w:t>K.Jefferies</w:t>
            </w:r>
            <w:r w:rsidR="00E85A33">
              <w:t xml:space="preserve"> </w:t>
            </w:r>
          </w:p>
        </w:tc>
        <w:tc>
          <w:tcPr>
            <w:tcW w:w="296" w:type="dxa"/>
            <w:tcBorders>
              <w:top w:val="single" w:sz="4" w:space="0" w:color="000000"/>
              <w:left w:val="nil"/>
              <w:bottom w:val="single" w:sz="4" w:space="0" w:color="000000"/>
              <w:right w:val="single" w:sz="4" w:space="0" w:color="000000"/>
            </w:tcBorders>
          </w:tcPr>
          <w:p w14:paraId="7B3374B2" w14:textId="77777777" w:rsidR="00CE5AAF" w:rsidRDefault="00CE5AAF">
            <w:pPr>
              <w:spacing w:after="160" w:line="259" w:lineRule="auto"/>
              <w:ind w:left="0" w:firstLine="0"/>
              <w:jc w:val="left"/>
            </w:pPr>
          </w:p>
        </w:tc>
        <w:tc>
          <w:tcPr>
            <w:tcW w:w="3581" w:type="dxa"/>
            <w:tcBorders>
              <w:top w:val="single" w:sz="4" w:space="0" w:color="000000"/>
              <w:left w:val="single" w:sz="4" w:space="0" w:color="000000"/>
              <w:bottom w:val="single" w:sz="4" w:space="0" w:color="000000"/>
              <w:right w:val="single" w:sz="4" w:space="0" w:color="000000"/>
            </w:tcBorders>
          </w:tcPr>
          <w:p w14:paraId="0010C45C" w14:textId="5B71B0AE" w:rsidR="00CE5AAF" w:rsidRDefault="00B44FCE">
            <w:pPr>
              <w:spacing w:after="0" w:line="259" w:lineRule="auto"/>
              <w:ind w:left="106" w:firstLine="0"/>
              <w:jc w:val="left"/>
            </w:pPr>
            <w:r>
              <w:t>As per REC recommendations. Removal of paracetamol dose from V5 and unblinding from SAE section</w:t>
            </w:r>
            <w:r w:rsidR="00E85A33">
              <w:t xml:space="preserve"> </w:t>
            </w:r>
          </w:p>
        </w:tc>
      </w:tr>
      <w:tr w:rsidR="00B44FCE" w14:paraId="3F61FA90" w14:textId="77777777" w:rsidTr="004E3544">
        <w:trPr>
          <w:trHeight w:val="300"/>
        </w:trPr>
        <w:tc>
          <w:tcPr>
            <w:tcW w:w="1595" w:type="dxa"/>
            <w:tcBorders>
              <w:top w:val="single" w:sz="4" w:space="0" w:color="000000"/>
              <w:left w:val="single" w:sz="4" w:space="0" w:color="000000"/>
              <w:bottom w:val="single" w:sz="4" w:space="0" w:color="000000"/>
              <w:right w:val="single" w:sz="4" w:space="0" w:color="000000"/>
            </w:tcBorders>
          </w:tcPr>
          <w:p w14:paraId="446881DE" w14:textId="02F2674A" w:rsidR="00B44FCE" w:rsidRDefault="00B44FCE">
            <w:pPr>
              <w:spacing w:after="0" w:line="259" w:lineRule="auto"/>
              <w:ind w:left="108" w:firstLine="0"/>
              <w:jc w:val="left"/>
            </w:pPr>
            <w:r>
              <w:t>2</w:t>
            </w:r>
          </w:p>
        </w:tc>
        <w:tc>
          <w:tcPr>
            <w:tcW w:w="1282" w:type="dxa"/>
            <w:tcBorders>
              <w:top w:val="single" w:sz="4" w:space="0" w:color="000000"/>
              <w:left w:val="single" w:sz="4" w:space="0" w:color="000000"/>
              <w:bottom w:val="single" w:sz="4" w:space="0" w:color="000000"/>
              <w:right w:val="single" w:sz="4" w:space="0" w:color="000000"/>
            </w:tcBorders>
          </w:tcPr>
          <w:p w14:paraId="784B0B12" w14:textId="3BC91B6F" w:rsidR="00B44FCE" w:rsidRDefault="00B44FCE">
            <w:pPr>
              <w:spacing w:after="0" w:line="259" w:lineRule="auto"/>
              <w:ind w:left="106" w:firstLine="0"/>
              <w:jc w:val="left"/>
            </w:pPr>
            <w:r>
              <w:t>1.2</w:t>
            </w:r>
          </w:p>
        </w:tc>
        <w:tc>
          <w:tcPr>
            <w:tcW w:w="1296" w:type="dxa"/>
            <w:tcBorders>
              <w:top w:val="single" w:sz="4" w:space="0" w:color="000000"/>
              <w:left w:val="single" w:sz="4" w:space="0" w:color="000000"/>
              <w:bottom w:val="single" w:sz="4" w:space="0" w:color="000000"/>
              <w:right w:val="single" w:sz="4" w:space="0" w:color="000000"/>
            </w:tcBorders>
          </w:tcPr>
          <w:p w14:paraId="71F4A12E" w14:textId="2CE26A62" w:rsidR="00B44FCE" w:rsidRDefault="00B44FCE">
            <w:pPr>
              <w:spacing w:after="0" w:line="259" w:lineRule="auto"/>
              <w:ind w:left="106" w:firstLine="0"/>
              <w:jc w:val="left"/>
            </w:pPr>
            <w:r>
              <w:t>21-MAR-19</w:t>
            </w:r>
          </w:p>
        </w:tc>
        <w:tc>
          <w:tcPr>
            <w:tcW w:w="1595" w:type="dxa"/>
            <w:tcBorders>
              <w:top w:val="single" w:sz="4" w:space="0" w:color="000000"/>
              <w:left w:val="single" w:sz="4" w:space="0" w:color="000000"/>
              <w:bottom w:val="single" w:sz="4" w:space="0" w:color="000000"/>
              <w:right w:val="nil"/>
            </w:tcBorders>
          </w:tcPr>
          <w:p w14:paraId="50D8546D" w14:textId="55325340" w:rsidR="00B44FCE" w:rsidRDefault="00B44FCE">
            <w:pPr>
              <w:spacing w:after="0" w:line="259" w:lineRule="auto"/>
              <w:ind w:left="106" w:firstLine="0"/>
              <w:jc w:val="left"/>
            </w:pPr>
            <w:r>
              <w:t>K.Jefferies</w:t>
            </w:r>
          </w:p>
        </w:tc>
        <w:tc>
          <w:tcPr>
            <w:tcW w:w="296" w:type="dxa"/>
            <w:tcBorders>
              <w:top w:val="single" w:sz="4" w:space="0" w:color="000000"/>
              <w:left w:val="nil"/>
              <w:bottom w:val="single" w:sz="4" w:space="0" w:color="000000"/>
              <w:right w:val="single" w:sz="4" w:space="0" w:color="000000"/>
            </w:tcBorders>
          </w:tcPr>
          <w:p w14:paraId="162BB709" w14:textId="77777777" w:rsidR="00B44FCE" w:rsidRDefault="00B44FCE">
            <w:pPr>
              <w:spacing w:after="160" w:line="259" w:lineRule="auto"/>
              <w:ind w:left="0" w:firstLine="0"/>
              <w:jc w:val="left"/>
            </w:pPr>
          </w:p>
        </w:tc>
        <w:tc>
          <w:tcPr>
            <w:tcW w:w="3581" w:type="dxa"/>
            <w:tcBorders>
              <w:top w:val="single" w:sz="4" w:space="0" w:color="000000"/>
              <w:left w:val="single" w:sz="4" w:space="0" w:color="000000"/>
              <w:bottom w:val="single" w:sz="4" w:space="0" w:color="000000"/>
              <w:right w:val="single" w:sz="4" w:space="0" w:color="000000"/>
            </w:tcBorders>
          </w:tcPr>
          <w:p w14:paraId="26199B27" w14:textId="28455672" w:rsidR="00B44FCE" w:rsidRDefault="00B44FCE">
            <w:pPr>
              <w:spacing w:after="0" w:line="259" w:lineRule="auto"/>
              <w:ind w:left="106" w:firstLine="0"/>
              <w:jc w:val="left"/>
            </w:pPr>
            <w:r>
              <w:t>Correction of grammatical errors and clarification of AE/SAE reporting procedures. Clarification of injection site administration</w:t>
            </w:r>
          </w:p>
        </w:tc>
      </w:tr>
      <w:tr w:rsidR="00B44FCE" w14:paraId="167A1BA4" w14:textId="77777777" w:rsidTr="004E3544">
        <w:trPr>
          <w:trHeight w:val="300"/>
        </w:trPr>
        <w:tc>
          <w:tcPr>
            <w:tcW w:w="1595" w:type="dxa"/>
            <w:tcBorders>
              <w:top w:val="single" w:sz="4" w:space="0" w:color="000000"/>
              <w:left w:val="single" w:sz="4" w:space="0" w:color="000000"/>
              <w:bottom w:val="single" w:sz="4" w:space="0" w:color="000000"/>
              <w:right w:val="single" w:sz="4" w:space="0" w:color="000000"/>
            </w:tcBorders>
          </w:tcPr>
          <w:p w14:paraId="3DD6F60F" w14:textId="2A2DC327" w:rsidR="00B44FCE" w:rsidRDefault="00B44FCE">
            <w:pPr>
              <w:spacing w:after="0" w:line="259" w:lineRule="auto"/>
              <w:ind w:left="108" w:firstLine="0"/>
              <w:jc w:val="left"/>
            </w:pPr>
            <w:r>
              <w:t>3</w:t>
            </w:r>
          </w:p>
        </w:tc>
        <w:tc>
          <w:tcPr>
            <w:tcW w:w="1282" w:type="dxa"/>
            <w:tcBorders>
              <w:top w:val="single" w:sz="4" w:space="0" w:color="000000"/>
              <w:left w:val="single" w:sz="4" w:space="0" w:color="000000"/>
              <w:bottom w:val="single" w:sz="4" w:space="0" w:color="000000"/>
              <w:right w:val="single" w:sz="4" w:space="0" w:color="000000"/>
            </w:tcBorders>
          </w:tcPr>
          <w:p w14:paraId="7AAA6680" w14:textId="65E24EB8" w:rsidR="00B44FCE" w:rsidRDefault="00B44FCE">
            <w:pPr>
              <w:spacing w:after="0" w:line="259" w:lineRule="auto"/>
              <w:ind w:left="106" w:firstLine="0"/>
              <w:jc w:val="left"/>
            </w:pPr>
            <w:r>
              <w:t>2.</w:t>
            </w:r>
            <w:r w:rsidR="00BA50E1">
              <w:t>0</w:t>
            </w:r>
          </w:p>
        </w:tc>
        <w:tc>
          <w:tcPr>
            <w:tcW w:w="1296" w:type="dxa"/>
            <w:tcBorders>
              <w:top w:val="single" w:sz="4" w:space="0" w:color="000000"/>
              <w:left w:val="single" w:sz="4" w:space="0" w:color="000000"/>
              <w:bottom w:val="single" w:sz="4" w:space="0" w:color="000000"/>
              <w:right w:val="single" w:sz="4" w:space="0" w:color="000000"/>
            </w:tcBorders>
          </w:tcPr>
          <w:p w14:paraId="762B4085" w14:textId="4BBAE471" w:rsidR="00B44FCE" w:rsidRDefault="00B44FCE">
            <w:pPr>
              <w:spacing w:after="0" w:line="259" w:lineRule="auto"/>
              <w:ind w:left="106" w:firstLine="0"/>
              <w:jc w:val="left"/>
            </w:pPr>
            <w:r>
              <w:t>23-APR-19</w:t>
            </w:r>
          </w:p>
        </w:tc>
        <w:tc>
          <w:tcPr>
            <w:tcW w:w="1595" w:type="dxa"/>
            <w:tcBorders>
              <w:top w:val="single" w:sz="4" w:space="0" w:color="000000"/>
              <w:left w:val="single" w:sz="4" w:space="0" w:color="000000"/>
              <w:bottom w:val="single" w:sz="4" w:space="0" w:color="000000"/>
              <w:right w:val="nil"/>
            </w:tcBorders>
          </w:tcPr>
          <w:p w14:paraId="7457309D" w14:textId="6CEED252" w:rsidR="00B44FCE" w:rsidRDefault="00B44FCE">
            <w:pPr>
              <w:spacing w:after="0" w:line="259" w:lineRule="auto"/>
              <w:ind w:left="106" w:firstLine="0"/>
              <w:jc w:val="left"/>
            </w:pPr>
            <w:r>
              <w:t>K.Jefferies</w:t>
            </w:r>
          </w:p>
        </w:tc>
        <w:tc>
          <w:tcPr>
            <w:tcW w:w="296" w:type="dxa"/>
            <w:tcBorders>
              <w:top w:val="single" w:sz="4" w:space="0" w:color="000000"/>
              <w:left w:val="nil"/>
              <w:bottom w:val="single" w:sz="4" w:space="0" w:color="000000"/>
              <w:right w:val="single" w:sz="4" w:space="0" w:color="000000"/>
            </w:tcBorders>
          </w:tcPr>
          <w:p w14:paraId="4FF0F271" w14:textId="77777777" w:rsidR="00B44FCE" w:rsidRDefault="00B44FCE">
            <w:pPr>
              <w:spacing w:after="160" w:line="259" w:lineRule="auto"/>
              <w:ind w:left="0" w:firstLine="0"/>
              <w:jc w:val="left"/>
            </w:pPr>
          </w:p>
        </w:tc>
        <w:tc>
          <w:tcPr>
            <w:tcW w:w="3581" w:type="dxa"/>
            <w:tcBorders>
              <w:top w:val="single" w:sz="4" w:space="0" w:color="000000"/>
              <w:left w:val="single" w:sz="4" w:space="0" w:color="000000"/>
              <w:bottom w:val="single" w:sz="4" w:space="0" w:color="000000"/>
              <w:right w:val="single" w:sz="4" w:space="0" w:color="000000"/>
            </w:tcBorders>
          </w:tcPr>
          <w:p w14:paraId="6991B92E" w14:textId="39B5A4DA" w:rsidR="00B44FCE" w:rsidRDefault="00B44FCE">
            <w:pPr>
              <w:spacing w:after="0" w:line="259" w:lineRule="auto"/>
              <w:ind w:left="106" w:firstLine="0"/>
              <w:jc w:val="left"/>
            </w:pPr>
            <w:r>
              <w:t xml:space="preserve">Schedule change to PCV13 </w:t>
            </w:r>
          </w:p>
        </w:tc>
      </w:tr>
      <w:tr w:rsidR="008D0FE5" w14:paraId="232B2B49" w14:textId="77777777" w:rsidTr="004E3544">
        <w:trPr>
          <w:trHeight w:val="300"/>
        </w:trPr>
        <w:tc>
          <w:tcPr>
            <w:tcW w:w="1595" w:type="dxa"/>
            <w:tcBorders>
              <w:top w:val="single" w:sz="4" w:space="0" w:color="000000"/>
              <w:left w:val="single" w:sz="4" w:space="0" w:color="000000"/>
              <w:bottom w:val="single" w:sz="4" w:space="0" w:color="000000"/>
              <w:right w:val="single" w:sz="4" w:space="0" w:color="000000"/>
            </w:tcBorders>
          </w:tcPr>
          <w:p w14:paraId="67B1CFAF" w14:textId="686520FF" w:rsidR="008D0FE5" w:rsidRDefault="008D0FE5">
            <w:pPr>
              <w:spacing w:after="0" w:line="259" w:lineRule="auto"/>
              <w:ind w:left="108" w:firstLine="0"/>
              <w:jc w:val="left"/>
            </w:pPr>
            <w:r>
              <w:t>4</w:t>
            </w:r>
          </w:p>
        </w:tc>
        <w:tc>
          <w:tcPr>
            <w:tcW w:w="1282" w:type="dxa"/>
            <w:tcBorders>
              <w:top w:val="single" w:sz="4" w:space="0" w:color="000000"/>
              <w:left w:val="single" w:sz="4" w:space="0" w:color="000000"/>
              <w:bottom w:val="single" w:sz="4" w:space="0" w:color="000000"/>
              <w:right w:val="single" w:sz="4" w:space="0" w:color="000000"/>
            </w:tcBorders>
          </w:tcPr>
          <w:p w14:paraId="2B794C8F" w14:textId="12C3E97D" w:rsidR="008D0FE5" w:rsidRDefault="008D0FE5">
            <w:pPr>
              <w:spacing w:after="0" w:line="259" w:lineRule="auto"/>
              <w:ind w:left="106" w:firstLine="0"/>
              <w:jc w:val="left"/>
            </w:pPr>
            <w:r>
              <w:t>2.1</w:t>
            </w:r>
          </w:p>
        </w:tc>
        <w:tc>
          <w:tcPr>
            <w:tcW w:w="1296" w:type="dxa"/>
            <w:tcBorders>
              <w:top w:val="single" w:sz="4" w:space="0" w:color="000000"/>
              <w:left w:val="single" w:sz="4" w:space="0" w:color="000000"/>
              <w:bottom w:val="single" w:sz="4" w:space="0" w:color="000000"/>
              <w:right w:val="single" w:sz="4" w:space="0" w:color="000000"/>
            </w:tcBorders>
          </w:tcPr>
          <w:p w14:paraId="677AD793" w14:textId="0B112314" w:rsidR="008D0FE5" w:rsidRDefault="008D0FE5">
            <w:pPr>
              <w:spacing w:after="0" w:line="259" w:lineRule="auto"/>
              <w:ind w:left="106" w:firstLine="0"/>
              <w:jc w:val="left"/>
            </w:pPr>
            <w:r>
              <w:t>22-JUL-19</w:t>
            </w:r>
          </w:p>
        </w:tc>
        <w:tc>
          <w:tcPr>
            <w:tcW w:w="1595" w:type="dxa"/>
            <w:tcBorders>
              <w:top w:val="single" w:sz="4" w:space="0" w:color="000000"/>
              <w:left w:val="single" w:sz="4" w:space="0" w:color="000000"/>
              <w:bottom w:val="single" w:sz="4" w:space="0" w:color="000000"/>
              <w:right w:val="nil"/>
            </w:tcBorders>
          </w:tcPr>
          <w:p w14:paraId="6EAD0322" w14:textId="75BEC425" w:rsidR="008D0FE5" w:rsidRDefault="00153EE3">
            <w:pPr>
              <w:spacing w:after="0" w:line="259" w:lineRule="auto"/>
              <w:ind w:left="106" w:firstLine="0"/>
              <w:jc w:val="left"/>
            </w:pPr>
            <w:r>
              <w:t>K.Jefferies</w:t>
            </w:r>
          </w:p>
        </w:tc>
        <w:tc>
          <w:tcPr>
            <w:tcW w:w="296" w:type="dxa"/>
            <w:tcBorders>
              <w:top w:val="single" w:sz="4" w:space="0" w:color="000000"/>
              <w:left w:val="nil"/>
              <w:bottom w:val="single" w:sz="4" w:space="0" w:color="000000"/>
              <w:right w:val="single" w:sz="4" w:space="0" w:color="000000"/>
            </w:tcBorders>
          </w:tcPr>
          <w:p w14:paraId="7E5E1C4B" w14:textId="77777777" w:rsidR="008D0FE5" w:rsidRDefault="008D0FE5">
            <w:pPr>
              <w:spacing w:after="160" w:line="259" w:lineRule="auto"/>
              <w:ind w:left="0" w:firstLine="0"/>
              <w:jc w:val="left"/>
            </w:pPr>
          </w:p>
        </w:tc>
        <w:tc>
          <w:tcPr>
            <w:tcW w:w="3581" w:type="dxa"/>
            <w:tcBorders>
              <w:top w:val="single" w:sz="4" w:space="0" w:color="000000"/>
              <w:left w:val="single" w:sz="4" w:space="0" w:color="000000"/>
              <w:bottom w:val="single" w:sz="4" w:space="0" w:color="000000"/>
              <w:right w:val="single" w:sz="4" w:space="0" w:color="000000"/>
            </w:tcBorders>
          </w:tcPr>
          <w:p w14:paraId="733C476F" w14:textId="11FD3818" w:rsidR="008D0FE5" w:rsidRDefault="007511F2">
            <w:pPr>
              <w:spacing w:after="0" w:line="259" w:lineRule="auto"/>
              <w:ind w:left="106" w:firstLine="0"/>
              <w:jc w:val="left"/>
            </w:pPr>
            <w:r>
              <w:t>Deletion of</w:t>
            </w:r>
            <w:r w:rsidR="008D0FE5">
              <w:t xml:space="preserve"> sentence referencing PCV13 in Visit 1</w:t>
            </w:r>
          </w:p>
          <w:p w14:paraId="7B706DA4" w14:textId="2E61FBE8" w:rsidR="008D0FE5" w:rsidRDefault="008D0FE5">
            <w:pPr>
              <w:spacing w:after="0" w:line="259" w:lineRule="auto"/>
              <w:ind w:left="106" w:firstLine="0"/>
              <w:jc w:val="left"/>
            </w:pPr>
            <w:r>
              <w:t>Correction of grammatical errors</w:t>
            </w:r>
          </w:p>
        </w:tc>
      </w:tr>
      <w:tr w:rsidR="00D35F7B" w14:paraId="74B149CC" w14:textId="77777777" w:rsidTr="004E3544">
        <w:trPr>
          <w:trHeight w:val="300"/>
        </w:trPr>
        <w:tc>
          <w:tcPr>
            <w:tcW w:w="1595" w:type="dxa"/>
            <w:tcBorders>
              <w:top w:val="single" w:sz="4" w:space="0" w:color="000000"/>
              <w:left w:val="single" w:sz="4" w:space="0" w:color="000000"/>
              <w:bottom w:val="single" w:sz="4" w:space="0" w:color="000000"/>
              <w:right w:val="single" w:sz="4" w:space="0" w:color="000000"/>
            </w:tcBorders>
          </w:tcPr>
          <w:p w14:paraId="4481BEE6" w14:textId="655827D8" w:rsidR="00D35F7B" w:rsidRDefault="00D35F7B">
            <w:pPr>
              <w:spacing w:after="0" w:line="259" w:lineRule="auto"/>
              <w:ind w:left="108" w:firstLine="0"/>
              <w:jc w:val="left"/>
            </w:pPr>
            <w:r>
              <w:t>5</w:t>
            </w:r>
          </w:p>
        </w:tc>
        <w:tc>
          <w:tcPr>
            <w:tcW w:w="1282" w:type="dxa"/>
            <w:tcBorders>
              <w:top w:val="single" w:sz="4" w:space="0" w:color="000000"/>
              <w:left w:val="single" w:sz="4" w:space="0" w:color="000000"/>
              <w:bottom w:val="single" w:sz="4" w:space="0" w:color="000000"/>
              <w:right w:val="single" w:sz="4" w:space="0" w:color="000000"/>
            </w:tcBorders>
          </w:tcPr>
          <w:p w14:paraId="40854F27" w14:textId="485D6D66" w:rsidR="00D35F7B" w:rsidRDefault="00D35F7B">
            <w:pPr>
              <w:spacing w:after="0" w:line="259" w:lineRule="auto"/>
              <w:ind w:left="106" w:firstLine="0"/>
              <w:jc w:val="left"/>
            </w:pPr>
            <w:r>
              <w:t>3.0</w:t>
            </w:r>
          </w:p>
        </w:tc>
        <w:tc>
          <w:tcPr>
            <w:tcW w:w="1296" w:type="dxa"/>
            <w:tcBorders>
              <w:top w:val="single" w:sz="4" w:space="0" w:color="000000"/>
              <w:left w:val="single" w:sz="4" w:space="0" w:color="000000"/>
              <w:bottom w:val="single" w:sz="4" w:space="0" w:color="000000"/>
              <w:right w:val="single" w:sz="4" w:space="0" w:color="000000"/>
            </w:tcBorders>
          </w:tcPr>
          <w:p w14:paraId="553A5D97" w14:textId="0C799417" w:rsidR="00D35F7B" w:rsidRDefault="00D35F7B">
            <w:pPr>
              <w:spacing w:after="0" w:line="259" w:lineRule="auto"/>
              <w:ind w:left="106" w:firstLine="0"/>
              <w:jc w:val="left"/>
            </w:pPr>
            <w:r>
              <w:t>07-JAN-20</w:t>
            </w:r>
          </w:p>
        </w:tc>
        <w:tc>
          <w:tcPr>
            <w:tcW w:w="1595" w:type="dxa"/>
            <w:tcBorders>
              <w:top w:val="single" w:sz="4" w:space="0" w:color="000000"/>
              <w:left w:val="single" w:sz="4" w:space="0" w:color="000000"/>
              <w:bottom w:val="single" w:sz="4" w:space="0" w:color="000000"/>
              <w:right w:val="nil"/>
            </w:tcBorders>
          </w:tcPr>
          <w:p w14:paraId="3B253C34" w14:textId="0796CF78" w:rsidR="00D35F7B" w:rsidRDefault="00D35F7B">
            <w:pPr>
              <w:spacing w:after="0" w:line="259" w:lineRule="auto"/>
              <w:ind w:left="106" w:firstLine="0"/>
              <w:jc w:val="left"/>
            </w:pPr>
            <w:r>
              <w:t>S Rhead</w:t>
            </w:r>
          </w:p>
        </w:tc>
        <w:tc>
          <w:tcPr>
            <w:tcW w:w="296" w:type="dxa"/>
            <w:tcBorders>
              <w:top w:val="single" w:sz="4" w:space="0" w:color="000000"/>
              <w:left w:val="nil"/>
              <w:bottom w:val="single" w:sz="4" w:space="0" w:color="000000"/>
              <w:right w:val="single" w:sz="4" w:space="0" w:color="000000"/>
            </w:tcBorders>
          </w:tcPr>
          <w:p w14:paraId="1E836245" w14:textId="77777777" w:rsidR="00D35F7B" w:rsidRDefault="00D35F7B">
            <w:pPr>
              <w:spacing w:after="160" w:line="259" w:lineRule="auto"/>
              <w:ind w:left="0" w:firstLine="0"/>
              <w:jc w:val="left"/>
            </w:pPr>
          </w:p>
        </w:tc>
        <w:tc>
          <w:tcPr>
            <w:tcW w:w="3581" w:type="dxa"/>
            <w:tcBorders>
              <w:top w:val="single" w:sz="4" w:space="0" w:color="000000"/>
              <w:left w:val="single" w:sz="4" w:space="0" w:color="000000"/>
              <w:bottom w:val="single" w:sz="4" w:space="0" w:color="000000"/>
              <w:right w:val="single" w:sz="4" w:space="0" w:color="000000"/>
            </w:tcBorders>
          </w:tcPr>
          <w:p w14:paraId="7C23B155" w14:textId="77777777" w:rsidR="00D35F7B" w:rsidRDefault="00D35F7B">
            <w:pPr>
              <w:spacing w:after="0" w:line="259" w:lineRule="auto"/>
              <w:ind w:left="106" w:firstLine="0"/>
              <w:jc w:val="left"/>
            </w:pPr>
            <w:r>
              <w:t>Updated sentence regarding PCV13 2020 immunisation schedule</w:t>
            </w:r>
          </w:p>
          <w:p w14:paraId="315DC091" w14:textId="550DB821" w:rsidR="00D35F7B" w:rsidRDefault="00D35F7B">
            <w:pPr>
              <w:spacing w:after="0" w:line="259" w:lineRule="auto"/>
              <w:ind w:left="106" w:firstLine="0"/>
              <w:jc w:val="left"/>
            </w:pPr>
            <w:r>
              <w:t>Re-wording of sentence regarding blood sampling attempts</w:t>
            </w:r>
          </w:p>
        </w:tc>
      </w:tr>
      <w:tr w:rsidR="004F7591" w14:paraId="256A90E7" w14:textId="77777777" w:rsidTr="004E3544">
        <w:trPr>
          <w:trHeight w:val="300"/>
        </w:trPr>
        <w:tc>
          <w:tcPr>
            <w:tcW w:w="1595" w:type="dxa"/>
            <w:tcBorders>
              <w:top w:val="single" w:sz="4" w:space="0" w:color="000000"/>
              <w:left w:val="single" w:sz="4" w:space="0" w:color="000000"/>
              <w:bottom w:val="single" w:sz="4" w:space="0" w:color="000000"/>
              <w:right w:val="single" w:sz="4" w:space="0" w:color="000000"/>
            </w:tcBorders>
          </w:tcPr>
          <w:p w14:paraId="45202175" w14:textId="0445AC6A" w:rsidR="004F7591" w:rsidRDefault="004F7591">
            <w:pPr>
              <w:spacing w:after="0" w:line="259" w:lineRule="auto"/>
              <w:ind w:left="108" w:firstLine="0"/>
              <w:jc w:val="left"/>
            </w:pPr>
            <w:r>
              <w:t>6</w:t>
            </w:r>
          </w:p>
        </w:tc>
        <w:tc>
          <w:tcPr>
            <w:tcW w:w="1282" w:type="dxa"/>
            <w:tcBorders>
              <w:top w:val="single" w:sz="4" w:space="0" w:color="000000"/>
              <w:left w:val="single" w:sz="4" w:space="0" w:color="000000"/>
              <w:bottom w:val="single" w:sz="4" w:space="0" w:color="000000"/>
              <w:right w:val="single" w:sz="4" w:space="0" w:color="000000"/>
            </w:tcBorders>
          </w:tcPr>
          <w:p w14:paraId="7CB06688" w14:textId="5EB6F6E7" w:rsidR="004F7591" w:rsidRDefault="004F7591">
            <w:pPr>
              <w:spacing w:after="0" w:line="259" w:lineRule="auto"/>
              <w:ind w:left="106" w:firstLine="0"/>
              <w:jc w:val="left"/>
            </w:pPr>
            <w:r>
              <w:t>4.0</w:t>
            </w:r>
          </w:p>
        </w:tc>
        <w:tc>
          <w:tcPr>
            <w:tcW w:w="1296" w:type="dxa"/>
            <w:tcBorders>
              <w:top w:val="single" w:sz="4" w:space="0" w:color="000000"/>
              <w:left w:val="single" w:sz="4" w:space="0" w:color="000000"/>
              <w:bottom w:val="single" w:sz="4" w:space="0" w:color="000000"/>
              <w:right w:val="single" w:sz="4" w:space="0" w:color="000000"/>
            </w:tcBorders>
          </w:tcPr>
          <w:p w14:paraId="165A783A" w14:textId="49E175F0" w:rsidR="004F7591" w:rsidRDefault="009570F4">
            <w:pPr>
              <w:spacing w:after="0" w:line="259" w:lineRule="auto"/>
              <w:ind w:left="106" w:firstLine="0"/>
              <w:jc w:val="left"/>
            </w:pPr>
            <w:r>
              <w:t>17</w:t>
            </w:r>
            <w:r w:rsidR="004F7591">
              <w:t>-AUG-20</w:t>
            </w:r>
          </w:p>
        </w:tc>
        <w:tc>
          <w:tcPr>
            <w:tcW w:w="1595" w:type="dxa"/>
            <w:tcBorders>
              <w:top w:val="single" w:sz="4" w:space="0" w:color="000000"/>
              <w:left w:val="single" w:sz="4" w:space="0" w:color="000000"/>
              <w:bottom w:val="single" w:sz="4" w:space="0" w:color="000000"/>
              <w:right w:val="nil"/>
            </w:tcBorders>
          </w:tcPr>
          <w:p w14:paraId="3201F5DB" w14:textId="7B57F14D" w:rsidR="009570F4" w:rsidRDefault="009570F4">
            <w:pPr>
              <w:spacing w:after="0" w:line="259" w:lineRule="auto"/>
              <w:ind w:left="106" w:firstLine="0"/>
              <w:jc w:val="left"/>
            </w:pPr>
            <w:r>
              <w:t xml:space="preserve">X. Liu </w:t>
            </w:r>
          </w:p>
          <w:p w14:paraId="4B54DE47" w14:textId="0F5B0600" w:rsidR="004F7591" w:rsidRDefault="004F7591">
            <w:pPr>
              <w:spacing w:after="0" w:line="259" w:lineRule="auto"/>
              <w:ind w:left="106" w:firstLine="0"/>
              <w:jc w:val="left"/>
            </w:pPr>
            <w:r>
              <w:t>N.Owino</w:t>
            </w:r>
          </w:p>
          <w:p w14:paraId="27C3169F" w14:textId="48D25DB8" w:rsidR="004F7591" w:rsidRDefault="004F7591">
            <w:pPr>
              <w:spacing w:after="0" w:line="259" w:lineRule="auto"/>
              <w:ind w:left="106" w:firstLine="0"/>
              <w:jc w:val="left"/>
            </w:pPr>
            <w:r>
              <w:t>M.Snape</w:t>
            </w:r>
          </w:p>
        </w:tc>
        <w:tc>
          <w:tcPr>
            <w:tcW w:w="296" w:type="dxa"/>
            <w:tcBorders>
              <w:top w:val="single" w:sz="4" w:space="0" w:color="000000"/>
              <w:left w:val="nil"/>
              <w:bottom w:val="single" w:sz="4" w:space="0" w:color="000000"/>
              <w:right w:val="single" w:sz="4" w:space="0" w:color="000000"/>
            </w:tcBorders>
          </w:tcPr>
          <w:p w14:paraId="0247AB88" w14:textId="77777777" w:rsidR="004F7591" w:rsidRDefault="004F7591">
            <w:pPr>
              <w:spacing w:after="160" w:line="259" w:lineRule="auto"/>
              <w:ind w:left="0" w:firstLine="0"/>
              <w:jc w:val="left"/>
            </w:pPr>
          </w:p>
        </w:tc>
        <w:tc>
          <w:tcPr>
            <w:tcW w:w="3581" w:type="dxa"/>
            <w:tcBorders>
              <w:top w:val="single" w:sz="4" w:space="0" w:color="000000"/>
              <w:left w:val="single" w:sz="4" w:space="0" w:color="000000"/>
              <w:bottom w:val="single" w:sz="4" w:space="0" w:color="000000"/>
              <w:right w:val="single" w:sz="4" w:space="0" w:color="000000"/>
            </w:tcBorders>
          </w:tcPr>
          <w:p w14:paraId="4C3096ED" w14:textId="3A86E031" w:rsidR="004F7591" w:rsidRDefault="009570F4" w:rsidP="000947A8">
            <w:pPr>
              <w:spacing w:after="0" w:line="259" w:lineRule="auto"/>
              <w:ind w:left="0" w:firstLine="0"/>
              <w:jc w:val="left"/>
            </w:pPr>
            <w:r>
              <w:t xml:space="preserve"> </w:t>
            </w:r>
            <w:r w:rsidR="004F7591">
              <w:t xml:space="preserve">Addition of adjusted sample size </w:t>
            </w:r>
          </w:p>
          <w:p w14:paraId="128C24C0" w14:textId="7D63EC3B" w:rsidR="004710EB" w:rsidRDefault="00317D70" w:rsidP="00EE6244">
            <w:pPr>
              <w:spacing w:after="0" w:line="259" w:lineRule="auto"/>
              <w:jc w:val="left"/>
            </w:pPr>
            <w:r>
              <w:t xml:space="preserve">Updated </w:t>
            </w:r>
            <w:r w:rsidR="00EE6244">
              <w:t xml:space="preserve">sample size calculation </w:t>
            </w:r>
            <w:r>
              <w:t xml:space="preserve">section </w:t>
            </w:r>
            <w:r w:rsidR="00EE6244">
              <w:t xml:space="preserve">in </w:t>
            </w:r>
            <w:r>
              <w:t>relation to adjusted sample size</w:t>
            </w:r>
          </w:p>
        </w:tc>
      </w:tr>
    </w:tbl>
    <w:p w14:paraId="08EF5D71" w14:textId="77777777" w:rsidR="00CE5AAF" w:rsidRDefault="00E85A33">
      <w:pPr>
        <w:spacing w:after="215" w:line="259" w:lineRule="auto"/>
        <w:ind w:left="0" w:firstLine="0"/>
        <w:jc w:val="left"/>
      </w:pPr>
      <w:r>
        <w:t xml:space="preserve"> </w:t>
      </w:r>
    </w:p>
    <w:p w14:paraId="61E07BB6" w14:textId="77777777" w:rsidR="00CE5AAF" w:rsidRDefault="00E85A33">
      <w:pPr>
        <w:ind w:left="24"/>
      </w:pPr>
      <w:r>
        <w:t xml:space="preserve">Protocol amendments must be submitted to the Sponsor for approval prior to submission to the REC committee or MHRA. </w:t>
      </w:r>
    </w:p>
    <w:sectPr w:rsidR="00CE5AAF">
      <w:headerReference w:type="even" r:id="rId8"/>
      <w:headerReference w:type="default" r:id="rId9"/>
      <w:footerReference w:type="even" r:id="rId10"/>
      <w:footerReference w:type="default" r:id="rId11"/>
      <w:headerReference w:type="first" r:id="rId12"/>
      <w:footerReference w:type="first" r:id="rId13"/>
      <w:pgSz w:w="11906" w:h="16838"/>
      <w:pgMar w:top="1248" w:right="1238" w:bottom="1421" w:left="1248" w:header="494"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5C4D" w14:textId="77777777" w:rsidR="00CC0EC8" w:rsidRDefault="00CC0EC8">
      <w:pPr>
        <w:spacing w:after="0" w:line="240" w:lineRule="auto"/>
      </w:pPr>
      <w:r>
        <w:separator/>
      </w:r>
    </w:p>
  </w:endnote>
  <w:endnote w:type="continuationSeparator" w:id="0">
    <w:p w14:paraId="0F0C6203" w14:textId="77777777" w:rsidR="00CC0EC8" w:rsidRDefault="00CC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0FDF" w14:textId="77777777" w:rsidR="00397C39" w:rsidRDefault="00397C39">
    <w:pPr>
      <w:tabs>
        <w:tab w:val="center" w:pos="2160"/>
        <w:tab w:val="center" w:pos="2881"/>
        <w:tab w:val="center" w:pos="3601"/>
        <w:tab w:val="center" w:pos="4321"/>
        <w:tab w:val="center" w:pos="5041"/>
        <w:tab w:val="center" w:pos="5761"/>
        <w:tab w:val="center" w:pos="7083"/>
      </w:tabs>
      <w:spacing w:after="31" w:line="259" w:lineRule="auto"/>
      <w:ind w:left="0" w:firstLine="0"/>
      <w:jc w:val="left"/>
    </w:pP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CONFIDENTIAL </w:t>
    </w:r>
  </w:p>
  <w:p w14:paraId="690986FF" w14:textId="77777777" w:rsidR="00397C39" w:rsidRDefault="00397C39">
    <w:pPr>
      <w:tabs>
        <w:tab w:val="center" w:pos="8642"/>
        <w:tab w:val="center" w:pos="9362"/>
      </w:tabs>
      <w:spacing w:after="21" w:line="259" w:lineRule="auto"/>
      <w:ind w:left="0" w:firstLine="0"/>
      <w:jc w:val="left"/>
    </w:pPr>
    <w:r>
      <w:rPr>
        <w:sz w:val="20"/>
      </w:rPr>
      <w:t xml:space="preserve">© Copyright: The University of Oxford and Oxford University Hospitals NHS Foundation Trust 2016 </w:t>
    </w:r>
    <w:r>
      <w:rPr>
        <w:sz w:val="20"/>
      </w:rPr>
      <w:tab/>
      <w:t xml:space="preserve"> </w:t>
    </w:r>
    <w:r>
      <w:rPr>
        <w:sz w:val="20"/>
      </w:rPr>
      <w:tab/>
      <w:t xml:space="preserve"> </w:t>
    </w:r>
  </w:p>
  <w:p w14:paraId="2D8CCC30" w14:textId="6E521476" w:rsidR="00397C39" w:rsidRDefault="00397C39">
    <w:pPr>
      <w:spacing w:after="0" w:line="259" w:lineRule="auto"/>
      <w:ind w:left="0" w:firstLine="0"/>
      <w:jc w:val="left"/>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noProof/>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DEA7" w14:textId="77777777" w:rsidR="00397C39" w:rsidRDefault="00397C39">
    <w:pPr>
      <w:tabs>
        <w:tab w:val="center" w:pos="2160"/>
        <w:tab w:val="center" w:pos="2881"/>
        <w:tab w:val="center" w:pos="3601"/>
        <w:tab w:val="center" w:pos="4321"/>
        <w:tab w:val="center" w:pos="5041"/>
        <w:tab w:val="center" w:pos="5761"/>
        <w:tab w:val="center" w:pos="7083"/>
      </w:tabs>
      <w:spacing w:after="31" w:line="259" w:lineRule="auto"/>
      <w:ind w:left="0" w:firstLine="0"/>
      <w:jc w:val="left"/>
    </w:pP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CONFIDENTIAL </w:t>
    </w:r>
  </w:p>
  <w:p w14:paraId="40D79917" w14:textId="77777777" w:rsidR="00397C39" w:rsidRDefault="00397C39">
    <w:pPr>
      <w:tabs>
        <w:tab w:val="center" w:pos="8642"/>
        <w:tab w:val="center" w:pos="9362"/>
      </w:tabs>
      <w:spacing w:after="21" w:line="259" w:lineRule="auto"/>
      <w:ind w:left="0" w:firstLine="0"/>
      <w:jc w:val="left"/>
    </w:pPr>
    <w:r>
      <w:rPr>
        <w:sz w:val="20"/>
      </w:rPr>
      <w:t xml:space="preserve">© Copyright: The University of Oxford and Oxford University Hospitals NHS Foundation Trust 2016 </w:t>
    </w:r>
    <w:r>
      <w:rPr>
        <w:sz w:val="20"/>
      </w:rPr>
      <w:tab/>
      <w:t xml:space="preserve"> </w:t>
    </w:r>
    <w:r>
      <w:rPr>
        <w:sz w:val="20"/>
      </w:rPr>
      <w:tab/>
      <w:t xml:space="preserve"> </w:t>
    </w:r>
  </w:p>
  <w:p w14:paraId="2A18DAD4" w14:textId="65ADB609" w:rsidR="00397C39" w:rsidRDefault="00397C39">
    <w:pPr>
      <w:spacing w:after="0" w:line="259" w:lineRule="auto"/>
      <w:ind w:left="0" w:firstLine="0"/>
      <w:jc w:val="left"/>
    </w:pPr>
    <w:r>
      <w:rPr>
        <w:sz w:val="20"/>
      </w:rPr>
      <w:t xml:space="preserve">Page </w:t>
    </w:r>
    <w:r>
      <w:fldChar w:fldCharType="begin"/>
    </w:r>
    <w:r>
      <w:instrText xml:space="preserve"> PAGE   \* MERGEFORMAT </w:instrText>
    </w:r>
    <w:r>
      <w:fldChar w:fldCharType="separate"/>
    </w:r>
    <w:r w:rsidR="005913F2" w:rsidRPr="005913F2">
      <w:rPr>
        <w:noProof/>
        <w:sz w:val="20"/>
      </w:rPr>
      <w:t>42</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5913F2">
      <w:rPr>
        <w:noProof/>
        <w:sz w:val="20"/>
      </w:rPr>
      <w:t>42</w:t>
    </w:r>
    <w:r>
      <w:rPr>
        <w:noProof/>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98BD" w14:textId="77777777" w:rsidR="00397C39" w:rsidRDefault="00397C39">
    <w:pPr>
      <w:tabs>
        <w:tab w:val="center" w:pos="2160"/>
        <w:tab w:val="center" w:pos="2881"/>
        <w:tab w:val="center" w:pos="3601"/>
        <w:tab w:val="center" w:pos="4321"/>
        <w:tab w:val="center" w:pos="5041"/>
        <w:tab w:val="center" w:pos="5761"/>
        <w:tab w:val="center" w:pos="7083"/>
      </w:tabs>
      <w:spacing w:after="31" w:line="259" w:lineRule="auto"/>
      <w:ind w:left="0" w:firstLine="0"/>
      <w:jc w:val="left"/>
    </w:pP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CONFIDENTIAL </w:t>
    </w:r>
  </w:p>
  <w:p w14:paraId="06D17DD4" w14:textId="77777777" w:rsidR="00397C39" w:rsidRDefault="00397C39">
    <w:pPr>
      <w:tabs>
        <w:tab w:val="center" w:pos="8642"/>
        <w:tab w:val="center" w:pos="9362"/>
      </w:tabs>
      <w:spacing w:after="21" w:line="259" w:lineRule="auto"/>
      <w:ind w:left="0" w:firstLine="0"/>
      <w:jc w:val="left"/>
    </w:pPr>
    <w:r>
      <w:rPr>
        <w:sz w:val="20"/>
      </w:rPr>
      <w:t xml:space="preserve">© Copyright: The University of Oxford and Oxford University Hospitals NHS Foundation Trust 2016 </w:t>
    </w:r>
    <w:r>
      <w:rPr>
        <w:sz w:val="20"/>
      </w:rPr>
      <w:tab/>
      <w:t xml:space="preserve"> </w:t>
    </w:r>
    <w:r>
      <w:rPr>
        <w:sz w:val="20"/>
      </w:rPr>
      <w:tab/>
      <w:t xml:space="preserve"> </w:t>
    </w:r>
  </w:p>
  <w:p w14:paraId="2DD4E889" w14:textId="7C9AAA35" w:rsidR="00397C39" w:rsidRDefault="00397C39">
    <w:pPr>
      <w:spacing w:after="0" w:line="259" w:lineRule="auto"/>
      <w:ind w:left="0" w:firstLine="0"/>
      <w:jc w:val="left"/>
    </w:pPr>
    <w:r>
      <w:rPr>
        <w:sz w:val="20"/>
      </w:rPr>
      <w:t xml:space="preserve">Page </w:t>
    </w:r>
    <w:r>
      <w:fldChar w:fldCharType="begin"/>
    </w:r>
    <w:r>
      <w:instrText xml:space="preserve"> PAGE   \* MERGEFORMAT </w:instrText>
    </w:r>
    <w:r>
      <w:fldChar w:fldCharType="separate"/>
    </w:r>
    <w:r w:rsidR="005913F2" w:rsidRPr="005913F2">
      <w:rPr>
        <w:noProof/>
        <w:sz w:val="20"/>
      </w:rPr>
      <w:t>1</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5913F2">
      <w:rPr>
        <w:noProof/>
        <w:sz w:val="20"/>
      </w:rPr>
      <w:t>42</w:t>
    </w:r>
    <w:r>
      <w:rPr>
        <w:noProof/>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BDC1" w14:textId="77777777" w:rsidR="00CC0EC8" w:rsidRDefault="00CC0EC8">
      <w:pPr>
        <w:spacing w:after="0" w:line="240" w:lineRule="auto"/>
      </w:pPr>
      <w:r>
        <w:separator/>
      </w:r>
    </w:p>
  </w:footnote>
  <w:footnote w:type="continuationSeparator" w:id="0">
    <w:p w14:paraId="2D4EF5EA" w14:textId="77777777" w:rsidR="00CC0EC8" w:rsidRDefault="00CC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4FB4" w14:textId="77777777" w:rsidR="00397C39" w:rsidRDefault="00397C39">
    <w:pPr>
      <w:spacing w:after="0" w:line="259" w:lineRule="auto"/>
      <w:ind w:left="0" w:firstLine="0"/>
      <w:jc w:val="left"/>
    </w:pPr>
    <w:r>
      <w:rPr>
        <w:sz w:val="20"/>
      </w:rPr>
      <w:t xml:space="preserve">Date and version No:   Version 1.0; dated 21st December 2018 </w:t>
    </w:r>
  </w:p>
  <w:p w14:paraId="4286913F" w14:textId="77777777" w:rsidR="00397C39" w:rsidRDefault="00397C39">
    <w:pPr>
      <w:spacing w:after="0" w:line="259" w:lineRule="auto"/>
      <w:ind w:lef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4E21" w14:textId="0763FE5F" w:rsidR="00397C39" w:rsidRDefault="00397C39">
    <w:pPr>
      <w:spacing w:after="0" w:line="259" w:lineRule="auto"/>
      <w:ind w:left="0" w:firstLine="0"/>
      <w:jc w:val="left"/>
    </w:pPr>
    <w:r>
      <w:rPr>
        <w:sz w:val="20"/>
      </w:rPr>
      <w:t>Date and version No:   Version 4.0; dated 17</w:t>
    </w:r>
    <w:r w:rsidRPr="00F45278">
      <w:rPr>
        <w:sz w:val="20"/>
        <w:vertAlign w:val="superscript"/>
      </w:rPr>
      <w:t>th</w:t>
    </w:r>
    <w:r>
      <w:rPr>
        <w:sz w:val="20"/>
      </w:rPr>
      <w:t xml:space="preserve"> August 2020</w:t>
    </w:r>
  </w:p>
  <w:p w14:paraId="071F0090" w14:textId="77777777" w:rsidR="00397C39" w:rsidRDefault="00397C39">
    <w:pPr>
      <w:spacing w:after="0" w:line="259" w:lineRule="auto"/>
      <w:ind w:lef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E6D" w14:textId="54DFD456" w:rsidR="00397C39" w:rsidRDefault="00397C39">
    <w:pPr>
      <w:spacing w:after="0" w:line="259" w:lineRule="auto"/>
      <w:ind w:left="0" w:firstLine="0"/>
      <w:jc w:val="left"/>
    </w:pPr>
    <w:r>
      <w:rPr>
        <w:sz w:val="20"/>
      </w:rPr>
      <w:t>Date and version No:   Version 4.0; dated 17</w:t>
    </w:r>
    <w:r w:rsidRPr="00F45278">
      <w:rPr>
        <w:sz w:val="20"/>
        <w:vertAlign w:val="superscript"/>
      </w:rPr>
      <w:t>th</w:t>
    </w:r>
    <w:r>
      <w:rPr>
        <w:sz w:val="20"/>
      </w:rPr>
      <w:t xml:space="preserve"> August 2020</w:t>
    </w:r>
  </w:p>
  <w:p w14:paraId="74781057" w14:textId="77777777" w:rsidR="00397C39" w:rsidRDefault="00397C39">
    <w:pPr>
      <w:spacing w:after="325" w:line="259" w:lineRule="auto"/>
      <w:ind w:left="0" w:firstLine="0"/>
      <w:jc w:val="left"/>
    </w:pPr>
    <w:r>
      <w:rPr>
        <w:sz w:val="20"/>
      </w:rPr>
      <w:t xml:space="preserve"> </w:t>
    </w:r>
  </w:p>
  <w:p w14:paraId="3D17C427" w14:textId="77777777" w:rsidR="00397C39" w:rsidRDefault="00397C39">
    <w:pPr>
      <w:spacing w:after="0" w:line="259" w:lineRule="auto"/>
      <w:ind w:left="185" w:firstLine="0"/>
      <w:jc w:val="left"/>
    </w:pPr>
    <w:r>
      <w:rPr>
        <w:rFonts w:ascii="Arial" w:eastAsia="Arial" w:hAnsi="Arial" w:cs="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EFE"/>
    <w:multiLevelType w:val="hybridMultilevel"/>
    <w:tmpl w:val="F1444F74"/>
    <w:lvl w:ilvl="0" w:tplc="94203E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DE7AB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CD832D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B2E49B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4BA83B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BB29E9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CA09F9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0F8566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4001A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279CE"/>
    <w:multiLevelType w:val="hybridMultilevel"/>
    <w:tmpl w:val="642A3462"/>
    <w:lvl w:ilvl="0" w:tplc="E8B2A828">
      <w:start w:val="1"/>
      <w:numFmt w:val="bullet"/>
      <w:lvlText w:val="•"/>
      <w:lvlJc w:val="left"/>
      <w:pPr>
        <w:ind w:left="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C1436">
      <w:start w:val="1"/>
      <w:numFmt w:val="bullet"/>
      <w:lvlText w:val="o"/>
      <w:lvlJc w:val="left"/>
      <w:pPr>
        <w:ind w:left="1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B048E0">
      <w:start w:val="1"/>
      <w:numFmt w:val="bullet"/>
      <w:lvlText w:val="▪"/>
      <w:lvlJc w:val="left"/>
      <w:pPr>
        <w:ind w:left="21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DEEA20">
      <w:start w:val="1"/>
      <w:numFmt w:val="bullet"/>
      <w:lvlText w:val="•"/>
      <w:lvlJc w:val="left"/>
      <w:pPr>
        <w:ind w:left="2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CBA7E">
      <w:start w:val="1"/>
      <w:numFmt w:val="bullet"/>
      <w:lvlText w:val="o"/>
      <w:lvlJc w:val="left"/>
      <w:pPr>
        <w:ind w:left="3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F8DCCA">
      <w:start w:val="1"/>
      <w:numFmt w:val="bullet"/>
      <w:lvlText w:val="▪"/>
      <w:lvlJc w:val="left"/>
      <w:pPr>
        <w:ind w:left="4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8EC41C">
      <w:start w:val="1"/>
      <w:numFmt w:val="bullet"/>
      <w:lvlText w:val="•"/>
      <w:lvlJc w:val="left"/>
      <w:pPr>
        <w:ind w:left="4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209132">
      <w:start w:val="1"/>
      <w:numFmt w:val="bullet"/>
      <w:lvlText w:val="o"/>
      <w:lvlJc w:val="left"/>
      <w:pPr>
        <w:ind w:left="5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FAB8">
      <w:start w:val="1"/>
      <w:numFmt w:val="bullet"/>
      <w:lvlText w:val="▪"/>
      <w:lvlJc w:val="left"/>
      <w:pPr>
        <w:ind w:left="6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216E00"/>
    <w:multiLevelType w:val="hybridMultilevel"/>
    <w:tmpl w:val="262026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9DC6E2E"/>
    <w:multiLevelType w:val="hybridMultilevel"/>
    <w:tmpl w:val="632A9620"/>
    <w:lvl w:ilvl="0" w:tplc="ED1CFCC8">
      <w:start w:val="1"/>
      <w:numFmt w:val="lowerLetter"/>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6A1A54">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FAC69A">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DA20D2">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A6441E">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28E250">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801A34">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B4F6AA">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C46568">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9915C7"/>
    <w:multiLevelType w:val="hybridMultilevel"/>
    <w:tmpl w:val="4F6C65CE"/>
    <w:lvl w:ilvl="0" w:tplc="8CD2D3DE">
      <w:start w:val="4"/>
      <w:numFmt w:val="bullet"/>
      <w:lvlText w:val="-"/>
      <w:lvlJc w:val="left"/>
      <w:pPr>
        <w:ind w:left="1055" w:hanging="360"/>
      </w:pPr>
      <w:rPr>
        <w:rFonts w:ascii="Calibri" w:eastAsia="Calibri"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51D34C1"/>
    <w:multiLevelType w:val="hybridMultilevel"/>
    <w:tmpl w:val="3B44EA92"/>
    <w:lvl w:ilvl="0" w:tplc="856608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68CD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1C22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7ECF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FC7A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B0C9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BAB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8245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2249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7063C1"/>
    <w:multiLevelType w:val="hybridMultilevel"/>
    <w:tmpl w:val="6258511E"/>
    <w:lvl w:ilvl="0" w:tplc="6E288E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035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8C00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1A3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1280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46E3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E216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F218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FA4F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BA6667"/>
    <w:multiLevelType w:val="hybridMultilevel"/>
    <w:tmpl w:val="9446A89E"/>
    <w:lvl w:ilvl="0" w:tplc="534E4E94">
      <w:start w:val="1"/>
      <w:numFmt w:val="lowerLetter"/>
      <w:lvlText w:val="%1."/>
      <w:lvlJc w:val="left"/>
      <w:pPr>
        <w:ind w:left="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2003A6">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92BD5A">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D87058">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AE2C64">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AE403A">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88712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8AFA4">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12790C">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871D1A"/>
    <w:multiLevelType w:val="hybridMultilevel"/>
    <w:tmpl w:val="92D21516"/>
    <w:lvl w:ilvl="0" w:tplc="8CD2D3DE">
      <w:start w:val="4"/>
      <w:numFmt w:val="bullet"/>
      <w:lvlText w:val="-"/>
      <w:lvlJc w:val="left"/>
      <w:pPr>
        <w:ind w:left="1070" w:hanging="360"/>
      </w:pPr>
      <w:rPr>
        <w:rFonts w:ascii="Calibri" w:eastAsia="Calibri" w:hAnsi="Calibri" w:cs="Calibri"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2C5151B8"/>
    <w:multiLevelType w:val="hybridMultilevel"/>
    <w:tmpl w:val="A22CF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557A05"/>
    <w:multiLevelType w:val="hybridMultilevel"/>
    <w:tmpl w:val="D5EE85BC"/>
    <w:lvl w:ilvl="0" w:tplc="F148E83A">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FC97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C4BA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6250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4E8A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E6D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8250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E9E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D880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E4478E"/>
    <w:multiLevelType w:val="hybridMultilevel"/>
    <w:tmpl w:val="CF4E7686"/>
    <w:lvl w:ilvl="0" w:tplc="5B8458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231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1820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0847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CA29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7228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F8B4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EEA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CF5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3E12DA"/>
    <w:multiLevelType w:val="hybridMultilevel"/>
    <w:tmpl w:val="C87A77C2"/>
    <w:lvl w:ilvl="0" w:tplc="B49A119A">
      <w:start w:val="1"/>
      <w:numFmt w:val="lowerLetter"/>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F655D0">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0E4CE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CE5ED0">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F28C3C">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E6E06C">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2255E8">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02B5F6">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44BA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0A0839"/>
    <w:multiLevelType w:val="hybridMultilevel"/>
    <w:tmpl w:val="A03CAB4E"/>
    <w:lvl w:ilvl="0" w:tplc="BF64F60C">
      <w:start w:val="1"/>
      <w:numFmt w:val="bullet"/>
      <w:lvlText w:val="•"/>
      <w:lvlJc w:val="left"/>
      <w:pPr>
        <w:ind w:left="73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4" w15:restartNumberingAfterBreak="0">
    <w:nsid w:val="48D13C11"/>
    <w:multiLevelType w:val="multilevel"/>
    <w:tmpl w:val="282217AC"/>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ED18AD"/>
    <w:multiLevelType w:val="hybridMultilevel"/>
    <w:tmpl w:val="A17CA27C"/>
    <w:lvl w:ilvl="0" w:tplc="EF16B630">
      <w:start w:val="1"/>
      <w:numFmt w:val="decimal"/>
      <w:lvlText w:val="%1."/>
      <w:lvlJc w:val="left"/>
      <w:pPr>
        <w:ind w:left="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3200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B08D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DC52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6891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E9F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902E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42B5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3841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24202C"/>
    <w:multiLevelType w:val="multilevel"/>
    <w:tmpl w:val="0546C840"/>
    <w:lvl w:ilvl="0">
      <w:start w:val="10"/>
      <w:numFmt w:val="decimal"/>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B4104B"/>
    <w:multiLevelType w:val="multilevel"/>
    <w:tmpl w:val="6B98438C"/>
    <w:lvl w:ilvl="0">
      <w:start w:val="1"/>
      <w:numFmt w:val="decimal"/>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9C32CD"/>
    <w:multiLevelType w:val="hybridMultilevel"/>
    <w:tmpl w:val="CF4AD9E6"/>
    <w:lvl w:ilvl="0" w:tplc="D1AC703A">
      <w:start w:val="1"/>
      <w:numFmt w:val="lowerLetter"/>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5BFC2579"/>
    <w:multiLevelType w:val="multilevel"/>
    <w:tmpl w:val="A7669F88"/>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7A6924"/>
    <w:multiLevelType w:val="hybridMultilevel"/>
    <w:tmpl w:val="A4249438"/>
    <w:lvl w:ilvl="0" w:tplc="BF64F6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40D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FCB1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9209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C28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2880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DC22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F6A4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5CE8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633B8A"/>
    <w:multiLevelType w:val="hybridMultilevel"/>
    <w:tmpl w:val="D2187A46"/>
    <w:lvl w:ilvl="0" w:tplc="57A014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B4A7B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95ECE0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D5A4A6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B4418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BEAA58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3CC24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A48A5C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0B4B6C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D97986"/>
    <w:multiLevelType w:val="hybridMultilevel"/>
    <w:tmpl w:val="CE9A7DD0"/>
    <w:lvl w:ilvl="0" w:tplc="F80C7638">
      <w:start w:val="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F25CBC">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26D564">
      <w:start w:val="1"/>
      <w:numFmt w:val="lowerRoman"/>
      <w:lvlText w:val="%3"/>
      <w:lvlJc w:val="left"/>
      <w:pPr>
        <w:ind w:left="2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483D84">
      <w:start w:val="1"/>
      <w:numFmt w:val="decimal"/>
      <w:lvlText w:val="%4"/>
      <w:lvlJc w:val="left"/>
      <w:pPr>
        <w:ind w:left="2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04732A">
      <w:start w:val="1"/>
      <w:numFmt w:val="lowerLetter"/>
      <w:lvlText w:val="%5"/>
      <w:lvlJc w:val="left"/>
      <w:pPr>
        <w:ind w:left="3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A2C240">
      <w:start w:val="1"/>
      <w:numFmt w:val="lowerRoman"/>
      <w:lvlText w:val="%6"/>
      <w:lvlJc w:val="left"/>
      <w:pPr>
        <w:ind w:left="4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C229C6">
      <w:start w:val="1"/>
      <w:numFmt w:val="decimal"/>
      <w:lvlText w:val="%7"/>
      <w:lvlJc w:val="left"/>
      <w:pPr>
        <w:ind w:left="5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87F68">
      <w:start w:val="1"/>
      <w:numFmt w:val="lowerLetter"/>
      <w:lvlText w:val="%8"/>
      <w:lvlJc w:val="left"/>
      <w:pPr>
        <w:ind w:left="5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EAC772">
      <w:start w:val="1"/>
      <w:numFmt w:val="lowerRoman"/>
      <w:lvlText w:val="%9"/>
      <w:lvlJc w:val="left"/>
      <w:pPr>
        <w:ind w:left="6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1F0BA3"/>
    <w:multiLevelType w:val="hybridMultilevel"/>
    <w:tmpl w:val="40B26DE6"/>
    <w:lvl w:ilvl="0" w:tplc="715E89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A6F2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A65B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C7F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C2A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C52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BCFC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867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925C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2F4CB1"/>
    <w:multiLevelType w:val="hybridMultilevel"/>
    <w:tmpl w:val="D1CABC9C"/>
    <w:lvl w:ilvl="0" w:tplc="59BA94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AA0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50F0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8AE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3CF4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769A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ACB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08B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2473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875222"/>
    <w:multiLevelType w:val="hybridMultilevel"/>
    <w:tmpl w:val="7E587EB0"/>
    <w:lvl w:ilvl="0" w:tplc="D7A42658">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674FB"/>
    <w:multiLevelType w:val="hybridMultilevel"/>
    <w:tmpl w:val="210C228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16cid:durableId="1437015262">
    <w:abstractNumId w:val="17"/>
  </w:num>
  <w:num w:numId="2" w16cid:durableId="1594435860">
    <w:abstractNumId w:val="19"/>
  </w:num>
  <w:num w:numId="3" w16cid:durableId="1351758195">
    <w:abstractNumId w:val="14"/>
  </w:num>
  <w:num w:numId="4" w16cid:durableId="579370714">
    <w:abstractNumId w:val="16"/>
  </w:num>
  <w:num w:numId="5" w16cid:durableId="449127622">
    <w:abstractNumId w:val="20"/>
  </w:num>
  <w:num w:numId="6" w16cid:durableId="1080373467">
    <w:abstractNumId w:val="24"/>
  </w:num>
  <w:num w:numId="7" w16cid:durableId="623266693">
    <w:abstractNumId w:val="5"/>
  </w:num>
  <w:num w:numId="8" w16cid:durableId="540286992">
    <w:abstractNumId w:val="6"/>
  </w:num>
  <w:num w:numId="9" w16cid:durableId="1751001507">
    <w:abstractNumId w:val="10"/>
  </w:num>
  <w:num w:numId="10" w16cid:durableId="997030352">
    <w:abstractNumId w:val="0"/>
  </w:num>
  <w:num w:numId="11" w16cid:durableId="96487813">
    <w:abstractNumId w:val="21"/>
  </w:num>
  <w:num w:numId="12" w16cid:durableId="1751342620">
    <w:abstractNumId w:val="23"/>
  </w:num>
  <w:num w:numId="13" w16cid:durableId="1730033406">
    <w:abstractNumId w:val="11"/>
  </w:num>
  <w:num w:numId="14" w16cid:durableId="1749837431">
    <w:abstractNumId w:val="3"/>
  </w:num>
  <w:num w:numId="15" w16cid:durableId="790782270">
    <w:abstractNumId w:val="15"/>
  </w:num>
  <w:num w:numId="16" w16cid:durableId="682054601">
    <w:abstractNumId w:val="7"/>
  </w:num>
  <w:num w:numId="17" w16cid:durableId="1221867001">
    <w:abstractNumId w:val="12"/>
  </w:num>
  <w:num w:numId="18" w16cid:durableId="280767143">
    <w:abstractNumId w:val="22"/>
  </w:num>
  <w:num w:numId="19" w16cid:durableId="261374520">
    <w:abstractNumId w:val="1"/>
  </w:num>
  <w:num w:numId="20" w16cid:durableId="995034224">
    <w:abstractNumId w:val="25"/>
  </w:num>
  <w:num w:numId="21" w16cid:durableId="1990983862">
    <w:abstractNumId w:val="9"/>
  </w:num>
  <w:num w:numId="22" w16cid:durableId="862203801">
    <w:abstractNumId w:val="8"/>
  </w:num>
  <w:num w:numId="23" w16cid:durableId="949901215">
    <w:abstractNumId w:val="4"/>
  </w:num>
  <w:num w:numId="24" w16cid:durableId="1688680988">
    <w:abstractNumId w:val="2"/>
  </w:num>
  <w:num w:numId="25" w16cid:durableId="288435356">
    <w:abstractNumId w:val="13"/>
  </w:num>
  <w:num w:numId="26" w16cid:durableId="426586941">
    <w:abstractNumId w:val="18"/>
  </w:num>
  <w:num w:numId="27" w16cid:durableId="15996063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AF"/>
    <w:rsid w:val="00000AFA"/>
    <w:rsid w:val="00012A53"/>
    <w:rsid w:val="00035709"/>
    <w:rsid w:val="00042D0F"/>
    <w:rsid w:val="000775C3"/>
    <w:rsid w:val="000947A8"/>
    <w:rsid w:val="000A0CA7"/>
    <w:rsid w:val="000B4661"/>
    <w:rsid w:val="00100D62"/>
    <w:rsid w:val="001441F1"/>
    <w:rsid w:val="00153EE3"/>
    <w:rsid w:val="00181A5D"/>
    <w:rsid w:val="00195743"/>
    <w:rsid w:val="001F63EF"/>
    <w:rsid w:val="00226866"/>
    <w:rsid w:val="002600C5"/>
    <w:rsid w:val="002D00AB"/>
    <w:rsid w:val="00317D70"/>
    <w:rsid w:val="003350BF"/>
    <w:rsid w:val="00337E5D"/>
    <w:rsid w:val="0035459E"/>
    <w:rsid w:val="00356B2F"/>
    <w:rsid w:val="003706D8"/>
    <w:rsid w:val="0039182A"/>
    <w:rsid w:val="00397C39"/>
    <w:rsid w:val="003D6694"/>
    <w:rsid w:val="004600CD"/>
    <w:rsid w:val="004710EB"/>
    <w:rsid w:val="004E3544"/>
    <w:rsid w:val="004E751B"/>
    <w:rsid w:val="004F7591"/>
    <w:rsid w:val="00502D8F"/>
    <w:rsid w:val="005604FA"/>
    <w:rsid w:val="005650B7"/>
    <w:rsid w:val="0058017F"/>
    <w:rsid w:val="005913F2"/>
    <w:rsid w:val="005C4822"/>
    <w:rsid w:val="00607A94"/>
    <w:rsid w:val="00653B23"/>
    <w:rsid w:val="0069266E"/>
    <w:rsid w:val="007000B1"/>
    <w:rsid w:val="007511F2"/>
    <w:rsid w:val="00780D55"/>
    <w:rsid w:val="007C2973"/>
    <w:rsid w:val="007D5B5D"/>
    <w:rsid w:val="0080245C"/>
    <w:rsid w:val="00821301"/>
    <w:rsid w:val="00821C6E"/>
    <w:rsid w:val="00822191"/>
    <w:rsid w:val="00827CE4"/>
    <w:rsid w:val="00837131"/>
    <w:rsid w:val="00867E29"/>
    <w:rsid w:val="008A74EC"/>
    <w:rsid w:val="008D0FE5"/>
    <w:rsid w:val="009177BE"/>
    <w:rsid w:val="00945AFD"/>
    <w:rsid w:val="009570F4"/>
    <w:rsid w:val="0098044E"/>
    <w:rsid w:val="00991A61"/>
    <w:rsid w:val="009B04B7"/>
    <w:rsid w:val="009C57CF"/>
    <w:rsid w:val="00B402A2"/>
    <w:rsid w:val="00B44FCE"/>
    <w:rsid w:val="00B66BD1"/>
    <w:rsid w:val="00BA1022"/>
    <w:rsid w:val="00BA14D6"/>
    <w:rsid w:val="00BA50E1"/>
    <w:rsid w:val="00BE3ADB"/>
    <w:rsid w:val="00BF4E2F"/>
    <w:rsid w:val="00C122CF"/>
    <w:rsid w:val="00C43161"/>
    <w:rsid w:val="00C54D53"/>
    <w:rsid w:val="00C71586"/>
    <w:rsid w:val="00C8508D"/>
    <w:rsid w:val="00CC0EC8"/>
    <w:rsid w:val="00CE5AAF"/>
    <w:rsid w:val="00D122B6"/>
    <w:rsid w:val="00D2661C"/>
    <w:rsid w:val="00D35F7B"/>
    <w:rsid w:val="00D466A2"/>
    <w:rsid w:val="00D706C2"/>
    <w:rsid w:val="00D97A95"/>
    <w:rsid w:val="00E6117C"/>
    <w:rsid w:val="00E6249E"/>
    <w:rsid w:val="00E85A33"/>
    <w:rsid w:val="00EE6244"/>
    <w:rsid w:val="00F45278"/>
    <w:rsid w:val="00F45740"/>
    <w:rsid w:val="00FC4C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92D40"/>
  <w15:docId w15:val="{D71A03FD-D6B9-469D-80D5-8A293BD1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71" w:lineRule="auto"/>
      <w:ind w:left="39"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9"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3" w:line="265" w:lineRule="auto"/>
      <w:ind w:left="38"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3" w:line="265" w:lineRule="auto"/>
      <w:ind w:left="38"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0"/>
      <w:ind w:left="39" w:hanging="10"/>
      <w:outlineLvl w:val="3"/>
    </w:pPr>
    <w:rPr>
      <w:rFonts w:ascii="Calibri" w:eastAsia="Calibri" w:hAnsi="Calibri" w:cs="Calibri"/>
      <w:b/>
      <w:color w:val="000000"/>
      <w:sz w:val="24"/>
    </w:rPr>
  </w:style>
  <w:style w:type="paragraph" w:styleId="Heading5">
    <w:name w:val="heading 5"/>
    <w:next w:val="Normal"/>
    <w:link w:val="Heading5Char"/>
    <w:uiPriority w:val="9"/>
    <w:unhideWhenUsed/>
    <w:qFormat/>
    <w:pPr>
      <w:keepNext/>
      <w:keepLines/>
      <w:spacing w:after="13" w:line="265" w:lineRule="auto"/>
      <w:ind w:left="38" w:hanging="10"/>
      <w:outlineLvl w:val="4"/>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85A33"/>
    <w:rPr>
      <w:sz w:val="16"/>
      <w:szCs w:val="16"/>
    </w:rPr>
  </w:style>
  <w:style w:type="paragraph" w:styleId="CommentText">
    <w:name w:val="annotation text"/>
    <w:basedOn w:val="Normal"/>
    <w:link w:val="CommentTextChar"/>
    <w:uiPriority w:val="99"/>
    <w:semiHidden/>
    <w:unhideWhenUsed/>
    <w:rsid w:val="00E85A33"/>
    <w:pPr>
      <w:spacing w:line="240" w:lineRule="auto"/>
    </w:pPr>
    <w:rPr>
      <w:sz w:val="20"/>
      <w:szCs w:val="20"/>
    </w:rPr>
  </w:style>
  <w:style w:type="character" w:customStyle="1" w:styleId="CommentTextChar">
    <w:name w:val="Comment Text Char"/>
    <w:basedOn w:val="DefaultParagraphFont"/>
    <w:link w:val="CommentText"/>
    <w:uiPriority w:val="99"/>
    <w:semiHidden/>
    <w:rsid w:val="00E85A3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85A33"/>
    <w:rPr>
      <w:b/>
      <w:bCs/>
    </w:rPr>
  </w:style>
  <w:style w:type="character" w:customStyle="1" w:styleId="CommentSubjectChar">
    <w:name w:val="Comment Subject Char"/>
    <w:basedOn w:val="CommentTextChar"/>
    <w:link w:val="CommentSubject"/>
    <w:uiPriority w:val="99"/>
    <w:semiHidden/>
    <w:rsid w:val="00E85A3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8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A33"/>
    <w:rPr>
      <w:rFonts w:ascii="Segoe UI" w:eastAsia="Calibri" w:hAnsi="Segoe UI" w:cs="Segoe UI"/>
      <w:color w:val="000000"/>
      <w:sz w:val="18"/>
      <w:szCs w:val="18"/>
    </w:rPr>
  </w:style>
  <w:style w:type="paragraph" w:styleId="ListParagraph">
    <w:name w:val="List Paragraph"/>
    <w:basedOn w:val="Normal"/>
    <w:uiPriority w:val="34"/>
    <w:qFormat/>
    <w:rsid w:val="004600CD"/>
    <w:pPr>
      <w:ind w:left="720"/>
      <w:contextualSpacing/>
    </w:pPr>
  </w:style>
  <w:style w:type="paragraph" w:styleId="Revision">
    <w:name w:val="Revision"/>
    <w:hidden/>
    <w:uiPriority w:val="99"/>
    <w:semiHidden/>
    <w:rsid w:val="005604F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2CAE-C8C8-4952-B13D-815CE6F5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13918</Words>
  <Characters>79338</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Barnby-Porritt</dc:creator>
  <cp:keywords/>
  <cp:lastModifiedBy>Amy Sue Newman</cp:lastModifiedBy>
  <cp:revision>2</cp:revision>
  <cp:lastPrinted>2019-04-23T14:48:00Z</cp:lastPrinted>
  <dcterms:created xsi:type="dcterms:W3CDTF">2022-09-26T19:54:00Z</dcterms:created>
  <dcterms:modified xsi:type="dcterms:W3CDTF">2022-09-26T19:54:00Z</dcterms:modified>
</cp:coreProperties>
</file>