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5928" w14:textId="77777777" w:rsidR="001006F8" w:rsidRPr="00016948" w:rsidRDefault="001006F8" w:rsidP="001006F8">
      <w:pPr>
        <w:pStyle w:val="Heading"/>
        <w:rPr>
          <w:lang w:val="en-GB"/>
        </w:rPr>
      </w:pPr>
      <w:r w:rsidRPr="00016948">
        <w:rPr>
          <w:lang w:val="en-GB"/>
        </w:rPr>
        <w:t>Supplemental Digital Content</w:t>
      </w:r>
    </w:p>
    <w:p w14:paraId="63A333D0" w14:textId="77777777" w:rsidR="001006F8" w:rsidRPr="00016948" w:rsidRDefault="001006F8" w:rsidP="001006F8">
      <w:pPr>
        <w:pStyle w:val="Heading"/>
        <w:rPr>
          <w:lang w:val="en-GB"/>
        </w:rPr>
      </w:pPr>
      <w:r w:rsidRPr="00016948">
        <w:rPr>
          <w:lang w:val="en-GB"/>
        </w:rPr>
        <w:t>Methods</w:t>
      </w:r>
    </w:p>
    <w:p w14:paraId="07079C11" w14:textId="77777777" w:rsidR="001006F8" w:rsidRPr="00016948" w:rsidRDefault="001006F8" w:rsidP="001006F8">
      <w:pPr>
        <w:pStyle w:val="Sub-heading"/>
      </w:pPr>
      <w:r w:rsidRPr="00016948">
        <w:t>Experimental design</w:t>
      </w:r>
    </w:p>
    <w:p w14:paraId="49FAE20F" w14:textId="77777777" w:rsidR="001006F8" w:rsidRPr="00016948" w:rsidRDefault="001006F8" w:rsidP="001006F8">
      <w:pPr>
        <w:pStyle w:val="Text"/>
      </w:pPr>
      <w:r w:rsidRPr="00016948">
        <w:t xml:space="preserve">Nineteen healthy subjects (10 females, mean age 25.3±0.7 years) were recruited for this study. Subjects were excluded if they were presenting one of the following: known anaesthetic allergy, pregnancy, lactation, previous or current musculoskeletal, neurologic, or dermatologic diseases, tattoos in the forearm areas, as well as ongoing pain and itch or medication intake. The experiment consisted of a single session lasting less than 2 hours. Every participant was adequately informed about all the procedures they would undergo. All the stimulations were randomized between the left and right forearm of the participants (Fig. S1A-B). The study was approved by the regional ethical committee (N-20180035). All participants gave signed informed consent before the participation and could withdraw from the experiment at any time. </w:t>
      </w:r>
    </w:p>
    <w:p w14:paraId="38BF47E5" w14:textId="77777777" w:rsidR="001006F8" w:rsidRPr="00016948" w:rsidRDefault="001006F8" w:rsidP="001006F8">
      <w:pPr>
        <w:pStyle w:val="Sub-heading"/>
      </w:pPr>
      <w:r w:rsidRPr="00016948">
        <w:t>Skin anesthetization</w:t>
      </w:r>
    </w:p>
    <w:p w14:paraId="1D35EBFE" w14:textId="77777777" w:rsidR="001006F8" w:rsidRPr="00016948" w:rsidRDefault="001006F8" w:rsidP="001006F8">
      <w:pPr>
        <w:pStyle w:val="Text"/>
      </w:pPr>
      <w:r w:rsidRPr="00016948">
        <w:t xml:space="preserve">Local intradermal anaesthesia was performed by lidocaine (2%) in conjunction with a vasoconstrictor (adrenalin; </w:t>
      </w:r>
      <w:proofErr w:type="spellStart"/>
      <w:r w:rsidRPr="00016948">
        <w:t>Skanderborg</w:t>
      </w:r>
      <w:proofErr w:type="spellEnd"/>
      <w:r w:rsidRPr="00016948">
        <w:t xml:space="preserve"> </w:t>
      </w:r>
      <w:proofErr w:type="spellStart"/>
      <w:r w:rsidRPr="00016948">
        <w:t>Apotek</w:t>
      </w:r>
      <w:proofErr w:type="spellEnd"/>
      <w:r w:rsidRPr="00016948">
        <w:t xml:space="preserve">, Denmark). A total of five 20 </w:t>
      </w:r>
      <w:proofErr w:type="spellStart"/>
      <w:r w:rsidRPr="00016948">
        <w:t>μL</w:t>
      </w:r>
      <w:proofErr w:type="spellEnd"/>
      <w:r w:rsidRPr="00016948">
        <w:t xml:space="preserve"> blebs using a 30G short intra-dermal needle were done. The small blebs ensured an even distribution in a skin area having a diameter of approximately 3 cm, and minimal discomfort due to the volume. This procedure was applied on one of the forearms of the subjects, whereas on the opposite randomized forearm saline (5 x 20 </w:t>
      </w:r>
      <w:proofErr w:type="spellStart"/>
      <w:r w:rsidRPr="00016948">
        <w:t>μL</w:t>
      </w:r>
      <w:proofErr w:type="spellEnd"/>
      <w:r w:rsidRPr="00016948">
        <w:t>) was used as a placebo/control. The method has been extensively applied to anaesthetize a local region of the human skin in various settings</w:t>
      </w:r>
      <w:r w:rsidRPr="00016948">
        <w:fldChar w:fldCharType="begin" w:fldLock="1"/>
      </w:r>
      <w:r>
        <w:instrText>ADDIN CSL_CITATION {"citationItems":[{"id":"ITEM-1","itemData":{"DOI":"10.1038/jid.1953.54","ISSN":"0022202X","PMID":"13069829","abstract":"In a preliminary study on pruritus (1), an investigation was made of some of the physical and psychological factors affecting reactivity. Itching was produced by injection of a freshly prepared histamine phosphate solution in a special diluent. By use of a quantitative technic, the end point of reactivity could be determined. The greatest dilution of histamine which produced a demonstrable pruritus was defined as the itch threshold. Threshold reactivity was then studied under various experimental and clinical conditions. Histamine was found to be fairly satisfactory for the production of itching; if the subject was under 50 years of age, itching could be produced in some 90% of the patients tested. In a minority of subjects and particularly those over 50 years of age, the itch response could not be produced. This absence of reactivity could not be satisfactorily interpreted, nor has it been explained to date. It became especially confusing when it was found that the objective reaction to histamine was remarkably constant. On the contrary, experiments by others as well as personal observations have shown that the application of cowhage (itch powder) invariably produces itching. This substance was employed ingeniously by Graham and his co-workers (2) in experiments concerning the nature of itching. However, it proved unsatisfactory in the present work. The sensation produced not only was an impure one but also had components of pricking, itching, and burning; furthermore, it could not be satisfactorily measured. Preliminary studies on the itch threshold established the fact that end point reactivity was variable from patient to patient and was influenced further by experimental and clinical conditions. As clinical pruritns increased in severity the itch threshold tended to be lower. Thresholds were much lower in involved skin than in uninvolved skin, both in patients with dermatitis and those with itching but without demonstrable lesions. Concerning psychogenic itching, an inverse relationship was found to be present between the itch threshold and the degree of psychic disturbance. Moreover, the itch threshold could be consistently lowered and the intensity of the sensation increased following the deliberate induction of psychic trauma. Interesting as these findings were, unexplained variations indicated the necessity for additional base line observations both on the nature of itching and the factors influencing its severity. These investigations comprise…","author":[{"dropping-particle":"","family":"Cormia","given":"F. E.","non-dropping-particle":"","parse-names":false,"suffix":""},{"dropping-particle":"","family":"Kuykendall","given":"V.","non-dropping-particle":"","parse-names":false,"suffix":""}],"container-title":"The Journal of investigative dermatology","id":"ITEM-1","issue":"6","issued":{"date-parts":[["1953"]]},"page":"429-446","title":"Experimental histamine pruritus. II. Nature; physical and environmental factors influencing development and severity","type":"article-journal","volume":"20"},"uris":["http://www.mendeley.com/documents/?uuid=89a8eb53-ebf6-3515-8da2-3f584911dab5"]},{"id":"ITEM-2","itemData":{"DOI":"10.1016/S0952-8180(02)00369-0","ISSN":"09528180","PMID":"12208437","abstract":"Study Objective: To evaluate pain and the spread of analgesia when local anesthetics are given as an intradermal injection into the dorsal aspect of the hand. Design: Randomized, double-blinded, placebo-controlled study. Setting: University medical center. Patients: 40 consenting adult volunteers. Interventions: Volunteers were randomly assigned to receive a 0.25-mL injection of either lidocaine hydrochloride (1%), buffered lidocaine, diphenhydramine (1%), or placebo (0.9% sodium chloride solution) into the dorsal aspect of both hands. Measurements: The volunteers used a visual analog scale to compare the pain of needle insertion and solution injection. Then at 1, 2, 5, 10, 20, and 30 minutes after intradermal injection, the extent of the analgesic area was marked on a strip of tape placed horizontally across the hand. Then at 32 minutes after intradermal injection, the extent of the analgesic area was marked on a strip of tape placed vertically across the hand. The volunteers were called each day and asked the duration of their numbness or hyperesthesia until their hands were no longer numb or sore. Main Results: Buffered lidocaine during intradermal infiltration was found to be significantly (p &lt; 0.05) less painful than either lidocaine hydrochloride or diphenhydramine and equivalent to placebo. Diphenhydramine and lidocaine hydrochloride during intradermal infiltration induced significantly (p &lt; 0.05) more pain than buffered lidocaine or placebo. Lidocaine hydrochloride displayed a significantly (p &lt; 0.05) larger diameter of analgesia than placebo by 1 minute after the injection, buffered lidocaine by 2 minutes after injection, and diphenhydramine by 5 minutes after injection. By 20 minutes after injection, diphenhydramine diameter of analgesia was significantly (p &lt; 0.05) larger than placebo but significantly less than buffered lidocaine. By 30 minutes after injection, diphenhydramine diameter of analgesia was equivalent to placebo whereas buffered lidocaine and lidocaine diameters were still significantly (p &lt; 0.05) larger than placebo. Diphenhydramine injection resulted in numbness that lasted significantly (p &lt; 0.05) longer than other study solutions whereas buffered lidocaine and lidocaine injections resulted in numbness that lasted significantly longer than placebo. Diphenhydramine injection resulted in hyperesthesia that lasted for 2 or more days in 12 of the volunteers. Conclusion: There is a reduction of infiltration pain using buffered lido…","author":[{"dropping-particle":"","family":"Xia","given":"Yun","non-dropping-particle":"","parse-names":false,"suffix":""},{"dropping-particle":"","family":"Chen","given":"Edward","non-dropping-particle":"","parse-names":false,"suffix":""},{"dropping-particle":"","family":"Tibbits","given":"David L.","non-dropping-particle":"","parse-names":false,"suffix":""},{"dropping-particle":"","family":"Reilley","given":"Thomas E.","non-dropping-particle":"","parse-names":false,"suffix":""},{"dropping-particle":"","family":"McSweeney","given":"Thomas D.","non-dropping-particle":"","parse-names":false,"suffix":""}],"container-title":"Journal of Clinical Anesthesia","id":"ITEM-2","issue":"5","issued":{"date-parts":[["2002","8","1"]]},"page":"339-343","publisher":"Elsevier","title":"Comparison of effects of lidocaine hydrochloride, buffered lidocaine, diphenhydramine, and normal saline after intradermal injection","type":"article-journal","volume":"14"},"uris":["http://www.mendeley.com/documents/?uuid=a400b7d2-4e2f-3809-b565-de10b780b2a0"]},{"id":"ITEM-3","itemData":{"DOI":"10.1097/DSS.0000000000001900","ISSN":"15244725","PMID":"30829774","abstract":"BACKGROUND: Recently, the safety of lidocaine plus epinephrine use in outpatient surgery has come under scrutiny despite its long history of use in outpatient dermatologic procedures and surgeries. OBJECTIVE: To assess the frequency of crash cart and other emergency interventions during Mohs micrographic surgery when lidocaine plus epinephrine is used as a local anesthetic and evaluate patient comorbidities associated with these events. MATERIALS AND METHODS: A retrospective chart review was conducted in an outpatient Mohs micrographic surgery clinic. RESULTS: One thousand one hundred twenty-seven Mohs cases were reviewed from the period of March 2015 to June 2016 with 864 meeting the inclusion criteria of patient weight, medical history, and amount of lidocaine administered recorded. No adverse events requiring emergency intervention with a crash cart or transfer to the emergency department occurred despite a patient population with advanced age and a wide range of comorbidities. CONCLUSION: No serious adverse events requiring emergency intervention were associated with lidocaine with epinephrine doses administered below the Food and Drug Administration recommended maximum. The authors did not find evidence from this study or after a literature search to support the requirement for a crash cart and other emergency equipment to be present during procedures.","author":[{"dropping-particle":"","family":"Hirshburg","given":"Jason M.","non-dropping-particle":"","parse-names":false,"suffix":""},{"dropping-particle":"","family":"Diven","given":"Dayna G.","non-dropping-particle":"","parse-names":false,"suffix":""},{"dropping-particle":"","family":"Edmiston","given":"Chloe","non-dropping-particle":"","parse-names":false,"suffix":""},{"dropping-particle":"","family":"Dozier","given":"Susan E.","non-dropping-particle":"","parse-names":false,"suffix":""},{"dropping-particle":"","family":"Woody","given":"Meghan","non-dropping-particle":"","parse-names":false,"suffix":""},{"dropping-particle":"","family":"Fox","given":"Matthew C.","non-dropping-particle":"","parse-names":false,"suffix":""}],"container-title":"Dermatologic surgery : official publication for American Society for Dermatologic Surgery [et al.]","id":"ITEM-3","issue":"1","issued":{"date-parts":[["2020","1","1"]]},"page":"26-30","publisher":"NLM (Medline)","title":"Safety of Intradermal/Subcutaneous Lidocaine With Epinephrine Use in Dermatologic Surgery","type":"article-journal","volume":"46"},"uris":["http://www.mendeley.com/documents/?uuid=f13f983e-2481-313a-9d5f-440613322fea"]}],"mendeley":{"formattedCitation":"&lt;sup&gt;1–3&lt;/sup&gt;","plainTextFormattedCitation":"1–3","previouslyFormattedCitation":"&lt;sup&gt;1–3&lt;/sup&gt;"},"properties":{"noteIndex":0},"schema":"https://github.com/citation-style-language/schema/raw/master/csl-citation.json"}</w:instrText>
      </w:r>
      <w:r w:rsidRPr="00016948">
        <w:fldChar w:fldCharType="separate"/>
      </w:r>
      <w:r w:rsidRPr="003148ED">
        <w:rPr>
          <w:noProof/>
          <w:vertAlign w:val="superscript"/>
        </w:rPr>
        <w:t>1–3</w:t>
      </w:r>
      <w:r w:rsidRPr="00016948">
        <w:fldChar w:fldCharType="end"/>
      </w:r>
      <w:r w:rsidRPr="00016948">
        <w:t>.</w:t>
      </w:r>
    </w:p>
    <w:p w14:paraId="38AB33E9" w14:textId="77777777" w:rsidR="001006F8" w:rsidRPr="00016948" w:rsidRDefault="001006F8" w:rsidP="001006F8">
      <w:pPr>
        <w:pStyle w:val="Sub-heading"/>
      </w:pPr>
      <w:r w:rsidRPr="00016948">
        <w:t>Heat stimulation</w:t>
      </w:r>
    </w:p>
    <w:p w14:paraId="1AF333CF" w14:textId="77777777" w:rsidR="001006F8" w:rsidRPr="00016948" w:rsidRDefault="001006F8" w:rsidP="001006F8">
      <w:pPr>
        <w:pStyle w:val="Text"/>
      </w:pPr>
      <w:r w:rsidRPr="00016948">
        <w:t xml:space="preserve">Reproducible thermal stimulations were performed by a CHEPS thermal probe (3 cm diameter) attached to a Medoc PATHWAY thermal stimulator (Medoc Ltd, Ramat </w:t>
      </w:r>
      <w:proofErr w:type="spellStart"/>
      <w:r w:rsidRPr="00016948">
        <w:t>Yishay</w:t>
      </w:r>
      <w:proofErr w:type="spellEnd"/>
      <w:r w:rsidRPr="00016948">
        <w:t xml:space="preserve">, Israel). The </w:t>
      </w:r>
      <w:proofErr w:type="spellStart"/>
      <w:r w:rsidRPr="00016948">
        <w:t>thermode</w:t>
      </w:r>
      <w:proofErr w:type="spellEnd"/>
      <w:r w:rsidRPr="00016948">
        <w:t xml:space="preserve"> was kept in place by a strap. A heat stimulation ramp (38-50; </w:t>
      </w:r>
      <w:r w:rsidRPr="00016948">
        <w:rPr>
          <w:rFonts w:cstheme="minorHAnsi"/>
        </w:rPr>
        <w:t>≈</w:t>
      </w:r>
      <w:r w:rsidRPr="00016948">
        <w:t xml:space="preserve">0.2°C/s increasing) was applied on the marked areas on the forearms. The subjects were instructed that they could stop the stimulation as soon as the pain tolerance was reached, otherwise the stimulation would automatically stop at 50°C. The stimulus was applied every 5 minutes per forearm and up to 90 minutes (resulting in a 2.5 </w:t>
      </w:r>
      <w:proofErr w:type="gramStart"/>
      <w:r w:rsidRPr="00016948">
        <w:t>minutes</w:t>
      </w:r>
      <w:proofErr w:type="gramEnd"/>
      <w:r w:rsidRPr="00016948">
        <w:t xml:space="preserve"> period between a stimulation on one forearm and the other).</w:t>
      </w:r>
    </w:p>
    <w:p w14:paraId="7F174E95" w14:textId="77777777" w:rsidR="001006F8" w:rsidRPr="00016948" w:rsidRDefault="001006F8" w:rsidP="001006F8">
      <w:pPr>
        <w:pStyle w:val="Sub-heading"/>
      </w:pPr>
      <w:r w:rsidRPr="00016948">
        <w:t>Itch and pain intensity assessment</w:t>
      </w:r>
    </w:p>
    <w:p w14:paraId="3C2EA7C9" w14:textId="77777777" w:rsidR="001006F8" w:rsidRPr="00016948" w:rsidRDefault="001006F8" w:rsidP="001006F8">
      <w:pPr>
        <w:pStyle w:val="Text"/>
      </w:pPr>
      <w:r w:rsidRPr="00016948">
        <w:lastRenderedPageBreak/>
        <w:t xml:space="preserve">Itch and pain intensities were assessed using two digital analogue scales (VAS; </w:t>
      </w:r>
      <w:proofErr w:type="spellStart"/>
      <w:r w:rsidRPr="00016948">
        <w:t>eVAS</w:t>
      </w:r>
      <w:proofErr w:type="spellEnd"/>
      <w:r w:rsidRPr="00016948">
        <w:t xml:space="preserve"> Software; Aalborg University, Aalborg, Denmark) and sampled (0.2 Hz) during heat stimulation. The two 10 cm scales both ranged from 0 to 100 and were set to indicate: 0 “No pain” and 100 “Worst imaginable pain” and 0 “No itch” and 100 “Worst imaginable itch”.</w:t>
      </w:r>
      <w:r w:rsidRPr="00744E8C">
        <w:t xml:space="preserve"> The participants can only see the outer labels (0-10</w:t>
      </w:r>
      <w:r>
        <w:t>0</w:t>
      </w:r>
      <w:r w:rsidRPr="00744E8C">
        <w:t>), and after the recording, the VAS data are transformed to values from 0 to 100 by the application.</w:t>
      </w:r>
      <w:r w:rsidRPr="00016948">
        <w:t xml:space="preserve"> Ratings were stopped when the stimulation ended (exactly 1 minute after the start of the stimulation) or if the participants stopped the stimulation. If the stimulation was stopped the VAS score attributed was 100 for the pain sensation and 0 for itch sensation. </w:t>
      </w:r>
    </w:p>
    <w:p w14:paraId="64E79505" w14:textId="77777777" w:rsidR="001006F8" w:rsidRPr="00016948" w:rsidRDefault="001006F8" w:rsidP="001006F8">
      <w:pPr>
        <w:pStyle w:val="Sub-heading"/>
      </w:pPr>
      <w:r w:rsidRPr="00016948">
        <w:t>Statistical analysis</w:t>
      </w:r>
    </w:p>
    <w:p w14:paraId="234CDA34" w14:textId="77777777" w:rsidR="001006F8" w:rsidRPr="00016948" w:rsidRDefault="001006F8" w:rsidP="001006F8">
      <w:pPr>
        <w:pStyle w:val="Text"/>
      </w:pPr>
      <w:r w:rsidRPr="00016948">
        <w:t xml:space="preserve">The area under the curve (AUC) was calculated using the trapezoidal method explained by Bailer </w:t>
      </w:r>
      <w:r w:rsidRPr="00016948">
        <w:fldChar w:fldCharType="begin" w:fldLock="1"/>
      </w:r>
      <w:r>
        <w:instrText>ADDIN CSL_CITATION {"citationItems":[{"id":"ITEM-1","itemData":{"DOI":"10.1007/BF01062139","ISBN":"0600030350","ISSN":"0090466X","PMID":"3221328","abstract":"The area under a curve (AUC) of metabolite concentration or drug concentration over time has biological meaning in many situations, and the test of AUC equality among a set of different dosing regimens is often of interest. For the situation where the experimental unit must be sacrificed in order to obtain an estimate of the metabolite or drug concentration, it is noted that linear combinations of mean concentrations at time points for a particular dosing regimen can be used to estimate the AUC for that regimen. Contrasts among AUC estimates are readily constructed and tested within this derivation.","author":[{"dropping-particle":"","family":"Bailer","given":"A. John","non-dropping-particle":"","parse-names":false,"suffix":""}],"container-title":"Journal of Pharmacokinetics and Biopharmaceutics","id":"ITEM-1","issue":"3","issued":{"date-parts":[["1988","6","1"]]},"page":"303-309","publisher":"Kluwer Academic Publishers-Plenum Publishers","title":"Testing for the equality of area under the curves when using destructive measurement techniques","type":"article-journal","volume":"16"},"uris":["http://www.mendeley.com/documents/?uuid=9aea3645-8dde-3045-84b9-ede57e001f06"]}],"mendeley":{"formattedCitation":"&lt;sup&gt;4&lt;/sup&gt;","plainTextFormattedCitation":"4","previouslyFormattedCitation":"&lt;sup&gt;4&lt;/sup&gt;"},"properties":{"noteIndex":0},"schema":"https://github.com/citation-style-language/schema/raw/master/csl-citation.json"}</w:instrText>
      </w:r>
      <w:r w:rsidRPr="00016948">
        <w:fldChar w:fldCharType="separate"/>
      </w:r>
      <w:r w:rsidRPr="003148ED">
        <w:rPr>
          <w:noProof/>
          <w:vertAlign w:val="superscript"/>
        </w:rPr>
        <w:t>4</w:t>
      </w:r>
      <w:r w:rsidRPr="00016948">
        <w:fldChar w:fldCharType="end"/>
      </w:r>
      <w:r w:rsidRPr="00016948">
        <w:t xml:space="preserve"> for every </w:t>
      </w:r>
      <w:proofErr w:type="spellStart"/>
      <w:r w:rsidRPr="00016948">
        <w:t>eVAS</w:t>
      </w:r>
      <w:proofErr w:type="spellEnd"/>
      <w:r w:rsidRPr="00016948">
        <w:t xml:space="preserve"> recordings. This allows to normalize the pain and itch intensity throughout the thermal stimulation. To better understand and analyse the effect of different temperatures on anaesthetized skin, during the analysis we subdivided the itch and pain intensity coming from the heating ramp stimulation into 3 different temperature ranges: innocuous warm temperature range (38-42°C), set of heat pain perception (42.2-46°C) and finally noxious temperature range (46.2-50°C). Subsequently, the mean, and the standard error of the mean (SEM) of the AUCs values of every time point after the anaesthetization were calculated. Multiple paired T-tests were used for statistical analysis, comparing every time point of saline with the respective time point of lidocaine. </w:t>
      </w:r>
      <w:r>
        <w:t xml:space="preserve">Normality was ensured using visual inspection of Q–Q plots. </w:t>
      </w:r>
      <w:r w:rsidRPr="00016948">
        <w:t>The graphs were realized in GraphPad Prism 9 (GraphPad Software Inc., CA, USA).</w:t>
      </w:r>
    </w:p>
    <w:p w14:paraId="565BBA42" w14:textId="77777777" w:rsidR="001006F8" w:rsidRPr="00016948" w:rsidRDefault="001006F8" w:rsidP="001006F8">
      <w:pPr>
        <w:pStyle w:val="Text"/>
      </w:pPr>
      <w:r w:rsidRPr="00016948">
        <w:t>The graphs showed in the figures (Fig. 1A-C and Fig. 2A-C) do not show a continuous rating, rather the AUCs sampled every 5 minutes for the temperature ranges indicated.</w:t>
      </w:r>
    </w:p>
    <w:p w14:paraId="180546C1" w14:textId="77777777" w:rsidR="001006F8" w:rsidRPr="00016948" w:rsidRDefault="001006F8" w:rsidP="001006F8">
      <w:r w:rsidRPr="00016948">
        <w:rPr>
          <w:noProof/>
        </w:rPr>
        <w:lastRenderedPageBreak/>
        <w:drawing>
          <wp:inline distT="0" distB="0" distL="0" distR="0" wp14:anchorId="7E336EF0" wp14:editId="1633DEA2">
            <wp:extent cx="6116955" cy="3505200"/>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6955" cy="3505200"/>
                    </a:xfrm>
                    <a:prstGeom prst="rect">
                      <a:avLst/>
                    </a:prstGeom>
                    <a:noFill/>
                    <a:ln>
                      <a:noFill/>
                    </a:ln>
                  </pic:spPr>
                </pic:pic>
              </a:graphicData>
            </a:graphic>
          </wp:inline>
        </w:drawing>
      </w:r>
    </w:p>
    <w:p w14:paraId="1D780640" w14:textId="77777777" w:rsidR="001006F8" w:rsidRPr="00016948" w:rsidRDefault="001006F8" w:rsidP="001006F8">
      <w:pPr>
        <w:pStyle w:val="Captions"/>
      </w:pPr>
      <w:r w:rsidRPr="00016948">
        <w:rPr>
          <w:b/>
        </w:rPr>
        <w:t>Figure S1:</w:t>
      </w:r>
      <w:r w:rsidRPr="00016948">
        <w:t xml:space="preserve"> A) Schematic representation of the localization of the intradermal injection and stimulation sites. B) Schematic representation of the experiment. The two treatments were randomized for placement and order.</w:t>
      </w:r>
    </w:p>
    <w:p w14:paraId="20947834" w14:textId="77777777" w:rsidR="001006F8" w:rsidRPr="00016948" w:rsidRDefault="001006F8" w:rsidP="001006F8">
      <w:pPr>
        <w:rPr>
          <w:rFonts w:ascii="Arial" w:hAnsi="Arial" w:cs="Arial"/>
          <w:b/>
          <w:color w:val="000000"/>
          <w:sz w:val="30"/>
        </w:rPr>
      </w:pPr>
      <w:r w:rsidRPr="00016948">
        <w:br w:type="page"/>
      </w:r>
    </w:p>
    <w:p w14:paraId="7AD42A25" w14:textId="77777777" w:rsidR="001006F8" w:rsidRPr="00016948" w:rsidRDefault="001006F8" w:rsidP="001006F8">
      <w:pPr>
        <w:pStyle w:val="Heading"/>
        <w:rPr>
          <w:lang w:val="en-GB"/>
        </w:rPr>
      </w:pPr>
      <w:r w:rsidRPr="00016948">
        <w:rPr>
          <w:lang w:val="en-GB"/>
        </w:rPr>
        <w:lastRenderedPageBreak/>
        <w:t>Bibliography</w:t>
      </w:r>
    </w:p>
    <w:p w14:paraId="072A8529" w14:textId="5DD7D125" w:rsidR="001006F8" w:rsidRPr="001006F8" w:rsidRDefault="001006F8" w:rsidP="001006F8">
      <w:pPr>
        <w:widowControl w:val="0"/>
        <w:autoSpaceDE w:val="0"/>
        <w:autoSpaceDN w:val="0"/>
        <w:adjustRightInd w:val="0"/>
        <w:spacing w:after="0" w:line="360" w:lineRule="auto"/>
        <w:ind w:left="640" w:hanging="640"/>
        <w:rPr>
          <w:rFonts w:ascii="Arial" w:hAnsi="Arial" w:cs="Arial"/>
          <w:noProof/>
          <w:szCs w:val="24"/>
        </w:rPr>
      </w:pPr>
      <w:r w:rsidRPr="00016948">
        <w:fldChar w:fldCharType="begin" w:fldLock="1"/>
      </w:r>
      <w:r w:rsidRPr="00016948">
        <w:instrText xml:space="preserve">ADDIN Mendeley Bibliography CSL_BIBLIOGRAPHY </w:instrText>
      </w:r>
      <w:r w:rsidRPr="00016948">
        <w:fldChar w:fldCharType="separate"/>
      </w:r>
      <w:r w:rsidRPr="001006F8">
        <w:rPr>
          <w:rFonts w:ascii="Arial" w:hAnsi="Arial" w:cs="Arial"/>
          <w:noProof/>
          <w:szCs w:val="24"/>
        </w:rPr>
        <w:t xml:space="preserve">1. </w:t>
      </w:r>
      <w:r w:rsidRPr="001006F8">
        <w:rPr>
          <w:rFonts w:ascii="Arial" w:hAnsi="Arial" w:cs="Arial"/>
          <w:noProof/>
          <w:szCs w:val="24"/>
        </w:rPr>
        <w:tab/>
        <w:t xml:space="preserve">Cormia FE, Kuykendall V. Experimental histamine pruritus. II. Nature; physical and environmental factors influencing development and severity. </w:t>
      </w:r>
      <w:r w:rsidRPr="001006F8">
        <w:rPr>
          <w:rFonts w:ascii="Arial" w:hAnsi="Arial" w:cs="Arial"/>
          <w:i/>
          <w:iCs/>
          <w:noProof/>
          <w:szCs w:val="24"/>
        </w:rPr>
        <w:t>J Invest Dermatol</w:t>
      </w:r>
      <w:r w:rsidRPr="001006F8">
        <w:rPr>
          <w:rFonts w:ascii="Arial" w:hAnsi="Arial" w:cs="Arial"/>
          <w:noProof/>
          <w:szCs w:val="24"/>
        </w:rPr>
        <w:t>. 1953;20(6):429-446. doi:10.1038/jid.1953.54</w:t>
      </w:r>
    </w:p>
    <w:p w14:paraId="05433284" w14:textId="77777777" w:rsidR="001006F8" w:rsidRPr="001006F8" w:rsidRDefault="001006F8" w:rsidP="001006F8">
      <w:pPr>
        <w:widowControl w:val="0"/>
        <w:autoSpaceDE w:val="0"/>
        <w:autoSpaceDN w:val="0"/>
        <w:adjustRightInd w:val="0"/>
        <w:spacing w:after="0" w:line="360" w:lineRule="auto"/>
        <w:ind w:left="640" w:hanging="640"/>
        <w:rPr>
          <w:rFonts w:ascii="Arial" w:hAnsi="Arial" w:cs="Arial"/>
          <w:noProof/>
          <w:szCs w:val="24"/>
        </w:rPr>
      </w:pPr>
      <w:r w:rsidRPr="001006F8">
        <w:rPr>
          <w:rFonts w:ascii="Arial" w:hAnsi="Arial" w:cs="Arial"/>
          <w:noProof/>
          <w:szCs w:val="24"/>
        </w:rPr>
        <w:t xml:space="preserve">2. </w:t>
      </w:r>
      <w:r w:rsidRPr="001006F8">
        <w:rPr>
          <w:rFonts w:ascii="Arial" w:hAnsi="Arial" w:cs="Arial"/>
          <w:noProof/>
          <w:szCs w:val="24"/>
        </w:rPr>
        <w:tab/>
        <w:t xml:space="preserve">Xia Y, Chen E, Tibbits DL, Reilley TE, McSweeney TD. Comparison of effects of lidocaine hydrochloride, buffered lidocaine, diphenhydramine, and normal saline after intradermal injection. </w:t>
      </w:r>
      <w:r w:rsidRPr="001006F8">
        <w:rPr>
          <w:rFonts w:ascii="Arial" w:hAnsi="Arial" w:cs="Arial"/>
          <w:i/>
          <w:iCs/>
          <w:noProof/>
          <w:szCs w:val="24"/>
        </w:rPr>
        <w:t>J Clin Anesth</w:t>
      </w:r>
      <w:r w:rsidRPr="001006F8">
        <w:rPr>
          <w:rFonts w:ascii="Arial" w:hAnsi="Arial" w:cs="Arial"/>
          <w:noProof/>
          <w:szCs w:val="24"/>
        </w:rPr>
        <w:t>. 2002;14(5):339-343. doi:10.1016/S0952-8180(02)00369-0</w:t>
      </w:r>
    </w:p>
    <w:p w14:paraId="7DF5A367" w14:textId="77777777" w:rsidR="001006F8" w:rsidRPr="001006F8" w:rsidRDefault="001006F8" w:rsidP="001006F8">
      <w:pPr>
        <w:widowControl w:val="0"/>
        <w:autoSpaceDE w:val="0"/>
        <w:autoSpaceDN w:val="0"/>
        <w:adjustRightInd w:val="0"/>
        <w:spacing w:after="0" w:line="360" w:lineRule="auto"/>
        <w:ind w:left="640" w:hanging="640"/>
        <w:rPr>
          <w:rFonts w:ascii="Arial" w:hAnsi="Arial" w:cs="Arial"/>
          <w:noProof/>
          <w:szCs w:val="24"/>
        </w:rPr>
      </w:pPr>
      <w:r w:rsidRPr="001006F8">
        <w:rPr>
          <w:rFonts w:ascii="Arial" w:hAnsi="Arial" w:cs="Arial"/>
          <w:noProof/>
          <w:szCs w:val="24"/>
        </w:rPr>
        <w:t xml:space="preserve">3. </w:t>
      </w:r>
      <w:r w:rsidRPr="001006F8">
        <w:rPr>
          <w:rFonts w:ascii="Arial" w:hAnsi="Arial" w:cs="Arial"/>
          <w:noProof/>
          <w:szCs w:val="24"/>
        </w:rPr>
        <w:tab/>
        <w:t xml:space="preserve">Hirshburg JM, Diven DG, Edmiston C, Dozier SE, Woody M, Fox MC. Safety of Intradermal/Subcutaneous Lidocaine With Epinephrine Use in Dermatologic Surgery. </w:t>
      </w:r>
      <w:r w:rsidRPr="001006F8">
        <w:rPr>
          <w:rFonts w:ascii="Arial" w:hAnsi="Arial" w:cs="Arial"/>
          <w:i/>
          <w:iCs/>
          <w:noProof/>
          <w:szCs w:val="24"/>
        </w:rPr>
        <w:t>Dermatol Surg</w:t>
      </w:r>
      <w:r w:rsidRPr="001006F8">
        <w:rPr>
          <w:rFonts w:ascii="Arial" w:hAnsi="Arial" w:cs="Arial"/>
          <w:noProof/>
          <w:szCs w:val="24"/>
        </w:rPr>
        <w:t>. 2020;46(1):26-30. doi:10.1097/DSS.0000000000001900</w:t>
      </w:r>
    </w:p>
    <w:p w14:paraId="538AA220" w14:textId="77777777" w:rsidR="001006F8" w:rsidRPr="001006F8" w:rsidRDefault="001006F8" w:rsidP="001006F8">
      <w:pPr>
        <w:widowControl w:val="0"/>
        <w:autoSpaceDE w:val="0"/>
        <w:autoSpaceDN w:val="0"/>
        <w:adjustRightInd w:val="0"/>
        <w:spacing w:after="0" w:line="360" w:lineRule="auto"/>
        <w:ind w:left="640" w:hanging="640"/>
        <w:rPr>
          <w:rFonts w:ascii="Arial" w:hAnsi="Arial" w:cs="Arial"/>
          <w:noProof/>
        </w:rPr>
      </w:pPr>
      <w:r w:rsidRPr="001006F8">
        <w:rPr>
          <w:rFonts w:ascii="Arial" w:hAnsi="Arial" w:cs="Arial"/>
          <w:noProof/>
          <w:szCs w:val="24"/>
        </w:rPr>
        <w:t xml:space="preserve">4. </w:t>
      </w:r>
      <w:r w:rsidRPr="001006F8">
        <w:rPr>
          <w:rFonts w:ascii="Arial" w:hAnsi="Arial" w:cs="Arial"/>
          <w:noProof/>
          <w:szCs w:val="24"/>
        </w:rPr>
        <w:tab/>
        <w:t xml:space="preserve">Bailer AJ. Testing for the equality of area under the curves when using destructive measurement techniques. </w:t>
      </w:r>
      <w:r w:rsidRPr="001006F8">
        <w:rPr>
          <w:rFonts w:ascii="Arial" w:hAnsi="Arial" w:cs="Arial"/>
          <w:i/>
          <w:iCs/>
          <w:noProof/>
          <w:szCs w:val="24"/>
        </w:rPr>
        <w:t>J Pharmacokinet Biopharm</w:t>
      </w:r>
      <w:r w:rsidRPr="001006F8">
        <w:rPr>
          <w:rFonts w:ascii="Arial" w:hAnsi="Arial" w:cs="Arial"/>
          <w:noProof/>
          <w:szCs w:val="24"/>
        </w:rPr>
        <w:t>. 1988;16(3):303-309. doi:10.1007/BF01062139</w:t>
      </w:r>
    </w:p>
    <w:p w14:paraId="11AE76B5" w14:textId="161351BD" w:rsidR="008744F7" w:rsidRDefault="001006F8" w:rsidP="001006F8">
      <w:r w:rsidRPr="00016948">
        <w:fldChar w:fldCharType="end"/>
      </w:r>
    </w:p>
    <w:sectPr w:rsidR="008744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E0"/>
    <w:rsid w:val="000B1EE0"/>
    <w:rsid w:val="001006F8"/>
    <w:rsid w:val="00266AAA"/>
    <w:rsid w:val="00301EDF"/>
    <w:rsid w:val="004852BE"/>
    <w:rsid w:val="00580F1C"/>
    <w:rsid w:val="0081349E"/>
    <w:rsid w:val="00E20313"/>
    <w:rsid w:val="00E33B48"/>
    <w:rsid w:val="00E52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4F2C-2B0F-4BEA-B108-4B8BB632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1006F8"/>
    <w:pPr>
      <w:autoSpaceDE w:val="0"/>
      <w:autoSpaceDN w:val="0"/>
      <w:adjustRightInd w:val="0"/>
      <w:spacing w:before="240" w:after="240" w:line="360" w:lineRule="auto"/>
      <w:jc w:val="both"/>
    </w:pPr>
    <w:rPr>
      <w:rFonts w:ascii="Arial" w:hAnsi="Arial" w:cs="Arial"/>
      <w:b/>
      <w:color w:val="000000"/>
      <w:sz w:val="30"/>
      <w:lang w:val="en-US"/>
    </w:rPr>
  </w:style>
  <w:style w:type="paragraph" w:customStyle="1" w:styleId="Text">
    <w:name w:val="Text"/>
    <w:basedOn w:val="Normal"/>
    <w:link w:val="TextChar"/>
    <w:autoRedefine/>
    <w:qFormat/>
    <w:rsid w:val="001006F8"/>
    <w:pPr>
      <w:autoSpaceDE w:val="0"/>
      <w:autoSpaceDN w:val="0"/>
      <w:adjustRightInd w:val="0"/>
      <w:spacing w:after="0" w:line="360" w:lineRule="auto"/>
      <w:jc w:val="both"/>
    </w:pPr>
    <w:rPr>
      <w:rFonts w:ascii="Arial" w:hAnsi="Arial" w:cs="Arial"/>
      <w:color w:val="000000"/>
      <w:shd w:val="clear" w:color="auto" w:fill="FFFFFF"/>
    </w:rPr>
  </w:style>
  <w:style w:type="character" w:customStyle="1" w:styleId="HeadingChar">
    <w:name w:val="Heading Char"/>
    <w:basedOn w:val="DefaultParagraphFont"/>
    <w:link w:val="Heading"/>
    <w:rsid w:val="001006F8"/>
    <w:rPr>
      <w:rFonts w:ascii="Arial" w:hAnsi="Arial" w:cs="Arial"/>
      <w:b/>
      <w:color w:val="000000"/>
      <w:sz w:val="30"/>
      <w:lang w:val="en-US"/>
    </w:rPr>
  </w:style>
  <w:style w:type="paragraph" w:customStyle="1" w:styleId="Sub-heading">
    <w:name w:val="Sub-heading"/>
    <w:basedOn w:val="Text"/>
    <w:link w:val="Sub-headingChar"/>
    <w:qFormat/>
    <w:rsid w:val="001006F8"/>
    <w:pPr>
      <w:spacing w:before="120" w:after="120"/>
    </w:pPr>
    <w:rPr>
      <w:i/>
      <w:sz w:val="26"/>
      <w:u w:val="single"/>
    </w:rPr>
  </w:style>
  <w:style w:type="character" w:customStyle="1" w:styleId="TextChar">
    <w:name w:val="Text Char"/>
    <w:basedOn w:val="DefaultParagraphFont"/>
    <w:link w:val="Text"/>
    <w:rsid w:val="001006F8"/>
    <w:rPr>
      <w:rFonts w:ascii="Arial" w:hAnsi="Arial" w:cs="Arial"/>
      <w:color w:val="000000"/>
      <w:lang w:val="en-GB"/>
    </w:rPr>
  </w:style>
  <w:style w:type="character" w:customStyle="1" w:styleId="Sub-headingChar">
    <w:name w:val="Sub-heading Char"/>
    <w:basedOn w:val="TextChar"/>
    <w:link w:val="Sub-heading"/>
    <w:rsid w:val="001006F8"/>
    <w:rPr>
      <w:rFonts w:ascii="Arial" w:hAnsi="Arial" w:cs="Arial"/>
      <w:i/>
      <w:color w:val="000000"/>
      <w:sz w:val="26"/>
      <w:u w:val="single"/>
      <w:lang w:val="en-GB"/>
    </w:rPr>
  </w:style>
  <w:style w:type="paragraph" w:customStyle="1" w:styleId="Captions">
    <w:name w:val="Captions"/>
    <w:basedOn w:val="Text"/>
    <w:link w:val="CaptionsChar"/>
    <w:qFormat/>
    <w:rsid w:val="001006F8"/>
  </w:style>
  <w:style w:type="character" w:customStyle="1" w:styleId="CaptionsChar">
    <w:name w:val="Captions Char"/>
    <w:basedOn w:val="TextChar"/>
    <w:link w:val="Captions"/>
    <w:rsid w:val="001006F8"/>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0E10-FB70-4582-BF74-7BA0A9A9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Riccio</dc:creator>
  <cp:keywords/>
  <dc:description/>
  <cp:lastModifiedBy>Daniele Riccio</cp:lastModifiedBy>
  <cp:revision>2</cp:revision>
  <dcterms:created xsi:type="dcterms:W3CDTF">2022-04-21T07:45:00Z</dcterms:created>
  <dcterms:modified xsi:type="dcterms:W3CDTF">2022-04-21T11:38:00Z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http://www.zotero.org/styles/cell</vt:lpwstr>
  </property>
  <property fmtid="{D5CDD505-2E9C-101B-9397-08002B2CF9AE}" pid="7" name="Mendeley Recent Style Name 2_1">
    <vt:lpwstr>Cell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http://csl.mendeley.com/styles/449479641/vancouver</vt:lpwstr>
  </property>
  <property fmtid="{D5CDD505-2E9C-101B-9397-08002B2CF9AE}" pid="21" name="Mendeley Recent Style Name 9_1">
    <vt:lpwstr>Vancouver - ACTA DV Daniele Riccio</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627c6326-86aa-32c2-b0bb-ba26557fc783</vt:lpwstr>
  </property>
</Properties>
</file>