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21"/>
        <w:tblW w:w="13878" w:type="dxa"/>
        <w:tblLook w:val="04A0" w:firstRow="1" w:lastRow="0" w:firstColumn="1" w:lastColumn="0" w:noHBand="0" w:noVBand="1"/>
      </w:tblPr>
      <w:tblGrid>
        <w:gridCol w:w="1209"/>
        <w:gridCol w:w="1220"/>
        <w:gridCol w:w="931"/>
        <w:gridCol w:w="2200"/>
        <w:gridCol w:w="3828"/>
        <w:gridCol w:w="1875"/>
        <w:gridCol w:w="1360"/>
        <w:gridCol w:w="1255"/>
      </w:tblGrid>
      <w:tr w:rsidR="00EA442F" w14:paraId="33F57D9F" w14:textId="77777777" w:rsidTr="001E3F7F">
        <w:trPr>
          <w:trHeight w:val="498"/>
        </w:trPr>
        <w:tc>
          <w:tcPr>
            <w:tcW w:w="0" w:type="auto"/>
            <w:vAlign w:val="center"/>
          </w:tcPr>
          <w:p w14:paraId="441E754F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0" w:type="auto"/>
            <w:vAlign w:val="center"/>
          </w:tcPr>
          <w:p w14:paraId="5F873954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Subtype</w:t>
            </w:r>
          </w:p>
        </w:tc>
        <w:tc>
          <w:tcPr>
            <w:tcW w:w="0" w:type="auto"/>
            <w:vAlign w:val="center"/>
          </w:tcPr>
          <w:p w14:paraId="61AF3F5A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  <w:r w:rsidRPr="00E958A9">
              <w:rPr>
                <w:sz w:val="16"/>
                <w:szCs w:val="16"/>
              </w:rPr>
              <w:t>Prevalence</w:t>
            </w:r>
          </w:p>
        </w:tc>
        <w:tc>
          <w:tcPr>
            <w:tcW w:w="0" w:type="auto"/>
            <w:vAlign w:val="center"/>
          </w:tcPr>
          <w:p w14:paraId="1B1E58DB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  <w:r w:rsidRPr="00E958A9">
              <w:rPr>
                <w:sz w:val="16"/>
                <w:szCs w:val="16"/>
              </w:rPr>
              <w:t>Radiographic Appearance</w:t>
            </w:r>
          </w:p>
        </w:tc>
        <w:tc>
          <w:tcPr>
            <w:tcW w:w="0" w:type="auto"/>
            <w:vAlign w:val="center"/>
          </w:tcPr>
          <w:p w14:paraId="76439861" w14:textId="038B209C" w:rsidR="00324F6D" w:rsidRPr="00523DBA" w:rsidRDefault="00324F6D" w:rsidP="001E3F7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958A9">
              <w:rPr>
                <w:sz w:val="16"/>
                <w:szCs w:val="16"/>
              </w:rPr>
              <w:t>Histologic Morphology</w:t>
            </w:r>
          </w:p>
        </w:tc>
        <w:tc>
          <w:tcPr>
            <w:tcW w:w="0" w:type="auto"/>
            <w:vAlign w:val="center"/>
          </w:tcPr>
          <w:p w14:paraId="1A39C4BD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  <w:r w:rsidRPr="00E958A9">
              <w:rPr>
                <w:sz w:val="16"/>
                <w:szCs w:val="16"/>
              </w:rPr>
              <w:t>Notable Features</w:t>
            </w:r>
          </w:p>
        </w:tc>
        <w:tc>
          <w:tcPr>
            <w:tcW w:w="1360" w:type="dxa"/>
            <w:vAlign w:val="center"/>
          </w:tcPr>
          <w:p w14:paraId="353D581C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Histology Images</w:t>
            </w:r>
          </w:p>
        </w:tc>
        <w:tc>
          <w:tcPr>
            <w:tcW w:w="1255" w:type="dxa"/>
            <w:vAlign w:val="center"/>
          </w:tcPr>
          <w:p w14:paraId="0D69EEA9" w14:textId="77777777" w:rsidR="00324F6D" w:rsidRDefault="00324F6D" w:rsidP="001E3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Images</w:t>
            </w:r>
          </w:p>
        </w:tc>
      </w:tr>
      <w:tr w:rsidR="00EA442F" w14:paraId="5EC7A1C4" w14:textId="77777777" w:rsidTr="001E3F7F">
        <w:trPr>
          <w:trHeight w:val="498"/>
        </w:trPr>
        <w:tc>
          <w:tcPr>
            <w:tcW w:w="0" w:type="auto"/>
            <w:vAlign w:val="center"/>
          </w:tcPr>
          <w:p w14:paraId="6BE10763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color w:val="FF0000"/>
                <w:sz w:val="16"/>
                <w:szCs w:val="16"/>
              </w:rPr>
              <w:t>Intramedullary</w:t>
            </w:r>
          </w:p>
        </w:tc>
        <w:tc>
          <w:tcPr>
            <w:tcW w:w="0" w:type="auto"/>
            <w:vAlign w:val="center"/>
          </w:tcPr>
          <w:p w14:paraId="32E55DDF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4F060F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6A84352" w14:textId="77777777" w:rsidR="00324F6D" w:rsidRPr="001865CD" w:rsidRDefault="00324F6D" w:rsidP="001E3F7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02B5A6A" w14:textId="77777777" w:rsidR="00324F6D" w:rsidRPr="001865CD" w:rsidRDefault="00324F6D" w:rsidP="001E3F7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A383BC6" w14:textId="77777777" w:rsidR="00324F6D" w:rsidRPr="001865CD" w:rsidRDefault="00324F6D" w:rsidP="001E3F7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center"/>
          </w:tcPr>
          <w:p w14:paraId="7A59D54C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14:paraId="6358BFEC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</w:tr>
      <w:tr w:rsidR="00EA442F" w14:paraId="16D7E3CF" w14:textId="77777777" w:rsidTr="001E3F7F">
        <w:trPr>
          <w:trHeight w:val="521"/>
        </w:trPr>
        <w:tc>
          <w:tcPr>
            <w:tcW w:w="0" w:type="auto"/>
            <w:vAlign w:val="center"/>
          </w:tcPr>
          <w:p w14:paraId="2B95BEA9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C026CC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Conventional</w:t>
            </w:r>
          </w:p>
        </w:tc>
        <w:tc>
          <w:tcPr>
            <w:tcW w:w="0" w:type="auto"/>
            <w:vAlign w:val="center"/>
          </w:tcPr>
          <w:p w14:paraId="289D2BF0" w14:textId="77777777" w:rsidR="00324F6D" w:rsidRPr="00E958A9" w:rsidRDefault="00324F6D" w:rsidP="001E3F7F">
            <w:pPr>
              <w:jc w:val="center"/>
              <w:rPr>
                <w:sz w:val="12"/>
                <w:szCs w:val="12"/>
              </w:rPr>
            </w:pPr>
            <w:r w:rsidRPr="00E958A9">
              <w:rPr>
                <w:sz w:val="12"/>
                <w:szCs w:val="12"/>
              </w:rPr>
              <w:t>&gt;80%</w:t>
            </w:r>
          </w:p>
        </w:tc>
        <w:tc>
          <w:tcPr>
            <w:tcW w:w="0" w:type="auto"/>
            <w:vAlign w:val="center"/>
          </w:tcPr>
          <w:p w14:paraId="30AB6922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 w:rsidRPr="00954F68">
              <w:rPr>
                <w:sz w:val="12"/>
                <w:szCs w:val="12"/>
              </w:rPr>
              <w:t>Permeative lesion with varying degrees of osteolysis and osseous matrix</w:t>
            </w:r>
          </w:p>
          <w:p w14:paraId="3AED1A1D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Cortical destruction, soft tissue extension</w:t>
            </w:r>
          </w:p>
          <w:p w14:paraId="350F9F6E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Sunburst periosteal reaction, Codman’s triangle</w:t>
            </w:r>
          </w:p>
          <w:p w14:paraId="33641115" w14:textId="576CC472" w:rsidR="00324F6D" w:rsidRPr="001E3F7F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 w:rsidRPr="001E3F7F">
              <w:rPr>
                <w:sz w:val="12"/>
                <w:szCs w:val="12"/>
              </w:rPr>
              <w:t>Lytic pattern may predominate in older patients</w:t>
            </w:r>
            <w:r w:rsidR="00274633" w:rsidRPr="00274633">
              <w:rPr>
                <w:sz w:val="12"/>
                <w:szCs w:val="12"/>
                <w:vertAlign w:val="superscript"/>
              </w:rPr>
              <w:t>1</w:t>
            </w:r>
            <w:r w:rsidR="00523DBA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20F02F78" w14:textId="77777777" w:rsidR="00324F6D" w:rsidRPr="001865CD" w:rsidRDefault="00324F6D" w:rsidP="001E3F7F">
            <w:pPr>
              <w:rPr>
                <w:sz w:val="12"/>
                <w:szCs w:val="12"/>
              </w:rPr>
            </w:pPr>
            <w:r w:rsidRPr="001865CD">
              <w:rPr>
                <w:sz w:val="12"/>
                <w:szCs w:val="12"/>
              </w:rPr>
              <w:t>Severe anaplasia, pleomorphism, frequent mitoses, immature osteoid matrix</w:t>
            </w:r>
            <w:r>
              <w:rPr>
                <w:sz w:val="12"/>
                <w:szCs w:val="12"/>
              </w:rPr>
              <w:t>, varying degrees of additional types of extracellular matrix determine the histologic variant</w:t>
            </w:r>
          </w:p>
          <w:p w14:paraId="3959C418" w14:textId="52FC8C91" w:rsidR="00324F6D" w:rsidRPr="001865CD" w:rsidRDefault="00324F6D" w:rsidP="001E3F7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1865CD">
              <w:rPr>
                <w:b/>
                <w:bCs/>
                <w:sz w:val="12"/>
                <w:szCs w:val="12"/>
              </w:rPr>
              <w:t>Osteoblastic</w:t>
            </w:r>
            <w:r>
              <w:rPr>
                <w:sz w:val="12"/>
                <w:szCs w:val="12"/>
              </w:rPr>
              <w:t>: 75% of cas</w:t>
            </w:r>
            <w:r w:rsidRPr="001865CD">
              <w:rPr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s</w:t>
            </w:r>
            <w:r w:rsidR="00274633">
              <w:rPr>
                <w:noProof/>
                <w:sz w:val="12"/>
                <w:szCs w:val="12"/>
                <w:vertAlign w:val="superscript"/>
              </w:rPr>
              <w:t>1</w:t>
            </w:r>
            <w:r w:rsidR="00523DBA">
              <w:rPr>
                <w:noProof/>
                <w:sz w:val="12"/>
                <w:szCs w:val="12"/>
                <w:vertAlign w:val="superscript"/>
              </w:rPr>
              <w:t>2</w:t>
            </w:r>
          </w:p>
          <w:p w14:paraId="43C49AB8" w14:textId="7FD2E84C" w:rsidR="00324F6D" w:rsidRPr="001865CD" w:rsidRDefault="00324F6D" w:rsidP="001E3F7F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1865CD">
              <w:rPr>
                <w:b/>
                <w:bCs/>
                <w:sz w:val="12"/>
                <w:szCs w:val="12"/>
              </w:rPr>
              <w:t>Chondroblastic</w:t>
            </w:r>
            <w:r>
              <w:rPr>
                <w:sz w:val="12"/>
                <w:szCs w:val="12"/>
              </w:rPr>
              <w:t>: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defined by at least 30% chondroid matrix composition, 16% of cases</w:t>
            </w:r>
            <w:r w:rsidR="00274633">
              <w:rPr>
                <w:sz w:val="12"/>
                <w:szCs w:val="12"/>
                <w:vertAlign w:val="superscript"/>
              </w:rPr>
              <w:t>1</w:t>
            </w:r>
            <w:r w:rsidR="00523DBA">
              <w:rPr>
                <w:sz w:val="12"/>
                <w:szCs w:val="12"/>
                <w:vertAlign w:val="superscript"/>
              </w:rPr>
              <w:t>5</w:t>
            </w:r>
          </w:p>
          <w:p w14:paraId="6870620D" w14:textId="28DE0329" w:rsidR="00324F6D" w:rsidRPr="001865CD" w:rsidRDefault="00324F6D" w:rsidP="001E3F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2"/>
                <w:szCs w:val="12"/>
              </w:rPr>
            </w:pPr>
            <w:r w:rsidRPr="001865CD">
              <w:rPr>
                <w:b/>
                <w:bCs/>
                <w:sz w:val="12"/>
                <w:szCs w:val="12"/>
              </w:rPr>
              <w:t>Fibroblastic</w:t>
            </w:r>
            <w:r>
              <w:rPr>
                <w:sz w:val="12"/>
                <w:szCs w:val="12"/>
              </w:rPr>
              <w:t>: defined by dominant collagen matrix with a storiform pattern, 10% of cases</w:t>
            </w:r>
            <w:r w:rsidR="00FA7033" w:rsidRPr="00FA7033">
              <w:rPr>
                <w:sz w:val="12"/>
                <w:szCs w:val="12"/>
                <w:vertAlign w:val="superscript"/>
              </w:rPr>
              <w:t>7</w:t>
            </w:r>
            <w:r>
              <w:rPr>
                <w:sz w:val="12"/>
                <w:szCs w:val="12"/>
              </w:rPr>
              <w:t>,</w:t>
            </w:r>
            <w:r w:rsidR="00274633">
              <w:rPr>
                <w:noProof/>
                <w:sz w:val="12"/>
                <w:szCs w:val="12"/>
                <w:vertAlign w:val="superscript"/>
              </w:rPr>
              <w:t>1</w:t>
            </w:r>
            <w:r w:rsidR="00523DBA">
              <w:rPr>
                <w:noProof/>
                <w:sz w:val="12"/>
                <w:szCs w:val="12"/>
                <w:vertAlign w:val="superscript"/>
              </w:rPr>
              <w:t>2</w:t>
            </w:r>
          </w:p>
          <w:p w14:paraId="3A6E8B6D" w14:textId="2FE55448" w:rsidR="00324F6D" w:rsidRPr="001865CD" w:rsidRDefault="00324F6D" w:rsidP="001E3F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2"/>
                <w:szCs w:val="12"/>
              </w:rPr>
            </w:pPr>
            <w:r w:rsidRPr="001865CD">
              <w:rPr>
                <w:b/>
                <w:bCs/>
                <w:sz w:val="12"/>
                <w:szCs w:val="12"/>
              </w:rPr>
              <w:t>Others</w:t>
            </w:r>
            <w:r w:rsidRPr="001865CD">
              <w:rPr>
                <w:sz w:val="12"/>
                <w:szCs w:val="12"/>
              </w:rPr>
              <w:t>: includes giant-cell rich, osteoblastoma-like, epithelioid, clear cell, chondroblastoma-like</w:t>
            </w:r>
            <w:r w:rsidR="00274633">
              <w:rPr>
                <w:noProof/>
                <w:sz w:val="12"/>
                <w:szCs w:val="12"/>
                <w:vertAlign w:val="superscript"/>
              </w:rPr>
              <w:t>1</w:t>
            </w:r>
            <w:r w:rsidR="00523DBA">
              <w:rPr>
                <w:noProof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3DE7B45B" w14:textId="77777777" w:rsidR="00324F6D" w:rsidRPr="001865CD" w:rsidRDefault="00324F6D" w:rsidP="001E3F7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center"/>
          </w:tcPr>
          <w:p w14:paraId="7CFEE624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 1 Supplemental Digital Content</w:t>
            </w:r>
          </w:p>
        </w:tc>
        <w:tc>
          <w:tcPr>
            <w:tcW w:w="1255" w:type="dxa"/>
            <w:vAlign w:val="center"/>
          </w:tcPr>
          <w:p w14:paraId="59CFE02C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 2 Supplemental Digital Content</w:t>
            </w:r>
          </w:p>
        </w:tc>
      </w:tr>
      <w:tr w:rsidR="00EA442F" w14:paraId="69113854" w14:textId="77777777" w:rsidTr="001E3F7F">
        <w:trPr>
          <w:trHeight w:val="1250"/>
        </w:trPr>
        <w:tc>
          <w:tcPr>
            <w:tcW w:w="0" w:type="auto"/>
            <w:vAlign w:val="center"/>
          </w:tcPr>
          <w:p w14:paraId="734B3E48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A1584D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Telangiectatic</w:t>
            </w:r>
          </w:p>
        </w:tc>
        <w:tc>
          <w:tcPr>
            <w:tcW w:w="0" w:type="auto"/>
            <w:vAlign w:val="center"/>
          </w:tcPr>
          <w:p w14:paraId="50C55D76" w14:textId="0A2AB4A8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4-8%</w:t>
            </w:r>
            <w:r w:rsidR="00274633">
              <w:rPr>
                <w:noProof/>
                <w:sz w:val="12"/>
                <w:szCs w:val="12"/>
                <w:vertAlign w:val="superscript"/>
              </w:rPr>
              <w:t>1</w:t>
            </w:r>
            <w:r w:rsidR="00523DBA">
              <w:rPr>
                <w:noProof/>
                <w:sz w:val="12"/>
                <w:szCs w:val="12"/>
                <w:vertAlign w:val="superscript"/>
              </w:rPr>
              <w:t>4</w:t>
            </w:r>
            <w:r w:rsidR="00274633">
              <w:rPr>
                <w:noProof/>
                <w:sz w:val="12"/>
                <w:szCs w:val="12"/>
                <w:vertAlign w:val="superscript"/>
              </w:rPr>
              <w:t>,</w:t>
            </w:r>
            <w:r w:rsidR="009E2FBD">
              <w:rPr>
                <w:noProof/>
                <w:sz w:val="12"/>
                <w:szCs w:val="12"/>
                <w:vertAlign w:val="superscript"/>
              </w:rPr>
              <w:t xml:space="preserve"> </w:t>
            </w:r>
            <w:r w:rsidR="004167B5">
              <w:rPr>
                <w:noProof/>
                <w:sz w:val="12"/>
                <w:szCs w:val="12"/>
                <w:vertAlign w:val="superscript"/>
              </w:rPr>
              <w:t>1</w:t>
            </w:r>
            <w:r w:rsidR="00523DBA">
              <w:rPr>
                <w:noProof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3E9F4964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45" w:hanging="90"/>
              <w:rPr>
                <w:sz w:val="12"/>
                <w:szCs w:val="12"/>
              </w:rPr>
            </w:pPr>
            <w:r w:rsidRPr="00703484">
              <w:rPr>
                <w:sz w:val="12"/>
                <w:szCs w:val="12"/>
              </w:rPr>
              <w:t>Eccentric</w:t>
            </w:r>
            <w:r>
              <w:rPr>
                <w:sz w:val="12"/>
                <w:szCs w:val="12"/>
              </w:rPr>
              <w:t xml:space="preserve"> with c</w:t>
            </w:r>
            <w:r w:rsidRPr="00703484">
              <w:rPr>
                <w:sz w:val="12"/>
                <w:szCs w:val="12"/>
              </w:rPr>
              <w:t>ortical expansion</w:t>
            </w:r>
          </w:p>
          <w:p w14:paraId="7FCF4CC7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45" w:hanging="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Predominantly lytic</w:t>
            </w:r>
          </w:p>
          <w:p w14:paraId="4EC16B1F" w14:textId="0C5B112A" w:rsidR="00324F6D" w:rsidRPr="001E3F7F" w:rsidRDefault="00324F6D" w:rsidP="001E3F7F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45" w:hanging="90"/>
              <w:rPr>
                <w:sz w:val="12"/>
                <w:szCs w:val="12"/>
              </w:rPr>
            </w:pPr>
            <w:r w:rsidRPr="001E3F7F">
              <w:rPr>
                <w:sz w:val="12"/>
                <w:szCs w:val="12"/>
              </w:rPr>
              <w:t>MRI demonstrates a soft tissue mass, areas of hemorrhage, peripheral, septal and nodular enhancement with contrast</w:t>
            </w:r>
            <w:r w:rsidR="00274633">
              <w:rPr>
                <w:noProof/>
                <w:sz w:val="12"/>
                <w:szCs w:val="12"/>
                <w:vertAlign w:val="superscript"/>
              </w:rPr>
              <w:t>1</w:t>
            </w:r>
            <w:r w:rsidR="00523DBA">
              <w:rPr>
                <w:noProof/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</w:tcPr>
          <w:p w14:paraId="6D3775C7" w14:textId="77777777" w:rsidR="00324F6D" w:rsidRPr="001865CD" w:rsidRDefault="00324F6D" w:rsidP="001E3F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Blood filled spaces separated by septae with pleomorphic, malignant cells. Osteoid may be less apparent or absent on biopsy samples</w:t>
            </w:r>
          </w:p>
        </w:tc>
        <w:tc>
          <w:tcPr>
            <w:tcW w:w="0" w:type="auto"/>
            <w:vAlign w:val="center"/>
          </w:tcPr>
          <w:p w14:paraId="4578D9FF" w14:textId="77777777" w:rsidR="00EA442F" w:rsidRDefault="00324F6D" w:rsidP="001E3F7F">
            <w:pPr>
              <w:pStyle w:val="ListParagraph"/>
              <w:numPr>
                <w:ilvl w:val="0"/>
                <w:numId w:val="6"/>
              </w:numPr>
              <w:ind w:left="0" w:hanging="60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Diagnosis may be difficult given radiographic resemblance to aneurysmal bone cysts</w:t>
            </w:r>
          </w:p>
          <w:p w14:paraId="3DFAB5C8" w14:textId="77777777" w:rsidR="00EA442F" w:rsidRDefault="00EA442F" w:rsidP="00EA442F">
            <w:pPr>
              <w:pStyle w:val="ListParagraph"/>
              <w:ind w:left="0"/>
              <w:rPr>
                <w:sz w:val="12"/>
                <w:szCs w:val="12"/>
              </w:rPr>
            </w:pPr>
          </w:p>
          <w:p w14:paraId="136D21ED" w14:textId="6423C5C1" w:rsidR="00324F6D" w:rsidRPr="00EA442F" w:rsidRDefault="00324F6D" w:rsidP="001E3F7F">
            <w:pPr>
              <w:pStyle w:val="ListParagraph"/>
              <w:numPr>
                <w:ilvl w:val="0"/>
                <w:numId w:val="6"/>
              </w:numPr>
              <w:ind w:left="0" w:hanging="60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Pathologic fracture is common (</w:t>
            </w:r>
            <w:r w:rsidR="00921BA1" w:rsidRPr="00EA442F">
              <w:rPr>
                <w:sz w:val="12"/>
                <w:szCs w:val="12"/>
              </w:rPr>
              <w:t>~</w:t>
            </w:r>
            <w:r w:rsidRPr="00EA442F">
              <w:rPr>
                <w:sz w:val="12"/>
                <w:szCs w:val="12"/>
              </w:rPr>
              <w:t>30%)</w:t>
            </w:r>
            <w:r w:rsidR="00274633">
              <w:rPr>
                <w:noProof/>
                <w:sz w:val="12"/>
                <w:szCs w:val="12"/>
                <w:vertAlign w:val="superscript"/>
              </w:rPr>
              <w:t>1</w:t>
            </w:r>
            <w:r w:rsidR="00523DBA">
              <w:rPr>
                <w:noProof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1360" w:type="dxa"/>
            <w:vAlign w:val="center"/>
          </w:tcPr>
          <w:p w14:paraId="5CBB444F" w14:textId="77777777" w:rsidR="00324F6D" w:rsidRPr="006074E3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 3 Supplemental Digital Content</w:t>
            </w:r>
          </w:p>
        </w:tc>
        <w:tc>
          <w:tcPr>
            <w:tcW w:w="1255" w:type="dxa"/>
            <w:vAlign w:val="center"/>
          </w:tcPr>
          <w:p w14:paraId="173861EB" w14:textId="77777777" w:rsidR="00324F6D" w:rsidRPr="006074E3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Figures 4 and 5 Supplemental Digital Content</w:t>
            </w:r>
          </w:p>
        </w:tc>
      </w:tr>
      <w:tr w:rsidR="00EA442F" w14:paraId="357AFB10" w14:textId="77777777" w:rsidTr="001E3F7F">
        <w:trPr>
          <w:trHeight w:val="710"/>
        </w:trPr>
        <w:tc>
          <w:tcPr>
            <w:tcW w:w="0" w:type="auto"/>
            <w:vAlign w:val="center"/>
          </w:tcPr>
          <w:p w14:paraId="54AAE50D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220B33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Small</w:t>
            </w:r>
            <w:r w:rsidRPr="00E958A9">
              <w:rPr>
                <w:sz w:val="16"/>
                <w:szCs w:val="16"/>
              </w:rPr>
              <w:t xml:space="preserve"> </w:t>
            </w:r>
            <w:r w:rsidRPr="00E958A9">
              <w:rPr>
                <w:b/>
                <w:bCs/>
                <w:sz w:val="16"/>
                <w:szCs w:val="16"/>
              </w:rPr>
              <w:t>Cell</w:t>
            </w:r>
          </w:p>
        </w:tc>
        <w:tc>
          <w:tcPr>
            <w:tcW w:w="0" w:type="auto"/>
            <w:vAlign w:val="center"/>
          </w:tcPr>
          <w:p w14:paraId="24147773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1%</w:t>
            </w:r>
          </w:p>
        </w:tc>
        <w:tc>
          <w:tcPr>
            <w:tcW w:w="0" w:type="auto"/>
            <w:vAlign w:val="center"/>
          </w:tcPr>
          <w:p w14:paraId="40373B0A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 w:rsidRPr="00954F68">
              <w:rPr>
                <w:sz w:val="12"/>
                <w:szCs w:val="12"/>
              </w:rPr>
              <w:t xml:space="preserve">Permeative </w:t>
            </w:r>
            <w:r>
              <w:rPr>
                <w:sz w:val="12"/>
                <w:szCs w:val="12"/>
              </w:rPr>
              <w:t>lesion with variable amounts of intramedullary sclerosis</w:t>
            </w:r>
          </w:p>
          <w:p w14:paraId="21E0B451" w14:textId="77777777" w:rsidR="00324F6D" w:rsidRPr="001E3F7F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 w:rsidRPr="001E3F7F">
              <w:rPr>
                <w:sz w:val="12"/>
                <w:szCs w:val="12"/>
              </w:rPr>
              <w:t>Mineralization may be absent/minimal</w:t>
            </w:r>
          </w:p>
        </w:tc>
        <w:tc>
          <w:tcPr>
            <w:tcW w:w="0" w:type="auto"/>
            <w:vAlign w:val="center"/>
          </w:tcPr>
          <w:p w14:paraId="44725E6B" w14:textId="77777777" w:rsidR="00324F6D" w:rsidRPr="001865CD" w:rsidRDefault="00324F6D" w:rsidP="001E3F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Small, round malignant cells with varying amounts of osteoid production</w:t>
            </w:r>
          </w:p>
        </w:tc>
        <w:tc>
          <w:tcPr>
            <w:tcW w:w="0" w:type="auto"/>
            <w:vAlign w:val="center"/>
          </w:tcPr>
          <w:p w14:paraId="729D0449" w14:textId="7603F4A2" w:rsidR="00324F6D" w:rsidRPr="00EA442F" w:rsidRDefault="00324F6D" w:rsidP="00EA442F">
            <w:pPr>
              <w:pStyle w:val="ListParagraph"/>
              <w:ind w:left="0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Distinguished from Ewing sarcoma by the lack of nuclear spindling and the FLI-1 translocation</w:t>
            </w:r>
            <w:r w:rsidR="00274633">
              <w:rPr>
                <w:noProof/>
                <w:sz w:val="12"/>
                <w:szCs w:val="12"/>
                <w:vertAlign w:val="superscript"/>
              </w:rPr>
              <w:t>1</w:t>
            </w:r>
            <w:r w:rsidR="00523DBA">
              <w:rPr>
                <w:noProof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1360" w:type="dxa"/>
            <w:vAlign w:val="center"/>
          </w:tcPr>
          <w:p w14:paraId="0CBA676C" w14:textId="77777777" w:rsidR="00324F6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14:paraId="661E5A4C" w14:textId="77777777" w:rsidR="00324F6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</w:tr>
      <w:tr w:rsidR="00EA442F" w14:paraId="352AC426" w14:textId="77777777" w:rsidTr="001E3F7F">
        <w:trPr>
          <w:trHeight w:val="1020"/>
        </w:trPr>
        <w:tc>
          <w:tcPr>
            <w:tcW w:w="0" w:type="auto"/>
            <w:vAlign w:val="center"/>
          </w:tcPr>
          <w:p w14:paraId="49FE6C67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919238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Low Grade Central</w:t>
            </w:r>
          </w:p>
        </w:tc>
        <w:tc>
          <w:tcPr>
            <w:tcW w:w="0" w:type="auto"/>
            <w:vAlign w:val="center"/>
          </w:tcPr>
          <w:p w14:paraId="2BA35047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1-2%</w:t>
            </w:r>
          </w:p>
        </w:tc>
        <w:tc>
          <w:tcPr>
            <w:tcW w:w="0" w:type="auto"/>
            <w:vAlign w:val="center"/>
          </w:tcPr>
          <w:p w14:paraId="334B76C8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Mixed sclerotic/lytic lesion with a geographic border</w:t>
            </w:r>
          </w:p>
          <w:p w14:paraId="711898F7" w14:textId="77777777" w:rsidR="00324F6D" w:rsidRPr="001865C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Cortical erosion and an extraosseous soft tissue mass, seen more readily with MRI</w:t>
            </w:r>
          </w:p>
          <w:p w14:paraId="57B1326A" w14:textId="77777777" w:rsidR="00324F6D" w:rsidRDefault="00324F6D" w:rsidP="001E3F7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3E801EC" w14:textId="77777777" w:rsidR="00324F6D" w:rsidRPr="001865CD" w:rsidRDefault="00324F6D" w:rsidP="001E3F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Hypocellular spindle tumor with minimal cytologic atypia with a permeative growth pattern within the surrounding normal bone</w:t>
            </w:r>
          </w:p>
        </w:tc>
        <w:tc>
          <w:tcPr>
            <w:tcW w:w="0" w:type="auto"/>
            <w:vAlign w:val="center"/>
          </w:tcPr>
          <w:p w14:paraId="369E866A" w14:textId="4A7718EF" w:rsidR="00324F6D" w:rsidRPr="001865CD" w:rsidRDefault="00324F6D" w:rsidP="001E3F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Overexpression of CDK4 and MDM2 helps differentiate from benign fibro-osseous lesions</w:t>
            </w:r>
            <w:r w:rsidR="00523DBA" w:rsidRPr="00523DBA">
              <w:rPr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1360" w:type="dxa"/>
            <w:vAlign w:val="center"/>
          </w:tcPr>
          <w:p w14:paraId="7A975583" w14:textId="77777777" w:rsidR="00324F6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 6 Supplemental Digital Content</w:t>
            </w:r>
          </w:p>
        </w:tc>
        <w:tc>
          <w:tcPr>
            <w:tcW w:w="1255" w:type="dxa"/>
            <w:vAlign w:val="center"/>
          </w:tcPr>
          <w:p w14:paraId="1AB88DF6" w14:textId="77777777" w:rsidR="00324F6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 7 Supplemental Digital Content</w:t>
            </w:r>
          </w:p>
        </w:tc>
      </w:tr>
      <w:tr w:rsidR="00EA442F" w14:paraId="0CE26F04" w14:textId="77777777" w:rsidTr="001E3F7F">
        <w:trPr>
          <w:trHeight w:val="498"/>
        </w:trPr>
        <w:tc>
          <w:tcPr>
            <w:tcW w:w="0" w:type="auto"/>
            <w:vAlign w:val="center"/>
          </w:tcPr>
          <w:p w14:paraId="44B3BEF8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color w:val="FF0000"/>
                <w:sz w:val="16"/>
                <w:szCs w:val="16"/>
              </w:rPr>
              <w:t>Surface</w:t>
            </w:r>
          </w:p>
        </w:tc>
        <w:tc>
          <w:tcPr>
            <w:tcW w:w="0" w:type="auto"/>
            <w:vAlign w:val="center"/>
          </w:tcPr>
          <w:p w14:paraId="3EB20FC7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141D68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EB91000" w14:textId="77777777" w:rsidR="00324F6D" w:rsidRPr="001865CD" w:rsidRDefault="00324F6D" w:rsidP="001E3F7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CA79516" w14:textId="77777777" w:rsidR="00324F6D" w:rsidRPr="001865CD" w:rsidRDefault="00324F6D" w:rsidP="001E3F7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40F329B" w14:textId="77777777" w:rsidR="00324F6D" w:rsidRPr="001865CD" w:rsidRDefault="00324F6D" w:rsidP="001E3F7F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center"/>
          </w:tcPr>
          <w:p w14:paraId="26150DF8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14:paraId="10C5BCA3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</w:tr>
      <w:tr w:rsidR="00EA442F" w14:paraId="6277C511" w14:textId="77777777" w:rsidTr="001E3F7F">
        <w:trPr>
          <w:trHeight w:val="998"/>
        </w:trPr>
        <w:tc>
          <w:tcPr>
            <w:tcW w:w="0" w:type="auto"/>
            <w:vAlign w:val="center"/>
          </w:tcPr>
          <w:p w14:paraId="65C9AFF6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706376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Parosteal</w:t>
            </w:r>
          </w:p>
        </w:tc>
        <w:tc>
          <w:tcPr>
            <w:tcW w:w="0" w:type="auto"/>
            <w:vAlign w:val="center"/>
          </w:tcPr>
          <w:p w14:paraId="43A45958" w14:textId="36CEAD08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4%</w:t>
            </w:r>
            <w:r w:rsidR="002066F4" w:rsidRPr="002066F4">
              <w:rPr>
                <w:sz w:val="12"/>
                <w:szCs w:val="12"/>
                <w:vertAlign w:val="superscript"/>
              </w:rPr>
              <w:t>2</w:t>
            </w:r>
            <w:r w:rsidR="00523DBA">
              <w:rPr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0" w:type="auto"/>
            <w:vAlign w:val="center"/>
          </w:tcPr>
          <w:p w14:paraId="130456A5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Well-mineralized cortically based mass</w:t>
            </w:r>
          </w:p>
          <w:p w14:paraId="287CAAF8" w14:textId="36FC1732" w:rsidR="00324F6D" w:rsidRPr="001E3F7F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 w:rsidRPr="001E3F7F">
              <w:rPr>
                <w:sz w:val="12"/>
                <w:szCs w:val="12"/>
              </w:rPr>
              <w:t>Medullary involvement</w:t>
            </w:r>
            <w:r w:rsidR="002066F4">
              <w:rPr>
                <w:sz w:val="12"/>
                <w:szCs w:val="12"/>
              </w:rPr>
              <w:t xml:space="preserve"> is</w:t>
            </w:r>
            <w:r w:rsidRPr="001E3F7F">
              <w:rPr>
                <w:sz w:val="12"/>
                <w:szCs w:val="12"/>
              </w:rPr>
              <w:t xml:space="preserve"> present in 35% of cases</w:t>
            </w:r>
            <w:r w:rsidR="002066F4" w:rsidRPr="002066F4">
              <w:rPr>
                <w:sz w:val="12"/>
                <w:szCs w:val="12"/>
                <w:vertAlign w:val="superscript"/>
              </w:rPr>
              <w:t>2</w:t>
            </w:r>
            <w:r w:rsidR="00523DBA">
              <w:rPr>
                <w:sz w:val="12"/>
                <w:szCs w:val="12"/>
                <w:vertAlign w:val="superscript"/>
              </w:rPr>
              <w:t>0</w:t>
            </w:r>
          </w:p>
        </w:tc>
        <w:tc>
          <w:tcPr>
            <w:tcW w:w="0" w:type="auto"/>
            <w:vAlign w:val="center"/>
          </w:tcPr>
          <w:p w14:paraId="51B7BA51" w14:textId="77777777" w:rsidR="00324F6D" w:rsidRPr="001865CD" w:rsidRDefault="00324F6D" w:rsidP="001E3F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Spindle cells with variable amounts of trabecular bone and cartilage</w:t>
            </w:r>
          </w:p>
        </w:tc>
        <w:tc>
          <w:tcPr>
            <w:tcW w:w="0" w:type="auto"/>
            <w:vAlign w:val="center"/>
          </w:tcPr>
          <w:p w14:paraId="3EA4D6FF" w14:textId="77777777" w:rsidR="00EA442F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100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Posterior distal femur is the classic location</w:t>
            </w:r>
          </w:p>
          <w:p w14:paraId="1B9B79D3" w14:textId="77777777" w:rsidR="00EA442F" w:rsidRDefault="00EA442F" w:rsidP="00EA442F">
            <w:pPr>
              <w:pStyle w:val="ListParagraph"/>
              <w:ind w:left="0"/>
              <w:rPr>
                <w:sz w:val="12"/>
                <w:szCs w:val="12"/>
              </w:rPr>
            </w:pPr>
          </w:p>
          <w:p w14:paraId="083FFCAF" w14:textId="4CD8EC9B" w:rsidR="00EA442F" w:rsidRPr="00EA442F" w:rsidRDefault="00324F6D" w:rsidP="00EA442F">
            <w:pPr>
              <w:pStyle w:val="ListParagraph"/>
              <w:numPr>
                <w:ilvl w:val="0"/>
                <w:numId w:val="2"/>
              </w:numPr>
              <w:ind w:left="0" w:hanging="100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Overexpression of CDK4 and MDM2</w:t>
            </w:r>
            <w:r w:rsidR="00274633">
              <w:rPr>
                <w:noProof/>
                <w:sz w:val="12"/>
                <w:szCs w:val="12"/>
                <w:vertAlign w:val="superscript"/>
              </w:rPr>
              <w:t>2</w:t>
            </w:r>
            <w:r w:rsidR="00523DBA">
              <w:rPr>
                <w:noProof/>
                <w:sz w:val="12"/>
                <w:szCs w:val="12"/>
                <w:vertAlign w:val="superscript"/>
              </w:rPr>
              <w:t>1</w:t>
            </w:r>
          </w:p>
          <w:p w14:paraId="19CD7562" w14:textId="77777777" w:rsidR="00EA442F" w:rsidRPr="00EA442F" w:rsidRDefault="00EA442F" w:rsidP="00EA442F">
            <w:pPr>
              <w:pStyle w:val="ListParagraph"/>
              <w:rPr>
                <w:sz w:val="12"/>
                <w:szCs w:val="12"/>
              </w:rPr>
            </w:pPr>
          </w:p>
          <w:p w14:paraId="5B6134C4" w14:textId="64ACFCB7" w:rsidR="00324F6D" w:rsidRPr="00EA442F" w:rsidRDefault="00324F6D" w:rsidP="00EA442F">
            <w:pPr>
              <w:pStyle w:val="ListParagraph"/>
              <w:numPr>
                <w:ilvl w:val="0"/>
                <w:numId w:val="2"/>
              </w:numPr>
              <w:ind w:left="0" w:hanging="100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Dedifferentiated parosteal osteosarcoma can develop in approximately 25%</w:t>
            </w:r>
            <w:r w:rsidR="00274633">
              <w:rPr>
                <w:noProof/>
                <w:sz w:val="12"/>
                <w:szCs w:val="12"/>
                <w:vertAlign w:val="superscript"/>
              </w:rPr>
              <w:t>2</w:t>
            </w:r>
            <w:r w:rsidR="00523DBA">
              <w:rPr>
                <w:noProof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60" w:type="dxa"/>
            <w:vAlign w:val="center"/>
          </w:tcPr>
          <w:p w14:paraId="3B3234A5" w14:textId="4A08AC2E" w:rsidR="00324F6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Figure </w:t>
            </w:r>
            <w:r w:rsidR="003E595C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 Supplemental Digital Content</w:t>
            </w:r>
          </w:p>
        </w:tc>
        <w:tc>
          <w:tcPr>
            <w:tcW w:w="1255" w:type="dxa"/>
            <w:vAlign w:val="center"/>
          </w:tcPr>
          <w:p w14:paraId="101A77EF" w14:textId="77777777" w:rsidR="00324F6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Figures 8 and 9 Supplemental Digital Content</w:t>
            </w:r>
          </w:p>
        </w:tc>
      </w:tr>
      <w:tr w:rsidR="00EA442F" w14:paraId="7E43E9E5" w14:textId="77777777" w:rsidTr="001E3F7F">
        <w:trPr>
          <w:trHeight w:val="899"/>
        </w:trPr>
        <w:tc>
          <w:tcPr>
            <w:tcW w:w="0" w:type="auto"/>
            <w:vAlign w:val="center"/>
          </w:tcPr>
          <w:p w14:paraId="27D014B0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B672E9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Periosteal</w:t>
            </w:r>
          </w:p>
        </w:tc>
        <w:tc>
          <w:tcPr>
            <w:tcW w:w="0" w:type="auto"/>
            <w:vAlign w:val="center"/>
          </w:tcPr>
          <w:p w14:paraId="16633FB8" w14:textId="779F8FB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 2%</w:t>
            </w:r>
            <w:r w:rsidR="00FB567A">
              <w:rPr>
                <w:noProof/>
                <w:sz w:val="12"/>
                <w:szCs w:val="12"/>
                <w:vertAlign w:val="superscript"/>
              </w:rPr>
              <w:t>2</w:t>
            </w:r>
            <w:r w:rsidR="00523DBA">
              <w:rPr>
                <w:noProof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78903F0C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Broad-based tumor on the surface of the diaphysis</w:t>
            </w:r>
          </w:p>
          <w:p w14:paraId="50CF9AF5" w14:textId="6D3484CA" w:rsidR="00324F6D" w:rsidRPr="001E3F7F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 w:rsidRPr="001E3F7F">
              <w:rPr>
                <w:sz w:val="12"/>
                <w:szCs w:val="12"/>
              </w:rPr>
              <w:t>Cortical thickening and scalloping, periosteal reaction, soft tissue mineralization</w:t>
            </w:r>
            <w:r w:rsidR="00FB567A">
              <w:rPr>
                <w:bCs/>
                <w:noProof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="00523DBA">
              <w:rPr>
                <w:bCs/>
                <w:noProof/>
                <w:color w:val="000000" w:themeColor="text1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7787C8C" w14:textId="77777777" w:rsidR="00324F6D" w:rsidRPr="001865CD" w:rsidRDefault="00324F6D" w:rsidP="001E3F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Areas of atypical cartilage with focal areas of intermediate osteosarcoma arising beneath the periosteum</w:t>
            </w:r>
          </w:p>
        </w:tc>
        <w:tc>
          <w:tcPr>
            <w:tcW w:w="0" w:type="auto"/>
            <w:vAlign w:val="center"/>
          </w:tcPr>
          <w:p w14:paraId="48FCF075" w14:textId="77777777" w:rsidR="00EA442F" w:rsidRDefault="00324F6D" w:rsidP="00EA442F">
            <w:pPr>
              <w:pStyle w:val="ListParagraph"/>
              <w:numPr>
                <w:ilvl w:val="0"/>
                <w:numId w:val="2"/>
              </w:numPr>
              <w:ind w:left="26" w:hanging="70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Diaphyseal location</w:t>
            </w:r>
          </w:p>
          <w:p w14:paraId="15AE522B" w14:textId="77777777" w:rsidR="00EA442F" w:rsidRDefault="00EA442F" w:rsidP="00EA442F">
            <w:pPr>
              <w:pStyle w:val="ListParagraph"/>
              <w:ind w:left="26"/>
              <w:rPr>
                <w:sz w:val="12"/>
                <w:szCs w:val="12"/>
              </w:rPr>
            </w:pPr>
          </w:p>
          <w:p w14:paraId="77946F86" w14:textId="2AA1A11B" w:rsidR="00EA442F" w:rsidRPr="00EA442F" w:rsidRDefault="00324F6D" w:rsidP="00EA442F">
            <w:pPr>
              <w:pStyle w:val="ListParagraph"/>
              <w:numPr>
                <w:ilvl w:val="0"/>
                <w:numId w:val="2"/>
              </w:numPr>
              <w:ind w:left="26" w:hanging="70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Role of chemotherapy is controversial</w:t>
            </w:r>
          </w:p>
          <w:p w14:paraId="28AC263B" w14:textId="77777777" w:rsidR="00EA442F" w:rsidRDefault="00EA442F" w:rsidP="00EA442F">
            <w:pPr>
              <w:pStyle w:val="ListParagraph"/>
              <w:ind w:left="28"/>
              <w:rPr>
                <w:sz w:val="12"/>
                <w:szCs w:val="12"/>
              </w:rPr>
            </w:pPr>
          </w:p>
          <w:p w14:paraId="7B8C2CB8" w14:textId="1487614B" w:rsidR="00324F6D" w:rsidRPr="00EA442F" w:rsidRDefault="00324F6D" w:rsidP="001E3F7F">
            <w:pPr>
              <w:pStyle w:val="ListParagraph"/>
              <w:numPr>
                <w:ilvl w:val="0"/>
                <w:numId w:val="2"/>
              </w:numPr>
              <w:ind w:left="28" w:hanging="82"/>
              <w:rPr>
                <w:sz w:val="12"/>
                <w:szCs w:val="12"/>
              </w:rPr>
            </w:pPr>
            <w:r w:rsidRPr="00EA442F">
              <w:rPr>
                <w:sz w:val="12"/>
                <w:szCs w:val="12"/>
              </w:rPr>
              <w:t>Overall survival superior to conventional osteosarcoma</w:t>
            </w:r>
          </w:p>
        </w:tc>
        <w:tc>
          <w:tcPr>
            <w:tcW w:w="1360" w:type="dxa"/>
            <w:vAlign w:val="center"/>
          </w:tcPr>
          <w:p w14:paraId="4B9C9291" w14:textId="77777777" w:rsidR="00324F6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 10 Supplemental Digital Content</w:t>
            </w:r>
          </w:p>
        </w:tc>
        <w:tc>
          <w:tcPr>
            <w:tcW w:w="1255" w:type="dxa"/>
            <w:vAlign w:val="center"/>
          </w:tcPr>
          <w:p w14:paraId="50AFAB1A" w14:textId="77777777" w:rsidR="00324F6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Figures 11-13 Supplemental Digital Content</w:t>
            </w:r>
          </w:p>
        </w:tc>
      </w:tr>
      <w:tr w:rsidR="00EA442F" w14:paraId="59AACE82" w14:textId="77777777" w:rsidTr="001E3F7F">
        <w:trPr>
          <w:trHeight w:val="872"/>
        </w:trPr>
        <w:tc>
          <w:tcPr>
            <w:tcW w:w="0" w:type="auto"/>
            <w:vAlign w:val="center"/>
          </w:tcPr>
          <w:p w14:paraId="0E70F426" w14:textId="77777777" w:rsidR="00324F6D" w:rsidRPr="00E958A9" w:rsidRDefault="00324F6D" w:rsidP="001E3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531652" w14:textId="77777777" w:rsidR="00324F6D" w:rsidRPr="00E958A9" w:rsidRDefault="00324F6D" w:rsidP="001E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E958A9">
              <w:rPr>
                <w:b/>
                <w:bCs/>
                <w:sz w:val="16"/>
                <w:szCs w:val="16"/>
              </w:rPr>
              <w:t>High-Grade Surface</w:t>
            </w:r>
          </w:p>
        </w:tc>
        <w:tc>
          <w:tcPr>
            <w:tcW w:w="0" w:type="auto"/>
            <w:vAlign w:val="center"/>
          </w:tcPr>
          <w:p w14:paraId="748C0A53" w14:textId="77777777" w:rsidR="00324F6D" w:rsidRPr="001865C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&lt; 1%</w:t>
            </w:r>
          </w:p>
        </w:tc>
        <w:tc>
          <w:tcPr>
            <w:tcW w:w="0" w:type="auto"/>
            <w:vAlign w:val="center"/>
          </w:tcPr>
          <w:p w14:paraId="3B74F762" w14:textId="77777777" w:rsidR="00324F6D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Radiographically may resemble parosteal or periosteal osteosarcoma, but with more aggressive features</w:t>
            </w:r>
          </w:p>
          <w:p w14:paraId="11432D5E" w14:textId="66671A33" w:rsidR="00324F6D" w:rsidRPr="001E3F7F" w:rsidRDefault="00324F6D" w:rsidP="001E3F7F">
            <w:pPr>
              <w:pStyle w:val="ListParagraph"/>
              <w:numPr>
                <w:ilvl w:val="0"/>
                <w:numId w:val="2"/>
              </w:numPr>
              <w:ind w:left="0" w:hanging="90"/>
              <w:rPr>
                <w:sz w:val="12"/>
                <w:szCs w:val="12"/>
              </w:rPr>
            </w:pPr>
            <w:r w:rsidRPr="001E3F7F">
              <w:rPr>
                <w:sz w:val="12"/>
                <w:szCs w:val="12"/>
              </w:rPr>
              <w:t>Medullary involvement present in approximately 50% of cases</w:t>
            </w:r>
            <w:r w:rsidR="00E46BFC">
              <w:rPr>
                <w:noProof/>
                <w:sz w:val="12"/>
                <w:szCs w:val="12"/>
                <w:vertAlign w:val="superscript"/>
              </w:rPr>
              <w:t>2</w:t>
            </w:r>
            <w:r w:rsidR="00523DBA">
              <w:rPr>
                <w:noProof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</w:tcPr>
          <w:p w14:paraId="59301C8E" w14:textId="77777777" w:rsidR="00324F6D" w:rsidRPr="001865CD" w:rsidRDefault="00324F6D" w:rsidP="001E3F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Surface based lesion that histologically resembles high-grade, intramedullary conventional osteosarcoma with pleomorphic cells producing osteoid. May have histologic variants, including osteoblastic or chondroblastic</w:t>
            </w:r>
          </w:p>
        </w:tc>
        <w:tc>
          <w:tcPr>
            <w:tcW w:w="0" w:type="auto"/>
            <w:vAlign w:val="center"/>
          </w:tcPr>
          <w:p w14:paraId="25C45046" w14:textId="77777777" w:rsidR="00324F6D" w:rsidRPr="001865CD" w:rsidRDefault="00324F6D" w:rsidP="001E3F7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Treated like conventional, intramedullary osteosarcoma </w:t>
            </w:r>
          </w:p>
        </w:tc>
        <w:tc>
          <w:tcPr>
            <w:tcW w:w="1360" w:type="dxa"/>
            <w:vAlign w:val="center"/>
          </w:tcPr>
          <w:p w14:paraId="77485B5A" w14:textId="77777777" w:rsidR="00324F6D" w:rsidRDefault="00324F6D" w:rsidP="001E3F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5" w:type="dxa"/>
            <w:vAlign w:val="center"/>
          </w:tcPr>
          <w:p w14:paraId="2DE5884D" w14:textId="39D195F7" w:rsidR="00324F6D" w:rsidRDefault="00324F6D" w:rsidP="001E3F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Figure 1</w:t>
            </w:r>
            <w:r w:rsidR="003E595C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Supplemental Digital Content</w:t>
            </w:r>
          </w:p>
        </w:tc>
      </w:tr>
    </w:tbl>
    <w:p w14:paraId="08C13795" w14:textId="77777777" w:rsidR="00324F6D" w:rsidRDefault="00324F6D"/>
    <w:p w14:paraId="41E21E92" w14:textId="7B7F1B8B" w:rsidR="008F6E65" w:rsidRDefault="00371759" w:rsidP="001E3F7F">
      <w:pPr>
        <w:pStyle w:val="EndNoteBibliography"/>
        <w:rPr>
          <w:noProof/>
        </w:rPr>
      </w:pPr>
      <w:r>
        <w:rPr>
          <w:noProof/>
        </w:rPr>
        <w:lastRenderedPageBreak/>
        <w:t>7</w:t>
      </w:r>
      <w:r w:rsidR="008F6E65" w:rsidRPr="001E3F7F">
        <w:rPr>
          <w:noProof/>
        </w:rPr>
        <w:t>.</w:t>
      </w:r>
      <w:r w:rsidR="008F6E65" w:rsidRPr="001E3F7F">
        <w:rPr>
          <w:noProof/>
        </w:rPr>
        <w:tab/>
        <w:t xml:space="preserve">Bacci G, Longhi A, Versari M, Mercuri M, Briccoli A, Picci P: Prognostic factors for osteosarcoma of the extremity treated with neoadjuvant chemotherapy: 15-year experience in 789 patients treated at a single institution. </w:t>
      </w:r>
      <w:r w:rsidR="008F6E65" w:rsidRPr="001E3F7F">
        <w:rPr>
          <w:i/>
          <w:noProof/>
        </w:rPr>
        <w:t xml:space="preserve">Cancer </w:t>
      </w:r>
      <w:r w:rsidR="008F6E65" w:rsidRPr="001E3F7F">
        <w:rPr>
          <w:noProof/>
        </w:rPr>
        <w:t>2006;106:1154-1161.</w:t>
      </w:r>
    </w:p>
    <w:p w14:paraId="5BE9CEDD" w14:textId="08E36C46" w:rsidR="008F6E65" w:rsidRDefault="008F6E65" w:rsidP="001E3F7F">
      <w:pPr>
        <w:pStyle w:val="EndNoteBibliography"/>
        <w:rPr>
          <w:noProof/>
        </w:rPr>
      </w:pPr>
      <w:r>
        <w:rPr>
          <w:noProof/>
        </w:rPr>
        <w:t>1</w:t>
      </w:r>
      <w:r w:rsidR="00523DBA">
        <w:rPr>
          <w:noProof/>
        </w:rPr>
        <w:t>2</w:t>
      </w:r>
      <w:r w:rsidRPr="001E3F7F">
        <w:rPr>
          <w:noProof/>
        </w:rPr>
        <w:t>.</w:t>
      </w:r>
      <w:r w:rsidRPr="001E3F7F">
        <w:rPr>
          <w:noProof/>
        </w:rPr>
        <w:tab/>
        <w:t xml:space="preserve">Fletcher CDM, World Health Organization., International Agency for Research on Cancer.: </w:t>
      </w:r>
      <w:r w:rsidRPr="001E3F7F">
        <w:rPr>
          <w:i/>
          <w:noProof/>
        </w:rPr>
        <w:t>WHO classification of tumours of soft tissue and bone</w:t>
      </w:r>
      <w:r w:rsidRPr="001E3F7F">
        <w:rPr>
          <w:noProof/>
        </w:rPr>
        <w:t>. ed 4th. Lyon: IARC Press, 2013, p 468 p.</w:t>
      </w:r>
    </w:p>
    <w:p w14:paraId="777E073F" w14:textId="4001BBC9" w:rsidR="00324F6D" w:rsidRDefault="00274633" w:rsidP="001E3F7F">
      <w:pPr>
        <w:pStyle w:val="EndNoteBibliography"/>
        <w:rPr>
          <w:noProof/>
        </w:rPr>
      </w:pPr>
      <w:r>
        <w:rPr>
          <w:noProof/>
        </w:rPr>
        <w:t>1</w:t>
      </w:r>
      <w:r w:rsidR="00523DBA">
        <w:rPr>
          <w:noProof/>
        </w:rPr>
        <w:t>3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Song WS, Kong CB, Jeon DG, et al.: Prognosis of extremity osteosarcoma in patients aged 40-60 years: a cohort/case controlled study at a single institute. </w:t>
      </w:r>
      <w:r w:rsidR="00324F6D" w:rsidRPr="001E3F7F">
        <w:rPr>
          <w:i/>
          <w:noProof/>
        </w:rPr>
        <w:t xml:space="preserve">Eur J Surg Oncol </w:t>
      </w:r>
      <w:r w:rsidR="00324F6D" w:rsidRPr="001E3F7F">
        <w:rPr>
          <w:noProof/>
        </w:rPr>
        <w:t>2010;36:483-488.</w:t>
      </w:r>
    </w:p>
    <w:p w14:paraId="586C8DB4" w14:textId="30AF79FA" w:rsidR="00371759" w:rsidRPr="001E3F7F" w:rsidRDefault="00371759" w:rsidP="001E3F7F">
      <w:pPr>
        <w:pStyle w:val="EndNoteBibliography"/>
        <w:rPr>
          <w:noProof/>
        </w:rPr>
      </w:pPr>
      <w:r>
        <w:rPr>
          <w:noProof/>
        </w:rPr>
        <w:t>1</w:t>
      </w:r>
      <w:r w:rsidR="00523DBA">
        <w:rPr>
          <w:noProof/>
        </w:rPr>
        <w:t>4</w:t>
      </w:r>
      <w:r w:rsidRPr="001E3F7F">
        <w:rPr>
          <w:noProof/>
        </w:rPr>
        <w:t>.</w:t>
      </w:r>
      <w:r w:rsidRPr="001E3F7F">
        <w:rPr>
          <w:noProof/>
        </w:rPr>
        <w:tab/>
        <w:t xml:space="preserve">Angelini A, Mavrogenis AF, Trovarelli G, Ferrari S, Picci P, Ruggieri P: Telangiectatic osteosarcoma: a review of 87 cases. </w:t>
      </w:r>
      <w:r w:rsidRPr="001E3F7F">
        <w:rPr>
          <w:i/>
          <w:noProof/>
        </w:rPr>
        <w:t xml:space="preserve">J Cancer Res Clin Oncol </w:t>
      </w:r>
      <w:r w:rsidRPr="001E3F7F">
        <w:rPr>
          <w:noProof/>
        </w:rPr>
        <w:t>2016;142:2197-2207.</w:t>
      </w:r>
    </w:p>
    <w:p w14:paraId="5D63ACCB" w14:textId="3C607350" w:rsidR="00324F6D" w:rsidRPr="001E3F7F" w:rsidRDefault="00274633" w:rsidP="001E3F7F">
      <w:pPr>
        <w:pStyle w:val="EndNoteBibliography"/>
        <w:rPr>
          <w:noProof/>
        </w:rPr>
      </w:pPr>
      <w:r>
        <w:rPr>
          <w:noProof/>
        </w:rPr>
        <w:t>1</w:t>
      </w:r>
      <w:r w:rsidR="00523DBA">
        <w:rPr>
          <w:noProof/>
        </w:rPr>
        <w:t>5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Tsagozis P, Laitinen MK, Stevenson JD, Jeys LM, Abudu A, Parry MC: Treatment outcome of patients with chondroblastic osteosarcoma of the limbs and pelvis. </w:t>
      </w:r>
      <w:r w:rsidR="00324F6D" w:rsidRPr="001E3F7F">
        <w:rPr>
          <w:i/>
          <w:noProof/>
        </w:rPr>
        <w:t xml:space="preserve">Bone Joint J </w:t>
      </w:r>
      <w:r w:rsidR="00324F6D" w:rsidRPr="001E3F7F">
        <w:rPr>
          <w:noProof/>
        </w:rPr>
        <w:t>2019;101-B:739-744.</w:t>
      </w:r>
    </w:p>
    <w:p w14:paraId="2514F51F" w14:textId="6745CD1C" w:rsidR="00324F6D" w:rsidRPr="001E3F7F" w:rsidRDefault="00371759" w:rsidP="001E3F7F">
      <w:pPr>
        <w:pStyle w:val="EndNoteBibliography"/>
        <w:rPr>
          <w:noProof/>
        </w:rPr>
      </w:pPr>
      <w:r>
        <w:rPr>
          <w:noProof/>
        </w:rPr>
        <w:t>1</w:t>
      </w:r>
      <w:r w:rsidR="00523DBA">
        <w:rPr>
          <w:noProof/>
        </w:rPr>
        <w:t>6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Smeland S, Bielack SS, Whelan J, et al.: Survival and prognosis with osteosarcoma: outcomes in more than 2000 patients in the EURAMOS-1 (European and American Osteosarcoma Study) cohort. </w:t>
      </w:r>
      <w:r w:rsidR="00324F6D" w:rsidRPr="001E3F7F">
        <w:rPr>
          <w:i/>
          <w:noProof/>
        </w:rPr>
        <w:t xml:space="preserve">Eur J Cancer </w:t>
      </w:r>
      <w:r w:rsidR="00324F6D" w:rsidRPr="001E3F7F">
        <w:rPr>
          <w:noProof/>
        </w:rPr>
        <w:t>2019;109:36-50.</w:t>
      </w:r>
    </w:p>
    <w:p w14:paraId="58601A5A" w14:textId="6434B5E9" w:rsidR="00324F6D" w:rsidRPr="001E3F7F" w:rsidRDefault="00274633" w:rsidP="001E3F7F">
      <w:pPr>
        <w:pStyle w:val="EndNoteBibliography"/>
        <w:rPr>
          <w:noProof/>
        </w:rPr>
      </w:pPr>
      <w:r>
        <w:rPr>
          <w:noProof/>
        </w:rPr>
        <w:t>1</w:t>
      </w:r>
      <w:r w:rsidR="00523DBA">
        <w:rPr>
          <w:noProof/>
        </w:rPr>
        <w:t>7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Murphey MD, wan Jaovisidha S, Temple HT, Gannon FH, Jelinek JS, Malawer MM: Telangiectatic osteosarcoma: radiologic-pathologic comparison. </w:t>
      </w:r>
      <w:r w:rsidR="00324F6D" w:rsidRPr="001E3F7F">
        <w:rPr>
          <w:i/>
          <w:noProof/>
        </w:rPr>
        <w:t xml:space="preserve">Radiology </w:t>
      </w:r>
      <w:r w:rsidR="00324F6D" w:rsidRPr="001E3F7F">
        <w:rPr>
          <w:noProof/>
        </w:rPr>
        <w:t>2003;229:545-553.</w:t>
      </w:r>
    </w:p>
    <w:p w14:paraId="79DFD75E" w14:textId="065AB4CE" w:rsidR="00324F6D" w:rsidRPr="001E3F7F" w:rsidRDefault="00274633" w:rsidP="001E3F7F">
      <w:pPr>
        <w:pStyle w:val="EndNoteBibliography"/>
        <w:rPr>
          <w:noProof/>
        </w:rPr>
      </w:pPr>
      <w:r>
        <w:rPr>
          <w:noProof/>
        </w:rPr>
        <w:t>1</w:t>
      </w:r>
      <w:r w:rsidR="00523DBA">
        <w:rPr>
          <w:noProof/>
        </w:rPr>
        <w:t>8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Lee AF, Hayes MM, Lebrun D, et al.: FLI-1 distinguishes Ewing sarcoma from small cell osteosarcoma and mesenchymal chondrosarcoma. </w:t>
      </w:r>
      <w:r w:rsidR="00324F6D" w:rsidRPr="001E3F7F">
        <w:rPr>
          <w:i/>
          <w:noProof/>
        </w:rPr>
        <w:t xml:space="preserve">Appl Immunohistochem Mol Morphol </w:t>
      </w:r>
      <w:r w:rsidR="00324F6D" w:rsidRPr="001E3F7F">
        <w:rPr>
          <w:noProof/>
        </w:rPr>
        <w:t>2011;19:233-238.</w:t>
      </w:r>
    </w:p>
    <w:p w14:paraId="1B5627D6" w14:textId="5FE8A3F6" w:rsidR="00324F6D" w:rsidRPr="001E3F7F" w:rsidRDefault="00523DBA" w:rsidP="001E3F7F">
      <w:pPr>
        <w:pStyle w:val="EndNoteBibliography"/>
        <w:rPr>
          <w:noProof/>
        </w:rPr>
      </w:pPr>
      <w:r>
        <w:rPr>
          <w:noProof/>
        </w:rPr>
        <w:t>19</w:t>
      </w:r>
      <w:r w:rsidR="00F3310B">
        <w:rPr>
          <w:noProof/>
        </w:rPr>
        <w:t>.</w:t>
      </w:r>
      <w:r w:rsidR="00324F6D" w:rsidRPr="001E3F7F">
        <w:rPr>
          <w:noProof/>
        </w:rPr>
        <w:tab/>
        <w:t xml:space="preserve">Yoshida A, Ushiku T, Motoi T, et al.: Immunohistochemical analysis of MDM2 and CDK4 distinguishes low-grade osteosarcoma from benign mimics. </w:t>
      </w:r>
      <w:r w:rsidR="00324F6D" w:rsidRPr="001E3F7F">
        <w:rPr>
          <w:i/>
          <w:noProof/>
        </w:rPr>
        <w:t xml:space="preserve">Mod Pathol </w:t>
      </w:r>
      <w:r w:rsidR="00324F6D" w:rsidRPr="001E3F7F">
        <w:rPr>
          <w:noProof/>
        </w:rPr>
        <w:t>2010;23:1279-1288.</w:t>
      </w:r>
    </w:p>
    <w:p w14:paraId="53430BCA" w14:textId="0CDF244B" w:rsidR="00324F6D" w:rsidRPr="001E3F7F" w:rsidRDefault="004C01E9" w:rsidP="001E3F7F">
      <w:pPr>
        <w:pStyle w:val="EndNoteBibliography"/>
        <w:rPr>
          <w:noProof/>
        </w:rPr>
      </w:pPr>
      <w:r>
        <w:rPr>
          <w:noProof/>
        </w:rPr>
        <w:t>2</w:t>
      </w:r>
      <w:r w:rsidR="00523DBA">
        <w:rPr>
          <w:noProof/>
        </w:rPr>
        <w:t>0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Funovics PT, Bucher F, Toma CD, Kotz RI, Dominkus M: Treatment and outcome of parosteal osteosarcoma: biological versus endoprosthetic reconstruction. </w:t>
      </w:r>
      <w:r w:rsidR="00324F6D" w:rsidRPr="001E3F7F">
        <w:rPr>
          <w:i/>
          <w:noProof/>
        </w:rPr>
        <w:t xml:space="preserve">J Surg Oncol </w:t>
      </w:r>
      <w:r w:rsidR="00324F6D" w:rsidRPr="001E3F7F">
        <w:rPr>
          <w:noProof/>
        </w:rPr>
        <w:t>2011;103:782-789.</w:t>
      </w:r>
    </w:p>
    <w:p w14:paraId="4E28366C" w14:textId="6836415C" w:rsidR="00324F6D" w:rsidRPr="001E3F7F" w:rsidRDefault="004C01E9" w:rsidP="001E3F7F">
      <w:pPr>
        <w:pStyle w:val="EndNoteBibliography"/>
        <w:rPr>
          <w:noProof/>
        </w:rPr>
      </w:pPr>
      <w:r>
        <w:rPr>
          <w:noProof/>
        </w:rPr>
        <w:t>2</w:t>
      </w:r>
      <w:r w:rsidR="00523DBA">
        <w:rPr>
          <w:noProof/>
        </w:rPr>
        <w:t>1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Ruengwanichayakun P, Gambarotti M, Frisoni T, et al.: Parosteal osteosarcoma: a monocentric retrospective analysis of 195 patients. </w:t>
      </w:r>
      <w:r w:rsidR="00324F6D" w:rsidRPr="001E3F7F">
        <w:rPr>
          <w:i/>
          <w:noProof/>
        </w:rPr>
        <w:t xml:space="preserve">Hum Pathol </w:t>
      </w:r>
      <w:r w:rsidR="00324F6D" w:rsidRPr="001E3F7F">
        <w:rPr>
          <w:noProof/>
        </w:rPr>
        <w:t>2019;91:11-18.</w:t>
      </w:r>
    </w:p>
    <w:p w14:paraId="77BCB89B" w14:textId="39752008" w:rsidR="00324F6D" w:rsidRPr="001E3F7F" w:rsidRDefault="00371759" w:rsidP="001E3F7F">
      <w:pPr>
        <w:pStyle w:val="EndNoteBibliography"/>
        <w:rPr>
          <w:noProof/>
        </w:rPr>
      </w:pPr>
      <w:r>
        <w:rPr>
          <w:noProof/>
        </w:rPr>
        <w:t>2</w:t>
      </w:r>
      <w:r w:rsidR="00523DBA">
        <w:rPr>
          <w:noProof/>
        </w:rPr>
        <w:t>2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Cesari M, Alberghini M, Vanel D, et al.: Periosteal osteosarcoma: a single-institution experience. </w:t>
      </w:r>
      <w:r w:rsidR="00324F6D" w:rsidRPr="001E3F7F">
        <w:rPr>
          <w:i/>
          <w:noProof/>
        </w:rPr>
        <w:t xml:space="preserve">Cancer </w:t>
      </w:r>
      <w:r w:rsidR="00324F6D" w:rsidRPr="001E3F7F">
        <w:rPr>
          <w:noProof/>
        </w:rPr>
        <w:t>2011;117:1731-1735.</w:t>
      </w:r>
    </w:p>
    <w:p w14:paraId="1E02F750" w14:textId="6170DD10" w:rsidR="00324F6D" w:rsidRPr="001E3F7F" w:rsidRDefault="00FB567A" w:rsidP="001E3F7F">
      <w:pPr>
        <w:pStyle w:val="EndNoteBibliography"/>
        <w:rPr>
          <w:noProof/>
        </w:rPr>
      </w:pPr>
      <w:r>
        <w:rPr>
          <w:noProof/>
        </w:rPr>
        <w:t>2</w:t>
      </w:r>
      <w:r w:rsidR="00523DBA">
        <w:rPr>
          <w:noProof/>
        </w:rPr>
        <w:t>3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Murphey MD, Jelinek JS, Temple HT, Flemming DJ, Gannon FH: Imaging of periosteal osteosarcoma: radiologic-pathologic comparison. </w:t>
      </w:r>
      <w:r w:rsidR="00324F6D" w:rsidRPr="001E3F7F">
        <w:rPr>
          <w:i/>
          <w:noProof/>
        </w:rPr>
        <w:t xml:space="preserve">Radiology </w:t>
      </w:r>
      <w:r w:rsidR="00324F6D" w:rsidRPr="001E3F7F">
        <w:rPr>
          <w:noProof/>
        </w:rPr>
        <w:t>2004;233:129-138.</w:t>
      </w:r>
    </w:p>
    <w:p w14:paraId="0B7636B5" w14:textId="69F29A76" w:rsidR="00A461DB" w:rsidRDefault="00E46BFC" w:rsidP="009E2FBD">
      <w:pPr>
        <w:pStyle w:val="EndNoteBibliography"/>
        <w:rPr>
          <w:noProof/>
        </w:rPr>
      </w:pPr>
      <w:r>
        <w:rPr>
          <w:noProof/>
        </w:rPr>
        <w:t>2</w:t>
      </w:r>
      <w:r w:rsidR="00523DBA">
        <w:rPr>
          <w:noProof/>
        </w:rPr>
        <w:t>4</w:t>
      </w:r>
      <w:r w:rsidR="00324F6D" w:rsidRPr="001E3F7F">
        <w:rPr>
          <w:noProof/>
        </w:rPr>
        <w:t>.</w:t>
      </w:r>
      <w:r w:rsidR="00324F6D" w:rsidRPr="001E3F7F">
        <w:rPr>
          <w:noProof/>
        </w:rPr>
        <w:tab/>
        <w:t xml:space="preserve">Staals EL, Bacchini P, Bertoni F: High-grade surface osteosarcoma: a review of 25 cases from the Rizzoli Institute. </w:t>
      </w:r>
      <w:r w:rsidR="00324F6D" w:rsidRPr="001E3F7F">
        <w:rPr>
          <w:i/>
          <w:noProof/>
        </w:rPr>
        <w:t xml:space="preserve">Cancer </w:t>
      </w:r>
      <w:r w:rsidR="00324F6D" w:rsidRPr="001E3F7F">
        <w:rPr>
          <w:noProof/>
        </w:rPr>
        <w:t>2008;112:1592-1599.</w:t>
      </w:r>
    </w:p>
    <w:sectPr w:rsidR="00A461DB" w:rsidSect="00036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0F80"/>
    <w:multiLevelType w:val="hybridMultilevel"/>
    <w:tmpl w:val="56D6CF66"/>
    <w:lvl w:ilvl="0" w:tplc="FEFA7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0330"/>
    <w:multiLevelType w:val="hybridMultilevel"/>
    <w:tmpl w:val="D26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261"/>
    <w:multiLevelType w:val="hybridMultilevel"/>
    <w:tmpl w:val="FEE2D2F8"/>
    <w:lvl w:ilvl="0" w:tplc="4A9A4CFE">
      <w:start w:val="1"/>
      <w:numFmt w:val="bullet"/>
      <w:lvlText w:val=""/>
      <w:lvlJc w:val="left"/>
      <w:pPr>
        <w:ind w:left="29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3" w15:restartNumberingAfterBreak="0">
    <w:nsid w:val="56DD33AC"/>
    <w:multiLevelType w:val="hybridMultilevel"/>
    <w:tmpl w:val="57D8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319CC"/>
    <w:multiLevelType w:val="hybridMultilevel"/>
    <w:tmpl w:val="B654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268BA"/>
    <w:multiLevelType w:val="hybridMultilevel"/>
    <w:tmpl w:val="DF78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24F6D"/>
    <w:rsid w:val="0003225A"/>
    <w:rsid w:val="000873A5"/>
    <w:rsid w:val="000C6BFE"/>
    <w:rsid w:val="000C6F0A"/>
    <w:rsid w:val="000D5893"/>
    <w:rsid w:val="000E0EAF"/>
    <w:rsid w:val="000F4DA1"/>
    <w:rsid w:val="000F4F70"/>
    <w:rsid w:val="000F6D8D"/>
    <w:rsid w:val="001464A3"/>
    <w:rsid w:val="00197091"/>
    <w:rsid w:val="001D7DBB"/>
    <w:rsid w:val="002066F4"/>
    <w:rsid w:val="00214682"/>
    <w:rsid w:val="00226331"/>
    <w:rsid w:val="0024626C"/>
    <w:rsid w:val="0025215A"/>
    <w:rsid w:val="00262CBE"/>
    <w:rsid w:val="00274633"/>
    <w:rsid w:val="00295805"/>
    <w:rsid w:val="002A4E19"/>
    <w:rsid w:val="002C38C7"/>
    <w:rsid w:val="002D13DC"/>
    <w:rsid w:val="002D52ED"/>
    <w:rsid w:val="002E43C0"/>
    <w:rsid w:val="002E5A48"/>
    <w:rsid w:val="002F7248"/>
    <w:rsid w:val="00313F5E"/>
    <w:rsid w:val="00324F6D"/>
    <w:rsid w:val="0033550B"/>
    <w:rsid w:val="00336A25"/>
    <w:rsid w:val="00371759"/>
    <w:rsid w:val="00373687"/>
    <w:rsid w:val="0037654D"/>
    <w:rsid w:val="003C17AE"/>
    <w:rsid w:val="003C4581"/>
    <w:rsid w:val="003D0F9F"/>
    <w:rsid w:val="003E595C"/>
    <w:rsid w:val="004167B5"/>
    <w:rsid w:val="004428FA"/>
    <w:rsid w:val="004636DC"/>
    <w:rsid w:val="00483B96"/>
    <w:rsid w:val="00491029"/>
    <w:rsid w:val="004A4164"/>
    <w:rsid w:val="004B37B8"/>
    <w:rsid w:val="004B5851"/>
    <w:rsid w:val="004C01E9"/>
    <w:rsid w:val="004C3BAF"/>
    <w:rsid w:val="004D1B95"/>
    <w:rsid w:val="004E229B"/>
    <w:rsid w:val="00500CDD"/>
    <w:rsid w:val="00515B10"/>
    <w:rsid w:val="00523DBA"/>
    <w:rsid w:val="00524927"/>
    <w:rsid w:val="00524ACC"/>
    <w:rsid w:val="00524ED6"/>
    <w:rsid w:val="00534309"/>
    <w:rsid w:val="0054168D"/>
    <w:rsid w:val="00552D55"/>
    <w:rsid w:val="00593FB5"/>
    <w:rsid w:val="0059432B"/>
    <w:rsid w:val="005A17FE"/>
    <w:rsid w:val="005F1C2D"/>
    <w:rsid w:val="00612B2C"/>
    <w:rsid w:val="00620DAD"/>
    <w:rsid w:val="00644280"/>
    <w:rsid w:val="0065066F"/>
    <w:rsid w:val="0066538D"/>
    <w:rsid w:val="0067226C"/>
    <w:rsid w:val="00685146"/>
    <w:rsid w:val="006B162E"/>
    <w:rsid w:val="006B2DE1"/>
    <w:rsid w:val="006B4674"/>
    <w:rsid w:val="006E0ACE"/>
    <w:rsid w:val="006E342C"/>
    <w:rsid w:val="006F3D76"/>
    <w:rsid w:val="006F49D8"/>
    <w:rsid w:val="006F50F4"/>
    <w:rsid w:val="006F69C4"/>
    <w:rsid w:val="00716AA2"/>
    <w:rsid w:val="00726D47"/>
    <w:rsid w:val="007327EE"/>
    <w:rsid w:val="007B19F0"/>
    <w:rsid w:val="007B530E"/>
    <w:rsid w:val="007C0A28"/>
    <w:rsid w:val="00831360"/>
    <w:rsid w:val="00850224"/>
    <w:rsid w:val="00853F75"/>
    <w:rsid w:val="00870265"/>
    <w:rsid w:val="008711B3"/>
    <w:rsid w:val="008812D3"/>
    <w:rsid w:val="008F0468"/>
    <w:rsid w:val="008F6E65"/>
    <w:rsid w:val="00900DE0"/>
    <w:rsid w:val="00916BE9"/>
    <w:rsid w:val="00921BA1"/>
    <w:rsid w:val="00924789"/>
    <w:rsid w:val="00925047"/>
    <w:rsid w:val="009410C9"/>
    <w:rsid w:val="0098590D"/>
    <w:rsid w:val="0098657C"/>
    <w:rsid w:val="009963B3"/>
    <w:rsid w:val="009B258C"/>
    <w:rsid w:val="009B45CB"/>
    <w:rsid w:val="009C2E83"/>
    <w:rsid w:val="009C505D"/>
    <w:rsid w:val="009C714F"/>
    <w:rsid w:val="009D1507"/>
    <w:rsid w:val="009D1EC4"/>
    <w:rsid w:val="009E11F2"/>
    <w:rsid w:val="009E2FBD"/>
    <w:rsid w:val="009E4527"/>
    <w:rsid w:val="00A06F3D"/>
    <w:rsid w:val="00A20429"/>
    <w:rsid w:val="00A2324C"/>
    <w:rsid w:val="00A30704"/>
    <w:rsid w:val="00A34325"/>
    <w:rsid w:val="00A461DB"/>
    <w:rsid w:val="00AA341B"/>
    <w:rsid w:val="00AB44A7"/>
    <w:rsid w:val="00AC0AD3"/>
    <w:rsid w:val="00AC3157"/>
    <w:rsid w:val="00B14D7F"/>
    <w:rsid w:val="00B37BDA"/>
    <w:rsid w:val="00B5351B"/>
    <w:rsid w:val="00B72ABA"/>
    <w:rsid w:val="00B821A0"/>
    <w:rsid w:val="00B969F0"/>
    <w:rsid w:val="00B97FD2"/>
    <w:rsid w:val="00BB05B4"/>
    <w:rsid w:val="00BB56BE"/>
    <w:rsid w:val="00BC1B9E"/>
    <w:rsid w:val="00BD3DEA"/>
    <w:rsid w:val="00C04871"/>
    <w:rsid w:val="00C055B1"/>
    <w:rsid w:val="00C24831"/>
    <w:rsid w:val="00C375F5"/>
    <w:rsid w:val="00C415E1"/>
    <w:rsid w:val="00C543A3"/>
    <w:rsid w:val="00C60EE7"/>
    <w:rsid w:val="00C657E4"/>
    <w:rsid w:val="00C93248"/>
    <w:rsid w:val="00CA7970"/>
    <w:rsid w:val="00CB4692"/>
    <w:rsid w:val="00CC01C7"/>
    <w:rsid w:val="00CD3D41"/>
    <w:rsid w:val="00D55D6E"/>
    <w:rsid w:val="00D661BE"/>
    <w:rsid w:val="00D81556"/>
    <w:rsid w:val="00D9190D"/>
    <w:rsid w:val="00D94E0B"/>
    <w:rsid w:val="00DA4B01"/>
    <w:rsid w:val="00DA7967"/>
    <w:rsid w:val="00DC36E9"/>
    <w:rsid w:val="00DC731D"/>
    <w:rsid w:val="00DD4D27"/>
    <w:rsid w:val="00DF7666"/>
    <w:rsid w:val="00E04C38"/>
    <w:rsid w:val="00E06147"/>
    <w:rsid w:val="00E32C10"/>
    <w:rsid w:val="00E46BFC"/>
    <w:rsid w:val="00E64146"/>
    <w:rsid w:val="00E670EA"/>
    <w:rsid w:val="00EA442F"/>
    <w:rsid w:val="00EB49ED"/>
    <w:rsid w:val="00EB6DF1"/>
    <w:rsid w:val="00ED68B9"/>
    <w:rsid w:val="00F06D8E"/>
    <w:rsid w:val="00F3310B"/>
    <w:rsid w:val="00F3334B"/>
    <w:rsid w:val="00F6561C"/>
    <w:rsid w:val="00F824A1"/>
    <w:rsid w:val="00FA7033"/>
    <w:rsid w:val="00FB2DDC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BE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F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6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24F6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24F6D"/>
    <w:pPr>
      <w:jc w:val="center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4F6D"/>
  </w:style>
  <w:style w:type="character" w:customStyle="1" w:styleId="EndNoteBibliographyTitleChar">
    <w:name w:val="EndNote Bibliography Title Char"/>
    <w:basedOn w:val="ListParagraphChar"/>
    <w:link w:val="EndNoteBibliographyTitle"/>
    <w:rsid w:val="00324F6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24F6D"/>
    <w:rPr>
      <w:rFonts w:ascii="Calibri" w:hAnsi="Calibri" w:cs="Calibri"/>
    </w:rPr>
  </w:style>
  <w:style w:type="character" w:customStyle="1" w:styleId="EndNoteBibliographyChar">
    <w:name w:val="EndNote Bibliography Char"/>
    <w:basedOn w:val="ListParagraphChar"/>
    <w:link w:val="EndNoteBibliography"/>
    <w:rsid w:val="00324F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2020-07-10T10:42:00Z</dcterms:created>
  <dcterms:modified xsi:type="dcterms:W3CDTF">2021-05-12T13:38:00Z</dcterms:modified>
</cp:coreProperties>
</file>