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AE68" w14:textId="3E9DDC13" w:rsidR="00161789" w:rsidRDefault="00161789" w:rsidP="00D525BF">
      <w:pPr>
        <w:pStyle w:val="H1"/>
      </w:pPr>
      <w:r>
        <w:t xml:space="preserve">Supplemental digital content </w:t>
      </w:r>
    </w:p>
    <w:p w14:paraId="1B3F8C60" w14:textId="51FAA78E" w:rsidR="00161789" w:rsidRDefault="00161789" w:rsidP="00161789">
      <w:pPr>
        <w:pStyle w:val="Paragraph"/>
      </w:pPr>
      <w:r>
        <w:rPr>
          <w:b/>
          <w:bCs/>
        </w:rPr>
        <w:t>For m</w:t>
      </w:r>
      <w:r w:rsidRPr="00F378A6">
        <w:rPr>
          <w:b/>
          <w:bCs/>
        </w:rPr>
        <w:t>anuscript title</w:t>
      </w:r>
      <w:r>
        <w:rPr>
          <w:b/>
          <w:bCs/>
        </w:rPr>
        <w:t>d</w:t>
      </w:r>
      <w:r w:rsidRPr="009953D7">
        <w:t>:</w:t>
      </w:r>
      <w:r>
        <w:t xml:space="preserve"> “Transforming Clinical Practice Initiative Boosted Participation in Medicare Alternative Payment Models”</w:t>
      </w:r>
    </w:p>
    <w:p w14:paraId="6268F415" w14:textId="6AE11F38" w:rsidR="00927A05" w:rsidRDefault="00636DBF" w:rsidP="00D525BF">
      <w:pPr>
        <w:pStyle w:val="H2"/>
      </w:pPr>
      <w:r>
        <w:t xml:space="preserve">1: </w:t>
      </w:r>
      <w:r w:rsidR="00AE1036">
        <w:t>Practice selection</w:t>
      </w:r>
      <w:r w:rsidR="007D687E">
        <w:t xml:space="preserve"> and similarity between </w:t>
      </w:r>
      <w:proofErr w:type="spellStart"/>
      <w:r w:rsidR="007D687E">
        <w:t>TCPi</w:t>
      </w:r>
      <w:proofErr w:type="spellEnd"/>
      <w:r w:rsidR="007D687E">
        <w:t xml:space="preserve"> and matched comparison practices</w:t>
      </w:r>
    </w:p>
    <w:p w14:paraId="378B58B9" w14:textId="7AE4EF80" w:rsidR="007D687E" w:rsidRDefault="007D687E" w:rsidP="001D5298">
      <w:pPr>
        <w:pStyle w:val="H3"/>
      </w:pPr>
      <w:r>
        <w:t xml:space="preserve">1. </w:t>
      </w:r>
      <w:r w:rsidR="00AE1036">
        <w:t>Practice selection</w:t>
      </w:r>
    </w:p>
    <w:p w14:paraId="7B3D7060" w14:textId="52B7B4DE" w:rsidR="0008470C" w:rsidRPr="001D5298" w:rsidRDefault="005C7854" w:rsidP="00AE1036">
      <w:pPr>
        <w:rPr>
          <w:rFonts w:eastAsiaTheme="minorEastAsia"/>
        </w:rPr>
      </w:pPr>
      <w:r>
        <w:t>Starting</w:t>
      </w:r>
      <w:r w:rsidRPr="00052EA7">
        <w:t xml:space="preserve"> with 18,022 practices (defined by TIN or CCN) enrolled in </w:t>
      </w:r>
      <w:proofErr w:type="spellStart"/>
      <w:r w:rsidRPr="00052EA7">
        <w:t>TCPi</w:t>
      </w:r>
      <w:proofErr w:type="spellEnd"/>
      <w:r w:rsidRPr="00052EA7">
        <w:t xml:space="preserve"> through September 2018, </w:t>
      </w:r>
      <w:r>
        <w:t>after all exclusions, the analytic sample</w:t>
      </w:r>
      <w:r w:rsidR="001570FB">
        <w:t xml:space="preserve"> included</w:t>
      </w:r>
      <w:r>
        <w:t xml:space="preserve"> 6,958 </w:t>
      </w:r>
      <w:proofErr w:type="spellStart"/>
      <w:r w:rsidR="001570FB">
        <w:t>TCPi</w:t>
      </w:r>
      <w:proofErr w:type="spellEnd"/>
      <w:r w:rsidR="001570FB">
        <w:t xml:space="preserve"> </w:t>
      </w:r>
      <w:r>
        <w:t xml:space="preserve">practices. </w:t>
      </w:r>
      <w:r w:rsidR="00EE700E">
        <w:rPr>
          <w:rFonts w:eastAsiaTheme="minorEastAsia"/>
        </w:rPr>
        <w:t>The exclusions were as follows</w:t>
      </w:r>
      <w:r w:rsidR="002B5FC7">
        <w:rPr>
          <w:rFonts w:eastAsiaTheme="minorEastAsia"/>
        </w:rPr>
        <w:t xml:space="preserve"> (</w:t>
      </w:r>
      <w:r w:rsidR="00161789">
        <w:rPr>
          <w:rFonts w:eastAsiaTheme="minorEastAsia"/>
        </w:rPr>
        <w:t>Supplemental Digital Content</w:t>
      </w:r>
      <w:r w:rsidR="002B5FC7">
        <w:rPr>
          <w:rFonts w:eastAsiaTheme="minorEastAsia"/>
        </w:rPr>
        <w:t xml:space="preserve"> Figure 1.1)</w:t>
      </w:r>
      <w:r w:rsidR="00EE700E">
        <w:rPr>
          <w:rFonts w:eastAsiaTheme="minorEastAsia"/>
        </w:rPr>
        <w:t xml:space="preserve">: </w:t>
      </w:r>
    </w:p>
    <w:p w14:paraId="4D1CDB6C" w14:textId="45E8197E" w:rsidR="0008470C" w:rsidRPr="001D5298" w:rsidRDefault="00EE700E" w:rsidP="001D5298">
      <w:pPr>
        <w:pStyle w:val="ListParagraph"/>
        <w:numPr>
          <w:ilvl w:val="3"/>
          <w:numId w:val="28"/>
        </w:numPr>
        <w:ind w:left="360"/>
        <w:rPr>
          <w:rFonts w:eastAsiaTheme="minorEastAsia"/>
          <w:b/>
          <w:bCs/>
        </w:rPr>
      </w:pPr>
      <w:r>
        <w:rPr>
          <w:rFonts w:eastAsiaTheme="minorEastAsia"/>
          <w:b/>
          <w:bCs/>
        </w:rPr>
        <w:t>P</w:t>
      </w:r>
      <w:r w:rsidR="0008470C" w:rsidRPr="001D5298">
        <w:rPr>
          <w:rFonts w:eastAsiaTheme="minorEastAsia"/>
          <w:b/>
          <w:bCs/>
        </w:rPr>
        <w:t xml:space="preserve">ractices for which </w:t>
      </w:r>
      <w:r w:rsidR="0085348C">
        <w:rPr>
          <w:rFonts w:eastAsiaTheme="minorEastAsia"/>
          <w:b/>
          <w:bCs/>
        </w:rPr>
        <w:t xml:space="preserve">new </w:t>
      </w:r>
      <w:r w:rsidR="000648D4">
        <w:rPr>
          <w:rFonts w:eastAsiaTheme="minorEastAsia"/>
          <w:b/>
          <w:bCs/>
        </w:rPr>
        <w:t xml:space="preserve">enrollment into </w:t>
      </w:r>
      <w:r w:rsidR="0008470C" w:rsidRPr="001D5298">
        <w:rPr>
          <w:rFonts w:eastAsiaTheme="minorEastAsia"/>
          <w:b/>
          <w:bCs/>
        </w:rPr>
        <w:t>Medicare APM</w:t>
      </w:r>
      <w:r w:rsidR="000648D4">
        <w:rPr>
          <w:rFonts w:eastAsiaTheme="minorEastAsia"/>
          <w:b/>
          <w:bCs/>
        </w:rPr>
        <w:t xml:space="preserve">s </w:t>
      </w:r>
      <w:r w:rsidR="0008470C" w:rsidRPr="001D5298">
        <w:rPr>
          <w:rFonts w:eastAsiaTheme="minorEastAsia"/>
          <w:b/>
          <w:bCs/>
        </w:rPr>
        <w:t>is not relevant, including</w:t>
      </w:r>
    </w:p>
    <w:p w14:paraId="18DC9A3E" w14:textId="23F97654" w:rsidR="00EE700E" w:rsidRPr="00EE700E" w:rsidRDefault="0044681E" w:rsidP="00EE700E">
      <w:pPr>
        <w:pStyle w:val="ListParagraph"/>
        <w:numPr>
          <w:ilvl w:val="1"/>
          <w:numId w:val="28"/>
        </w:numPr>
        <w:ind w:left="720"/>
        <w:rPr>
          <w:rFonts w:eastAsiaTheme="minorEastAsia"/>
          <w:i/>
          <w:iCs/>
        </w:rPr>
      </w:pPr>
      <w:r>
        <w:rPr>
          <w:rFonts w:eastAsiaTheme="minorEastAsia"/>
          <w:i/>
          <w:iCs/>
        </w:rPr>
        <w:t>P</w:t>
      </w:r>
      <w:r w:rsidR="00EE700E" w:rsidRPr="00EE700E">
        <w:rPr>
          <w:rFonts w:eastAsiaTheme="minorEastAsia"/>
          <w:i/>
          <w:iCs/>
        </w:rPr>
        <w:t>ractices without attributed Medicare beneficiaries</w:t>
      </w:r>
      <w:r w:rsidR="00EE700E" w:rsidRPr="00EE700E">
        <w:rPr>
          <w:rFonts w:eastAsiaTheme="minorEastAsia"/>
        </w:rPr>
        <w:t>, because participation in Medicare APMs is not relevant to such practices</w:t>
      </w:r>
      <w:r w:rsidR="00485FDD">
        <w:rPr>
          <w:rFonts w:eastAsiaTheme="minorEastAsia"/>
        </w:rPr>
        <w:t>. Attribution methods are described on the following page.</w:t>
      </w:r>
    </w:p>
    <w:p w14:paraId="4B96B402" w14:textId="5459865D" w:rsidR="0008470C" w:rsidRDefault="0008470C" w:rsidP="001D5298">
      <w:pPr>
        <w:pStyle w:val="ListParagraph"/>
        <w:numPr>
          <w:ilvl w:val="1"/>
          <w:numId w:val="28"/>
        </w:numPr>
        <w:ind w:left="720"/>
        <w:rPr>
          <w:rFonts w:eastAsiaTheme="minorEastAsia"/>
        </w:rPr>
      </w:pPr>
      <w:r w:rsidRPr="001D5298">
        <w:rPr>
          <w:rFonts w:eastAsiaTheme="minorEastAsia"/>
          <w:i/>
          <w:iCs/>
        </w:rPr>
        <w:t>Practices that were ineligible for participation in Medicare APMs</w:t>
      </w:r>
      <w:r w:rsidR="00A30FCB">
        <w:rPr>
          <w:rFonts w:eastAsiaTheme="minorEastAsia"/>
        </w:rPr>
        <w:t>, such as</w:t>
      </w:r>
      <w:r>
        <w:rPr>
          <w:rFonts w:eastAsiaTheme="minorEastAsia"/>
        </w:rPr>
        <w:t xml:space="preserve"> federally qualified health centers and rural health centers </w:t>
      </w:r>
    </w:p>
    <w:p w14:paraId="4F45A6D7" w14:textId="77777777" w:rsidR="008668B7" w:rsidRPr="008668B7" w:rsidRDefault="005A58F8" w:rsidP="001D5298">
      <w:pPr>
        <w:pStyle w:val="ListBullet2"/>
        <w:numPr>
          <w:ilvl w:val="1"/>
          <w:numId w:val="28"/>
        </w:numPr>
        <w:ind w:left="720"/>
        <w:rPr>
          <w:rFonts w:eastAsiaTheme="minorEastAsia"/>
        </w:rPr>
      </w:pPr>
      <w:r w:rsidRPr="001D5298">
        <w:rPr>
          <w:rFonts w:eastAsiaTheme="minorEastAsia"/>
          <w:i/>
        </w:rPr>
        <w:t xml:space="preserve">Practices that were already participating in a Medicare APM before enrolling in </w:t>
      </w:r>
      <w:proofErr w:type="spellStart"/>
      <w:r w:rsidRPr="001D5298">
        <w:rPr>
          <w:rFonts w:eastAsiaTheme="minorEastAsia"/>
          <w:i/>
        </w:rPr>
        <w:t>TCPi</w:t>
      </w:r>
      <w:proofErr w:type="spellEnd"/>
    </w:p>
    <w:p w14:paraId="6F32EB89" w14:textId="3CE10449" w:rsidR="008668B7" w:rsidRPr="00462497" w:rsidRDefault="008668B7" w:rsidP="00462497">
      <w:pPr>
        <w:pStyle w:val="ListBullet2"/>
        <w:numPr>
          <w:ilvl w:val="1"/>
          <w:numId w:val="28"/>
        </w:numPr>
        <w:ind w:left="720"/>
        <w:rPr>
          <w:rFonts w:eastAsiaTheme="minorEastAsia"/>
          <w:i/>
        </w:rPr>
      </w:pPr>
      <w:bookmarkStart w:id="0" w:name="_Hlk75762614"/>
      <w:r w:rsidRPr="008668B7">
        <w:rPr>
          <w:rFonts w:eastAsiaTheme="minorEastAsia"/>
          <w:i/>
        </w:rPr>
        <w:t xml:space="preserve">Practices </w:t>
      </w:r>
      <w:r>
        <w:rPr>
          <w:rFonts w:eastAsiaTheme="minorEastAsia"/>
          <w:i/>
        </w:rPr>
        <w:t>that served primarily children</w:t>
      </w:r>
      <w:r w:rsidR="0044681E">
        <w:rPr>
          <w:rFonts w:eastAsiaTheme="minorEastAsia"/>
          <w:iCs/>
        </w:rPr>
        <w:t>, because w</w:t>
      </w:r>
      <w:r w:rsidRPr="00507816">
        <w:rPr>
          <w:rFonts w:eastAsiaTheme="minorEastAsia"/>
          <w:iCs/>
        </w:rPr>
        <w:t xml:space="preserve">e did </w:t>
      </w:r>
      <w:r w:rsidRPr="00271323">
        <w:rPr>
          <w:rFonts w:eastAsiaTheme="minorEastAsia"/>
          <w:iCs/>
        </w:rPr>
        <w:t xml:space="preserve">not expect </w:t>
      </w:r>
      <w:proofErr w:type="spellStart"/>
      <w:r w:rsidRPr="00271323">
        <w:rPr>
          <w:rFonts w:eastAsiaTheme="minorEastAsia"/>
          <w:iCs/>
        </w:rPr>
        <w:t>TCPi</w:t>
      </w:r>
      <w:proofErr w:type="spellEnd"/>
      <w:r w:rsidRPr="00271323">
        <w:rPr>
          <w:rFonts w:eastAsiaTheme="minorEastAsia"/>
          <w:iCs/>
        </w:rPr>
        <w:t xml:space="preserve"> to substantially affect the care and the outcomes for </w:t>
      </w:r>
      <w:r w:rsidRPr="0044681E">
        <w:rPr>
          <w:rFonts w:eastAsiaTheme="minorEastAsia"/>
          <w:iCs/>
        </w:rPr>
        <w:t>Medicare beneficiaries</w:t>
      </w:r>
    </w:p>
    <w:p w14:paraId="76653051" w14:textId="31499702" w:rsidR="008270A4" w:rsidRPr="00644F5F" w:rsidRDefault="008270A4" w:rsidP="00EE700E">
      <w:pPr>
        <w:pStyle w:val="ListBullet"/>
        <w:ind w:left="360"/>
        <w:rPr>
          <w:rFonts w:eastAsiaTheme="minorEastAsia"/>
          <w:b/>
          <w:bCs/>
        </w:rPr>
      </w:pPr>
      <w:r w:rsidRPr="00644F5F">
        <w:rPr>
          <w:rFonts w:eastAsiaTheme="minorEastAsia"/>
          <w:b/>
          <w:bCs/>
        </w:rPr>
        <w:t xml:space="preserve">Practices for which </w:t>
      </w:r>
      <w:proofErr w:type="spellStart"/>
      <w:r w:rsidRPr="00644F5F">
        <w:rPr>
          <w:rFonts w:eastAsiaTheme="minorEastAsia"/>
          <w:b/>
          <w:bCs/>
        </w:rPr>
        <w:t>TCPi</w:t>
      </w:r>
      <w:proofErr w:type="spellEnd"/>
      <w:r w:rsidRPr="00644F5F">
        <w:rPr>
          <w:rFonts w:eastAsiaTheme="minorEastAsia"/>
          <w:b/>
          <w:bCs/>
        </w:rPr>
        <w:t xml:space="preserve"> could not </w:t>
      </w:r>
      <w:r w:rsidR="002E1543">
        <w:rPr>
          <w:rFonts w:eastAsiaTheme="minorEastAsia"/>
          <w:b/>
          <w:bCs/>
        </w:rPr>
        <w:t>meaningfully</w:t>
      </w:r>
      <w:r w:rsidRPr="00644F5F">
        <w:rPr>
          <w:rFonts w:eastAsiaTheme="minorEastAsia"/>
          <w:b/>
          <w:bCs/>
        </w:rPr>
        <w:t xml:space="preserve"> influence</w:t>
      </w:r>
      <w:r w:rsidR="002E1543">
        <w:rPr>
          <w:rFonts w:eastAsiaTheme="minorEastAsia"/>
          <w:b/>
          <w:bCs/>
        </w:rPr>
        <w:t xml:space="preserve"> APM participation</w:t>
      </w:r>
      <w:r w:rsidRPr="00644F5F">
        <w:rPr>
          <w:rFonts w:eastAsiaTheme="minorEastAsia"/>
          <w:b/>
          <w:bCs/>
        </w:rPr>
        <w:t>:</w:t>
      </w:r>
    </w:p>
    <w:bookmarkEnd w:id="0"/>
    <w:p w14:paraId="2769F27D" w14:textId="3997A963" w:rsidR="008270A4" w:rsidRPr="00BF1C5A" w:rsidRDefault="008270A4" w:rsidP="002077C7">
      <w:pPr>
        <w:pStyle w:val="ListBullet2"/>
        <w:numPr>
          <w:ilvl w:val="0"/>
          <w:numId w:val="32"/>
        </w:numPr>
        <w:rPr>
          <w:rFonts w:eastAsiaTheme="minorEastAsia"/>
        </w:rPr>
      </w:pPr>
      <w:r w:rsidRPr="00BF1C5A">
        <w:rPr>
          <w:rFonts w:eastAsiaTheme="minorEastAsia"/>
          <w:i/>
        </w:rPr>
        <w:t xml:space="preserve">Practices in which all E&amp;M visits were provided by clinicians not enrolled in </w:t>
      </w:r>
      <w:proofErr w:type="spellStart"/>
      <w:r w:rsidRPr="00BF1C5A">
        <w:rPr>
          <w:rFonts w:eastAsiaTheme="minorEastAsia"/>
          <w:i/>
        </w:rPr>
        <w:t>TCPi</w:t>
      </w:r>
      <w:proofErr w:type="spellEnd"/>
      <w:r w:rsidRPr="00BF1C5A">
        <w:rPr>
          <w:rFonts w:eastAsiaTheme="minorEastAsia"/>
          <w:i/>
        </w:rPr>
        <w:t xml:space="preserve">. </w:t>
      </w:r>
      <w:r w:rsidRPr="00BF1C5A">
        <w:rPr>
          <w:rFonts w:eastAsiaTheme="minorEastAsia"/>
          <w:iCs/>
        </w:rPr>
        <w:t xml:space="preserve">Since we defined practices at the TIN level, but enrollment in </w:t>
      </w:r>
      <w:proofErr w:type="spellStart"/>
      <w:r w:rsidRPr="00BF1C5A">
        <w:rPr>
          <w:rFonts w:eastAsiaTheme="minorEastAsia"/>
          <w:iCs/>
        </w:rPr>
        <w:t>TCPi</w:t>
      </w:r>
      <w:proofErr w:type="spellEnd"/>
      <w:r w:rsidRPr="00BF1C5A">
        <w:rPr>
          <w:rFonts w:eastAsiaTheme="minorEastAsia"/>
          <w:iCs/>
        </w:rPr>
        <w:t xml:space="preserve"> was at the clinician level, some </w:t>
      </w:r>
      <w:proofErr w:type="spellStart"/>
      <w:r w:rsidRPr="00BF1C5A">
        <w:rPr>
          <w:rFonts w:eastAsiaTheme="minorEastAsia"/>
          <w:iCs/>
        </w:rPr>
        <w:t>TCPi</w:t>
      </w:r>
      <w:proofErr w:type="spellEnd"/>
      <w:r w:rsidRPr="00BF1C5A">
        <w:rPr>
          <w:rFonts w:eastAsiaTheme="minorEastAsia"/>
          <w:iCs/>
        </w:rPr>
        <w:t xml:space="preserve"> practices did not have </w:t>
      </w:r>
      <w:proofErr w:type="gramStart"/>
      <w:r w:rsidRPr="00BF1C5A">
        <w:rPr>
          <w:rFonts w:eastAsiaTheme="minorEastAsia"/>
          <w:iCs/>
        </w:rPr>
        <w:t>all of</w:t>
      </w:r>
      <w:proofErr w:type="gramEnd"/>
      <w:r w:rsidRPr="00BF1C5A">
        <w:rPr>
          <w:rFonts w:eastAsiaTheme="minorEastAsia"/>
          <w:iCs/>
        </w:rPr>
        <w:t xml:space="preserve"> their clinicians participating. </w:t>
      </w:r>
      <w:r w:rsidRPr="00BF1C5A">
        <w:rPr>
          <w:rFonts w:eastAsiaTheme="minorEastAsia"/>
        </w:rPr>
        <w:t xml:space="preserve">Although these practices had attributed beneficiaries, </w:t>
      </w:r>
      <w:proofErr w:type="spellStart"/>
      <w:r w:rsidRPr="00BF1C5A">
        <w:rPr>
          <w:rFonts w:eastAsiaTheme="minorEastAsia"/>
        </w:rPr>
        <w:t>TCPi</w:t>
      </w:r>
      <w:proofErr w:type="spellEnd"/>
      <w:r w:rsidRPr="00BF1C5A">
        <w:rPr>
          <w:rFonts w:eastAsiaTheme="minorEastAsia"/>
        </w:rPr>
        <w:t xml:space="preserve"> was less likely to be effective in such practices than in </w:t>
      </w:r>
      <w:proofErr w:type="spellStart"/>
      <w:r w:rsidRPr="00BF1C5A">
        <w:rPr>
          <w:rFonts w:eastAsiaTheme="minorEastAsia"/>
        </w:rPr>
        <w:t>TCPi</w:t>
      </w:r>
      <w:proofErr w:type="spellEnd"/>
      <w:r w:rsidRPr="00BF1C5A">
        <w:rPr>
          <w:rFonts w:eastAsiaTheme="minorEastAsia"/>
        </w:rPr>
        <w:t xml:space="preserve"> practices for which E&amp;M visits were provided by </w:t>
      </w:r>
      <w:proofErr w:type="spellStart"/>
      <w:r w:rsidRPr="00BF1C5A">
        <w:rPr>
          <w:rFonts w:eastAsiaTheme="minorEastAsia"/>
        </w:rPr>
        <w:t>TCPi</w:t>
      </w:r>
      <w:proofErr w:type="spellEnd"/>
      <w:r w:rsidRPr="00BF1C5A">
        <w:rPr>
          <w:rFonts w:eastAsiaTheme="minorEastAsia"/>
        </w:rPr>
        <w:t xml:space="preserve"> clinicians. </w:t>
      </w:r>
    </w:p>
    <w:p w14:paraId="547679DC" w14:textId="08D7EECD" w:rsidR="002077C7" w:rsidRPr="009B34B7" w:rsidRDefault="002077C7" w:rsidP="002077C7">
      <w:pPr>
        <w:pStyle w:val="ListBullet2"/>
        <w:numPr>
          <w:ilvl w:val="0"/>
          <w:numId w:val="32"/>
        </w:numPr>
        <w:rPr>
          <w:rFonts w:eastAsiaTheme="minorEastAsia"/>
          <w:i/>
          <w:iCs/>
        </w:rPr>
      </w:pPr>
      <w:r w:rsidRPr="009B34B7">
        <w:rPr>
          <w:rFonts w:eastAsiaTheme="minorEastAsia"/>
          <w:i/>
          <w:iCs/>
        </w:rPr>
        <w:t xml:space="preserve">Practices that </w:t>
      </w:r>
      <w:r w:rsidR="009B34B7">
        <w:rPr>
          <w:rFonts w:eastAsiaTheme="minorEastAsia"/>
          <w:i/>
          <w:iCs/>
        </w:rPr>
        <w:t>started</w:t>
      </w:r>
      <w:r w:rsidRPr="009B34B7">
        <w:rPr>
          <w:rFonts w:eastAsiaTheme="minorEastAsia"/>
          <w:i/>
          <w:iCs/>
        </w:rPr>
        <w:t xml:space="preserve"> participating in a Medicare APM within 45 days after enrollment</w:t>
      </w:r>
      <w:r w:rsidR="009B34B7">
        <w:rPr>
          <w:rFonts w:eastAsiaTheme="minorEastAsia"/>
          <w:i/>
          <w:iCs/>
        </w:rPr>
        <w:t xml:space="preserve">. </w:t>
      </w:r>
      <w:r w:rsidR="009B34B7">
        <w:rPr>
          <w:rFonts w:eastAsiaTheme="minorEastAsia"/>
        </w:rPr>
        <w:t xml:space="preserve">These practices started participating in a Medicare APM so soon after enrolling in </w:t>
      </w:r>
      <w:proofErr w:type="spellStart"/>
      <w:r w:rsidR="009B34B7">
        <w:rPr>
          <w:rFonts w:eastAsiaTheme="minorEastAsia"/>
        </w:rPr>
        <w:t>TCPi</w:t>
      </w:r>
      <w:proofErr w:type="spellEnd"/>
      <w:r w:rsidR="009B34B7">
        <w:rPr>
          <w:rFonts w:eastAsiaTheme="minorEastAsia"/>
        </w:rPr>
        <w:t xml:space="preserve"> that </w:t>
      </w:r>
      <w:proofErr w:type="spellStart"/>
      <w:r w:rsidR="009B34B7">
        <w:rPr>
          <w:rFonts w:eastAsiaTheme="minorEastAsia"/>
        </w:rPr>
        <w:t>TCPi</w:t>
      </w:r>
      <w:proofErr w:type="spellEnd"/>
      <w:r w:rsidR="009B34B7">
        <w:rPr>
          <w:rFonts w:eastAsiaTheme="minorEastAsia"/>
        </w:rPr>
        <w:t xml:space="preserve"> did not have a chance to influence these practices’ decision to participate in a Medicare APM.</w:t>
      </w:r>
    </w:p>
    <w:p w14:paraId="442DD746" w14:textId="3F1AD06A" w:rsidR="003E788C" w:rsidRPr="00644F5F" w:rsidRDefault="003E788C" w:rsidP="00F8060E">
      <w:pPr>
        <w:pStyle w:val="ListBullet"/>
        <w:ind w:left="360"/>
        <w:rPr>
          <w:rFonts w:eastAsiaTheme="minorEastAsia"/>
          <w:b/>
          <w:bCs/>
        </w:rPr>
      </w:pPr>
      <w:bookmarkStart w:id="1" w:name="_Hlk75762565"/>
      <w:r w:rsidRPr="00644F5F">
        <w:rPr>
          <w:rFonts w:eastAsiaTheme="minorEastAsia"/>
          <w:b/>
          <w:bCs/>
        </w:rPr>
        <w:t>Practices for which we could not find credible comparisons:</w:t>
      </w:r>
    </w:p>
    <w:bookmarkEnd w:id="1"/>
    <w:p w14:paraId="2DA8732B" w14:textId="12B74C41" w:rsidR="003E788C" w:rsidRPr="00BF1C5A" w:rsidRDefault="003E788C" w:rsidP="009B34B7">
      <w:pPr>
        <w:pStyle w:val="ListBullet"/>
        <w:numPr>
          <w:ilvl w:val="1"/>
          <w:numId w:val="33"/>
        </w:numPr>
        <w:ind w:left="720"/>
        <w:rPr>
          <w:rFonts w:eastAsiaTheme="minorEastAsia"/>
        </w:rPr>
      </w:pPr>
      <w:r w:rsidRPr="00BF1C5A">
        <w:rPr>
          <w:rFonts w:eastAsiaTheme="minorEastAsia"/>
          <w:i/>
        </w:rPr>
        <w:t xml:space="preserve">Practices located in Puerto Rico. </w:t>
      </w:r>
      <w:bookmarkStart w:id="2" w:name="_Hlk88505465"/>
      <w:r w:rsidRPr="00BF1C5A">
        <w:rPr>
          <w:rFonts w:eastAsiaTheme="minorEastAsia"/>
        </w:rPr>
        <w:t xml:space="preserve">Because a large proportion of practices in Puerto Rico participated in </w:t>
      </w:r>
      <w:proofErr w:type="spellStart"/>
      <w:r w:rsidRPr="00BF1C5A">
        <w:rPr>
          <w:rFonts w:eastAsiaTheme="minorEastAsia"/>
        </w:rPr>
        <w:t>TCPi</w:t>
      </w:r>
      <w:proofErr w:type="spellEnd"/>
      <w:r w:rsidRPr="00BF1C5A">
        <w:rPr>
          <w:rFonts w:eastAsiaTheme="minorEastAsia"/>
        </w:rPr>
        <w:t>, very few good comparisons were available</w:t>
      </w:r>
      <w:bookmarkEnd w:id="2"/>
      <w:r w:rsidRPr="00BF1C5A">
        <w:rPr>
          <w:rFonts w:eastAsiaTheme="minorEastAsia"/>
        </w:rPr>
        <w:t xml:space="preserve">. </w:t>
      </w:r>
    </w:p>
    <w:p w14:paraId="02506E02" w14:textId="77777777" w:rsidR="00505697" w:rsidRPr="00505697" w:rsidRDefault="003E788C" w:rsidP="008668B7">
      <w:pPr>
        <w:pStyle w:val="ListBullet"/>
        <w:numPr>
          <w:ilvl w:val="1"/>
          <w:numId w:val="33"/>
        </w:numPr>
        <w:spacing w:line="240" w:lineRule="auto"/>
        <w:ind w:left="720"/>
        <w:rPr>
          <w:b/>
          <w:bCs/>
        </w:rPr>
      </w:pPr>
      <w:r w:rsidRPr="008668B7">
        <w:rPr>
          <w:rFonts w:eastAsiaTheme="minorEastAsia"/>
          <w:i/>
        </w:rPr>
        <w:t>Practices for which we could not determine practice composition or the location.</w:t>
      </w:r>
      <w:r w:rsidRPr="008668B7">
        <w:rPr>
          <w:rFonts w:eastAsiaTheme="minorEastAsia"/>
        </w:rPr>
        <w:t xml:space="preserve"> Because we matched practices </w:t>
      </w:r>
      <w:proofErr w:type="gramStart"/>
      <w:r w:rsidRPr="008B44A6">
        <w:rPr>
          <w:rFonts w:eastAsiaTheme="minorEastAsia"/>
        </w:rPr>
        <w:t>locally</w:t>
      </w:r>
      <w:proofErr w:type="gramEnd"/>
      <w:r w:rsidRPr="008B44A6">
        <w:rPr>
          <w:rFonts w:eastAsiaTheme="minorEastAsia"/>
        </w:rPr>
        <w:t xml:space="preserve"> when possible, lack of a location prevented us </w:t>
      </w:r>
      <w:r w:rsidRPr="008B44A6">
        <w:rPr>
          <w:rFonts w:eastAsiaTheme="minorEastAsia"/>
        </w:rPr>
        <w:lastRenderedPageBreak/>
        <w:t>from doing so. We removed practices not in MD-PPAS because we could not determine which clinicians work at each practice for the purpose of attribution, and we could not construct key practice characteristics used in matching.</w:t>
      </w:r>
    </w:p>
    <w:p w14:paraId="29AD87BC" w14:textId="6298EBA3" w:rsidR="00EE700E" w:rsidRPr="008B44A6" w:rsidRDefault="00EE700E" w:rsidP="00505697">
      <w:pPr>
        <w:pStyle w:val="ListBullet"/>
        <w:numPr>
          <w:ilvl w:val="0"/>
          <w:numId w:val="0"/>
        </w:numPr>
        <w:spacing w:line="240" w:lineRule="auto"/>
        <w:ind w:left="720"/>
        <w:rPr>
          <w:b/>
          <w:bCs/>
        </w:rPr>
      </w:pPr>
    </w:p>
    <w:p w14:paraId="7D810151" w14:textId="7FFD6AE6" w:rsidR="00927A05" w:rsidRDefault="00F8060E" w:rsidP="00927A05">
      <w:r>
        <w:rPr>
          <w:b/>
          <w:bCs/>
          <w:noProof/>
        </w:rPr>
        <mc:AlternateContent>
          <mc:Choice Requires="wpg">
            <w:drawing>
              <wp:anchor distT="0" distB="0" distL="114300" distR="114300" simplePos="0" relativeHeight="251659264" behindDoc="0" locked="0" layoutInCell="1" allowOverlap="1" wp14:anchorId="4CF26975" wp14:editId="7F099A4F">
                <wp:simplePos x="0" y="0"/>
                <wp:positionH relativeFrom="column">
                  <wp:posOffset>8626</wp:posOffset>
                </wp:positionH>
                <wp:positionV relativeFrom="paragraph">
                  <wp:posOffset>345057</wp:posOffset>
                </wp:positionV>
                <wp:extent cx="5476875" cy="3220085"/>
                <wp:effectExtent l="0" t="0" r="28575" b="18415"/>
                <wp:wrapNone/>
                <wp:docPr id="1" name="Group 1"/>
                <wp:cNvGraphicFramePr/>
                <a:graphic xmlns:a="http://schemas.openxmlformats.org/drawingml/2006/main">
                  <a:graphicData uri="http://schemas.microsoft.com/office/word/2010/wordprocessingGroup">
                    <wpg:wgp>
                      <wpg:cNvGrpSpPr/>
                      <wpg:grpSpPr>
                        <a:xfrm>
                          <a:off x="0" y="0"/>
                          <a:ext cx="5476875" cy="3220085"/>
                          <a:chOff x="71561" y="0"/>
                          <a:chExt cx="4715571" cy="3220278"/>
                        </a:xfrm>
                      </wpg:grpSpPr>
                      <wps:wsp>
                        <wps:cNvPr id="2" name="TextBox 26"/>
                        <wps:cNvSpPr txBox="1"/>
                        <wps:spPr>
                          <a:xfrm>
                            <a:off x="79513" y="0"/>
                            <a:ext cx="2881630" cy="222885"/>
                          </a:xfrm>
                          <a:prstGeom prst="rect">
                            <a:avLst/>
                          </a:prstGeom>
                          <a:solidFill>
                            <a:sysClr val="window" lastClr="FFFFFF">
                              <a:lumMod val="85000"/>
                            </a:sysClr>
                          </a:solidFill>
                          <a:ln>
                            <a:solidFill>
                              <a:sysClr val="windowText" lastClr="000000"/>
                            </a:solidFill>
                          </a:ln>
                        </wps:spPr>
                        <wps:txbx>
                          <w:txbxContent>
                            <w:p w14:paraId="2FF9B59C" w14:textId="77777777" w:rsidR="0045712F" w:rsidRDefault="0045712F" w:rsidP="00927A05">
                              <w:pPr>
                                <w:spacing w:after="0" w:line="240" w:lineRule="auto"/>
                                <w:rPr>
                                  <w:szCs w:val="24"/>
                                </w:rPr>
                              </w:pPr>
                              <w:r>
                                <w:rPr>
                                  <w:rFonts w:ascii="Arial" w:eastAsia="+mn-ea" w:hAnsi="Arial" w:cs="Arial"/>
                                  <w:b/>
                                  <w:bCs/>
                                  <w:color w:val="000000"/>
                                  <w:kern w:val="24"/>
                                  <w:sz w:val="18"/>
                                  <w:szCs w:val="18"/>
                                </w:rPr>
                                <w:t xml:space="preserve">18,022 practices (TINs or CCNs) enrolled in </w:t>
                              </w:r>
                              <w:proofErr w:type="spellStart"/>
                              <w:r>
                                <w:rPr>
                                  <w:rFonts w:ascii="Arial" w:eastAsia="+mn-ea" w:hAnsi="Arial" w:cs="Arial"/>
                                  <w:b/>
                                  <w:bCs/>
                                  <w:color w:val="000000"/>
                                  <w:kern w:val="24"/>
                                  <w:sz w:val="18"/>
                                  <w:szCs w:val="18"/>
                                </w:rPr>
                                <w:t>TCPi</w:t>
                              </w:r>
                              <w:proofErr w:type="spellEnd"/>
                            </w:p>
                          </w:txbxContent>
                        </wps:txbx>
                        <wps:bodyPr wrap="square" rtlCol="0">
                          <a:noAutofit/>
                        </wps:bodyPr>
                      </wps:wsp>
                      <wpg:grpSp>
                        <wpg:cNvPr id="3" name="Group 3"/>
                        <wpg:cNvGrpSpPr/>
                        <wpg:grpSpPr>
                          <a:xfrm>
                            <a:off x="71561" y="230588"/>
                            <a:ext cx="4715571" cy="2989690"/>
                            <a:chOff x="71561" y="0"/>
                            <a:chExt cx="4715571" cy="2989690"/>
                          </a:xfrm>
                        </wpg:grpSpPr>
                        <wps:wsp>
                          <wps:cNvPr id="4" name="Straight Connector 28"/>
                          <wps:cNvCnPr>
                            <a:cxnSpLocks/>
                          </wps:cNvCnPr>
                          <wps:spPr>
                            <a:xfrm>
                              <a:off x="213028" y="0"/>
                              <a:ext cx="1" cy="2595279"/>
                            </a:xfrm>
                            <a:prstGeom prst="line">
                              <a:avLst/>
                            </a:prstGeom>
                            <a:noFill/>
                            <a:ln w="6350" cap="flat" cmpd="sng" algn="ctr">
                              <a:solidFill>
                                <a:sysClr val="windowText" lastClr="000000"/>
                              </a:solidFill>
                              <a:prstDash val="solid"/>
                              <a:miter lim="800000"/>
                              <a:tailEnd type="triangle" w="sm" len="sm"/>
                            </a:ln>
                            <a:effectLst/>
                          </wps:spPr>
                          <wps:bodyPr/>
                        </wps:wsp>
                        <wps:wsp>
                          <wps:cNvPr id="7" name="TextBox 30"/>
                          <wps:cNvSpPr txBox="1"/>
                          <wps:spPr>
                            <a:xfrm>
                              <a:off x="365673" y="2010085"/>
                              <a:ext cx="4420442" cy="415749"/>
                            </a:xfrm>
                            <a:prstGeom prst="rect">
                              <a:avLst/>
                            </a:prstGeom>
                            <a:noFill/>
                            <a:ln>
                              <a:solidFill>
                                <a:sysClr val="windowText" lastClr="000000"/>
                              </a:solidFill>
                            </a:ln>
                          </wps:spPr>
                          <wps:txbx>
                            <w:txbxContent>
                              <w:p w14:paraId="65038B63" w14:textId="77777777" w:rsidR="0045712F" w:rsidRDefault="0045712F" w:rsidP="00927A05">
                                <w:pPr>
                                  <w:spacing w:after="0" w:line="240" w:lineRule="auto"/>
                                  <w:rPr>
                                    <w:szCs w:val="24"/>
                                  </w:rPr>
                                </w:pPr>
                                <w:r>
                                  <w:rPr>
                                    <w:rFonts w:ascii="Arial" w:eastAsia="+mn-ea" w:hAnsi="Arial" w:cs="Arial"/>
                                    <w:b/>
                                    <w:bCs/>
                                    <w:color w:val="000000"/>
                                    <w:kern w:val="24"/>
                                    <w:sz w:val="18"/>
                                    <w:szCs w:val="18"/>
                                  </w:rPr>
                                  <w:t>Excluded 2,249 practices for which there were no credible comparisons</w:t>
                                </w:r>
                              </w:p>
                              <w:p w14:paraId="5407347F" w14:textId="77777777" w:rsidR="0045712F" w:rsidRDefault="0045712F" w:rsidP="00927A05">
                                <w:pPr>
                                  <w:spacing w:after="0" w:line="240" w:lineRule="auto"/>
                                  <w:ind w:left="144"/>
                                </w:pPr>
                                <w:r>
                                  <w:rPr>
                                    <w:rFonts w:ascii="Arial" w:eastAsia="+mn-ea" w:hAnsi="Arial" w:cs="Arial"/>
                                    <w:color w:val="000000"/>
                                    <w:kern w:val="24"/>
                                    <w:sz w:val="18"/>
                                    <w:szCs w:val="18"/>
                                  </w:rPr>
                                  <w:t xml:space="preserve">Nearly all were in Puerto Rico, where a very large proportion of practices participated in </w:t>
                                </w:r>
                                <w:proofErr w:type="spellStart"/>
                                <w:r>
                                  <w:rPr>
                                    <w:rFonts w:ascii="Arial" w:eastAsia="+mn-ea" w:hAnsi="Arial" w:cs="Arial"/>
                                    <w:color w:val="000000"/>
                                    <w:kern w:val="24"/>
                                    <w:sz w:val="18"/>
                                    <w:szCs w:val="18"/>
                                  </w:rPr>
                                  <w:t>TCPi</w:t>
                                </w:r>
                                <w:proofErr w:type="spellEnd"/>
                              </w:p>
                            </w:txbxContent>
                          </wps:txbx>
                          <wps:bodyPr wrap="square" rtlCol="0">
                            <a:noAutofit/>
                          </wps:bodyPr>
                        </wps:wsp>
                        <wps:wsp>
                          <wps:cNvPr id="8" name="TextBox 33"/>
                          <wps:cNvSpPr txBox="1"/>
                          <wps:spPr>
                            <a:xfrm>
                              <a:off x="365669" y="1188962"/>
                              <a:ext cx="4420870" cy="685420"/>
                            </a:xfrm>
                            <a:prstGeom prst="rect">
                              <a:avLst/>
                            </a:prstGeom>
                            <a:noFill/>
                            <a:ln>
                              <a:solidFill>
                                <a:sysClr val="windowText" lastClr="000000"/>
                              </a:solidFill>
                            </a:ln>
                          </wps:spPr>
                          <wps:txbx>
                            <w:txbxContent>
                              <w:p w14:paraId="4B9FD24E" w14:textId="06AB6248" w:rsidR="0045712F" w:rsidRDefault="0045712F" w:rsidP="00927A05">
                                <w:pPr>
                                  <w:spacing w:after="0" w:line="240" w:lineRule="auto"/>
                                  <w:rPr>
                                    <w:szCs w:val="24"/>
                                  </w:rPr>
                                </w:pPr>
                                <w:r>
                                  <w:rPr>
                                    <w:rFonts w:ascii="Arial" w:eastAsia="+mn-ea" w:hAnsi="Arial" w:cs="Arial"/>
                                    <w:b/>
                                    <w:bCs/>
                                    <w:color w:val="000000"/>
                                    <w:kern w:val="24"/>
                                    <w:sz w:val="18"/>
                                    <w:szCs w:val="18"/>
                                  </w:rPr>
                                  <w:t>Excluded 971</w:t>
                                </w:r>
                                <w:r>
                                  <w:rPr>
                                    <w:rFonts w:ascii="Arial" w:eastAsia="+mn-ea" w:hAnsi="Arial" w:cs="Arial"/>
                                    <w:color w:val="000000"/>
                                    <w:kern w:val="24"/>
                                    <w:sz w:val="18"/>
                                    <w:szCs w:val="18"/>
                                  </w:rPr>
                                  <w:t xml:space="preserve"> </w:t>
                                </w:r>
                                <w:r>
                                  <w:rPr>
                                    <w:rFonts w:ascii="Arial" w:eastAsia="+mn-ea" w:hAnsi="Arial" w:cs="Arial"/>
                                    <w:b/>
                                    <w:bCs/>
                                    <w:color w:val="000000"/>
                                    <w:kern w:val="24"/>
                                    <w:sz w:val="18"/>
                                    <w:szCs w:val="18"/>
                                  </w:rPr>
                                  <w:t xml:space="preserve">practices for which </w:t>
                                </w:r>
                                <w:proofErr w:type="spellStart"/>
                                <w:r>
                                  <w:rPr>
                                    <w:rFonts w:ascii="Arial" w:eastAsia="+mn-ea" w:hAnsi="Arial" w:cs="Arial"/>
                                    <w:b/>
                                    <w:bCs/>
                                    <w:color w:val="000000"/>
                                    <w:kern w:val="24"/>
                                    <w:sz w:val="18"/>
                                    <w:szCs w:val="18"/>
                                  </w:rPr>
                                  <w:t>TCPi</w:t>
                                </w:r>
                                <w:proofErr w:type="spellEnd"/>
                                <w:r>
                                  <w:rPr>
                                    <w:rFonts w:ascii="Arial" w:eastAsia="+mn-ea" w:hAnsi="Arial" w:cs="Arial"/>
                                    <w:b/>
                                    <w:bCs/>
                                    <w:color w:val="000000"/>
                                    <w:kern w:val="24"/>
                                    <w:sz w:val="18"/>
                                    <w:szCs w:val="18"/>
                                  </w:rPr>
                                  <w:t xml:space="preserve"> could not meaningfully influence APM participation</w:t>
                                </w:r>
                              </w:p>
                              <w:p w14:paraId="268656EC" w14:textId="77777777" w:rsidR="0045712F" w:rsidRDefault="0045712F" w:rsidP="00927A05">
                                <w:pPr>
                                  <w:spacing w:after="0" w:line="240" w:lineRule="auto"/>
                                  <w:ind w:left="144"/>
                                </w:pPr>
                                <w:r>
                                  <w:rPr>
                                    <w:rFonts w:ascii="Arial" w:eastAsia="+mn-ea" w:hAnsi="Arial" w:cs="Arial"/>
                                    <w:color w:val="000000"/>
                                    <w:kern w:val="24"/>
                                    <w:sz w:val="18"/>
                                    <w:szCs w:val="18"/>
                                  </w:rPr>
                                  <w:t xml:space="preserve">607    with all E&amp;M visits provided by clinicians not enrolled in </w:t>
                                </w:r>
                                <w:proofErr w:type="spellStart"/>
                                <w:r>
                                  <w:rPr>
                                    <w:rFonts w:ascii="Arial" w:eastAsia="+mn-ea" w:hAnsi="Arial" w:cs="Arial"/>
                                    <w:color w:val="000000"/>
                                    <w:kern w:val="24"/>
                                    <w:sz w:val="18"/>
                                    <w:szCs w:val="18"/>
                                  </w:rPr>
                                  <w:t>TCPi</w:t>
                                </w:r>
                                <w:proofErr w:type="spellEnd"/>
                              </w:p>
                              <w:p w14:paraId="0AC16E9C" w14:textId="056A6B05" w:rsidR="0045712F" w:rsidRDefault="0045712F" w:rsidP="00927A05">
                                <w:pPr>
                                  <w:spacing w:after="0" w:line="240" w:lineRule="auto"/>
                                  <w:ind w:left="144"/>
                                  <w:rPr>
                                    <w:rFonts w:ascii="Arial" w:eastAsia="+mn-ea" w:hAnsi="Arial" w:cs="Arial"/>
                                    <w:color w:val="000000"/>
                                    <w:kern w:val="24"/>
                                    <w:sz w:val="18"/>
                                    <w:szCs w:val="18"/>
                                  </w:rPr>
                                </w:pPr>
                                <w:r>
                                  <w:rPr>
                                    <w:rFonts w:ascii="Arial" w:eastAsia="+mn-ea" w:hAnsi="Arial" w:cs="Arial"/>
                                    <w:color w:val="000000"/>
                                    <w:kern w:val="24"/>
                                    <w:sz w:val="18"/>
                                    <w:szCs w:val="18"/>
                                  </w:rPr>
                                  <w:t xml:space="preserve">321    that disenrolled from </w:t>
                                </w:r>
                                <w:proofErr w:type="spellStart"/>
                                <w:r>
                                  <w:rPr>
                                    <w:rFonts w:ascii="Arial" w:eastAsia="+mn-ea" w:hAnsi="Arial" w:cs="Arial"/>
                                    <w:color w:val="000000"/>
                                    <w:kern w:val="24"/>
                                    <w:sz w:val="18"/>
                                    <w:szCs w:val="18"/>
                                  </w:rPr>
                                  <w:t>TCPi</w:t>
                                </w:r>
                                <w:proofErr w:type="spellEnd"/>
                                <w:r>
                                  <w:rPr>
                                    <w:rFonts w:ascii="Arial" w:eastAsia="+mn-ea" w:hAnsi="Arial" w:cs="Arial"/>
                                    <w:color w:val="000000"/>
                                    <w:kern w:val="24"/>
                                    <w:sz w:val="18"/>
                                    <w:szCs w:val="18"/>
                                  </w:rPr>
                                  <w:t xml:space="preserve"> quickly (within 45 days)</w:t>
                                </w:r>
                              </w:p>
                              <w:p w14:paraId="1776D7F1" w14:textId="2B4FA931" w:rsidR="0045712F" w:rsidRDefault="0045712F" w:rsidP="009B34B7">
                                <w:pPr>
                                  <w:spacing w:after="0" w:line="240" w:lineRule="auto"/>
                                  <w:ind w:left="144"/>
                                </w:pPr>
                                <w:r>
                                  <w:rPr>
                                    <w:rFonts w:ascii="Arial" w:eastAsia="+mn-ea" w:hAnsi="Arial" w:cs="Arial"/>
                                    <w:color w:val="000000"/>
                                    <w:kern w:val="24"/>
                                    <w:sz w:val="18"/>
                                    <w:szCs w:val="18"/>
                                  </w:rPr>
                                  <w:t xml:space="preserve">43      that started participating in a Medicare APM within 45 days of </w:t>
                                </w:r>
                                <w:proofErr w:type="spellStart"/>
                                <w:r>
                                  <w:rPr>
                                    <w:rFonts w:ascii="Arial" w:eastAsia="+mn-ea" w:hAnsi="Arial" w:cs="Arial"/>
                                    <w:color w:val="000000"/>
                                    <w:kern w:val="24"/>
                                    <w:sz w:val="18"/>
                                    <w:szCs w:val="18"/>
                                  </w:rPr>
                                  <w:t>TCPi</w:t>
                                </w:r>
                                <w:proofErr w:type="spellEnd"/>
                                <w:r>
                                  <w:rPr>
                                    <w:rFonts w:ascii="Arial" w:eastAsia="+mn-ea" w:hAnsi="Arial" w:cs="Arial"/>
                                    <w:color w:val="000000"/>
                                    <w:kern w:val="24"/>
                                    <w:sz w:val="18"/>
                                    <w:szCs w:val="18"/>
                                  </w:rPr>
                                  <w:t xml:space="preserve"> enrollment</w:t>
                                </w:r>
                              </w:p>
                              <w:p w14:paraId="5E986566" w14:textId="77777777" w:rsidR="0045712F" w:rsidRDefault="0045712F" w:rsidP="00927A05">
                                <w:pPr>
                                  <w:spacing w:after="0" w:line="240" w:lineRule="auto"/>
                                  <w:ind w:left="144"/>
                                </w:pPr>
                              </w:p>
                            </w:txbxContent>
                          </wps:txbx>
                          <wps:bodyPr wrap="square" rtlCol="0">
                            <a:noAutofit/>
                          </wps:bodyPr>
                        </wps:wsp>
                        <wps:wsp>
                          <wps:cNvPr id="9" name="TextBox 34"/>
                          <wps:cNvSpPr txBox="1"/>
                          <wps:spPr>
                            <a:xfrm>
                              <a:off x="365627" y="119011"/>
                              <a:ext cx="4421505" cy="927187"/>
                            </a:xfrm>
                            <a:prstGeom prst="rect">
                              <a:avLst/>
                            </a:prstGeom>
                            <a:noFill/>
                            <a:ln>
                              <a:solidFill>
                                <a:sysClr val="windowText" lastClr="000000"/>
                              </a:solidFill>
                            </a:ln>
                          </wps:spPr>
                          <wps:txbx>
                            <w:txbxContent>
                              <w:p w14:paraId="239FEC76" w14:textId="054DD534" w:rsidR="0045712F" w:rsidRDefault="0045712F" w:rsidP="00927A05">
                                <w:pPr>
                                  <w:spacing w:after="0" w:line="240" w:lineRule="auto"/>
                                  <w:rPr>
                                    <w:szCs w:val="24"/>
                                  </w:rPr>
                                </w:pPr>
                                <w:r>
                                  <w:rPr>
                                    <w:rFonts w:ascii="Arial" w:eastAsia="+mn-ea" w:hAnsi="Arial" w:cs="Arial"/>
                                    <w:b/>
                                    <w:bCs/>
                                    <w:color w:val="000000"/>
                                    <w:kern w:val="24"/>
                                    <w:sz w:val="18"/>
                                    <w:szCs w:val="18"/>
                                  </w:rPr>
                                  <w:t>Excluded 7,844 practices for which new enrollment into Medicare APMs is not relevant</w:t>
                                </w:r>
                              </w:p>
                              <w:p w14:paraId="493F3C9D" w14:textId="462B1B88" w:rsidR="0045712F" w:rsidRDefault="0045712F" w:rsidP="00927A05">
                                <w:pPr>
                                  <w:spacing w:after="0" w:line="240" w:lineRule="auto"/>
                                  <w:ind w:left="144"/>
                                </w:pPr>
                                <w:r>
                                  <w:rPr>
                                    <w:rFonts w:ascii="Arial" w:eastAsia="+mn-ea" w:hAnsi="Arial" w:cs="Arial"/>
                                    <w:color w:val="000000"/>
                                    <w:kern w:val="24"/>
                                    <w:sz w:val="18"/>
                                    <w:szCs w:val="18"/>
                                  </w:rPr>
                                  <w:t xml:space="preserve">6,187 without attributed Medicare beneficiaries or that were not found  </w:t>
                                </w:r>
                              </w:p>
                              <w:p w14:paraId="1A053365" w14:textId="71C143E9" w:rsidR="0045712F" w:rsidRDefault="0045712F" w:rsidP="00927A05">
                                <w:pPr>
                                  <w:spacing w:after="0" w:line="240" w:lineRule="auto"/>
                                  <w:ind w:left="144"/>
                                  <w:rPr>
                                    <w:rFonts w:ascii="Arial" w:eastAsia="+mn-ea" w:hAnsi="Arial" w:cs="Arial"/>
                                    <w:color w:val="000000"/>
                                    <w:kern w:val="24"/>
                                    <w:sz w:val="18"/>
                                    <w:szCs w:val="18"/>
                                  </w:rPr>
                                </w:pPr>
                                <w:r>
                                  <w:rPr>
                                    <w:rFonts w:ascii="Arial" w:eastAsia="+mn-ea" w:hAnsi="Arial" w:cs="Arial"/>
                                    <w:color w:val="000000"/>
                                    <w:kern w:val="24"/>
                                    <w:sz w:val="18"/>
                                    <w:szCs w:val="18"/>
                                  </w:rPr>
                                  <w:t xml:space="preserve">          in Medicare practice data (MD-PPAS)</w:t>
                                </w:r>
                              </w:p>
                              <w:p w14:paraId="1E574718" w14:textId="26274CB0" w:rsidR="0045712F" w:rsidRDefault="0045712F" w:rsidP="00927A05">
                                <w:pPr>
                                  <w:spacing w:after="0" w:line="240" w:lineRule="auto"/>
                                  <w:ind w:left="144"/>
                                </w:pPr>
                                <w:r>
                                  <w:rPr>
                                    <w:rFonts w:ascii="Arial" w:eastAsia="+mn-ea" w:hAnsi="Arial" w:cs="Arial"/>
                                    <w:color w:val="000000"/>
                                    <w:kern w:val="24"/>
                                    <w:sz w:val="18"/>
                                    <w:szCs w:val="18"/>
                                  </w:rPr>
                                  <w:t xml:space="preserve">1,046 already participating in a Medicare APM before </w:t>
                                </w:r>
                                <w:proofErr w:type="spellStart"/>
                                <w:r>
                                  <w:rPr>
                                    <w:rFonts w:ascii="Arial" w:eastAsia="+mn-ea" w:hAnsi="Arial" w:cs="Arial"/>
                                    <w:color w:val="000000"/>
                                    <w:kern w:val="24"/>
                                    <w:sz w:val="18"/>
                                    <w:szCs w:val="18"/>
                                  </w:rPr>
                                  <w:t>TCPi</w:t>
                                </w:r>
                                <w:proofErr w:type="spellEnd"/>
                                <w:r>
                                  <w:rPr>
                                    <w:rFonts w:ascii="Arial" w:eastAsia="+mn-ea" w:hAnsi="Arial" w:cs="Arial"/>
                                    <w:color w:val="000000"/>
                                    <w:kern w:val="24"/>
                                    <w:sz w:val="18"/>
                                    <w:szCs w:val="18"/>
                                  </w:rPr>
                                  <w:t xml:space="preserve"> enrollment</w:t>
                                </w:r>
                              </w:p>
                              <w:p w14:paraId="549173CB" w14:textId="77777777" w:rsidR="0045712F" w:rsidRDefault="0045712F" w:rsidP="00927A05">
                                <w:pPr>
                                  <w:spacing w:after="0" w:line="240" w:lineRule="auto"/>
                                  <w:ind w:left="144"/>
                                </w:pPr>
                                <w:r>
                                  <w:rPr>
                                    <w:rFonts w:ascii="Arial" w:eastAsia="+mn-ea" w:hAnsi="Arial" w:cs="Arial"/>
                                    <w:color w:val="000000"/>
                                    <w:kern w:val="24"/>
                                    <w:sz w:val="18"/>
                                    <w:szCs w:val="18"/>
                                  </w:rPr>
                                  <w:t xml:space="preserve">494    FQHCs, RHCs, and </w:t>
                                </w:r>
                                <w:proofErr w:type="gramStart"/>
                                <w:r>
                                  <w:rPr>
                                    <w:rFonts w:ascii="Arial" w:eastAsia="+mn-ea" w:hAnsi="Arial" w:cs="Arial"/>
                                    <w:color w:val="000000"/>
                                    <w:kern w:val="24"/>
                                    <w:sz w:val="18"/>
                                    <w:szCs w:val="18"/>
                                  </w:rPr>
                                  <w:t>other</w:t>
                                </w:r>
                                <w:proofErr w:type="gramEnd"/>
                                <w:r>
                                  <w:rPr>
                                    <w:rFonts w:ascii="Arial" w:eastAsia="+mn-ea" w:hAnsi="Arial" w:cs="Arial"/>
                                    <w:color w:val="000000"/>
                                    <w:kern w:val="24"/>
                                    <w:sz w:val="18"/>
                                    <w:szCs w:val="18"/>
                                  </w:rPr>
                                  <w:t xml:space="preserve"> facilities ineligible for Medicare APMs</w:t>
                                </w:r>
                              </w:p>
                              <w:p w14:paraId="5B06A0CE" w14:textId="6A150C57" w:rsidR="0045712F" w:rsidRDefault="0045712F" w:rsidP="00927A05">
                                <w:pPr>
                                  <w:spacing w:after="0" w:line="240" w:lineRule="auto"/>
                                  <w:ind w:left="144"/>
                                </w:pPr>
                                <w:r>
                                  <w:rPr>
                                    <w:rFonts w:ascii="Arial" w:eastAsia="+mn-ea" w:hAnsi="Arial" w:cs="Arial"/>
                                    <w:color w:val="000000"/>
                                    <w:kern w:val="24"/>
                                    <w:sz w:val="18"/>
                                    <w:szCs w:val="18"/>
                                  </w:rPr>
                                  <w:t>117    that served primarily children</w:t>
                                </w:r>
                              </w:p>
                            </w:txbxContent>
                          </wps:txbx>
                          <wps:bodyPr wrap="square" rtlCol="0">
                            <a:noAutofit/>
                          </wps:bodyPr>
                        </wps:wsp>
                        <wps:wsp>
                          <wps:cNvPr id="10" name="Connector: Elbow 35"/>
                          <wps:cNvCnPr>
                            <a:cxnSpLocks/>
                          </wps:cNvCnPr>
                          <wps:spPr>
                            <a:xfrm rot="16200000" flipH="1">
                              <a:off x="112216" y="1955427"/>
                              <a:ext cx="359678" cy="152432"/>
                            </a:xfrm>
                            <a:prstGeom prst="bentConnector2">
                              <a:avLst/>
                            </a:prstGeom>
                            <a:noFill/>
                            <a:ln w="6350" cap="flat" cmpd="sng" algn="ctr">
                              <a:solidFill>
                                <a:sysClr val="windowText" lastClr="000000"/>
                              </a:solidFill>
                              <a:prstDash val="solid"/>
                              <a:miter lim="800000"/>
                              <a:tailEnd type="triangle" w="sm" len="sm"/>
                            </a:ln>
                            <a:effectLst/>
                          </wps:spPr>
                          <wps:bodyPr/>
                        </wps:wsp>
                        <wps:wsp>
                          <wps:cNvPr id="11" name="Connector: Elbow 36"/>
                          <wps:cNvCnPr>
                            <a:cxnSpLocks/>
                          </wps:cNvCnPr>
                          <wps:spPr>
                            <a:xfrm rot="16200000" flipH="1">
                              <a:off x="-355283" y="707045"/>
                              <a:ext cx="1291380" cy="152434"/>
                            </a:xfrm>
                            <a:prstGeom prst="bentConnector2">
                              <a:avLst/>
                            </a:prstGeom>
                            <a:noFill/>
                            <a:ln w="6350" cap="flat" cmpd="sng" algn="ctr">
                              <a:solidFill>
                                <a:sysClr val="windowText" lastClr="000000"/>
                              </a:solidFill>
                              <a:prstDash val="solid"/>
                              <a:miter lim="800000"/>
                              <a:tailEnd type="triangle" w="sm" len="sm"/>
                            </a:ln>
                            <a:effectLst/>
                          </wps:spPr>
                          <wps:bodyPr/>
                        </wps:wsp>
                        <wps:wsp>
                          <wps:cNvPr id="12" name="TextBox 37"/>
                          <wps:cNvSpPr txBox="1"/>
                          <wps:spPr>
                            <a:xfrm>
                              <a:off x="79502" y="2591823"/>
                              <a:ext cx="2876550" cy="222885"/>
                            </a:xfrm>
                            <a:prstGeom prst="rect">
                              <a:avLst/>
                            </a:prstGeom>
                            <a:solidFill>
                              <a:sysClr val="window" lastClr="FFFFFF">
                                <a:lumMod val="85000"/>
                              </a:sysClr>
                            </a:solidFill>
                            <a:ln>
                              <a:solidFill>
                                <a:sysClr val="windowText" lastClr="000000"/>
                              </a:solidFill>
                            </a:ln>
                          </wps:spPr>
                          <wps:txbx>
                            <w:txbxContent>
                              <w:p w14:paraId="404542C0" w14:textId="77777777" w:rsidR="0045712F" w:rsidRDefault="0045712F" w:rsidP="00927A05">
                                <w:pPr>
                                  <w:spacing w:after="0" w:line="240" w:lineRule="auto"/>
                                  <w:rPr>
                                    <w:szCs w:val="24"/>
                                  </w:rPr>
                                </w:pPr>
                                <w:r>
                                  <w:rPr>
                                    <w:rFonts w:ascii="Arial" w:eastAsia="+mn-ea" w:hAnsi="Arial" w:cs="Arial"/>
                                    <w:b/>
                                    <w:bCs/>
                                    <w:color w:val="000000"/>
                                    <w:kern w:val="24"/>
                                    <w:sz w:val="18"/>
                                    <w:szCs w:val="18"/>
                                  </w:rPr>
                                  <w:t xml:space="preserve">6,958 </w:t>
                                </w:r>
                                <w:proofErr w:type="spellStart"/>
                                <w:r>
                                  <w:rPr>
                                    <w:rFonts w:ascii="Arial" w:eastAsia="+mn-ea" w:hAnsi="Arial" w:cs="Arial"/>
                                    <w:b/>
                                    <w:bCs/>
                                    <w:color w:val="000000"/>
                                    <w:kern w:val="24"/>
                                    <w:sz w:val="18"/>
                                    <w:szCs w:val="18"/>
                                  </w:rPr>
                                  <w:t>TCPi</w:t>
                                </w:r>
                                <w:proofErr w:type="spellEnd"/>
                                <w:r>
                                  <w:rPr>
                                    <w:rFonts w:ascii="Arial" w:eastAsia="+mn-ea" w:hAnsi="Arial" w:cs="Arial"/>
                                    <w:b/>
                                    <w:bCs/>
                                    <w:color w:val="000000"/>
                                    <w:kern w:val="24"/>
                                    <w:sz w:val="18"/>
                                    <w:szCs w:val="18"/>
                                  </w:rPr>
                                  <w:t xml:space="preserve"> practices remained in analytic sample</w:t>
                                </w:r>
                              </w:p>
                            </w:txbxContent>
                          </wps:txbx>
                          <wps:bodyPr wrap="square" rtlCol="0">
                            <a:noAutofit/>
                          </wps:bodyPr>
                        </wps:wsp>
                        <wps:wsp>
                          <wps:cNvPr id="13" name="Straight Connector 39"/>
                          <wps:cNvCnPr/>
                          <wps:spPr>
                            <a:xfrm>
                              <a:off x="71561" y="2989690"/>
                              <a:ext cx="838200" cy="0"/>
                            </a:xfrm>
                            <a:prstGeom prst="line">
                              <a:avLst/>
                            </a:prstGeom>
                            <a:noFill/>
                            <a:ln w="6350" cap="flat" cmpd="sng" algn="ctr">
                              <a:solidFill>
                                <a:sysClr val="windowText" lastClr="000000"/>
                              </a:solidFill>
                              <a:prstDash val="solid"/>
                              <a:miter lim="800000"/>
                            </a:ln>
                            <a:effectLst/>
                          </wps:spPr>
                          <wps:bodyPr/>
                        </wps:wsp>
                        <wps:wsp>
                          <wps:cNvPr id="14" name="Connector: Elbow 40"/>
                          <wps:cNvCnPr>
                            <a:cxnSpLocks/>
                          </wps:cNvCnPr>
                          <wps:spPr>
                            <a:xfrm rot="16200000" flipH="1">
                              <a:off x="43732" y="186856"/>
                              <a:ext cx="495521" cy="152445"/>
                            </a:xfrm>
                            <a:prstGeom prst="bentConnector2">
                              <a:avLst/>
                            </a:prstGeom>
                            <a:noFill/>
                            <a:ln w="6350" cap="flat" cmpd="sng" algn="ctr">
                              <a:solidFill>
                                <a:sysClr val="windowText" lastClr="000000"/>
                              </a:solidFill>
                              <a:prstDash val="solid"/>
                              <a:miter lim="800000"/>
                              <a:tailEnd type="triangle" w="sm" len="sm"/>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CF26975" id="Group 1" o:spid="_x0000_s1026" style="position:absolute;margin-left:.7pt;margin-top:27.15pt;width:431.25pt;height:253.55pt;z-index:251659264;mso-width-relative:margin;mso-height-relative:margin" coordorigin="715" coordsize="47155,3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">
                <v:shapetype id="_x0000_t202" coordsize="21600,21600" o:spt="202" path="m,l,21600r21600,l21600,xe">
                  <v:stroke joinstyle="miter"/>
                  <v:path gradientshapeok="t" o:connecttype="rect"/>
                </v:shapetype>
                <v:shape id="TextBox 26" o:spid="_x0000_s1027" type="#_x0000_t202" style="position:absolute;left:795;width:2881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" fillcolor="#d9d9d9" strokecolor="windowText">
                  <v:textbox>
                    <w:txbxContent>
                      <w:p w14:paraId="2FF9B59C" w14:textId="77777777" w:rsidR="0045712F" w:rsidRDefault="0045712F" w:rsidP="00927A05">
                        <w:pPr>
                          <w:spacing w:after="0" w:line="240" w:lineRule="auto"/>
                          <w:rPr>
                            <w:szCs w:val="24"/>
                          </w:rPr>
                        </w:pPr>
                        <w:r>
                          <w:rPr>
                            <w:rFonts w:ascii="Arial" w:eastAsia="+mn-ea" w:hAnsi="Arial" w:cs="Arial"/>
                            <w:b/>
                            <w:bCs/>
                            <w:color w:val="000000"/>
                            <w:kern w:val="24"/>
                            <w:sz w:val="18"/>
                            <w:szCs w:val="18"/>
                          </w:rPr>
                          <w:t xml:space="preserve">18,022 practices (TINs or CCNs) enrolled in </w:t>
                        </w:r>
                        <w:proofErr w:type="spellStart"/>
                        <w:r>
                          <w:rPr>
                            <w:rFonts w:ascii="Arial" w:eastAsia="+mn-ea" w:hAnsi="Arial" w:cs="Arial"/>
                            <w:b/>
                            <w:bCs/>
                            <w:color w:val="000000"/>
                            <w:kern w:val="24"/>
                            <w:sz w:val="18"/>
                            <w:szCs w:val="18"/>
                          </w:rPr>
                          <w:t>TCPi</w:t>
                        </w:r>
                        <w:proofErr w:type="spellEnd"/>
                      </w:p>
                    </w:txbxContent>
                  </v:textbox>
                </v:shape>
                <v:group id="Group 3" o:spid="_x0000_s1028" style="position:absolute;left:715;top:2305;width:47156;height:29897" coordorigin="715" coordsize="47155,2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28" o:spid="_x0000_s1029" style="position:absolute;visibility:visible;mso-wrap-style:square" from="2130,0" to="2130,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" strokecolor="windowText" strokeweight=".5pt">
                    <v:stroke endarrow="block" endarrowwidth="narrow" endarrowlength="short" joinstyle="miter"/>
                    <o:lock v:ext="edit" shapetype="f"/>
                  </v:line>
                  <v:shape id="TextBox 30" o:spid="_x0000_s1030" type="#_x0000_t202" style="position:absolute;left:3656;top:20100;width:44205;height:4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" filled="f" strokecolor="windowText">
                    <v:textbox>
                      <w:txbxContent>
                        <w:p w14:paraId="65038B63" w14:textId="77777777" w:rsidR="0045712F" w:rsidRDefault="0045712F" w:rsidP="00927A05">
                          <w:pPr>
                            <w:spacing w:after="0" w:line="240" w:lineRule="auto"/>
                            <w:rPr>
                              <w:szCs w:val="24"/>
                            </w:rPr>
                          </w:pPr>
                          <w:r>
                            <w:rPr>
                              <w:rFonts w:ascii="Arial" w:eastAsia="+mn-ea" w:hAnsi="Arial" w:cs="Arial"/>
                              <w:b/>
                              <w:bCs/>
                              <w:color w:val="000000"/>
                              <w:kern w:val="24"/>
                              <w:sz w:val="18"/>
                              <w:szCs w:val="18"/>
                            </w:rPr>
                            <w:t>Excluded 2,249 practices for which there were no credible comparisons</w:t>
                          </w:r>
                        </w:p>
                        <w:p w14:paraId="5407347F" w14:textId="77777777" w:rsidR="0045712F" w:rsidRDefault="0045712F" w:rsidP="00927A05">
                          <w:pPr>
                            <w:spacing w:after="0" w:line="240" w:lineRule="auto"/>
                            <w:ind w:left="144"/>
                          </w:pPr>
                          <w:r>
                            <w:rPr>
                              <w:rFonts w:ascii="Arial" w:eastAsia="+mn-ea" w:hAnsi="Arial" w:cs="Arial"/>
                              <w:color w:val="000000"/>
                              <w:kern w:val="24"/>
                              <w:sz w:val="18"/>
                              <w:szCs w:val="18"/>
                            </w:rPr>
                            <w:t xml:space="preserve">Nearly all were in Puerto Rico, where a very large proportion of practices participated in </w:t>
                          </w:r>
                          <w:proofErr w:type="spellStart"/>
                          <w:r>
                            <w:rPr>
                              <w:rFonts w:ascii="Arial" w:eastAsia="+mn-ea" w:hAnsi="Arial" w:cs="Arial"/>
                              <w:color w:val="000000"/>
                              <w:kern w:val="24"/>
                              <w:sz w:val="18"/>
                              <w:szCs w:val="18"/>
                            </w:rPr>
                            <w:t>TCPi</w:t>
                          </w:r>
                          <w:proofErr w:type="spellEnd"/>
                        </w:p>
                      </w:txbxContent>
                    </v:textbox>
                  </v:shape>
                  <v:shape id="TextBox 33" o:spid="_x0000_s1031" type="#_x0000_t202" style="position:absolute;left:3656;top:11889;width:44209;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" filled="f" strokecolor="windowText">
                    <v:textbox>
                      <w:txbxContent>
                        <w:p w14:paraId="4B9FD24E" w14:textId="06AB6248" w:rsidR="0045712F" w:rsidRDefault="0045712F" w:rsidP="00927A05">
                          <w:pPr>
                            <w:spacing w:after="0" w:line="240" w:lineRule="auto"/>
                            <w:rPr>
                              <w:szCs w:val="24"/>
                            </w:rPr>
                          </w:pPr>
                          <w:r>
                            <w:rPr>
                              <w:rFonts w:ascii="Arial" w:eastAsia="+mn-ea" w:hAnsi="Arial" w:cs="Arial"/>
                              <w:b/>
                              <w:bCs/>
                              <w:color w:val="000000"/>
                              <w:kern w:val="24"/>
                              <w:sz w:val="18"/>
                              <w:szCs w:val="18"/>
                            </w:rPr>
                            <w:t>Excluded 971</w:t>
                          </w:r>
                          <w:r>
                            <w:rPr>
                              <w:rFonts w:ascii="Arial" w:eastAsia="+mn-ea" w:hAnsi="Arial" w:cs="Arial"/>
                              <w:color w:val="000000"/>
                              <w:kern w:val="24"/>
                              <w:sz w:val="18"/>
                              <w:szCs w:val="18"/>
                            </w:rPr>
                            <w:t xml:space="preserve"> </w:t>
                          </w:r>
                          <w:r>
                            <w:rPr>
                              <w:rFonts w:ascii="Arial" w:eastAsia="+mn-ea" w:hAnsi="Arial" w:cs="Arial"/>
                              <w:b/>
                              <w:bCs/>
                              <w:color w:val="000000"/>
                              <w:kern w:val="24"/>
                              <w:sz w:val="18"/>
                              <w:szCs w:val="18"/>
                            </w:rPr>
                            <w:t xml:space="preserve">practices for which </w:t>
                          </w:r>
                          <w:proofErr w:type="spellStart"/>
                          <w:r>
                            <w:rPr>
                              <w:rFonts w:ascii="Arial" w:eastAsia="+mn-ea" w:hAnsi="Arial" w:cs="Arial"/>
                              <w:b/>
                              <w:bCs/>
                              <w:color w:val="000000"/>
                              <w:kern w:val="24"/>
                              <w:sz w:val="18"/>
                              <w:szCs w:val="18"/>
                            </w:rPr>
                            <w:t>TCPi</w:t>
                          </w:r>
                          <w:proofErr w:type="spellEnd"/>
                          <w:r>
                            <w:rPr>
                              <w:rFonts w:ascii="Arial" w:eastAsia="+mn-ea" w:hAnsi="Arial" w:cs="Arial"/>
                              <w:b/>
                              <w:bCs/>
                              <w:color w:val="000000"/>
                              <w:kern w:val="24"/>
                              <w:sz w:val="18"/>
                              <w:szCs w:val="18"/>
                            </w:rPr>
                            <w:t xml:space="preserve"> could not meaningfully influence APM participation</w:t>
                          </w:r>
                        </w:p>
                        <w:p w14:paraId="268656EC" w14:textId="77777777" w:rsidR="0045712F" w:rsidRDefault="0045712F" w:rsidP="00927A05">
                          <w:pPr>
                            <w:spacing w:after="0" w:line="240" w:lineRule="auto"/>
                            <w:ind w:left="144"/>
                          </w:pPr>
                          <w:r>
                            <w:rPr>
                              <w:rFonts w:ascii="Arial" w:eastAsia="+mn-ea" w:hAnsi="Arial" w:cs="Arial"/>
                              <w:color w:val="000000"/>
                              <w:kern w:val="24"/>
                              <w:sz w:val="18"/>
                              <w:szCs w:val="18"/>
                            </w:rPr>
                            <w:t xml:space="preserve">607    with all E&amp;M visits provided by clinicians not enrolled in </w:t>
                          </w:r>
                          <w:proofErr w:type="spellStart"/>
                          <w:r>
                            <w:rPr>
                              <w:rFonts w:ascii="Arial" w:eastAsia="+mn-ea" w:hAnsi="Arial" w:cs="Arial"/>
                              <w:color w:val="000000"/>
                              <w:kern w:val="24"/>
                              <w:sz w:val="18"/>
                              <w:szCs w:val="18"/>
                            </w:rPr>
                            <w:t>TCPi</w:t>
                          </w:r>
                          <w:proofErr w:type="spellEnd"/>
                        </w:p>
                        <w:p w14:paraId="0AC16E9C" w14:textId="056A6B05" w:rsidR="0045712F" w:rsidRDefault="0045712F" w:rsidP="00927A05">
                          <w:pPr>
                            <w:spacing w:after="0" w:line="240" w:lineRule="auto"/>
                            <w:ind w:left="144"/>
                            <w:rPr>
                              <w:rFonts w:ascii="Arial" w:eastAsia="+mn-ea" w:hAnsi="Arial" w:cs="Arial"/>
                              <w:color w:val="000000"/>
                              <w:kern w:val="24"/>
                              <w:sz w:val="18"/>
                              <w:szCs w:val="18"/>
                            </w:rPr>
                          </w:pPr>
                          <w:r>
                            <w:rPr>
                              <w:rFonts w:ascii="Arial" w:eastAsia="+mn-ea" w:hAnsi="Arial" w:cs="Arial"/>
                              <w:color w:val="000000"/>
                              <w:kern w:val="24"/>
                              <w:sz w:val="18"/>
                              <w:szCs w:val="18"/>
                            </w:rPr>
                            <w:t xml:space="preserve">321    that disenrolled from </w:t>
                          </w:r>
                          <w:proofErr w:type="spellStart"/>
                          <w:r>
                            <w:rPr>
                              <w:rFonts w:ascii="Arial" w:eastAsia="+mn-ea" w:hAnsi="Arial" w:cs="Arial"/>
                              <w:color w:val="000000"/>
                              <w:kern w:val="24"/>
                              <w:sz w:val="18"/>
                              <w:szCs w:val="18"/>
                            </w:rPr>
                            <w:t>TCPi</w:t>
                          </w:r>
                          <w:proofErr w:type="spellEnd"/>
                          <w:r>
                            <w:rPr>
                              <w:rFonts w:ascii="Arial" w:eastAsia="+mn-ea" w:hAnsi="Arial" w:cs="Arial"/>
                              <w:color w:val="000000"/>
                              <w:kern w:val="24"/>
                              <w:sz w:val="18"/>
                              <w:szCs w:val="18"/>
                            </w:rPr>
                            <w:t xml:space="preserve"> quickly (within 45 days)</w:t>
                          </w:r>
                        </w:p>
                        <w:p w14:paraId="1776D7F1" w14:textId="2B4FA931" w:rsidR="0045712F" w:rsidRDefault="0045712F" w:rsidP="009B34B7">
                          <w:pPr>
                            <w:spacing w:after="0" w:line="240" w:lineRule="auto"/>
                            <w:ind w:left="144"/>
                          </w:pPr>
                          <w:r>
                            <w:rPr>
                              <w:rFonts w:ascii="Arial" w:eastAsia="+mn-ea" w:hAnsi="Arial" w:cs="Arial"/>
                              <w:color w:val="000000"/>
                              <w:kern w:val="24"/>
                              <w:sz w:val="18"/>
                              <w:szCs w:val="18"/>
                            </w:rPr>
                            <w:t xml:space="preserve">43      that started participating in a Medicare APM within 45 days of </w:t>
                          </w:r>
                          <w:proofErr w:type="spellStart"/>
                          <w:r>
                            <w:rPr>
                              <w:rFonts w:ascii="Arial" w:eastAsia="+mn-ea" w:hAnsi="Arial" w:cs="Arial"/>
                              <w:color w:val="000000"/>
                              <w:kern w:val="24"/>
                              <w:sz w:val="18"/>
                              <w:szCs w:val="18"/>
                            </w:rPr>
                            <w:t>TCPi</w:t>
                          </w:r>
                          <w:proofErr w:type="spellEnd"/>
                          <w:r>
                            <w:rPr>
                              <w:rFonts w:ascii="Arial" w:eastAsia="+mn-ea" w:hAnsi="Arial" w:cs="Arial"/>
                              <w:color w:val="000000"/>
                              <w:kern w:val="24"/>
                              <w:sz w:val="18"/>
                              <w:szCs w:val="18"/>
                            </w:rPr>
                            <w:t xml:space="preserve"> enrollment</w:t>
                          </w:r>
                        </w:p>
                        <w:p w14:paraId="5E986566" w14:textId="77777777" w:rsidR="0045712F" w:rsidRDefault="0045712F" w:rsidP="00927A05">
                          <w:pPr>
                            <w:spacing w:after="0" w:line="240" w:lineRule="auto"/>
                            <w:ind w:left="144"/>
                          </w:pPr>
                        </w:p>
                      </w:txbxContent>
                    </v:textbox>
                  </v:shape>
                  <v:shape id="TextBox 34" o:spid="_x0000_s1032" type="#_x0000_t202" style="position:absolute;left:3656;top:1190;width:44215;height:9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" filled="f" strokecolor="windowText">
                    <v:textbox>
                      <w:txbxContent>
                        <w:p w14:paraId="239FEC76" w14:textId="054DD534" w:rsidR="0045712F" w:rsidRDefault="0045712F" w:rsidP="00927A05">
                          <w:pPr>
                            <w:spacing w:after="0" w:line="240" w:lineRule="auto"/>
                            <w:rPr>
                              <w:szCs w:val="24"/>
                            </w:rPr>
                          </w:pPr>
                          <w:r>
                            <w:rPr>
                              <w:rFonts w:ascii="Arial" w:eastAsia="+mn-ea" w:hAnsi="Arial" w:cs="Arial"/>
                              <w:b/>
                              <w:bCs/>
                              <w:color w:val="000000"/>
                              <w:kern w:val="24"/>
                              <w:sz w:val="18"/>
                              <w:szCs w:val="18"/>
                            </w:rPr>
                            <w:t>Excluded 7,844 practices for which new enrollment into Medicare APMs is not relevant</w:t>
                          </w:r>
                        </w:p>
                        <w:p w14:paraId="493F3C9D" w14:textId="462B1B88" w:rsidR="0045712F" w:rsidRDefault="0045712F" w:rsidP="00927A05">
                          <w:pPr>
                            <w:spacing w:after="0" w:line="240" w:lineRule="auto"/>
                            <w:ind w:left="144"/>
                          </w:pPr>
                          <w:r>
                            <w:rPr>
                              <w:rFonts w:ascii="Arial" w:eastAsia="+mn-ea" w:hAnsi="Arial" w:cs="Arial"/>
                              <w:color w:val="000000"/>
                              <w:kern w:val="24"/>
                              <w:sz w:val="18"/>
                              <w:szCs w:val="18"/>
                            </w:rPr>
                            <w:t xml:space="preserve">6,187 without attributed Medicare beneficiaries or that were not found  </w:t>
                          </w:r>
                        </w:p>
                        <w:p w14:paraId="1A053365" w14:textId="71C143E9" w:rsidR="0045712F" w:rsidRDefault="0045712F" w:rsidP="00927A05">
                          <w:pPr>
                            <w:spacing w:after="0" w:line="240" w:lineRule="auto"/>
                            <w:ind w:left="144"/>
                            <w:rPr>
                              <w:rFonts w:ascii="Arial" w:eastAsia="+mn-ea" w:hAnsi="Arial" w:cs="Arial"/>
                              <w:color w:val="000000"/>
                              <w:kern w:val="24"/>
                              <w:sz w:val="18"/>
                              <w:szCs w:val="18"/>
                            </w:rPr>
                          </w:pPr>
                          <w:r>
                            <w:rPr>
                              <w:rFonts w:ascii="Arial" w:eastAsia="+mn-ea" w:hAnsi="Arial" w:cs="Arial"/>
                              <w:color w:val="000000"/>
                              <w:kern w:val="24"/>
                              <w:sz w:val="18"/>
                              <w:szCs w:val="18"/>
                            </w:rPr>
                            <w:t xml:space="preserve">          in Medicare practice data (MD-PPAS)</w:t>
                          </w:r>
                        </w:p>
                        <w:p w14:paraId="1E574718" w14:textId="26274CB0" w:rsidR="0045712F" w:rsidRDefault="0045712F" w:rsidP="00927A05">
                          <w:pPr>
                            <w:spacing w:after="0" w:line="240" w:lineRule="auto"/>
                            <w:ind w:left="144"/>
                          </w:pPr>
                          <w:r>
                            <w:rPr>
                              <w:rFonts w:ascii="Arial" w:eastAsia="+mn-ea" w:hAnsi="Arial" w:cs="Arial"/>
                              <w:color w:val="000000"/>
                              <w:kern w:val="24"/>
                              <w:sz w:val="18"/>
                              <w:szCs w:val="18"/>
                            </w:rPr>
                            <w:t xml:space="preserve">1,046 already participating in a Medicare APM before </w:t>
                          </w:r>
                          <w:proofErr w:type="spellStart"/>
                          <w:r>
                            <w:rPr>
                              <w:rFonts w:ascii="Arial" w:eastAsia="+mn-ea" w:hAnsi="Arial" w:cs="Arial"/>
                              <w:color w:val="000000"/>
                              <w:kern w:val="24"/>
                              <w:sz w:val="18"/>
                              <w:szCs w:val="18"/>
                            </w:rPr>
                            <w:t>TCPi</w:t>
                          </w:r>
                          <w:proofErr w:type="spellEnd"/>
                          <w:r>
                            <w:rPr>
                              <w:rFonts w:ascii="Arial" w:eastAsia="+mn-ea" w:hAnsi="Arial" w:cs="Arial"/>
                              <w:color w:val="000000"/>
                              <w:kern w:val="24"/>
                              <w:sz w:val="18"/>
                              <w:szCs w:val="18"/>
                            </w:rPr>
                            <w:t xml:space="preserve"> enrollment</w:t>
                          </w:r>
                        </w:p>
                        <w:p w14:paraId="549173CB" w14:textId="77777777" w:rsidR="0045712F" w:rsidRDefault="0045712F" w:rsidP="00927A05">
                          <w:pPr>
                            <w:spacing w:after="0" w:line="240" w:lineRule="auto"/>
                            <w:ind w:left="144"/>
                          </w:pPr>
                          <w:r>
                            <w:rPr>
                              <w:rFonts w:ascii="Arial" w:eastAsia="+mn-ea" w:hAnsi="Arial" w:cs="Arial"/>
                              <w:color w:val="000000"/>
                              <w:kern w:val="24"/>
                              <w:sz w:val="18"/>
                              <w:szCs w:val="18"/>
                            </w:rPr>
                            <w:t xml:space="preserve">494    FQHCs, RHCs, and </w:t>
                          </w:r>
                          <w:proofErr w:type="gramStart"/>
                          <w:r>
                            <w:rPr>
                              <w:rFonts w:ascii="Arial" w:eastAsia="+mn-ea" w:hAnsi="Arial" w:cs="Arial"/>
                              <w:color w:val="000000"/>
                              <w:kern w:val="24"/>
                              <w:sz w:val="18"/>
                              <w:szCs w:val="18"/>
                            </w:rPr>
                            <w:t>other</w:t>
                          </w:r>
                          <w:proofErr w:type="gramEnd"/>
                          <w:r>
                            <w:rPr>
                              <w:rFonts w:ascii="Arial" w:eastAsia="+mn-ea" w:hAnsi="Arial" w:cs="Arial"/>
                              <w:color w:val="000000"/>
                              <w:kern w:val="24"/>
                              <w:sz w:val="18"/>
                              <w:szCs w:val="18"/>
                            </w:rPr>
                            <w:t xml:space="preserve"> facilities ineligible for Medicare APMs</w:t>
                          </w:r>
                        </w:p>
                        <w:p w14:paraId="5B06A0CE" w14:textId="6A150C57" w:rsidR="0045712F" w:rsidRDefault="0045712F" w:rsidP="00927A05">
                          <w:pPr>
                            <w:spacing w:after="0" w:line="240" w:lineRule="auto"/>
                            <w:ind w:left="144"/>
                          </w:pPr>
                          <w:r>
                            <w:rPr>
                              <w:rFonts w:ascii="Arial" w:eastAsia="+mn-ea" w:hAnsi="Arial" w:cs="Arial"/>
                              <w:color w:val="000000"/>
                              <w:kern w:val="24"/>
                              <w:sz w:val="18"/>
                              <w:szCs w:val="18"/>
                            </w:rPr>
                            <w:t>117    that served primarily children</w:t>
                          </w:r>
                        </w:p>
                      </w:txbxContent>
                    </v:textbox>
                  </v:shape>
                  <v:shapetype id="_x0000_t33" coordsize="21600,21600" o:spt="33" o:oned="t" path="m,l21600,r,21600e" filled="f">
                    <v:stroke joinstyle="miter"/>
                    <v:path arrowok="t" fillok="f" o:connecttype="none"/>
                    <o:lock v:ext="edit" shapetype="t"/>
                  </v:shapetype>
                  <v:shape id="Connector: Elbow 35" o:spid="_x0000_s1033" type="#_x0000_t33" style="position:absolute;left:1122;top:19554;width:3596;height:15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" strokecolor="windowText" strokeweight=".5pt">
                    <v:stroke endarrow="block" endarrowwidth="narrow" endarrowlength="short"/>
                    <o:lock v:ext="edit" shapetype="f"/>
                  </v:shape>
                  <v:shape id="Connector: Elbow 36" o:spid="_x0000_s1034" type="#_x0000_t33" style="position:absolute;left:-3553;top:7069;width:12914;height:1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" strokecolor="windowText" strokeweight=".5pt">
                    <v:stroke endarrow="block" endarrowwidth="narrow" endarrowlength="short"/>
                    <o:lock v:ext="edit" shapetype="f"/>
                  </v:shape>
                  <v:shape id="TextBox 37" o:spid="_x0000_s1035" type="#_x0000_t202" style="position:absolute;left:795;top:25918;width:2876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" fillcolor="#d9d9d9" strokecolor="windowText">
                    <v:textbox>
                      <w:txbxContent>
                        <w:p w14:paraId="404542C0" w14:textId="77777777" w:rsidR="0045712F" w:rsidRDefault="0045712F" w:rsidP="00927A05">
                          <w:pPr>
                            <w:spacing w:after="0" w:line="240" w:lineRule="auto"/>
                            <w:rPr>
                              <w:szCs w:val="24"/>
                            </w:rPr>
                          </w:pPr>
                          <w:r>
                            <w:rPr>
                              <w:rFonts w:ascii="Arial" w:eastAsia="+mn-ea" w:hAnsi="Arial" w:cs="Arial"/>
                              <w:b/>
                              <w:bCs/>
                              <w:color w:val="000000"/>
                              <w:kern w:val="24"/>
                              <w:sz w:val="18"/>
                              <w:szCs w:val="18"/>
                            </w:rPr>
                            <w:t xml:space="preserve">6,958 </w:t>
                          </w:r>
                          <w:proofErr w:type="spellStart"/>
                          <w:r>
                            <w:rPr>
                              <w:rFonts w:ascii="Arial" w:eastAsia="+mn-ea" w:hAnsi="Arial" w:cs="Arial"/>
                              <w:b/>
                              <w:bCs/>
                              <w:color w:val="000000"/>
                              <w:kern w:val="24"/>
                              <w:sz w:val="18"/>
                              <w:szCs w:val="18"/>
                            </w:rPr>
                            <w:t>TCPi</w:t>
                          </w:r>
                          <w:proofErr w:type="spellEnd"/>
                          <w:r>
                            <w:rPr>
                              <w:rFonts w:ascii="Arial" w:eastAsia="+mn-ea" w:hAnsi="Arial" w:cs="Arial"/>
                              <w:b/>
                              <w:bCs/>
                              <w:color w:val="000000"/>
                              <w:kern w:val="24"/>
                              <w:sz w:val="18"/>
                              <w:szCs w:val="18"/>
                            </w:rPr>
                            <w:t xml:space="preserve"> practices remained in analytic sample</w:t>
                          </w:r>
                        </w:p>
                      </w:txbxContent>
                    </v:textbox>
                  </v:shape>
                  <v:line id="Straight Connector 39" o:spid="_x0000_s1036" style="position:absolute;visibility:visible;mso-wrap-style:square" from="715,29896" to="9097,2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shape id="Connector: Elbow 40" o:spid="_x0000_s1037" type="#_x0000_t33" style="position:absolute;left:437;top:1868;width:4955;height:1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" strokecolor="windowText" strokeweight=".5pt">
                    <v:stroke endarrow="block" endarrowwidth="narrow" endarrowlength="short"/>
                    <o:lock v:ext="edit" shapetype="f"/>
                  </v:shape>
                </v:group>
              </v:group>
            </w:pict>
          </mc:Fallback>
        </mc:AlternateContent>
      </w:r>
      <w:r w:rsidR="00161789">
        <w:rPr>
          <w:b/>
          <w:bCs/>
        </w:rPr>
        <w:t>Supplemental Digital Content</w:t>
      </w:r>
      <w:r w:rsidR="00636DBF">
        <w:rPr>
          <w:b/>
          <w:bCs/>
        </w:rPr>
        <w:t xml:space="preserve"> </w:t>
      </w:r>
      <w:r w:rsidR="00927A05">
        <w:rPr>
          <w:b/>
          <w:bCs/>
        </w:rPr>
        <w:t xml:space="preserve">Figure </w:t>
      </w:r>
      <w:r w:rsidR="002B5FC7">
        <w:rPr>
          <w:b/>
          <w:bCs/>
        </w:rPr>
        <w:t>1.</w:t>
      </w:r>
      <w:r w:rsidR="00927A05">
        <w:rPr>
          <w:b/>
          <w:bCs/>
        </w:rPr>
        <w:t xml:space="preserve">1. Study exclusion criteria </w:t>
      </w:r>
    </w:p>
    <w:p w14:paraId="591C7A2F" w14:textId="069226FB" w:rsidR="00927A05" w:rsidRDefault="00927A05" w:rsidP="00927A05"/>
    <w:p w14:paraId="34883D5C" w14:textId="77777777" w:rsidR="00927A05" w:rsidRDefault="00927A05" w:rsidP="00927A05"/>
    <w:p w14:paraId="69A6B58E" w14:textId="77777777" w:rsidR="00927A05" w:rsidRDefault="00927A05" w:rsidP="00927A05"/>
    <w:p w14:paraId="3B8FFF33" w14:textId="77777777" w:rsidR="00927A05" w:rsidRDefault="00927A05" w:rsidP="00927A05"/>
    <w:p w14:paraId="1E3E0F9C" w14:textId="77777777" w:rsidR="00927A05" w:rsidRDefault="00927A05" w:rsidP="00927A05"/>
    <w:p w14:paraId="4DE9A378" w14:textId="77777777" w:rsidR="00927A05" w:rsidRDefault="00927A05" w:rsidP="00927A05"/>
    <w:p w14:paraId="17311D98" w14:textId="77777777" w:rsidR="00927A05" w:rsidRDefault="00927A05" w:rsidP="00927A05"/>
    <w:p w14:paraId="52491261" w14:textId="77777777" w:rsidR="00927A05" w:rsidRDefault="00927A05" w:rsidP="00927A05"/>
    <w:p w14:paraId="5852FBFD" w14:textId="77777777" w:rsidR="00927A05" w:rsidRDefault="00927A05" w:rsidP="00927A05"/>
    <w:p w14:paraId="0299F035" w14:textId="77777777" w:rsidR="00927A05" w:rsidRDefault="00927A05" w:rsidP="00927A05"/>
    <w:p w14:paraId="66A0C5D1" w14:textId="77777777" w:rsidR="00927A05" w:rsidRPr="001D5298" w:rsidRDefault="00927A05" w:rsidP="001D5298">
      <w:pPr>
        <w:spacing w:line="240" w:lineRule="auto"/>
        <w:rPr>
          <w:rFonts w:cstheme="minorHAnsi"/>
          <w:sz w:val="20"/>
        </w:rPr>
      </w:pPr>
      <w:r w:rsidRPr="001D5298">
        <w:rPr>
          <w:rFonts w:cstheme="minorHAnsi"/>
          <w:b/>
          <w:sz w:val="20"/>
        </w:rPr>
        <w:t>Source:</w:t>
      </w:r>
      <w:r w:rsidRPr="001D5298">
        <w:rPr>
          <w:rFonts w:cstheme="minorHAnsi"/>
          <w:sz w:val="20"/>
        </w:rPr>
        <w:t xml:space="preserve"> Our analyses were based on </w:t>
      </w:r>
      <w:proofErr w:type="spellStart"/>
      <w:r w:rsidRPr="001D5298">
        <w:rPr>
          <w:rFonts w:cstheme="minorHAnsi"/>
          <w:sz w:val="20"/>
        </w:rPr>
        <w:t>TCPi</w:t>
      </w:r>
      <w:proofErr w:type="spellEnd"/>
      <w:r w:rsidRPr="001D5298">
        <w:rPr>
          <w:rFonts w:cstheme="minorHAnsi"/>
          <w:sz w:val="20"/>
        </w:rPr>
        <w:t xml:space="preserve"> model enrollment data; Master Data Management participation data from February 2020; Oncology Care Model and Bundled Payment for Care Improvement Advanced Model participation data from January 2020; and administrative claims data from October 1, 2011, through December 31, 2018.</w:t>
      </w:r>
    </w:p>
    <w:p w14:paraId="40D1D558" w14:textId="77777777" w:rsidR="00927A05" w:rsidRPr="001D5298" w:rsidRDefault="00927A05" w:rsidP="001D5298">
      <w:pPr>
        <w:spacing w:line="240" w:lineRule="auto"/>
        <w:rPr>
          <w:rFonts w:cstheme="minorHAnsi"/>
          <w:sz w:val="20"/>
        </w:rPr>
      </w:pPr>
      <w:r w:rsidRPr="001D5298">
        <w:rPr>
          <w:rFonts w:cstheme="minorHAnsi"/>
          <w:sz w:val="20"/>
        </w:rPr>
        <w:t xml:space="preserve">APM = Alternative Payment Model; CCN = CMS Certification Number; E&amp;M = evaluation and management; FQHC = federally qualified health center; MD-PPAS = Medicare Data on Provider Practice and Specialty; PTN = Practice Transformation Network; RHC = rural health clinic; </w:t>
      </w:r>
      <w:r w:rsidRPr="001D5298">
        <w:rPr>
          <w:rFonts w:cstheme="minorHAnsi"/>
          <w:sz w:val="20"/>
        </w:rPr>
        <w:br/>
        <w:t xml:space="preserve">TIN = Tax Identification Number; </w:t>
      </w:r>
      <w:proofErr w:type="spellStart"/>
      <w:r w:rsidRPr="001D5298">
        <w:rPr>
          <w:rFonts w:cstheme="minorHAnsi"/>
          <w:sz w:val="20"/>
        </w:rPr>
        <w:t>TCPi</w:t>
      </w:r>
      <w:proofErr w:type="spellEnd"/>
      <w:r w:rsidRPr="001D5298">
        <w:rPr>
          <w:rFonts w:cstheme="minorHAnsi"/>
          <w:sz w:val="20"/>
        </w:rPr>
        <w:t xml:space="preserve"> = Transforming Clinical Practice Initiative.</w:t>
      </w:r>
    </w:p>
    <w:p w14:paraId="13B8C8D9" w14:textId="4ECFFA5D" w:rsidR="00485FDD" w:rsidRPr="00BF1C5A" w:rsidRDefault="00485FDD" w:rsidP="00094539">
      <w:pPr>
        <w:rPr>
          <w:rFonts w:eastAsiaTheme="minorEastAsia"/>
        </w:rPr>
      </w:pPr>
      <w:r w:rsidRPr="00094539">
        <w:rPr>
          <w:b/>
          <w:bCs/>
        </w:rPr>
        <w:t xml:space="preserve">Attribution </w:t>
      </w:r>
      <w:r w:rsidR="00D737A4">
        <w:rPr>
          <w:b/>
          <w:bCs/>
        </w:rPr>
        <w:t>of beneficiaries</w:t>
      </w:r>
      <w:r w:rsidRPr="00094539">
        <w:rPr>
          <w:b/>
          <w:bCs/>
        </w:rPr>
        <w:t>.</w:t>
      </w:r>
      <w:r w:rsidR="00D737A4">
        <w:rPr>
          <w:b/>
          <w:bCs/>
        </w:rPr>
        <w:t xml:space="preserve"> </w:t>
      </w:r>
      <w:r w:rsidRPr="00BF1C5A">
        <w:rPr>
          <w:rFonts w:eastAsiaTheme="minorEastAsia"/>
        </w:rPr>
        <w:t xml:space="preserve">For each quarter of the baseline and follow-up periods, we retrospectively attributed Medicare FFS beneficiaries to the practice that provided the plurality (largest </w:t>
      </w:r>
      <w:r w:rsidR="00D737A4">
        <w:rPr>
          <w:rFonts w:eastAsiaTheme="minorEastAsia"/>
        </w:rPr>
        <w:t>share</w:t>
      </w:r>
      <w:r w:rsidRPr="00BF1C5A">
        <w:rPr>
          <w:rFonts w:eastAsiaTheme="minorEastAsia"/>
        </w:rPr>
        <w:t>) of the beneficiary’s ambulatory E&amp;M visits in the previous 24 months. The main goal of our approach was to attribute beneficiaries to the ambulatory care practices most likely to provide them with ongoing care after the time of attribution. Attributing beneficiaries in each quarter meant that they could be attributed to different practices from one quarter to the next.</w:t>
      </w:r>
      <w:r w:rsidRPr="00BF1C5A">
        <w:rPr>
          <w:rFonts w:eastAsiaTheme="minorEastAsia"/>
          <w:b/>
          <w:caps/>
          <w:noProof/>
          <w:color w:val="046B5C"/>
        </w:rPr>
        <w:t xml:space="preserve"> </w:t>
      </w:r>
    </w:p>
    <w:p w14:paraId="32FDEDA5" w14:textId="1CCC9784" w:rsidR="00485FDD" w:rsidRPr="00BF1C5A" w:rsidRDefault="00485FDD" w:rsidP="00485FDD">
      <w:pPr>
        <w:pStyle w:val="Paragraph"/>
        <w:rPr>
          <w:rFonts w:eastAsiaTheme="minorEastAsia"/>
        </w:rPr>
      </w:pPr>
      <w:r w:rsidRPr="00BF1C5A">
        <w:rPr>
          <w:rFonts w:eastAsiaTheme="minorEastAsia"/>
        </w:rPr>
        <w:t xml:space="preserve">We also sought to align our attribution methods with the goals of </w:t>
      </w:r>
      <w:proofErr w:type="spellStart"/>
      <w:r w:rsidRPr="00BF1C5A">
        <w:rPr>
          <w:rFonts w:eastAsiaTheme="minorEastAsia"/>
        </w:rPr>
        <w:t>TCPi</w:t>
      </w:r>
      <w:proofErr w:type="spellEnd"/>
      <w:r w:rsidRPr="00BF1C5A">
        <w:rPr>
          <w:rFonts w:eastAsiaTheme="minorEastAsia"/>
        </w:rPr>
        <w:t xml:space="preserve"> and the characteristics of </w:t>
      </w:r>
      <w:proofErr w:type="spellStart"/>
      <w:r w:rsidRPr="00BF1C5A">
        <w:rPr>
          <w:rFonts w:eastAsiaTheme="minorEastAsia"/>
        </w:rPr>
        <w:t>TCPi</w:t>
      </w:r>
      <w:proofErr w:type="spellEnd"/>
      <w:r w:rsidRPr="00BF1C5A">
        <w:rPr>
          <w:rFonts w:eastAsiaTheme="minorEastAsia"/>
        </w:rPr>
        <w:t xml:space="preserve"> practices by making it possible to attribute beneficiaries to any ambulatory care practice, regardless of specialty. We included specialists in the attribution because </w:t>
      </w:r>
      <w:proofErr w:type="spellStart"/>
      <w:r w:rsidRPr="00BF1C5A">
        <w:rPr>
          <w:rFonts w:eastAsiaTheme="minorEastAsia"/>
        </w:rPr>
        <w:t>TCPi</w:t>
      </w:r>
      <w:proofErr w:type="spellEnd"/>
      <w:r w:rsidRPr="00BF1C5A">
        <w:rPr>
          <w:rFonts w:eastAsiaTheme="minorEastAsia"/>
        </w:rPr>
        <w:t xml:space="preserve"> included </w:t>
      </w:r>
      <w:proofErr w:type="gramStart"/>
      <w:r w:rsidRPr="00BF1C5A">
        <w:rPr>
          <w:rFonts w:eastAsiaTheme="minorEastAsia"/>
        </w:rPr>
        <w:t>a large number of</w:t>
      </w:r>
      <w:proofErr w:type="gramEnd"/>
      <w:r w:rsidRPr="00BF1C5A">
        <w:rPr>
          <w:rFonts w:eastAsiaTheme="minorEastAsia"/>
        </w:rPr>
        <w:t xml:space="preserve"> specialty clinicians and because Medicare beneficiaries often receive a significant </w:t>
      </w:r>
      <w:r w:rsidRPr="00BF1C5A">
        <w:rPr>
          <w:rFonts w:eastAsiaTheme="minorEastAsia"/>
        </w:rPr>
        <w:lastRenderedPageBreak/>
        <w:t xml:space="preserve">amount of care, including primary care services, from specialists (Pham et al. 2007). To ensure that the entire spectrum of specialists enrolled in </w:t>
      </w:r>
      <w:proofErr w:type="spellStart"/>
      <w:r w:rsidRPr="00BF1C5A">
        <w:rPr>
          <w:rFonts w:eastAsiaTheme="minorEastAsia"/>
        </w:rPr>
        <w:t>TCPi</w:t>
      </w:r>
      <w:proofErr w:type="spellEnd"/>
      <w:r w:rsidRPr="00BF1C5A">
        <w:rPr>
          <w:rFonts w:eastAsiaTheme="minorEastAsia"/>
        </w:rPr>
        <w:t xml:space="preserve"> was represented, we expanded the E&amp;M codes used in the MSSP attribution method to include mental health and optometrist services, reflecting the inclusion of a significant number of mental health clinicians and optometrists in </w:t>
      </w:r>
      <w:proofErr w:type="spellStart"/>
      <w:r w:rsidRPr="00BF1C5A">
        <w:rPr>
          <w:rFonts w:eastAsiaTheme="minorEastAsia"/>
        </w:rPr>
        <w:t>TCPi</w:t>
      </w:r>
      <w:proofErr w:type="spellEnd"/>
      <w:r w:rsidRPr="00BF1C5A">
        <w:rPr>
          <w:rFonts w:eastAsiaTheme="minorEastAsia"/>
        </w:rPr>
        <w:t>. Further, the E&amp;M codes below also cover telehealth services (</w:t>
      </w:r>
      <w:r w:rsidR="00D737A4">
        <w:rPr>
          <w:rFonts w:eastAsiaTheme="minorEastAsia"/>
        </w:rPr>
        <w:t xml:space="preserve">Supplemental Digital Content </w:t>
      </w:r>
      <w:r w:rsidRPr="00BF1C5A">
        <w:rPr>
          <w:rFonts w:eastAsiaTheme="minorEastAsia"/>
        </w:rPr>
        <w:t xml:space="preserve">Table </w:t>
      </w:r>
      <w:r w:rsidR="00D737A4">
        <w:rPr>
          <w:rFonts w:eastAsiaTheme="minorEastAsia"/>
        </w:rPr>
        <w:t>1</w:t>
      </w:r>
      <w:r w:rsidRPr="00BF1C5A">
        <w:rPr>
          <w:rFonts w:eastAsiaTheme="minorEastAsia"/>
        </w:rPr>
        <w:t>.</w:t>
      </w:r>
      <w:r w:rsidR="00D737A4">
        <w:rPr>
          <w:rFonts w:eastAsiaTheme="minorEastAsia"/>
        </w:rPr>
        <w:t>1</w:t>
      </w:r>
      <w:r w:rsidRPr="00BF1C5A">
        <w:rPr>
          <w:rFonts w:eastAsiaTheme="minorEastAsia"/>
        </w:rPr>
        <w:t xml:space="preserve">). </w:t>
      </w:r>
    </w:p>
    <w:p w14:paraId="5292B15A" w14:textId="77777777" w:rsidR="00485FDD" w:rsidRPr="00BF1C5A" w:rsidRDefault="00485FDD" w:rsidP="00485FDD">
      <w:pPr>
        <w:pStyle w:val="Paragraph"/>
        <w:rPr>
          <w:rFonts w:eastAsiaTheme="minorEastAsia"/>
        </w:rPr>
      </w:pPr>
      <w:r w:rsidRPr="00BF1C5A">
        <w:rPr>
          <w:rFonts w:eastAsiaTheme="minorEastAsia"/>
        </w:rPr>
        <w:t xml:space="preserve">We used the plurality of visits because clinicians with the most contact with beneficiaries are more likely to provide ongoing care. To resolve ties, we attributed beneficiaries to the practice they visited most recently. We counted visits over a 24-month lookback period because it was long enough to reduce the chance that episodic care (such as care for an acute injury) would overshadow continuous care and because it was recent enough to attribute beneficiaries to the practices most likely to continue providing their care. </w:t>
      </w:r>
    </w:p>
    <w:p w14:paraId="60AA9E70" w14:textId="77777777" w:rsidR="00485FDD" w:rsidRPr="00BF1C5A" w:rsidRDefault="00485FDD" w:rsidP="00485FDD">
      <w:pPr>
        <w:keepNext/>
        <w:spacing w:before="240" w:after="80"/>
        <w:rPr>
          <w:rFonts w:eastAsiaTheme="minorEastAsia"/>
        </w:rPr>
      </w:pPr>
      <w:r w:rsidRPr="00BF1C5A">
        <w:rPr>
          <w:rFonts w:eastAsiaTheme="minorEastAsia"/>
          <w:noProof/>
        </w:rPr>
        <mc:AlternateContent>
          <mc:Choice Requires="wps">
            <w:drawing>
              <wp:inline distT="0" distB="0" distL="0" distR="0" wp14:anchorId="25BFDDAE" wp14:editId="4CA8275D">
                <wp:extent cx="2971800" cy="635"/>
                <wp:effectExtent l="38100" t="42545" r="38100" b="43180"/>
                <wp:docPr id="348" name="Straight Connector 348" descr="decorativ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76200">
                          <a:solidFill>
                            <a:srgbClr val="F1B51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639E3A" id="Straight Connector 348" o:spid="_x0000_s1026" alt="decorative " style="visibility:visible;mso-wrap-style:square;mso-left-percent:-10001;mso-top-percent:-10001;mso-position-horizontal:absolute;mso-position-horizontal-relative:char;mso-position-vertical:absolute;mso-position-vertical-relative:line;mso-left-percent:-10001;mso-top-percent:-10001" from="0,0" to="2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" strokecolor="#f1b51c" strokeweight="6pt">
                <v:stroke joinstyle="miter"/>
                <w10:anchorlock/>
              </v:line>
            </w:pict>
          </mc:Fallback>
        </mc:AlternateContent>
      </w:r>
    </w:p>
    <w:p w14:paraId="0C8D193D" w14:textId="779D9E24" w:rsidR="00485FDD" w:rsidRDefault="00D737A4" w:rsidP="00485FDD">
      <w:pPr>
        <w:pStyle w:val="TableTitle"/>
        <w:rPr>
          <w:rFonts w:eastAsiaTheme="minorEastAsia"/>
        </w:rPr>
      </w:pPr>
      <w:bookmarkStart w:id="3" w:name="_Toc84968497"/>
      <w:r>
        <w:rPr>
          <w:rFonts w:eastAsiaTheme="minorEastAsia"/>
        </w:rPr>
        <w:t xml:space="preserve">Supplemental Digital Content </w:t>
      </w:r>
      <w:r w:rsidR="00485FDD" w:rsidRPr="00BF1C5A">
        <w:rPr>
          <w:rFonts w:eastAsiaTheme="minorEastAsia"/>
        </w:rPr>
        <w:t xml:space="preserve">Table </w:t>
      </w:r>
      <w:r>
        <w:rPr>
          <w:rFonts w:eastAsiaTheme="minorEastAsia"/>
        </w:rPr>
        <w:t>1</w:t>
      </w:r>
      <w:r w:rsidR="00485FDD" w:rsidRPr="00BF1C5A">
        <w:rPr>
          <w:rFonts w:eastAsiaTheme="minorEastAsia"/>
        </w:rPr>
        <w:t>.</w:t>
      </w:r>
      <w:r>
        <w:rPr>
          <w:rFonts w:eastAsiaTheme="minorEastAsia"/>
        </w:rPr>
        <w:t>1</w:t>
      </w:r>
      <w:r w:rsidR="00485FDD" w:rsidRPr="00BF1C5A">
        <w:rPr>
          <w:rFonts w:eastAsiaTheme="minorEastAsia"/>
        </w:rPr>
        <w:t xml:space="preserve">. Evaluation and management codes used to attribute Medicare FFS beneficiaries to </w:t>
      </w:r>
      <w:proofErr w:type="spellStart"/>
      <w:r w:rsidR="00485FDD" w:rsidRPr="00BF1C5A">
        <w:rPr>
          <w:rFonts w:eastAsiaTheme="minorEastAsia"/>
        </w:rPr>
        <w:t>TCPi</w:t>
      </w:r>
      <w:proofErr w:type="spellEnd"/>
      <w:r w:rsidR="00485FDD" w:rsidRPr="00BF1C5A">
        <w:rPr>
          <w:rFonts w:eastAsiaTheme="minorEastAsia"/>
        </w:rPr>
        <w:t xml:space="preserve"> practices and matched comparison practices</w:t>
      </w:r>
      <w:bookmarkEnd w:id="3"/>
    </w:p>
    <w:p w14:paraId="1C0DF7E1" w14:textId="77777777" w:rsidR="00485FDD" w:rsidRDefault="00485FDD" w:rsidP="00485FDD">
      <w:pPr>
        <w:pStyle w:val="TableTitle"/>
        <w:rPr>
          <w:rFonts w:eastAsiaTheme="minorEastAsia"/>
        </w:rPr>
        <w:sectPr w:rsidR="00485FDD" w:rsidSect="00635751">
          <w:headerReference w:type="default" r:id="rId12"/>
          <w:type w:val="continuous"/>
          <w:pgSz w:w="12240" w:h="15840"/>
          <w:pgMar w:top="1440" w:right="1440" w:bottom="1440" w:left="1440" w:header="720" w:footer="720" w:gutter="0"/>
          <w:cols w:space="720"/>
          <w:docGrid w:linePitch="360"/>
        </w:sectPr>
      </w:pPr>
    </w:p>
    <w:tbl>
      <w:tblPr>
        <w:tblStyle w:val="MathUBaseTable"/>
        <w:tblW w:w="9360" w:type="dxa"/>
        <w:tblLayout w:type="fixed"/>
        <w:tblLook w:val="0620" w:firstRow="1" w:lastRow="0" w:firstColumn="0" w:lastColumn="0" w:noHBand="1" w:noVBand="1"/>
      </w:tblPr>
      <w:tblGrid>
        <w:gridCol w:w="1980"/>
        <w:gridCol w:w="7380"/>
      </w:tblGrid>
      <w:tr w:rsidR="00485FDD" w:rsidRPr="00F44642" w14:paraId="60623132" w14:textId="77777777" w:rsidTr="00E46E58">
        <w:trPr>
          <w:cnfStyle w:val="100000000000" w:firstRow="1" w:lastRow="0" w:firstColumn="0" w:lastColumn="0" w:oddVBand="0" w:evenVBand="0" w:oddHBand="0" w:evenHBand="0" w:firstRowFirstColumn="0" w:firstRowLastColumn="0" w:lastRowFirstColumn="0" w:lastRowLastColumn="0"/>
          <w:tblHeader/>
        </w:trPr>
        <w:tc>
          <w:tcPr>
            <w:tcW w:w="1980" w:type="dxa"/>
          </w:tcPr>
          <w:p w14:paraId="5EEB277C" w14:textId="77777777" w:rsidR="00485FDD" w:rsidRPr="00F44642" w:rsidRDefault="00485FDD" w:rsidP="00E46E58">
            <w:pPr>
              <w:pStyle w:val="TableHeaderLeft"/>
              <w:rPr>
                <w:b/>
                <w:bCs/>
              </w:rPr>
            </w:pPr>
            <w:r w:rsidRPr="00F44642">
              <w:rPr>
                <w:b/>
                <w:bCs/>
              </w:rPr>
              <w:t>CPT/HCPCS code</w:t>
            </w:r>
          </w:p>
        </w:tc>
        <w:tc>
          <w:tcPr>
            <w:tcW w:w="7380" w:type="dxa"/>
          </w:tcPr>
          <w:p w14:paraId="7E56BB73" w14:textId="77777777" w:rsidR="00485FDD" w:rsidRPr="00F44642" w:rsidRDefault="00485FDD" w:rsidP="00E46E58">
            <w:pPr>
              <w:pStyle w:val="TableHeaderCenter"/>
              <w:rPr>
                <w:b/>
                <w:bCs/>
              </w:rPr>
            </w:pPr>
            <w:r w:rsidRPr="00F44642">
              <w:rPr>
                <w:b/>
                <w:bCs/>
              </w:rPr>
              <w:t>Description</w:t>
            </w:r>
          </w:p>
        </w:tc>
      </w:tr>
      <w:tr w:rsidR="00485FDD" w14:paraId="35C2AF9E" w14:textId="77777777" w:rsidTr="00E46E58">
        <w:tc>
          <w:tcPr>
            <w:tcW w:w="9360" w:type="dxa"/>
            <w:gridSpan w:val="2"/>
            <w:tcBorders>
              <w:top w:val="nil"/>
              <w:bottom w:val="nil"/>
            </w:tcBorders>
            <w:shd w:val="clear" w:color="auto" w:fill="0B2949" w:themeFill="accent1"/>
          </w:tcPr>
          <w:p w14:paraId="32064646" w14:textId="77777777" w:rsidR="00485FDD" w:rsidRPr="00917199" w:rsidRDefault="00485FDD" w:rsidP="00E46E58">
            <w:pPr>
              <w:pStyle w:val="TableRowHead"/>
            </w:pPr>
            <w:r w:rsidRPr="00F44642">
              <w:t>Practices with claims in the carrier file (not FQHCs or RHCs)</w:t>
            </w:r>
          </w:p>
        </w:tc>
      </w:tr>
      <w:tr w:rsidR="00485FDD" w14:paraId="27D1735A" w14:textId="77777777" w:rsidTr="00E46E58">
        <w:tc>
          <w:tcPr>
            <w:tcW w:w="1980" w:type="dxa"/>
            <w:tcBorders>
              <w:top w:val="nil"/>
            </w:tcBorders>
          </w:tcPr>
          <w:p w14:paraId="08D7FF1E" w14:textId="77777777" w:rsidR="00485FDD" w:rsidRPr="00917199" w:rsidRDefault="00485FDD" w:rsidP="00E46E58">
            <w:pPr>
              <w:pStyle w:val="TableTextLeft"/>
            </w:pPr>
            <w:r w:rsidRPr="00934ECC">
              <w:t xml:space="preserve">99201–99205 </w:t>
            </w:r>
          </w:p>
        </w:tc>
        <w:tc>
          <w:tcPr>
            <w:tcW w:w="7380" w:type="dxa"/>
            <w:tcBorders>
              <w:top w:val="nil"/>
            </w:tcBorders>
          </w:tcPr>
          <w:p w14:paraId="6162D6A5" w14:textId="77777777" w:rsidR="00485FDD" w:rsidRPr="00917199" w:rsidRDefault="00485FDD" w:rsidP="00E46E58">
            <w:pPr>
              <w:pStyle w:val="TableTextLeft"/>
            </w:pPr>
            <w:r w:rsidRPr="00934ECC">
              <w:t xml:space="preserve">New patient, office, or </w:t>
            </w:r>
            <w:proofErr w:type="gramStart"/>
            <w:r w:rsidRPr="00934ECC">
              <w:t>other</w:t>
            </w:r>
            <w:proofErr w:type="gramEnd"/>
            <w:r w:rsidRPr="00934ECC">
              <w:t xml:space="preserve"> outpatient visit </w:t>
            </w:r>
          </w:p>
        </w:tc>
      </w:tr>
      <w:tr w:rsidR="00485FDD" w14:paraId="328C6F59" w14:textId="77777777" w:rsidTr="00E46E58">
        <w:tc>
          <w:tcPr>
            <w:tcW w:w="1980" w:type="dxa"/>
          </w:tcPr>
          <w:p w14:paraId="2942FD64" w14:textId="77777777" w:rsidR="00485FDD" w:rsidRPr="00917199" w:rsidRDefault="00485FDD" w:rsidP="00E46E58">
            <w:pPr>
              <w:pStyle w:val="TableTextLeft"/>
            </w:pPr>
            <w:r w:rsidRPr="00934ECC">
              <w:t xml:space="preserve">99211–99215 </w:t>
            </w:r>
          </w:p>
        </w:tc>
        <w:tc>
          <w:tcPr>
            <w:tcW w:w="7380" w:type="dxa"/>
          </w:tcPr>
          <w:p w14:paraId="09FFB9ED" w14:textId="77777777" w:rsidR="00485FDD" w:rsidRPr="00917199" w:rsidRDefault="00485FDD" w:rsidP="00E46E58">
            <w:pPr>
              <w:pStyle w:val="TableTextLeft"/>
            </w:pPr>
            <w:r w:rsidRPr="00934ECC">
              <w:t xml:space="preserve">Established patient, office, or </w:t>
            </w:r>
            <w:proofErr w:type="gramStart"/>
            <w:r w:rsidRPr="00934ECC">
              <w:t>other</w:t>
            </w:r>
            <w:proofErr w:type="gramEnd"/>
            <w:r w:rsidRPr="00934ECC">
              <w:t xml:space="preserve"> outpatient visit </w:t>
            </w:r>
          </w:p>
        </w:tc>
      </w:tr>
      <w:tr w:rsidR="00485FDD" w14:paraId="62EEC9F9" w14:textId="77777777" w:rsidTr="00E46E58">
        <w:tc>
          <w:tcPr>
            <w:tcW w:w="1980" w:type="dxa"/>
          </w:tcPr>
          <w:p w14:paraId="5098704A" w14:textId="77777777" w:rsidR="00485FDD" w:rsidRPr="00917199" w:rsidRDefault="00485FDD" w:rsidP="00E46E58">
            <w:pPr>
              <w:pStyle w:val="TableTextLeft"/>
            </w:pPr>
            <w:r w:rsidRPr="00934ECC">
              <w:t xml:space="preserve">99304–99306 </w:t>
            </w:r>
          </w:p>
        </w:tc>
        <w:tc>
          <w:tcPr>
            <w:tcW w:w="7380" w:type="dxa"/>
          </w:tcPr>
          <w:p w14:paraId="0318A140" w14:textId="77777777" w:rsidR="00485FDD" w:rsidRPr="00917199" w:rsidRDefault="00485FDD" w:rsidP="00E46E58">
            <w:pPr>
              <w:pStyle w:val="TableTextLeft"/>
            </w:pPr>
            <w:r w:rsidRPr="00934ECC">
              <w:t xml:space="preserve">New patient, nursing facility care </w:t>
            </w:r>
          </w:p>
        </w:tc>
      </w:tr>
      <w:tr w:rsidR="00485FDD" w14:paraId="0D9250C4" w14:textId="77777777" w:rsidTr="00E46E58">
        <w:tc>
          <w:tcPr>
            <w:tcW w:w="1980" w:type="dxa"/>
          </w:tcPr>
          <w:p w14:paraId="7DC7385C" w14:textId="77777777" w:rsidR="00485FDD" w:rsidRPr="00917199" w:rsidRDefault="00485FDD" w:rsidP="00E46E58">
            <w:pPr>
              <w:pStyle w:val="TableTextLeft"/>
            </w:pPr>
            <w:r w:rsidRPr="00934ECC">
              <w:t xml:space="preserve">99307–99310 </w:t>
            </w:r>
          </w:p>
        </w:tc>
        <w:tc>
          <w:tcPr>
            <w:tcW w:w="7380" w:type="dxa"/>
          </w:tcPr>
          <w:p w14:paraId="5ECA2FA2" w14:textId="77777777" w:rsidR="00485FDD" w:rsidRPr="00917199" w:rsidRDefault="00485FDD" w:rsidP="00E46E58">
            <w:pPr>
              <w:pStyle w:val="TableTextLeft"/>
            </w:pPr>
            <w:r w:rsidRPr="00934ECC">
              <w:t xml:space="preserve">Established patient, nursing facility care </w:t>
            </w:r>
          </w:p>
        </w:tc>
      </w:tr>
      <w:tr w:rsidR="00485FDD" w14:paraId="38F714BB" w14:textId="77777777" w:rsidTr="00E46E58">
        <w:tc>
          <w:tcPr>
            <w:tcW w:w="1980" w:type="dxa"/>
          </w:tcPr>
          <w:p w14:paraId="41312CCB" w14:textId="77777777" w:rsidR="00485FDD" w:rsidRPr="00917199" w:rsidRDefault="00485FDD" w:rsidP="00E46E58">
            <w:pPr>
              <w:pStyle w:val="TableTextLeft"/>
            </w:pPr>
            <w:r w:rsidRPr="00934ECC">
              <w:t xml:space="preserve">99315–99316 </w:t>
            </w:r>
          </w:p>
        </w:tc>
        <w:tc>
          <w:tcPr>
            <w:tcW w:w="7380" w:type="dxa"/>
          </w:tcPr>
          <w:p w14:paraId="16904D6D" w14:textId="77777777" w:rsidR="00485FDD" w:rsidRPr="00917199" w:rsidRDefault="00485FDD" w:rsidP="00E46E58">
            <w:pPr>
              <w:pStyle w:val="TableTextLeft"/>
            </w:pPr>
            <w:r w:rsidRPr="00934ECC">
              <w:t xml:space="preserve">Established patient, discharge day management service </w:t>
            </w:r>
          </w:p>
        </w:tc>
      </w:tr>
      <w:tr w:rsidR="00485FDD" w14:paraId="3B82209C" w14:textId="77777777" w:rsidTr="00E46E58">
        <w:tc>
          <w:tcPr>
            <w:tcW w:w="1980" w:type="dxa"/>
          </w:tcPr>
          <w:p w14:paraId="79E3245E" w14:textId="77777777" w:rsidR="00485FDD" w:rsidRPr="00917199" w:rsidRDefault="00485FDD" w:rsidP="00E46E58">
            <w:pPr>
              <w:pStyle w:val="TableTextLeft"/>
            </w:pPr>
            <w:r w:rsidRPr="00934ECC">
              <w:t xml:space="preserve">99318 </w:t>
            </w:r>
          </w:p>
        </w:tc>
        <w:tc>
          <w:tcPr>
            <w:tcW w:w="7380" w:type="dxa"/>
          </w:tcPr>
          <w:p w14:paraId="19F73392" w14:textId="77777777" w:rsidR="00485FDD" w:rsidRPr="00917199" w:rsidRDefault="00485FDD" w:rsidP="00E46E58">
            <w:pPr>
              <w:pStyle w:val="TableTextLeft"/>
            </w:pPr>
            <w:r w:rsidRPr="00934ECC">
              <w:t xml:space="preserve">Established patient, other nursing facility service </w:t>
            </w:r>
          </w:p>
        </w:tc>
      </w:tr>
      <w:tr w:rsidR="00485FDD" w14:paraId="634832F7" w14:textId="77777777" w:rsidTr="00E46E58">
        <w:tc>
          <w:tcPr>
            <w:tcW w:w="1980" w:type="dxa"/>
          </w:tcPr>
          <w:p w14:paraId="0A29DFD6" w14:textId="77777777" w:rsidR="00485FDD" w:rsidRPr="00917199" w:rsidRDefault="00485FDD" w:rsidP="00E46E58">
            <w:pPr>
              <w:pStyle w:val="TableTextLeft"/>
            </w:pPr>
            <w:r w:rsidRPr="00934ECC">
              <w:t xml:space="preserve">99324–99328 </w:t>
            </w:r>
          </w:p>
        </w:tc>
        <w:tc>
          <w:tcPr>
            <w:tcW w:w="7380" w:type="dxa"/>
          </w:tcPr>
          <w:p w14:paraId="037CBC15" w14:textId="77777777" w:rsidR="00485FDD" w:rsidRPr="00917199" w:rsidRDefault="00485FDD" w:rsidP="00E46E58">
            <w:pPr>
              <w:pStyle w:val="TableTextLeft"/>
            </w:pPr>
            <w:r w:rsidRPr="00934ECC">
              <w:t xml:space="preserve">New patient, domiciliary or rest home visit </w:t>
            </w:r>
          </w:p>
        </w:tc>
      </w:tr>
      <w:tr w:rsidR="00485FDD" w14:paraId="5EFA02A3" w14:textId="77777777" w:rsidTr="00E46E58">
        <w:tc>
          <w:tcPr>
            <w:tcW w:w="1980" w:type="dxa"/>
          </w:tcPr>
          <w:p w14:paraId="63D8168E" w14:textId="77777777" w:rsidR="00485FDD" w:rsidRPr="00917199" w:rsidRDefault="00485FDD" w:rsidP="00E46E58">
            <w:pPr>
              <w:pStyle w:val="TableTextLeft"/>
            </w:pPr>
            <w:r w:rsidRPr="00934ECC">
              <w:t xml:space="preserve">99334–99337 </w:t>
            </w:r>
          </w:p>
        </w:tc>
        <w:tc>
          <w:tcPr>
            <w:tcW w:w="7380" w:type="dxa"/>
          </w:tcPr>
          <w:p w14:paraId="73E623D8" w14:textId="77777777" w:rsidR="00485FDD" w:rsidRPr="00917199" w:rsidRDefault="00485FDD" w:rsidP="00E46E58">
            <w:pPr>
              <w:pStyle w:val="TableTextLeft"/>
            </w:pPr>
            <w:r w:rsidRPr="00934ECC">
              <w:t xml:space="preserve">Established patient, domiciliary or rest home visit </w:t>
            </w:r>
          </w:p>
        </w:tc>
      </w:tr>
      <w:tr w:rsidR="00485FDD" w14:paraId="2750DE59" w14:textId="77777777" w:rsidTr="00E46E58">
        <w:tc>
          <w:tcPr>
            <w:tcW w:w="1980" w:type="dxa"/>
          </w:tcPr>
          <w:p w14:paraId="38441A15" w14:textId="77777777" w:rsidR="00485FDD" w:rsidRPr="00917199" w:rsidRDefault="00485FDD" w:rsidP="00E46E58">
            <w:pPr>
              <w:pStyle w:val="TableTextLeft"/>
            </w:pPr>
            <w:r w:rsidRPr="00934ECC">
              <w:t xml:space="preserve">99339–99340 </w:t>
            </w:r>
          </w:p>
        </w:tc>
        <w:tc>
          <w:tcPr>
            <w:tcW w:w="7380" w:type="dxa"/>
          </w:tcPr>
          <w:p w14:paraId="27A95C91" w14:textId="77777777" w:rsidR="00485FDD" w:rsidRPr="00917199" w:rsidRDefault="00485FDD" w:rsidP="00E46E58">
            <w:pPr>
              <w:pStyle w:val="TableTextLeft"/>
            </w:pPr>
            <w:r w:rsidRPr="00934ECC">
              <w:t xml:space="preserve">Established patient, physician supervision of patient (patient not present) in home, domiciliary or rest home </w:t>
            </w:r>
          </w:p>
        </w:tc>
      </w:tr>
      <w:tr w:rsidR="00485FDD" w14:paraId="200681B8" w14:textId="77777777" w:rsidTr="00E46E58">
        <w:tc>
          <w:tcPr>
            <w:tcW w:w="1980" w:type="dxa"/>
          </w:tcPr>
          <w:p w14:paraId="646ED498" w14:textId="77777777" w:rsidR="00485FDD" w:rsidRPr="00917199" w:rsidRDefault="00485FDD" w:rsidP="00E46E58">
            <w:pPr>
              <w:pStyle w:val="TableTextLeft"/>
            </w:pPr>
            <w:r w:rsidRPr="00934ECC">
              <w:t xml:space="preserve">99341–99345 </w:t>
            </w:r>
          </w:p>
        </w:tc>
        <w:tc>
          <w:tcPr>
            <w:tcW w:w="7380" w:type="dxa"/>
          </w:tcPr>
          <w:p w14:paraId="0ADECA60" w14:textId="77777777" w:rsidR="00485FDD" w:rsidRPr="00917199" w:rsidRDefault="00485FDD" w:rsidP="00E46E58">
            <w:pPr>
              <w:pStyle w:val="TableTextLeft"/>
            </w:pPr>
            <w:r w:rsidRPr="00934ECC">
              <w:t xml:space="preserve">New patient, home visit </w:t>
            </w:r>
          </w:p>
        </w:tc>
      </w:tr>
      <w:tr w:rsidR="00485FDD" w14:paraId="0AC50EB5" w14:textId="77777777" w:rsidTr="00E46E58">
        <w:tc>
          <w:tcPr>
            <w:tcW w:w="1980" w:type="dxa"/>
          </w:tcPr>
          <w:p w14:paraId="34AB3634" w14:textId="77777777" w:rsidR="00485FDD" w:rsidRPr="00917199" w:rsidRDefault="00485FDD" w:rsidP="00E46E58">
            <w:pPr>
              <w:pStyle w:val="TableTextLeft"/>
            </w:pPr>
            <w:r w:rsidRPr="00934ECC">
              <w:t xml:space="preserve">99347–99350 </w:t>
            </w:r>
          </w:p>
        </w:tc>
        <w:tc>
          <w:tcPr>
            <w:tcW w:w="7380" w:type="dxa"/>
          </w:tcPr>
          <w:p w14:paraId="274B31DF" w14:textId="77777777" w:rsidR="00485FDD" w:rsidRPr="00917199" w:rsidRDefault="00485FDD" w:rsidP="00E46E58">
            <w:pPr>
              <w:pStyle w:val="TableTextLeft"/>
            </w:pPr>
            <w:r w:rsidRPr="00934ECC">
              <w:t xml:space="preserve">Established patient, home visit </w:t>
            </w:r>
          </w:p>
        </w:tc>
      </w:tr>
      <w:tr w:rsidR="00485FDD" w14:paraId="6621BC57" w14:textId="77777777" w:rsidTr="00E46E58">
        <w:tc>
          <w:tcPr>
            <w:tcW w:w="1980" w:type="dxa"/>
          </w:tcPr>
          <w:p w14:paraId="44D1EF4D" w14:textId="77777777" w:rsidR="00485FDD" w:rsidRPr="00917199" w:rsidRDefault="00485FDD" w:rsidP="00E46E58">
            <w:pPr>
              <w:pStyle w:val="TableTextLeft"/>
            </w:pPr>
            <w:r w:rsidRPr="00934ECC">
              <w:t>99406–99407</w:t>
            </w:r>
          </w:p>
        </w:tc>
        <w:tc>
          <w:tcPr>
            <w:tcW w:w="7380" w:type="dxa"/>
          </w:tcPr>
          <w:p w14:paraId="44D623A1" w14:textId="77777777" w:rsidR="00485FDD" w:rsidRPr="00917199" w:rsidRDefault="00485FDD" w:rsidP="00E46E58">
            <w:pPr>
              <w:pStyle w:val="TableTextLeft"/>
            </w:pPr>
            <w:r w:rsidRPr="00934ECC">
              <w:t xml:space="preserve">Counseling risk factor reduction and behavior change intervention, individual </w:t>
            </w:r>
            <w:proofErr w:type="spellStart"/>
            <w:r w:rsidRPr="00934ECC">
              <w:t>counseling</w:t>
            </w:r>
            <w:r w:rsidRPr="00F44642">
              <w:rPr>
                <w:vertAlign w:val="superscript"/>
              </w:rPr>
              <w:t>a</w:t>
            </w:r>
            <w:proofErr w:type="spellEnd"/>
          </w:p>
        </w:tc>
      </w:tr>
      <w:tr w:rsidR="00485FDD" w14:paraId="246D600D" w14:textId="77777777" w:rsidTr="00E46E58">
        <w:tc>
          <w:tcPr>
            <w:tcW w:w="1980" w:type="dxa"/>
          </w:tcPr>
          <w:p w14:paraId="3743422D" w14:textId="77777777" w:rsidR="00485FDD" w:rsidRPr="00917199" w:rsidRDefault="00485FDD" w:rsidP="00E46E58">
            <w:pPr>
              <w:pStyle w:val="TableTextLeft"/>
            </w:pPr>
            <w:r w:rsidRPr="00934ECC">
              <w:t>99490</w:t>
            </w:r>
          </w:p>
        </w:tc>
        <w:tc>
          <w:tcPr>
            <w:tcW w:w="7380" w:type="dxa"/>
          </w:tcPr>
          <w:p w14:paraId="2A4E99C2" w14:textId="77777777" w:rsidR="00485FDD" w:rsidRPr="00917199" w:rsidRDefault="00485FDD" w:rsidP="00E46E58">
            <w:pPr>
              <w:pStyle w:val="TableTextLeft"/>
            </w:pPr>
            <w:r w:rsidRPr="00934ECC">
              <w:t>Care management services</w:t>
            </w:r>
          </w:p>
        </w:tc>
      </w:tr>
      <w:tr w:rsidR="00485FDD" w14:paraId="42BFF027" w14:textId="77777777" w:rsidTr="00E46E58">
        <w:tc>
          <w:tcPr>
            <w:tcW w:w="1980" w:type="dxa"/>
          </w:tcPr>
          <w:p w14:paraId="130A8B85" w14:textId="77777777" w:rsidR="00485FDD" w:rsidRPr="00917199" w:rsidRDefault="00485FDD" w:rsidP="00E46E58">
            <w:pPr>
              <w:pStyle w:val="TableTextLeft"/>
            </w:pPr>
            <w:r w:rsidRPr="00934ECC">
              <w:t>99487, 99489</w:t>
            </w:r>
          </w:p>
        </w:tc>
        <w:tc>
          <w:tcPr>
            <w:tcW w:w="7380" w:type="dxa"/>
          </w:tcPr>
          <w:p w14:paraId="16973B05" w14:textId="77777777" w:rsidR="00485FDD" w:rsidRPr="00917199" w:rsidRDefault="00485FDD" w:rsidP="00E46E58">
            <w:pPr>
              <w:pStyle w:val="TableTextLeft"/>
            </w:pPr>
            <w:r w:rsidRPr="00934ECC">
              <w:t xml:space="preserve">Complex care management </w:t>
            </w:r>
            <w:proofErr w:type="spellStart"/>
            <w:r w:rsidRPr="00934ECC">
              <w:t>services</w:t>
            </w:r>
            <w:r w:rsidRPr="00F44642">
              <w:rPr>
                <w:vertAlign w:val="superscript"/>
              </w:rPr>
              <w:t>a</w:t>
            </w:r>
            <w:proofErr w:type="spellEnd"/>
          </w:p>
        </w:tc>
      </w:tr>
      <w:tr w:rsidR="00485FDD" w14:paraId="76AE3493" w14:textId="77777777" w:rsidTr="00E46E58">
        <w:tc>
          <w:tcPr>
            <w:tcW w:w="1980" w:type="dxa"/>
          </w:tcPr>
          <w:p w14:paraId="586CF0FE" w14:textId="77777777" w:rsidR="00485FDD" w:rsidRPr="00917199" w:rsidRDefault="00485FDD" w:rsidP="00E46E58">
            <w:pPr>
              <w:pStyle w:val="TableTextLeft"/>
            </w:pPr>
            <w:r w:rsidRPr="00934ECC">
              <w:t>99491</w:t>
            </w:r>
          </w:p>
        </w:tc>
        <w:tc>
          <w:tcPr>
            <w:tcW w:w="7380" w:type="dxa"/>
          </w:tcPr>
          <w:p w14:paraId="66661E88" w14:textId="77777777" w:rsidR="00485FDD" w:rsidRPr="00917199" w:rsidRDefault="00485FDD" w:rsidP="00E46E58">
            <w:pPr>
              <w:pStyle w:val="TableTextLeft"/>
            </w:pPr>
            <w:r w:rsidRPr="00934ECC">
              <w:t>Chronic care management services</w:t>
            </w:r>
          </w:p>
        </w:tc>
      </w:tr>
      <w:tr w:rsidR="00485FDD" w14:paraId="5F62EE25" w14:textId="77777777" w:rsidTr="00E46E58">
        <w:tc>
          <w:tcPr>
            <w:tcW w:w="1980" w:type="dxa"/>
          </w:tcPr>
          <w:p w14:paraId="1423DE32" w14:textId="77777777" w:rsidR="00485FDD" w:rsidRPr="00917199" w:rsidRDefault="00485FDD" w:rsidP="00E46E58">
            <w:pPr>
              <w:pStyle w:val="TableTextLeft"/>
            </w:pPr>
            <w:r w:rsidRPr="00934ECC">
              <w:t>99483</w:t>
            </w:r>
          </w:p>
        </w:tc>
        <w:tc>
          <w:tcPr>
            <w:tcW w:w="7380" w:type="dxa"/>
          </w:tcPr>
          <w:p w14:paraId="3F0FE221" w14:textId="77777777" w:rsidR="00485FDD" w:rsidRPr="00917199" w:rsidRDefault="00485FDD" w:rsidP="00E46E58">
            <w:pPr>
              <w:pStyle w:val="TableTextLeft"/>
            </w:pPr>
            <w:r w:rsidRPr="00934ECC">
              <w:t>Cognitive assessment and care plan services</w:t>
            </w:r>
          </w:p>
        </w:tc>
      </w:tr>
      <w:tr w:rsidR="00485FDD" w14:paraId="427C1F3F" w14:textId="77777777" w:rsidTr="00E46E58">
        <w:tc>
          <w:tcPr>
            <w:tcW w:w="1980" w:type="dxa"/>
          </w:tcPr>
          <w:p w14:paraId="7156D954" w14:textId="77777777" w:rsidR="00485FDD" w:rsidRPr="00917199" w:rsidRDefault="00485FDD" w:rsidP="00E46E58">
            <w:pPr>
              <w:pStyle w:val="TableTextLeft"/>
            </w:pPr>
            <w:r w:rsidRPr="00934ECC">
              <w:t>99484</w:t>
            </w:r>
          </w:p>
        </w:tc>
        <w:tc>
          <w:tcPr>
            <w:tcW w:w="7380" w:type="dxa"/>
          </w:tcPr>
          <w:p w14:paraId="2BDC6E31" w14:textId="77777777" w:rsidR="00485FDD" w:rsidRPr="00917199" w:rsidRDefault="00485FDD" w:rsidP="00E46E58">
            <w:pPr>
              <w:pStyle w:val="TableTextLeft"/>
            </w:pPr>
            <w:r w:rsidRPr="00934ECC">
              <w:t>General behavioral health integration care management services</w:t>
            </w:r>
          </w:p>
        </w:tc>
      </w:tr>
      <w:tr w:rsidR="00485FDD" w14:paraId="0C5B0B19" w14:textId="77777777" w:rsidTr="00E46E58">
        <w:tc>
          <w:tcPr>
            <w:tcW w:w="1980" w:type="dxa"/>
          </w:tcPr>
          <w:p w14:paraId="2EC79EBC" w14:textId="77777777" w:rsidR="00485FDD" w:rsidRPr="00917199" w:rsidRDefault="00485FDD" w:rsidP="00E46E58">
            <w:pPr>
              <w:pStyle w:val="TableTextLeft"/>
            </w:pPr>
            <w:r w:rsidRPr="00934ECC">
              <w:t>99492-99494</w:t>
            </w:r>
          </w:p>
        </w:tc>
        <w:tc>
          <w:tcPr>
            <w:tcW w:w="7380" w:type="dxa"/>
          </w:tcPr>
          <w:p w14:paraId="3B216CE3" w14:textId="77777777" w:rsidR="00485FDD" w:rsidRPr="00917199" w:rsidRDefault="00485FDD" w:rsidP="00E46E58">
            <w:pPr>
              <w:pStyle w:val="TableTextLeft"/>
            </w:pPr>
            <w:r w:rsidRPr="00934ECC">
              <w:t>Psychiatric collaborative care management</w:t>
            </w:r>
          </w:p>
        </w:tc>
      </w:tr>
      <w:tr w:rsidR="00485FDD" w14:paraId="794815F5" w14:textId="77777777" w:rsidTr="00E46E58">
        <w:tc>
          <w:tcPr>
            <w:tcW w:w="1980" w:type="dxa"/>
          </w:tcPr>
          <w:p w14:paraId="1BC56E43" w14:textId="77777777" w:rsidR="00485FDD" w:rsidRPr="00917199" w:rsidRDefault="00485FDD" w:rsidP="00E46E58">
            <w:pPr>
              <w:pStyle w:val="TableTextLeft"/>
            </w:pPr>
            <w:r w:rsidRPr="00934ECC">
              <w:t>99495–99496</w:t>
            </w:r>
          </w:p>
        </w:tc>
        <w:tc>
          <w:tcPr>
            <w:tcW w:w="7380" w:type="dxa"/>
          </w:tcPr>
          <w:p w14:paraId="0023D251" w14:textId="77777777" w:rsidR="00485FDD" w:rsidRPr="00917199" w:rsidRDefault="00485FDD" w:rsidP="00E46E58">
            <w:pPr>
              <w:pStyle w:val="TableTextLeft"/>
            </w:pPr>
            <w:r w:rsidRPr="00934ECC">
              <w:t>Transitional care management services</w:t>
            </w:r>
          </w:p>
        </w:tc>
      </w:tr>
      <w:tr w:rsidR="00485FDD" w14:paraId="215181AE" w14:textId="77777777" w:rsidTr="00E46E58">
        <w:tc>
          <w:tcPr>
            <w:tcW w:w="1980" w:type="dxa"/>
          </w:tcPr>
          <w:p w14:paraId="5D7F6279" w14:textId="77777777" w:rsidR="00485FDD" w:rsidRPr="00917199" w:rsidRDefault="00485FDD" w:rsidP="00E46E58">
            <w:pPr>
              <w:pStyle w:val="TableTextLeft"/>
            </w:pPr>
            <w:r w:rsidRPr="00934ECC">
              <w:t>99497–99498</w:t>
            </w:r>
          </w:p>
        </w:tc>
        <w:tc>
          <w:tcPr>
            <w:tcW w:w="7380" w:type="dxa"/>
          </w:tcPr>
          <w:p w14:paraId="7AF19797" w14:textId="77777777" w:rsidR="00485FDD" w:rsidRPr="00917199" w:rsidRDefault="00485FDD" w:rsidP="00E46E58">
            <w:pPr>
              <w:pStyle w:val="TableTextLeft"/>
            </w:pPr>
            <w:r w:rsidRPr="00934ECC">
              <w:t xml:space="preserve">Advance care </w:t>
            </w:r>
            <w:proofErr w:type="spellStart"/>
            <w:r w:rsidRPr="00934ECC">
              <w:t>planning</w:t>
            </w:r>
            <w:r w:rsidRPr="00F44642">
              <w:rPr>
                <w:vertAlign w:val="superscript"/>
              </w:rPr>
              <w:t>a</w:t>
            </w:r>
            <w:proofErr w:type="spellEnd"/>
          </w:p>
        </w:tc>
      </w:tr>
      <w:tr w:rsidR="00485FDD" w14:paraId="6DF5B2E1" w14:textId="77777777" w:rsidTr="00E46E58">
        <w:tc>
          <w:tcPr>
            <w:tcW w:w="1980" w:type="dxa"/>
          </w:tcPr>
          <w:p w14:paraId="4EE8B392" w14:textId="77777777" w:rsidR="00485FDD" w:rsidRPr="00917199" w:rsidRDefault="00485FDD" w:rsidP="00E46E58">
            <w:pPr>
              <w:pStyle w:val="TableTextLeft"/>
            </w:pPr>
            <w:r w:rsidRPr="00934ECC">
              <w:lastRenderedPageBreak/>
              <w:t>99499</w:t>
            </w:r>
          </w:p>
        </w:tc>
        <w:tc>
          <w:tcPr>
            <w:tcW w:w="7380" w:type="dxa"/>
          </w:tcPr>
          <w:p w14:paraId="503DCD31" w14:textId="77777777" w:rsidR="00485FDD" w:rsidRPr="00917199" w:rsidRDefault="00485FDD" w:rsidP="00E46E58">
            <w:pPr>
              <w:pStyle w:val="TableTextLeft"/>
            </w:pPr>
            <w:r w:rsidRPr="00934ECC">
              <w:t xml:space="preserve">Other (unlisted preventive medicine; unlisted evaluation and management </w:t>
            </w:r>
            <w:proofErr w:type="gramStart"/>
            <w:r w:rsidRPr="00934ECC">
              <w:t>service)</w:t>
            </w:r>
            <w:r w:rsidRPr="00FB0F34">
              <w:rPr>
                <w:vertAlign w:val="superscript"/>
              </w:rPr>
              <w:t>a</w:t>
            </w:r>
            <w:proofErr w:type="gramEnd"/>
          </w:p>
        </w:tc>
      </w:tr>
      <w:tr w:rsidR="00485FDD" w14:paraId="2940271C" w14:textId="77777777" w:rsidTr="00E46E58">
        <w:tc>
          <w:tcPr>
            <w:tcW w:w="1980" w:type="dxa"/>
          </w:tcPr>
          <w:p w14:paraId="05DC5907" w14:textId="77777777" w:rsidR="00485FDD" w:rsidRPr="00917199" w:rsidRDefault="00485FDD" w:rsidP="00E46E58">
            <w:pPr>
              <w:pStyle w:val="TableTextLeft"/>
            </w:pPr>
            <w:r w:rsidRPr="00934ECC">
              <w:t>G0181–G0182</w:t>
            </w:r>
          </w:p>
        </w:tc>
        <w:tc>
          <w:tcPr>
            <w:tcW w:w="7380" w:type="dxa"/>
          </w:tcPr>
          <w:p w14:paraId="71501B9C" w14:textId="77777777" w:rsidR="00485FDD" w:rsidRPr="00917199" w:rsidRDefault="00485FDD" w:rsidP="00E46E58">
            <w:pPr>
              <w:pStyle w:val="TableTextLeft"/>
            </w:pPr>
            <w:r w:rsidRPr="00934ECC">
              <w:t xml:space="preserve">Care plan oversight services, patient </w:t>
            </w:r>
            <w:proofErr w:type="spellStart"/>
            <w:r w:rsidRPr="00934ECC">
              <w:t>presen</w:t>
            </w:r>
            <w:r w:rsidRPr="00F44642">
              <w:t>t</w:t>
            </w:r>
            <w:r w:rsidRPr="00F44642">
              <w:rPr>
                <w:vertAlign w:val="superscript"/>
              </w:rPr>
              <w:t>a</w:t>
            </w:r>
            <w:proofErr w:type="spellEnd"/>
          </w:p>
        </w:tc>
      </w:tr>
      <w:tr w:rsidR="00485FDD" w14:paraId="1A215709" w14:textId="77777777" w:rsidTr="00E46E58">
        <w:tc>
          <w:tcPr>
            <w:tcW w:w="1980" w:type="dxa"/>
          </w:tcPr>
          <w:p w14:paraId="1D292555" w14:textId="77777777" w:rsidR="00485FDD" w:rsidRPr="00917199" w:rsidRDefault="00485FDD" w:rsidP="00E46E58">
            <w:pPr>
              <w:pStyle w:val="TableTextLeft"/>
            </w:pPr>
            <w:r w:rsidRPr="00934ECC">
              <w:t xml:space="preserve">G0402 </w:t>
            </w:r>
          </w:p>
        </w:tc>
        <w:tc>
          <w:tcPr>
            <w:tcW w:w="7380" w:type="dxa"/>
          </w:tcPr>
          <w:p w14:paraId="4E89DE48" w14:textId="77777777" w:rsidR="00485FDD" w:rsidRPr="00917199" w:rsidRDefault="00485FDD" w:rsidP="00E46E58">
            <w:pPr>
              <w:pStyle w:val="TableTextLeft"/>
            </w:pPr>
            <w:r w:rsidRPr="00934ECC">
              <w:t xml:space="preserve">Initial Medicare visit </w:t>
            </w:r>
          </w:p>
        </w:tc>
      </w:tr>
      <w:tr w:rsidR="00485FDD" w14:paraId="09AE68DE" w14:textId="77777777" w:rsidTr="00E46E58">
        <w:tc>
          <w:tcPr>
            <w:tcW w:w="1980" w:type="dxa"/>
          </w:tcPr>
          <w:p w14:paraId="0C14B6CF" w14:textId="77777777" w:rsidR="00485FDD" w:rsidRPr="00934ECC" w:rsidRDefault="00485FDD" w:rsidP="00E46E58">
            <w:pPr>
              <w:pStyle w:val="TableTextLeft"/>
            </w:pPr>
            <w:r w:rsidRPr="00807D8A">
              <w:t xml:space="preserve">G0438 </w:t>
            </w:r>
          </w:p>
        </w:tc>
        <w:tc>
          <w:tcPr>
            <w:tcW w:w="7380" w:type="dxa"/>
          </w:tcPr>
          <w:p w14:paraId="11B5E211" w14:textId="77777777" w:rsidR="00485FDD" w:rsidRPr="00934ECC" w:rsidRDefault="00485FDD" w:rsidP="00E46E58">
            <w:pPr>
              <w:pStyle w:val="TableTextLeft"/>
            </w:pPr>
            <w:r w:rsidRPr="00807D8A">
              <w:t xml:space="preserve">Annual wellness visit, initial </w:t>
            </w:r>
          </w:p>
        </w:tc>
      </w:tr>
      <w:tr w:rsidR="00485FDD" w14:paraId="12C80D07" w14:textId="77777777" w:rsidTr="00E46E58">
        <w:tc>
          <w:tcPr>
            <w:tcW w:w="1980" w:type="dxa"/>
          </w:tcPr>
          <w:p w14:paraId="02F9B317" w14:textId="77777777" w:rsidR="00485FDD" w:rsidRPr="00934ECC" w:rsidRDefault="00485FDD" w:rsidP="00E46E58">
            <w:pPr>
              <w:pStyle w:val="TableTextLeft"/>
            </w:pPr>
            <w:r w:rsidRPr="00807D8A">
              <w:t xml:space="preserve">G0439 </w:t>
            </w:r>
          </w:p>
        </w:tc>
        <w:tc>
          <w:tcPr>
            <w:tcW w:w="7380" w:type="dxa"/>
          </w:tcPr>
          <w:p w14:paraId="405833CD" w14:textId="77777777" w:rsidR="00485FDD" w:rsidRPr="00934ECC" w:rsidRDefault="00485FDD" w:rsidP="00E46E58">
            <w:pPr>
              <w:pStyle w:val="TableTextLeft"/>
            </w:pPr>
            <w:r w:rsidRPr="00807D8A">
              <w:t xml:space="preserve">Annual wellness visit, subsequent </w:t>
            </w:r>
          </w:p>
        </w:tc>
      </w:tr>
      <w:tr w:rsidR="00485FDD" w14:paraId="4659D558" w14:textId="77777777" w:rsidTr="00E46E58">
        <w:tc>
          <w:tcPr>
            <w:tcW w:w="1980" w:type="dxa"/>
          </w:tcPr>
          <w:p w14:paraId="1FA88FF3" w14:textId="77777777" w:rsidR="00485FDD" w:rsidRPr="00934ECC" w:rsidRDefault="00485FDD" w:rsidP="00E46E58">
            <w:pPr>
              <w:pStyle w:val="TableTextLeft"/>
            </w:pPr>
            <w:r w:rsidRPr="00807D8A">
              <w:t xml:space="preserve">G0463 </w:t>
            </w:r>
          </w:p>
        </w:tc>
        <w:tc>
          <w:tcPr>
            <w:tcW w:w="7380" w:type="dxa"/>
          </w:tcPr>
          <w:p w14:paraId="20A71EEB" w14:textId="77777777" w:rsidR="00485FDD" w:rsidRPr="00934ECC" w:rsidRDefault="00485FDD" w:rsidP="00E46E58">
            <w:pPr>
              <w:pStyle w:val="TableTextLeft"/>
            </w:pPr>
            <w:r w:rsidRPr="00807D8A">
              <w:t xml:space="preserve">Hospital outpatient clinic visit (ETA hospitals </w:t>
            </w:r>
            <w:proofErr w:type="gramStart"/>
            <w:r w:rsidRPr="00807D8A">
              <w:t>only)</w:t>
            </w:r>
            <w:r w:rsidRPr="00FB0F34">
              <w:rPr>
                <w:vertAlign w:val="superscript"/>
              </w:rPr>
              <w:t>a</w:t>
            </w:r>
            <w:proofErr w:type="gramEnd"/>
          </w:p>
        </w:tc>
      </w:tr>
      <w:tr w:rsidR="00485FDD" w14:paraId="75D5A414" w14:textId="77777777" w:rsidTr="00E46E58">
        <w:tc>
          <w:tcPr>
            <w:tcW w:w="1980" w:type="dxa"/>
          </w:tcPr>
          <w:p w14:paraId="7F5A5EBE" w14:textId="77777777" w:rsidR="00485FDD" w:rsidRPr="00934ECC" w:rsidRDefault="00485FDD" w:rsidP="00E46E58">
            <w:pPr>
              <w:pStyle w:val="TableTextLeft"/>
            </w:pPr>
            <w:r w:rsidRPr="00807D8A">
              <w:t>90791</w:t>
            </w:r>
          </w:p>
        </w:tc>
        <w:tc>
          <w:tcPr>
            <w:tcW w:w="7380" w:type="dxa"/>
          </w:tcPr>
          <w:p w14:paraId="48F18DB1" w14:textId="77777777" w:rsidR="00485FDD" w:rsidRPr="00934ECC" w:rsidRDefault="00485FDD" w:rsidP="00E46E58">
            <w:pPr>
              <w:pStyle w:val="TableTextLeft"/>
            </w:pPr>
            <w:r w:rsidRPr="00807D8A">
              <w:t>Psychiatric diagnostic evaluation (no medical services) completed by a non-physician</w:t>
            </w:r>
          </w:p>
        </w:tc>
      </w:tr>
      <w:tr w:rsidR="00485FDD" w14:paraId="4D2F16E8" w14:textId="77777777" w:rsidTr="00E46E58">
        <w:tc>
          <w:tcPr>
            <w:tcW w:w="1980" w:type="dxa"/>
          </w:tcPr>
          <w:p w14:paraId="200478DF" w14:textId="77777777" w:rsidR="00485FDD" w:rsidRPr="00934ECC" w:rsidRDefault="00485FDD" w:rsidP="00E46E58">
            <w:pPr>
              <w:pStyle w:val="TableTextLeft"/>
            </w:pPr>
            <w:r w:rsidRPr="00807D8A">
              <w:t>90792</w:t>
            </w:r>
          </w:p>
        </w:tc>
        <w:tc>
          <w:tcPr>
            <w:tcW w:w="7380" w:type="dxa"/>
          </w:tcPr>
          <w:p w14:paraId="669DC22D" w14:textId="77777777" w:rsidR="00485FDD" w:rsidRPr="00934ECC" w:rsidRDefault="00485FDD" w:rsidP="00E46E58">
            <w:pPr>
              <w:pStyle w:val="TableTextLeft"/>
            </w:pPr>
            <w:r w:rsidRPr="00807D8A">
              <w:t>Psychiatric diagnostic evaluation (with medical services) completed by a physician</w:t>
            </w:r>
          </w:p>
        </w:tc>
      </w:tr>
      <w:tr w:rsidR="00485FDD" w14:paraId="2BA5D350" w14:textId="77777777" w:rsidTr="00E46E58">
        <w:tc>
          <w:tcPr>
            <w:tcW w:w="1980" w:type="dxa"/>
          </w:tcPr>
          <w:p w14:paraId="228EA4F7" w14:textId="77777777" w:rsidR="00485FDD" w:rsidRPr="00934ECC" w:rsidRDefault="00485FDD" w:rsidP="00E46E58">
            <w:pPr>
              <w:pStyle w:val="TableTextLeft"/>
            </w:pPr>
            <w:r w:rsidRPr="00807D8A">
              <w:t>90832, 90834, 90837, 90865</w:t>
            </w:r>
          </w:p>
        </w:tc>
        <w:tc>
          <w:tcPr>
            <w:tcW w:w="7380" w:type="dxa"/>
          </w:tcPr>
          <w:p w14:paraId="555B53AC" w14:textId="77777777" w:rsidR="00485FDD" w:rsidRPr="00934ECC" w:rsidRDefault="00485FDD" w:rsidP="00E46E58">
            <w:pPr>
              <w:pStyle w:val="TableTextLeft"/>
            </w:pPr>
            <w:proofErr w:type="spellStart"/>
            <w:r w:rsidRPr="00807D8A">
              <w:t>Psychotherapy</w:t>
            </w:r>
            <w:r w:rsidRPr="00F44642">
              <w:rPr>
                <w:vertAlign w:val="superscript"/>
              </w:rPr>
              <w:t>a</w:t>
            </w:r>
            <w:proofErr w:type="spellEnd"/>
          </w:p>
        </w:tc>
      </w:tr>
      <w:tr w:rsidR="00485FDD" w14:paraId="713E18A9" w14:textId="77777777" w:rsidTr="00E46E58">
        <w:tc>
          <w:tcPr>
            <w:tcW w:w="1980" w:type="dxa"/>
          </w:tcPr>
          <w:p w14:paraId="13A87823" w14:textId="77777777" w:rsidR="00485FDD" w:rsidRPr="00934ECC" w:rsidRDefault="00485FDD" w:rsidP="00E46E58">
            <w:pPr>
              <w:pStyle w:val="TableTextLeft"/>
            </w:pPr>
            <w:r w:rsidRPr="00807D8A">
              <w:t>90839</w:t>
            </w:r>
          </w:p>
        </w:tc>
        <w:tc>
          <w:tcPr>
            <w:tcW w:w="7380" w:type="dxa"/>
          </w:tcPr>
          <w:p w14:paraId="4115828C" w14:textId="77777777" w:rsidR="00485FDD" w:rsidRPr="00934ECC" w:rsidRDefault="00485FDD" w:rsidP="00E46E58">
            <w:pPr>
              <w:pStyle w:val="TableTextLeft"/>
            </w:pPr>
            <w:r w:rsidRPr="00807D8A">
              <w:t xml:space="preserve">Psychotherapy for </w:t>
            </w:r>
            <w:proofErr w:type="spellStart"/>
            <w:r w:rsidRPr="00807D8A">
              <w:t>crisis</w:t>
            </w:r>
            <w:r w:rsidRPr="00F44642">
              <w:rPr>
                <w:vertAlign w:val="superscript"/>
              </w:rPr>
              <w:t>a</w:t>
            </w:r>
            <w:proofErr w:type="spellEnd"/>
          </w:p>
        </w:tc>
      </w:tr>
      <w:tr w:rsidR="00485FDD" w14:paraId="4010E803" w14:textId="77777777" w:rsidTr="00E46E58">
        <w:tc>
          <w:tcPr>
            <w:tcW w:w="1980" w:type="dxa"/>
          </w:tcPr>
          <w:p w14:paraId="7645097F" w14:textId="77777777" w:rsidR="00485FDD" w:rsidRPr="00934ECC" w:rsidRDefault="00485FDD" w:rsidP="00E46E58">
            <w:pPr>
              <w:pStyle w:val="TableTextLeft"/>
            </w:pPr>
            <w:r w:rsidRPr="00807D8A">
              <w:t>90845, 90847, 90846, 90849, 90853, 90880</w:t>
            </w:r>
          </w:p>
        </w:tc>
        <w:tc>
          <w:tcPr>
            <w:tcW w:w="7380" w:type="dxa"/>
          </w:tcPr>
          <w:p w14:paraId="518A41F3" w14:textId="77777777" w:rsidR="00485FDD" w:rsidRPr="00934ECC" w:rsidRDefault="00485FDD" w:rsidP="00E46E58">
            <w:pPr>
              <w:pStyle w:val="TableTextLeft"/>
            </w:pPr>
            <w:r w:rsidRPr="00807D8A">
              <w:t xml:space="preserve">Other </w:t>
            </w:r>
            <w:proofErr w:type="spellStart"/>
            <w:r w:rsidRPr="00807D8A">
              <w:t>psychotherapy</w:t>
            </w:r>
            <w:r w:rsidRPr="00F44642">
              <w:rPr>
                <w:vertAlign w:val="superscript"/>
              </w:rPr>
              <w:t>a</w:t>
            </w:r>
            <w:proofErr w:type="spellEnd"/>
          </w:p>
        </w:tc>
      </w:tr>
      <w:tr w:rsidR="00485FDD" w14:paraId="6987E3D7" w14:textId="77777777" w:rsidTr="00E46E58">
        <w:tc>
          <w:tcPr>
            <w:tcW w:w="1980" w:type="dxa"/>
          </w:tcPr>
          <w:p w14:paraId="63A181AC" w14:textId="77777777" w:rsidR="00485FDD" w:rsidRPr="00934ECC" w:rsidRDefault="00485FDD" w:rsidP="00E46E58">
            <w:pPr>
              <w:pStyle w:val="TableTextLeft"/>
            </w:pPr>
            <w:r w:rsidRPr="00807D8A">
              <w:t>92002, 92004, 92012, 92014</w:t>
            </w:r>
          </w:p>
        </w:tc>
        <w:tc>
          <w:tcPr>
            <w:tcW w:w="7380" w:type="dxa"/>
          </w:tcPr>
          <w:p w14:paraId="45F8815F" w14:textId="77777777" w:rsidR="00485FDD" w:rsidRPr="00934ECC" w:rsidRDefault="00485FDD" w:rsidP="00E46E58">
            <w:pPr>
              <w:pStyle w:val="TableTextLeft"/>
            </w:pPr>
            <w:r w:rsidRPr="00807D8A">
              <w:t xml:space="preserve">Ophthalmology exam and </w:t>
            </w:r>
            <w:proofErr w:type="spellStart"/>
            <w:r w:rsidRPr="00807D8A">
              <w:t>evaluation</w:t>
            </w:r>
            <w:r w:rsidRPr="00F44642">
              <w:rPr>
                <w:vertAlign w:val="superscript"/>
              </w:rPr>
              <w:t>a</w:t>
            </w:r>
            <w:proofErr w:type="spellEnd"/>
          </w:p>
        </w:tc>
      </w:tr>
      <w:tr w:rsidR="00485FDD" w14:paraId="3C6C7263" w14:textId="77777777" w:rsidTr="00E46E58">
        <w:tc>
          <w:tcPr>
            <w:tcW w:w="1980" w:type="dxa"/>
            <w:tcBorders>
              <w:bottom w:val="nil"/>
            </w:tcBorders>
          </w:tcPr>
          <w:p w14:paraId="1D3C9024" w14:textId="77777777" w:rsidR="00485FDD" w:rsidRPr="00934ECC" w:rsidRDefault="00485FDD" w:rsidP="00E46E58">
            <w:pPr>
              <w:pStyle w:val="TableTextLeft"/>
            </w:pPr>
            <w:r w:rsidRPr="00807D8A">
              <w:t>90804,90816, 90806, 90818, 90808, 90821</w:t>
            </w:r>
          </w:p>
        </w:tc>
        <w:tc>
          <w:tcPr>
            <w:tcW w:w="7380" w:type="dxa"/>
            <w:tcBorders>
              <w:bottom w:val="nil"/>
            </w:tcBorders>
          </w:tcPr>
          <w:p w14:paraId="3772712C" w14:textId="77777777" w:rsidR="00485FDD" w:rsidRPr="00934ECC" w:rsidRDefault="00485FDD" w:rsidP="00E46E58">
            <w:pPr>
              <w:pStyle w:val="TableTextLeft"/>
            </w:pPr>
            <w:r w:rsidRPr="00807D8A">
              <w:t xml:space="preserve">Retired psychotherapy codes (outpatient and </w:t>
            </w:r>
            <w:proofErr w:type="gramStart"/>
            <w:r w:rsidRPr="00807D8A">
              <w:t>inpatient)</w:t>
            </w:r>
            <w:r w:rsidRPr="00FB0F34">
              <w:rPr>
                <w:vertAlign w:val="superscript"/>
              </w:rPr>
              <w:t>a</w:t>
            </w:r>
            <w:proofErr w:type="gramEnd"/>
          </w:p>
        </w:tc>
      </w:tr>
      <w:tr w:rsidR="00485FDD" w14:paraId="1D6A3DB2" w14:textId="77777777" w:rsidTr="00E46E58">
        <w:tc>
          <w:tcPr>
            <w:tcW w:w="9360" w:type="dxa"/>
            <w:gridSpan w:val="2"/>
            <w:tcBorders>
              <w:top w:val="nil"/>
              <w:bottom w:val="nil"/>
            </w:tcBorders>
            <w:shd w:val="clear" w:color="auto" w:fill="0B2949" w:themeFill="accent1"/>
          </w:tcPr>
          <w:p w14:paraId="276D0BCB" w14:textId="77777777" w:rsidR="00485FDD" w:rsidRPr="00807D8A" w:rsidRDefault="00485FDD" w:rsidP="00E46E58">
            <w:pPr>
              <w:pStyle w:val="TableRowHead"/>
            </w:pPr>
            <w:r w:rsidRPr="00F44642">
              <w:t>FQHC and RHC practices with claims in the outpatient file</w:t>
            </w:r>
          </w:p>
        </w:tc>
      </w:tr>
      <w:tr w:rsidR="00485FDD" w14:paraId="4F0AEFE0" w14:textId="77777777" w:rsidTr="00E46E58">
        <w:tc>
          <w:tcPr>
            <w:tcW w:w="1980" w:type="dxa"/>
            <w:tcBorders>
              <w:top w:val="nil"/>
            </w:tcBorders>
          </w:tcPr>
          <w:p w14:paraId="0FCD8C11" w14:textId="77777777" w:rsidR="00485FDD" w:rsidRPr="00807D8A" w:rsidRDefault="00485FDD" w:rsidP="00E46E58">
            <w:pPr>
              <w:pStyle w:val="TableTextLeft"/>
            </w:pPr>
            <w:r w:rsidRPr="00F8478A">
              <w:t>0521</w:t>
            </w:r>
          </w:p>
        </w:tc>
        <w:tc>
          <w:tcPr>
            <w:tcW w:w="7380" w:type="dxa"/>
            <w:tcBorders>
              <w:top w:val="nil"/>
            </w:tcBorders>
          </w:tcPr>
          <w:p w14:paraId="5B8316B4" w14:textId="77777777" w:rsidR="00485FDD" w:rsidRPr="00807D8A" w:rsidRDefault="00485FDD" w:rsidP="00E46E58">
            <w:pPr>
              <w:pStyle w:val="TableTextLeft"/>
            </w:pPr>
            <w:r w:rsidRPr="00F8478A">
              <w:t>Clinic visit by beneficiary to the FQHC</w:t>
            </w:r>
          </w:p>
        </w:tc>
      </w:tr>
      <w:tr w:rsidR="00485FDD" w14:paraId="51668CD5" w14:textId="77777777" w:rsidTr="00E46E58">
        <w:tc>
          <w:tcPr>
            <w:tcW w:w="1980" w:type="dxa"/>
          </w:tcPr>
          <w:p w14:paraId="71A14135" w14:textId="77777777" w:rsidR="00485FDD" w:rsidRPr="00807D8A" w:rsidRDefault="00485FDD" w:rsidP="00E46E58">
            <w:pPr>
              <w:pStyle w:val="TableTextLeft"/>
            </w:pPr>
            <w:r w:rsidRPr="00F8478A">
              <w:t>0522</w:t>
            </w:r>
          </w:p>
        </w:tc>
        <w:tc>
          <w:tcPr>
            <w:tcW w:w="7380" w:type="dxa"/>
          </w:tcPr>
          <w:p w14:paraId="524F907A" w14:textId="77777777" w:rsidR="00485FDD" w:rsidRPr="00807D8A" w:rsidRDefault="00485FDD" w:rsidP="00E46E58">
            <w:pPr>
              <w:pStyle w:val="TableTextLeft"/>
            </w:pPr>
            <w:r w:rsidRPr="00F8478A">
              <w:t>Home visit by FQHC/RHC practitioner</w:t>
            </w:r>
          </w:p>
        </w:tc>
      </w:tr>
      <w:tr w:rsidR="00485FDD" w14:paraId="10480697" w14:textId="77777777" w:rsidTr="00E46E58">
        <w:tc>
          <w:tcPr>
            <w:tcW w:w="1980" w:type="dxa"/>
          </w:tcPr>
          <w:p w14:paraId="6635B286" w14:textId="77777777" w:rsidR="00485FDD" w:rsidRPr="00807D8A" w:rsidRDefault="00485FDD" w:rsidP="00E46E58">
            <w:pPr>
              <w:pStyle w:val="TableTextLeft"/>
            </w:pPr>
            <w:r w:rsidRPr="00F8478A">
              <w:t>0524</w:t>
            </w:r>
          </w:p>
        </w:tc>
        <w:tc>
          <w:tcPr>
            <w:tcW w:w="7380" w:type="dxa"/>
          </w:tcPr>
          <w:p w14:paraId="350EB524" w14:textId="77777777" w:rsidR="00485FDD" w:rsidRPr="00807D8A" w:rsidRDefault="00485FDD" w:rsidP="00E46E58">
            <w:pPr>
              <w:pStyle w:val="TableTextLeft"/>
            </w:pPr>
            <w:r w:rsidRPr="00F8478A">
              <w:t>Visit by RHC/FQHC practitioner to a member in a covered Part A stay at a SNF</w:t>
            </w:r>
          </w:p>
        </w:tc>
      </w:tr>
      <w:tr w:rsidR="00485FDD" w14:paraId="7FBDB53C" w14:textId="77777777" w:rsidTr="00E46E58">
        <w:tc>
          <w:tcPr>
            <w:tcW w:w="1980" w:type="dxa"/>
          </w:tcPr>
          <w:p w14:paraId="36318089" w14:textId="77777777" w:rsidR="00485FDD" w:rsidRPr="00807D8A" w:rsidRDefault="00485FDD" w:rsidP="00E46E58">
            <w:pPr>
              <w:pStyle w:val="TableTextLeft"/>
            </w:pPr>
            <w:r w:rsidRPr="00F8478A">
              <w:t>0525, except if provided in a SNF</w:t>
            </w:r>
          </w:p>
        </w:tc>
        <w:tc>
          <w:tcPr>
            <w:tcW w:w="7380" w:type="dxa"/>
          </w:tcPr>
          <w:p w14:paraId="241CCBA8" w14:textId="77777777" w:rsidR="00485FDD" w:rsidRPr="00807D8A" w:rsidRDefault="00485FDD" w:rsidP="00E46E58">
            <w:pPr>
              <w:pStyle w:val="TableTextLeft"/>
            </w:pPr>
            <w:r w:rsidRPr="00F8478A">
              <w:t>Visit by FQHC practitioner to a member in a NF or ICF or other residential facility</w:t>
            </w:r>
          </w:p>
        </w:tc>
      </w:tr>
      <w:tr w:rsidR="00485FDD" w14:paraId="4617C3F1" w14:textId="77777777" w:rsidTr="00E46E58">
        <w:tc>
          <w:tcPr>
            <w:tcW w:w="1980" w:type="dxa"/>
          </w:tcPr>
          <w:p w14:paraId="2BDEAA65" w14:textId="77777777" w:rsidR="00485FDD" w:rsidRPr="00807D8A" w:rsidRDefault="00485FDD" w:rsidP="00E46E58">
            <w:pPr>
              <w:pStyle w:val="TableTextLeft"/>
            </w:pPr>
            <w:r w:rsidRPr="00F8478A">
              <w:t>0527</w:t>
            </w:r>
          </w:p>
        </w:tc>
        <w:tc>
          <w:tcPr>
            <w:tcW w:w="7380" w:type="dxa"/>
          </w:tcPr>
          <w:p w14:paraId="183BB83D" w14:textId="77777777" w:rsidR="00485FDD" w:rsidRPr="00807D8A" w:rsidRDefault="00485FDD" w:rsidP="00E46E58">
            <w:pPr>
              <w:pStyle w:val="TableTextLeft"/>
            </w:pPr>
            <w:r w:rsidRPr="00F8478A">
              <w:t xml:space="preserve">FQHC Visiting Nurse Services to a member's home when in a home health shortage </w:t>
            </w:r>
            <w:proofErr w:type="spellStart"/>
            <w:r w:rsidRPr="00F8478A">
              <w:t>area</w:t>
            </w:r>
            <w:r w:rsidRPr="00FB0F34">
              <w:rPr>
                <w:vertAlign w:val="superscript"/>
              </w:rPr>
              <w:t>a</w:t>
            </w:r>
            <w:proofErr w:type="spellEnd"/>
          </w:p>
        </w:tc>
      </w:tr>
      <w:tr w:rsidR="00485FDD" w14:paraId="1AFCE8BC" w14:textId="77777777" w:rsidTr="00E46E58">
        <w:tc>
          <w:tcPr>
            <w:tcW w:w="1980" w:type="dxa"/>
          </w:tcPr>
          <w:p w14:paraId="18C4CED8" w14:textId="77777777" w:rsidR="00485FDD" w:rsidRPr="00807D8A" w:rsidRDefault="00485FDD" w:rsidP="00E46E58">
            <w:pPr>
              <w:pStyle w:val="TableTextLeft"/>
            </w:pPr>
            <w:r w:rsidRPr="00F8478A">
              <w:t>0900</w:t>
            </w:r>
          </w:p>
        </w:tc>
        <w:tc>
          <w:tcPr>
            <w:tcW w:w="7380" w:type="dxa"/>
          </w:tcPr>
          <w:p w14:paraId="513FE339" w14:textId="77777777" w:rsidR="00485FDD" w:rsidRPr="00807D8A" w:rsidRDefault="00485FDD" w:rsidP="00E46E58">
            <w:pPr>
              <w:pStyle w:val="TableTextLeft"/>
            </w:pPr>
            <w:r w:rsidRPr="00F8478A">
              <w:t>Behavioral health treatments and services</w:t>
            </w:r>
          </w:p>
        </w:tc>
      </w:tr>
      <w:tr w:rsidR="00485FDD" w14:paraId="317E0919" w14:textId="77777777" w:rsidTr="00E46E58">
        <w:tc>
          <w:tcPr>
            <w:tcW w:w="1980" w:type="dxa"/>
          </w:tcPr>
          <w:p w14:paraId="737944C4" w14:textId="77777777" w:rsidR="00485FDD" w:rsidRPr="00807D8A" w:rsidRDefault="00485FDD" w:rsidP="00E46E58">
            <w:pPr>
              <w:pStyle w:val="TableTextLeft"/>
            </w:pPr>
            <w:r w:rsidRPr="00F8478A">
              <w:t>G0402</w:t>
            </w:r>
          </w:p>
        </w:tc>
        <w:tc>
          <w:tcPr>
            <w:tcW w:w="7380" w:type="dxa"/>
          </w:tcPr>
          <w:p w14:paraId="0E50168E" w14:textId="77777777" w:rsidR="00485FDD" w:rsidRPr="00807D8A" w:rsidRDefault="00485FDD" w:rsidP="00E46E58">
            <w:pPr>
              <w:pStyle w:val="TableTextLeft"/>
            </w:pPr>
            <w:r w:rsidRPr="00F8478A">
              <w:t>Initial Preventive Physical Examination or Welcome to Medicare Visit</w:t>
            </w:r>
          </w:p>
        </w:tc>
      </w:tr>
      <w:tr w:rsidR="00485FDD" w14:paraId="0232A44F" w14:textId="77777777" w:rsidTr="00E46E58">
        <w:tc>
          <w:tcPr>
            <w:tcW w:w="1980" w:type="dxa"/>
          </w:tcPr>
          <w:p w14:paraId="4B2FD0CF" w14:textId="77777777" w:rsidR="00485FDD" w:rsidRPr="00807D8A" w:rsidRDefault="00485FDD" w:rsidP="00E46E58">
            <w:pPr>
              <w:pStyle w:val="TableTextLeft"/>
            </w:pPr>
            <w:r w:rsidRPr="00F8478A">
              <w:t>G0438</w:t>
            </w:r>
          </w:p>
        </w:tc>
        <w:tc>
          <w:tcPr>
            <w:tcW w:w="7380" w:type="dxa"/>
          </w:tcPr>
          <w:p w14:paraId="046A6F0B" w14:textId="77777777" w:rsidR="00485FDD" w:rsidRPr="00807D8A" w:rsidRDefault="00485FDD" w:rsidP="00E46E58">
            <w:pPr>
              <w:pStyle w:val="TableTextLeft"/>
            </w:pPr>
            <w:r w:rsidRPr="00F8478A">
              <w:t>Annual wellness visit, initial</w:t>
            </w:r>
          </w:p>
        </w:tc>
      </w:tr>
      <w:tr w:rsidR="00485FDD" w14:paraId="642612F0" w14:textId="77777777" w:rsidTr="00E46E58">
        <w:tc>
          <w:tcPr>
            <w:tcW w:w="1980" w:type="dxa"/>
          </w:tcPr>
          <w:p w14:paraId="6BD61DB9" w14:textId="77777777" w:rsidR="00485FDD" w:rsidRPr="00807D8A" w:rsidRDefault="00485FDD" w:rsidP="00E46E58">
            <w:pPr>
              <w:pStyle w:val="TableTextLeft"/>
            </w:pPr>
            <w:r w:rsidRPr="00F8478A">
              <w:t>G0439</w:t>
            </w:r>
          </w:p>
        </w:tc>
        <w:tc>
          <w:tcPr>
            <w:tcW w:w="7380" w:type="dxa"/>
          </w:tcPr>
          <w:p w14:paraId="103F36CD" w14:textId="77777777" w:rsidR="00485FDD" w:rsidRPr="00807D8A" w:rsidRDefault="00485FDD" w:rsidP="00E46E58">
            <w:pPr>
              <w:pStyle w:val="TableTextLeft"/>
            </w:pPr>
            <w:r w:rsidRPr="00F8478A">
              <w:t>Annual wellness visit, subsequent</w:t>
            </w:r>
          </w:p>
        </w:tc>
      </w:tr>
    </w:tbl>
    <w:p w14:paraId="23B1716F" w14:textId="77777777" w:rsidR="00485FDD" w:rsidRDefault="00485FDD" w:rsidP="00485FDD">
      <w:pPr>
        <w:pStyle w:val="TableFootnote"/>
        <w:rPr>
          <w:rFonts w:eastAsiaTheme="minorEastAsia"/>
        </w:rPr>
      </w:pPr>
      <w:r w:rsidRPr="00BF1C5A">
        <w:rPr>
          <w:rFonts w:eastAsiaTheme="minorEastAsia"/>
          <w:vertAlign w:val="superscript"/>
        </w:rPr>
        <w:t>a</w:t>
      </w:r>
      <w:r w:rsidRPr="00BF1C5A">
        <w:rPr>
          <w:rFonts w:eastAsiaTheme="minorEastAsia"/>
        </w:rPr>
        <w:t xml:space="preserve"> Code not included in attribution methodology for MSSP.</w:t>
      </w:r>
    </w:p>
    <w:p w14:paraId="6959668B" w14:textId="77777777" w:rsidR="00485FDD" w:rsidRPr="00BF1C5A" w:rsidRDefault="00485FDD" w:rsidP="00485FDD">
      <w:pPr>
        <w:spacing w:before="40" w:after="60"/>
        <w:rPr>
          <w:rFonts w:asciiTheme="majorHAnsi" w:eastAsiaTheme="minorEastAsia" w:hAnsiTheme="majorHAnsi"/>
          <w:color w:val="000000" w:themeColor="text1"/>
          <w:sz w:val="18"/>
          <w:szCs w:val="18"/>
        </w:rPr>
        <w:sectPr w:rsidR="00485FDD" w:rsidRPr="00BF1C5A" w:rsidSect="00635751">
          <w:headerReference w:type="default" r:id="rId13"/>
          <w:type w:val="continuous"/>
          <w:pgSz w:w="12240" w:h="15840"/>
          <w:pgMar w:top="1440" w:right="1440" w:bottom="1440" w:left="1440" w:header="720" w:footer="720" w:gutter="0"/>
          <w:cols w:space="720"/>
          <w:docGrid w:linePitch="360"/>
        </w:sectPr>
      </w:pPr>
    </w:p>
    <w:p w14:paraId="7F18D722" w14:textId="77777777" w:rsidR="00485FDD" w:rsidRDefault="00485FDD" w:rsidP="00925E37"/>
    <w:p w14:paraId="4B5F55C6" w14:textId="77777777" w:rsidR="00636DBF" w:rsidRDefault="00636DBF" w:rsidP="001D5298">
      <w:pPr>
        <w:rPr>
          <w:rFonts w:asciiTheme="majorHAnsi" w:hAnsiTheme="majorHAnsi"/>
          <w:color w:val="046B5C" w:themeColor="text2"/>
          <w:sz w:val="28"/>
        </w:rPr>
      </w:pPr>
      <w:r>
        <w:br w:type="page"/>
      </w:r>
    </w:p>
    <w:p w14:paraId="7EE79FCE" w14:textId="4C8403C0" w:rsidR="00C309EA" w:rsidRPr="001D5298" w:rsidRDefault="00C309EA" w:rsidP="001D5298">
      <w:pPr>
        <w:pStyle w:val="H3"/>
      </w:pPr>
      <w:r>
        <w:t>2</w:t>
      </w:r>
      <w:r w:rsidRPr="001D5298">
        <w:t xml:space="preserve">. Comparison group selection </w:t>
      </w:r>
    </w:p>
    <w:p w14:paraId="454BBB62" w14:textId="4E7544C7" w:rsidR="00C309EA" w:rsidRPr="00C309EA" w:rsidRDefault="00C309EA" w:rsidP="001D5298">
      <w:r w:rsidRPr="00C309EA">
        <w:rPr>
          <w:b/>
          <w:color w:val="000000"/>
          <w:szCs w:val="32"/>
        </w:rPr>
        <w:t>Identifying potential comparison practices</w:t>
      </w:r>
      <w:r>
        <w:t xml:space="preserve">. </w:t>
      </w:r>
      <w:r w:rsidRPr="00C309EA">
        <w:t>To improve the likelihood of finding good matches, we started with the potential comparison group</w:t>
      </w:r>
      <w:r w:rsidRPr="00C309EA">
        <w:rPr>
          <w:rFonts w:ascii="Calibri" w:eastAsia="Calibri" w:hAnsi="Calibri"/>
        </w:rPr>
        <w:t xml:space="preserve"> </w:t>
      </w:r>
      <w:r w:rsidRPr="00C309EA">
        <w:t xml:space="preserve">of all nonparticipating practices in the country that bill Medicare. We retrospectively attributed Medicare FFS beneficiaries to every potential comparison practice by using the same methods we used for </w:t>
      </w:r>
      <w:proofErr w:type="spellStart"/>
      <w:r w:rsidRPr="00C309EA">
        <w:t>TCPi</w:t>
      </w:r>
      <w:proofErr w:type="spellEnd"/>
      <w:r w:rsidRPr="00C309EA">
        <w:t xml:space="preserve"> practices. We then constructed average baseline outcomes—</w:t>
      </w:r>
      <w:r w:rsidR="005C3534">
        <w:t xml:space="preserve">for example, </w:t>
      </w:r>
      <w:r w:rsidRPr="00C309EA">
        <w:t xml:space="preserve">total Medicare Part A and B expenditures, hospitalizations, and stand-alone ED visits (that is, ED visits that did not result in an inpatient admission)—along with baseline beneficiary demographics and chronic condition information to ensure that matched comparison practices had similar attributed patient populations at baseline. </w:t>
      </w:r>
      <w:r w:rsidRPr="00C309EA">
        <w:rPr>
          <w:szCs w:val="24"/>
        </w:rPr>
        <w:t xml:space="preserve">We applied the same practice exclusion criteria we used for </w:t>
      </w:r>
      <w:proofErr w:type="spellStart"/>
      <w:r w:rsidRPr="00C309EA">
        <w:rPr>
          <w:szCs w:val="24"/>
        </w:rPr>
        <w:t>TCPi</w:t>
      </w:r>
      <w:proofErr w:type="spellEnd"/>
      <w:r w:rsidRPr="00C309EA">
        <w:rPr>
          <w:szCs w:val="24"/>
        </w:rPr>
        <w:t xml:space="preserve"> practices</w:t>
      </w:r>
      <w:r w:rsidRPr="00C309EA">
        <w:t xml:space="preserve">. </w:t>
      </w:r>
    </w:p>
    <w:p w14:paraId="63635CEA" w14:textId="28257A19" w:rsidR="00C309EA" w:rsidRDefault="007E5C69" w:rsidP="007E5C69">
      <w:r w:rsidRPr="00C309EA">
        <w:rPr>
          <w:b/>
          <w:color w:val="000000"/>
          <w:szCs w:val="32"/>
        </w:rPr>
        <w:t>Selecting matched comparisons</w:t>
      </w:r>
      <w:r>
        <w:t xml:space="preserve">. </w:t>
      </w:r>
      <w:r w:rsidR="00C309EA" w:rsidRPr="00C309EA">
        <w:t>We used propensity score methods (Stuart</w:t>
      </w:r>
      <w:r w:rsidR="00665CD6">
        <w:t>,</w:t>
      </w:r>
      <w:r w:rsidR="00C309EA" w:rsidRPr="00C309EA">
        <w:t xml:space="preserve"> 2010) to select matched comparison practices </w:t>
      </w:r>
      <w:proofErr w:type="gramStart"/>
      <w:r w:rsidR="00C309EA" w:rsidRPr="00C309EA">
        <w:t>similar to</w:t>
      </w:r>
      <w:proofErr w:type="gramEnd"/>
      <w:r w:rsidR="00C309EA" w:rsidRPr="00C309EA">
        <w:t xml:space="preserve"> </w:t>
      </w:r>
      <w:proofErr w:type="spellStart"/>
      <w:r w:rsidR="00C309EA" w:rsidRPr="00C309EA">
        <w:t>TCPi</w:t>
      </w:r>
      <w:proofErr w:type="spellEnd"/>
      <w:r w:rsidR="00C309EA" w:rsidRPr="00C309EA">
        <w:t xml:space="preserve"> practices on a wide-ranging set of practice-, beneficiary-, and area-level characteristics. We ensured similarity between the two groups, both overall and within predefined subgroups. </w:t>
      </w:r>
    </w:p>
    <w:p w14:paraId="0147A276" w14:textId="0B326A52" w:rsidR="00217E9A" w:rsidRPr="00C309EA" w:rsidRDefault="00217E9A" w:rsidP="00217E9A">
      <w:r w:rsidRPr="00C309EA">
        <w:t>To account for unobservable health care market characteristics, we matched</w:t>
      </w:r>
      <w:r w:rsidR="00955AB5">
        <w:t xml:space="preserve"> practices</w:t>
      </w:r>
      <w:r w:rsidRPr="00C309EA">
        <w:t xml:space="preserve"> </w:t>
      </w:r>
      <w:r w:rsidR="00955AB5">
        <w:t>locally (</w:t>
      </w:r>
      <w:r w:rsidRPr="00C309EA">
        <w:t xml:space="preserve">within </w:t>
      </w:r>
      <w:proofErr w:type="gramStart"/>
      <w:r w:rsidRPr="00C309EA">
        <w:t>a</w:t>
      </w:r>
      <w:proofErr w:type="gramEnd"/>
      <w:r w:rsidRPr="00C309EA">
        <w:t xml:space="preserve"> HRR</w:t>
      </w:r>
      <w:r w:rsidR="00955AB5">
        <w:t>)</w:t>
      </w:r>
      <w:r w:rsidRPr="00C309EA">
        <w:t xml:space="preserve"> when possible. HRRs represent regional health care markets for tertiary medical care that generally requires the services of a major referral center for adults enrolled in Medicare</w:t>
      </w:r>
      <w:r>
        <w:t xml:space="preserve"> </w:t>
      </w:r>
      <w:r w:rsidRPr="00C309EA">
        <w:t>(Dartmouth Atlas Project</w:t>
      </w:r>
      <w:r w:rsidR="00665CD6">
        <w:t>,</w:t>
      </w:r>
      <w:r w:rsidRPr="00C309EA">
        <w:t xml:space="preserve"> 2020). </w:t>
      </w:r>
      <w:r w:rsidR="00955AB5">
        <w:t xml:space="preserve">When within-HRR matching was not possible, </w:t>
      </w:r>
      <w:r w:rsidRPr="00C309EA">
        <w:t>we matched within the state</w:t>
      </w:r>
      <w:r>
        <w:t xml:space="preserve"> and </w:t>
      </w:r>
      <w:r w:rsidR="00955AB5">
        <w:t>otherwise, elsewhere</w:t>
      </w:r>
      <w:r>
        <w:t xml:space="preserve">. </w:t>
      </w:r>
    </w:p>
    <w:p w14:paraId="7AE6BF59" w14:textId="59EB19F5" w:rsidR="00217E9A" w:rsidRPr="00C309EA" w:rsidRDefault="00217E9A" w:rsidP="001D5298">
      <w:r w:rsidRPr="00C309EA">
        <w:t xml:space="preserve">We matched </w:t>
      </w:r>
      <w:proofErr w:type="spellStart"/>
      <w:r w:rsidRPr="00C309EA">
        <w:t>TCPi</w:t>
      </w:r>
      <w:proofErr w:type="spellEnd"/>
      <w:r w:rsidRPr="00C309EA">
        <w:t xml:space="preserve"> and comparison practices based on </w:t>
      </w:r>
      <w:r w:rsidR="00FE5233">
        <w:t xml:space="preserve">a given </w:t>
      </w:r>
      <w:proofErr w:type="spellStart"/>
      <w:r w:rsidR="00FE5233">
        <w:t>TCPi</w:t>
      </w:r>
      <w:proofErr w:type="spellEnd"/>
      <w:r w:rsidRPr="00C309EA">
        <w:t xml:space="preserve"> practice’s quarter of enrollment</w:t>
      </w:r>
      <w:r w:rsidR="00FE5233">
        <w:t>,</w:t>
      </w:r>
      <w:r w:rsidRPr="00C309EA">
        <w:t xml:space="preserve"> to ensure that the characteristics used in matching were drawn from the same baseline period.</w:t>
      </w:r>
    </w:p>
    <w:p w14:paraId="75F07916" w14:textId="2B4FA9E4" w:rsidR="00C309EA" w:rsidRPr="00C309EA" w:rsidRDefault="00217E9A" w:rsidP="001D5298">
      <w:r>
        <w:rPr>
          <w:b/>
        </w:rPr>
        <w:t>Matching variables: e</w:t>
      </w:r>
      <w:r w:rsidR="00C309EA" w:rsidRPr="00C309EA">
        <w:rPr>
          <w:b/>
        </w:rPr>
        <w:t xml:space="preserve">xact match subgroups. </w:t>
      </w:r>
      <w:r w:rsidR="00C309EA" w:rsidRPr="00C309EA">
        <w:t xml:space="preserve">We matched </w:t>
      </w:r>
      <w:r w:rsidR="00FE5233">
        <w:t xml:space="preserve">a </w:t>
      </w:r>
      <w:r w:rsidR="00C309EA" w:rsidRPr="00C309EA">
        <w:t>comparison</w:t>
      </w:r>
      <w:r w:rsidR="00FE5233">
        <w:t xml:space="preserve"> practice</w:t>
      </w:r>
      <w:r w:rsidR="00C309EA" w:rsidRPr="00C309EA">
        <w:t xml:space="preserve"> exactly to a </w:t>
      </w:r>
      <w:proofErr w:type="spellStart"/>
      <w:r w:rsidR="00C309EA" w:rsidRPr="00C309EA">
        <w:t>TCPi</w:t>
      </w:r>
      <w:proofErr w:type="spellEnd"/>
      <w:r w:rsidR="00C309EA" w:rsidRPr="00C309EA">
        <w:t xml:space="preserve"> practice on key characteristics for which we performed subgroup analyses, listed in bullets below. For example, we always matched a primary care practice to another primary care practice.</w:t>
      </w:r>
      <w:r w:rsidR="00C309EA" w:rsidRPr="00C309EA">
        <w:rPr>
          <w:b/>
        </w:rPr>
        <w:t xml:space="preserve"> </w:t>
      </w:r>
      <w:r w:rsidR="00C309EA" w:rsidRPr="00C309EA">
        <w:t xml:space="preserve">In addition to matching exactly on subgroups, we also ensured that </w:t>
      </w:r>
      <w:proofErr w:type="spellStart"/>
      <w:r w:rsidR="00C309EA" w:rsidRPr="00C309EA">
        <w:t>TCPi</w:t>
      </w:r>
      <w:proofErr w:type="spellEnd"/>
      <w:r w:rsidR="00C309EA" w:rsidRPr="00C309EA">
        <w:t xml:space="preserve"> and matched comparison practices were similar on other characteristics within these subgroups—for example, that </w:t>
      </w:r>
      <w:proofErr w:type="spellStart"/>
      <w:r w:rsidR="00C309EA" w:rsidRPr="00C309EA">
        <w:t>TCPi</w:t>
      </w:r>
      <w:proofErr w:type="spellEnd"/>
      <w:r w:rsidR="00C309EA" w:rsidRPr="00C309EA">
        <w:t xml:space="preserve"> primary care practices were </w:t>
      </w:r>
      <w:proofErr w:type="gramStart"/>
      <w:r w:rsidR="00C309EA" w:rsidRPr="00C309EA">
        <w:t>similar to</w:t>
      </w:r>
      <w:proofErr w:type="gramEnd"/>
      <w:r w:rsidR="00C309EA" w:rsidRPr="00C309EA">
        <w:t xml:space="preserve"> matched comparison primary care practices in terms of practice size and ownership. </w:t>
      </w:r>
    </w:p>
    <w:p w14:paraId="25AE1CCE" w14:textId="77777777" w:rsidR="007E5C69" w:rsidRDefault="00C309EA" w:rsidP="007E5C69">
      <w:pPr>
        <w:pStyle w:val="ListParagraph"/>
        <w:numPr>
          <w:ilvl w:val="0"/>
          <w:numId w:val="7"/>
        </w:numPr>
        <w:ind w:left="360"/>
      </w:pPr>
      <w:r w:rsidRPr="001D5298">
        <w:rPr>
          <w:i/>
        </w:rPr>
        <w:t>Practice specialty type.</w:t>
      </w:r>
      <w:r w:rsidRPr="001D5298">
        <w:rPr>
          <w:b/>
        </w:rPr>
        <w:t xml:space="preserve"> </w:t>
      </w:r>
      <w:r w:rsidRPr="00C309EA">
        <w:t xml:space="preserve">Because program impacts might differ based on the practice specialty composition, because of differences in how practices function as well as in the beneficiaries served, we matched within these three subgroups: </w:t>
      </w:r>
    </w:p>
    <w:p w14:paraId="70CBFF0A" w14:textId="49743C19" w:rsidR="007E5C69" w:rsidRDefault="00C309EA" w:rsidP="001D5298">
      <w:pPr>
        <w:pStyle w:val="ListParagraph"/>
        <w:numPr>
          <w:ilvl w:val="1"/>
          <w:numId w:val="7"/>
        </w:numPr>
        <w:ind w:left="720"/>
      </w:pPr>
      <w:r w:rsidRPr="001D5298">
        <w:t>Primary care practices, in which more than 90 percent of clinicians have a primary care specialty (general practice and family, internal, and geriatric medicine, as used for determining primary care for assigning beneficiaries under MSSP [CMS</w:t>
      </w:r>
      <w:r w:rsidR="00665CD6">
        <w:t>,</w:t>
      </w:r>
      <w:r w:rsidRPr="001D5298">
        <w:t xml:space="preserve"> 2020]).</w:t>
      </w:r>
    </w:p>
    <w:p w14:paraId="32070E32" w14:textId="77777777" w:rsidR="007E5C69" w:rsidRDefault="00C309EA" w:rsidP="001D5298">
      <w:pPr>
        <w:pStyle w:val="ListParagraph"/>
        <w:numPr>
          <w:ilvl w:val="1"/>
          <w:numId w:val="7"/>
        </w:numPr>
        <w:ind w:left="720"/>
      </w:pPr>
      <w:r w:rsidRPr="001D5298">
        <w:t>Specialty care practices, in which less than 10 percent of clinicians have a primary care specialty</w:t>
      </w:r>
    </w:p>
    <w:p w14:paraId="7F836660" w14:textId="4C4C9BEF" w:rsidR="00C309EA" w:rsidRPr="001D5298" w:rsidRDefault="00C309EA" w:rsidP="001D5298">
      <w:pPr>
        <w:pStyle w:val="ListParagraph"/>
        <w:numPr>
          <w:ilvl w:val="1"/>
          <w:numId w:val="7"/>
        </w:numPr>
        <w:ind w:left="720"/>
      </w:pPr>
      <w:r w:rsidRPr="001D5298">
        <w:t>Mixed primary and specialty care practices, in which 10 to 90 percent of clinicians have a primary care specialty</w:t>
      </w:r>
    </w:p>
    <w:p w14:paraId="6EFB7858" w14:textId="16F8FBB2" w:rsidR="00C309EA" w:rsidRPr="00C309EA" w:rsidRDefault="00C309EA" w:rsidP="001D5298">
      <w:pPr>
        <w:ind w:left="360"/>
      </w:pPr>
      <w:r w:rsidRPr="00C309EA">
        <w:t xml:space="preserve">We ensured that matched comparison practices (and their subgroups) had a similar proportion of the most common specialties as </w:t>
      </w:r>
      <w:proofErr w:type="spellStart"/>
      <w:r w:rsidRPr="00C309EA">
        <w:t>TCPi</w:t>
      </w:r>
      <w:proofErr w:type="spellEnd"/>
      <w:r w:rsidRPr="00C309EA">
        <w:t xml:space="preserve"> practices overall. </w:t>
      </w:r>
    </w:p>
    <w:p w14:paraId="4044B165" w14:textId="3A65F35A" w:rsidR="00C309EA" w:rsidRPr="001D5298" w:rsidRDefault="00C309EA" w:rsidP="001D5298">
      <w:pPr>
        <w:pStyle w:val="ListParagraph"/>
        <w:numPr>
          <w:ilvl w:val="0"/>
          <w:numId w:val="7"/>
        </w:numPr>
        <w:ind w:left="360"/>
      </w:pPr>
      <w:r w:rsidRPr="001D5298">
        <w:rPr>
          <w:i/>
        </w:rPr>
        <w:t>Rural practices.</w:t>
      </w:r>
      <w:r w:rsidRPr="001D5298">
        <w:t xml:space="preserve"> Practices in rural areas have a limited supply of health care providers and serve some of the most marginalized populations in health care, </w:t>
      </w:r>
      <w:r w:rsidR="00955AB5">
        <w:t xml:space="preserve">we matched rural practices to other rural practices. To do so, </w:t>
      </w:r>
      <w:r w:rsidRPr="001D5298">
        <w:t>we used the U.S. Department of Agriculture’s rural–urban continuum codes indicating nonmetropolitan areas not adjacent to metropolitan areas or with an urban population of fewer than 20,000 (codes 5, 6, 7, 8, and 9) from the Area Health Resource File. Similarly, we matched exactly within practices located in an urban county.</w:t>
      </w:r>
    </w:p>
    <w:p w14:paraId="2656390C" w14:textId="5DF878BB" w:rsidR="00C309EA" w:rsidRPr="00C309EA" w:rsidRDefault="00C309EA" w:rsidP="001D5298">
      <w:pPr>
        <w:pStyle w:val="ListParagraph"/>
        <w:numPr>
          <w:ilvl w:val="0"/>
          <w:numId w:val="7"/>
        </w:numPr>
        <w:ind w:left="360"/>
      </w:pPr>
      <w:r w:rsidRPr="001D5298">
        <w:rPr>
          <w:i/>
        </w:rPr>
        <w:t>Small practices (those with fewer than four clinicians</w:t>
      </w:r>
      <w:r w:rsidRPr="00C309EA">
        <w:t>).</w:t>
      </w:r>
      <w:r w:rsidRPr="001D5298">
        <w:rPr>
          <w:i/>
        </w:rPr>
        <w:t xml:space="preserve"> </w:t>
      </w:r>
      <w:proofErr w:type="spellStart"/>
      <w:r w:rsidRPr="00C309EA">
        <w:t>TCPi</w:t>
      </w:r>
      <w:proofErr w:type="spellEnd"/>
      <w:r w:rsidRPr="00C309EA">
        <w:t xml:space="preserve"> emphasized recruiting small practices because they are more likely to face significant barriers to practice transformation </w:t>
      </w:r>
      <w:r w:rsidR="00FD166C">
        <w:t xml:space="preserve">and APM enrollment </w:t>
      </w:r>
      <w:r w:rsidRPr="00C309EA">
        <w:t xml:space="preserve">given their fewer resources and smaller infrastructure than larger practices (see, for example, </w:t>
      </w:r>
      <w:proofErr w:type="spellStart"/>
      <w:r w:rsidRPr="00C309EA">
        <w:t>Gerteis</w:t>
      </w:r>
      <w:proofErr w:type="spellEnd"/>
      <w:r w:rsidRPr="00C309EA">
        <w:t xml:space="preserve"> and </w:t>
      </w:r>
      <w:proofErr w:type="spellStart"/>
      <w:r w:rsidRPr="00C309EA">
        <w:t>Kantz</w:t>
      </w:r>
      <w:proofErr w:type="spellEnd"/>
      <w:r w:rsidR="00665CD6">
        <w:t>,</w:t>
      </w:r>
      <w:r w:rsidRPr="00C309EA">
        <w:t xml:space="preserve"> 2015). Similarly, we matched separately within larger practices (those with four or more clinicians).</w:t>
      </w:r>
    </w:p>
    <w:p w14:paraId="54D75487" w14:textId="24373247" w:rsidR="00C309EA" w:rsidRPr="00C309EA" w:rsidRDefault="00C309EA" w:rsidP="001D5298">
      <w:r w:rsidRPr="00C309EA">
        <w:t>In addition to exact matching within subgroups, we also matched exactly on whether a practice had</w:t>
      </w:r>
      <w:r w:rsidRPr="00C309EA">
        <w:rPr>
          <w:i/>
        </w:rPr>
        <w:t xml:space="preserve"> fewer than 40 attributed Medicare beneficiaries per quarter during baseline</w:t>
      </w:r>
      <w:r w:rsidRPr="00C309EA">
        <w:rPr>
          <w:iCs/>
        </w:rPr>
        <w:t>,</w:t>
      </w:r>
      <w:r w:rsidRPr="00C309EA">
        <w:rPr>
          <w:i/>
        </w:rPr>
        <w:t xml:space="preserve"> </w:t>
      </w:r>
      <w:r w:rsidRPr="00C309EA">
        <w:t xml:space="preserve">because such practices might provide fewer E&amp;M visits, thus providing different types of care than practices with many beneficiaries. </w:t>
      </w:r>
    </w:p>
    <w:p w14:paraId="2722F98D" w14:textId="17E0F6B1" w:rsidR="00C309EA" w:rsidRPr="00C309EA" w:rsidRDefault="00217E9A" w:rsidP="001D5298">
      <w:r w:rsidRPr="001D5298">
        <w:rPr>
          <w:b/>
        </w:rPr>
        <w:t xml:space="preserve">Other key matching variables. </w:t>
      </w:r>
      <w:r w:rsidR="00FD166C" w:rsidRPr="001D5298">
        <w:rPr>
          <w:bCs/>
        </w:rPr>
        <w:t>To</w:t>
      </w:r>
      <w:r w:rsidR="00FD166C">
        <w:rPr>
          <w:b/>
        </w:rPr>
        <w:t xml:space="preserve"> </w:t>
      </w:r>
      <w:r w:rsidR="00FD166C">
        <w:t xml:space="preserve">ensure that matched comparison practices served similar types of beneficiaries, we matched on many </w:t>
      </w:r>
      <w:r w:rsidR="00FD166C" w:rsidRPr="001D5298">
        <w:rPr>
          <w:b/>
          <w:bCs/>
        </w:rPr>
        <w:t>aggregated beneficiary characteristics</w:t>
      </w:r>
      <w:r w:rsidR="00FD166C">
        <w:t xml:space="preserve"> including:</w:t>
      </w:r>
    </w:p>
    <w:p w14:paraId="03CC687F" w14:textId="30190980" w:rsidR="00C309EA" w:rsidRPr="00C309EA" w:rsidRDefault="00C309EA" w:rsidP="001D5298">
      <w:pPr>
        <w:pStyle w:val="ListParagraph"/>
        <w:numPr>
          <w:ilvl w:val="0"/>
          <w:numId w:val="29"/>
        </w:numPr>
        <w:ind w:left="360"/>
      </w:pPr>
      <w:r w:rsidRPr="001D5298">
        <w:rPr>
          <w:i/>
        </w:rPr>
        <w:t>Average outcomes in each baseline quarter (or year)</w:t>
      </w:r>
      <w:r w:rsidRPr="00C309EA">
        <w:t xml:space="preserve"> for nine claims-based beneficiary outcomes, </w:t>
      </w:r>
      <w:r w:rsidR="003D6CA4">
        <w:t xml:space="preserve">aggregated to the practice level, </w:t>
      </w:r>
      <w:r w:rsidRPr="00C309EA">
        <w:t xml:space="preserve">to establish similarity in baseline trends for </w:t>
      </w:r>
      <w:proofErr w:type="spellStart"/>
      <w:r w:rsidRPr="00C309EA">
        <w:t>TCPi</w:t>
      </w:r>
      <w:proofErr w:type="spellEnd"/>
      <w:r w:rsidRPr="00C309EA">
        <w:t xml:space="preserve"> and matched comparison practices</w:t>
      </w:r>
      <w:r w:rsidR="003D6CA4">
        <w:t xml:space="preserve">. These outcomes included Medicare Part A and B expenditures, emergency department (ED) visits, inpatient admissions, admissions for heart failure, admissions for asthma or chronic obstructive pulmonary disease, 30-day unplanned readmissions, receipt of comprehensive diabetes care, appropriate imaging for low back pain, and potential opioid overuse. In </w:t>
      </w:r>
      <w:r w:rsidR="00161789">
        <w:t>Supplemental Digital Content</w:t>
      </w:r>
      <w:r w:rsidR="003D6CA4">
        <w:t xml:space="preserve"> Figure 1.2, we show the standardized differences by quarter for the three key beneficiary outcomes: Medicare expenditures, inpatient admissions, and ED visits.</w:t>
      </w:r>
    </w:p>
    <w:p w14:paraId="53D1948C" w14:textId="71A6BF30" w:rsidR="00C309EA" w:rsidRDefault="00C309EA" w:rsidP="001D5298">
      <w:pPr>
        <w:pStyle w:val="ListParagraph"/>
        <w:numPr>
          <w:ilvl w:val="0"/>
          <w:numId w:val="29"/>
        </w:numPr>
        <w:ind w:left="360"/>
      </w:pPr>
      <w:r w:rsidRPr="001D5298">
        <w:rPr>
          <w:i/>
        </w:rPr>
        <w:t xml:space="preserve">Average number of chronic conditions and average Hierarchical Condition Category score, </w:t>
      </w:r>
      <w:r w:rsidRPr="00C309EA">
        <w:t>to ensure that practices were serving beneficiaries with a similar disease burden</w:t>
      </w:r>
    </w:p>
    <w:p w14:paraId="25017A58" w14:textId="2F88D6F8" w:rsidR="00FD166C" w:rsidRPr="001D5298" w:rsidRDefault="00FD166C" w:rsidP="001D5298">
      <w:pPr>
        <w:pStyle w:val="ListParagraph"/>
        <w:numPr>
          <w:ilvl w:val="0"/>
          <w:numId w:val="29"/>
        </w:numPr>
        <w:ind w:left="360"/>
        <w:rPr>
          <w:i/>
          <w:iCs/>
        </w:rPr>
      </w:pPr>
      <w:r w:rsidRPr="001D5298">
        <w:rPr>
          <w:i/>
          <w:iCs/>
        </w:rPr>
        <w:t>Average age, gender, dual status, and original reason for Medicare entitlement</w:t>
      </w:r>
    </w:p>
    <w:p w14:paraId="2DCDBFA2" w14:textId="3506CD14" w:rsidR="004B36F2" w:rsidRDefault="00C309EA" w:rsidP="007E5C69">
      <w:r w:rsidRPr="001D5298">
        <w:rPr>
          <w:b/>
          <w:bCs/>
          <w:i/>
        </w:rPr>
        <w:t>Key practice characteristics</w:t>
      </w:r>
      <w:r w:rsidR="00FD166C">
        <w:rPr>
          <w:i/>
        </w:rPr>
        <w:t xml:space="preserve"> </w:t>
      </w:r>
      <w:r w:rsidR="004B36F2">
        <w:rPr>
          <w:i/>
        </w:rPr>
        <w:t xml:space="preserve">that could influence readiness for transformation and APMs </w:t>
      </w:r>
      <w:r w:rsidR="00FD166C" w:rsidRPr="001D5298">
        <w:rPr>
          <w:iCs/>
        </w:rPr>
        <w:t>on which we matched included</w:t>
      </w:r>
      <w:r w:rsidRPr="00C309EA">
        <w:t xml:space="preserve"> </w:t>
      </w:r>
    </w:p>
    <w:p w14:paraId="7AA0618B" w14:textId="6D26E889" w:rsidR="004B36F2" w:rsidRDefault="00217E9A" w:rsidP="001D5298">
      <w:pPr>
        <w:pStyle w:val="ListParagraph"/>
        <w:numPr>
          <w:ilvl w:val="0"/>
          <w:numId w:val="30"/>
        </w:numPr>
        <w:ind w:left="360"/>
      </w:pPr>
      <w:r w:rsidRPr="001D5298">
        <w:rPr>
          <w:i/>
          <w:iCs/>
        </w:rPr>
        <w:t>P</w:t>
      </w:r>
      <w:r w:rsidR="00FD166C" w:rsidRPr="001D5298">
        <w:rPr>
          <w:i/>
          <w:iCs/>
        </w:rPr>
        <w:t>articipation in other transformation initiatives</w:t>
      </w:r>
      <w:r w:rsidR="00FD166C">
        <w:t xml:space="preserve"> such as patient centered medical homes</w:t>
      </w:r>
      <w:r w:rsidR="004B36F2">
        <w:t xml:space="preserve"> and </w:t>
      </w:r>
      <w:r w:rsidR="00C309EA" w:rsidRPr="00C309EA">
        <w:t>practice size (as measured by the number of clinicians who serve Medicare beneficiaries)</w:t>
      </w:r>
      <w:r w:rsidR="004B36F2">
        <w:t>.</w:t>
      </w:r>
    </w:p>
    <w:p w14:paraId="2A3C927B" w14:textId="7AD6B3B7" w:rsidR="00C309EA" w:rsidRPr="00C309EA" w:rsidRDefault="004B36F2" w:rsidP="001D5298">
      <w:pPr>
        <w:pStyle w:val="ListParagraph"/>
        <w:numPr>
          <w:ilvl w:val="0"/>
          <w:numId w:val="30"/>
        </w:numPr>
        <w:ind w:left="360"/>
      </w:pPr>
      <w:r w:rsidRPr="001D5298">
        <w:rPr>
          <w:i/>
          <w:iCs/>
        </w:rPr>
        <w:t>Practice location characteristics</w:t>
      </w:r>
      <w:r>
        <w:t xml:space="preserve"> such as county </w:t>
      </w:r>
      <w:r w:rsidR="00C309EA" w:rsidRPr="00C309EA">
        <w:t>poverty rate</w:t>
      </w:r>
      <w:r w:rsidR="00217E9A">
        <w:t xml:space="preserve"> and </w:t>
      </w:r>
      <w:r>
        <w:t>characteristics of the healthcare market in which practices operate, such as hospital bed availability and primary care and specialist availability.</w:t>
      </w:r>
    </w:p>
    <w:p w14:paraId="0918344F" w14:textId="002573CA" w:rsidR="004B36F2" w:rsidRDefault="004B36F2" w:rsidP="007E5C69">
      <w:r w:rsidRPr="001D5298">
        <w:rPr>
          <w:bCs/>
        </w:rPr>
        <w:t>We</w:t>
      </w:r>
      <w:r>
        <w:rPr>
          <w:b/>
        </w:rPr>
        <w:t xml:space="preserve"> </w:t>
      </w:r>
      <w:r>
        <w:t>matched on several other variables (</w:t>
      </w:r>
      <w:r w:rsidR="00161789">
        <w:t>Supplemental Digital Content</w:t>
      </w:r>
      <w:r>
        <w:t xml:space="preserve"> Tables 1.</w:t>
      </w:r>
      <w:r w:rsidR="00D737A4">
        <w:t>2</w:t>
      </w:r>
      <w:r>
        <w:t>. and 1.</w:t>
      </w:r>
      <w:r w:rsidR="00D737A4">
        <w:t>3</w:t>
      </w:r>
      <w:r>
        <w:t>).</w:t>
      </w:r>
      <w:r w:rsidR="00C309EA" w:rsidRPr="00C309EA">
        <w:t xml:space="preserve"> </w:t>
      </w:r>
    </w:p>
    <w:p w14:paraId="17A7E945" w14:textId="00EE551E" w:rsidR="00C309EA" w:rsidRPr="00C309EA" w:rsidRDefault="004B36F2" w:rsidP="001D5298">
      <w:r w:rsidRPr="001D5298">
        <w:rPr>
          <w:b/>
          <w:bCs/>
        </w:rPr>
        <w:t xml:space="preserve">One-to-one </w:t>
      </w:r>
      <w:r w:rsidR="00217E9A">
        <w:rPr>
          <w:b/>
          <w:bCs/>
        </w:rPr>
        <w:t xml:space="preserve">optimal </w:t>
      </w:r>
      <w:r w:rsidRPr="001D5298">
        <w:rPr>
          <w:b/>
          <w:bCs/>
        </w:rPr>
        <w:t>matching</w:t>
      </w:r>
      <w:r w:rsidR="00217E9A">
        <w:rPr>
          <w:b/>
          <w:bCs/>
        </w:rPr>
        <w:t xml:space="preserve"> algorithm</w:t>
      </w:r>
      <w:r w:rsidRPr="001D5298">
        <w:rPr>
          <w:b/>
          <w:bCs/>
        </w:rPr>
        <w:t xml:space="preserve">. </w:t>
      </w:r>
      <w:r w:rsidR="00C309EA" w:rsidRPr="00C309EA">
        <w:t xml:space="preserve">We matched each </w:t>
      </w:r>
      <w:proofErr w:type="spellStart"/>
      <w:r w:rsidR="00C309EA" w:rsidRPr="00C309EA">
        <w:t>TCPi</w:t>
      </w:r>
      <w:proofErr w:type="spellEnd"/>
      <w:r w:rsidR="00C309EA" w:rsidRPr="00C309EA">
        <w:t xml:space="preserve"> practice to a single matched comparison practice because one-to-one matching produces a better matched comparison group than does matching to multiple comparisons (Smith and Todd</w:t>
      </w:r>
      <w:r w:rsidR="00665CD6">
        <w:t>,</w:t>
      </w:r>
      <w:r w:rsidR="00C309EA" w:rsidRPr="00C309EA">
        <w:t xml:space="preserve"> 2005). Further, we matched each comparison practice to only one </w:t>
      </w:r>
      <w:proofErr w:type="spellStart"/>
      <w:r w:rsidR="00C309EA" w:rsidRPr="00C309EA">
        <w:t>TCPi</w:t>
      </w:r>
      <w:proofErr w:type="spellEnd"/>
      <w:r w:rsidR="00C309EA" w:rsidRPr="00C309EA">
        <w:t xml:space="preserve"> practice because we had </w:t>
      </w:r>
      <w:proofErr w:type="gramStart"/>
      <w:r w:rsidR="00C309EA" w:rsidRPr="00C309EA">
        <w:t>a sufficient number of</w:t>
      </w:r>
      <w:proofErr w:type="gramEnd"/>
      <w:r w:rsidR="00C309EA" w:rsidRPr="00C309EA">
        <w:t xml:space="preserve"> good potential comparison practices. To select comparison practices, we used </w:t>
      </w:r>
      <w:proofErr w:type="spellStart"/>
      <w:r w:rsidR="00C309EA" w:rsidRPr="00C309EA">
        <w:t>GroupMatch</w:t>
      </w:r>
      <w:proofErr w:type="spellEnd"/>
      <w:r w:rsidR="00C309EA" w:rsidRPr="00C309EA">
        <w:t>, a technique that addresses rolling enrollment by choosing the best potential comparison practice to match each intervention practice and optimizing the balance simultaneously across all enrollment cohorts (Pimentel et al.</w:t>
      </w:r>
      <w:r w:rsidR="00665CD6">
        <w:t>,</w:t>
      </w:r>
      <w:r w:rsidR="00C309EA" w:rsidRPr="00C309EA">
        <w:t xml:space="preserve"> 2020). </w:t>
      </w:r>
      <w:proofErr w:type="spellStart"/>
      <w:r w:rsidR="00C309EA" w:rsidRPr="00C309EA">
        <w:t>GroupMatch</w:t>
      </w:r>
      <w:proofErr w:type="spellEnd"/>
      <w:r w:rsidR="00C309EA" w:rsidRPr="00C309EA">
        <w:t xml:space="preserve"> is an extension of optimal matching (Rosenbaum</w:t>
      </w:r>
      <w:r w:rsidR="00665CD6">
        <w:t>,</w:t>
      </w:r>
      <w:r w:rsidR="00C309EA" w:rsidRPr="00C309EA">
        <w:t xml:space="preserve"> 1989) which, compared to traditional matching techniques, tends to produce comparison groups that more closely resemble the intervention group on observed covariates.</w:t>
      </w:r>
    </w:p>
    <w:p w14:paraId="528C0884" w14:textId="77777777" w:rsidR="00C309EA" w:rsidRDefault="00C309EA" w:rsidP="001D5298">
      <w:pPr>
        <w:rPr>
          <w:b/>
        </w:rPr>
      </w:pPr>
      <w:r>
        <w:br w:type="page"/>
      </w:r>
    </w:p>
    <w:p w14:paraId="3666828F" w14:textId="42E6C1C5" w:rsidR="0025366A" w:rsidRDefault="00C309EA" w:rsidP="00925E37">
      <w:pPr>
        <w:pStyle w:val="H3"/>
      </w:pPr>
      <w:r>
        <w:t>3</w:t>
      </w:r>
      <w:r w:rsidR="00636DBF">
        <w:t xml:space="preserve">. </w:t>
      </w:r>
      <w:r w:rsidR="00626EFF" w:rsidRPr="00626EFF">
        <w:t xml:space="preserve">Similarity of </w:t>
      </w:r>
      <w:proofErr w:type="spellStart"/>
      <w:r w:rsidR="00626EFF" w:rsidRPr="00626EFF">
        <w:t>TCPi</w:t>
      </w:r>
      <w:proofErr w:type="spellEnd"/>
      <w:r w:rsidR="00626EFF" w:rsidRPr="00626EFF">
        <w:t xml:space="preserve"> practices and matched comparison group practices</w:t>
      </w:r>
    </w:p>
    <w:p w14:paraId="4F388E21" w14:textId="4E4360C2" w:rsidR="00955AB5" w:rsidRDefault="00955AB5" w:rsidP="00955AB5">
      <w:pPr>
        <w:pStyle w:val="Paragraph"/>
      </w:pPr>
      <w:r>
        <w:t xml:space="preserve">When determining whether matched comparison practices were sufficiently </w:t>
      </w:r>
      <w:proofErr w:type="gramStart"/>
      <w:r>
        <w:t>similar to</w:t>
      </w:r>
      <w:proofErr w:type="gramEnd"/>
      <w:r>
        <w:t xml:space="preserve"> </w:t>
      </w:r>
      <w:proofErr w:type="spellStart"/>
      <w:r>
        <w:t>TCPi</w:t>
      </w:r>
      <w:proofErr w:type="spellEnd"/>
      <w:r>
        <w:t xml:space="preserve"> practices, we relied on several diagnostics, including balance tables and density plots.  </w:t>
      </w:r>
    </w:p>
    <w:p w14:paraId="27B0FF4A" w14:textId="75D05BDE" w:rsidR="0025366A" w:rsidRDefault="00161789" w:rsidP="0025366A">
      <w:pPr>
        <w:pStyle w:val="Paragraph"/>
      </w:pPr>
      <w:r>
        <w:t>Supplemental Digital Content</w:t>
      </w:r>
      <w:r w:rsidR="0025366A">
        <w:t xml:space="preserve"> </w:t>
      </w:r>
      <w:r w:rsidR="00AF7C67">
        <w:t>Tables</w:t>
      </w:r>
      <w:r w:rsidR="0025366A">
        <w:t xml:space="preserve"> 1.</w:t>
      </w:r>
      <w:r w:rsidR="00D737A4">
        <w:t xml:space="preserve">2 </w:t>
      </w:r>
      <w:r w:rsidR="0025366A">
        <w:t>and 1.</w:t>
      </w:r>
      <w:r w:rsidR="00D737A4">
        <w:t xml:space="preserve">3 </w:t>
      </w:r>
      <w:r w:rsidR="0025366A">
        <w:t xml:space="preserve">show that </w:t>
      </w:r>
      <w:proofErr w:type="spellStart"/>
      <w:r w:rsidR="0025366A">
        <w:t>TCPi</w:t>
      </w:r>
      <w:proofErr w:type="spellEnd"/>
      <w:r w:rsidR="0025366A">
        <w:t xml:space="preserve"> practices were </w:t>
      </w:r>
      <w:proofErr w:type="gramStart"/>
      <w:r w:rsidR="0025366A">
        <w:t>similar to</w:t>
      </w:r>
      <w:proofErr w:type="gramEnd"/>
      <w:r w:rsidR="0025366A">
        <w:t xml:space="preserve"> comparison practices on </w:t>
      </w:r>
      <w:r w:rsidR="00237B2B">
        <w:t xml:space="preserve">all measured </w:t>
      </w:r>
      <w:r w:rsidR="0025366A">
        <w:t>practice</w:t>
      </w:r>
      <w:r w:rsidR="00237B2B">
        <w:t xml:space="preserve">, area, and </w:t>
      </w:r>
      <w:r w:rsidR="0025366A">
        <w:t xml:space="preserve">aggregated beneficiary characteristics. </w:t>
      </w:r>
      <w:r>
        <w:t>Supplemental Digital Content</w:t>
      </w:r>
      <w:r w:rsidR="0025366A">
        <w:t xml:space="preserve"> </w:t>
      </w:r>
      <w:r w:rsidR="00AF7C67">
        <w:t>Table</w:t>
      </w:r>
      <w:r w:rsidR="0025366A">
        <w:t xml:space="preserve"> 1.</w:t>
      </w:r>
      <w:r w:rsidR="00D737A4">
        <w:t xml:space="preserve">3 </w:t>
      </w:r>
      <w:r w:rsidR="0025366A">
        <w:t xml:space="preserve">shows average beneficiary claims-based outcomes one quarter before a practice enrolled in </w:t>
      </w:r>
      <w:proofErr w:type="spellStart"/>
      <w:r w:rsidR="0025366A">
        <w:t>TCPi</w:t>
      </w:r>
      <w:proofErr w:type="spellEnd"/>
      <w:r w:rsidR="0025366A">
        <w:t xml:space="preserve">. We also found similarity between the trends in beneficiary claims-based outcomes over time for </w:t>
      </w:r>
      <w:proofErr w:type="spellStart"/>
      <w:r w:rsidR="0025366A">
        <w:t>TCPi</w:t>
      </w:r>
      <w:proofErr w:type="spellEnd"/>
      <w:r w:rsidR="0025366A">
        <w:t xml:space="preserve"> and comparison practices (</w:t>
      </w:r>
      <w:r>
        <w:t>Supplemental Digital Content</w:t>
      </w:r>
      <w:r w:rsidR="0025366A">
        <w:t xml:space="preserve"> </w:t>
      </w:r>
      <w:r w:rsidR="00AF7C67">
        <w:t xml:space="preserve">Figure </w:t>
      </w:r>
      <w:r w:rsidR="0025366A">
        <w:t>1.</w:t>
      </w:r>
      <w:r w:rsidR="002B5FC7">
        <w:t>2</w:t>
      </w:r>
      <w:r w:rsidR="0025366A">
        <w:t>).</w:t>
      </w:r>
    </w:p>
    <w:p w14:paraId="6186FDA7" w14:textId="7DD2B87D" w:rsidR="004A22C6" w:rsidRDefault="00955AB5" w:rsidP="00955AB5">
      <w:pPr>
        <w:pStyle w:val="Paragraph"/>
      </w:pPr>
      <w:r>
        <w:t xml:space="preserve">In addition, the </w:t>
      </w:r>
      <w:r w:rsidR="000C1505">
        <w:t xml:space="preserve">distributions of the </w:t>
      </w:r>
      <w:r>
        <w:t xml:space="preserve">estimated propensity scores and key matching variables </w:t>
      </w:r>
      <w:r w:rsidR="00622BA0">
        <w:t xml:space="preserve">overlapped greatly for </w:t>
      </w:r>
      <w:proofErr w:type="spellStart"/>
      <w:r w:rsidR="00622BA0">
        <w:t>TCPi</w:t>
      </w:r>
      <w:proofErr w:type="spellEnd"/>
      <w:r w:rsidR="00622BA0">
        <w:t xml:space="preserve"> and matched comparison practices.</w:t>
      </w:r>
      <w:r>
        <w:t xml:space="preserve"> </w:t>
      </w:r>
      <w:r w:rsidR="00161789">
        <w:t>Supplemental Digital Content</w:t>
      </w:r>
      <w:r w:rsidR="00622BA0">
        <w:t xml:space="preserve"> Figure 1.3 shows the </w:t>
      </w:r>
      <w:r w:rsidR="002B5FC7">
        <w:t xml:space="preserve">distribution of </w:t>
      </w:r>
      <w:r w:rsidR="00622BA0">
        <w:t>estimated propensity score</w:t>
      </w:r>
      <w:r w:rsidR="002B5FC7">
        <w:t>s</w:t>
      </w:r>
      <w:r w:rsidR="00622BA0">
        <w:t xml:space="preserve"> for </w:t>
      </w:r>
      <w:proofErr w:type="spellStart"/>
      <w:r w:rsidR="00622BA0">
        <w:t>TCPi</w:t>
      </w:r>
      <w:proofErr w:type="spellEnd"/>
      <w:r w:rsidR="00622BA0">
        <w:t xml:space="preserve"> and matched comparison practices</w:t>
      </w:r>
      <w:r w:rsidR="004A22C6">
        <w:t xml:space="preserve">, illustrating that </w:t>
      </w:r>
      <w:r w:rsidR="005B16EB">
        <w:t>it</w:t>
      </w:r>
      <w:r w:rsidR="004A22C6">
        <w:t xml:space="preserve"> was very similar for </w:t>
      </w:r>
      <w:r w:rsidR="00622BA0">
        <w:t xml:space="preserve">the two groups. The estimated propensity score was low on average because we used all practices in the country as potential comparisons. </w:t>
      </w:r>
      <w:r w:rsidR="00505697">
        <w:t xml:space="preserve">We truncated the x-axis because of a very long tail. </w:t>
      </w:r>
      <w:r w:rsidR="00622BA0">
        <w:t xml:space="preserve">Further, </w:t>
      </w:r>
      <w:r w:rsidR="004A22C6">
        <w:t>using</w:t>
      </w:r>
      <w:r w:rsidR="00622BA0">
        <w:t xml:space="preserve"> </w:t>
      </w:r>
      <w:proofErr w:type="spellStart"/>
      <w:r w:rsidR="00622BA0">
        <w:t>GroupMatch</w:t>
      </w:r>
      <w:proofErr w:type="spellEnd"/>
      <w:r w:rsidR="004A22C6">
        <w:t xml:space="preserve"> meant that </w:t>
      </w:r>
      <w:r w:rsidR="00622BA0">
        <w:t xml:space="preserve">we ran the matching regression using the sample of </w:t>
      </w:r>
      <w:proofErr w:type="spellStart"/>
      <w:r w:rsidR="00622BA0">
        <w:t>TCPi</w:t>
      </w:r>
      <w:proofErr w:type="spellEnd"/>
      <w:r w:rsidR="00622BA0">
        <w:t xml:space="preserve"> practices and </w:t>
      </w:r>
      <w:r w:rsidR="004A22C6">
        <w:t xml:space="preserve">all nonparticipating practices in the country, duplicated so that each nonparticipating </w:t>
      </w:r>
      <w:r w:rsidR="00E20B8D">
        <w:t>practice</w:t>
      </w:r>
      <w:r w:rsidR="004A22C6">
        <w:t xml:space="preserve"> serves as a potential comparison for each enrollment cohort of </w:t>
      </w:r>
      <w:proofErr w:type="spellStart"/>
      <w:r w:rsidR="004A22C6">
        <w:t>TCPi</w:t>
      </w:r>
      <w:proofErr w:type="spellEnd"/>
      <w:r w:rsidR="004A22C6">
        <w:t xml:space="preserve"> practices. This resulted in low estimated propensity scores. However, this is not a concern because estimated propensity scores were able to differentiate between “good” and “bad” comparisons, enabling us to obtain exceptional balance on all characteristics and their distributions. See </w:t>
      </w:r>
      <w:r w:rsidR="005F5390">
        <w:t xml:space="preserve">Section 2 of </w:t>
      </w:r>
      <w:r w:rsidR="00161789">
        <w:t>Supplemental Digital Content</w:t>
      </w:r>
      <w:r w:rsidR="004A22C6">
        <w:t xml:space="preserve"> 1 for more detail about comparison group construction.</w:t>
      </w:r>
    </w:p>
    <w:p w14:paraId="629D40D0" w14:textId="2DBE41F7" w:rsidR="00955AB5" w:rsidRDefault="00161789" w:rsidP="00955AB5">
      <w:pPr>
        <w:pStyle w:val="Paragraph"/>
      </w:pPr>
      <w:r>
        <w:t>Supplemental Digital Content</w:t>
      </w:r>
      <w:r w:rsidR="00622BA0">
        <w:t xml:space="preserve"> Figure 1.4 shows</w:t>
      </w:r>
      <w:r w:rsidR="002B5FC7">
        <w:t xml:space="preserve"> the distribution of</w:t>
      </w:r>
      <w:r w:rsidR="00622BA0">
        <w:t xml:space="preserve"> practice size</w:t>
      </w:r>
      <w:r w:rsidR="002B5FC7">
        <w:t>s</w:t>
      </w:r>
      <w:r w:rsidR="00622BA0">
        <w:t xml:space="preserve"> for the two groups</w:t>
      </w:r>
      <w:r w:rsidR="004A22C6">
        <w:t>, illustrating that they were similar on this important characteristic. The densities of other key matching variables mirrored these two figures and are available upon request.</w:t>
      </w:r>
    </w:p>
    <w:p w14:paraId="0F9F8ACA" w14:textId="55614085" w:rsidR="00543DBF" w:rsidRDefault="00161789" w:rsidP="008E7E8A">
      <w:pPr>
        <w:pStyle w:val="ExhibitTitle"/>
      </w:pPr>
      <w:r>
        <w:t>Supplemental Digital Content</w:t>
      </w:r>
      <w:r w:rsidR="0025366A">
        <w:t xml:space="preserve"> </w:t>
      </w:r>
      <w:r w:rsidR="00AF7C67">
        <w:t>Table</w:t>
      </w:r>
      <w:r w:rsidR="0025366A">
        <w:t xml:space="preserve"> 1.</w:t>
      </w:r>
      <w:r w:rsidR="00D737A4">
        <w:t>2</w:t>
      </w:r>
      <w:r w:rsidR="0090264F">
        <w:t>.</w:t>
      </w:r>
      <w:r w:rsidR="0025366A">
        <w:t xml:space="preserve"> Baseline practice characteristics for </w:t>
      </w:r>
      <w:proofErr w:type="spellStart"/>
      <w:r w:rsidR="0025366A">
        <w:t>TCPi</w:t>
      </w:r>
      <w:proofErr w:type="spellEnd"/>
      <w:r w:rsidR="0025366A">
        <w:t xml:space="preserve"> and comparison practices</w:t>
      </w:r>
    </w:p>
    <w:p w14:paraId="5A74E6B4" w14:textId="28243204" w:rsidR="00543DBF" w:rsidRPr="00543DBF" w:rsidRDefault="00543DBF" w:rsidP="00543DBF">
      <w:pPr>
        <w:pStyle w:val="Paragraph"/>
        <w:sectPr w:rsidR="00543DBF" w:rsidRPr="00543DBF" w:rsidSect="00224D9D">
          <w:headerReference w:type="default" r:id="rId14"/>
          <w:footerReference w:type="default" r:id="rId15"/>
          <w:endnotePr>
            <w:numFmt w:val="decimal"/>
          </w:endnotePr>
          <w:type w:val="continuous"/>
          <w:pgSz w:w="12240" w:h="15840" w:code="1"/>
          <w:pgMar w:top="1440" w:right="1440" w:bottom="1440" w:left="1440" w:header="720" w:footer="720" w:gutter="0"/>
          <w:cols w:space="360"/>
          <w:docGrid w:linePitch="360"/>
        </w:sectPr>
      </w:pPr>
    </w:p>
    <w:tbl>
      <w:tblPr>
        <w:tblW w:w="9540" w:type="dxa"/>
        <w:tblBorders>
          <w:bottom w:val="single" w:sz="4" w:space="0" w:color="auto"/>
        </w:tblBorders>
        <w:tblLayout w:type="fixed"/>
        <w:tblLook w:val="04A0" w:firstRow="1" w:lastRow="0" w:firstColumn="1" w:lastColumn="0" w:noHBand="0" w:noVBand="1"/>
      </w:tblPr>
      <w:tblGrid>
        <w:gridCol w:w="3330"/>
        <w:gridCol w:w="1405"/>
        <w:gridCol w:w="1602"/>
        <w:gridCol w:w="1602"/>
        <w:gridCol w:w="1601"/>
      </w:tblGrid>
      <w:tr w:rsidR="00CB1CEF" w:rsidRPr="00CB1CEF" w14:paraId="3FF8B83C" w14:textId="77777777" w:rsidTr="00630740">
        <w:trPr>
          <w:trHeight w:val="20"/>
          <w:tblHeader/>
        </w:trPr>
        <w:tc>
          <w:tcPr>
            <w:tcW w:w="3330" w:type="dxa"/>
            <w:tcBorders>
              <w:top w:val="nil"/>
              <w:bottom w:val="nil"/>
            </w:tcBorders>
            <w:shd w:val="clear" w:color="auto" w:fill="046B5C"/>
            <w:vAlign w:val="bottom"/>
            <w:hideMark/>
          </w:tcPr>
          <w:p w14:paraId="55AEDFC4" w14:textId="77777777" w:rsidR="00CB1CEF" w:rsidRPr="00CB1CEF" w:rsidRDefault="00CB1CEF" w:rsidP="0090264F">
            <w:pPr>
              <w:pStyle w:val="TableHeaderLeft"/>
            </w:pPr>
            <w:r w:rsidRPr="00CB1CEF">
              <w:t>Characteristic</w:t>
            </w:r>
          </w:p>
        </w:tc>
        <w:tc>
          <w:tcPr>
            <w:tcW w:w="1405" w:type="dxa"/>
            <w:tcBorders>
              <w:top w:val="nil"/>
              <w:bottom w:val="nil"/>
            </w:tcBorders>
            <w:shd w:val="clear" w:color="auto" w:fill="046B5C"/>
            <w:vAlign w:val="bottom"/>
            <w:hideMark/>
          </w:tcPr>
          <w:p w14:paraId="30CB4329" w14:textId="77777777" w:rsidR="00CB1CEF" w:rsidRPr="00CB1CEF" w:rsidRDefault="00CB1CEF" w:rsidP="0090264F">
            <w:pPr>
              <w:pStyle w:val="TableHeaderCenter"/>
            </w:pPr>
            <w:r w:rsidRPr="00CB1CEF">
              <w:t xml:space="preserve">Mean for </w:t>
            </w:r>
            <w:proofErr w:type="spellStart"/>
            <w:r w:rsidRPr="00CB1CEF">
              <w:t>TCPi</w:t>
            </w:r>
            <w:proofErr w:type="spellEnd"/>
            <w:r w:rsidRPr="00CB1CEF">
              <w:t xml:space="preserve"> practices</w:t>
            </w:r>
            <w:r w:rsidRPr="00CB1CEF">
              <w:br/>
              <w:t>(n = 6,958)</w:t>
            </w:r>
          </w:p>
        </w:tc>
        <w:tc>
          <w:tcPr>
            <w:tcW w:w="1602" w:type="dxa"/>
            <w:tcBorders>
              <w:top w:val="nil"/>
              <w:bottom w:val="nil"/>
            </w:tcBorders>
            <w:shd w:val="clear" w:color="auto" w:fill="046B5C"/>
            <w:vAlign w:val="bottom"/>
            <w:hideMark/>
          </w:tcPr>
          <w:p w14:paraId="00DC5763" w14:textId="77777777" w:rsidR="00CB1CEF" w:rsidRPr="00CB1CEF" w:rsidRDefault="00CB1CEF" w:rsidP="0090264F">
            <w:pPr>
              <w:pStyle w:val="TableHeaderCenter"/>
            </w:pPr>
            <w:r w:rsidRPr="00CB1CEF">
              <w:t>Mean for comparison</w:t>
            </w:r>
            <w:r w:rsidRPr="00CB1CEF">
              <w:br/>
              <w:t>practices</w:t>
            </w:r>
            <w:r w:rsidRPr="00CB1CEF">
              <w:br/>
              <w:t>(n = 6,958)</w:t>
            </w:r>
          </w:p>
        </w:tc>
        <w:tc>
          <w:tcPr>
            <w:tcW w:w="1602" w:type="dxa"/>
            <w:tcBorders>
              <w:top w:val="nil"/>
              <w:bottom w:val="nil"/>
            </w:tcBorders>
            <w:shd w:val="clear" w:color="auto" w:fill="046B5C"/>
            <w:vAlign w:val="bottom"/>
            <w:hideMark/>
          </w:tcPr>
          <w:p w14:paraId="20111C20" w14:textId="77777777" w:rsidR="00CB1CEF" w:rsidRPr="00CB1CEF" w:rsidRDefault="00CB1CEF" w:rsidP="0090264F">
            <w:pPr>
              <w:pStyle w:val="TableHeaderCenter"/>
            </w:pPr>
            <w:r w:rsidRPr="00CB1CEF">
              <w:t xml:space="preserve">Difference between </w:t>
            </w:r>
            <w:proofErr w:type="spellStart"/>
            <w:r w:rsidRPr="00CB1CEF">
              <w:t>TCPi</w:t>
            </w:r>
            <w:proofErr w:type="spellEnd"/>
            <w:r w:rsidRPr="00CB1CEF">
              <w:t xml:space="preserve"> and comparison practices</w:t>
            </w:r>
          </w:p>
        </w:tc>
        <w:tc>
          <w:tcPr>
            <w:tcW w:w="1601" w:type="dxa"/>
            <w:tcBorders>
              <w:top w:val="nil"/>
              <w:bottom w:val="nil"/>
            </w:tcBorders>
            <w:shd w:val="clear" w:color="auto" w:fill="046B5C"/>
            <w:vAlign w:val="bottom"/>
            <w:hideMark/>
          </w:tcPr>
          <w:p w14:paraId="4B70C314" w14:textId="77777777" w:rsidR="00CB1CEF" w:rsidRPr="00CB1CEF" w:rsidRDefault="00CB1CEF" w:rsidP="0090264F">
            <w:pPr>
              <w:pStyle w:val="TableHeaderCenter"/>
            </w:pPr>
            <w:r w:rsidRPr="00CB1CEF">
              <w:t>Absolute standardized difference (standard deviations)</w:t>
            </w:r>
          </w:p>
        </w:tc>
      </w:tr>
      <w:tr w:rsidR="00CB1CEF" w:rsidRPr="00CB1CEF" w14:paraId="52163246" w14:textId="77777777" w:rsidTr="00630740">
        <w:trPr>
          <w:trHeight w:val="20"/>
        </w:trPr>
        <w:tc>
          <w:tcPr>
            <w:tcW w:w="9540" w:type="dxa"/>
            <w:gridSpan w:val="5"/>
            <w:tcBorders>
              <w:top w:val="nil"/>
              <w:bottom w:val="nil"/>
            </w:tcBorders>
            <w:shd w:val="clear" w:color="auto" w:fill="0B2949"/>
            <w:vAlign w:val="center"/>
          </w:tcPr>
          <w:p w14:paraId="43C0AF69" w14:textId="77777777" w:rsidR="00CB1CEF" w:rsidRPr="00CB1CEF" w:rsidRDefault="00CB1CEF" w:rsidP="0090264F">
            <w:pPr>
              <w:pStyle w:val="TableRowHead"/>
            </w:pPr>
            <w:proofErr w:type="gramStart"/>
            <w:r w:rsidRPr="00CB1CEF">
              <w:t>Exact-match</w:t>
            </w:r>
            <w:proofErr w:type="gramEnd"/>
            <w:r w:rsidRPr="00CB1CEF">
              <w:t xml:space="preserve"> </w:t>
            </w:r>
            <w:proofErr w:type="spellStart"/>
            <w:r w:rsidRPr="00CB1CEF">
              <w:t>characteristics</w:t>
            </w:r>
            <w:r w:rsidRPr="00CB1CEF">
              <w:rPr>
                <w:vertAlign w:val="superscript"/>
              </w:rPr>
              <w:t>a</w:t>
            </w:r>
            <w:proofErr w:type="spellEnd"/>
          </w:p>
        </w:tc>
      </w:tr>
      <w:tr w:rsidR="00CB1CEF" w:rsidRPr="00CB1CEF" w14:paraId="6A45BBE1"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38938D2F" w14:textId="77777777" w:rsidR="00CB1CEF" w:rsidRPr="00CB1CEF" w:rsidRDefault="00CB1CEF" w:rsidP="0090264F">
            <w:pPr>
              <w:pStyle w:val="TableTextLeft"/>
            </w:pPr>
            <w:r w:rsidRPr="00CB1CEF">
              <w:t xml:space="preserve">Practice specialty type in year before </w:t>
            </w:r>
            <w:proofErr w:type="spellStart"/>
            <w:proofErr w:type="gramStart"/>
            <w:r w:rsidRPr="00CB1CEF">
              <w:t>enrollment</w:t>
            </w:r>
            <w:r w:rsidRPr="00CB1CEF">
              <w:rPr>
                <w:vertAlign w:val="superscript"/>
              </w:rPr>
              <w:t>b,c</w:t>
            </w:r>
            <w:proofErr w:type="spellEnd"/>
            <w:proofErr w:type="gramEnd"/>
            <w:r w:rsidRPr="00CB1CEF">
              <w:t xml:space="preserve"> (%)</w:t>
            </w:r>
          </w:p>
        </w:tc>
        <w:tc>
          <w:tcPr>
            <w:tcW w:w="1405" w:type="dxa"/>
            <w:tcBorders>
              <w:top w:val="nil"/>
            </w:tcBorders>
            <w:shd w:val="clear" w:color="auto" w:fill="auto"/>
            <w:tcMar>
              <w:top w:w="29" w:type="dxa"/>
              <w:left w:w="115" w:type="dxa"/>
              <w:bottom w:w="29" w:type="dxa"/>
              <w:right w:w="115" w:type="dxa"/>
            </w:tcMar>
          </w:tcPr>
          <w:p w14:paraId="0F9C112E" w14:textId="77777777" w:rsidR="00CB1CEF" w:rsidRPr="00CB1CEF" w:rsidRDefault="00CB1CEF" w:rsidP="002309BF">
            <w:pPr>
              <w:pStyle w:val="TableTextDecimal"/>
              <w:framePr w:wrap="notBeside"/>
              <w:tabs>
                <w:tab w:val="clear" w:pos="716"/>
                <w:tab w:val="decimal" w:pos="597"/>
              </w:tabs>
            </w:pPr>
            <w:r w:rsidRPr="00CB1CEF">
              <w:t> </w:t>
            </w:r>
          </w:p>
        </w:tc>
        <w:tc>
          <w:tcPr>
            <w:tcW w:w="1602" w:type="dxa"/>
            <w:tcBorders>
              <w:top w:val="nil"/>
            </w:tcBorders>
            <w:shd w:val="clear" w:color="auto" w:fill="auto"/>
            <w:tcMar>
              <w:top w:w="29" w:type="dxa"/>
              <w:left w:w="115" w:type="dxa"/>
              <w:bottom w:w="29" w:type="dxa"/>
              <w:right w:w="115" w:type="dxa"/>
            </w:tcMar>
          </w:tcPr>
          <w:p w14:paraId="714BC1AA"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auto"/>
            <w:tcMar>
              <w:top w:w="29" w:type="dxa"/>
              <w:left w:w="115" w:type="dxa"/>
              <w:bottom w:w="29" w:type="dxa"/>
              <w:right w:w="115" w:type="dxa"/>
            </w:tcMar>
          </w:tcPr>
          <w:p w14:paraId="02517A31" w14:textId="77777777" w:rsidR="00CB1CEF" w:rsidRPr="00CB1CEF" w:rsidRDefault="00CB1CEF" w:rsidP="002309BF">
            <w:pPr>
              <w:pStyle w:val="TableTextDecimal"/>
              <w:framePr w:wrap="notBeside"/>
              <w:tabs>
                <w:tab w:val="clear" w:pos="716"/>
                <w:tab w:val="decimal" w:pos="597"/>
              </w:tabs>
            </w:pPr>
            <w:r w:rsidRPr="00CB1CEF">
              <w:t> </w:t>
            </w:r>
          </w:p>
        </w:tc>
        <w:tc>
          <w:tcPr>
            <w:tcW w:w="1601" w:type="dxa"/>
            <w:tcBorders>
              <w:top w:val="nil"/>
            </w:tcBorders>
            <w:shd w:val="clear" w:color="auto" w:fill="auto"/>
            <w:tcMar>
              <w:top w:w="29" w:type="dxa"/>
              <w:left w:w="115" w:type="dxa"/>
              <w:bottom w:w="29" w:type="dxa"/>
              <w:right w:w="115" w:type="dxa"/>
            </w:tcMar>
          </w:tcPr>
          <w:p w14:paraId="0AC95EC7" w14:textId="77777777" w:rsidR="00CB1CEF" w:rsidRPr="00CB1CEF" w:rsidRDefault="00CB1CEF" w:rsidP="002309BF">
            <w:pPr>
              <w:pStyle w:val="TableTextDecimal"/>
              <w:framePr w:wrap="notBeside"/>
              <w:tabs>
                <w:tab w:val="clear" w:pos="716"/>
                <w:tab w:val="decimal" w:pos="597"/>
              </w:tabs>
            </w:pPr>
            <w:r w:rsidRPr="00CB1CEF">
              <w:t> </w:t>
            </w:r>
          </w:p>
        </w:tc>
      </w:tr>
      <w:tr w:rsidR="00CB1CEF" w:rsidRPr="00CB1CEF" w14:paraId="471062D8"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1045916E" w14:textId="77777777" w:rsidR="00CB1CEF" w:rsidRPr="00CB1CEF" w:rsidRDefault="00CB1CEF" w:rsidP="0090264F">
            <w:pPr>
              <w:pStyle w:val="TableTextLeft"/>
              <w:ind w:left="245"/>
            </w:pPr>
            <w:r w:rsidRPr="00CB1CEF">
              <w:t>Primary care</w:t>
            </w:r>
          </w:p>
        </w:tc>
        <w:tc>
          <w:tcPr>
            <w:tcW w:w="1405" w:type="dxa"/>
            <w:tcBorders>
              <w:top w:val="nil"/>
            </w:tcBorders>
            <w:shd w:val="clear" w:color="auto" w:fill="E0D4B5"/>
            <w:tcMar>
              <w:top w:w="29" w:type="dxa"/>
              <w:left w:w="115" w:type="dxa"/>
              <w:bottom w:w="29" w:type="dxa"/>
              <w:right w:w="115" w:type="dxa"/>
            </w:tcMar>
          </w:tcPr>
          <w:p w14:paraId="57E8E653" w14:textId="77777777" w:rsidR="00CB1CEF" w:rsidRPr="00CB1CEF" w:rsidRDefault="00CB1CEF" w:rsidP="002309BF">
            <w:pPr>
              <w:pStyle w:val="TableTextDecimal"/>
              <w:framePr w:wrap="notBeside"/>
              <w:tabs>
                <w:tab w:val="clear" w:pos="716"/>
                <w:tab w:val="decimal" w:pos="597"/>
              </w:tabs>
            </w:pPr>
            <w:r w:rsidRPr="00CB1CEF">
              <w:t>25.3</w:t>
            </w:r>
          </w:p>
        </w:tc>
        <w:tc>
          <w:tcPr>
            <w:tcW w:w="1602" w:type="dxa"/>
            <w:tcBorders>
              <w:top w:val="nil"/>
            </w:tcBorders>
            <w:shd w:val="clear" w:color="auto" w:fill="E0D4B5"/>
            <w:tcMar>
              <w:top w:w="29" w:type="dxa"/>
              <w:left w:w="115" w:type="dxa"/>
              <w:bottom w:w="29" w:type="dxa"/>
              <w:right w:w="115" w:type="dxa"/>
            </w:tcMar>
          </w:tcPr>
          <w:p w14:paraId="1CD8F54A" w14:textId="77777777" w:rsidR="00CB1CEF" w:rsidRPr="00CB1CEF" w:rsidRDefault="00CB1CEF" w:rsidP="002309BF">
            <w:pPr>
              <w:pStyle w:val="TableTextDecimal"/>
              <w:framePr w:wrap="notBeside"/>
              <w:tabs>
                <w:tab w:val="clear" w:pos="716"/>
                <w:tab w:val="decimal" w:pos="597"/>
              </w:tabs>
            </w:pPr>
            <w:r w:rsidRPr="00CB1CEF">
              <w:t>25.3</w:t>
            </w:r>
          </w:p>
        </w:tc>
        <w:tc>
          <w:tcPr>
            <w:tcW w:w="1602" w:type="dxa"/>
            <w:tcBorders>
              <w:top w:val="nil"/>
            </w:tcBorders>
            <w:shd w:val="clear" w:color="auto" w:fill="E0D4B5"/>
            <w:tcMar>
              <w:top w:w="29" w:type="dxa"/>
              <w:left w:w="115" w:type="dxa"/>
              <w:bottom w:w="29" w:type="dxa"/>
              <w:right w:w="115" w:type="dxa"/>
            </w:tcMar>
          </w:tcPr>
          <w:p w14:paraId="4A46EA61"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E0D4B5"/>
            <w:tcMar>
              <w:top w:w="29" w:type="dxa"/>
              <w:left w:w="115" w:type="dxa"/>
              <w:bottom w:w="29" w:type="dxa"/>
              <w:right w:w="115" w:type="dxa"/>
            </w:tcMar>
          </w:tcPr>
          <w:p w14:paraId="1D9A648E"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1D5DE9BD"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5AACC857" w14:textId="77777777" w:rsidR="00CB1CEF" w:rsidRPr="00CB1CEF" w:rsidRDefault="00CB1CEF" w:rsidP="0090264F">
            <w:pPr>
              <w:pStyle w:val="TableTextLeft"/>
              <w:ind w:left="245"/>
            </w:pPr>
            <w:r w:rsidRPr="00CB1CEF">
              <w:t>Specialty care</w:t>
            </w:r>
          </w:p>
        </w:tc>
        <w:tc>
          <w:tcPr>
            <w:tcW w:w="1405" w:type="dxa"/>
            <w:tcBorders>
              <w:top w:val="nil"/>
            </w:tcBorders>
            <w:shd w:val="clear" w:color="auto" w:fill="auto"/>
            <w:tcMar>
              <w:top w:w="29" w:type="dxa"/>
              <w:left w:w="115" w:type="dxa"/>
              <w:bottom w:w="29" w:type="dxa"/>
              <w:right w:w="115" w:type="dxa"/>
            </w:tcMar>
          </w:tcPr>
          <w:p w14:paraId="318EA393" w14:textId="77777777" w:rsidR="00CB1CEF" w:rsidRPr="00CB1CEF" w:rsidRDefault="00CB1CEF" w:rsidP="002309BF">
            <w:pPr>
              <w:pStyle w:val="TableTextDecimal"/>
              <w:framePr w:wrap="notBeside"/>
              <w:tabs>
                <w:tab w:val="clear" w:pos="716"/>
                <w:tab w:val="decimal" w:pos="597"/>
              </w:tabs>
            </w:pPr>
            <w:r w:rsidRPr="00CB1CEF">
              <w:t>62.0</w:t>
            </w:r>
          </w:p>
        </w:tc>
        <w:tc>
          <w:tcPr>
            <w:tcW w:w="1602" w:type="dxa"/>
            <w:tcBorders>
              <w:top w:val="nil"/>
            </w:tcBorders>
            <w:shd w:val="clear" w:color="auto" w:fill="auto"/>
            <w:tcMar>
              <w:top w:w="29" w:type="dxa"/>
              <w:left w:w="115" w:type="dxa"/>
              <w:bottom w:w="29" w:type="dxa"/>
              <w:right w:w="115" w:type="dxa"/>
            </w:tcMar>
          </w:tcPr>
          <w:p w14:paraId="4825FC71" w14:textId="77777777" w:rsidR="00CB1CEF" w:rsidRPr="00CB1CEF" w:rsidRDefault="00CB1CEF" w:rsidP="002309BF">
            <w:pPr>
              <w:pStyle w:val="TableTextDecimal"/>
              <w:framePr w:wrap="notBeside"/>
              <w:tabs>
                <w:tab w:val="clear" w:pos="716"/>
                <w:tab w:val="decimal" w:pos="597"/>
              </w:tabs>
            </w:pPr>
            <w:r w:rsidRPr="00CB1CEF">
              <w:t>62.0</w:t>
            </w:r>
          </w:p>
        </w:tc>
        <w:tc>
          <w:tcPr>
            <w:tcW w:w="1602" w:type="dxa"/>
            <w:tcBorders>
              <w:top w:val="nil"/>
            </w:tcBorders>
            <w:shd w:val="clear" w:color="auto" w:fill="auto"/>
            <w:tcMar>
              <w:top w:w="29" w:type="dxa"/>
              <w:left w:w="115" w:type="dxa"/>
              <w:bottom w:w="29" w:type="dxa"/>
              <w:right w:w="115" w:type="dxa"/>
            </w:tcMar>
          </w:tcPr>
          <w:p w14:paraId="7452642C"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auto"/>
            <w:tcMar>
              <w:top w:w="29" w:type="dxa"/>
              <w:left w:w="115" w:type="dxa"/>
              <w:bottom w:w="29" w:type="dxa"/>
              <w:right w:w="115" w:type="dxa"/>
            </w:tcMar>
          </w:tcPr>
          <w:p w14:paraId="17D9E61F"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0CE726E2"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36DCAD29" w14:textId="77777777" w:rsidR="00CB1CEF" w:rsidRPr="00CB1CEF" w:rsidRDefault="00CB1CEF" w:rsidP="0090264F">
            <w:pPr>
              <w:pStyle w:val="TableTextLeft"/>
              <w:ind w:left="245"/>
            </w:pPr>
            <w:r w:rsidRPr="00CB1CEF">
              <w:t>Mixed primary/specialty care</w:t>
            </w:r>
          </w:p>
        </w:tc>
        <w:tc>
          <w:tcPr>
            <w:tcW w:w="1405" w:type="dxa"/>
            <w:tcBorders>
              <w:top w:val="nil"/>
            </w:tcBorders>
            <w:shd w:val="clear" w:color="auto" w:fill="E0D4B5"/>
            <w:tcMar>
              <w:top w:w="29" w:type="dxa"/>
              <w:left w:w="115" w:type="dxa"/>
              <w:bottom w:w="29" w:type="dxa"/>
              <w:right w:w="115" w:type="dxa"/>
            </w:tcMar>
          </w:tcPr>
          <w:p w14:paraId="4AEBCBE5" w14:textId="77777777" w:rsidR="00CB1CEF" w:rsidRPr="00CB1CEF" w:rsidRDefault="00CB1CEF" w:rsidP="002309BF">
            <w:pPr>
              <w:pStyle w:val="TableTextDecimal"/>
              <w:framePr w:wrap="notBeside"/>
              <w:tabs>
                <w:tab w:val="clear" w:pos="716"/>
                <w:tab w:val="decimal" w:pos="597"/>
              </w:tabs>
            </w:pPr>
            <w:r w:rsidRPr="00CB1CEF">
              <w:t>12.7</w:t>
            </w:r>
          </w:p>
        </w:tc>
        <w:tc>
          <w:tcPr>
            <w:tcW w:w="1602" w:type="dxa"/>
            <w:tcBorders>
              <w:top w:val="nil"/>
            </w:tcBorders>
            <w:shd w:val="clear" w:color="auto" w:fill="E0D4B5"/>
            <w:tcMar>
              <w:top w:w="29" w:type="dxa"/>
              <w:left w:w="115" w:type="dxa"/>
              <w:bottom w:w="29" w:type="dxa"/>
              <w:right w:w="115" w:type="dxa"/>
            </w:tcMar>
          </w:tcPr>
          <w:p w14:paraId="52F9ED67" w14:textId="77777777" w:rsidR="00CB1CEF" w:rsidRPr="00CB1CEF" w:rsidRDefault="00CB1CEF" w:rsidP="002309BF">
            <w:pPr>
              <w:pStyle w:val="TableTextDecimal"/>
              <w:framePr w:wrap="notBeside"/>
              <w:tabs>
                <w:tab w:val="clear" w:pos="716"/>
                <w:tab w:val="decimal" w:pos="597"/>
              </w:tabs>
            </w:pPr>
            <w:r w:rsidRPr="00CB1CEF">
              <w:t>12.7</w:t>
            </w:r>
          </w:p>
        </w:tc>
        <w:tc>
          <w:tcPr>
            <w:tcW w:w="1602" w:type="dxa"/>
            <w:tcBorders>
              <w:top w:val="nil"/>
            </w:tcBorders>
            <w:shd w:val="clear" w:color="auto" w:fill="E0D4B5"/>
            <w:tcMar>
              <w:top w:w="29" w:type="dxa"/>
              <w:left w:w="115" w:type="dxa"/>
              <w:bottom w:w="29" w:type="dxa"/>
              <w:right w:w="115" w:type="dxa"/>
            </w:tcMar>
          </w:tcPr>
          <w:p w14:paraId="591560C2"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E0D4B5"/>
            <w:tcMar>
              <w:top w:w="29" w:type="dxa"/>
              <w:left w:w="115" w:type="dxa"/>
              <w:bottom w:w="29" w:type="dxa"/>
              <w:right w:w="115" w:type="dxa"/>
            </w:tcMar>
          </w:tcPr>
          <w:p w14:paraId="242DD23D"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3F182BD9"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1ACB72D6" w14:textId="77777777" w:rsidR="00CB1CEF" w:rsidRPr="00CB1CEF" w:rsidRDefault="00CB1CEF" w:rsidP="0090264F">
            <w:pPr>
              <w:pStyle w:val="TableTextLeft"/>
            </w:pPr>
            <w:r w:rsidRPr="00CB1CEF">
              <w:t>Small practice: Three or fewer clinicians billing Medicare in year before enrollment (%)</w:t>
            </w:r>
          </w:p>
        </w:tc>
        <w:tc>
          <w:tcPr>
            <w:tcW w:w="1405" w:type="dxa"/>
            <w:tcBorders>
              <w:top w:val="nil"/>
            </w:tcBorders>
            <w:shd w:val="clear" w:color="auto" w:fill="auto"/>
            <w:tcMar>
              <w:top w:w="29" w:type="dxa"/>
              <w:left w:w="115" w:type="dxa"/>
              <w:bottom w:w="29" w:type="dxa"/>
              <w:right w:w="115" w:type="dxa"/>
            </w:tcMar>
          </w:tcPr>
          <w:p w14:paraId="0A014134" w14:textId="77777777" w:rsidR="00CB1CEF" w:rsidRPr="00CB1CEF" w:rsidRDefault="00CB1CEF" w:rsidP="002309BF">
            <w:pPr>
              <w:pStyle w:val="TableTextDecimal"/>
              <w:framePr w:wrap="notBeside"/>
              <w:tabs>
                <w:tab w:val="clear" w:pos="716"/>
                <w:tab w:val="decimal" w:pos="597"/>
              </w:tabs>
            </w:pPr>
            <w:r w:rsidRPr="00CB1CEF">
              <w:t>69.1</w:t>
            </w:r>
          </w:p>
        </w:tc>
        <w:tc>
          <w:tcPr>
            <w:tcW w:w="1602" w:type="dxa"/>
            <w:tcBorders>
              <w:top w:val="nil"/>
            </w:tcBorders>
            <w:shd w:val="clear" w:color="auto" w:fill="auto"/>
            <w:tcMar>
              <w:top w:w="29" w:type="dxa"/>
              <w:left w:w="115" w:type="dxa"/>
              <w:bottom w:w="29" w:type="dxa"/>
              <w:right w:w="115" w:type="dxa"/>
            </w:tcMar>
          </w:tcPr>
          <w:p w14:paraId="6D2F29FA" w14:textId="77777777" w:rsidR="00CB1CEF" w:rsidRPr="00CB1CEF" w:rsidRDefault="00CB1CEF" w:rsidP="002309BF">
            <w:pPr>
              <w:pStyle w:val="TableTextDecimal"/>
              <w:framePr w:wrap="notBeside"/>
              <w:tabs>
                <w:tab w:val="clear" w:pos="716"/>
                <w:tab w:val="decimal" w:pos="597"/>
              </w:tabs>
            </w:pPr>
            <w:r w:rsidRPr="00CB1CEF">
              <w:t>69.1</w:t>
            </w:r>
          </w:p>
        </w:tc>
        <w:tc>
          <w:tcPr>
            <w:tcW w:w="1602" w:type="dxa"/>
            <w:tcBorders>
              <w:top w:val="nil"/>
            </w:tcBorders>
            <w:shd w:val="clear" w:color="auto" w:fill="auto"/>
            <w:tcMar>
              <w:top w:w="29" w:type="dxa"/>
              <w:left w:w="115" w:type="dxa"/>
              <w:bottom w:w="29" w:type="dxa"/>
              <w:right w:w="115" w:type="dxa"/>
            </w:tcMar>
          </w:tcPr>
          <w:p w14:paraId="456A3D9A"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auto"/>
            <w:tcMar>
              <w:top w:w="29" w:type="dxa"/>
              <w:left w:w="115" w:type="dxa"/>
              <w:bottom w:w="29" w:type="dxa"/>
              <w:right w:w="115" w:type="dxa"/>
            </w:tcMar>
          </w:tcPr>
          <w:p w14:paraId="17CA186F"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33650632"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1D56EF4A" w14:textId="77777777" w:rsidR="00CB1CEF" w:rsidRPr="00CB1CEF" w:rsidRDefault="00CB1CEF" w:rsidP="0090264F">
            <w:pPr>
              <w:pStyle w:val="TableTextLeft"/>
            </w:pPr>
            <w:r w:rsidRPr="00CB1CEF">
              <w:t>Located in a rural county (%, 2013)</w:t>
            </w:r>
          </w:p>
        </w:tc>
        <w:tc>
          <w:tcPr>
            <w:tcW w:w="1405" w:type="dxa"/>
            <w:tcBorders>
              <w:top w:val="nil"/>
            </w:tcBorders>
            <w:shd w:val="clear" w:color="auto" w:fill="E0D4B5"/>
            <w:tcMar>
              <w:top w:w="29" w:type="dxa"/>
              <w:left w:w="115" w:type="dxa"/>
              <w:bottom w:w="29" w:type="dxa"/>
              <w:right w:w="115" w:type="dxa"/>
            </w:tcMar>
          </w:tcPr>
          <w:p w14:paraId="2B2699FD" w14:textId="77777777" w:rsidR="00CB1CEF" w:rsidRPr="00CB1CEF" w:rsidRDefault="00CB1CEF" w:rsidP="002309BF">
            <w:pPr>
              <w:pStyle w:val="TableTextDecimal"/>
              <w:framePr w:wrap="notBeside"/>
              <w:tabs>
                <w:tab w:val="clear" w:pos="716"/>
                <w:tab w:val="decimal" w:pos="597"/>
              </w:tabs>
            </w:pPr>
            <w:r w:rsidRPr="00CB1CEF">
              <w:t>13.2</w:t>
            </w:r>
          </w:p>
        </w:tc>
        <w:tc>
          <w:tcPr>
            <w:tcW w:w="1602" w:type="dxa"/>
            <w:tcBorders>
              <w:top w:val="nil"/>
            </w:tcBorders>
            <w:shd w:val="clear" w:color="auto" w:fill="E0D4B5"/>
            <w:tcMar>
              <w:top w:w="29" w:type="dxa"/>
              <w:left w:w="115" w:type="dxa"/>
              <w:bottom w:w="29" w:type="dxa"/>
              <w:right w:w="115" w:type="dxa"/>
            </w:tcMar>
          </w:tcPr>
          <w:p w14:paraId="02EE49EB" w14:textId="77777777" w:rsidR="00CB1CEF" w:rsidRPr="00CB1CEF" w:rsidRDefault="00CB1CEF" w:rsidP="002309BF">
            <w:pPr>
              <w:pStyle w:val="TableTextDecimal"/>
              <w:framePr w:wrap="notBeside"/>
              <w:tabs>
                <w:tab w:val="clear" w:pos="716"/>
                <w:tab w:val="decimal" w:pos="597"/>
              </w:tabs>
            </w:pPr>
            <w:r w:rsidRPr="00CB1CEF">
              <w:t>13.2</w:t>
            </w:r>
          </w:p>
        </w:tc>
        <w:tc>
          <w:tcPr>
            <w:tcW w:w="1602" w:type="dxa"/>
            <w:tcBorders>
              <w:top w:val="nil"/>
            </w:tcBorders>
            <w:shd w:val="clear" w:color="auto" w:fill="E0D4B5"/>
            <w:tcMar>
              <w:top w:w="29" w:type="dxa"/>
              <w:left w:w="115" w:type="dxa"/>
              <w:bottom w:w="29" w:type="dxa"/>
              <w:right w:w="115" w:type="dxa"/>
            </w:tcMar>
          </w:tcPr>
          <w:p w14:paraId="0A966908"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E0D4B5"/>
            <w:tcMar>
              <w:top w:w="29" w:type="dxa"/>
              <w:left w:w="115" w:type="dxa"/>
              <w:bottom w:w="29" w:type="dxa"/>
              <w:right w:w="115" w:type="dxa"/>
            </w:tcMar>
          </w:tcPr>
          <w:p w14:paraId="47481546"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54CB0E11"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45AB8CAC" w14:textId="77777777" w:rsidR="00CB1CEF" w:rsidRPr="00CB1CEF" w:rsidRDefault="00CB1CEF" w:rsidP="0090264F">
            <w:pPr>
              <w:pStyle w:val="TableTextLeft"/>
            </w:pPr>
            <w:r w:rsidRPr="00CB1CEF">
              <w:t>Fewer than 40 attributed beneficiaries per quarter during two-year baseline (%)</w:t>
            </w:r>
          </w:p>
        </w:tc>
        <w:tc>
          <w:tcPr>
            <w:tcW w:w="1405" w:type="dxa"/>
            <w:tcBorders>
              <w:top w:val="nil"/>
            </w:tcBorders>
            <w:shd w:val="clear" w:color="auto" w:fill="auto"/>
            <w:tcMar>
              <w:top w:w="29" w:type="dxa"/>
              <w:left w:w="115" w:type="dxa"/>
              <w:bottom w:w="29" w:type="dxa"/>
              <w:right w:w="115" w:type="dxa"/>
            </w:tcMar>
          </w:tcPr>
          <w:p w14:paraId="61407A86" w14:textId="77777777" w:rsidR="00CB1CEF" w:rsidRPr="00CB1CEF" w:rsidRDefault="00CB1CEF" w:rsidP="002309BF">
            <w:pPr>
              <w:pStyle w:val="TableTextDecimal"/>
              <w:framePr w:wrap="notBeside"/>
              <w:tabs>
                <w:tab w:val="clear" w:pos="716"/>
                <w:tab w:val="decimal" w:pos="597"/>
              </w:tabs>
            </w:pPr>
            <w:r w:rsidRPr="00CB1CEF">
              <w:t>44.3</w:t>
            </w:r>
          </w:p>
        </w:tc>
        <w:tc>
          <w:tcPr>
            <w:tcW w:w="1602" w:type="dxa"/>
            <w:tcBorders>
              <w:top w:val="nil"/>
            </w:tcBorders>
            <w:shd w:val="clear" w:color="auto" w:fill="auto"/>
            <w:tcMar>
              <w:top w:w="29" w:type="dxa"/>
              <w:left w:w="115" w:type="dxa"/>
              <w:bottom w:w="29" w:type="dxa"/>
              <w:right w:w="115" w:type="dxa"/>
            </w:tcMar>
          </w:tcPr>
          <w:p w14:paraId="01A950EF" w14:textId="77777777" w:rsidR="00CB1CEF" w:rsidRPr="00CB1CEF" w:rsidRDefault="00CB1CEF" w:rsidP="002309BF">
            <w:pPr>
              <w:pStyle w:val="TableTextDecimal"/>
              <w:framePr w:wrap="notBeside"/>
              <w:tabs>
                <w:tab w:val="clear" w:pos="716"/>
                <w:tab w:val="decimal" w:pos="597"/>
              </w:tabs>
            </w:pPr>
            <w:r w:rsidRPr="00CB1CEF">
              <w:t>44.3</w:t>
            </w:r>
          </w:p>
        </w:tc>
        <w:tc>
          <w:tcPr>
            <w:tcW w:w="1602" w:type="dxa"/>
            <w:tcBorders>
              <w:top w:val="nil"/>
            </w:tcBorders>
            <w:shd w:val="clear" w:color="auto" w:fill="auto"/>
            <w:tcMar>
              <w:top w:w="29" w:type="dxa"/>
              <w:left w:w="115" w:type="dxa"/>
              <w:bottom w:w="29" w:type="dxa"/>
              <w:right w:w="115" w:type="dxa"/>
            </w:tcMar>
          </w:tcPr>
          <w:p w14:paraId="579283AA"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auto"/>
            <w:tcMar>
              <w:top w:w="29" w:type="dxa"/>
              <w:left w:w="115" w:type="dxa"/>
              <w:bottom w:w="29" w:type="dxa"/>
              <w:right w:w="115" w:type="dxa"/>
            </w:tcMar>
          </w:tcPr>
          <w:p w14:paraId="2AD1FC5C"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2964E1EB" w14:textId="77777777" w:rsidTr="00630740">
        <w:trPr>
          <w:trHeight w:val="20"/>
        </w:trPr>
        <w:tc>
          <w:tcPr>
            <w:tcW w:w="9540" w:type="dxa"/>
            <w:gridSpan w:val="5"/>
            <w:tcBorders>
              <w:top w:val="nil"/>
              <w:bottom w:val="nil"/>
            </w:tcBorders>
            <w:shd w:val="clear" w:color="auto" w:fill="0B2949"/>
          </w:tcPr>
          <w:p w14:paraId="0CE7884E" w14:textId="77777777" w:rsidR="00CB1CEF" w:rsidRPr="00CB1CEF" w:rsidRDefault="00CB1CEF" w:rsidP="0090264F">
            <w:pPr>
              <w:pStyle w:val="TableRowHead"/>
            </w:pPr>
            <w:r w:rsidRPr="00CB1CEF">
              <w:t>Practice size and ownership</w:t>
            </w:r>
          </w:p>
        </w:tc>
      </w:tr>
      <w:tr w:rsidR="00CB1CEF" w:rsidRPr="00CB1CEF" w14:paraId="0286A6F7"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1E3BB616" w14:textId="77777777" w:rsidR="00CB1CEF" w:rsidRPr="00CB1CEF" w:rsidRDefault="00CB1CEF" w:rsidP="0090264F">
            <w:pPr>
              <w:pStyle w:val="TableTextLeft"/>
            </w:pPr>
            <w:r w:rsidRPr="00CB1CEF">
              <w:t>Average number of attributed beneficiaries per quarter during two-year baseline</w:t>
            </w:r>
          </w:p>
        </w:tc>
        <w:tc>
          <w:tcPr>
            <w:tcW w:w="1405" w:type="dxa"/>
            <w:tcBorders>
              <w:top w:val="nil"/>
            </w:tcBorders>
            <w:shd w:val="clear" w:color="auto" w:fill="auto"/>
            <w:tcMar>
              <w:top w:w="29" w:type="dxa"/>
              <w:left w:w="115" w:type="dxa"/>
              <w:bottom w:w="29" w:type="dxa"/>
              <w:right w:w="115" w:type="dxa"/>
            </w:tcMar>
          </w:tcPr>
          <w:p w14:paraId="73C528EE" w14:textId="77777777" w:rsidR="00CB1CEF" w:rsidRPr="00CB1CEF" w:rsidRDefault="00CB1CEF" w:rsidP="002309BF">
            <w:pPr>
              <w:pStyle w:val="TableTextDecimal"/>
              <w:framePr w:wrap="notBeside"/>
              <w:tabs>
                <w:tab w:val="clear" w:pos="716"/>
                <w:tab w:val="decimal" w:pos="597"/>
              </w:tabs>
            </w:pPr>
            <w:r w:rsidRPr="00CB1CEF">
              <w:t>364.4</w:t>
            </w:r>
          </w:p>
        </w:tc>
        <w:tc>
          <w:tcPr>
            <w:tcW w:w="1602" w:type="dxa"/>
            <w:tcBorders>
              <w:top w:val="nil"/>
            </w:tcBorders>
            <w:shd w:val="clear" w:color="auto" w:fill="auto"/>
            <w:tcMar>
              <w:top w:w="29" w:type="dxa"/>
              <w:left w:w="115" w:type="dxa"/>
              <w:bottom w:w="29" w:type="dxa"/>
              <w:right w:w="115" w:type="dxa"/>
            </w:tcMar>
          </w:tcPr>
          <w:p w14:paraId="6DC0227A" w14:textId="77777777" w:rsidR="00CB1CEF" w:rsidRPr="00CB1CEF" w:rsidRDefault="00CB1CEF" w:rsidP="002309BF">
            <w:pPr>
              <w:pStyle w:val="TableTextDecimal"/>
              <w:framePr w:wrap="notBeside"/>
              <w:tabs>
                <w:tab w:val="clear" w:pos="716"/>
                <w:tab w:val="decimal" w:pos="597"/>
              </w:tabs>
            </w:pPr>
            <w:r w:rsidRPr="00CB1CEF">
              <w:t>320.9</w:t>
            </w:r>
          </w:p>
        </w:tc>
        <w:tc>
          <w:tcPr>
            <w:tcW w:w="1602" w:type="dxa"/>
            <w:tcBorders>
              <w:top w:val="nil"/>
            </w:tcBorders>
            <w:shd w:val="clear" w:color="auto" w:fill="auto"/>
            <w:tcMar>
              <w:top w:w="29" w:type="dxa"/>
              <w:left w:w="115" w:type="dxa"/>
              <w:bottom w:w="29" w:type="dxa"/>
              <w:right w:w="115" w:type="dxa"/>
            </w:tcMar>
          </w:tcPr>
          <w:p w14:paraId="7EF7916F" w14:textId="77777777" w:rsidR="00CB1CEF" w:rsidRPr="00CB1CEF" w:rsidRDefault="00CB1CEF" w:rsidP="002309BF">
            <w:pPr>
              <w:pStyle w:val="TableTextDecimal"/>
              <w:framePr w:wrap="notBeside"/>
              <w:tabs>
                <w:tab w:val="clear" w:pos="716"/>
                <w:tab w:val="decimal" w:pos="597"/>
              </w:tabs>
            </w:pPr>
            <w:r w:rsidRPr="00CB1CEF">
              <w:t>43.5</w:t>
            </w:r>
          </w:p>
        </w:tc>
        <w:tc>
          <w:tcPr>
            <w:tcW w:w="1601" w:type="dxa"/>
            <w:tcBorders>
              <w:top w:val="nil"/>
            </w:tcBorders>
            <w:shd w:val="clear" w:color="auto" w:fill="auto"/>
            <w:tcMar>
              <w:top w:w="29" w:type="dxa"/>
              <w:left w:w="115" w:type="dxa"/>
              <w:bottom w:w="29" w:type="dxa"/>
              <w:right w:w="115" w:type="dxa"/>
            </w:tcMar>
          </w:tcPr>
          <w:p w14:paraId="7A935DE9"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628028AA"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02BFF3D4" w14:textId="77777777" w:rsidR="00CB1CEF" w:rsidRPr="00CB1CEF" w:rsidRDefault="00CB1CEF" w:rsidP="0090264F">
            <w:pPr>
              <w:pStyle w:val="TableTextLeft"/>
            </w:pPr>
            <w:r w:rsidRPr="00CB1CEF">
              <w:t xml:space="preserve">Number of clinicians billing </w:t>
            </w:r>
            <w:proofErr w:type="spellStart"/>
            <w:r w:rsidRPr="00CB1CEF">
              <w:t>Medicare</w:t>
            </w:r>
            <w:r w:rsidRPr="00CB1CEF">
              <w:rPr>
                <w:vertAlign w:val="superscript"/>
              </w:rPr>
              <w:t>d</w:t>
            </w:r>
            <w:proofErr w:type="spellEnd"/>
            <w:r w:rsidRPr="00CB1CEF">
              <w:t xml:space="preserve"> </w:t>
            </w:r>
          </w:p>
        </w:tc>
        <w:tc>
          <w:tcPr>
            <w:tcW w:w="1405" w:type="dxa"/>
            <w:tcBorders>
              <w:top w:val="nil"/>
            </w:tcBorders>
            <w:shd w:val="clear" w:color="auto" w:fill="E0D4B5"/>
            <w:tcMar>
              <w:top w:w="29" w:type="dxa"/>
              <w:left w:w="115" w:type="dxa"/>
              <w:bottom w:w="29" w:type="dxa"/>
              <w:right w:w="115" w:type="dxa"/>
            </w:tcMar>
          </w:tcPr>
          <w:p w14:paraId="18F9B1EF" w14:textId="77777777" w:rsidR="00CB1CEF" w:rsidRPr="00CB1CEF" w:rsidRDefault="00CB1CEF" w:rsidP="002309BF">
            <w:pPr>
              <w:pStyle w:val="TableTextDecimal"/>
              <w:framePr w:wrap="notBeside"/>
              <w:tabs>
                <w:tab w:val="clear" w:pos="716"/>
                <w:tab w:val="decimal" w:pos="597"/>
              </w:tabs>
            </w:pPr>
            <w:r w:rsidRPr="00CB1CEF">
              <w:t>14.5</w:t>
            </w:r>
          </w:p>
        </w:tc>
        <w:tc>
          <w:tcPr>
            <w:tcW w:w="1602" w:type="dxa"/>
            <w:tcBorders>
              <w:top w:val="nil"/>
            </w:tcBorders>
            <w:shd w:val="clear" w:color="auto" w:fill="E0D4B5"/>
            <w:tcMar>
              <w:top w:w="29" w:type="dxa"/>
              <w:left w:w="115" w:type="dxa"/>
              <w:bottom w:w="29" w:type="dxa"/>
              <w:right w:w="115" w:type="dxa"/>
            </w:tcMar>
          </w:tcPr>
          <w:p w14:paraId="3E2BE4DA" w14:textId="77777777" w:rsidR="00CB1CEF" w:rsidRPr="00CB1CEF" w:rsidRDefault="00CB1CEF" w:rsidP="002309BF">
            <w:pPr>
              <w:pStyle w:val="TableTextDecimal"/>
              <w:framePr w:wrap="notBeside"/>
              <w:tabs>
                <w:tab w:val="clear" w:pos="716"/>
                <w:tab w:val="decimal" w:pos="597"/>
              </w:tabs>
            </w:pPr>
            <w:r w:rsidRPr="00CB1CEF">
              <w:t>13.3</w:t>
            </w:r>
          </w:p>
        </w:tc>
        <w:tc>
          <w:tcPr>
            <w:tcW w:w="1602" w:type="dxa"/>
            <w:tcBorders>
              <w:top w:val="nil"/>
            </w:tcBorders>
            <w:shd w:val="clear" w:color="auto" w:fill="E0D4B5"/>
            <w:tcMar>
              <w:top w:w="29" w:type="dxa"/>
              <w:left w:w="115" w:type="dxa"/>
              <w:bottom w:w="29" w:type="dxa"/>
              <w:right w:w="115" w:type="dxa"/>
            </w:tcMar>
          </w:tcPr>
          <w:p w14:paraId="34F758E7" w14:textId="77777777" w:rsidR="00CB1CEF" w:rsidRPr="00CB1CEF" w:rsidRDefault="00CB1CEF" w:rsidP="002309BF">
            <w:pPr>
              <w:pStyle w:val="TableTextDecimal"/>
              <w:framePr w:wrap="notBeside"/>
              <w:tabs>
                <w:tab w:val="clear" w:pos="716"/>
                <w:tab w:val="decimal" w:pos="597"/>
              </w:tabs>
            </w:pPr>
            <w:r w:rsidRPr="00CB1CEF">
              <w:t>1.2</w:t>
            </w:r>
          </w:p>
        </w:tc>
        <w:tc>
          <w:tcPr>
            <w:tcW w:w="1601" w:type="dxa"/>
            <w:tcBorders>
              <w:top w:val="nil"/>
            </w:tcBorders>
            <w:shd w:val="clear" w:color="auto" w:fill="E0D4B5"/>
            <w:tcMar>
              <w:top w:w="29" w:type="dxa"/>
              <w:left w:w="115" w:type="dxa"/>
              <w:bottom w:w="29" w:type="dxa"/>
              <w:right w:w="115" w:type="dxa"/>
            </w:tcMar>
          </w:tcPr>
          <w:p w14:paraId="101A7827"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0CBA479A"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69A4D9F2" w14:textId="77777777" w:rsidR="00CB1CEF" w:rsidRPr="00CB1CEF" w:rsidRDefault="00CB1CEF" w:rsidP="0090264F">
            <w:pPr>
              <w:pStyle w:val="TableTextLeft"/>
              <w:ind w:left="245"/>
            </w:pPr>
            <w:r w:rsidRPr="00CB1CEF">
              <w:t>Solo practice (%)</w:t>
            </w:r>
          </w:p>
        </w:tc>
        <w:tc>
          <w:tcPr>
            <w:tcW w:w="1405" w:type="dxa"/>
            <w:tcBorders>
              <w:top w:val="nil"/>
            </w:tcBorders>
            <w:shd w:val="clear" w:color="auto" w:fill="auto"/>
            <w:tcMar>
              <w:top w:w="29" w:type="dxa"/>
              <w:left w:w="115" w:type="dxa"/>
              <w:bottom w:w="29" w:type="dxa"/>
              <w:right w:w="115" w:type="dxa"/>
            </w:tcMar>
          </w:tcPr>
          <w:p w14:paraId="744A1119" w14:textId="77777777" w:rsidR="00CB1CEF" w:rsidRPr="00CB1CEF" w:rsidRDefault="00CB1CEF" w:rsidP="002309BF">
            <w:pPr>
              <w:pStyle w:val="TableTextDecimal"/>
              <w:framePr w:wrap="notBeside"/>
              <w:tabs>
                <w:tab w:val="clear" w:pos="716"/>
                <w:tab w:val="decimal" w:pos="597"/>
              </w:tabs>
            </w:pPr>
            <w:r w:rsidRPr="00CB1CEF">
              <w:t>45.5</w:t>
            </w:r>
          </w:p>
        </w:tc>
        <w:tc>
          <w:tcPr>
            <w:tcW w:w="1602" w:type="dxa"/>
            <w:tcBorders>
              <w:top w:val="nil"/>
            </w:tcBorders>
            <w:shd w:val="clear" w:color="auto" w:fill="auto"/>
            <w:tcMar>
              <w:top w:w="29" w:type="dxa"/>
              <w:left w:w="115" w:type="dxa"/>
              <w:bottom w:w="29" w:type="dxa"/>
              <w:right w:w="115" w:type="dxa"/>
            </w:tcMar>
          </w:tcPr>
          <w:p w14:paraId="587ED368" w14:textId="77777777" w:rsidR="00CB1CEF" w:rsidRPr="00CB1CEF" w:rsidRDefault="00CB1CEF" w:rsidP="002309BF">
            <w:pPr>
              <w:pStyle w:val="TableTextDecimal"/>
              <w:framePr w:wrap="notBeside"/>
              <w:tabs>
                <w:tab w:val="clear" w:pos="716"/>
                <w:tab w:val="decimal" w:pos="597"/>
              </w:tabs>
            </w:pPr>
            <w:r w:rsidRPr="00CB1CEF">
              <w:t>49.8</w:t>
            </w:r>
          </w:p>
        </w:tc>
        <w:tc>
          <w:tcPr>
            <w:tcW w:w="1602" w:type="dxa"/>
            <w:tcBorders>
              <w:top w:val="nil"/>
            </w:tcBorders>
            <w:shd w:val="clear" w:color="auto" w:fill="auto"/>
            <w:tcMar>
              <w:top w:w="29" w:type="dxa"/>
              <w:left w:w="115" w:type="dxa"/>
              <w:bottom w:w="29" w:type="dxa"/>
              <w:right w:w="115" w:type="dxa"/>
            </w:tcMar>
          </w:tcPr>
          <w:p w14:paraId="14812935" w14:textId="77777777" w:rsidR="00CB1CEF" w:rsidRPr="00CB1CEF" w:rsidRDefault="00CB1CEF" w:rsidP="002309BF">
            <w:pPr>
              <w:pStyle w:val="TableTextDecimal"/>
              <w:framePr w:wrap="notBeside"/>
              <w:tabs>
                <w:tab w:val="clear" w:pos="716"/>
                <w:tab w:val="decimal" w:pos="597"/>
              </w:tabs>
            </w:pPr>
            <w:r w:rsidRPr="00CB1CEF">
              <w:t>-4.3</w:t>
            </w:r>
          </w:p>
        </w:tc>
        <w:tc>
          <w:tcPr>
            <w:tcW w:w="1601" w:type="dxa"/>
            <w:tcBorders>
              <w:top w:val="nil"/>
            </w:tcBorders>
            <w:shd w:val="clear" w:color="auto" w:fill="auto"/>
            <w:tcMar>
              <w:top w:w="29" w:type="dxa"/>
              <w:left w:w="115" w:type="dxa"/>
              <w:bottom w:w="29" w:type="dxa"/>
              <w:right w:w="115" w:type="dxa"/>
            </w:tcMar>
          </w:tcPr>
          <w:p w14:paraId="3A16835D" w14:textId="77777777" w:rsidR="00CB1CEF" w:rsidRPr="00CB1CEF" w:rsidRDefault="00CB1CEF" w:rsidP="002309BF">
            <w:pPr>
              <w:pStyle w:val="TableTextDecimal"/>
              <w:framePr w:wrap="notBeside"/>
              <w:tabs>
                <w:tab w:val="clear" w:pos="716"/>
                <w:tab w:val="decimal" w:pos="597"/>
              </w:tabs>
            </w:pPr>
            <w:r w:rsidRPr="00CB1CEF">
              <w:t>0.09</w:t>
            </w:r>
          </w:p>
        </w:tc>
      </w:tr>
      <w:tr w:rsidR="00CB1CEF" w:rsidRPr="00CB1CEF" w14:paraId="7695C447"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615996FD" w14:textId="77777777" w:rsidR="00CB1CEF" w:rsidRPr="00CB1CEF" w:rsidRDefault="00CB1CEF" w:rsidP="0090264F">
            <w:pPr>
              <w:pStyle w:val="TableTextLeft"/>
              <w:ind w:left="245"/>
            </w:pPr>
            <w:r w:rsidRPr="00CB1CEF">
              <w:t>2–4 clinicians (%)</w:t>
            </w:r>
          </w:p>
        </w:tc>
        <w:tc>
          <w:tcPr>
            <w:tcW w:w="1405" w:type="dxa"/>
            <w:tcBorders>
              <w:top w:val="nil"/>
            </w:tcBorders>
            <w:shd w:val="clear" w:color="auto" w:fill="E0D4B5"/>
            <w:tcMar>
              <w:top w:w="29" w:type="dxa"/>
              <w:left w:w="115" w:type="dxa"/>
              <w:bottom w:w="29" w:type="dxa"/>
              <w:right w:w="115" w:type="dxa"/>
            </w:tcMar>
          </w:tcPr>
          <w:p w14:paraId="45026304" w14:textId="77777777" w:rsidR="00CB1CEF" w:rsidRPr="00CB1CEF" w:rsidRDefault="00CB1CEF" w:rsidP="002309BF">
            <w:pPr>
              <w:pStyle w:val="TableTextDecimal"/>
              <w:framePr w:wrap="notBeside"/>
              <w:tabs>
                <w:tab w:val="clear" w:pos="716"/>
                <w:tab w:val="decimal" w:pos="597"/>
              </w:tabs>
            </w:pPr>
            <w:r w:rsidRPr="00CB1CEF">
              <w:t>28.5</w:t>
            </w:r>
          </w:p>
        </w:tc>
        <w:tc>
          <w:tcPr>
            <w:tcW w:w="1602" w:type="dxa"/>
            <w:tcBorders>
              <w:top w:val="nil"/>
            </w:tcBorders>
            <w:shd w:val="clear" w:color="auto" w:fill="E0D4B5"/>
            <w:tcMar>
              <w:top w:w="29" w:type="dxa"/>
              <w:left w:w="115" w:type="dxa"/>
              <w:bottom w:w="29" w:type="dxa"/>
              <w:right w:w="115" w:type="dxa"/>
            </w:tcMar>
          </w:tcPr>
          <w:p w14:paraId="079D7B01" w14:textId="77777777" w:rsidR="00CB1CEF" w:rsidRPr="00CB1CEF" w:rsidRDefault="00CB1CEF" w:rsidP="002309BF">
            <w:pPr>
              <w:pStyle w:val="TableTextDecimal"/>
              <w:framePr w:wrap="notBeside"/>
              <w:tabs>
                <w:tab w:val="clear" w:pos="716"/>
                <w:tab w:val="decimal" w:pos="597"/>
              </w:tabs>
            </w:pPr>
            <w:r w:rsidRPr="00CB1CEF">
              <w:t>25.4</w:t>
            </w:r>
          </w:p>
        </w:tc>
        <w:tc>
          <w:tcPr>
            <w:tcW w:w="1602" w:type="dxa"/>
            <w:tcBorders>
              <w:top w:val="nil"/>
            </w:tcBorders>
            <w:shd w:val="clear" w:color="auto" w:fill="E0D4B5"/>
            <w:tcMar>
              <w:top w:w="29" w:type="dxa"/>
              <w:left w:w="115" w:type="dxa"/>
              <w:bottom w:w="29" w:type="dxa"/>
              <w:right w:w="115" w:type="dxa"/>
            </w:tcMar>
          </w:tcPr>
          <w:p w14:paraId="3F849414" w14:textId="77777777" w:rsidR="00CB1CEF" w:rsidRPr="00CB1CEF" w:rsidRDefault="00CB1CEF" w:rsidP="002309BF">
            <w:pPr>
              <w:pStyle w:val="TableTextDecimal"/>
              <w:framePr w:wrap="notBeside"/>
              <w:tabs>
                <w:tab w:val="clear" w:pos="716"/>
                <w:tab w:val="decimal" w:pos="597"/>
              </w:tabs>
            </w:pPr>
            <w:r w:rsidRPr="00CB1CEF">
              <w:t>3.2</w:t>
            </w:r>
          </w:p>
        </w:tc>
        <w:tc>
          <w:tcPr>
            <w:tcW w:w="1601" w:type="dxa"/>
            <w:tcBorders>
              <w:top w:val="nil"/>
            </w:tcBorders>
            <w:shd w:val="clear" w:color="auto" w:fill="E0D4B5"/>
            <w:tcMar>
              <w:top w:w="29" w:type="dxa"/>
              <w:left w:w="115" w:type="dxa"/>
              <w:bottom w:w="29" w:type="dxa"/>
              <w:right w:w="115" w:type="dxa"/>
            </w:tcMar>
          </w:tcPr>
          <w:p w14:paraId="5C319E61" w14:textId="77777777" w:rsidR="00CB1CEF" w:rsidRPr="00CB1CEF" w:rsidRDefault="00CB1CEF" w:rsidP="002309BF">
            <w:pPr>
              <w:pStyle w:val="TableTextDecimal"/>
              <w:framePr w:wrap="notBeside"/>
              <w:tabs>
                <w:tab w:val="clear" w:pos="716"/>
                <w:tab w:val="decimal" w:pos="597"/>
              </w:tabs>
            </w:pPr>
            <w:r w:rsidRPr="00CB1CEF">
              <w:t>0.07</w:t>
            </w:r>
          </w:p>
        </w:tc>
      </w:tr>
      <w:tr w:rsidR="00CB1CEF" w:rsidRPr="00CB1CEF" w14:paraId="2349900E"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6A97DE36" w14:textId="77777777" w:rsidR="00CB1CEF" w:rsidRPr="00CB1CEF" w:rsidRDefault="00CB1CEF" w:rsidP="0090264F">
            <w:pPr>
              <w:pStyle w:val="TableTextLeft"/>
              <w:ind w:left="245"/>
            </w:pPr>
            <w:r w:rsidRPr="00CB1CEF">
              <w:t>5–24 clinicians (%)</w:t>
            </w:r>
          </w:p>
        </w:tc>
        <w:tc>
          <w:tcPr>
            <w:tcW w:w="1405" w:type="dxa"/>
            <w:tcBorders>
              <w:top w:val="nil"/>
            </w:tcBorders>
            <w:shd w:val="clear" w:color="auto" w:fill="auto"/>
            <w:tcMar>
              <w:top w:w="29" w:type="dxa"/>
              <w:left w:w="115" w:type="dxa"/>
              <w:bottom w:w="29" w:type="dxa"/>
              <w:right w:w="115" w:type="dxa"/>
            </w:tcMar>
          </w:tcPr>
          <w:p w14:paraId="5F34B8B9" w14:textId="77777777" w:rsidR="00CB1CEF" w:rsidRPr="00CB1CEF" w:rsidRDefault="00CB1CEF" w:rsidP="002309BF">
            <w:pPr>
              <w:pStyle w:val="TableTextDecimal"/>
              <w:framePr w:wrap="notBeside"/>
              <w:tabs>
                <w:tab w:val="clear" w:pos="716"/>
                <w:tab w:val="decimal" w:pos="597"/>
              </w:tabs>
            </w:pPr>
            <w:r w:rsidRPr="00CB1CEF">
              <w:t>18.5</w:t>
            </w:r>
          </w:p>
        </w:tc>
        <w:tc>
          <w:tcPr>
            <w:tcW w:w="1602" w:type="dxa"/>
            <w:tcBorders>
              <w:top w:val="nil"/>
            </w:tcBorders>
            <w:shd w:val="clear" w:color="auto" w:fill="auto"/>
            <w:tcMar>
              <w:top w:w="29" w:type="dxa"/>
              <w:left w:w="115" w:type="dxa"/>
              <w:bottom w:w="29" w:type="dxa"/>
              <w:right w:w="115" w:type="dxa"/>
            </w:tcMar>
          </w:tcPr>
          <w:p w14:paraId="049F7BC2" w14:textId="77777777" w:rsidR="00CB1CEF" w:rsidRPr="00CB1CEF" w:rsidRDefault="00CB1CEF" w:rsidP="002309BF">
            <w:pPr>
              <w:pStyle w:val="TableTextDecimal"/>
              <w:framePr w:wrap="notBeside"/>
              <w:tabs>
                <w:tab w:val="clear" w:pos="716"/>
                <w:tab w:val="decimal" w:pos="597"/>
              </w:tabs>
            </w:pPr>
            <w:r w:rsidRPr="00CB1CEF">
              <w:t>18.0</w:t>
            </w:r>
          </w:p>
        </w:tc>
        <w:tc>
          <w:tcPr>
            <w:tcW w:w="1602" w:type="dxa"/>
            <w:tcBorders>
              <w:top w:val="nil"/>
            </w:tcBorders>
            <w:shd w:val="clear" w:color="auto" w:fill="auto"/>
            <w:tcMar>
              <w:top w:w="29" w:type="dxa"/>
              <w:left w:w="115" w:type="dxa"/>
              <w:bottom w:w="29" w:type="dxa"/>
              <w:right w:w="115" w:type="dxa"/>
            </w:tcMar>
          </w:tcPr>
          <w:p w14:paraId="755B8030" w14:textId="77777777" w:rsidR="00CB1CEF" w:rsidRPr="00CB1CEF" w:rsidRDefault="00CB1CEF" w:rsidP="002309BF">
            <w:pPr>
              <w:pStyle w:val="TableTextDecimal"/>
              <w:framePr w:wrap="notBeside"/>
              <w:tabs>
                <w:tab w:val="clear" w:pos="716"/>
                <w:tab w:val="decimal" w:pos="597"/>
              </w:tabs>
            </w:pPr>
            <w:r w:rsidRPr="00CB1CEF">
              <w:t>0.5</w:t>
            </w:r>
          </w:p>
        </w:tc>
        <w:tc>
          <w:tcPr>
            <w:tcW w:w="1601" w:type="dxa"/>
            <w:tcBorders>
              <w:top w:val="nil"/>
            </w:tcBorders>
            <w:shd w:val="clear" w:color="auto" w:fill="auto"/>
            <w:tcMar>
              <w:top w:w="29" w:type="dxa"/>
              <w:left w:w="115" w:type="dxa"/>
              <w:bottom w:w="29" w:type="dxa"/>
              <w:right w:w="115" w:type="dxa"/>
            </w:tcMar>
          </w:tcPr>
          <w:p w14:paraId="5251B2EA"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627FD78D"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582822C8" w14:textId="77777777" w:rsidR="00CB1CEF" w:rsidRPr="00CB1CEF" w:rsidRDefault="00CB1CEF" w:rsidP="0090264F">
            <w:pPr>
              <w:pStyle w:val="TableTextLeft"/>
              <w:ind w:left="245"/>
            </w:pPr>
            <w:r w:rsidRPr="00CB1CEF">
              <w:t>25–49 clinicians (%)</w:t>
            </w:r>
          </w:p>
        </w:tc>
        <w:tc>
          <w:tcPr>
            <w:tcW w:w="1405" w:type="dxa"/>
            <w:tcBorders>
              <w:top w:val="nil"/>
            </w:tcBorders>
            <w:shd w:val="clear" w:color="auto" w:fill="E0D4B5"/>
            <w:tcMar>
              <w:top w:w="29" w:type="dxa"/>
              <w:left w:w="115" w:type="dxa"/>
              <w:bottom w:w="29" w:type="dxa"/>
              <w:right w:w="115" w:type="dxa"/>
            </w:tcMar>
          </w:tcPr>
          <w:p w14:paraId="16CB2741" w14:textId="77777777" w:rsidR="00CB1CEF" w:rsidRPr="00CB1CEF" w:rsidRDefault="00CB1CEF" w:rsidP="002309BF">
            <w:pPr>
              <w:pStyle w:val="TableTextDecimal"/>
              <w:framePr w:wrap="notBeside"/>
              <w:tabs>
                <w:tab w:val="clear" w:pos="716"/>
                <w:tab w:val="decimal" w:pos="597"/>
              </w:tabs>
            </w:pPr>
            <w:r w:rsidRPr="00CB1CEF">
              <w:t>3.4</w:t>
            </w:r>
          </w:p>
        </w:tc>
        <w:tc>
          <w:tcPr>
            <w:tcW w:w="1602" w:type="dxa"/>
            <w:tcBorders>
              <w:top w:val="nil"/>
            </w:tcBorders>
            <w:shd w:val="clear" w:color="auto" w:fill="E0D4B5"/>
            <w:tcMar>
              <w:top w:w="29" w:type="dxa"/>
              <w:left w:w="115" w:type="dxa"/>
              <w:bottom w:w="29" w:type="dxa"/>
              <w:right w:w="115" w:type="dxa"/>
            </w:tcMar>
          </w:tcPr>
          <w:p w14:paraId="0AAD9EDD" w14:textId="77777777" w:rsidR="00CB1CEF" w:rsidRPr="00CB1CEF" w:rsidRDefault="00CB1CEF" w:rsidP="002309BF">
            <w:pPr>
              <w:pStyle w:val="TableTextDecimal"/>
              <w:framePr w:wrap="notBeside"/>
              <w:tabs>
                <w:tab w:val="clear" w:pos="716"/>
                <w:tab w:val="decimal" w:pos="597"/>
              </w:tabs>
            </w:pPr>
            <w:r w:rsidRPr="00CB1CEF">
              <w:t>3.4</w:t>
            </w:r>
          </w:p>
        </w:tc>
        <w:tc>
          <w:tcPr>
            <w:tcW w:w="1602" w:type="dxa"/>
            <w:tcBorders>
              <w:top w:val="nil"/>
            </w:tcBorders>
            <w:shd w:val="clear" w:color="auto" w:fill="E0D4B5"/>
            <w:tcMar>
              <w:top w:w="29" w:type="dxa"/>
              <w:left w:w="115" w:type="dxa"/>
              <w:bottom w:w="29" w:type="dxa"/>
              <w:right w:w="115" w:type="dxa"/>
            </w:tcMar>
          </w:tcPr>
          <w:p w14:paraId="41B44B3E"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E0D4B5"/>
            <w:tcMar>
              <w:top w:w="29" w:type="dxa"/>
              <w:left w:w="115" w:type="dxa"/>
              <w:bottom w:w="29" w:type="dxa"/>
              <w:right w:w="115" w:type="dxa"/>
            </w:tcMar>
          </w:tcPr>
          <w:p w14:paraId="3CB763E3"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0D95A15F"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5D7D1F20" w14:textId="77777777" w:rsidR="00CB1CEF" w:rsidRPr="00CB1CEF" w:rsidRDefault="00CB1CEF" w:rsidP="0090264F">
            <w:pPr>
              <w:pStyle w:val="TableTextLeft"/>
              <w:ind w:left="245"/>
            </w:pPr>
            <w:r w:rsidRPr="00CB1CEF">
              <w:t>50 or more clinicians (%)</w:t>
            </w:r>
          </w:p>
        </w:tc>
        <w:tc>
          <w:tcPr>
            <w:tcW w:w="1405" w:type="dxa"/>
            <w:tcBorders>
              <w:top w:val="nil"/>
            </w:tcBorders>
            <w:shd w:val="clear" w:color="auto" w:fill="auto"/>
            <w:tcMar>
              <w:top w:w="29" w:type="dxa"/>
              <w:left w:w="115" w:type="dxa"/>
              <w:bottom w:w="29" w:type="dxa"/>
              <w:right w:w="115" w:type="dxa"/>
            </w:tcMar>
          </w:tcPr>
          <w:p w14:paraId="242005D7" w14:textId="77777777" w:rsidR="00CB1CEF" w:rsidRPr="00CB1CEF" w:rsidRDefault="00CB1CEF" w:rsidP="002309BF">
            <w:pPr>
              <w:pStyle w:val="TableTextDecimal"/>
              <w:framePr w:wrap="notBeside"/>
              <w:tabs>
                <w:tab w:val="clear" w:pos="716"/>
                <w:tab w:val="decimal" w:pos="597"/>
              </w:tabs>
            </w:pPr>
            <w:r w:rsidRPr="00CB1CEF">
              <w:t>4.1</w:t>
            </w:r>
          </w:p>
        </w:tc>
        <w:tc>
          <w:tcPr>
            <w:tcW w:w="1602" w:type="dxa"/>
            <w:tcBorders>
              <w:top w:val="nil"/>
            </w:tcBorders>
            <w:shd w:val="clear" w:color="auto" w:fill="auto"/>
            <w:tcMar>
              <w:top w:w="29" w:type="dxa"/>
              <w:left w:w="115" w:type="dxa"/>
              <w:bottom w:w="29" w:type="dxa"/>
              <w:right w:w="115" w:type="dxa"/>
            </w:tcMar>
          </w:tcPr>
          <w:p w14:paraId="7B8CBC34" w14:textId="77777777" w:rsidR="00CB1CEF" w:rsidRPr="00CB1CEF" w:rsidRDefault="00CB1CEF" w:rsidP="002309BF">
            <w:pPr>
              <w:pStyle w:val="TableTextDecimal"/>
              <w:framePr w:wrap="notBeside"/>
              <w:tabs>
                <w:tab w:val="clear" w:pos="716"/>
                <w:tab w:val="decimal" w:pos="597"/>
              </w:tabs>
            </w:pPr>
            <w:r w:rsidRPr="00CB1CEF">
              <w:t>3.4</w:t>
            </w:r>
          </w:p>
        </w:tc>
        <w:tc>
          <w:tcPr>
            <w:tcW w:w="1602" w:type="dxa"/>
            <w:tcBorders>
              <w:top w:val="nil"/>
            </w:tcBorders>
            <w:shd w:val="clear" w:color="auto" w:fill="auto"/>
            <w:tcMar>
              <w:top w:w="29" w:type="dxa"/>
              <w:left w:w="115" w:type="dxa"/>
              <w:bottom w:w="29" w:type="dxa"/>
              <w:right w:w="115" w:type="dxa"/>
            </w:tcMar>
          </w:tcPr>
          <w:p w14:paraId="611D1272" w14:textId="77777777" w:rsidR="00CB1CEF" w:rsidRPr="00CB1CEF" w:rsidRDefault="00CB1CEF" w:rsidP="002309BF">
            <w:pPr>
              <w:pStyle w:val="TableTextDecimal"/>
              <w:framePr w:wrap="notBeside"/>
              <w:tabs>
                <w:tab w:val="clear" w:pos="716"/>
                <w:tab w:val="decimal" w:pos="597"/>
              </w:tabs>
            </w:pPr>
            <w:r w:rsidRPr="00CB1CEF">
              <w:t>0.6</w:t>
            </w:r>
          </w:p>
        </w:tc>
        <w:tc>
          <w:tcPr>
            <w:tcW w:w="1601" w:type="dxa"/>
            <w:tcBorders>
              <w:top w:val="nil"/>
            </w:tcBorders>
            <w:shd w:val="clear" w:color="auto" w:fill="auto"/>
            <w:tcMar>
              <w:top w:w="29" w:type="dxa"/>
              <w:left w:w="115" w:type="dxa"/>
              <w:bottom w:w="29" w:type="dxa"/>
              <w:right w:w="115" w:type="dxa"/>
            </w:tcMar>
          </w:tcPr>
          <w:p w14:paraId="33598D7C"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60BA8FF9" w14:textId="77777777" w:rsidTr="00630740">
        <w:trPr>
          <w:trHeight w:val="20"/>
        </w:trPr>
        <w:tc>
          <w:tcPr>
            <w:tcW w:w="3330" w:type="dxa"/>
            <w:tcBorders>
              <w:bottom w:val="nil"/>
            </w:tcBorders>
            <w:shd w:val="clear" w:color="auto" w:fill="E0D4B5"/>
            <w:tcMar>
              <w:top w:w="29" w:type="dxa"/>
              <w:left w:w="115" w:type="dxa"/>
              <w:bottom w:w="29" w:type="dxa"/>
              <w:right w:w="115" w:type="dxa"/>
            </w:tcMar>
            <w:vAlign w:val="center"/>
          </w:tcPr>
          <w:p w14:paraId="405C6C63" w14:textId="77777777" w:rsidR="00CB1CEF" w:rsidRPr="00CB1CEF" w:rsidRDefault="00CB1CEF" w:rsidP="0090264F">
            <w:pPr>
              <w:pStyle w:val="TableTextLeft"/>
            </w:pPr>
            <w:r w:rsidRPr="00CB1CEF">
              <w:t xml:space="preserve">Ownership </w:t>
            </w:r>
            <w:proofErr w:type="spellStart"/>
            <w:proofErr w:type="gramStart"/>
            <w:r w:rsidRPr="00CB1CEF">
              <w:t>type</w:t>
            </w:r>
            <w:r w:rsidRPr="00CB1CEF">
              <w:rPr>
                <w:vertAlign w:val="superscript"/>
              </w:rPr>
              <w:t>e,f</w:t>
            </w:r>
            <w:proofErr w:type="spellEnd"/>
            <w:proofErr w:type="gramEnd"/>
            <w:r w:rsidRPr="00CB1CEF">
              <w:t xml:space="preserve"> (%, 2017)</w:t>
            </w:r>
          </w:p>
        </w:tc>
        <w:tc>
          <w:tcPr>
            <w:tcW w:w="1405" w:type="dxa"/>
            <w:tcBorders>
              <w:bottom w:val="nil"/>
            </w:tcBorders>
            <w:shd w:val="clear" w:color="auto" w:fill="E0D4B5"/>
            <w:tcMar>
              <w:top w:w="29" w:type="dxa"/>
              <w:left w:w="115" w:type="dxa"/>
              <w:bottom w:w="29" w:type="dxa"/>
              <w:right w:w="115" w:type="dxa"/>
            </w:tcMar>
          </w:tcPr>
          <w:p w14:paraId="34B6F89E" w14:textId="77777777" w:rsidR="00CB1CEF" w:rsidRPr="00CB1CEF" w:rsidRDefault="00CB1CEF" w:rsidP="002309BF">
            <w:pPr>
              <w:pStyle w:val="TableTextDecimal"/>
              <w:framePr w:wrap="notBeside"/>
              <w:tabs>
                <w:tab w:val="clear" w:pos="716"/>
                <w:tab w:val="decimal" w:pos="597"/>
              </w:tabs>
            </w:pPr>
          </w:p>
        </w:tc>
        <w:tc>
          <w:tcPr>
            <w:tcW w:w="1602" w:type="dxa"/>
            <w:tcBorders>
              <w:bottom w:val="nil"/>
            </w:tcBorders>
            <w:shd w:val="clear" w:color="auto" w:fill="E0D4B5"/>
            <w:tcMar>
              <w:top w:w="29" w:type="dxa"/>
              <w:left w:w="115" w:type="dxa"/>
              <w:bottom w:w="29" w:type="dxa"/>
              <w:right w:w="115" w:type="dxa"/>
            </w:tcMar>
          </w:tcPr>
          <w:p w14:paraId="6A6C9964" w14:textId="77777777" w:rsidR="00CB1CEF" w:rsidRPr="00CB1CEF" w:rsidRDefault="00CB1CEF" w:rsidP="002309BF">
            <w:pPr>
              <w:pStyle w:val="TableTextDecimal"/>
              <w:framePr w:wrap="notBeside"/>
              <w:tabs>
                <w:tab w:val="clear" w:pos="716"/>
                <w:tab w:val="decimal" w:pos="597"/>
              </w:tabs>
            </w:pPr>
          </w:p>
        </w:tc>
        <w:tc>
          <w:tcPr>
            <w:tcW w:w="1602" w:type="dxa"/>
            <w:tcBorders>
              <w:bottom w:val="nil"/>
            </w:tcBorders>
            <w:shd w:val="clear" w:color="auto" w:fill="E0D4B5"/>
            <w:tcMar>
              <w:top w:w="29" w:type="dxa"/>
              <w:left w:w="115" w:type="dxa"/>
              <w:bottom w:w="29" w:type="dxa"/>
              <w:right w:w="115" w:type="dxa"/>
            </w:tcMar>
          </w:tcPr>
          <w:p w14:paraId="634582EB" w14:textId="77777777" w:rsidR="00CB1CEF" w:rsidRPr="00CB1CEF" w:rsidRDefault="00CB1CEF" w:rsidP="002309BF">
            <w:pPr>
              <w:pStyle w:val="TableTextDecimal"/>
              <w:framePr w:wrap="notBeside"/>
              <w:tabs>
                <w:tab w:val="clear" w:pos="716"/>
                <w:tab w:val="decimal" w:pos="597"/>
              </w:tabs>
            </w:pPr>
          </w:p>
        </w:tc>
        <w:tc>
          <w:tcPr>
            <w:tcW w:w="1601" w:type="dxa"/>
            <w:tcBorders>
              <w:bottom w:val="nil"/>
            </w:tcBorders>
            <w:shd w:val="clear" w:color="auto" w:fill="E0D4B5"/>
            <w:tcMar>
              <w:top w:w="29" w:type="dxa"/>
              <w:left w:w="115" w:type="dxa"/>
              <w:bottom w:w="29" w:type="dxa"/>
              <w:right w:w="115" w:type="dxa"/>
            </w:tcMar>
          </w:tcPr>
          <w:p w14:paraId="7CBC594B" w14:textId="77777777" w:rsidR="00CB1CEF" w:rsidRPr="00CB1CEF" w:rsidRDefault="00CB1CEF" w:rsidP="002309BF">
            <w:pPr>
              <w:pStyle w:val="TableTextDecimal"/>
              <w:framePr w:wrap="notBeside"/>
              <w:tabs>
                <w:tab w:val="clear" w:pos="716"/>
                <w:tab w:val="decimal" w:pos="597"/>
              </w:tabs>
            </w:pPr>
          </w:p>
        </w:tc>
      </w:tr>
      <w:tr w:rsidR="00CB1CEF" w:rsidRPr="00CB1CEF" w14:paraId="28802699" w14:textId="77777777" w:rsidTr="00630740">
        <w:trPr>
          <w:trHeight w:val="20"/>
        </w:trPr>
        <w:tc>
          <w:tcPr>
            <w:tcW w:w="3330" w:type="dxa"/>
            <w:tcBorders>
              <w:bottom w:val="nil"/>
            </w:tcBorders>
            <w:shd w:val="clear" w:color="auto" w:fill="auto"/>
            <w:tcMar>
              <w:top w:w="29" w:type="dxa"/>
              <w:left w:w="115" w:type="dxa"/>
              <w:bottom w:w="29" w:type="dxa"/>
              <w:right w:w="115" w:type="dxa"/>
            </w:tcMar>
            <w:vAlign w:val="center"/>
          </w:tcPr>
          <w:p w14:paraId="70323BDD" w14:textId="77777777" w:rsidR="00CB1CEF" w:rsidRPr="00CB1CEF" w:rsidRDefault="00CB1CEF" w:rsidP="0090264F">
            <w:pPr>
              <w:pStyle w:val="TableTextLeft"/>
              <w:ind w:left="245"/>
            </w:pPr>
            <w:r w:rsidRPr="00CB1CEF">
              <w:t>Hospital-owned</w:t>
            </w:r>
          </w:p>
        </w:tc>
        <w:tc>
          <w:tcPr>
            <w:tcW w:w="1405" w:type="dxa"/>
            <w:tcBorders>
              <w:bottom w:val="nil"/>
            </w:tcBorders>
            <w:shd w:val="clear" w:color="auto" w:fill="auto"/>
            <w:tcMar>
              <w:top w:w="29" w:type="dxa"/>
              <w:left w:w="115" w:type="dxa"/>
              <w:bottom w:w="29" w:type="dxa"/>
              <w:right w:w="115" w:type="dxa"/>
            </w:tcMar>
          </w:tcPr>
          <w:p w14:paraId="522F8984" w14:textId="77777777" w:rsidR="00CB1CEF" w:rsidRPr="00CB1CEF" w:rsidRDefault="00CB1CEF" w:rsidP="002309BF">
            <w:pPr>
              <w:pStyle w:val="TableTextDecimal"/>
              <w:framePr w:wrap="notBeside"/>
              <w:tabs>
                <w:tab w:val="clear" w:pos="716"/>
                <w:tab w:val="decimal" w:pos="597"/>
              </w:tabs>
            </w:pPr>
            <w:r w:rsidRPr="00CB1CEF">
              <w:t>27.5</w:t>
            </w:r>
          </w:p>
        </w:tc>
        <w:tc>
          <w:tcPr>
            <w:tcW w:w="1602" w:type="dxa"/>
            <w:tcBorders>
              <w:bottom w:val="nil"/>
            </w:tcBorders>
            <w:shd w:val="clear" w:color="auto" w:fill="auto"/>
            <w:tcMar>
              <w:top w:w="29" w:type="dxa"/>
              <w:left w:w="115" w:type="dxa"/>
              <w:bottom w:w="29" w:type="dxa"/>
              <w:right w:w="115" w:type="dxa"/>
            </w:tcMar>
          </w:tcPr>
          <w:p w14:paraId="04BB6D17" w14:textId="77777777" w:rsidR="00CB1CEF" w:rsidRPr="00CB1CEF" w:rsidRDefault="00CB1CEF" w:rsidP="002309BF">
            <w:pPr>
              <w:pStyle w:val="TableTextDecimal"/>
              <w:framePr w:wrap="notBeside"/>
              <w:tabs>
                <w:tab w:val="clear" w:pos="716"/>
                <w:tab w:val="decimal" w:pos="597"/>
              </w:tabs>
            </w:pPr>
            <w:r w:rsidRPr="00CB1CEF">
              <w:t>23.8</w:t>
            </w:r>
          </w:p>
        </w:tc>
        <w:tc>
          <w:tcPr>
            <w:tcW w:w="1602" w:type="dxa"/>
            <w:tcBorders>
              <w:bottom w:val="nil"/>
            </w:tcBorders>
            <w:shd w:val="clear" w:color="auto" w:fill="auto"/>
            <w:tcMar>
              <w:top w:w="29" w:type="dxa"/>
              <w:left w:w="115" w:type="dxa"/>
              <w:bottom w:w="29" w:type="dxa"/>
              <w:right w:w="115" w:type="dxa"/>
            </w:tcMar>
          </w:tcPr>
          <w:p w14:paraId="2554C08E" w14:textId="77777777" w:rsidR="00CB1CEF" w:rsidRPr="00CB1CEF" w:rsidRDefault="00CB1CEF" w:rsidP="002309BF">
            <w:pPr>
              <w:pStyle w:val="TableTextDecimal"/>
              <w:framePr w:wrap="notBeside"/>
              <w:tabs>
                <w:tab w:val="clear" w:pos="716"/>
                <w:tab w:val="decimal" w:pos="597"/>
              </w:tabs>
            </w:pPr>
            <w:r w:rsidRPr="00CB1CEF">
              <w:t>3.7</w:t>
            </w:r>
          </w:p>
        </w:tc>
        <w:tc>
          <w:tcPr>
            <w:tcW w:w="1601" w:type="dxa"/>
            <w:tcBorders>
              <w:bottom w:val="nil"/>
            </w:tcBorders>
            <w:shd w:val="clear" w:color="auto" w:fill="auto"/>
            <w:tcMar>
              <w:top w:w="29" w:type="dxa"/>
              <w:left w:w="115" w:type="dxa"/>
              <w:bottom w:w="29" w:type="dxa"/>
              <w:right w:w="115" w:type="dxa"/>
            </w:tcMar>
          </w:tcPr>
          <w:p w14:paraId="3F6BE014" w14:textId="77777777" w:rsidR="00CB1CEF" w:rsidRPr="00CB1CEF" w:rsidRDefault="00CB1CEF" w:rsidP="002309BF">
            <w:pPr>
              <w:pStyle w:val="TableTextDecimal"/>
              <w:framePr w:wrap="notBeside"/>
              <w:tabs>
                <w:tab w:val="clear" w:pos="716"/>
                <w:tab w:val="decimal" w:pos="597"/>
              </w:tabs>
            </w:pPr>
            <w:r w:rsidRPr="00CB1CEF">
              <w:t>0.09</w:t>
            </w:r>
          </w:p>
        </w:tc>
      </w:tr>
      <w:tr w:rsidR="00CB1CEF" w:rsidRPr="00CB1CEF" w14:paraId="3CC025BB" w14:textId="77777777" w:rsidTr="00630740">
        <w:trPr>
          <w:trHeight w:val="20"/>
        </w:trPr>
        <w:tc>
          <w:tcPr>
            <w:tcW w:w="3330" w:type="dxa"/>
            <w:tcBorders>
              <w:bottom w:val="nil"/>
            </w:tcBorders>
            <w:shd w:val="clear" w:color="auto" w:fill="E0D4B5"/>
            <w:tcMar>
              <w:top w:w="29" w:type="dxa"/>
              <w:left w:w="115" w:type="dxa"/>
              <w:bottom w:w="29" w:type="dxa"/>
              <w:right w:w="115" w:type="dxa"/>
            </w:tcMar>
            <w:vAlign w:val="center"/>
          </w:tcPr>
          <w:p w14:paraId="5755926C" w14:textId="77777777" w:rsidR="00CB1CEF" w:rsidRPr="00CB1CEF" w:rsidRDefault="00CB1CEF" w:rsidP="0090264F">
            <w:pPr>
              <w:pStyle w:val="TableTextLeft"/>
              <w:ind w:left="245"/>
            </w:pPr>
            <w:r w:rsidRPr="00CB1CEF">
              <w:t>Physician-owned</w:t>
            </w:r>
          </w:p>
        </w:tc>
        <w:tc>
          <w:tcPr>
            <w:tcW w:w="1405" w:type="dxa"/>
            <w:tcBorders>
              <w:bottom w:val="nil"/>
            </w:tcBorders>
            <w:shd w:val="clear" w:color="auto" w:fill="E0D4B5"/>
            <w:tcMar>
              <w:top w:w="29" w:type="dxa"/>
              <w:left w:w="115" w:type="dxa"/>
              <w:bottom w:w="29" w:type="dxa"/>
              <w:right w:w="115" w:type="dxa"/>
            </w:tcMar>
          </w:tcPr>
          <w:p w14:paraId="08DF2715" w14:textId="77777777" w:rsidR="00CB1CEF" w:rsidRPr="00CB1CEF" w:rsidRDefault="00CB1CEF" w:rsidP="002309BF">
            <w:pPr>
              <w:pStyle w:val="TableTextDecimal"/>
              <w:framePr w:wrap="notBeside"/>
              <w:tabs>
                <w:tab w:val="clear" w:pos="716"/>
                <w:tab w:val="decimal" w:pos="597"/>
              </w:tabs>
            </w:pPr>
            <w:r w:rsidRPr="00CB1CEF">
              <w:t>72.5</w:t>
            </w:r>
          </w:p>
        </w:tc>
        <w:tc>
          <w:tcPr>
            <w:tcW w:w="1602" w:type="dxa"/>
            <w:tcBorders>
              <w:bottom w:val="nil"/>
            </w:tcBorders>
            <w:shd w:val="clear" w:color="auto" w:fill="E0D4B5"/>
            <w:tcMar>
              <w:top w:w="29" w:type="dxa"/>
              <w:left w:w="115" w:type="dxa"/>
              <w:bottom w:w="29" w:type="dxa"/>
              <w:right w:w="115" w:type="dxa"/>
            </w:tcMar>
          </w:tcPr>
          <w:p w14:paraId="73EB0F0B" w14:textId="77777777" w:rsidR="00CB1CEF" w:rsidRPr="00CB1CEF" w:rsidRDefault="00CB1CEF" w:rsidP="002309BF">
            <w:pPr>
              <w:pStyle w:val="TableTextDecimal"/>
              <w:framePr w:wrap="notBeside"/>
              <w:tabs>
                <w:tab w:val="clear" w:pos="716"/>
                <w:tab w:val="decimal" w:pos="597"/>
              </w:tabs>
            </w:pPr>
            <w:r w:rsidRPr="00CB1CEF">
              <w:t>76.2</w:t>
            </w:r>
          </w:p>
        </w:tc>
        <w:tc>
          <w:tcPr>
            <w:tcW w:w="1602" w:type="dxa"/>
            <w:tcBorders>
              <w:bottom w:val="nil"/>
            </w:tcBorders>
            <w:shd w:val="clear" w:color="auto" w:fill="E0D4B5"/>
            <w:tcMar>
              <w:top w:w="29" w:type="dxa"/>
              <w:left w:w="115" w:type="dxa"/>
              <w:bottom w:w="29" w:type="dxa"/>
              <w:right w:w="115" w:type="dxa"/>
            </w:tcMar>
          </w:tcPr>
          <w:p w14:paraId="1BACFE9A" w14:textId="77777777" w:rsidR="00CB1CEF" w:rsidRPr="00CB1CEF" w:rsidRDefault="00CB1CEF" w:rsidP="002309BF">
            <w:pPr>
              <w:pStyle w:val="TableTextDecimal"/>
              <w:framePr w:wrap="notBeside"/>
              <w:tabs>
                <w:tab w:val="clear" w:pos="716"/>
                <w:tab w:val="decimal" w:pos="597"/>
              </w:tabs>
            </w:pPr>
            <w:r w:rsidRPr="00CB1CEF">
              <w:t>-3.7</w:t>
            </w:r>
          </w:p>
        </w:tc>
        <w:tc>
          <w:tcPr>
            <w:tcW w:w="1601" w:type="dxa"/>
            <w:tcBorders>
              <w:bottom w:val="nil"/>
            </w:tcBorders>
            <w:shd w:val="clear" w:color="auto" w:fill="E0D4B5"/>
            <w:tcMar>
              <w:top w:w="29" w:type="dxa"/>
              <w:left w:w="115" w:type="dxa"/>
              <w:bottom w:w="29" w:type="dxa"/>
              <w:right w:w="115" w:type="dxa"/>
            </w:tcMar>
          </w:tcPr>
          <w:p w14:paraId="56B0191C" w14:textId="77777777" w:rsidR="00CB1CEF" w:rsidRPr="00CB1CEF" w:rsidRDefault="00CB1CEF" w:rsidP="002309BF">
            <w:pPr>
              <w:pStyle w:val="TableTextDecimal"/>
              <w:framePr w:wrap="notBeside"/>
              <w:tabs>
                <w:tab w:val="clear" w:pos="716"/>
                <w:tab w:val="decimal" w:pos="597"/>
              </w:tabs>
            </w:pPr>
            <w:r w:rsidRPr="00CB1CEF">
              <w:t>0.09</w:t>
            </w:r>
          </w:p>
        </w:tc>
      </w:tr>
      <w:tr w:rsidR="00CB1CEF" w:rsidRPr="00CB1CEF" w14:paraId="349EBE58" w14:textId="77777777" w:rsidTr="00630740">
        <w:trPr>
          <w:trHeight w:val="20"/>
        </w:trPr>
        <w:tc>
          <w:tcPr>
            <w:tcW w:w="9540" w:type="dxa"/>
            <w:gridSpan w:val="5"/>
            <w:tcBorders>
              <w:top w:val="nil"/>
              <w:bottom w:val="nil"/>
            </w:tcBorders>
            <w:shd w:val="clear" w:color="auto" w:fill="0B2949"/>
          </w:tcPr>
          <w:p w14:paraId="3274599E" w14:textId="77777777" w:rsidR="00CB1CEF" w:rsidRPr="00CB1CEF" w:rsidRDefault="00CB1CEF" w:rsidP="00CB1CEF">
            <w:pPr>
              <w:spacing w:before="60" w:after="60" w:line="240" w:lineRule="auto"/>
              <w:rPr>
                <w:rFonts w:ascii="Arial" w:hAnsi="Arial"/>
                <w:b/>
                <w:sz w:val="18"/>
                <w:szCs w:val="18"/>
              </w:rPr>
            </w:pPr>
            <w:r w:rsidRPr="00CB1CEF">
              <w:rPr>
                <w:rFonts w:ascii="Arial" w:hAnsi="Arial"/>
                <w:b/>
                <w:sz w:val="18"/>
                <w:szCs w:val="18"/>
              </w:rPr>
              <w:t>Practice specialty and clinician type</w:t>
            </w:r>
          </w:p>
        </w:tc>
      </w:tr>
      <w:tr w:rsidR="00CB1CEF" w:rsidRPr="00CB1CEF" w14:paraId="14A19C94"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48F8F56F" w14:textId="77777777" w:rsidR="00CB1CEF" w:rsidRPr="00CB1CEF" w:rsidRDefault="00CB1CEF" w:rsidP="002309BF">
            <w:pPr>
              <w:pStyle w:val="TableTextLeft"/>
            </w:pPr>
            <w:r w:rsidRPr="00CB1CEF">
              <w:t xml:space="preserve">Average proportion of clinicians at practice within broad disciplinary </w:t>
            </w:r>
            <w:proofErr w:type="spellStart"/>
            <w:r w:rsidRPr="00CB1CEF">
              <w:t>categories</w:t>
            </w:r>
            <w:r w:rsidRPr="00CB1CEF">
              <w:rPr>
                <w:vertAlign w:val="superscript"/>
              </w:rPr>
              <w:t>g</w:t>
            </w:r>
            <w:proofErr w:type="spellEnd"/>
            <w:r w:rsidRPr="00CB1CEF">
              <w:t xml:space="preserve"> (%)</w:t>
            </w:r>
          </w:p>
        </w:tc>
        <w:tc>
          <w:tcPr>
            <w:tcW w:w="1405" w:type="dxa"/>
            <w:tcBorders>
              <w:top w:val="nil"/>
            </w:tcBorders>
            <w:shd w:val="clear" w:color="auto" w:fill="auto"/>
            <w:tcMar>
              <w:top w:w="29" w:type="dxa"/>
              <w:left w:w="115" w:type="dxa"/>
              <w:bottom w:w="29" w:type="dxa"/>
              <w:right w:w="115" w:type="dxa"/>
            </w:tcMar>
          </w:tcPr>
          <w:p w14:paraId="11EC7766"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auto"/>
            <w:tcMar>
              <w:top w:w="29" w:type="dxa"/>
              <w:left w:w="115" w:type="dxa"/>
              <w:bottom w:w="29" w:type="dxa"/>
              <w:right w:w="115" w:type="dxa"/>
            </w:tcMar>
          </w:tcPr>
          <w:p w14:paraId="37AD2FE3"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auto"/>
            <w:tcMar>
              <w:top w:w="29" w:type="dxa"/>
              <w:left w:w="115" w:type="dxa"/>
              <w:bottom w:w="29" w:type="dxa"/>
              <w:right w:w="115" w:type="dxa"/>
            </w:tcMar>
          </w:tcPr>
          <w:p w14:paraId="0A12FB46" w14:textId="77777777" w:rsidR="00CB1CEF" w:rsidRPr="00CB1CEF" w:rsidRDefault="00CB1CEF" w:rsidP="002309BF">
            <w:pPr>
              <w:pStyle w:val="TableTextDecimal"/>
              <w:framePr w:wrap="notBeside"/>
              <w:tabs>
                <w:tab w:val="clear" w:pos="716"/>
                <w:tab w:val="decimal" w:pos="597"/>
              </w:tabs>
            </w:pPr>
          </w:p>
        </w:tc>
        <w:tc>
          <w:tcPr>
            <w:tcW w:w="1601" w:type="dxa"/>
            <w:tcBorders>
              <w:top w:val="nil"/>
            </w:tcBorders>
            <w:shd w:val="clear" w:color="auto" w:fill="auto"/>
            <w:tcMar>
              <w:top w:w="29" w:type="dxa"/>
              <w:left w:w="115" w:type="dxa"/>
              <w:bottom w:w="29" w:type="dxa"/>
              <w:right w:w="115" w:type="dxa"/>
            </w:tcMar>
          </w:tcPr>
          <w:p w14:paraId="153E5DCF" w14:textId="77777777" w:rsidR="00CB1CEF" w:rsidRPr="00CB1CEF" w:rsidRDefault="00CB1CEF" w:rsidP="002309BF">
            <w:pPr>
              <w:pStyle w:val="TableTextDecimal"/>
              <w:framePr w:wrap="notBeside"/>
              <w:tabs>
                <w:tab w:val="clear" w:pos="716"/>
                <w:tab w:val="decimal" w:pos="597"/>
              </w:tabs>
            </w:pPr>
          </w:p>
        </w:tc>
      </w:tr>
      <w:tr w:rsidR="00CB1CEF" w:rsidRPr="00CB1CEF" w14:paraId="3DEFB998" w14:textId="77777777" w:rsidTr="00630740">
        <w:trPr>
          <w:trHeight w:val="20"/>
        </w:trPr>
        <w:tc>
          <w:tcPr>
            <w:tcW w:w="3330" w:type="dxa"/>
            <w:tcBorders>
              <w:top w:val="nil"/>
              <w:bottom w:val="nil"/>
            </w:tcBorders>
            <w:shd w:val="clear" w:color="auto" w:fill="E0D4B5"/>
            <w:tcMar>
              <w:top w:w="29" w:type="dxa"/>
              <w:left w:w="115" w:type="dxa"/>
              <w:bottom w:w="29" w:type="dxa"/>
              <w:right w:w="115" w:type="dxa"/>
            </w:tcMar>
            <w:vAlign w:val="center"/>
          </w:tcPr>
          <w:p w14:paraId="17008D18" w14:textId="77777777" w:rsidR="00CB1CEF" w:rsidRPr="00CB1CEF" w:rsidRDefault="00CB1CEF" w:rsidP="002309BF">
            <w:pPr>
              <w:pStyle w:val="TableTextLeft"/>
              <w:ind w:left="245"/>
            </w:pPr>
            <w:r w:rsidRPr="00CB1CEF">
              <w:t>Non-physician</w:t>
            </w:r>
          </w:p>
        </w:tc>
        <w:tc>
          <w:tcPr>
            <w:tcW w:w="1405" w:type="dxa"/>
            <w:tcBorders>
              <w:top w:val="nil"/>
              <w:bottom w:val="nil"/>
            </w:tcBorders>
            <w:shd w:val="clear" w:color="auto" w:fill="E0D4B5"/>
            <w:tcMar>
              <w:top w:w="29" w:type="dxa"/>
              <w:left w:w="115" w:type="dxa"/>
              <w:bottom w:w="29" w:type="dxa"/>
              <w:right w:w="115" w:type="dxa"/>
            </w:tcMar>
          </w:tcPr>
          <w:p w14:paraId="0B319575" w14:textId="77777777" w:rsidR="00CB1CEF" w:rsidRPr="00CB1CEF" w:rsidRDefault="00CB1CEF" w:rsidP="002309BF">
            <w:pPr>
              <w:pStyle w:val="TableTextDecimal"/>
              <w:framePr w:wrap="notBeside"/>
              <w:tabs>
                <w:tab w:val="clear" w:pos="716"/>
                <w:tab w:val="decimal" w:pos="597"/>
              </w:tabs>
            </w:pPr>
            <w:r w:rsidRPr="00CB1CEF">
              <w:t>35.4</w:t>
            </w:r>
          </w:p>
        </w:tc>
        <w:tc>
          <w:tcPr>
            <w:tcW w:w="1602" w:type="dxa"/>
            <w:tcBorders>
              <w:top w:val="nil"/>
              <w:bottom w:val="nil"/>
            </w:tcBorders>
            <w:shd w:val="clear" w:color="auto" w:fill="E0D4B5"/>
            <w:tcMar>
              <w:top w:w="29" w:type="dxa"/>
              <w:left w:w="115" w:type="dxa"/>
              <w:bottom w:w="29" w:type="dxa"/>
              <w:right w:w="115" w:type="dxa"/>
            </w:tcMar>
          </w:tcPr>
          <w:p w14:paraId="083F64C7" w14:textId="77777777" w:rsidR="00CB1CEF" w:rsidRPr="00CB1CEF" w:rsidRDefault="00CB1CEF" w:rsidP="002309BF">
            <w:pPr>
              <w:pStyle w:val="TableTextDecimal"/>
              <w:framePr w:wrap="notBeside"/>
              <w:tabs>
                <w:tab w:val="clear" w:pos="716"/>
                <w:tab w:val="decimal" w:pos="597"/>
              </w:tabs>
            </w:pPr>
            <w:r w:rsidRPr="00CB1CEF">
              <w:t>37.6</w:t>
            </w:r>
          </w:p>
        </w:tc>
        <w:tc>
          <w:tcPr>
            <w:tcW w:w="1602" w:type="dxa"/>
            <w:tcBorders>
              <w:top w:val="nil"/>
              <w:bottom w:val="nil"/>
            </w:tcBorders>
            <w:shd w:val="clear" w:color="auto" w:fill="E0D4B5"/>
            <w:tcMar>
              <w:top w:w="29" w:type="dxa"/>
              <w:left w:w="115" w:type="dxa"/>
              <w:bottom w:w="29" w:type="dxa"/>
              <w:right w:w="115" w:type="dxa"/>
            </w:tcMar>
          </w:tcPr>
          <w:p w14:paraId="0309CD69" w14:textId="77777777" w:rsidR="00CB1CEF" w:rsidRPr="00CB1CEF" w:rsidRDefault="00CB1CEF" w:rsidP="002309BF">
            <w:pPr>
              <w:pStyle w:val="TableTextDecimal"/>
              <w:framePr w:wrap="notBeside"/>
              <w:tabs>
                <w:tab w:val="clear" w:pos="716"/>
                <w:tab w:val="decimal" w:pos="597"/>
              </w:tabs>
            </w:pPr>
            <w:r w:rsidRPr="00CB1CEF">
              <w:t>-2.2</w:t>
            </w:r>
          </w:p>
        </w:tc>
        <w:tc>
          <w:tcPr>
            <w:tcW w:w="1601" w:type="dxa"/>
            <w:tcBorders>
              <w:top w:val="nil"/>
              <w:bottom w:val="nil"/>
            </w:tcBorders>
            <w:shd w:val="clear" w:color="auto" w:fill="E0D4B5"/>
            <w:tcMar>
              <w:top w:w="29" w:type="dxa"/>
              <w:left w:w="115" w:type="dxa"/>
              <w:bottom w:w="29" w:type="dxa"/>
              <w:right w:w="115" w:type="dxa"/>
            </w:tcMar>
          </w:tcPr>
          <w:p w14:paraId="2A19E194" w14:textId="77777777" w:rsidR="00CB1CEF" w:rsidRPr="00CB1CEF" w:rsidRDefault="00CB1CEF" w:rsidP="002309BF">
            <w:pPr>
              <w:pStyle w:val="TableTextDecimal"/>
              <w:framePr w:wrap="notBeside"/>
              <w:tabs>
                <w:tab w:val="clear" w:pos="716"/>
                <w:tab w:val="decimal" w:pos="597"/>
              </w:tabs>
            </w:pPr>
            <w:r w:rsidRPr="00CB1CEF">
              <w:t>0.05</w:t>
            </w:r>
          </w:p>
        </w:tc>
      </w:tr>
      <w:tr w:rsidR="00CB1CEF" w:rsidRPr="00CB1CEF" w14:paraId="563A10F4" w14:textId="77777777" w:rsidTr="00630740">
        <w:trPr>
          <w:trHeight w:val="20"/>
        </w:trPr>
        <w:tc>
          <w:tcPr>
            <w:tcW w:w="3330" w:type="dxa"/>
            <w:tcBorders>
              <w:top w:val="nil"/>
              <w:bottom w:val="nil"/>
            </w:tcBorders>
            <w:shd w:val="clear" w:color="auto" w:fill="auto"/>
            <w:tcMar>
              <w:top w:w="29" w:type="dxa"/>
              <w:left w:w="115" w:type="dxa"/>
              <w:bottom w:w="29" w:type="dxa"/>
              <w:right w:w="115" w:type="dxa"/>
            </w:tcMar>
            <w:vAlign w:val="center"/>
          </w:tcPr>
          <w:p w14:paraId="30AFC9FF" w14:textId="77777777" w:rsidR="00CB1CEF" w:rsidRPr="00CB1CEF" w:rsidRDefault="00CB1CEF" w:rsidP="002309BF">
            <w:pPr>
              <w:pStyle w:val="TableTextLeft"/>
              <w:ind w:left="245"/>
            </w:pPr>
            <w:r w:rsidRPr="00CB1CEF">
              <w:t xml:space="preserve">Medical specialty </w:t>
            </w:r>
          </w:p>
        </w:tc>
        <w:tc>
          <w:tcPr>
            <w:tcW w:w="1405" w:type="dxa"/>
            <w:tcBorders>
              <w:top w:val="nil"/>
              <w:bottom w:val="nil"/>
            </w:tcBorders>
            <w:shd w:val="clear" w:color="auto" w:fill="auto"/>
            <w:tcMar>
              <w:top w:w="29" w:type="dxa"/>
              <w:left w:w="115" w:type="dxa"/>
              <w:bottom w:w="29" w:type="dxa"/>
              <w:right w:w="115" w:type="dxa"/>
            </w:tcMar>
          </w:tcPr>
          <w:p w14:paraId="62E503F1" w14:textId="77777777" w:rsidR="00CB1CEF" w:rsidRPr="00CB1CEF" w:rsidRDefault="00CB1CEF" w:rsidP="002309BF">
            <w:pPr>
              <w:pStyle w:val="TableTextDecimal"/>
              <w:framePr w:wrap="notBeside"/>
              <w:tabs>
                <w:tab w:val="clear" w:pos="716"/>
                <w:tab w:val="decimal" w:pos="597"/>
              </w:tabs>
            </w:pPr>
            <w:r w:rsidRPr="00CB1CEF">
              <w:t>12.0</w:t>
            </w:r>
          </w:p>
        </w:tc>
        <w:tc>
          <w:tcPr>
            <w:tcW w:w="1602" w:type="dxa"/>
            <w:tcBorders>
              <w:top w:val="nil"/>
              <w:bottom w:val="nil"/>
            </w:tcBorders>
            <w:shd w:val="clear" w:color="auto" w:fill="auto"/>
            <w:tcMar>
              <w:top w:w="29" w:type="dxa"/>
              <w:left w:w="115" w:type="dxa"/>
              <w:bottom w:w="29" w:type="dxa"/>
              <w:right w:w="115" w:type="dxa"/>
            </w:tcMar>
          </w:tcPr>
          <w:p w14:paraId="06D51942" w14:textId="77777777" w:rsidR="00CB1CEF" w:rsidRPr="00CB1CEF" w:rsidRDefault="00CB1CEF" w:rsidP="002309BF">
            <w:pPr>
              <w:pStyle w:val="TableTextDecimal"/>
              <w:framePr w:wrap="notBeside"/>
              <w:tabs>
                <w:tab w:val="clear" w:pos="716"/>
                <w:tab w:val="decimal" w:pos="597"/>
              </w:tabs>
            </w:pPr>
            <w:r w:rsidRPr="00CB1CEF">
              <w:t>10.2</w:t>
            </w:r>
          </w:p>
        </w:tc>
        <w:tc>
          <w:tcPr>
            <w:tcW w:w="1602" w:type="dxa"/>
            <w:tcBorders>
              <w:top w:val="nil"/>
              <w:bottom w:val="nil"/>
            </w:tcBorders>
            <w:shd w:val="clear" w:color="auto" w:fill="auto"/>
            <w:tcMar>
              <w:top w:w="29" w:type="dxa"/>
              <w:left w:w="115" w:type="dxa"/>
              <w:bottom w:w="29" w:type="dxa"/>
              <w:right w:w="115" w:type="dxa"/>
            </w:tcMar>
          </w:tcPr>
          <w:p w14:paraId="3836B140" w14:textId="77777777" w:rsidR="00CB1CEF" w:rsidRPr="00CB1CEF" w:rsidRDefault="00CB1CEF" w:rsidP="002309BF">
            <w:pPr>
              <w:pStyle w:val="TableTextDecimal"/>
              <w:framePr w:wrap="notBeside"/>
              <w:tabs>
                <w:tab w:val="clear" w:pos="716"/>
                <w:tab w:val="decimal" w:pos="597"/>
              </w:tabs>
            </w:pPr>
            <w:r w:rsidRPr="00CB1CEF">
              <w:t>1.8</w:t>
            </w:r>
          </w:p>
        </w:tc>
        <w:tc>
          <w:tcPr>
            <w:tcW w:w="1601" w:type="dxa"/>
            <w:tcBorders>
              <w:top w:val="nil"/>
              <w:bottom w:val="nil"/>
            </w:tcBorders>
            <w:shd w:val="clear" w:color="auto" w:fill="auto"/>
            <w:tcMar>
              <w:top w:w="29" w:type="dxa"/>
              <w:left w:w="115" w:type="dxa"/>
              <w:bottom w:w="29" w:type="dxa"/>
              <w:right w:w="115" w:type="dxa"/>
            </w:tcMar>
          </w:tcPr>
          <w:p w14:paraId="253AA78A" w14:textId="77777777" w:rsidR="00CB1CEF" w:rsidRPr="00CB1CEF" w:rsidRDefault="00CB1CEF" w:rsidP="002309BF">
            <w:pPr>
              <w:pStyle w:val="TableTextDecimal"/>
              <w:framePr w:wrap="notBeside"/>
              <w:tabs>
                <w:tab w:val="clear" w:pos="716"/>
                <w:tab w:val="decimal" w:pos="597"/>
              </w:tabs>
            </w:pPr>
            <w:r w:rsidRPr="00CB1CEF">
              <w:t>0.06</w:t>
            </w:r>
          </w:p>
        </w:tc>
      </w:tr>
      <w:tr w:rsidR="00CB1CEF" w:rsidRPr="00CB1CEF" w14:paraId="017C8C71"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0CA946D9" w14:textId="77777777" w:rsidR="00CB1CEF" w:rsidRPr="00CB1CEF" w:rsidRDefault="00CB1CEF" w:rsidP="002309BF">
            <w:pPr>
              <w:pStyle w:val="TableTextLeft"/>
              <w:ind w:left="245"/>
            </w:pPr>
            <w:r w:rsidRPr="00CB1CEF">
              <w:t xml:space="preserve">Surgical specialty </w:t>
            </w:r>
          </w:p>
        </w:tc>
        <w:tc>
          <w:tcPr>
            <w:tcW w:w="1405" w:type="dxa"/>
            <w:tcBorders>
              <w:top w:val="nil"/>
            </w:tcBorders>
            <w:shd w:val="clear" w:color="auto" w:fill="E0D4B5"/>
            <w:tcMar>
              <w:top w:w="29" w:type="dxa"/>
              <w:left w:w="115" w:type="dxa"/>
              <w:bottom w:w="29" w:type="dxa"/>
              <w:right w:w="115" w:type="dxa"/>
            </w:tcMar>
          </w:tcPr>
          <w:p w14:paraId="550F9D04" w14:textId="77777777" w:rsidR="00CB1CEF" w:rsidRPr="00CB1CEF" w:rsidRDefault="00CB1CEF" w:rsidP="002309BF">
            <w:pPr>
              <w:pStyle w:val="TableTextDecimal"/>
              <w:framePr w:wrap="notBeside"/>
              <w:tabs>
                <w:tab w:val="clear" w:pos="716"/>
                <w:tab w:val="decimal" w:pos="597"/>
              </w:tabs>
            </w:pPr>
            <w:r w:rsidRPr="00CB1CEF">
              <w:t>11.0</w:t>
            </w:r>
          </w:p>
        </w:tc>
        <w:tc>
          <w:tcPr>
            <w:tcW w:w="1602" w:type="dxa"/>
            <w:tcBorders>
              <w:top w:val="nil"/>
            </w:tcBorders>
            <w:shd w:val="clear" w:color="auto" w:fill="E0D4B5"/>
            <w:tcMar>
              <w:top w:w="29" w:type="dxa"/>
              <w:left w:w="115" w:type="dxa"/>
              <w:bottom w:w="29" w:type="dxa"/>
              <w:right w:w="115" w:type="dxa"/>
            </w:tcMar>
          </w:tcPr>
          <w:p w14:paraId="53078668" w14:textId="77777777" w:rsidR="00CB1CEF" w:rsidRPr="00CB1CEF" w:rsidRDefault="00CB1CEF" w:rsidP="002309BF">
            <w:pPr>
              <w:pStyle w:val="TableTextDecimal"/>
              <w:framePr w:wrap="notBeside"/>
              <w:tabs>
                <w:tab w:val="clear" w:pos="716"/>
                <w:tab w:val="decimal" w:pos="597"/>
              </w:tabs>
            </w:pPr>
            <w:r w:rsidRPr="00CB1CEF">
              <w:t>11.2</w:t>
            </w:r>
          </w:p>
        </w:tc>
        <w:tc>
          <w:tcPr>
            <w:tcW w:w="1602" w:type="dxa"/>
            <w:tcBorders>
              <w:top w:val="nil"/>
            </w:tcBorders>
            <w:shd w:val="clear" w:color="auto" w:fill="E0D4B5"/>
            <w:tcMar>
              <w:top w:w="29" w:type="dxa"/>
              <w:left w:w="115" w:type="dxa"/>
              <w:bottom w:w="29" w:type="dxa"/>
              <w:right w:w="115" w:type="dxa"/>
            </w:tcMar>
          </w:tcPr>
          <w:p w14:paraId="62BC2975" w14:textId="77777777" w:rsidR="00CB1CEF" w:rsidRPr="00CB1CEF" w:rsidRDefault="00CB1CEF" w:rsidP="002309BF">
            <w:pPr>
              <w:pStyle w:val="TableTextDecimal"/>
              <w:framePr w:wrap="notBeside"/>
              <w:tabs>
                <w:tab w:val="clear" w:pos="716"/>
                <w:tab w:val="decimal" w:pos="597"/>
              </w:tabs>
            </w:pPr>
            <w:r w:rsidRPr="00CB1CEF">
              <w:t>-0.1</w:t>
            </w:r>
          </w:p>
        </w:tc>
        <w:tc>
          <w:tcPr>
            <w:tcW w:w="1601" w:type="dxa"/>
            <w:tcBorders>
              <w:top w:val="nil"/>
            </w:tcBorders>
            <w:shd w:val="clear" w:color="auto" w:fill="E0D4B5"/>
            <w:tcMar>
              <w:top w:w="29" w:type="dxa"/>
              <w:left w:w="115" w:type="dxa"/>
              <w:bottom w:w="29" w:type="dxa"/>
              <w:right w:w="115" w:type="dxa"/>
            </w:tcMar>
          </w:tcPr>
          <w:p w14:paraId="678F59FF"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4759AD8C"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222487BF" w14:textId="77777777" w:rsidR="00CB1CEF" w:rsidRPr="00CB1CEF" w:rsidRDefault="00CB1CEF" w:rsidP="002309BF">
            <w:pPr>
              <w:pStyle w:val="TableTextLeft"/>
              <w:ind w:left="245"/>
            </w:pPr>
            <w:r w:rsidRPr="00CB1CEF">
              <w:t xml:space="preserve">Hospital-based specialty </w:t>
            </w:r>
          </w:p>
        </w:tc>
        <w:tc>
          <w:tcPr>
            <w:tcW w:w="1405" w:type="dxa"/>
            <w:tcBorders>
              <w:top w:val="nil"/>
            </w:tcBorders>
            <w:shd w:val="clear" w:color="auto" w:fill="auto"/>
            <w:tcMar>
              <w:top w:w="29" w:type="dxa"/>
              <w:left w:w="115" w:type="dxa"/>
              <w:bottom w:w="29" w:type="dxa"/>
              <w:right w:w="115" w:type="dxa"/>
            </w:tcMar>
          </w:tcPr>
          <w:p w14:paraId="6E7862CE" w14:textId="77777777" w:rsidR="00CB1CEF" w:rsidRPr="00CB1CEF" w:rsidRDefault="00CB1CEF" w:rsidP="002309BF">
            <w:pPr>
              <w:pStyle w:val="TableTextDecimal"/>
              <w:framePr w:wrap="notBeside"/>
              <w:tabs>
                <w:tab w:val="clear" w:pos="716"/>
                <w:tab w:val="decimal" w:pos="597"/>
              </w:tabs>
            </w:pPr>
            <w:r w:rsidRPr="00CB1CEF">
              <w:t>3.3</w:t>
            </w:r>
          </w:p>
        </w:tc>
        <w:tc>
          <w:tcPr>
            <w:tcW w:w="1602" w:type="dxa"/>
            <w:tcBorders>
              <w:top w:val="nil"/>
            </w:tcBorders>
            <w:shd w:val="clear" w:color="auto" w:fill="auto"/>
            <w:tcMar>
              <w:top w:w="29" w:type="dxa"/>
              <w:left w:w="115" w:type="dxa"/>
              <w:bottom w:w="29" w:type="dxa"/>
              <w:right w:w="115" w:type="dxa"/>
            </w:tcMar>
          </w:tcPr>
          <w:p w14:paraId="1B737BED" w14:textId="77777777" w:rsidR="00CB1CEF" w:rsidRPr="00CB1CEF" w:rsidRDefault="00CB1CEF" w:rsidP="002309BF">
            <w:pPr>
              <w:pStyle w:val="TableTextDecimal"/>
              <w:framePr w:wrap="notBeside"/>
              <w:tabs>
                <w:tab w:val="clear" w:pos="716"/>
                <w:tab w:val="decimal" w:pos="597"/>
              </w:tabs>
            </w:pPr>
            <w:r w:rsidRPr="00CB1CEF">
              <w:t>3.9</w:t>
            </w:r>
          </w:p>
        </w:tc>
        <w:tc>
          <w:tcPr>
            <w:tcW w:w="1602" w:type="dxa"/>
            <w:tcBorders>
              <w:top w:val="nil"/>
            </w:tcBorders>
            <w:shd w:val="clear" w:color="auto" w:fill="auto"/>
            <w:tcMar>
              <w:top w:w="29" w:type="dxa"/>
              <w:left w:w="115" w:type="dxa"/>
              <w:bottom w:w="29" w:type="dxa"/>
              <w:right w:w="115" w:type="dxa"/>
            </w:tcMar>
          </w:tcPr>
          <w:p w14:paraId="3865F15D" w14:textId="77777777" w:rsidR="00CB1CEF" w:rsidRPr="00CB1CEF" w:rsidRDefault="00CB1CEF" w:rsidP="002309BF">
            <w:pPr>
              <w:pStyle w:val="TableTextDecimal"/>
              <w:framePr w:wrap="notBeside"/>
              <w:tabs>
                <w:tab w:val="clear" w:pos="716"/>
                <w:tab w:val="decimal" w:pos="597"/>
              </w:tabs>
            </w:pPr>
            <w:r w:rsidRPr="00CB1CEF">
              <w:t>-0.7</w:t>
            </w:r>
          </w:p>
        </w:tc>
        <w:tc>
          <w:tcPr>
            <w:tcW w:w="1601" w:type="dxa"/>
            <w:tcBorders>
              <w:top w:val="nil"/>
            </w:tcBorders>
            <w:shd w:val="clear" w:color="auto" w:fill="auto"/>
            <w:tcMar>
              <w:top w:w="29" w:type="dxa"/>
              <w:left w:w="115" w:type="dxa"/>
              <w:bottom w:w="29" w:type="dxa"/>
              <w:right w:w="115" w:type="dxa"/>
            </w:tcMar>
          </w:tcPr>
          <w:p w14:paraId="39E95474" w14:textId="77777777" w:rsidR="00CB1CEF" w:rsidRPr="00CB1CEF" w:rsidRDefault="00CB1CEF" w:rsidP="002309BF">
            <w:pPr>
              <w:pStyle w:val="TableTextDecimal"/>
              <w:framePr w:wrap="notBeside"/>
              <w:tabs>
                <w:tab w:val="clear" w:pos="716"/>
                <w:tab w:val="decimal" w:pos="597"/>
              </w:tabs>
            </w:pPr>
            <w:r w:rsidRPr="00CB1CEF">
              <w:t>0.04</w:t>
            </w:r>
          </w:p>
        </w:tc>
      </w:tr>
      <w:tr w:rsidR="00CB1CEF" w:rsidRPr="00CB1CEF" w14:paraId="0B0911C4"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5663B1AB" w14:textId="77777777" w:rsidR="00CB1CEF" w:rsidRPr="00CB1CEF" w:rsidRDefault="00CB1CEF" w:rsidP="002309BF">
            <w:pPr>
              <w:pStyle w:val="TableTextLeft"/>
            </w:pPr>
            <w:r w:rsidRPr="00CB1CEF">
              <w:t>Average proportion of clinicians at practice with select specialties (%)</w:t>
            </w:r>
          </w:p>
        </w:tc>
        <w:tc>
          <w:tcPr>
            <w:tcW w:w="1405" w:type="dxa"/>
            <w:tcBorders>
              <w:top w:val="nil"/>
            </w:tcBorders>
            <w:shd w:val="clear" w:color="auto" w:fill="E0D4B5"/>
            <w:tcMar>
              <w:top w:w="29" w:type="dxa"/>
              <w:left w:w="115" w:type="dxa"/>
              <w:bottom w:w="29" w:type="dxa"/>
              <w:right w:w="115" w:type="dxa"/>
            </w:tcMar>
          </w:tcPr>
          <w:p w14:paraId="49A3D6D8"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E0D4B5"/>
            <w:tcMar>
              <w:top w:w="29" w:type="dxa"/>
              <w:left w:w="115" w:type="dxa"/>
              <w:bottom w:w="29" w:type="dxa"/>
              <w:right w:w="115" w:type="dxa"/>
            </w:tcMar>
          </w:tcPr>
          <w:p w14:paraId="2D7601A0"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E0D4B5"/>
            <w:tcMar>
              <w:top w:w="29" w:type="dxa"/>
              <w:left w:w="115" w:type="dxa"/>
              <w:bottom w:w="29" w:type="dxa"/>
              <w:right w:w="115" w:type="dxa"/>
            </w:tcMar>
          </w:tcPr>
          <w:p w14:paraId="232912D8" w14:textId="77777777" w:rsidR="00CB1CEF" w:rsidRPr="00CB1CEF" w:rsidRDefault="00CB1CEF" w:rsidP="002309BF">
            <w:pPr>
              <w:pStyle w:val="TableTextDecimal"/>
              <w:framePr w:wrap="notBeside"/>
              <w:tabs>
                <w:tab w:val="clear" w:pos="716"/>
                <w:tab w:val="decimal" w:pos="597"/>
              </w:tabs>
            </w:pPr>
          </w:p>
        </w:tc>
        <w:tc>
          <w:tcPr>
            <w:tcW w:w="1601" w:type="dxa"/>
            <w:tcBorders>
              <w:top w:val="nil"/>
            </w:tcBorders>
            <w:shd w:val="clear" w:color="auto" w:fill="E0D4B5"/>
            <w:tcMar>
              <w:top w:w="29" w:type="dxa"/>
              <w:left w:w="115" w:type="dxa"/>
              <w:bottom w:w="29" w:type="dxa"/>
              <w:right w:w="115" w:type="dxa"/>
            </w:tcMar>
          </w:tcPr>
          <w:p w14:paraId="79C4B963" w14:textId="77777777" w:rsidR="00CB1CEF" w:rsidRPr="00CB1CEF" w:rsidRDefault="00CB1CEF" w:rsidP="002309BF">
            <w:pPr>
              <w:pStyle w:val="TableTextDecimal"/>
              <w:framePr w:wrap="notBeside"/>
              <w:tabs>
                <w:tab w:val="clear" w:pos="716"/>
                <w:tab w:val="decimal" w:pos="597"/>
              </w:tabs>
            </w:pPr>
          </w:p>
        </w:tc>
      </w:tr>
      <w:tr w:rsidR="00CB1CEF" w:rsidRPr="00CB1CEF" w14:paraId="48400059"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75FB36FC" w14:textId="77777777" w:rsidR="00CB1CEF" w:rsidRPr="00CB1CEF" w:rsidRDefault="00CB1CEF" w:rsidP="002309BF">
            <w:pPr>
              <w:pStyle w:val="TableTextLeft"/>
              <w:ind w:left="245"/>
            </w:pPr>
            <w:r w:rsidRPr="00CB1CEF">
              <w:t xml:space="preserve">Primary </w:t>
            </w:r>
            <w:proofErr w:type="spellStart"/>
            <w:r w:rsidRPr="00CB1CEF">
              <w:t>care</w:t>
            </w:r>
            <w:r w:rsidRPr="00CB1CEF">
              <w:rPr>
                <w:vertAlign w:val="superscript"/>
              </w:rPr>
              <w:t>c</w:t>
            </w:r>
            <w:proofErr w:type="spellEnd"/>
          </w:p>
        </w:tc>
        <w:tc>
          <w:tcPr>
            <w:tcW w:w="1405" w:type="dxa"/>
            <w:tcBorders>
              <w:top w:val="nil"/>
            </w:tcBorders>
            <w:shd w:val="clear" w:color="auto" w:fill="auto"/>
            <w:tcMar>
              <w:top w:w="29" w:type="dxa"/>
              <w:left w:w="115" w:type="dxa"/>
              <w:bottom w:w="29" w:type="dxa"/>
              <w:right w:w="115" w:type="dxa"/>
            </w:tcMar>
          </w:tcPr>
          <w:p w14:paraId="417956E3" w14:textId="77777777" w:rsidR="00CB1CEF" w:rsidRPr="00CB1CEF" w:rsidRDefault="00CB1CEF" w:rsidP="002309BF">
            <w:pPr>
              <w:pStyle w:val="TableTextDecimal"/>
              <w:framePr w:wrap="notBeside"/>
              <w:tabs>
                <w:tab w:val="clear" w:pos="716"/>
                <w:tab w:val="decimal" w:pos="597"/>
              </w:tabs>
            </w:pPr>
            <w:r w:rsidRPr="00CB1CEF">
              <w:t>30.4</w:t>
            </w:r>
          </w:p>
        </w:tc>
        <w:tc>
          <w:tcPr>
            <w:tcW w:w="1602" w:type="dxa"/>
            <w:tcBorders>
              <w:top w:val="nil"/>
            </w:tcBorders>
            <w:shd w:val="clear" w:color="auto" w:fill="auto"/>
            <w:tcMar>
              <w:top w:w="29" w:type="dxa"/>
              <w:left w:w="115" w:type="dxa"/>
              <w:bottom w:w="29" w:type="dxa"/>
              <w:right w:w="115" w:type="dxa"/>
            </w:tcMar>
          </w:tcPr>
          <w:p w14:paraId="67070752" w14:textId="77777777" w:rsidR="00CB1CEF" w:rsidRPr="00CB1CEF" w:rsidRDefault="00CB1CEF" w:rsidP="002309BF">
            <w:pPr>
              <w:pStyle w:val="TableTextDecimal"/>
              <w:framePr w:wrap="notBeside"/>
              <w:tabs>
                <w:tab w:val="clear" w:pos="716"/>
                <w:tab w:val="decimal" w:pos="597"/>
              </w:tabs>
            </w:pPr>
            <w:r w:rsidRPr="00CB1CEF">
              <w:t>30.2</w:t>
            </w:r>
          </w:p>
        </w:tc>
        <w:tc>
          <w:tcPr>
            <w:tcW w:w="1602" w:type="dxa"/>
            <w:tcBorders>
              <w:top w:val="nil"/>
            </w:tcBorders>
            <w:shd w:val="clear" w:color="auto" w:fill="auto"/>
            <w:tcMar>
              <w:top w:w="29" w:type="dxa"/>
              <w:left w:w="115" w:type="dxa"/>
              <w:bottom w:w="29" w:type="dxa"/>
              <w:right w:w="115" w:type="dxa"/>
            </w:tcMar>
          </w:tcPr>
          <w:p w14:paraId="13B0D239" w14:textId="77777777" w:rsidR="00CB1CEF" w:rsidRPr="00CB1CEF" w:rsidRDefault="00CB1CEF" w:rsidP="002309BF">
            <w:pPr>
              <w:pStyle w:val="TableTextDecimal"/>
              <w:framePr w:wrap="notBeside"/>
              <w:tabs>
                <w:tab w:val="clear" w:pos="716"/>
                <w:tab w:val="decimal" w:pos="597"/>
              </w:tabs>
            </w:pPr>
            <w:r w:rsidRPr="00CB1CEF">
              <w:t>0.2</w:t>
            </w:r>
          </w:p>
        </w:tc>
        <w:tc>
          <w:tcPr>
            <w:tcW w:w="1601" w:type="dxa"/>
            <w:tcBorders>
              <w:top w:val="nil"/>
            </w:tcBorders>
            <w:shd w:val="clear" w:color="auto" w:fill="auto"/>
            <w:tcMar>
              <w:top w:w="29" w:type="dxa"/>
              <w:left w:w="115" w:type="dxa"/>
              <w:bottom w:w="29" w:type="dxa"/>
              <w:right w:w="115" w:type="dxa"/>
            </w:tcMar>
          </w:tcPr>
          <w:p w14:paraId="017D8ABC"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42F8891A"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5A5A3D0F" w14:textId="77777777" w:rsidR="00CB1CEF" w:rsidRPr="00CB1CEF" w:rsidRDefault="00CB1CEF" w:rsidP="002309BF">
            <w:pPr>
              <w:pStyle w:val="TableTextLeft"/>
              <w:ind w:left="245"/>
            </w:pPr>
            <w:r w:rsidRPr="00CB1CEF">
              <w:t>Optometry</w:t>
            </w:r>
          </w:p>
        </w:tc>
        <w:tc>
          <w:tcPr>
            <w:tcW w:w="1405" w:type="dxa"/>
            <w:tcBorders>
              <w:top w:val="nil"/>
            </w:tcBorders>
            <w:shd w:val="clear" w:color="auto" w:fill="E0D4B5"/>
            <w:tcMar>
              <w:top w:w="29" w:type="dxa"/>
              <w:left w:w="115" w:type="dxa"/>
              <w:bottom w:w="29" w:type="dxa"/>
              <w:right w:w="115" w:type="dxa"/>
            </w:tcMar>
          </w:tcPr>
          <w:p w14:paraId="52E54EE0" w14:textId="77777777" w:rsidR="00CB1CEF" w:rsidRPr="00CB1CEF" w:rsidRDefault="00CB1CEF" w:rsidP="002309BF">
            <w:pPr>
              <w:pStyle w:val="TableTextDecimal"/>
              <w:framePr w:wrap="notBeside"/>
              <w:tabs>
                <w:tab w:val="clear" w:pos="716"/>
                <w:tab w:val="decimal" w:pos="597"/>
              </w:tabs>
            </w:pPr>
            <w:r w:rsidRPr="00CB1CEF">
              <w:t>27.8</w:t>
            </w:r>
          </w:p>
        </w:tc>
        <w:tc>
          <w:tcPr>
            <w:tcW w:w="1602" w:type="dxa"/>
            <w:tcBorders>
              <w:top w:val="nil"/>
            </w:tcBorders>
            <w:shd w:val="clear" w:color="auto" w:fill="E0D4B5"/>
            <w:tcMar>
              <w:top w:w="29" w:type="dxa"/>
              <w:left w:w="115" w:type="dxa"/>
              <w:bottom w:w="29" w:type="dxa"/>
              <w:right w:w="115" w:type="dxa"/>
            </w:tcMar>
          </w:tcPr>
          <w:p w14:paraId="420FCCD4" w14:textId="77777777" w:rsidR="00CB1CEF" w:rsidRPr="00CB1CEF" w:rsidRDefault="00CB1CEF" w:rsidP="002309BF">
            <w:pPr>
              <w:pStyle w:val="TableTextDecimal"/>
              <w:framePr w:wrap="notBeside"/>
              <w:tabs>
                <w:tab w:val="clear" w:pos="716"/>
                <w:tab w:val="decimal" w:pos="597"/>
              </w:tabs>
            </w:pPr>
            <w:r w:rsidRPr="00CB1CEF">
              <w:t>28.3</w:t>
            </w:r>
          </w:p>
        </w:tc>
        <w:tc>
          <w:tcPr>
            <w:tcW w:w="1602" w:type="dxa"/>
            <w:tcBorders>
              <w:top w:val="nil"/>
            </w:tcBorders>
            <w:shd w:val="clear" w:color="auto" w:fill="E0D4B5"/>
            <w:tcMar>
              <w:top w:w="29" w:type="dxa"/>
              <w:left w:w="115" w:type="dxa"/>
              <w:bottom w:w="29" w:type="dxa"/>
              <w:right w:w="115" w:type="dxa"/>
            </w:tcMar>
          </w:tcPr>
          <w:p w14:paraId="7331B89B" w14:textId="77777777" w:rsidR="00CB1CEF" w:rsidRPr="00CB1CEF" w:rsidRDefault="00CB1CEF" w:rsidP="002309BF">
            <w:pPr>
              <w:pStyle w:val="TableTextDecimal"/>
              <w:framePr w:wrap="notBeside"/>
              <w:tabs>
                <w:tab w:val="clear" w:pos="716"/>
                <w:tab w:val="decimal" w:pos="597"/>
              </w:tabs>
            </w:pPr>
            <w:r w:rsidRPr="00CB1CEF">
              <w:t>-0.5</w:t>
            </w:r>
          </w:p>
        </w:tc>
        <w:tc>
          <w:tcPr>
            <w:tcW w:w="1601" w:type="dxa"/>
            <w:tcBorders>
              <w:top w:val="nil"/>
            </w:tcBorders>
            <w:shd w:val="clear" w:color="auto" w:fill="E0D4B5"/>
            <w:tcMar>
              <w:top w:w="29" w:type="dxa"/>
              <w:left w:w="115" w:type="dxa"/>
              <w:bottom w:w="29" w:type="dxa"/>
              <w:right w:w="115" w:type="dxa"/>
            </w:tcMar>
          </w:tcPr>
          <w:p w14:paraId="5583F91C"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763A225E"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53B093CB" w14:textId="77777777" w:rsidR="00CB1CEF" w:rsidRPr="00CB1CEF" w:rsidRDefault="00CB1CEF" w:rsidP="002309BF">
            <w:pPr>
              <w:pStyle w:val="TableTextLeft"/>
              <w:ind w:left="245"/>
            </w:pPr>
            <w:r w:rsidRPr="00CB1CEF">
              <w:t>Obstetrics and gynecology</w:t>
            </w:r>
          </w:p>
        </w:tc>
        <w:tc>
          <w:tcPr>
            <w:tcW w:w="1405" w:type="dxa"/>
            <w:tcBorders>
              <w:top w:val="nil"/>
            </w:tcBorders>
            <w:shd w:val="clear" w:color="auto" w:fill="auto"/>
            <w:tcMar>
              <w:top w:w="29" w:type="dxa"/>
              <w:left w:w="115" w:type="dxa"/>
              <w:bottom w:w="29" w:type="dxa"/>
              <w:right w:w="115" w:type="dxa"/>
            </w:tcMar>
          </w:tcPr>
          <w:p w14:paraId="3822BB6C" w14:textId="77777777" w:rsidR="00CB1CEF" w:rsidRPr="00CB1CEF" w:rsidRDefault="00CB1CEF" w:rsidP="002309BF">
            <w:pPr>
              <w:pStyle w:val="TableTextDecimal"/>
              <w:framePr w:wrap="notBeside"/>
              <w:tabs>
                <w:tab w:val="clear" w:pos="716"/>
                <w:tab w:val="decimal" w:pos="597"/>
              </w:tabs>
            </w:pPr>
            <w:r w:rsidRPr="00CB1CEF">
              <w:t>4.0</w:t>
            </w:r>
          </w:p>
        </w:tc>
        <w:tc>
          <w:tcPr>
            <w:tcW w:w="1602" w:type="dxa"/>
            <w:tcBorders>
              <w:top w:val="nil"/>
            </w:tcBorders>
            <w:shd w:val="clear" w:color="auto" w:fill="auto"/>
            <w:tcMar>
              <w:top w:w="29" w:type="dxa"/>
              <w:left w:w="115" w:type="dxa"/>
              <w:bottom w:w="29" w:type="dxa"/>
              <w:right w:w="115" w:type="dxa"/>
            </w:tcMar>
          </w:tcPr>
          <w:p w14:paraId="277CEE8F" w14:textId="77777777" w:rsidR="00CB1CEF" w:rsidRPr="00CB1CEF" w:rsidRDefault="00CB1CEF" w:rsidP="002309BF">
            <w:pPr>
              <w:pStyle w:val="TableTextDecimal"/>
              <w:framePr w:wrap="notBeside"/>
              <w:tabs>
                <w:tab w:val="clear" w:pos="716"/>
                <w:tab w:val="decimal" w:pos="597"/>
              </w:tabs>
            </w:pPr>
            <w:r w:rsidRPr="00CB1CEF">
              <w:t>2.9</w:t>
            </w:r>
          </w:p>
        </w:tc>
        <w:tc>
          <w:tcPr>
            <w:tcW w:w="1602" w:type="dxa"/>
            <w:tcBorders>
              <w:top w:val="nil"/>
            </w:tcBorders>
            <w:shd w:val="clear" w:color="auto" w:fill="auto"/>
            <w:tcMar>
              <w:top w:w="29" w:type="dxa"/>
              <w:left w:w="115" w:type="dxa"/>
              <w:bottom w:w="29" w:type="dxa"/>
              <w:right w:w="115" w:type="dxa"/>
            </w:tcMar>
          </w:tcPr>
          <w:p w14:paraId="7ED8B2FF" w14:textId="77777777" w:rsidR="00CB1CEF" w:rsidRPr="00CB1CEF" w:rsidRDefault="00CB1CEF" w:rsidP="002309BF">
            <w:pPr>
              <w:pStyle w:val="TableTextDecimal"/>
              <w:framePr w:wrap="notBeside"/>
              <w:tabs>
                <w:tab w:val="clear" w:pos="716"/>
                <w:tab w:val="decimal" w:pos="597"/>
              </w:tabs>
            </w:pPr>
            <w:r w:rsidRPr="00CB1CEF">
              <w:t>1.2</w:t>
            </w:r>
          </w:p>
        </w:tc>
        <w:tc>
          <w:tcPr>
            <w:tcW w:w="1601" w:type="dxa"/>
            <w:tcBorders>
              <w:top w:val="nil"/>
            </w:tcBorders>
            <w:shd w:val="clear" w:color="auto" w:fill="auto"/>
            <w:tcMar>
              <w:top w:w="29" w:type="dxa"/>
              <w:left w:w="115" w:type="dxa"/>
              <w:bottom w:w="29" w:type="dxa"/>
              <w:right w:w="115" w:type="dxa"/>
            </w:tcMar>
          </w:tcPr>
          <w:p w14:paraId="5A57D2AD" w14:textId="77777777" w:rsidR="00CB1CEF" w:rsidRPr="00CB1CEF" w:rsidRDefault="00CB1CEF" w:rsidP="002309BF">
            <w:pPr>
              <w:pStyle w:val="TableTextDecimal"/>
              <w:framePr w:wrap="notBeside"/>
              <w:tabs>
                <w:tab w:val="clear" w:pos="716"/>
                <w:tab w:val="decimal" w:pos="597"/>
              </w:tabs>
            </w:pPr>
            <w:r w:rsidRPr="00CB1CEF">
              <w:t>0.06</w:t>
            </w:r>
          </w:p>
        </w:tc>
      </w:tr>
      <w:tr w:rsidR="00CB1CEF" w:rsidRPr="00CB1CEF" w14:paraId="54E07C9F" w14:textId="77777777" w:rsidTr="00630740">
        <w:trPr>
          <w:trHeight w:val="51"/>
        </w:trPr>
        <w:tc>
          <w:tcPr>
            <w:tcW w:w="3330" w:type="dxa"/>
            <w:tcBorders>
              <w:top w:val="nil"/>
            </w:tcBorders>
            <w:shd w:val="clear" w:color="auto" w:fill="E0D4B5"/>
            <w:tcMar>
              <w:top w:w="29" w:type="dxa"/>
              <w:left w:w="115" w:type="dxa"/>
              <w:bottom w:w="29" w:type="dxa"/>
              <w:right w:w="115" w:type="dxa"/>
            </w:tcMar>
            <w:vAlign w:val="center"/>
          </w:tcPr>
          <w:p w14:paraId="2F456317" w14:textId="77777777" w:rsidR="00CB1CEF" w:rsidRPr="00CB1CEF" w:rsidRDefault="00CB1CEF" w:rsidP="002309BF">
            <w:pPr>
              <w:pStyle w:val="TableTextLeft"/>
              <w:ind w:left="245"/>
            </w:pPr>
            <w:r w:rsidRPr="00CB1CEF">
              <w:t>Licensed clinical social work or clinical psychology</w:t>
            </w:r>
          </w:p>
        </w:tc>
        <w:tc>
          <w:tcPr>
            <w:tcW w:w="1405" w:type="dxa"/>
            <w:tcBorders>
              <w:top w:val="nil"/>
            </w:tcBorders>
            <w:shd w:val="clear" w:color="auto" w:fill="E0D4B5"/>
            <w:tcMar>
              <w:top w:w="29" w:type="dxa"/>
              <w:left w:w="115" w:type="dxa"/>
              <w:bottom w:w="29" w:type="dxa"/>
              <w:right w:w="115" w:type="dxa"/>
            </w:tcMar>
          </w:tcPr>
          <w:p w14:paraId="13F73569" w14:textId="77777777" w:rsidR="00CB1CEF" w:rsidRPr="00CB1CEF" w:rsidRDefault="00CB1CEF" w:rsidP="002309BF">
            <w:pPr>
              <w:pStyle w:val="TableTextDecimal"/>
              <w:framePr w:wrap="notBeside"/>
              <w:tabs>
                <w:tab w:val="clear" w:pos="716"/>
                <w:tab w:val="decimal" w:pos="597"/>
              </w:tabs>
            </w:pPr>
            <w:r w:rsidRPr="00CB1CEF">
              <w:t>3.7</w:t>
            </w:r>
          </w:p>
        </w:tc>
        <w:tc>
          <w:tcPr>
            <w:tcW w:w="1602" w:type="dxa"/>
            <w:tcBorders>
              <w:top w:val="nil"/>
            </w:tcBorders>
            <w:shd w:val="clear" w:color="auto" w:fill="E0D4B5"/>
            <w:tcMar>
              <w:top w:w="29" w:type="dxa"/>
              <w:left w:w="115" w:type="dxa"/>
              <w:bottom w:w="29" w:type="dxa"/>
              <w:right w:w="115" w:type="dxa"/>
            </w:tcMar>
          </w:tcPr>
          <w:p w14:paraId="0DC8BEA3" w14:textId="77777777" w:rsidR="00CB1CEF" w:rsidRPr="00CB1CEF" w:rsidRDefault="00CB1CEF" w:rsidP="002309BF">
            <w:pPr>
              <w:pStyle w:val="TableTextDecimal"/>
              <w:framePr w:wrap="notBeside"/>
              <w:tabs>
                <w:tab w:val="clear" w:pos="716"/>
                <w:tab w:val="decimal" w:pos="597"/>
              </w:tabs>
            </w:pPr>
            <w:r w:rsidRPr="00CB1CEF">
              <w:t>4.2</w:t>
            </w:r>
          </w:p>
        </w:tc>
        <w:tc>
          <w:tcPr>
            <w:tcW w:w="1602" w:type="dxa"/>
            <w:tcBorders>
              <w:top w:val="nil"/>
            </w:tcBorders>
            <w:shd w:val="clear" w:color="auto" w:fill="E0D4B5"/>
            <w:tcMar>
              <w:top w:w="29" w:type="dxa"/>
              <w:left w:w="115" w:type="dxa"/>
              <w:bottom w:w="29" w:type="dxa"/>
              <w:right w:w="115" w:type="dxa"/>
            </w:tcMar>
          </w:tcPr>
          <w:p w14:paraId="69461D3F" w14:textId="77777777" w:rsidR="00CB1CEF" w:rsidRPr="00CB1CEF" w:rsidRDefault="00CB1CEF" w:rsidP="002309BF">
            <w:pPr>
              <w:pStyle w:val="TableTextDecimal"/>
              <w:framePr w:wrap="notBeside"/>
              <w:tabs>
                <w:tab w:val="clear" w:pos="716"/>
                <w:tab w:val="decimal" w:pos="597"/>
              </w:tabs>
            </w:pPr>
            <w:r w:rsidRPr="00CB1CEF">
              <w:t>-0.5</w:t>
            </w:r>
          </w:p>
        </w:tc>
        <w:tc>
          <w:tcPr>
            <w:tcW w:w="1601" w:type="dxa"/>
            <w:tcBorders>
              <w:top w:val="nil"/>
            </w:tcBorders>
            <w:shd w:val="clear" w:color="auto" w:fill="E0D4B5"/>
            <w:tcMar>
              <w:top w:w="29" w:type="dxa"/>
              <w:left w:w="115" w:type="dxa"/>
              <w:bottom w:w="29" w:type="dxa"/>
              <w:right w:w="115" w:type="dxa"/>
            </w:tcMar>
          </w:tcPr>
          <w:p w14:paraId="41DCF645"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38A13716"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4319CB82" w14:textId="77777777" w:rsidR="00CB1CEF" w:rsidRPr="00CB1CEF" w:rsidRDefault="00CB1CEF" w:rsidP="002309BF">
            <w:pPr>
              <w:pStyle w:val="TableTextLeft"/>
              <w:ind w:left="245"/>
            </w:pPr>
            <w:r w:rsidRPr="00CB1CEF">
              <w:t>Ophthalmology</w:t>
            </w:r>
          </w:p>
        </w:tc>
        <w:tc>
          <w:tcPr>
            <w:tcW w:w="1405" w:type="dxa"/>
            <w:tcBorders>
              <w:top w:val="nil"/>
            </w:tcBorders>
            <w:shd w:val="clear" w:color="auto" w:fill="auto"/>
            <w:tcMar>
              <w:top w:w="29" w:type="dxa"/>
              <w:left w:w="115" w:type="dxa"/>
              <w:bottom w:w="29" w:type="dxa"/>
              <w:right w:w="115" w:type="dxa"/>
            </w:tcMar>
          </w:tcPr>
          <w:p w14:paraId="4FA11BB5" w14:textId="77777777" w:rsidR="00CB1CEF" w:rsidRPr="00CB1CEF" w:rsidRDefault="00CB1CEF" w:rsidP="002309BF">
            <w:pPr>
              <w:pStyle w:val="TableTextDecimal"/>
              <w:framePr w:wrap="notBeside"/>
              <w:tabs>
                <w:tab w:val="clear" w:pos="716"/>
                <w:tab w:val="decimal" w:pos="597"/>
              </w:tabs>
            </w:pPr>
            <w:r w:rsidRPr="00CB1CEF">
              <w:t>2.6</w:t>
            </w:r>
          </w:p>
        </w:tc>
        <w:tc>
          <w:tcPr>
            <w:tcW w:w="1602" w:type="dxa"/>
            <w:tcBorders>
              <w:top w:val="nil"/>
            </w:tcBorders>
            <w:shd w:val="clear" w:color="auto" w:fill="auto"/>
            <w:tcMar>
              <w:top w:w="29" w:type="dxa"/>
              <w:left w:w="115" w:type="dxa"/>
              <w:bottom w:w="29" w:type="dxa"/>
              <w:right w:w="115" w:type="dxa"/>
            </w:tcMar>
          </w:tcPr>
          <w:p w14:paraId="72B0D4A7" w14:textId="77777777" w:rsidR="00CB1CEF" w:rsidRPr="00CB1CEF" w:rsidRDefault="00CB1CEF" w:rsidP="002309BF">
            <w:pPr>
              <w:pStyle w:val="TableTextDecimal"/>
              <w:framePr w:wrap="notBeside"/>
              <w:tabs>
                <w:tab w:val="clear" w:pos="716"/>
                <w:tab w:val="decimal" w:pos="597"/>
              </w:tabs>
            </w:pPr>
            <w:r w:rsidRPr="00CB1CEF">
              <w:t>2.9</w:t>
            </w:r>
          </w:p>
        </w:tc>
        <w:tc>
          <w:tcPr>
            <w:tcW w:w="1602" w:type="dxa"/>
            <w:tcBorders>
              <w:top w:val="nil"/>
            </w:tcBorders>
            <w:shd w:val="clear" w:color="auto" w:fill="auto"/>
            <w:tcMar>
              <w:top w:w="29" w:type="dxa"/>
              <w:left w:w="115" w:type="dxa"/>
              <w:bottom w:w="29" w:type="dxa"/>
              <w:right w:w="115" w:type="dxa"/>
            </w:tcMar>
          </w:tcPr>
          <w:p w14:paraId="04DB0C13" w14:textId="77777777" w:rsidR="00CB1CEF" w:rsidRPr="00CB1CEF" w:rsidRDefault="00CB1CEF" w:rsidP="002309BF">
            <w:pPr>
              <w:pStyle w:val="TableTextDecimal"/>
              <w:framePr w:wrap="notBeside"/>
              <w:tabs>
                <w:tab w:val="clear" w:pos="716"/>
                <w:tab w:val="decimal" w:pos="597"/>
              </w:tabs>
            </w:pPr>
            <w:r w:rsidRPr="00CB1CEF">
              <w:t>-0.3</w:t>
            </w:r>
          </w:p>
        </w:tc>
        <w:tc>
          <w:tcPr>
            <w:tcW w:w="1601" w:type="dxa"/>
            <w:tcBorders>
              <w:top w:val="nil"/>
            </w:tcBorders>
            <w:shd w:val="clear" w:color="auto" w:fill="auto"/>
            <w:tcMar>
              <w:top w:w="29" w:type="dxa"/>
              <w:left w:w="115" w:type="dxa"/>
              <w:bottom w:w="29" w:type="dxa"/>
              <w:right w:w="115" w:type="dxa"/>
            </w:tcMar>
          </w:tcPr>
          <w:p w14:paraId="626ADCB0"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665DCC6F"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1BCB1718" w14:textId="77777777" w:rsidR="00CB1CEF" w:rsidRPr="00CB1CEF" w:rsidRDefault="00CB1CEF" w:rsidP="002309BF">
            <w:pPr>
              <w:pStyle w:val="TableTextLeft"/>
              <w:ind w:left="245"/>
            </w:pPr>
            <w:r w:rsidRPr="00CB1CEF">
              <w:t>Podiatry</w:t>
            </w:r>
          </w:p>
        </w:tc>
        <w:tc>
          <w:tcPr>
            <w:tcW w:w="1405" w:type="dxa"/>
            <w:tcBorders>
              <w:top w:val="nil"/>
            </w:tcBorders>
            <w:shd w:val="clear" w:color="auto" w:fill="E0D4B5"/>
            <w:tcMar>
              <w:top w:w="29" w:type="dxa"/>
              <w:left w:w="115" w:type="dxa"/>
              <w:bottom w:w="29" w:type="dxa"/>
              <w:right w:w="115" w:type="dxa"/>
            </w:tcMar>
          </w:tcPr>
          <w:p w14:paraId="5941ADDD" w14:textId="77777777" w:rsidR="00CB1CEF" w:rsidRPr="00CB1CEF" w:rsidRDefault="00CB1CEF" w:rsidP="002309BF">
            <w:pPr>
              <w:pStyle w:val="TableTextDecimal"/>
              <w:framePr w:wrap="notBeside"/>
              <w:tabs>
                <w:tab w:val="clear" w:pos="716"/>
                <w:tab w:val="decimal" w:pos="597"/>
              </w:tabs>
            </w:pPr>
            <w:r w:rsidRPr="00CB1CEF">
              <w:t>2.1</w:t>
            </w:r>
          </w:p>
        </w:tc>
        <w:tc>
          <w:tcPr>
            <w:tcW w:w="1602" w:type="dxa"/>
            <w:tcBorders>
              <w:top w:val="nil"/>
            </w:tcBorders>
            <w:shd w:val="clear" w:color="auto" w:fill="E0D4B5"/>
            <w:tcMar>
              <w:top w:w="29" w:type="dxa"/>
              <w:left w:w="115" w:type="dxa"/>
              <w:bottom w:w="29" w:type="dxa"/>
              <w:right w:w="115" w:type="dxa"/>
            </w:tcMar>
          </w:tcPr>
          <w:p w14:paraId="47B7CF53" w14:textId="77777777" w:rsidR="00CB1CEF" w:rsidRPr="00CB1CEF" w:rsidRDefault="00CB1CEF" w:rsidP="002309BF">
            <w:pPr>
              <w:pStyle w:val="TableTextDecimal"/>
              <w:framePr w:wrap="notBeside"/>
              <w:tabs>
                <w:tab w:val="clear" w:pos="716"/>
                <w:tab w:val="decimal" w:pos="597"/>
              </w:tabs>
            </w:pPr>
            <w:r w:rsidRPr="00CB1CEF">
              <w:t>2.7</w:t>
            </w:r>
          </w:p>
        </w:tc>
        <w:tc>
          <w:tcPr>
            <w:tcW w:w="1602" w:type="dxa"/>
            <w:tcBorders>
              <w:top w:val="nil"/>
            </w:tcBorders>
            <w:shd w:val="clear" w:color="auto" w:fill="E0D4B5"/>
            <w:tcMar>
              <w:top w:w="29" w:type="dxa"/>
              <w:left w:w="115" w:type="dxa"/>
              <w:bottom w:w="29" w:type="dxa"/>
              <w:right w:w="115" w:type="dxa"/>
            </w:tcMar>
          </w:tcPr>
          <w:p w14:paraId="71998D66" w14:textId="77777777" w:rsidR="00CB1CEF" w:rsidRPr="00CB1CEF" w:rsidRDefault="00CB1CEF" w:rsidP="002309BF">
            <w:pPr>
              <w:pStyle w:val="TableTextDecimal"/>
              <w:framePr w:wrap="notBeside"/>
              <w:tabs>
                <w:tab w:val="clear" w:pos="716"/>
                <w:tab w:val="decimal" w:pos="597"/>
              </w:tabs>
            </w:pPr>
            <w:r w:rsidRPr="00CB1CEF">
              <w:t>-0.6</w:t>
            </w:r>
          </w:p>
        </w:tc>
        <w:tc>
          <w:tcPr>
            <w:tcW w:w="1601" w:type="dxa"/>
            <w:tcBorders>
              <w:top w:val="nil"/>
            </w:tcBorders>
            <w:shd w:val="clear" w:color="auto" w:fill="E0D4B5"/>
            <w:tcMar>
              <w:top w:w="29" w:type="dxa"/>
              <w:left w:w="115" w:type="dxa"/>
              <w:bottom w:w="29" w:type="dxa"/>
              <w:right w:w="115" w:type="dxa"/>
            </w:tcMar>
          </w:tcPr>
          <w:p w14:paraId="2AD271A0" w14:textId="77777777" w:rsidR="00CB1CEF" w:rsidRPr="00CB1CEF" w:rsidRDefault="00CB1CEF" w:rsidP="002309BF">
            <w:pPr>
              <w:pStyle w:val="TableTextDecimal"/>
              <w:framePr w:wrap="notBeside"/>
              <w:tabs>
                <w:tab w:val="clear" w:pos="716"/>
                <w:tab w:val="decimal" w:pos="597"/>
              </w:tabs>
            </w:pPr>
            <w:r w:rsidRPr="00CB1CEF">
              <w:t>0.04</w:t>
            </w:r>
          </w:p>
        </w:tc>
      </w:tr>
      <w:tr w:rsidR="00CB1CEF" w:rsidRPr="00CB1CEF" w14:paraId="69E4060B"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377898D7" w14:textId="77777777" w:rsidR="00CB1CEF" w:rsidRPr="00CB1CEF" w:rsidRDefault="00CB1CEF" w:rsidP="002309BF">
            <w:pPr>
              <w:pStyle w:val="TableTextLeft"/>
              <w:ind w:left="245"/>
            </w:pPr>
            <w:r w:rsidRPr="00CB1CEF">
              <w:t>General surgery</w:t>
            </w:r>
          </w:p>
        </w:tc>
        <w:tc>
          <w:tcPr>
            <w:tcW w:w="1405" w:type="dxa"/>
            <w:tcBorders>
              <w:top w:val="nil"/>
            </w:tcBorders>
            <w:shd w:val="clear" w:color="auto" w:fill="auto"/>
            <w:tcMar>
              <w:top w:w="29" w:type="dxa"/>
              <w:left w:w="115" w:type="dxa"/>
              <w:bottom w:w="29" w:type="dxa"/>
              <w:right w:w="115" w:type="dxa"/>
            </w:tcMar>
          </w:tcPr>
          <w:p w14:paraId="288C33C4" w14:textId="77777777" w:rsidR="00CB1CEF" w:rsidRPr="00CB1CEF" w:rsidRDefault="00CB1CEF" w:rsidP="002309BF">
            <w:pPr>
              <w:pStyle w:val="TableTextDecimal"/>
              <w:framePr w:wrap="notBeside"/>
              <w:tabs>
                <w:tab w:val="clear" w:pos="716"/>
                <w:tab w:val="decimal" w:pos="597"/>
              </w:tabs>
            </w:pPr>
            <w:r w:rsidRPr="00CB1CEF">
              <w:t>2.2</w:t>
            </w:r>
          </w:p>
        </w:tc>
        <w:tc>
          <w:tcPr>
            <w:tcW w:w="1602" w:type="dxa"/>
            <w:tcBorders>
              <w:top w:val="nil"/>
            </w:tcBorders>
            <w:shd w:val="clear" w:color="auto" w:fill="auto"/>
            <w:tcMar>
              <w:top w:w="29" w:type="dxa"/>
              <w:left w:w="115" w:type="dxa"/>
              <w:bottom w:w="29" w:type="dxa"/>
              <w:right w:w="115" w:type="dxa"/>
            </w:tcMar>
          </w:tcPr>
          <w:p w14:paraId="25AAC0DE" w14:textId="77777777" w:rsidR="00CB1CEF" w:rsidRPr="00CB1CEF" w:rsidRDefault="00CB1CEF" w:rsidP="002309BF">
            <w:pPr>
              <w:pStyle w:val="TableTextDecimal"/>
              <w:framePr w:wrap="notBeside"/>
              <w:tabs>
                <w:tab w:val="clear" w:pos="716"/>
                <w:tab w:val="decimal" w:pos="597"/>
              </w:tabs>
            </w:pPr>
            <w:r w:rsidRPr="00CB1CEF">
              <w:t>1.8</w:t>
            </w:r>
          </w:p>
        </w:tc>
        <w:tc>
          <w:tcPr>
            <w:tcW w:w="1602" w:type="dxa"/>
            <w:tcBorders>
              <w:top w:val="nil"/>
            </w:tcBorders>
            <w:shd w:val="clear" w:color="auto" w:fill="auto"/>
            <w:tcMar>
              <w:top w:w="29" w:type="dxa"/>
              <w:left w:w="115" w:type="dxa"/>
              <w:bottom w:w="29" w:type="dxa"/>
              <w:right w:w="115" w:type="dxa"/>
            </w:tcMar>
          </w:tcPr>
          <w:p w14:paraId="22B5D63F" w14:textId="77777777" w:rsidR="00CB1CEF" w:rsidRPr="00CB1CEF" w:rsidRDefault="00CB1CEF" w:rsidP="002309BF">
            <w:pPr>
              <w:pStyle w:val="TableTextDecimal"/>
              <w:framePr w:wrap="notBeside"/>
              <w:tabs>
                <w:tab w:val="clear" w:pos="716"/>
                <w:tab w:val="decimal" w:pos="597"/>
              </w:tabs>
            </w:pPr>
            <w:r w:rsidRPr="00CB1CEF">
              <w:t>0.4</w:t>
            </w:r>
          </w:p>
        </w:tc>
        <w:tc>
          <w:tcPr>
            <w:tcW w:w="1601" w:type="dxa"/>
            <w:tcBorders>
              <w:top w:val="nil"/>
            </w:tcBorders>
            <w:shd w:val="clear" w:color="auto" w:fill="auto"/>
            <w:tcMar>
              <w:top w:w="29" w:type="dxa"/>
              <w:left w:w="115" w:type="dxa"/>
              <w:bottom w:w="29" w:type="dxa"/>
              <w:right w:w="115" w:type="dxa"/>
            </w:tcMar>
          </w:tcPr>
          <w:p w14:paraId="34E9014F"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3DFBBB7B"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6BC8C5BC" w14:textId="77777777" w:rsidR="00CB1CEF" w:rsidRPr="00CB1CEF" w:rsidRDefault="00CB1CEF" w:rsidP="002309BF">
            <w:pPr>
              <w:pStyle w:val="TableTextLeft"/>
              <w:ind w:left="245"/>
            </w:pPr>
            <w:r w:rsidRPr="00CB1CEF">
              <w:t>Orthopedic surgery</w:t>
            </w:r>
          </w:p>
        </w:tc>
        <w:tc>
          <w:tcPr>
            <w:tcW w:w="1405" w:type="dxa"/>
            <w:tcBorders>
              <w:top w:val="nil"/>
            </w:tcBorders>
            <w:shd w:val="clear" w:color="auto" w:fill="E0D4B5"/>
            <w:tcMar>
              <w:top w:w="29" w:type="dxa"/>
              <w:left w:w="115" w:type="dxa"/>
              <w:bottom w:w="29" w:type="dxa"/>
              <w:right w:w="115" w:type="dxa"/>
            </w:tcMar>
          </w:tcPr>
          <w:p w14:paraId="1056B32A" w14:textId="77777777" w:rsidR="00CB1CEF" w:rsidRPr="00CB1CEF" w:rsidRDefault="00CB1CEF" w:rsidP="002309BF">
            <w:pPr>
              <w:pStyle w:val="TableTextDecimal"/>
              <w:framePr w:wrap="notBeside"/>
              <w:tabs>
                <w:tab w:val="clear" w:pos="716"/>
                <w:tab w:val="decimal" w:pos="597"/>
              </w:tabs>
            </w:pPr>
            <w:r w:rsidRPr="00CB1CEF">
              <w:t>2.0</w:t>
            </w:r>
          </w:p>
        </w:tc>
        <w:tc>
          <w:tcPr>
            <w:tcW w:w="1602" w:type="dxa"/>
            <w:tcBorders>
              <w:top w:val="nil"/>
            </w:tcBorders>
            <w:shd w:val="clear" w:color="auto" w:fill="E0D4B5"/>
            <w:tcMar>
              <w:top w:w="29" w:type="dxa"/>
              <w:left w:w="115" w:type="dxa"/>
              <w:bottom w:w="29" w:type="dxa"/>
              <w:right w:w="115" w:type="dxa"/>
            </w:tcMar>
          </w:tcPr>
          <w:p w14:paraId="6923FB17" w14:textId="77777777" w:rsidR="00CB1CEF" w:rsidRPr="00CB1CEF" w:rsidRDefault="00CB1CEF" w:rsidP="002309BF">
            <w:pPr>
              <w:pStyle w:val="TableTextDecimal"/>
              <w:framePr w:wrap="notBeside"/>
              <w:tabs>
                <w:tab w:val="clear" w:pos="716"/>
                <w:tab w:val="decimal" w:pos="597"/>
              </w:tabs>
            </w:pPr>
            <w:r w:rsidRPr="00CB1CEF">
              <w:t>2.2</w:t>
            </w:r>
          </w:p>
        </w:tc>
        <w:tc>
          <w:tcPr>
            <w:tcW w:w="1602" w:type="dxa"/>
            <w:tcBorders>
              <w:top w:val="nil"/>
            </w:tcBorders>
            <w:shd w:val="clear" w:color="auto" w:fill="E0D4B5"/>
            <w:tcMar>
              <w:top w:w="29" w:type="dxa"/>
              <w:left w:w="115" w:type="dxa"/>
              <w:bottom w:w="29" w:type="dxa"/>
              <w:right w:w="115" w:type="dxa"/>
            </w:tcMar>
          </w:tcPr>
          <w:p w14:paraId="2464A156" w14:textId="77777777" w:rsidR="00CB1CEF" w:rsidRPr="00CB1CEF" w:rsidRDefault="00CB1CEF" w:rsidP="002309BF">
            <w:pPr>
              <w:pStyle w:val="TableTextDecimal"/>
              <w:framePr w:wrap="notBeside"/>
              <w:tabs>
                <w:tab w:val="clear" w:pos="716"/>
                <w:tab w:val="decimal" w:pos="597"/>
              </w:tabs>
            </w:pPr>
            <w:r w:rsidRPr="00CB1CEF">
              <w:t>-0.2</w:t>
            </w:r>
          </w:p>
        </w:tc>
        <w:tc>
          <w:tcPr>
            <w:tcW w:w="1601" w:type="dxa"/>
            <w:tcBorders>
              <w:top w:val="nil"/>
            </w:tcBorders>
            <w:shd w:val="clear" w:color="auto" w:fill="E0D4B5"/>
            <w:tcMar>
              <w:top w:w="29" w:type="dxa"/>
              <w:left w:w="115" w:type="dxa"/>
              <w:bottom w:w="29" w:type="dxa"/>
              <w:right w:w="115" w:type="dxa"/>
            </w:tcMar>
          </w:tcPr>
          <w:p w14:paraId="438E1D02"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6C455609"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7D542AC8" w14:textId="77777777" w:rsidR="00CB1CEF" w:rsidRPr="00CB1CEF" w:rsidRDefault="00CB1CEF" w:rsidP="002309BF">
            <w:pPr>
              <w:pStyle w:val="TableTextLeft"/>
              <w:ind w:left="245"/>
            </w:pPr>
            <w:r w:rsidRPr="00CB1CEF">
              <w:t>Cardiology</w:t>
            </w:r>
          </w:p>
        </w:tc>
        <w:tc>
          <w:tcPr>
            <w:tcW w:w="1405" w:type="dxa"/>
            <w:tcBorders>
              <w:top w:val="nil"/>
            </w:tcBorders>
            <w:shd w:val="clear" w:color="auto" w:fill="auto"/>
            <w:tcMar>
              <w:top w:w="29" w:type="dxa"/>
              <w:left w:w="115" w:type="dxa"/>
              <w:bottom w:w="29" w:type="dxa"/>
              <w:right w:w="115" w:type="dxa"/>
            </w:tcMar>
          </w:tcPr>
          <w:p w14:paraId="20FA3757" w14:textId="77777777" w:rsidR="00CB1CEF" w:rsidRPr="00CB1CEF" w:rsidRDefault="00CB1CEF" w:rsidP="002309BF">
            <w:pPr>
              <w:pStyle w:val="TableTextDecimal"/>
              <w:framePr w:wrap="notBeside"/>
              <w:tabs>
                <w:tab w:val="clear" w:pos="716"/>
                <w:tab w:val="decimal" w:pos="597"/>
              </w:tabs>
            </w:pPr>
            <w:r w:rsidRPr="00CB1CEF">
              <w:t>2.0</w:t>
            </w:r>
          </w:p>
        </w:tc>
        <w:tc>
          <w:tcPr>
            <w:tcW w:w="1602" w:type="dxa"/>
            <w:tcBorders>
              <w:top w:val="nil"/>
            </w:tcBorders>
            <w:shd w:val="clear" w:color="auto" w:fill="auto"/>
            <w:tcMar>
              <w:top w:w="29" w:type="dxa"/>
              <w:left w:w="115" w:type="dxa"/>
              <w:bottom w:w="29" w:type="dxa"/>
              <w:right w:w="115" w:type="dxa"/>
            </w:tcMar>
          </w:tcPr>
          <w:p w14:paraId="3A29C1AC" w14:textId="77777777" w:rsidR="00CB1CEF" w:rsidRPr="00CB1CEF" w:rsidRDefault="00CB1CEF" w:rsidP="002309BF">
            <w:pPr>
              <w:pStyle w:val="TableTextDecimal"/>
              <w:framePr w:wrap="notBeside"/>
              <w:tabs>
                <w:tab w:val="clear" w:pos="716"/>
                <w:tab w:val="decimal" w:pos="597"/>
              </w:tabs>
            </w:pPr>
            <w:r w:rsidRPr="00CB1CEF">
              <w:t>1.7</w:t>
            </w:r>
          </w:p>
        </w:tc>
        <w:tc>
          <w:tcPr>
            <w:tcW w:w="1602" w:type="dxa"/>
            <w:tcBorders>
              <w:top w:val="nil"/>
            </w:tcBorders>
            <w:shd w:val="clear" w:color="auto" w:fill="auto"/>
            <w:tcMar>
              <w:top w:w="29" w:type="dxa"/>
              <w:left w:w="115" w:type="dxa"/>
              <w:bottom w:w="29" w:type="dxa"/>
              <w:right w:w="115" w:type="dxa"/>
            </w:tcMar>
          </w:tcPr>
          <w:p w14:paraId="6EF7BEBF" w14:textId="77777777" w:rsidR="00CB1CEF" w:rsidRPr="00CB1CEF" w:rsidRDefault="00CB1CEF" w:rsidP="002309BF">
            <w:pPr>
              <w:pStyle w:val="TableTextDecimal"/>
              <w:framePr w:wrap="notBeside"/>
              <w:tabs>
                <w:tab w:val="clear" w:pos="716"/>
                <w:tab w:val="decimal" w:pos="597"/>
              </w:tabs>
            </w:pPr>
            <w:r w:rsidRPr="00CB1CEF">
              <w:t>0.3</w:t>
            </w:r>
          </w:p>
        </w:tc>
        <w:tc>
          <w:tcPr>
            <w:tcW w:w="1601" w:type="dxa"/>
            <w:tcBorders>
              <w:top w:val="nil"/>
            </w:tcBorders>
            <w:shd w:val="clear" w:color="auto" w:fill="auto"/>
            <w:tcMar>
              <w:top w:w="29" w:type="dxa"/>
              <w:left w:w="115" w:type="dxa"/>
              <w:bottom w:w="29" w:type="dxa"/>
              <w:right w:w="115" w:type="dxa"/>
            </w:tcMar>
          </w:tcPr>
          <w:p w14:paraId="315D885E"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44F87FDE"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3B0299F2" w14:textId="77777777" w:rsidR="00CB1CEF" w:rsidRPr="00CB1CEF" w:rsidRDefault="00CB1CEF" w:rsidP="002309BF">
            <w:pPr>
              <w:pStyle w:val="TableTextLeft"/>
              <w:ind w:left="245"/>
            </w:pPr>
            <w:r w:rsidRPr="00CB1CEF">
              <w:t>Gastroenterology</w:t>
            </w:r>
          </w:p>
        </w:tc>
        <w:tc>
          <w:tcPr>
            <w:tcW w:w="1405" w:type="dxa"/>
            <w:tcBorders>
              <w:top w:val="nil"/>
            </w:tcBorders>
            <w:shd w:val="clear" w:color="auto" w:fill="E0D4B5"/>
            <w:tcMar>
              <w:top w:w="29" w:type="dxa"/>
              <w:left w:w="115" w:type="dxa"/>
              <w:bottom w:w="29" w:type="dxa"/>
              <w:right w:w="115" w:type="dxa"/>
            </w:tcMar>
          </w:tcPr>
          <w:p w14:paraId="6DD8AA5C" w14:textId="77777777" w:rsidR="00CB1CEF" w:rsidRPr="00CB1CEF" w:rsidRDefault="00CB1CEF" w:rsidP="002309BF">
            <w:pPr>
              <w:pStyle w:val="TableTextDecimal"/>
              <w:framePr w:wrap="notBeside"/>
              <w:tabs>
                <w:tab w:val="clear" w:pos="716"/>
                <w:tab w:val="decimal" w:pos="597"/>
              </w:tabs>
            </w:pPr>
            <w:r w:rsidRPr="00CB1CEF">
              <w:t>1.8</w:t>
            </w:r>
          </w:p>
        </w:tc>
        <w:tc>
          <w:tcPr>
            <w:tcW w:w="1602" w:type="dxa"/>
            <w:tcBorders>
              <w:top w:val="nil"/>
            </w:tcBorders>
            <w:shd w:val="clear" w:color="auto" w:fill="E0D4B5"/>
            <w:tcMar>
              <w:top w:w="29" w:type="dxa"/>
              <w:left w:w="115" w:type="dxa"/>
              <w:bottom w:w="29" w:type="dxa"/>
              <w:right w:w="115" w:type="dxa"/>
            </w:tcMar>
          </w:tcPr>
          <w:p w14:paraId="2C0C7645" w14:textId="77777777" w:rsidR="00CB1CEF" w:rsidRPr="00CB1CEF" w:rsidRDefault="00CB1CEF" w:rsidP="002309BF">
            <w:pPr>
              <w:pStyle w:val="TableTextDecimal"/>
              <w:framePr w:wrap="notBeside"/>
              <w:tabs>
                <w:tab w:val="clear" w:pos="716"/>
                <w:tab w:val="decimal" w:pos="597"/>
              </w:tabs>
            </w:pPr>
            <w:r w:rsidRPr="00CB1CEF">
              <w:t>1.3</w:t>
            </w:r>
          </w:p>
        </w:tc>
        <w:tc>
          <w:tcPr>
            <w:tcW w:w="1602" w:type="dxa"/>
            <w:tcBorders>
              <w:top w:val="nil"/>
            </w:tcBorders>
            <w:shd w:val="clear" w:color="auto" w:fill="E0D4B5"/>
            <w:tcMar>
              <w:top w:w="29" w:type="dxa"/>
              <w:left w:w="115" w:type="dxa"/>
              <w:bottom w:w="29" w:type="dxa"/>
              <w:right w:w="115" w:type="dxa"/>
            </w:tcMar>
          </w:tcPr>
          <w:p w14:paraId="75220FCD" w14:textId="77777777" w:rsidR="00CB1CEF" w:rsidRPr="00CB1CEF" w:rsidRDefault="00CB1CEF" w:rsidP="002309BF">
            <w:pPr>
              <w:pStyle w:val="TableTextDecimal"/>
              <w:framePr w:wrap="notBeside"/>
              <w:tabs>
                <w:tab w:val="clear" w:pos="716"/>
                <w:tab w:val="decimal" w:pos="597"/>
              </w:tabs>
            </w:pPr>
            <w:r w:rsidRPr="00CB1CEF">
              <w:t>0.6</w:t>
            </w:r>
          </w:p>
        </w:tc>
        <w:tc>
          <w:tcPr>
            <w:tcW w:w="1601" w:type="dxa"/>
            <w:tcBorders>
              <w:top w:val="nil"/>
            </w:tcBorders>
            <w:shd w:val="clear" w:color="auto" w:fill="E0D4B5"/>
            <w:tcMar>
              <w:top w:w="29" w:type="dxa"/>
              <w:left w:w="115" w:type="dxa"/>
              <w:bottom w:w="29" w:type="dxa"/>
              <w:right w:w="115" w:type="dxa"/>
            </w:tcMar>
          </w:tcPr>
          <w:p w14:paraId="36C52A67" w14:textId="77777777" w:rsidR="00CB1CEF" w:rsidRPr="00CB1CEF" w:rsidRDefault="00CB1CEF" w:rsidP="002309BF">
            <w:pPr>
              <w:pStyle w:val="TableTextDecimal"/>
              <w:framePr w:wrap="notBeside"/>
              <w:tabs>
                <w:tab w:val="clear" w:pos="716"/>
                <w:tab w:val="decimal" w:pos="597"/>
              </w:tabs>
            </w:pPr>
            <w:r w:rsidRPr="00CB1CEF">
              <w:t>0.04</w:t>
            </w:r>
          </w:p>
        </w:tc>
      </w:tr>
      <w:tr w:rsidR="00CB1CEF" w:rsidRPr="00CB1CEF" w14:paraId="36362A37"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0C4E484F" w14:textId="77777777" w:rsidR="00CB1CEF" w:rsidRPr="00CB1CEF" w:rsidRDefault="00CB1CEF" w:rsidP="002309BF">
            <w:pPr>
              <w:pStyle w:val="TableTextLeft"/>
              <w:ind w:left="245"/>
            </w:pPr>
            <w:r w:rsidRPr="00CB1CEF">
              <w:t>Psychiatry</w:t>
            </w:r>
          </w:p>
        </w:tc>
        <w:tc>
          <w:tcPr>
            <w:tcW w:w="1405" w:type="dxa"/>
            <w:tcBorders>
              <w:top w:val="nil"/>
            </w:tcBorders>
            <w:shd w:val="clear" w:color="auto" w:fill="auto"/>
            <w:tcMar>
              <w:top w:w="29" w:type="dxa"/>
              <w:left w:w="115" w:type="dxa"/>
              <w:bottom w:w="29" w:type="dxa"/>
              <w:right w:w="115" w:type="dxa"/>
            </w:tcMar>
          </w:tcPr>
          <w:p w14:paraId="3238BE51" w14:textId="77777777" w:rsidR="00CB1CEF" w:rsidRPr="00CB1CEF" w:rsidRDefault="00CB1CEF" w:rsidP="002309BF">
            <w:pPr>
              <w:pStyle w:val="TableTextDecimal"/>
              <w:framePr w:wrap="notBeside"/>
              <w:tabs>
                <w:tab w:val="clear" w:pos="716"/>
                <w:tab w:val="decimal" w:pos="597"/>
              </w:tabs>
            </w:pPr>
            <w:r w:rsidRPr="00CB1CEF">
              <w:t>1.7</w:t>
            </w:r>
          </w:p>
        </w:tc>
        <w:tc>
          <w:tcPr>
            <w:tcW w:w="1602" w:type="dxa"/>
            <w:tcBorders>
              <w:top w:val="nil"/>
            </w:tcBorders>
            <w:shd w:val="clear" w:color="auto" w:fill="auto"/>
            <w:tcMar>
              <w:top w:w="29" w:type="dxa"/>
              <w:left w:w="115" w:type="dxa"/>
              <w:bottom w:w="29" w:type="dxa"/>
              <w:right w:w="115" w:type="dxa"/>
            </w:tcMar>
          </w:tcPr>
          <w:p w14:paraId="45E9E512" w14:textId="77777777" w:rsidR="00CB1CEF" w:rsidRPr="00CB1CEF" w:rsidRDefault="00CB1CEF" w:rsidP="002309BF">
            <w:pPr>
              <w:pStyle w:val="TableTextDecimal"/>
              <w:framePr w:wrap="notBeside"/>
              <w:tabs>
                <w:tab w:val="clear" w:pos="716"/>
                <w:tab w:val="decimal" w:pos="597"/>
              </w:tabs>
            </w:pPr>
            <w:r w:rsidRPr="00CB1CEF">
              <w:t>1.9</w:t>
            </w:r>
          </w:p>
        </w:tc>
        <w:tc>
          <w:tcPr>
            <w:tcW w:w="1602" w:type="dxa"/>
            <w:tcBorders>
              <w:top w:val="nil"/>
            </w:tcBorders>
            <w:shd w:val="clear" w:color="auto" w:fill="auto"/>
            <w:tcMar>
              <w:top w:w="29" w:type="dxa"/>
              <w:left w:w="115" w:type="dxa"/>
              <w:bottom w:w="29" w:type="dxa"/>
              <w:right w:w="115" w:type="dxa"/>
            </w:tcMar>
          </w:tcPr>
          <w:p w14:paraId="3905AD7E" w14:textId="77777777" w:rsidR="00CB1CEF" w:rsidRPr="00CB1CEF" w:rsidRDefault="00CB1CEF" w:rsidP="002309BF">
            <w:pPr>
              <w:pStyle w:val="TableTextDecimal"/>
              <w:framePr w:wrap="notBeside"/>
              <w:tabs>
                <w:tab w:val="clear" w:pos="716"/>
                <w:tab w:val="decimal" w:pos="597"/>
              </w:tabs>
            </w:pPr>
            <w:r w:rsidRPr="00CB1CEF">
              <w:t>-0.2</w:t>
            </w:r>
          </w:p>
        </w:tc>
        <w:tc>
          <w:tcPr>
            <w:tcW w:w="1601" w:type="dxa"/>
            <w:tcBorders>
              <w:top w:val="nil"/>
            </w:tcBorders>
            <w:shd w:val="clear" w:color="auto" w:fill="auto"/>
            <w:tcMar>
              <w:top w:w="29" w:type="dxa"/>
              <w:left w:w="115" w:type="dxa"/>
              <w:bottom w:w="29" w:type="dxa"/>
              <w:right w:w="115" w:type="dxa"/>
            </w:tcMar>
          </w:tcPr>
          <w:p w14:paraId="29DD9F54"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67C83D11"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56FE4B82" w14:textId="77777777" w:rsidR="00CB1CEF" w:rsidRPr="00CB1CEF" w:rsidRDefault="00CB1CEF" w:rsidP="002309BF">
            <w:pPr>
              <w:pStyle w:val="TableTextLeft"/>
              <w:ind w:left="245"/>
            </w:pPr>
            <w:r w:rsidRPr="00CB1CEF">
              <w:t>Neurology</w:t>
            </w:r>
          </w:p>
        </w:tc>
        <w:tc>
          <w:tcPr>
            <w:tcW w:w="1405" w:type="dxa"/>
            <w:tcBorders>
              <w:top w:val="nil"/>
            </w:tcBorders>
            <w:shd w:val="clear" w:color="auto" w:fill="E0D4B5"/>
            <w:tcMar>
              <w:top w:w="29" w:type="dxa"/>
              <w:left w:w="115" w:type="dxa"/>
              <w:bottom w:w="29" w:type="dxa"/>
              <w:right w:w="115" w:type="dxa"/>
            </w:tcMar>
          </w:tcPr>
          <w:p w14:paraId="74A397A9" w14:textId="77777777" w:rsidR="00CB1CEF" w:rsidRPr="00CB1CEF" w:rsidRDefault="00CB1CEF" w:rsidP="002309BF">
            <w:pPr>
              <w:pStyle w:val="TableTextDecimal"/>
              <w:framePr w:wrap="notBeside"/>
              <w:tabs>
                <w:tab w:val="clear" w:pos="716"/>
                <w:tab w:val="decimal" w:pos="597"/>
              </w:tabs>
            </w:pPr>
            <w:r w:rsidRPr="00CB1CEF">
              <w:t>1.3</w:t>
            </w:r>
          </w:p>
        </w:tc>
        <w:tc>
          <w:tcPr>
            <w:tcW w:w="1602" w:type="dxa"/>
            <w:tcBorders>
              <w:top w:val="nil"/>
            </w:tcBorders>
            <w:shd w:val="clear" w:color="auto" w:fill="E0D4B5"/>
            <w:tcMar>
              <w:top w:w="29" w:type="dxa"/>
              <w:left w:w="115" w:type="dxa"/>
              <w:bottom w:w="29" w:type="dxa"/>
              <w:right w:w="115" w:type="dxa"/>
            </w:tcMar>
          </w:tcPr>
          <w:p w14:paraId="42FE1BA4" w14:textId="77777777" w:rsidR="00CB1CEF" w:rsidRPr="00CB1CEF" w:rsidRDefault="00CB1CEF" w:rsidP="002309BF">
            <w:pPr>
              <w:pStyle w:val="TableTextDecimal"/>
              <w:framePr w:wrap="notBeside"/>
              <w:tabs>
                <w:tab w:val="clear" w:pos="716"/>
                <w:tab w:val="decimal" w:pos="597"/>
              </w:tabs>
            </w:pPr>
            <w:r w:rsidRPr="00CB1CEF">
              <w:t>1.1</w:t>
            </w:r>
          </w:p>
        </w:tc>
        <w:tc>
          <w:tcPr>
            <w:tcW w:w="1602" w:type="dxa"/>
            <w:tcBorders>
              <w:top w:val="nil"/>
            </w:tcBorders>
            <w:shd w:val="clear" w:color="auto" w:fill="E0D4B5"/>
            <w:tcMar>
              <w:top w:w="29" w:type="dxa"/>
              <w:left w:w="115" w:type="dxa"/>
              <w:bottom w:w="29" w:type="dxa"/>
              <w:right w:w="115" w:type="dxa"/>
            </w:tcMar>
          </w:tcPr>
          <w:p w14:paraId="29773620" w14:textId="77777777" w:rsidR="00CB1CEF" w:rsidRPr="00CB1CEF" w:rsidRDefault="00CB1CEF" w:rsidP="002309BF">
            <w:pPr>
              <w:pStyle w:val="TableTextDecimal"/>
              <w:framePr w:wrap="notBeside"/>
              <w:tabs>
                <w:tab w:val="clear" w:pos="716"/>
                <w:tab w:val="decimal" w:pos="597"/>
              </w:tabs>
            </w:pPr>
            <w:r w:rsidRPr="00CB1CEF">
              <w:t>0.2</w:t>
            </w:r>
          </w:p>
        </w:tc>
        <w:tc>
          <w:tcPr>
            <w:tcW w:w="1601" w:type="dxa"/>
            <w:tcBorders>
              <w:top w:val="nil"/>
            </w:tcBorders>
            <w:shd w:val="clear" w:color="auto" w:fill="E0D4B5"/>
            <w:tcMar>
              <w:top w:w="29" w:type="dxa"/>
              <w:left w:w="115" w:type="dxa"/>
              <w:bottom w:w="29" w:type="dxa"/>
              <w:right w:w="115" w:type="dxa"/>
            </w:tcMar>
          </w:tcPr>
          <w:p w14:paraId="5D643168"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14B9A4B4"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07DBB0A9" w14:textId="77777777" w:rsidR="00CB1CEF" w:rsidRPr="00CB1CEF" w:rsidRDefault="00CB1CEF" w:rsidP="002309BF">
            <w:pPr>
              <w:pStyle w:val="TableTextLeft"/>
              <w:ind w:left="245"/>
            </w:pPr>
            <w:r w:rsidRPr="00CB1CEF">
              <w:t>Dermatology</w:t>
            </w:r>
          </w:p>
        </w:tc>
        <w:tc>
          <w:tcPr>
            <w:tcW w:w="1405" w:type="dxa"/>
            <w:tcBorders>
              <w:top w:val="nil"/>
            </w:tcBorders>
            <w:shd w:val="clear" w:color="auto" w:fill="auto"/>
            <w:tcMar>
              <w:top w:w="29" w:type="dxa"/>
              <w:left w:w="115" w:type="dxa"/>
              <w:bottom w:w="29" w:type="dxa"/>
              <w:right w:w="115" w:type="dxa"/>
            </w:tcMar>
          </w:tcPr>
          <w:p w14:paraId="12150410" w14:textId="77777777" w:rsidR="00CB1CEF" w:rsidRPr="00CB1CEF" w:rsidRDefault="00CB1CEF" w:rsidP="002309BF">
            <w:pPr>
              <w:pStyle w:val="TableTextDecimal"/>
              <w:framePr w:wrap="notBeside"/>
              <w:tabs>
                <w:tab w:val="clear" w:pos="716"/>
                <w:tab w:val="decimal" w:pos="597"/>
              </w:tabs>
            </w:pPr>
            <w:r w:rsidRPr="00CB1CEF">
              <w:t>1.2</w:t>
            </w:r>
          </w:p>
        </w:tc>
        <w:tc>
          <w:tcPr>
            <w:tcW w:w="1602" w:type="dxa"/>
            <w:tcBorders>
              <w:top w:val="nil"/>
            </w:tcBorders>
            <w:shd w:val="clear" w:color="auto" w:fill="auto"/>
            <w:tcMar>
              <w:top w:w="29" w:type="dxa"/>
              <w:left w:w="115" w:type="dxa"/>
              <w:bottom w:w="29" w:type="dxa"/>
              <w:right w:w="115" w:type="dxa"/>
            </w:tcMar>
          </w:tcPr>
          <w:p w14:paraId="4B4983EC" w14:textId="77777777" w:rsidR="00CB1CEF" w:rsidRPr="00CB1CEF" w:rsidRDefault="00CB1CEF" w:rsidP="002309BF">
            <w:pPr>
              <w:pStyle w:val="TableTextDecimal"/>
              <w:framePr w:wrap="notBeside"/>
              <w:tabs>
                <w:tab w:val="clear" w:pos="716"/>
                <w:tab w:val="decimal" w:pos="597"/>
              </w:tabs>
            </w:pPr>
            <w:r w:rsidRPr="00CB1CEF">
              <w:t>1.8</w:t>
            </w:r>
          </w:p>
        </w:tc>
        <w:tc>
          <w:tcPr>
            <w:tcW w:w="1602" w:type="dxa"/>
            <w:tcBorders>
              <w:top w:val="nil"/>
            </w:tcBorders>
            <w:shd w:val="clear" w:color="auto" w:fill="auto"/>
            <w:tcMar>
              <w:top w:w="29" w:type="dxa"/>
              <w:left w:w="115" w:type="dxa"/>
              <w:bottom w:w="29" w:type="dxa"/>
              <w:right w:w="115" w:type="dxa"/>
            </w:tcMar>
          </w:tcPr>
          <w:p w14:paraId="5E56D1B8" w14:textId="77777777" w:rsidR="00CB1CEF" w:rsidRPr="00CB1CEF" w:rsidRDefault="00CB1CEF" w:rsidP="002309BF">
            <w:pPr>
              <w:pStyle w:val="TableTextDecimal"/>
              <w:framePr w:wrap="notBeside"/>
              <w:tabs>
                <w:tab w:val="clear" w:pos="716"/>
                <w:tab w:val="decimal" w:pos="597"/>
              </w:tabs>
            </w:pPr>
            <w:r w:rsidRPr="00CB1CEF">
              <w:t>-0.6</w:t>
            </w:r>
          </w:p>
        </w:tc>
        <w:tc>
          <w:tcPr>
            <w:tcW w:w="1601" w:type="dxa"/>
            <w:tcBorders>
              <w:top w:val="nil"/>
            </w:tcBorders>
            <w:shd w:val="clear" w:color="auto" w:fill="auto"/>
            <w:tcMar>
              <w:top w:w="29" w:type="dxa"/>
              <w:left w:w="115" w:type="dxa"/>
              <w:bottom w:w="29" w:type="dxa"/>
              <w:right w:w="115" w:type="dxa"/>
            </w:tcMar>
          </w:tcPr>
          <w:p w14:paraId="43B869A5" w14:textId="77777777" w:rsidR="00CB1CEF" w:rsidRPr="00CB1CEF" w:rsidRDefault="00CB1CEF" w:rsidP="002309BF">
            <w:pPr>
              <w:pStyle w:val="TableTextDecimal"/>
              <w:framePr w:wrap="notBeside"/>
              <w:tabs>
                <w:tab w:val="clear" w:pos="716"/>
                <w:tab w:val="decimal" w:pos="597"/>
              </w:tabs>
            </w:pPr>
            <w:r w:rsidRPr="00CB1CEF">
              <w:t>0.06</w:t>
            </w:r>
          </w:p>
        </w:tc>
      </w:tr>
      <w:tr w:rsidR="00CB1CEF" w:rsidRPr="00CB1CEF" w14:paraId="1E476A62"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30F044FD" w14:textId="77777777" w:rsidR="00CB1CEF" w:rsidRPr="00CB1CEF" w:rsidRDefault="00CB1CEF" w:rsidP="002309BF">
            <w:pPr>
              <w:pStyle w:val="TableTextLeft"/>
              <w:ind w:left="245"/>
            </w:pPr>
            <w:r w:rsidRPr="00CB1CEF">
              <w:t>Pulmonary disease</w:t>
            </w:r>
          </w:p>
        </w:tc>
        <w:tc>
          <w:tcPr>
            <w:tcW w:w="1405" w:type="dxa"/>
            <w:tcBorders>
              <w:top w:val="nil"/>
            </w:tcBorders>
            <w:shd w:val="clear" w:color="auto" w:fill="E0D4B5"/>
            <w:tcMar>
              <w:top w:w="29" w:type="dxa"/>
              <w:left w:w="115" w:type="dxa"/>
              <w:bottom w:w="29" w:type="dxa"/>
              <w:right w:w="115" w:type="dxa"/>
            </w:tcMar>
          </w:tcPr>
          <w:p w14:paraId="0C936F36" w14:textId="77777777" w:rsidR="00CB1CEF" w:rsidRPr="00CB1CEF" w:rsidRDefault="00CB1CEF" w:rsidP="002309BF">
            <w:pPr>
              <w:pStyle w:val="TableTextDecimal"/>
              <w:framePr w:wrap="notBeside"/>
              <w:tabs>
                <w:tab w:val="clear" w:pos="716"/>
                <w:tab w:val="decimal" w:pos="597"/>
              </w:tabs>
            </w:pPr>
            <w:r w:rsidRPr="00CB1CEF">
              <w:t>1.1</w:t>
            </w:r>
          </w:p>
        </w:tc>
        <w:tc>
          <w:tcPr>
            <w:tcW w:w="1602" w:type="dxa"/>
            <w:tcBorders>
              <w:top w:val="nil"/>
            </w:tcBorders>
            <w:shd w:val="clear" w:color="auto" w:fill="E0D4B5"/>
            <w:tcMar>
              <w:top w:w="29" w:type="dxa"/>
              <w:left w:w="115" w:type="dxa"/>
              <w:bottom w:w="29" w:type="dxa"/>
              <w:right w:w="115" w:type="dxa"/>
            </w:tcMar>
          </w:tcPr>
          <w:p w14:paraId="0F1E212B" w14:textId="77777777" w:rsidR="00CB1CEF" w:rsidRPr="00CB1CEF" w:rsidRDefault="00CB1CEF" w:rsidP="002309BF">
            <w:pPr>
              <w:pStyle w:val="TableTextDecimal"/>
              <w:framePr w:wrap="notBeside"/>
              <w:tabs>
                <w:tab w:val="clear" w:pos="716"/>
                <w:tab w:val="decimal" w:pos="597"/>
              </w:tabs>
            </w:pPr>
            <w:r w:rsidRPr="00CB1CEF">
              <w:t>0.8</w:t>
            </w:r>
          </w:p>
        </w:tc>
        <w:tc>
          <w:tcPr>
            <w:tcW w:w="1602" w:type="dxa"/>
            <w:tcBorders>
              <w:top w:val="nil"/>
            </w:tcBorders>
            <w:shd w:val="clear" w:color="auto" w:fill="E0D4B5"/>
            <w:tcMar>
              <w:top w:w="29" w:type="dxa"/>
              <w:left w:w="115" w:type="dxa"/>
              <w:bottom w:w="29" w:type="dxa"/>
              <w:right w:w="115" w:type="dxa"/>
            </w:tcMar>
          </w:tcPr>
          <w:p w14:paraId="11EB2B17" w14:textId="77777777" w:rsidR="00CB1CEF" w:rsidRPr="00CB1CEF" w:rsidRDefault="00CB1CEF" w:rsidP="002309BF">
            <w:pPr>
              <w:pStyle w:val="TableTextDecimal"/>
              <w:framePr w:wrap="notBeside"/>
              <w:tabs>
                <w:tab w:val="clear" w:pos="716"/>
                <w:tab w:val="decimal" w:pos="597"/>
              </w:tabs>
            </w:pPr>
            <w:r w:rsidRPr="00CB1CEF">
              <w:t>0.3</w:t>
            </w:r>
          </w:p>
        </w:tc>
        <w:tc>
          <w:tcPr>
            <w:tcW w:w="1601" w:type="dxa"/>
            <w:tcBorders>
              <w:top w:val="nil"/>
            </w:tcBorders>
            <w:shd w:val="clear" w:color="auto" w:fill="E0D4B5"/>
            <w:tcMar>
              <w:top w:w="29" w:type="dxa"/>
              <w:left w:w="115" w:type="dxa"/>
              <w:bottom w:w="29" w:type="dxa"/>
              <w:right w:w="115" w:type="dxa"/>
            </w:tcMar>
          </w:tcPr>
          <w:p w14:paraId="05E0DB3D"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64ED05E2"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34C9066C" w14:textId="77777777" w:rsidR="00CB1CEF" w:rsidRPr="00CB1CEF" w:rsidRDefault="00CB1CEF" w:rsidP="002309BF">
            <w:pPr>
              <w:pStyle w:val="TableTextLeft"/>
              <w:ind w:left="245"/>
            </w:pPr>
            <w:r w:rsidRPr="00CB1CEF">
              <w:t>Nephrology</w:t>
            </w:r>
          </w:p>
        </w:tc>
        <w:tc>
          <w:tcPr>
            <w:tcW w:w="1405" w:type="dxa"/>
            <w:tcBorders>
              <w:top w:val="nil"/>
            </w:tcBorders>
            <w:shd w:val="clear" w:color="auto" w:fill="auto"/>
            <w:tcMar>
              <w:top w:w="29" w:type="dxa"/>
              <w:left w:w="115" w:type="dxa"/>
              <w:bottom w:w="29" w:type="dxa"/>
              <w:right w:w="115" w:type="dxa"/>
            </w:tcMar>
          </w:tcPr>
          <w:p w14:paraId="1F082864" w14:textId="77777777" w:rsidR="00CB1CEF" w:rsidRPr="00CB1CEF" w:rsidRDefault="00CB1CEF" w:rsidP="002309BF">
            <w:pPr>
              <w:pStyle w:val="TableTextDecimal"/>
              <w:framePr w:wrap="notBeside"/>
              <w:tabs>
                <w:tab w:val="clear" w:pos="716"/>
                <w:tab w:val="decimal" w:pos="597"/>
              </w:tabs>
            </w:pPr>
            <w:r w:rsidRPr="00CB1CEF">
              <w:t>1.1</w:t>
            </w:r>
          </w:p>
        </w:tc>
        <w:tc>
          <w:tcPr>
            <w:tcW w:w="1602" w:type="dxa"/>
            <w:tcBorders>
              <w:top w:val="nil"/>
            </w:tcBorders>
            <w:shd w:val="clear" w:color="auto" w:fill="auto"/>
            <w:tcMar>
              <w:top w:w="29" w:type="dxa"/>
              <w:left w:w="115" w:type="dxa"/>
              <w:bottom w:w="29" w:type="dxa"/>
              <w:right w:w="115" w:type="dxa"/>
            </w:tcMar>
          </w:tcPr>
          <w:p w14:paraId="17023EED" w14:textId="77777777" w:rsidR="00CB1CEF" w:rsidRPr="00CB1CEF" w:rsidRDefault="00CB1CEF" w:rsidP="002309BF">
            <w:pPr>
              <w:pStyle w:val="TableTextDecimal"/>
              <w:framePr w:wrap="notBeside"/>
              <w:tabs>
                <w:tab w:val="clear" w:pos="716"/>
                <w:tab w:val="decimal" w:pos="597"/>
              </w:tabs>
            </w:pPr>
            <w:r w:rsidRPr="00CB1CEF">
              <w:t>0.6</w:t>
            </w:r>
          </w:p>
        </w:tc>
        <w:tc>
          <w:tcPr>
            <w:tcW w:w="1602" w:type="dxa"/>
            <w:tcBorders>
              <w:top w:val="nil"/>
            </w:tcBorders>
            <w:shd w:val="clear" w:color="auto" w:fill="auto"/>
            <w:tcMar>
              <w:top w:w="29" w:type="dxa"/>
              <w:left w:w="115" w:type="dxa"/>
              <w:bottom w:w="29" w:type="dxa"/>
              <w:right w:w="115" w:type="dxa"/>
            </w:tcMar>
          </w:tcPr>
          <w:p w14:paraId="4C34BF39" w14:textId="77777777" w:rsidR="00CB1CEF" w:rsidRPr="00CB1CEF" w:rsidRDefault="00CB1CEF" w:rsidP="002309BF">
            <w:pPr>
              <w:pStyle w:val="TableTextDecimal"/>
              <w:framePr w:wrap="notBeside"/>
              <w:tabs>
                <w:tab w:val="clear" w:pos="716"/>
                <w:tab w:val="decimal" w:pos="597"/>
              </w:tabs>
            </w:pPr>
            <w:r w:rsidRPr="00CB1CEF">
              <w:t>0.5</w:t>
            </w:r>
          </w:p>
        </w:tc>
        <w:tc>
          <w:tcPr>
            <w:tcW w:w="1601" w:type="dxa"/>
            <w:tcBorders>
              <w:top w:val="nil"/>
            </w:tcBorders>
            <w:shd w:val="clear" w:color="auto" w:fill="auto"/>
            <w:tcMar>
              <w:top w:w="29" w:type="dxa"/>
              <w:left w:w="115" w:type="dxa"/>
              <w:bottom w:w="29" w:type="dxa"/>
              <w:right w:w="115" w:type="dxa"/>
            </w:tcMar>
          </w:tcPr>
          <w:p w14:paraId="1E98BF3B" w14:textId="77777777" w:rsidR="00CB1CEF" w:rsidRPr="00CB1CEF" w:rsidRDefault="00CB1CEF" w:rsidP="002309BF">
            <w:pPr>
              <w:pStyle w:val="TableTextDecimal"/>
              <w:framePr w:wrap="notBeside"/>
              <w:tabs>
                <w:tab w:val="clear" w:pos="716"/>
                <w:tab w:val="decimal" w:pos="597"/>
              </w:tabs>
            </w:pPr>
            <w:r w:rsidRPr="00CB1CEF">
              <w:t>0.05</w:t>
            </w:r>
          </w:p>
        </w:tc>
      </w:tr>
      <w:tr w:rsidR="00CB1CEF" w:rsidRPr="00CB1CEF" w14:paraId="2B8D15A1"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7407ABEE" w14:textId="77777777" w:rsidR="00CB1CEF" w:rsidRPr="00CB1CEF" w:rsidRDefault="00CB1CEF" w:rsidP="002309BF">
            <w:pPr>
              <w:pStyle w:val="TableTextLeft"/>
              <w:ind w:left="245"/>
            </w:pPr>
            <w:r w:rsidRPr="00CB1CEF">
              <w:t>Urology</w:t>
            </w:r>
          </w:p>
        </w:tc>
        <w:tc>
          <w:tcPr>
            <w:tcW w:w="1405" w:type="dxa"/>
            <w:tcBorders>
              <w:top w:val="nil"/>
            </w:tcBorders>
            <w:shd w:val="clear" w:color="auto" w:fill="E0D4B5"/>
            <w:tcMar>
              <w:top w:w="29" w:type="dxa"/>
              <w:left w:w="115" w:type="dxa"/>
              <w:bottom w:w="29" w:type="dxa"/>
              <w:right w:w="115" w:type="dxa"/>
            </w:tcMar>
          </w:tcPr>
          <w:p w14:paraId="655BBAD3" w14:textId="77777777" w:rsidR="00CB1CEF" w:rsidRPr="00CB1CEF" w:rsidRDefault="00CB1CEF" w:rsidP="002309BF">
            <w:pPr>
              <w:pStyle w:val="TableTextDecimal"/>
              <w:framePr w:wrap="notBeside"/>
              <w:tabs>
                <w:tab w:val="clear" w:pos="716"/>
                <w:tab w:val="decimal" w:pos="597"/>
              </w:tabs>
            </w:pPr>
            <w:r w:rsidRPr="00CB1CEF">
              <w:t>1.0</w:t>
            </w:r>
          </w:p>
        </w:tc>
        <w:tc>
          <w:tcPr>
            <w:tcW w:w="1602" w:type="dxa"/>
            <w:tcBorders>
              <w:top w:val="nil"/>
            </w:tcBorders>
            <w:shd w:val="clear" w:color="auto" w:fill="E0D4B5"/>
            <w:tcMar>
              <w:top w:w="29" w:type="dxa"/>
              <w:left w:w="115" w:type="dxa"/>
              <w:bottom w:w="29" w:type="dxa"/>
              <w:right w:w="115" w:type="dxa"/>
            </w:tcMar>
          </w:tcPr>
          <w:p w14:paraId="0B1B2A1D" w14:textId="77777777" w:rsidR="00CB1CEF" w:rsidRPr="00CB1CEF" w:rsidRDefault="00CB1CEF" w:rsidP="002309BF">
            <w:pPr>
              <w:pStyle w:val="TableTextDecimal"/>
              <w:framePr w:wrap="notBeside"/>
              <w:tabs>
                <w:tab w:val="clear" w:pos="716"/>
                <w:tab w:val="decimal" w:pos="597"/>
              </w:tabs>
            </w:pPr>
            <w:r w:rsidRPr="00CB1CEF">
              <w:t>1.0</w:t>
            </w:r>
          </w:p>
        </w:tc>
        <w:tc>
          <w:tcPr>
            <w:tcW w:w="1602" w:type="dxa"/>
            <w:tcBorders>
              <w:top w:val="nil"/>
            </w:tcBorders>
            <w:shd w:val="clear" w:color="auto" w:fill="E0D4B5"/>
            <w:tcMar>
              <w:top w:w="29" w:type="dxa"/>
              <w:left w:w="115" w:type="dxa"/>
              <w:bottom w:w="29" w:type="dxa"/>
              <w:right w:w="115" w:type="dxa"/>
            </w:tcMar>
          </w:tcPr>
          <w:p w14:paraId="2C2B5EDF"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E0D4B5"/>
            <w:tcMar>
              <w:top w:w="29" w:type="dxa"/>
              <w:left w:w="115" w:type="dxa"/>
              <w:bottom w:w="29" w:type="dxa"/>
              <w:right w:w="115" w:type="dxa"/>
            </w:tcMar>
          </w:tcPr>
          <w:p w14:paraId="16E35DAB"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13139E96"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5E839748" w14:textId="77777777" w:rsidR="00CB1CEF" w:rsidRPr="00CB1CEF" w:rsidRDefault="00CB1CEF" w:rsidP="002309BF">
            <w:pPr>
              <w:pStyle w:val="TableTextLeft"/>
            </w:pPr>
            <w:r w:rsidRPr="00CB1CEF">
              <w:t>Average proportion of all clinicians who were advanced practice nurses or physician assistants (%)</w:t>
            </w:r>
          </w:p>
        </w:tc>
        <w:tc>
          <w:tcPr>
            <w:tcW w:w="1405" w:type="dxa"/>
            <w:tcBorders>
              <w:top w:val="nil"/>
            </w:tcBorders>
            <w:shd w:val="clear" w:color="auto" w:fill="auto"/>
            <w:tcMar>
              <w:top w:w="29" w:type="dxa"/>
              <w:left w:w="115" w:type="dxa"/>
              <w:bottom w:w="29" w:type="dxa"/>
              <w:right w:w="115" w:type="dxa"/>
            </w:tcMar>
          </w:tcPr>
          <w:p w14:paraId="794F7E2B" w14:textId="77777777" w:rsidR="00CB1CEF" w:rsidRPr="00CB1CEF" w:rsidRDefault="00CB1CEF" w:rsidP="002309BF">
            <w:pPr>
              <w:pStyle w:val="TableTextDecimal"/>
              <w:framePr w:wrap="notBeside"/>
              <w:tabs>
                <w:tab w:val="clear" w:pos="716"/>
                <w:tab w:val="decimal" w:pos="597"/>
              </w:tabs>
            </w:pPr>
            <w:r w:rsidRPr="00CB1CEF">
              <w:t>10.3</w:t>
            </w:r>
          </w:p>
        </w:tc>
        <w:tc>
          <w:tcPr>
            <w:tcW w:w="1602" w:type="dxa"/>
            <w:tcBorders>
              <w:top w:val="nil"/>
            </w:tcBorders>
            <w:shd w:val="clear" w:color="auto" w:fill="auto"/>
            <w:tcMar>
              <w:top w:w="29" w:type="dxa"/>
              <w:left w:w="115" w:type="dxa"/>
              <w:bottom w:w="29" w:type="dxa"/>
              <w:right w:w="115" w:type="dxa"/>
            </w:tcMar>
          </w:tcPr>
          <w:p w14:paraId="79A82FBA" w14:textId="77777777" w:rsidR="00CB1CEF" w:rsidRPr="00CB1CEF" w:rsidRDefault="00CB1CEF" w:rsidP="002309BF">
            <w:pPr>
              <w:pStyle w:val="TableTextDecimal"/>
              <w:framePr w:wrap="notBeside"/>
              <w:tabs>
                <w:tab w:val="clear" w:pos="716"/>
                <w:tab w:val="decimal" w:pos="597"/>
              </w:tabs>
            </w:pPr>
            <w:r w:rsidRPr="00CB1CEF">
              <w:t>9.5</w:t>
            </w:r>
          </w:p>
        </w:tc>
        <w:tc>
          <w:tcPr>
            <w:tcW w:w="1602" w:type="dxa"/>
            <w:tcBorders>
              <w:top w:val="nil"/>
            </w:tcBorders>
            <w:shd w:val="clear" w:color="auto" w:fill="auto"/>
            <w:tcMar>
              <w:top w:w="29" w:type="dxa"/>
              <w:left w:w="115" w:type="dxa"/>
              <w:bottom w:w="29" w:type="dxa"/>
              <w:right w:w="115" w:type="dxa"/>
            </w:tcMar>
          </w:tcPr>
          <w:p w14:paraId="443BF95E" w14:textId="77777777" w:rsidR="00CB1CEF" w:rsidRPr="00CB1CEF" w:rsidRDefault="00CB1CEF" w:rsidP="002309BF">
            <w:pPr>
              <w:pStyle w:val="TableTextDecimal"/>
              <w:framePr w:wrap="notBeside"/>
              <w:tabs>
                <w:tab w:val="clear" w:pos="716"/>
                <w:tab w:val="decimal" w:pos="597"/>
              </w:tabs>
            </w:pPr>
            <w:r w:rsidRPr="00CB1CEF">
              <w:t>0.7</w:t>
            </w:r>
          </w:p>
        </w:tc>
        <w:tc>
          <w:tcPr>
            <w:tcW w:w="1601" w:type="dxa"/>
            <w:tcBorders>
              <w:top w:val="nil"/>
            </w:tcBorders>
            <w:shd w:val="clear" w:color="auto" w:fill="auto"/>
            <w:tcMar>
              <w:top w:w="29" w:type="dxa"/>
              <w:left w:w="115" w:type="dxa"/>
              <w:bottom w:w="29" w:type="dxa"/>
              <w:right w:w="115" w:type="dxa"/>
            </w:tcMar>
          </w:tcPr>
          <w:p w14:paraId="4BDA5C4C"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0A498506" w14:textId="77777777" w:rsidTr="00630740">
        <w:trPr>
          <w:trHeight w:val="20"/>
        </w:trPr>
        <w:tc>
          <w:tcPr>
            <w:tcW w:w="9540" w:type="dxa"/>
            <w:gridSpan w:val="5"/>
            <w:tcBorders>
              <w:top w:val="nil"/>
              <w:bottom w:val="nil"/>
            </w:tcBorders>
            <w:shd w:val="clear" w:color="auto" w:fill="0B2949"/>
          </w:tcPr>
          <w:p w14:paraId="72B7A533" w14:textId="77777777" w:rsidR="00CB1CEF" w:rsidRPr="00CB1CEF" w:rsidRDefault="00CB1CEF" w:rsidP="002309BF">
            <w:pPr>
              <w:keepNext/>
              <w:spacing w:before="60" w:after="60" w:line="240" w:lineRule="auto"/>
              <w:rPr>
                <w:rFonts w:ascii="Arial" w:hAnsi="Arial"/>
                <w:b/>
                <w:sz w:val="18"/>
                <w:szCs w:val="18"/>
              </w:rPr>
            </w:pPr>
            <w:r w:rsidRPr="00CB1CEF">
              <w:rPr>
                <w:rFonts w:ascii="Arial" w:hAnsi="Arial"/>
                <w:b/>
                <w:sz w:val="18"/>
                <w:szCs w:val="18"/>
              </w:rPr>
              <w:t>Participation in other programs and Medicaid acceptance</w:t>
            </w:r>
          </w:p>
        </w:tc>
      </w:tr>
      <w:tr w:rsidR="00CB1CEF" w:rsidRPr="00CB1CEF" w14:paraId="0DBE3524"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4180F572" w14:textId="45EE70E8" w:rsidR="00CB1CEF" w:rsidRPr="00CB1CEF" w:rsidRDefault="00CB1CEF" w:rsidP="002309BF">
            <w:pPr>
              <w:pStyle w:val="TableTextLeft"/>
            </w:pPr>
            <w:r w:rsidRPr="00CB1CEF">
              <w:t xml:space="preserve">Proportion of clinicians </w:t>
            </w:r>
            <w:r w:rsidR="000C1505">
              <w:t xml:space="preserve">participating </w:t>
            </w:r>
            <w:r w:rsidRPr="00CB1CEF">
              <w:t>in medical home</w:t>
            </w:r>
            <w:r w:rsidR="000C1505">
              <w:t xml:space="preserve"> program</w:t>
            </w:r>
            <w:r w:rsidRPr="00CB1CEF">
              <w:t xml:space="preserve">s in year before </w:t>
            </w:r>
            <w:proofErr w:type="spellStart"/>
            <w:r w:rsidRPr="00CB1CEF">
              <w:t>TCPi</w:t>
            </w:r>
            <w:proofErr w:type="spellEnd"/>
            <w:r w:rsidRPr="00CB1CEF">
              <w:t xml:space="preserve"> </w:t>
            </w:r>
            <w:proofErr w:type="spellStart"/>
            <w:r w:rsidRPr="00CB1CEF">
              <w:t>enrollment</w:t>
            </w:r>
            <w:r w:rsidRPr="00CB1CEF">
              <w:rPr>
                <w:vertAlign w:val="superscript"/>
              </w:rPr>
              <w:t>h</w:t>
            </w:r>
            <w:proofErr w:type="spellEnd"/>
            <w:r w:rsidRPr="00CB1CEF">
              <w:t xml:space="preserve"> (%)</w:t>
            </w:r>
          </w:p>
        </w:tc>
        <w:tc>
          <w:tcPr>
            <w:tcW w:w="1405" w:type="dxa"/>
            <w:tcBorders>
              <w:top w:val="nil"/>
            </w:tcBorders>
            <w:shd w:val="clear" w:color="auto" w:fill="auto"/>
            <w:tcMar>
              <w:top w:w="29" w:type="dxa"/>
              <w:left w:w="115" w:type="dxa"/>
              <w:bottom w:w="29" w:type="dxa"/>
              <w:right w:w="115" w:type="dxa"/>
            </w:tcMar>
          </w:tcPr>
          <w:p w14:paraId="0B54EE15"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auto"/>
            <w:tcMar>
              <w:top w:w="29" w:type="dxa"/>
              <w:left w:w="115" w:type="dxa"/>
              <w:bottom w:w="29" w:type="dxa"/>
              <w:right w:w="115" w:type="dxa"/>
            </w:tcMar>
          </w:tcPr>
          <w:p w14:paraId="543E6309" w14:textId="77777777" w:rsidR="00CB1CEF" w:rsidRPr="00CB1CEF" w:rsidRDefault="00CB1CEF" w:rsidP="002309BF">
            <w:pPr>
              <w:pStyle w:val="TableTextDecimal"/>
              <w:framePr w:wrap="notBeside"/>
              <w:tabs>
                <w:tab w:val="clear" w:pos="716"/>
                <w:tab w:val="decimal" w:pos="597"/>
              </w:tabs>
            </w:pPr>
          </w:p>
        </w:tc>
        <w:tc>
          <w:tcPr>
            <w:tcW w:w="1602" w:type="dxa"/>
            <w:tcBorders>
              <w:top w:val="nil"/>
            </w:tcBorders>
            <w:shd w:val="clear" w:color="auto" w:fill="auto"/>
            <w:tcMar>
              <w:top w:w="29" w:type="dxa"/>
              <w:left w:w="115" w:type="dxa"/>
              <w:bottom w:w="29" w:type="dxa"/>
              <w:right w:w="115" w:type="dxa"/>
            </w:tcMar>
          </w:tcPr>
          <w:p w14:paraId="786A2E14" w14:textId="77777777" w:rsidR="00CB1CEF" w:rsidRPr="00CB1CEF" w:rsidRDefault="00CB1CEF" w:rsidP="002309BF">
            <w:pPr>
              <w:pStyle w:val="TableTextDecimal"/>
              <w:framePr w:wrap="notBeside"/>
              <w:tabs>
                <w:tab w:val="clear" w:pos="716"/>
                <w:tab w:val="decimal" w:pos="597"/>
              </w:tabs>
            </w:pPr>
          </w:p>
        </w:tc>
        <w:tc>
          <w:tcPr>
            <w:tcW w:w="1601" w:type="dxa"/>
            <w:tcBorders>
              <w:top w:val="nil"/>
            </w:tcBorders>
            <w:shd w:val="clear" w:color="auto" w:fill="auto"/>
            <w:tcMar>
              <w:top w:w="29" w:type="dxa"/>
              <w:left w:w="115" w:type="dxa"/>
              <w:bottom w:w="29" w:type="dxa"/>
              <w:right w:w="115" w:type="dxa"/>
            </w:tcMar>
          </w:tcPr>
          <w:p w14:paraId="1C769EFE" w14:textId="77777777" w:rsidR="00CB1CEF" w:rsidRPr="00CB1CEF" w:rsidRDefault="00CB1CEF" w:rsidP="002309BF">
            <w:pPr>
              <w:pStyle w:val="TableTextDecimal"/>
              <w:framePr w:wrap="notBeside"/>
              <w:tabs>
                <w:tab w:val="clear" w:pos="716"/>
                <w:tab w:val="decimal" w:pos="597"/>
              </w:tabs>
            </w:pPr>
          </w:p>
        </w:tc>
      </w:tr>
      <w:tr w:rsidR="00CB1CEF" w:rsidRPr="00CB1CEF" w14:paraId="4A633379"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550968C3" w14:textId="77777777" w:rsidR="00CB1CEF" w:rsidRPr="00CB1CEF" w:rsidRDefault="00CB1CEF" w:rsidP="002309BF">
            <w:pPr>
              <w:pStyle w:val="TableTextLeft"/>
              <w:ind w:left="245"/>
            </w:pPr>
            <w:r w:rsidRPr="00CB1CEF">
              <w:t>All</w:t>
            </w:r>
          </w:p>
        </w:tc>
        <w:tc>
          <w:tcPr>
            <w:tcW w:w="1405" w:type="dxa"/>
            <w:tcBorders>
              <w:top w:val="nil"/>
            </w:tcBorders>
            <w:shd w:val="clear" w:color="auto" w:fill="E0D4B5"/>
            <w:tcMar>
              <w:top w:w="29" w:type="dxa"/>
              <w:left w:w="115" w:type="dxa"/>
              <w:bottom w:w="29" w:type="dxa"/>
              <w:right w:w="115" w:type="dxa"/>
            </w:tcMar>
          </w:tcPr>
          <w:p w14:paraId="6504F401" w14:textId="77777777" w:rsidR="00CB1CEF" w:rsidRPr="00CB1CEF" w:rsidRDefault="00CB1CEF" w:rsidP="002309BF">
            <w:pPr>
              <w:pStyle w:val="TableTextDecimal"/>
              <w:framePr w:wrap="notBeside"/>
              <w:tabs>
                <w:tab w:val="clear" w:pos="716"/>
                <w:tab w:val="decimal" w:pos="597"/>
              </w:tabs>
            </w:pPr>
            <w:r w:rsidRPr="00CB1CEF">
              <w:t>3.2</w:t>
            </w:r>
          </w:p>
        </w:tc>
        <w:tc>
          <w:tcPr>
            <w:tcW w:w="1602" w:type="dxa"/>
            <w:tcBorders>
              <w:top w:val="nil"/>
            </w:tcBorders>
            <w:shd w:val="clear" w:color="auto" w:fill="E0D4B5"/>
            <w:tcMar>
              <w:top w:w="29" w:type="dxa"/>
              <w:left w:w="115" w:type="dxa"/>
              <w:bottom w:w="29" w:type="dxa"/>
              <w:right w:w="115" w:type="dxa"/>
            </w:tcMar>
          </w:tcPr>
          <w:p w14:paraId="0A11AB2D" w14:textId="77777777" w:rsidR="00CB1CEF" w:rsidRPr="00CB1CEF" w:rsidRDefault="00CB1CEF" w:rsidP="002309BF">
            <w:pPr>
              <w:pStyle w:val="TableTextDecimal"/>
              <w:framePr w:wrap="notBeside"/>
              <w:tabs>
                <w:tab w:val="clear" w:pos="716"/>
                <w:tab w:val="decimal" w:pos="597"/>
              </w:tabs>
            </w:pPr>
            <w:r w:rsidRPr="00CB1CEF">
              <w:t>2.5</w:t>
            </w:r>
          </w:p>
        </w:tc>
        <w:tc>
          <w:tcPr>
            <w:tcW w:w="1602" w:type="dxa"/>
            <w:tcBorders>
              <w:top w:val="nil"/>
            </w:tcBorders>
            <w:shd w:val="clear" w:color="auto" w:fill="E0D4B5"/>
            <w:tcMar>
              <w:top w:w="29" w:type="dxa"/>
              <w:left w:w="115" w:type="dxa"/>
              <w:bottom w:w="29" w:type="dxa"/>
              <w:right w:w="115" w:type="dxa"/>
            </w:tcMar>
          </w:tcPr>
          <w:p w14:paraId="62E08489" w14:textId="77777777" w:rsidR="00CB1CEF" w:rsidRPr="00CB1CEF" w:rsidRDefault="00CB1CEF" w:rsidP="002309BF">
            <w:pPr>
              <w:pStyle w:val="TableTextDecimal"/>
              <w:framePr w:wrap="notBeside"/>
              <w:tabs>
                <w:tab w:val="clear" w:pos="716"/>
                <w:tab w:val="decimal" w:pos="597"/>
              </w:tabs>
            </w:pPr>
            <w:r w:rsidRPr="00CB1CEF">
              <w:t>0.7</w:t>
            </w:r>
          </w:p>
        </w:tc>
        <w:tc>
          <w:tcPr>
            <w:tcW w:w="1601" w:type="dxa"/>
            <w:tcBorders>
              <w:top w:val="nil"/>
            </w:tcBorders>
            <w:shd w:val="clear" w:color="auto" w:fill="E0D4B5"/>
            <w:tcMar>
              <w:top w:w="29" w:type="dxa"/>
              <w:left w:w="115" w:type="dxa"/>
              <w:bottom w:w="29" w:type="dxa"/>
              <w:right w:w="115" w:type="dxa"/>
            </w:tcMar>
          </w:tcPr>
          <w:p w14:paraId="5A495588" w14:textId="77777777" w:rsidR="00CB1CEF" w:rsidRPr="00CB1CEF" w:rsidRDefault="00CB1CEF" w:rsidP="002309BF">
            <w:pPr>
              <w:pStyle w:val="TableTextDecimal"/>
              <w:framePr w:wrap="notBeside"/>
              <w:tabs>
                <w:tab w:val="clear" w:pos="716"/>
                <w:tab w:val="decimal" w:pos="597"/>
              </w:tabs>
            </w:pPr>
            <w:r w:rsidRPr="00CB1CEF">
              <w:t>0.04</w:t>
            </w:r>
          </w:p>
        </w:tc>
      </w:tr>
      <w:tr w:rsidR="00CB1CEF" w:rsidRPr="00CB1CEF" w14:paraId="62528A26"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5ABA8677" w14:textId="77777777" w:rsidR="00CB1CEF" w:rsidRPr="00CB1CEF" w:rsidRDefault="00CB1CEF" w:rsidP="002309BF">
            <w:pPr>
              <w:pStyle w:val="TableTextLeft"/>
              <w:ind w:left="245"/>
            </w:pPr>
            <w:r w:rsidRPr="00CB1CEF">
              <w:t>Some but not all</w:t>
            </w:r>
          </w:p>
        </w:tc>
        <w:tc>
          <w:tcPr>
            <w:tcW w:w="1405" w:type="dxa"/>
            <w:tcBorders>
              <w:top w:val="nil"/>
            </w:tcBorders>
            <w:shd w:val="clear" w:color="auto" w:fill="auto"/>
            <w:tcMar>
              <w:top w:w="29" w:type="dxa"/>
              <w:left w:w="115" w:type="dxa"/>
              <w:bottom w:w="29" w:type="dxa"/>
              <w:right w:w="115" w:type="dxa"/>
            </w:tcMar>
          </w:tcPr>
          <w:p w14:paraId="40C57772" w14:textId="77777777" w:rsidR="00CB1CEF" w:rsidRPr="00CB1CEF" w:rsidRDefault="00CB1CEF" w:rsidP="002309BF">
            <w:pPr>
              <w:pStyle w:val="TableTextDecimal"/>
              <w:framePr w:wrap="notBeside"/>
              <w:tabs>
                <w:tab w:val="clear" w:pos="716"/>
                <w:tab w:val="decimal" w:pos="597"/>
              </w:tabs>
            </w:pPr>
            <w:r w:rsidRPr="00CB1CEF">
              <w:t>4.0</w:t>
            </w:r>
          </w:p>
        </w:tc>
        <w:tc>
          <w:tcPr>
            <w:tcW w:w="1602" w:type="dxa"/>
            <w:tcBorders>
              <w:top w:val="nil"/>
            </w:tcBorders>
            <w:shd w:val="clear" w:color="auto" w:fill="auto"/>
            <w:tcMar>
              <w:top w:w="29" w:type="dxa"/>
              <w:left w:w="115" w:type="dxa"/>
              <w:bottom w:w="29" w:type="dxa"/>
              <w:right w:w="115" w:type="dxa"/>
            </w:tcMar>
          </w:tcPr>
          <w:p w14:paraId="72841FAF" w14:textId="77777777" w:rsidR="00CB1CEF" w:rsidRPr="00CB1CEF" w:rsidRDefault="00CB1CEF" w:rsidP="002309BF">
            <w:pPr>
              <w:pStyle w:val="TableTextDecimal"/>
              <w:framePr w:wrap="notBeside"/>
              <w:tabs>
                <w:tab w:val="clear" w:pos="716"/>
                <w:tab w:val="decimal" w:pos="597"/>
              </w:tabs>
            </w:pPr>
            <w:r w:rsidRPr="00CB1CEF">
              <w:t>3.1</w:t>
            </w:r>
          </w:p>
        </w:tc>
        <w:tc>
          <w:tcPr>
            <w:tcW w:w="1602" w:type="dxa"/>
            <w:tcBorders>
              <w:top w:val="nil"/>
            </w:tcBorders>
            <w:shd w:val="clear" w:color="auto" w:fill="auto"/>
            <w:tcMar>
              <w:top w:w="29" w:type="dxa"/>
              <w:left w:w="115" w:type="dxa"/>
              <w:bottom w:w="29" w:type="dxa"/>
              <w:right w:w="115" w:type="dxa"/>
            </w:tcMar>
          </w:tcPr>
          <w:p w14:paraId="51C08385" w14:textId="77777777" w:rsidR="00CB1CEF" w:rsidRPr="00CB1CEF" w:rsidRDefault="00CB1CEF" w:rsidP="002309BF">
            <w:pPr>
              <w:pStyle w:val="TableTextDecimal"/>
              <w:framePr w:wrap="notBeside"/>
              <w:tabs>
                <w:tab w:val="clear" w:pos="716"/>
                <w:tab w:val="decimal" w:pos="597"/>
              </w:tabs>
            </w:pPr>
            <w:r w:rsidRPr="00CB1CEF">
              <w:t>0.9</w:t>
            </w:r>
          </w:p>
        </w:tc>
        <w:tc>
          <w:tcPr>
            <w:tcW w:w="1601" w:type="dxa"/>
            <w:tcBorders>
              <w:top w:val="nil"/>
            </w:tcBorders>
            <w:shd w:val="clear" w:color="auto" w:fill="auto"/>
            <w:tcMar>
              <w:top w:w="29" w:type="dxa"/>
              <w:left w:w="115" w:type="dxa"/>
              <w:bottom w:w="29" w:type="dxa"/>
              <w:right w:w="115" w:type="dxa"/>
            </w:tcMar>
          </w:tcPr>
          <w:p w14:paraId="61826466" w14:textId="77777777" w:rsidR="00CB1CEF" w:rsidRPr="00CB1CEF" w:rsidRDefault="00CB1CEF" w:rsidP="002309BF">
            <w:pPr>
              <w:pStyle w:val="TableTextDecimal"/>
              <w:framePr w:wrap="notBeside"/>
              <w:tabs>
                <w:tab w:val="clear" w:pos="716"/>
                <w:tab w:val="decimal" w:pos="597"/>
              </w:tabs>
            </w:pPr>
            <w:r w:rsidRPr="00CB1CEF">
              <w:t>0.05</w:t>
            </w:r>
          </w:p>
        </w:tc>
      </w:tr>
      <w:tr w:rsidR="00CB1CEF" w:rsidRPr="00CB1CEF" w14:paraId="17489C4F"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138ABFA1" w14:textId="77777777" w:rsidR="00CB1CEF" w:rsidRPr="00CB1CEF" w:rsidRDefault="00CB1CEF" w:rsidP="002309BF">
            <w:pPr>
              <w:pStyle w:val="TableTextLeft"/>
              <w:ind w:left="245"/>
            </w:pPr>
            <w:r w:rsidRPr="00CB1CEF">
              <w:t>None</w:t>
            </w:r>
          </w:p>
        </w:tc>
        <w:tc>
          <w:tcPr>
            <w:tcW w:w="1405" w:type="dxa"/>
            <w:tcBorders>
              <w:top w:val="nil"/>
            </w:tcBorders>
            <w:shd w:val="clear" w:color="auto" w:fill="E0D4B5"/>
            <w:tcMar>
              <w:top w:w="29" w:type="dxa"/>
              <w:left w:w="115" w:type="dxa"/>
              <w:bottom w:w="29" w:type="dxa"/>
              <w:right w:w="115" w:type="dxa"/>
            </w:tcMar>
          </w:tcPr>
          <w:p w14:paraId="4CE64593" w14:textId="77777777" w:rsidR="00CB1CEF" w:rsidRPr="00CB1CEF" w:rsidRDefault="00CB1CEF" w:rsidP="002309BF">
            <w:pPr>
              <w:pStyle w:val="TableTextDecimal"/>
              <w:framePr w:wrap="notBeside"/>
              <w:tabs>
                <w:tab w:val="clear" w:pos="716"/>
                <w:tab w:val="decimal" w:pos="597"/>
              </w:tabs>
            </w:pPr>
            <w:r w:rsidRPr="00CB1CEF">
              <w:t>92.7</w:t>
            </w:r>
          </w:p>
        </w:tc>
        <w:tc>
          <w:tcPr>
            <w:tcW w:w="1602" w:type="dxa"/>
            <w:tcBorders>
              <w:top w:val="nil"/>
            </w:tcBorders>
            <w:shd w:val="clear" w:color="auto" w:fill="E0D4B5"/>
            <w:tcMar>
              <w:top w:w="29" w:type="dxa"/>
              <w:left w:w="115" w:type="dxa"/>
              <w:bottom w:w="29" w:type="dxa"/>
              <w:right w:w="115" w:type="dxa"/>
            </w:tcMar>
          </w:tcPr>
          <w:p w14:paraId="3907FA2F" w14:textId="77777777" w:rsidR="00CB1CEF" w:rsidRPr="00CB1CEF" w:rsidRDefault="00CB1CEF" w:rsidP="002309BF">
            <w:pPr>
              <w:pStyle w:val="TableTextDecimal"/>
              <w:framePr w:wrap="notBeside"/>
              <w:tabs>
                <w:tab w:val="clear" w:pos="716"/>
                <w:tab w:val="decimal" w:pos="597"/>
              </w:tabs>
            </w:pPr>
            <w:r w:rsidRPr="00CB1CEF">
              <w:t>94.4</w:t>
            </w:r>
          </w:p>
        </w:tc>
        <w:tc>
          <w:tcPr>
            <w:tcW w:w="1602" w:type="dxa"/>
            <w:tcBorders>
              <w:top w:val="nil"/>
            </w:tcBorders>
            <w:shd w:val="clear" w:color="auto" w:fill="E0D4B5"/>
            <w:tcMar>
              <w:top w:w="29" w:type="dxa"/>
              <w:left w:w="115" w:type="dxa"/>
              <w:bottom w:w="29" w:type="dxa"/>
              <w:right w:w="115" w:type="dxa"/>
            </w:tcMar>
          </w:tcPr>
          <w:p w14:paraId="0215B87E" w14:textId="77777777" w:rsidR="00CB1CEF" w:rsidRPr="00CB1CEF" w:rsidRDefault="00CB1CEF" w:rsidP="002309BF">
            <w:pPr>
              <w:pStyle w:val="TableTextDecimal"/>
              <w:framePr w:wrap="notBeside"/>
              <w:tabs>
                <w:tab w:val="clear" w:pos="716"/>
                <w:tab w:val="decimal" w:pos="597"/>
              </w:tabs>
            </w:pPr>
            <w:r w:rsidRPr="00CB1CEF">
              <w:t>-1.6</w:t>
            </w:r>
          </w:p>
        </w:tc>
        <w:tc>
          <w:tcPr>
            <w:tcW w:w="1601" w:type="dxa"/>
            <w:tcBorders>
              <w:top w:val="nil"/>
            </w:tcBorders>
            <w:shd w:val="clear" w:color="auto" w:fill="E0D4B5"/>
            <w:tcMar>
              <w:top w:w="29" w:type="dxa"/>
              <w:left w:w="115" w:type="dxa"/>
              <w:bottom w:w="29" w:type="dxa"/>
              <w:right w:w="115" w:type="dxa"/>
            </w:tcMar>
          </w:tcPr>
          <w:p w14:paraId="16535DF7" w14:textId="77777777" w:rsidR="00CB1CEF" w:rsidRPr="00CB1CEF" w:rsidRDefault="00CB1CEF" w:rsidP="002309BF">
            <w:pPr>
              <w:pStyle w:val="TableTextDecimal"/>
              <w:framePr w:wrap="notBeside"/>
              <w:tabs>
                <w:tab w:val="clear" w:pos="716"/>
                <w:tab w:val="decimal" w:pos="597"/>
              </w:tabs>
            </w:pPr>
            <w:r w:rsidRPr="00CB1CEF">
              <w:t>0.06</w:t>
            </w:r>
          </w:p>
        </w:tc>
      </w:tr>
      <w:tr w:rsidR="00CB1CEF" w:rsidRPr="00CB1CEF" w14:paraId="4FA3539F" w14:textId="77777777" w:rsidTr="00630740">
        <w:trPr>
          <w:trHeight w:val="20"/>
        </w:trPr>
        <w:tc>
          <w:tcPr>
            <w:tcW w:w="3330" w:type="dxa"/>
            <w:tcBorders>
              <w:bottom w:val="nil"/>
            </w:tcBorders>
            <w:shd w:val="clear" w:color="auto" w:fill="auto"/>
            <w:tcMar>
              <w:top w:w="29" w:type="dxa"/>
              <w:left w:w="115" w:type="dxa"/>
              <w:bottom w:w="29" w:type="dxa"/>
              <w:right w:w="115" w:type="dxa"/>
            </w:tcMar>
            <w:vAlign w:val="center"/>
          </w:tcPr>
          <w:p w14:paraId="57A1496E" w14:textId="77777777" w:rsidR="00CB1CEF" w:rsidRPr="00CB1CEF" w:rsidRDefault="00CB1CEF" w:rsidP="002309BF">
            <w:pPr>
              <w:pStyle w:val="TableTextLeft"/>
            </w:pPr>
            <w:r w:rsidRPr="00CB1CEF">
              <w:t xml:space="preserve">At least one clinician received meaningful use payment for EHRs before </w:t>
            </w:r>
            <w:proofErr w:type="spellStart"/>
            <w:r w:rsidRPr="00CB1CEF">
              <w:t>TCPi</w:t>
            </w:r>
            <w:proofErr w:type="spellEnd"/>
            <w:r w:rsidRPr="00CB1CEF">
              <w:t xml:space="preserve"> enrollment (%)</w:t>
            </w:r>
          </w:p>
        </w:tc>
        <w:tc>
          <w:tcPr>
            <w:tcW w:w="1405" w:type="dxa"/>
            <w:tcBorders>
              <w:bottom w:val="nil"/>
            </w:tcBorders>
            <w:shd w:val="clear" w:color="auto" w:fill="auto"/>
            <w:tcMar>
              <w:top w:w="29" w:type="dxa"/>
              <w:left w:w="115" w:type="dxa"/>
              <w:bottom w:w="29" w:type="dxa"/>
              <w:right w:w="115" w:type="dxa"/>
            </w:tcMar>
          </w:tcPr>
          <w:p w14:paraId="618AECC8" w14:textId="77777777" w:rsidR="00CB1CEF" w:rsidRPr="00CB1CEF" w:rsidRDefault="00CB1CEF" w:rsidP="002309BF">
            <w:pPr>
              <w:pStyle w:val="TableTextDecimal"/>
              <w:framePr w:wrap="notBeside"/>
              <w:tabs>
                <w:tab w:val="clear" w:pos="716"/>
                <w:tab w:val="decimal" w:pos="597"/>
              </w:tabs>
            </w:pPr>
            <w:r w:rsidRPr="00CB1CEF">
              <w:t>59.5</w:t>
            </w:r>
          </w:p>
        </w:tc>
        <w:tc>
          <w:tcPr>
            <w:tcW w:w="1602" w:type="dxa"/>
            <w:tcBorders>
              <w:bottom w:val="nil"/>
            </w:tcBorders>
            <w:shd w:val="clear" w:color="auto" w:fill="auto"/>
            <w:tcMar>
              <w:top w:w="29" w:type="dxa"/>
              <w:left w:w="115" w:type="dxa"/>
              <w:bottom w:w="29" w:type="dxa"/>
              <w:right w:w="115" w:type="dxa"/>
            </w:tcMar>
          </w:tcPr>
          <w:p w14:paraId="29AA9D1C" w14:textId="77777777" w:rsidR="00CB1CEF" w:rsidRPr="00CB1CEF" w:rsidRDefault="00CB1CEF" w:rsidP="002309BF">
            <w:pPr>
              <w:pStyle w:val="TableTextDecimal"/>
              <w:framePr w:wrap="notBeside"/>
              <w:tabs>
                <w:tab w:val="clear" w:pos="716"/>
                <w:tab w:val="decimal" w:pos="597"/>
              </w:tabs>
            </w:pPr>
            <w:r w:rsidRPr="00CB1CEF">
              <w:t>53.4</w:t>
            </w:r>
          </w:p>
        </w:tc>
        <w:tc>
          <w:tcPr>
            <w:tcW w:w="1602" w:type="dxa"/>
            <w:tcBorders>
              <w:bottom w:val="nil"/>
            </w:tcBorders>
            <w:shd w:val="clear" w:color="auto" w:fill="auto"/>
            <w:tcMar>
              <w:top w:w="29" w:type="dxa"/>
              <w:left w:w="115" w:type="dxa"/>
              <w:bottom w:w="29" w:type="dxa"/>
              <w:right w:w="115" w:type="dxa"/>
            </w:tcMar>
          </w:tcPr>
          <w:p w14:paraId="1159F698" w14:textId="77777777" w:rsidR="00CB1CEF" w:rsidRPr="00CB1CEF" w:rsidRDefault="00CB1CEF" w:rsidP="002309BF">
            <w:pPr>
              <w:pStyle w:val="TableTextDecimal"/>
              <w:framePr w:wrap="notBeside"/>
              <w:tabs>
                <w:tab w:val="clear" w:pos="716"/>
                <w:tab w:val="decimal" w:pos="597"/>
              </w:tabs>
            </w:pPr>
            <w:r w:rsidRPr="00CB1CEF">
              <w:t>6.1</w:t>
            </w:r>
          </w:p>
        </w:tc>
        <w:tc>
          <w:tcPr>
            <w:tcW w:w="1601" w:type="dxa"/>
            <w:tcBorders>
              <w:bottom w:val="nil"/>
            </w:tcBorders>
            <w:shd w:val="clear" w:color="auto" w:fill="auto"/>
            <w:tcMar>
              <w:top w:w="29" w:type="dxa"/>
              <w:left w:w="115" w:type="dxa"/>
              <w:bottom w:w="29" w:type="dxa"/>
              <w:right w:w="115" w:type="dxa"/>
            </w:tcMar>
          </w:tcPr>
          <w:p w14:paraId="4355DA45" w14:textId="77777777" w:rsidR="00CB1CEF" w:rsidRPr="00CB1CEF" w:rsidRDefault="00CB1CEF" w:rsidP="002309BF">
            <w:pPr>
              <w:pStyle w:val="TableTextDecimal"/>
              <w:framePr w:wrap="notBeside"/>
              <w:tabs>
                <w:tab w:val="clear" w:pos="716"/>
                <w:tab w:val="decimal" w:pos="597"/>
              </w:tabs>
            </w:pPr>
            <w:r w:rsidRPr="00CB1CEF">
              <w:t>0.12</w:t>
            </w:r>
          </w:p>
        </w:tc>
      </w:tr>
      <w:tr w:rsidR="00CB1CEF" w:rsidRPr="00CB1CEF" w14:paraId="61231164" w14:textId="77777777" w:rsidTr="00630740">
        <w:trPr>
          <w:trHeight w:val="20"/>
        </w:trPr>
        <w:tc>
          <w:tcPr>
            <w:tcW w:w="3330" w:type="dxa"/>
            <w:tcBorders>
              <w:bottom w:val="nil"/>
            </w:tcBorders>
            <w:shd w:val="clear" w:color="auto" w:fill="E0D4B5"/>
            <w:tcMar>
              <w:top w:w="29" w:type="dxa"/>
              <w:left w:w="115" w:type="dxa"/>
              <w:bottom w:w="29" w:type="dxa"/>
              <w:right w:w="115" w:type="dxa"/>
            </w:tcMar>
            <w:vAlign w:val="center"/>
          </w:tcPr>
          <w:p w14:paraId="47CBCA56" w14:textId="77777777" w:rsidR="00CB1CEF" w:rsidRPr="00CB1CEF" w:rsidRDefault="00CB1CEF" w:rsidP="002309BF">
            <w:pPr>
              <w:pStyle w:val="TableTextLeft"/>
            </w:pPr>
            <w:r w:rsidRPr="00CB1CEF">
              <w:t xml:space="preserve">At least one clinician participated in PQRS before </w:t>
            </w:r>
            <w:proofErr w:type="spellStart"/>
            <w:r w:rsidRPr="00CB1CEF">
              <w:t>TCPi</w:t>
            </w:r>
            <w:proofErr w:type="spellEnd"/>
            <w:r w:rsidRPr="00CB1CEF">
              <w:t xml:space="preserve"> enrollment (%)</w:t>
            </w:r>
          </w:p>
        </w:tc>
        <w:tc>
          <w:tcPr>
            <w:tcW w:w="1405" w:type="dxa"/>
            <w:tcBorders>
              <w:bottom w:val="nil"/>
            </w:tcBorders>
            <w:shd w:val="clear" w:color="auto" w:fill="E0D4B5"/>
            <w:tcMar>
              <w:top w:w="29" w:type="dxa"/>
              <w:left w:w="115" w:type="dxa"/>
              <w:bottom w:w="29" w:type="dxa"/>
              <w:right w:w="115" w:type="dxa"/>
            </w:tcMar>
          </w:tcPr>
          <w:p w14:paraId="701E1B55" w14:textId="77777777" w:rsidR="00CB1CEF" w:rsidRPr="00CB1CEF" w:rsidRDefault="00CB1CEF" w:rsidP="002309BF">
            <w:pPr>
              <w:pStyle w:val="TableTextDecimal"/>
              <w:framePr w:wrap="notBeside"/>
              <w:tabs>
                <w:tab w:val="clear" w:pos="716"/>
                <w:tab w:val="decimal" w:pos="597"/>
              </w:tabs>
            </w:pPr>
            <w:r w:rsidRPr="00CB1CEF">
              <w:t>99.6</w:t>
            </w:r>
          </w:p>
        </w:tc>
        <w:tc>
          <w:tcPr>
            <w:tcW w:w="1602" w:type="dxa"/>
            <w:tcBorders>
              <w:bottom w:val="nil"/>
            </w:tcBorders>
            <w:shd w:val="clear" w:color="auto" w:fill="E0D4B5"/>
            <w:tcMar>
              <w:top w:w="29" w:type="dxa"/>
              <w:left w:w="115" w:type="dxa"/>
              <w:bottom w:w="29" w:type="dxa"/>
              <w:right w:w="115" w:type="dxa"/>
            </w:tcMar>
          </w:tcPr>
          <w:p w14:paraId="4E0B80C4" w14:textId="77777777" w:rsidR="00CB1CEF" w:rsidRPr="00CB1CEF" w:rsidRDefault="00CB1CEF" w:rsidP="002309BF">
            <w:pPr>
              <w:pStyle w:val="TableTextDecimal"/>
              <w:framePr w:wrap="notBeside"/>
              <w:tabs>
                <w:tab w:val="clear" w:pos="716"/>
                <w:tab w:val="decimal" w:pos="597"/>
              </w:tabs>
            </w:pPr>
            <w:r w:rsidRPr="00CB1CEF">
              <w:t>99.6</w:t>
            </w:r>
          </w:p>
        </w:tc>
        <w:tc>
          <w:tcPr>
            <w:tcW w:w="1602" w:type="dxa"/>
            <w:tcBorders>
              <w:bottom w:val="nil"/>
            </w:tcBorders>
            <w:shd w:val="clear" w:color="auto" w:fill="E0D4B5"/>
            <w:tcMar>
              <w:top w:w="29" w:type="dxa"/>
              <w:left w:w="115" w:type="dxa"/>
              <w:bottom w:w="29" w:type="dxa"/>
              <w:right w:w="115" w:type="dxa"/>
            </w:tcMar>
          </w:tcPr>
          <w:p w14:paraId="2A57C6D5"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bottom w:val="nil"/>
            </w:tcBorders>
            <w:shd w:val="clear" w:color="auto" w:fill="E0D4B5"/>
            <w:tcMar>
              <w:top w:w="29" w:type="dxa"/>
              <w:left w:w="115" w:type="dxa"/>
              <w:bottom w:w="29" w:type="dxa"/>
              <w:right w:w="115" w:type="dxa"/>
            </w:tcMar>
          </w:tcPr>
          <w:p w14:paraId="047394E0"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1C7C6B14" w14:textId="77777777" w:rsidTr="00630740">
        <w:trPr>
          <w:trHeight w:val="20"/>
        </w:trPr>
        <w:tc>
          <w:tcPr>
            <w:tcW w:w="3330" w:type="dxa"/>
            <w:tcBorders>
              <w:bottom w:val="single" w:sz="4" w:space="0" w:color="auto"/>
            </w:tcBorders>
            <w:shd w:val="clear" w:color="auto" w:fill="auto"/>
            <w:tcMar>
              <w:top w:w="29" w:type="dxa"/>
              <w:left w:w="115" w:type="dxa"/>
              <w:bottom w:w="29" w:type="dxa"/>
              <w:right w:w="115" w:type="dxa"/>
            </w:tcMar>
            <w:vAlign w:val="center"/>
          </w:tcPr>
          <w:p w14:paraId="195F1620" w14:textId="77777777" w:rsidR="00CB1CEF" w:rsidRPr="00CB1CEF" w:rsidRDefault="00CB1CEF" w:rsidP="002309BF">
            <w:pPr>
              <w:pStyle w:val="TableTextLeft"/>
            </w:pPr>
            <w:r w:rsidRPr="00CB1CEF">
              <w:t xml:space="preserve">Accepts </w:t>
            </w:r>
            <w:proofErr w:type="spellStart"/>
            <w:proofErr w:type="gramStart"/>
            <w:r w:rsidRPr="00CB1CEF">
              <w:t>Medicaid</w:t>
            </w:r>
            <w:r w:rsidRPr="00CB1CEF">
              <w:rPr>
                <w:vertAlign w:val="superscript"/>
              </w:rPr>
              <w:t>e,f</w:t>
            </w:r>
            <w:proofErr w:type="spellEnd"/>
            <w:proofErr w:type="gramEnd"/>
            <w:r w:rsidRPr="00CB1CEF">
              <w:t xml:space="preserve"> (%, 2017)</w:t>
            </w:r>
          </w:p>
        </w:tc>
        <w:tc>
          <w:tcPr>
            <w:tcW w:w="1405" w:type="dxa"/>
            <w:tcBorders>
              <w:bottom w:val="single" w:sz="4" w:space="0" w:color="auto"/>
            </w:tcBorders>
            <w:shd w:val="clear" w:color="auto" w:fill="auto"/>
            <w:tcMar>
              <w:top w:w="29" w:type="dxa"/>
              <w:left w:w="115" w:type="dxa"/>
              <w:bottom w:w="29" w:type="dxa"/>
              <w:right w:w="115" w:type="dxa"/>
            </w:tcMar>
          </w:tcPr>
          <w:p w14:paraId="6FE09992" w14:textId="77777777" w:rsidR="00CB1CEF" w:rsidRPr="00CB1CEF" w:rsidRDefault="00CB1CEF" w:rsidP="002309BF">
            <w:pPr>
              <w:pStyle w:val="TableTextDecimal"/>
              <w:framePr w:wrap="notBeside"/>
              <w:tabs>
                <w:tab w:val="clear" w:pos="716"/>
                <w:tab w:val="decimal" w:pos="597"/>
              </w:tabs>
            </w:pPr>
            <w:r w:rsidRPr="00CB1CEF">
              <w:t>68.9</w:t>
            </w:r>
          </w:p>
        </w:tc>
        <w:tc>
          <w:tcPr>
            <w:tcW w:w="1602" w:type="dxa"/>
            <w:tcBorders>
              <w:bottom w:val="single" w:sz="4" w:space="0" w:color="auto"/>
            </w:tcBorders>
            <w:shd w:val="clear" w:color="auto" w:fill="auto"/>
            <w:tcMar>
              <w:top w:w="29" w:type="dxa"/>
              <w:left w:w="115" w:type="dxa"/>
              <w:bottom w:w="29" w:type="dxa"/>
              <w:right w:w="115" w:type="dxa"/>
            </w:tcMar>
          </w:tcPr>
          <w:p w14:paraId="16706EFA" w14:textId="77777777" w:rsidR="00CB1CEF" w:rsidRPr="00CB1CEF" w:rsidRDefault="00CB1CEF" w:rsidP="002309BF">
            <w:pPr>
              <w:pStyle w:val="TableTextDecimal"/>
              <w:framePr w:wrap="notBeside"/>
              <w:tabs>
                <w:tab w:val="clear" w:pos="716"/>
                <w:tab w:val="decimal" w:pos="597"/>
              </w:tabs>
            </w:pPr>
            <w:r w:rsidRPr="00CB1CEF">
              <w:t>64.8</w:t>
            </w:r>
          </w:p>
        </w:tc>
        <w:tc>
          <w:tcPr>
            <w:tcW w:w="1602" w:type="dxa"/>
            <w:tcBorders>
              <w:bottom w:val="single" w:sz="4" w:space="0" w:color="auto"/>
            </w:tcBorders>
            <w:shd w:val="clear" w:color="auto" w:fill="auto"/>
            <w:tcMar>
              <w:top w:w="29" w:type="dxa"/>
              <w:left w:w="115" w:type="dxa"/>
              <w:bottom w:w="29" w:type="dxa"/>
              <w:right w:w="115" w:type="dxa"/>
            </w:tcMar>
          </w:tcPr>
          <w:p w14:paraId="725E26E3" w14:textId="77777777" w:rsidR="00CB1CEF" w:rsidRPr="00CB1CEF" w:rsidRDefault="00CB1CEF" w:rsidP="002309BF">
            <w:pPr>
              <w:pStyle w:val="TableTextDecimal"/>
              <w:framePr w:wrap="notBeside"/>
              <w:tabs>
                <w:tab w:val="clear" w:pos="716"/>
                <w:tab w:val="decimal" w:pos="597"/>
              </w:tabs>
            </w:pPr>
            <w:r w:rsidRPr="00CB1CEF">
              <w:t>4.2</w:t>
            </w:r>
          </w:p>
        </w:tc>
        <w:tc>
          <w:tcPr>
            <w:tcW w:w="1601" w:type="dxa"/>
            <w:tcBorders>
              <w:bottom w:val="single" w:sz="4" w:space="0" w:color="auto"/>
            </w:tcBorders>
            <w:shd w:val="clear" w:color="auto" w:fill="auto"/>
            <w:tcMar>
              <w:top w:w="29" w:type="dxa"/>
              <w:left w:w="115" w:type="dxa"/>
              <w:bottom w:w="29" w:type="dxa"/>
              <w:right w:w="115" w:type="dxa"/>
            </w:tcMar>
          </w:tcPr>
          <w:p w14:paraId="2106C9E7" w14:textId="77777777" w:rsidR="00CB1CEF" w:rsidRPr="00CB1CEF" w:rsidRDefault="00CB1CEF" w:rsidP="002309BF">
            <w:pPr>
              <w:pStyle w:val="TableTextDecimal"/>
              <w:framePr w:wrap="notBeside"/>
              <w:tabs>
                <w:tab w:val="clear" w:pos="716"/>
                <w:tab w:val="decimal" w:pos="597"/>
              </w:tabs>
            </w:pPr>
            <w:r w:rsidRPr="00CB1CEF">
              <w:t>0.10</w:t>
            </w:r>
          </w:p>
        </w:tc>
      </w:tr>
      <w:tr w:rsidR="00CB1CEF" w:rsidRPr="00CB1CEF" w14:paraId="51821CFF" w14:textId="77777777" w:rsidTr="00630740">
        <w:trPr>
          <w:trHeight w:val="20"/>
        </w:trPr>
        <w:tc>
          <w:tcPr>
            <w:tcW w:w="9540" w:type="dxa"/>
            <w:gridSpan w:val="5"/>
            <w:tcBorders>
              <w:top w:val="single" w:sz="4" w:space="0" w:color="auto"/>
              <w:bottom w:val="nil"/>
            </w:tcBorders>
            <w:shd w:val="clear" w:color="auto" w:fill="0B2949"/>
          </w:tcPr>
          <w:p w14:paraId="6C248EAB" w14:textId="77777777" w:rsidR="00CB1CEF" w:rsidRPr="00CB1CEF" w:rsidRDefault="00CB1CEF" w:rsidP="00CB1CEF">
            <w:pPr>
              <w:spacing w:before="60" w:after="60" w:line="240" w:lineRule="auto"/>
              <w:rPr>
                <w:rFonts w:ascii="Arial" w:hAnsi="Arial"/>
                <w:b/>
                <w:sz w:val="18"/>
                <w:szCs w:val="18"/>
              </w:rPr>
            </w:pPr>
            <w:r w:rsidRPr="00CB1CEF">
              <w:rPr>
                <w:rFonts w:ascii="Arial" w:hAnsi="Arial"/>
                <w:b/>
                <w:sz w:val="18"/>
                <w:szCs w:val="18"/>
              </w:rPr>
              <w:t xml:space="preserve">County characteristics </w:t>
            </w:r>
          </w:p>
        </w:tc>
      </w:tr>
      <w:tr w:rsidR="00CB1CEF" w:rsidRPr="00CB1CEF" w14:paraId="11CD550E" w14:textId="77777777" w:rsidTr="00630740">
        <w:trPr>
          <w:trHeight w:val="20"/>
        </w:trPr>
        <w:tc>
          <w:tcPr>
            <w:tcW w:w="3330" w:type="dxa"/>
            <w:tcBorders>
              <w:top w:val="nil"/>
            </w:tcBorders>
            <w:shd w:val="clear" w:color="auto" w:fill="auto"/>
            <w:tcMar>
              <w:top w:w="29" w:type="dxa"/>
              <w:left w:w="115" w:type="dxa"/>
              <w:bottom w:w="29" w:type="dxa"/>
              <w:right w:w="115" w:type="dxa"/>
            </w:tcMar>
            <w:vAlign w:val="center"/>
          </w:tcPr>
          <w:p w14:paraId="079F4B9D" w14:textId="77777777" w:rsidR="00CB1CEF" w:rsidRPr="00CB1CEF" w:rsidRDefault="00CB1CEF" w:rsidP="002309BF">
            <w:pPr>
              <w:pStyle w:val="TableTextLeft"/>
            </w:pPr>
            <w:r w:rsidRPr="00CB1CEF">
              <w:t>Proportion of county below poverty line (%, 2015)</w:t>
            </w:r>
          </w:p>
        </w:tc>
        <w:tc>
          <w:tcPr>
            <w:tcW w:w="1405" w:type="dxa"/>
            <w:tcBorders>
              <w:top w:val="nil"/>
            </w:tcBorders>
            <w:shd w:val="clear" w:color="auto" w:fill="auto"/>
            <w:tcMar>
              <w:top w:w="29" w:type="dxa"/>
              <w:left w:w="115" w:type="dxa"/>
              <w:bottom w:w="29" w:type="dxa"/>
              <w:right w:w="115" w:type="dxa"/>
            </w:tcMar>
          </w:tcPr>
          <w:p w14:paraId="05248BDF" w14:textId="77777777" w:rsidR="00CB1CEF" w:rsidRPr="00CB1CEF" w:rsidRDefault="00CB1CEF" w:rsidP="002309BF">
            <w:pPr>
              <w:pStyle w:val="TableTextDecimal"/>
              <w:framePr w:wrap="notBeside"/>
              <w:tabs>
                <w:tab w:val="clear" w:pos="716"/>
                <w:tab w:val="decimal" w:pos="597"/>
              </w:tabs>
            </w:pPr>
            <w:r w:rsidRPr="00CB1CEF">
              <w:t>14.9</w:t>
            </w:r>
          </w:p>
        </w:tc>
        <w:tc>
          <w:tcPr>
            <w:tcW w:w="1602" w:type="dxa"/>
            <w:tcBorders>
              <w:top w:val="nil"/>
            </w:tcBorders>
            <w:shd w:val="clear" w:color="auto" w:fill="auto"/>
            <w:tcMar>
              <w:top w:w="29" w:type="dxa"/>
              <w:left w:w="115" w:type="dxa"/>
              <w:bottom w:w="29" w:type="dxa"/>
              <w:right w:w="115" w:type="dxa"/>
            </w:tcMar>
          </w:tcPr>
          <w:p w14:paraId="6616A893" w14:textId="77777777" w:rsidR="00CB1CEF" w:rsidRPr="00CB1CEF" w:rsidRDefault="00CB1CEF" w:rsidP="002309BF">
            <w:pPr>
              <w:pStyle w:val="TableTextDecimal"/>
              <w:framePr w:wrap="notBeside"/>
              <w:tabs>
                <w:tab w:val="clear" w:pos="716"/>
                <w:tab w:val="decimal" w:pos="597"/>
              </w:tabs>
            </w:pPr>
            <w:r w:rsidRPr="00CB1CEF">
              <w:t>14.9</w:t>
            </w:r>
          </w:p>
        </w:tc>
        <w:tc>
          <w:tcPr>
            <w:tcW w:w="1602" w:type="dxa"/>
            <w:tcBorders>
              <w:top w:val="nil"/>
            </w:tcBorders>
            <w:shd w:val="clear" w:color="auto" w:fill="auto"/>
            <w:tcMar>
              <w:top w:w="29" w:type="dxa"/>
              <w:left w:w="115" w:type="dxa"/>
              <w:bottom w:w="29" w:type="dxa"/>
              <w:right w:w="115" w:type="dxa"/>
            </w:tcMar>
          </w:tcPr>
          <w:p w14:paraId="0E4E02F2"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top w:val="nil"/>
            </w:tcBorders>
            <w:shd w:val="clear" w:color="auto" w:fill="auto"/>
            <w:tcMar>
              <w:top w:w="29" w:type="dxa"/>
              <w:left w:w="115" w:type="dxa"/>
              <w:bottom w:w="29" w:type="dxa"/>
              <w:right w:w="115" w:type="dxa"/>
            </w:tcMar>
          </w:tcPr>
          <w:p w14:paraId="61D3B4D6" w14:textId="77777777" w:rsidR="00CB1CEF" w:rsidRPr="00CB1CEF" w:rsidRDefault="00CB1CEF" w:rsidP="002309BF">
            <w:pPr>
              <w:pStyle w:val="TableTextDecimal"/>
              <w:framePr w:wrap="notBeside"/>
              <w:tabs>
                <w:tab w:val="clear" w:pos="716"/>
                <w:tab w:val="decimal" w:pos="597"/>
              </w:tabs>
            </w:pPr>
            <w:r w:rsidRPr="00CB1CEF">
              <w:t>0.00</w:t>
            </w:r>
          </w:p>
        </w:tc>
      </w:tr>
      <w:tr w:rsidR="00CB1CEF" w:rsidRPr="00CB1CEF" w14:paraId="66DCA912" w14:textId="77777777" w:rsidTr="00630740">
        <w:trPr>
          <w:trHeight w:val="20"/>
        </w:trPr>
        <w:tc>
          <w:tcPr>
            <w:tcW w:w="3330" w:type="dxa"/>
            <w:shd w:val="clear" w:color="auto" w:fill="E0D4B5"/>
            <w:tcMar>
              <w:top w:w="29" w:type="dxa"/>
              <w:left w:w="115" w:type="dxa"/>
              <w:bottom w:w="29" w:type="dxa"/>
              <w:right w:w="115" w:type="dxa"/>
            </w:tcMar>
            <w:vAlign w:val="center"/>
          </w:tcPr>
          <w:p w14:paraId="0D44AF5D" w14:textId="77777777" w:rsidR="00CB1CEF" w:rsidRPr="00CB1CEF" w:rsidRDefault="00CB1CEF" w:rsidP="002309BF">
            <w:pPr>
              <w:pStyle w:val="TableTextLeft"/>
            </w:pPr>
            <w:r w:rsidRPr="00CB1CEF">
              <w:t xml:space="preserve">Medicare Advantage penetration (%, year before </w:t>
            </w:r>
            <w:proofErr w:type="spellStart"/>
            <w:r w:rsidRPr="00CB1CEF">
              <w:t>TCPi</w:t>
            </w:r>
            <w:proofErr w:type="spellEnd"/>
            <w:r w:rsidRPr="00CB1CEF">
              <w:t xml:space="preserve"> enrollment)</w:t>
            </w:r>
          </w:p>
        </w:tc>
        <w:tc>
          <w:tcPr>
            <w:tcW w:w="1405" w:type="dxa"/>
            <w:shd w:val="clear" w:color="auto" w:fill="E0D4B5"/>
            <w:tcMar>
              <w:top w:w="29" w:type="dxa"/>
              <w:left w:w="115" w:type="dxa"/>
              <w:bottom w:w="29" w:type="dxa"/>
              <w:right w:w="115" w:type="dxa"/>
            </w:tcMar>
          </w:tcPr>
          <w:p w14:paraId="1F083BE2" w14:textId="77777777" w:rsidR="00CB1CEF" w:rsidRPr="00CB1CEF" w:rsidRDefault="00CB1CEF" w:rsidP="002309BF">
            <w:pPr>
              <w:pStyle w:val="TableTextDecimal"/>
              <w:framePr w:wrap="notBeside"/>
              <w:tabs>
                <w:tab w:val="clear" w:pos="716"/>
                <w:tab w:val="decimal" w:pos="597"/>
              </w:tabs>
            </w:pPr>
            <w:r w:rsidRPr="00CB1CEF">
              <w:t>30.1</w:t>
            </w:r>
          </w:p>
        </w:tc>
        <w:tc>
          <w:tcPr>
            <w:tcW w:w="1602" w:type="dxa"/>
            <w:shd w:val="clear" w:color="auto" w:fill="E0D4B5"/>
            <w:tcMar>
              <w:top w:w="29" w:type="dxa"/>
              <w:left w:w="115" w:type="dxa"/>
              <w:bottom w:w="29" w:type="dxa"/>
              <w:right w:w="115" w:type="dxa"/>
            </w:tcMar>
          </w:tcPr>
          <w:p w14:paraId="19EE1051" w14:textId="77777777" w:rsidR="00CB1CEF" w:rsidRPr="00CB1CEF" w:rsidRDefault="00CB1CEF" w:rsidP="002309BF">
            <w:pPr>
              <w:pStyle w:val="TableTextDecimal"/>
              <w:framePr w:wrap="notBeside"/>
              <w:tabs>
                <w:tab w:val="clear" w:pos="716"/>
                <w:tab w:val="decimal" w:pos="597"/>
              </w:tabs>
            </w:pPr>
            <w:r w:rsidRPr="00CB1CEF">
              <w:t>29.7</w:t>
            </w:r>
          </w:p>
        </w:tc>
        <w:tc>
          <w:tcPr>
            <w:tcW w:w="1602" w:type="dxa"/>
            <w:shd w:val="clear" w:color="auto" w:fill="E0D4B5"/>
            <w:tcMar>
              <w:top w:w="29" w:type="dxa"/>
              <w:left w:w="115" w:type="dxa"/>
              <w:bottom w:w="29" w:type="dxa"/>
              <w:right w:w="115" w:type="dxa"/>
            </w:tcMar>
          </w:tcPr>
          <w:p w14:paraId="5CF4A447" w14:textId="77777777" w:rsidR="00CB1CEF" w:rsidRPr="00CB1CEF" w:rsidRDefault="00CB1CEF" w:rsidP="002309BF">
            <w:pPr>
              <w:pStyle w:val="TableTextDecimal"/>
              <w:framePr w:wrap="notBeside"/>
              <w:tabs>
                <w:tab w:val="clear" w:pos="716"/>
                <w:tab w:val="decimal" w:pos="597"/>
              </w:tabs>
            </w:pPr>
            <w:r w:rsidRPr="00CB1CEF">
              <w:t>0.5</w:t>
            </w:r>
          </w:p>
        </w:tc>
        <w:tc>
          <w:tcPr>
            <w:tcW w:w="1601" w:type="dxa"/>
            <w:shd w:val="clear" w:color="auto" w:fill="E0D4B5"/>
            <w:tcMar>
              <w:top w:w="29" w:type="dxa"/>
              <w:left w:w="115" w:type="dxa"/>
              <w:bottom w:w="29" w:type="dxa"/>
              <w:right w:w="115" w:type="dxa"/>
            </w:tcMar>
          </w:tcPr>
          <w:p w14:paraId="304F221E"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7B5638D9" w14:textId="77777777" w:rsidTr="00630740">
        <w:trPr>
          <w:trHeight w:val="20"/>
        </w:trPr>
        <w:tc>
          <w:tcPr>
            <w:tcW w:w="3330" w:type="dxa"/>
            <w:shd w:val="clear" w:color="auto" w:fill="auto"/>
            <w:tcMar>
              <w:top w:w="29" w:type="dxa"/>
              <w:left w:w="115" w:type="dxa"/>
              <w:bottom w:w="29" w:type="dxa"/>
              <w:right w:w="115" w:type="dxa"/>
            </w:tcMar>
            <w:vAlign w:val="center"/>
          </w:tcPr>
          <w:p w14:paraId="3A4EFF04" w14:textId="77777777" w:rsidR="00CB1CEF" w:rsidRPr="00CB1CEF" w:rsidRDefault="00CB1CEF" w:rsidP="002309BF">
            <w:pPr>
              <w:pStyle w:val="TableTextLeft"/>
            </w:pPr>
            <w:r w:rsidRPr="00CB1CEF">
              <w:t xml:space="preserve">Health professional shortage area (%, year before </w:t>
            </w:r>
            <w:proofErr w:type="spellStart"/>
            <w:r w:rsidRPr="00CB1CEF">
              <w:t>TCPi</w:t>
            </w:r>
            <w:proofErr w:type="spellEnd"/>
            <w:r w:rsidRPr="00CB1CEF">
              <w:t xml:space="preserve"> enrollment)</w:t>
            </w:r>
          </w:p>
        </w:tc>
        <w:tc>
          <w:tcPr>
            <w:tcW w:w="1405" w:type="dxa"/>
            <w:shd w:val="clear" w:color="auto" w:fill="auto"/>
            <w:tcMar>
              <w:top w:w="29" w:type="dxa"/>
              <w:left w:w="115" w:type="dxa"/>
              <w:bottom w:w="29" w:type="dxa"/>
              <w:right w:w="115" w:type="dxa"/>
            </w:tcMar>
          </w:tcPr>
          <w:p w14:paraId="039A1060" w14:textId="77777777" w:rsidR="00CB1CEF" w:rsidRPr="00CB1CEF" w:rsidRDefault="00CB1CEF" w:rsidP="002309BF">
            <w:pPr>
              <w:pStyle w:val="TableTextDecimal"/>
              <w:framePr w:wrap="notBeside"/>
              <w:tabs>
                <w:tab w:val="clear" w:pos="716"/>
                <w:tab w:val="decimal" w:pos="597"/>
              </w:tabs>
            </w:pPr>
          </w:p>
        </w:tc>
        <w:tc>
          <w:tcPr>
            <w:tcW w:w="1602" w:type="dxa"/>
            <w:shd w:val="clear" w:color="auto" w:fill="auto"/>
            <w:tcMar>
              <w:top w:w="29" w:type="dxa"/>
              <w:left w:w="115" w:type="dxa"/>
              <w:bottom w:w="29" w:type="dxa"/>
              <w:right w:w="115" w:type="dxa"/>
            </w:tcMar>
          </w:tcPr>
          <w:p w14:paraId="4872F722" w14:textId="77777777" w:rsidR="00CB1CEF" w:rsidRPr="00CB1CEF" w:rsidRDefault="00CB1CEF" w:rsidP="002309BF">
            <w:pPr>
              <w:pStyle w:val="TableTextDecimal"/>
              <w:framePr w:wrap="notBeside"/>
              <w:tabs>
                <w:tab w:val="clear" w:pos="716"/>
                <w:tab w:val="decimal" w:pos="597"/>
              </w:tabs>
            </w:pPr>
          </w:p>
        </w:tc>
        <w:tc>
          <w:tcPr>
            <w:tcW w:w="1602" w:type="dxa"/>
            <w:shd w:val="clear" w:color="auto" w:fill="auto"/>
            <w:tcMar>
              <w:top w:w="29" w:type="dxa"/>
              <w:left w:w="115" w:type="dxa"/>
              <w:bottom w:w="29" w:type="dxa"/>
              <w:right w:w="115" w:type="dxa"/>
            </w:tcMar>
          </w:tcPr>
          <w:p w14:paraId="7D7FBF65" w14:textId="77777777" w:rsidR="00CB1CEF" w:rsidRPr="00CB1CEF" w:rsidRDefault="00CB1CEF" w:rsidP="002309BF">
            <w:pPr>
              <w:pStyle w:val="TableTextDecimal"/>
              <w:framePr w:wrap="notBeside"/>
              <w:tabs>
                <w:tab w:val="clear" w:pos="716"/>
                <w:tab w:val="decimal" w:pos="597"/>
              </w:tabs>
            </w:pPr>
          </w:p>
        </w:tc>
        <w:tc>
          <w:tcPr>
            <w:tcW w:w="1601" w:type="dxa"/>
            <w:shd w:val="clear" w:color="auto" w:fill="auto"/>
            <w:tcMar>
              <w:top w:w="29" w:type="dxa"/>
              <w:left w:w="115" w:type="dxa"/>
              <w:bottom w:w="29" w:type="dxa"/>
              <w:right w:w="115" w:type="dxa"/>
            </w:tcMar>
          </w:tcPr>
          <w:p w14:paraId="28DE830C" w14:textId="77777777" w:rsidR="00CB1CEF" w:rsidRPr="00CB1CEF" w:rsidRDefault="00CB1CEF" w:rsidP="002309BF">
            <w:pPr>
              <w:pStyle w:val="TableTextDecimal"/>
              <w:framePr w:wrap="notBeside"/>
              <w:tabs>
                <w:tab w:val="clear" w:pos="716"/>
                <w:tab w:val="decimal" w:pos="597"/>
              </w:tabs>
            </w:pPr>
          </w:p>
        </w:tc>
      </w:tr>
      <w:tr w:rsidR="00CB1CEF" w:rsidRPr="00CB1CEF" w14:paraId="55C3E944" w14:textId="77777777" w:rsidTr="00630740">
        <w:trPr>
          <w:trHeight w:val="20"/>
        </w:trPr>
        <w:tc>
          <w:tcPr>
            <w:tcW w:w="3330" w:type="dxa"/>
            <w:shd w:val="clear" w:color="auto" w:fill="E0D4B5"/>
            <w:tcMar>
              <w:top w:w="29" w:type="dxa"/>
              <w:left w:w="115" w:type="dxa"/>
              <w:bottom w:w="29" w:type="dxa"/>
              <w:right w:w="115" w:type="dxa"/>
            </w:tcMar>
            <w:vAlign w:val="center"/>
          </w:tcPr>
          <w:p w14:paraId="35CFE6B3" w14:textId="77777777" w:rsidR="00CB1CEF" w:rsidRPr="00CB1CEF" w:rsidRDefault="00CB1CEF" w:rsidP="002309BF">
            <w:pPr>
              <w:pStyle w:val="TableTextLeft"/>
              <w:ind w:left="245"/>
            </w:pPr>
            <w:r w:rsidRPr="00CB1CEF">
              <w:t>Primary care, whole county</w:t>
            </w:r>
          </w:p>
        </w:tc>
        <w:tc>
          <w:tcPr>
            <w:tcW w:w="1405" w:type="dxa"/>
            <w:shd w:val="clear" w:color="auto" w:fill="E0D4B5"/>
            <w:tcMar>
              <w:top w:w="29" w:type="dxa"/>
              <w:left w:w="115" w:type="dxa"/>
              <w:bottom w:w="29" w:type="dxa"/>
              <w:right w:w="115" w:type="dxa"/>
            </w:tcMar>
          </w:tcPr>
          <w:p w14:paraId="03D24343" w14:textId="77777777" w:rsidR="00CB1CEF" w:rsidRPr="00CB1CEF" w:rsidRDefault="00CB1CEF" w:rsidP="002309BF">
            <w:pPr>
              <w:pStyle w:val="TableTextDecimal"/>
              <w:framePr w:wrap="notBeside"/>
              <w:tabs>
                <w:tab w:val="clear" w:pos="716"/>
                <w:tab w:val="decimal" w:pos="597"/>
              </w:tabs>
            </w:pPr>
            <w:r w:rsidRPr="00CB1CEF">
              <w:t>3.8</w:t>
            </w:r>
          </w:p>
        </w:tc>
        <w:tc>
          <w:tcPr>
            <w:tcW w:w="1602" w:type="dxa"/>
            <w:shd w:val="clear" w:color="auto" w:fill="E0D4B5"/>
            <w:tcMar>
              <w:top w:w="29" w:type="dxa"/>
              <w:left w:w="115" w:type="dxa"/>
              <w:bottom w:w="29" w:type="dxa"/>
              <w:right w:w="115" w:type="dxa"/>
            </w:tcMar>
          </w:tcPr>
          <w:p w14:paraId="346B19D6" w14:textId="77777777" w:rsidR="00CB1CEF" w:rsidRPr="00CB1CEF" w:rsidRDefault="00CB1CEF" w:rsidP="002309BF">
            <w:pPr>
              <w:pStyle w:val="TableTextDecimal"/>
              <w:framePr w:wrap="notBeside"/>
              <w:tabs>
                <w:tab w:val="clear" w:pos="716"/>
                <w:tab w:val="decimal" w:pos="597"/>
              </w:tabs>
            </w:pPr>
            <w:r w:rsidRPr="00CB1CEF">
              <w:t>3.3</w:t>
            </w:r>
          </w:p>
        </w:tc>
        <w:tc>
          <w:tcPr>
            <w:tcW w:w="1602" w:type="dxa"/>
            <w:shd w:val="clear" w:color="auto" w:fill="E0D4B5"/>
            <w:tcMar>
              <w:top w:w="29" w:type="dxa"/>
              <w:left w:w="115" w:type="dxa"/>
              <w:bottom w:w="29" w:type="dxa"/>
              <w:right w:w="115" w:type="dxa"/>
            </w:tcMar>
          </w:tcPr>
          <w:p w14:paraId="0BCAFEF0" w14:textId="77777777" w:rsidR="00CB1CEF" w:rsidRPr="00CB1CEF" w:rsidRDefault="00CB1CEF" w:rsidP="002309BF">
            <w:pPr>
              <w:pStyle w:val="TableTextDecimal"/>
              <w:framePr w:wrap="notBeside"/>
              <w:tabs>
                <w:tab w:val="clear" w:pos="716"/>
                <w:tab w:val="decimal" w:pos="597"/>
              </w:tabs>
            </w:pPr>
            <w:r w:rsidRPr="00CB1CEF">
              <w:t>0.6</w:t>
            </w:r>
          </w:p>
        </w:tc>
        <w:tc>
          <w:tcPr>
            <w:tcW w:w="1601" w:type="dxa"/>
            <w:shd w:val="clear" w:color="auto" w:fill="E0D4B5"/>
            <w:tcMar>
              <w:top w:w="29" w:type="dxa"/>
              <w:left w:w="115" w:type="dxa"/>
              <w:bottom w:w="29" w:type="dxa"/>
              <w:right w:w="115" w:type="dxa"/>
            </w:tcMar>
          </w:tcPr>
          <w:p w14:paraId="05A2E8A6"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48051A94" w14:textId="77777777" w:rsidTr="00630740">
        <w:trPr>
          <w:trHeight w:val="20"/>
        </w:trPr>
        <w:tc>
          <w:tcPr>
            <w:tcW w:w="3330" w:type="dxa"/>
            <w:shd w:val="clear" w:color="auto" w:fill="auto"/>
            <w:tcMar>
              <w:top w:w="29" w:type="dxa"/>
              <w:left w:w="115" w:type="dxa"/>
              <w:bottom w:w="29" w:type="dxa"/>
              <w:right w:w="115" w:type="dxa"/>
            </w:tcMar>
            <w:vAlign w:val="center"/>
          </w:tcPr>
          <w:p w14:paraId="57D8C20C" w14:textId="77777777" w:rsidR="00CB1CEF" w:rsidRPr="00CB1CEF" w:rsidRDefault="00CB1CEF" w:rsidP="002309BF">
            <w:pPr>
              <w:pStyle w:val="TableTextLeft"/>
              <w:ind w:left="245"/>
            </w:pPr>
            <w:r w:rsidRPr="00CB1CEF">
              <w:t>Primary care, partial county</w:t>
            </w:r>
          </w:p>
        </w:tc>
        <w:tc>
          <w:tcPr>
            <w:tcW w:w="1405" w:type="dxa"/>
            <w:shd w:val="clear" w:color="auto" w:fill="auto"/>
            <w:tcMar>
              <w:top w:w="29" w:type="dxa"/>
              <w:left w:w="115" w:type="dxa"/>
              <w:bottom w:w="29" w:type="dxa"/>
              <w:right w:w="115" w:type="dxa"/>
            </w:tcMar>
          </w:tcPr>
          <w:p w14:paraId="3199393A" w14:textId="77777777" w:rsidR="00CB1CEF" w:rsidRPr="00CB1CEF" w:rsidRDefault="00CB1CEF" w:rsidP="002309BF">
            <w:pPr>
              <w:pStyle w:val="TableTextDecimal"/>
              <w:framePr w:wrap="notBeside"/>
              <w:tabs>
                <w:tab w:val="clear" w:pos="716"/>
                <w:tab w:val="decimal" w:pos="597"/>
              </w:tabs>
            </w:pPr>
            <w:r w:rsidRPr="00CB1CEF">
              <w:t>87.5</w:t>
            </w:r>
          </w:p>
        </w:tc>
        <w:tc>
          <w:tcPr>
            <w:tcW w:w="1602" w:type="dxa"/>
            <w:shd w:val="clear" w:color="auto" w:fill="auto"/>
            <w:tcMar>
              <w:top w:w="29" w:type="dxa"/>
              <w:left w:w="115" w:type="dxa"/>
              <w:bottom w:w="29" w:type="dxa"/>
              <w:right w:w="115" w:type="dxa"/>
            </w:tcMar>
          </w:tcPr>
          <w:p w14:paraId="5E352B01" w14:textId="77777777" w:rsidR="00CB1CEF" w:rsidRPr="00CB1CEF" w:rsidRDefault="00CB1CEF" w:rsidP="002309BF">
            <w:pPr>
              <w:pStyle w:val="TableTextDecimal"/>
              <w:framePr w:wrap="notBeside"/>
              <w:tabs>
                <w:tab w:val="clear" w:pos="716"/>
                <w:tab w:val="decimal" w:pos="597"/>
              </w:tabs>
            </w:pPr>
            <w:r w:rsidRPr="00CB1CEF">
              <w:t>88.0</w:t>
            </w:r>
          </w:p>
        </w:tc>
        <w:tc>
          <w:tcPr>
            <w:tcW w:w="1602" w:type="dxa"/>
            <w:shd w:val="clear" w:color="auto" w:fill="auto"/>
            <w:tcMar>
              <w:top w:w="29" w:type="dxa"/>
              <w:left w:w="115" w:type="dxa"/>
              <w:bottom w:w="29" w:type="dxa"/>
              <w:right w:w="115" w:type="dxa"/>
            </w:tcMar>
          </w:tcPr>
          <w:p w14:paraId="38BFA366" w14:textId="77777777" w:rsidR="00CB1CEF" w:rsidRPr="00CB1CEF" w:rsidRDefault="00CB1CEF" w:rsidP="002309BF">
            <w:pPr>
              <w:pStyle w:val="TableTextDecimal"/>
              <w:framePr w:wrap="notBeside"/>
              <w:tabs>
                <w:tab w:val="clear" w:pos="716"/>
                <w:tab w:val="decimal" w:pos="597"/>
              </w:tabs>
            </w:pPr>
            <w:r w:rsidRPr="00CB1CEF">
              <w:t>-0.5</w:t>
            </w:r>
          </w:p>
        </w:tc>
        <w:tc>
          <w:tcPr>
            <w:tcW w:w="1601" w:type="dxa"/>
            <w:shd w:val="clear" w:color="auto" w:fill="auto"/>
            <w:tcMar>
              <w:top w:w="29" w:type="dxa"/>
              <w:left w:w="115" w:type="dxa"/>
              <w:bottom w:w="29" w:type="dxa"/>
              <w:right w:w="115" w:type="dxa"/>
            </w:tcMar>
          </w:tcPr>
          <w:p w14:paraId="2AEC5852"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464808CE" w14:textId="77777777" w:rsidTr="00630740">
        <w:trPr>
          <w:trHeight w:val="20"/>
        </w:trPr>
        <w:tc>
          <w:tcPr>
            <w:tcW w:w="3330" w:type="dxa"/>
            <w:shd w:val="clear" w:color="auto" w:fill="E0D4B5"/>
            <w:tcMar>
              <w:top w:w="29" w:type="dxa"/>
              <w:left w:w="115" w:type="dxa"/>
              <w:bottom w:w="29" w:type="dxa"/>
              <w:right w:w="115" w:type="dxa"/>
            </w:tcMar>
            <w:vAlign w:val="center"/>
          </w:tcPr>
          <w:p w14:paraId="06D982F9" w14:textId="77777777" w:rsidR="00CB1CEF" w:rsidRPr="00CB1CEF" w:rsidRDefault="00CB1CEF" w:rsidP="002309BF">
            <w:pPr>
              <w:pStyle w:val="TableTextLeft"/>
              <w:ind w:left="245"/>
            </w:pPr>
            <w:r w:rsidRPr="00CB1CEF">
              <w:t>Mental health, whole county</w:t>
            </w:r>
          </w:p>
        </w:tc>
        <w:tc>
          <w:tcPr>
            <w:tcW w:w="1405" w:type="dxa"/>
            <w:shd w:val="clear" w:color="auto" w:fill="E0D4B5"/>
            <w:tcMar>
              <w:top w:w="29" w:type="dxa"/>
              <w:left w:w="115" w:type="dxa"/>
              <w:bottom w:w="29" w:type="dxa"/>
              <w:right w:w="115" w:type="dxa"/>
            </w:tcMar>
          </w:tcPr>
          <w:p w14:paraId="618250D0" w14:textId="77777777" w:rsidR="00CB1CEF" w:rsidRPr="00CB1CEF" w:rsidRDefault="00CB1CEF" w:rsidP="002309BF">
            <w:pPr>
              <w:pStyle w:val="TableTextDecimal"/>
              <w:framePr w:wrap="notBeside"/>
              <w:tabs>
                <w:tab w:val="clear" w:pos="716"/>
                <w:tab w:val="decimal" w:pos="597"/>
              </w:tabs>
            </w:pPr>
            <w:r w:rsidRPr="00CB1CEF">
              <w:t>26.7</w:t>
            </w:r>
          </w:p>
        </w:tc>
        <w:tc>
          <w:tcPr>
            <w:tcW w:w="1602" w:type="dxa"/>
            <w:shd w:val="clear" w:color="auto" w:fill="E0D4B5"/>
            <w:tcMar>
              <w:top w:w="29" w:type="dxa"/>
              <w:left w:w="115" w:type="dxa"/>
              <w:bottom w:w="29" w:type="dxa"/>
              <w:right w:w="115" w:type="dxa"/>
            </w:tcMar>
          </w:tcPr>
          <w:p w14:paraId="5F632AE8" w14:textId="77777777" w:rsidR="00CB1CEF" w:rsidRPr="00CB1CEF" w:rsidRDefault="00CB1CEF" w:rsidP="002309BF">
            <w:pPr>
              <w:pStyle w:val="TableTextDecimal"/>
              <w:framePr w:wrap="notBeside"/>
              <w:tabs>
                <w:tab w:val="clear" w:pos="716"/>
                <w:tab w:val="decimal" w:pos="597"/>
              </w:tabs>
            </w:pPr>
            <w:r w:rsidRPr="00CB1CEF">
              <w:t>26.5</w:t>
            </w:r>
          </w:p>
        </w:tc>
        <w:tc>
          <w:tcPr>
            <w:tcW w:w="1602" w:type="dxa"/>
            <w:shd w:val="clear" w:color="auto" w:fill="E0D4B5"/>
            <w:tcMar>
              <w:top w:w="29" w:type="dxa"/>
              <w:left w:w="115" w:type="dxa"/>
              <w:bottom w:w="29" w:type="dxa"/>
              <w:right w:w="115" w:type="dxa"/>
            </w:tcMar>
          </w:tcPr>
          <w:p w14:paraId="7A71DCF8" w14:textId="77777777" w:rsidR="00CB1CEF" w:rsidRPr="00CB1CEF" w:rsidRDefault="00CB1CEF" w:rsidP="002309BF">
            <w:pPr>
              <w:pStyle w:val="TableTextDecimal"/>
              <w:framePr w:wrap="notBeside"/>
              <w:tabs>
                <w:tab w:val="clear" w:pos="716"/>
                <w:tab w:val="decimal" w:pos="597"/>
              </w:tabs>
            </w:pPr>
            <w:r w:rsidRPr="00CB1CEF">
              <w:t>0.2</w:t>
            </w:r>
          </w:p>
        </w:tc>
        <w:tc>
          <w:tcPr>
            <w:tcW w:w="1601" w:type="dxa"/>
            <w:shd w:val="clear" w:color="auto" w:fill="E0D4B5"/>
            <w:tcMar>
              <w:top w:w="29" w:type="dxa"/>
              <w:left w:w="115" w:type="dxa"/>
              <w:bottom w:w="29" w:type="dxa"/>
              <w:right w:w="115" w:type="dxa"/>
            </w:tcMar>
          </w:tcPr>
          <w:p w14:paraId="7D371C5D"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79B26F51" w14:textId="77777777" w:rsidTr="00630740">
        <w:trPr>
          <w:trHeight w:val="20"/>
        </w:trPr>
        <w:tc>
          <w:tcPr>
            <w:tcW w:w="3330" w:type="dxa"/>
            <w:shd w:val="clear" w:color="auto" w:fill="auto"/>
            <w:tcMar>
              <w:top w:w="29" w:type="dxa"/>
              <w:left w:w="115" w:type="dxa"/>
              <w:bottom w:w="29" w:type="dxa"/>
              <w:right w:w="115" w:type="dxa"/>
            </w:tcMar>
            <w:vAlign w:val="center"/>
          </w:tcPr>
          <w:p w14:paraId="5486ABC3" w14:textId="77777777" w:rsidR="00CB1CEF" w:rsidRPr="00CB1CEF" w:rsidRDefault="00CB1CEF" w:rsidP="002309BF">
            <w:pPr>
              <w:pStyle w:val="TableTextLeft"/>
              <w:ind w:left="245"/>
            </w:pPr>
            <w:r w:rsidRPr="00CB1CEF">
              <w:t>Mental health, partial county</w:t>
            </w:r>
          </w:p>
        </w:tc>
        <w:tc>
          <w:tcPr>
            <w:tcW w:w="1405" w:type="dxa"/>
            <w:shd w:val="clear" w:color="auto" w:fill="auto"/>
            <w:tcMar>
              <w:top w:w="29" w:type="dxa"/>
              <w:left w:w="115" w:type="dxa"/>
              <w:bottom w:w="29" w:type="dxa"/>
              <w:right w:w="115" w:type="dxa"/>
            </w:tcMar>
          </w:tcPr>
          <w:p w14:paraId="4D784B61" w14:textId="77777777" w:rsidR="00CB1CEF" w:rsidRPr="00CB1CEF" w:rsidRDefault="00CB1CEF" w:rsidP="002309BF">
            <w:pPr>
              <w:pStyle w:val="TableTextDecimal"/>
              <w:framePr w:wrap="notBeside"/>
              <w:tabs>
                <w:tab w:val="clear" w:pos="716"/>
                <w:tab w:val="decimal" w:pos="597"/>
              </w:tabs>
            </w:pPr>
            <w:r w:rsidRPr="00CB1CEF">
              <w:t>65.1</w:t>
            </w:r>
          </w:p>
        </w:tc>
        <w:tc>
          <w:tcPr>
            <w:tcW w:w="1602" w:type="dxa"/>
            <w:shd w:val="clear" w:color="auto" w:fill="auto"/>
            <w:tcMar>
              <w:top w:w="29" w:type="dxa"/>
              <w:left w:w="115" w:type="dxa"/>
              <w:bottom w:w="29" w:type="dxa"/>
              <w:right w:w="115" w:type="dxa"/>
            </w:tcMar>
          </w:tcPr>
          <w:p w14:paraId="1AF0A587" w14:textId="77777777" w:rsidR="00CB1CEF" w:rsidRPr="00CB1CEF" w:rsidRDefault="00CB1CEF" w:rsidP="002309BF">
            <w:pPr>
              <w:pStyle w:val="TableTextDecimal"/>
              <w:framePr w:wrap="notBeside"/>
              <w:tabs>
                <w:tab w:val="clear" w:pos="716"/>
                <w:tab w:val="decimal" w:pos="597"/>
              </w:tabs>
            </w:pPr>
            <w:r w:rsidRPr="00CB1CEF">
              <w:t>65.8</w:t>
            </w:r>
          </w:p>
        </w:tc>
        <w:tc>
          <w:tcPr>
            <w:tcW w:w="1602" w:type="dxa"/>
            <w:shd w:val="clear" w:color="auto" w:fill="auto"/>
            <w:tcMar>
              <w:top w:w="29" w:type="dxa"/>
              <w:left w:w="115" w:type="dxa"/>
              <w:bottom w:w="29" w:type="dxa"/>
              <w:right w:w="115" w:type="dxa"/>
            </w:tcMar>
          </w:tcPr>
          <w:p w14:paraId="1D0AE4FE" w14:textId="77777777" w:rsidR="00CB1CEF" w:rsidRPr="00CB1CEF" w:rsidRDefault="00CB1CEF" w:rsidP="002309BF">
            <w:pPr>
              <w:pStyle w:val="TableTextDecimal"/>
              <w:framePr w:wrap="notBeside"/>
              <w:tabs>
                <w:tab w:val="clear" w:pos="716"/>
                <w:tab w:val="decimal" w:pos="597"/>
              </w:tabs>
            </w:pPr>
            <w:r w:rsidRPr="00CB1CEF">
              <w:t>-0.6</w:t>
            </w:r>
          </w:p>
        </w:tc>
        <w:tc>
          <w:tcPr>
            <w:tcW w:w="1601" w:type="dxa"/>
            <w:shd w:val="clear" w:color="auto" w:fill="auto"/>
            <w:tcMar>
              <w:top w:w="29" w:type="dxa"/>
              <w:left w:w="115" w:type="dxa"/>
              <w:bottom w:w="29" w:type="dxa"/>
              <w:right w:w="115" w:type="dxa"/>
            </w:tcMar>
          </w:tcPr>
          <w:p w14:paraId="45FF998C"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27D4EDD5" w14:textId="77777777" w:rsidTr="00630740">
        <w:trPr>
          <w:trHeight w:val="20"/>
        </w:trPr>
        <w:tc>
          <w:tcPr>
            <w:tcW w:w="3330" w:type="dxa"/>
            <w:shd w:val="clear" w:color="auto" w:fill="E0D4B5"/>
            <w:tcMar>
              <w:top w:w="29" w:type="dxa"/>
              <w:left w:w="115" w:type="dxa"/>
              <w:bottom w:w="29" w:type="dxa"/>
              <w:right w:w="115" w:type="dxa"/>
            </w:tcMar>
            <w:vAlign w:val="center"/>
          </w:tcPr>
          <w:p w14:paraId="4D656000" w14:textId="77777777" w:rsidR="00CB1CEF" w:rsidRPr="00CB1CEF" w:rsidRDefault="00CB1CEF" w:rsidP="002309BF">
            <w:pPr>
              <w:pStyle w:val="TableTextLeft"/>
            </w:pPr>
            <w:r w:rsidRPr="00CB1CEF">
              <w:t>Number of hospital beds per 10,000 residents (2015)</w:t>
            </w:r>
          </w:p>
        </w:tc>
        <w:tc>
          <w:tcPr>
            <w:tcW w:w="1405" w:type="dxa"/>
            <w:shd w:val="clear" w:color="auto" w:fill="E0D4B5"/>
            <w:tcMar>
              <w:top w:w="29" w:type="dxa"/>
              <w:left w:w="115" w:type="dxa"/>
              <w:bottom w:w="29" w:type="dxa"/>
              <w:right w:w="115" w:type="dxa"/>
            </w:tcMar>
          </w:tcPr>
          <w:p w14:paraId="4520B74B" w14:textId="77777777" w:rsidR="00CB1CEF" w:rsidRPr="00CB1CEF" w:rsidRDefault="00CB1CEF" w:rsidP="002309BF">
            <w:pPr>
              <w:pStyle w:val="TableTextDecimal"/>
              <w:framePr w:wrap="notBeside"/>
              <w:tabs>
                <w:tab w:val="clear" w:pos="716"/>
                <w:tab w:val="decimal" w:pos="597"/>
              </w:tabs>
            </w:pPr>
            <w:r w:rsidRPr="00CB1CEF">
              <w:t>31.6</w:t>
            </w:r>
          </w:p>
        </w:tc>
        <w:tc>
          <w:tcPr>
            <w:tcW w:w="1602" w:type="dxa"/>
            <w:shd w:val="clear" w:color="auto" w:fill="E0D4B5"/>
            <w:tcMar>
              <w:top w:w="29" w:type="dxa"/>
              <w:left w:w="115" w:type="dxa"/>
              <w:bottom w:w="29" w:type="dxa"/>
              <w:right w:w="115" w:type="dxa"/>
            </w:tcMar>
          </w:tcPr>
          <w:p w14:paraId="1324832D" w14:textId="77777777" w:rsidR="00CB1CEF" w:rsidRPr="00CB1CEF" w:rsidRDefault="00CB1CEF" w:rsidP="002309BF">
            <w:pPr>
              <w:pStyle w:val="TableTextDecimal"/>
              <w:framePr w:wrap="notBeside"/>
              <w:tabs>
                <w:tab w:val="clear" w:pos="716"/>
                <w:tab w:val="decimal" w:pos="597"/>
              </w:tabs>
            </w:pPr>
            <w:r w:rsidRPr="00CB1CEF">
              <w:t>31.2</w:t>
            </w:r>
          </w:p>
        </w:tc>
        <w:tc>
          <w:tcPr>
            <w:tcW w:w="1602" w:type="dxa"/>
            <w:shd w:val="clear" w:color="auto" w:fill="E0D4B5"/>
            <w:tcMar>
              <w:top w:w="29" w:type="dxa"/>
              <w:left w:w="115" w:type="dxa"/>
              <w:bottom w:w="29" w:type="dxa"/>
              <w:right w:w="115" w:type="dxa"/>
            </w:tcMar>
          </w:tcPr>
          <w:p w14:paraId="7AC92166" w14:textId="77777777" w:rsidR="00CB1CEF" w:rsidRPr="00CB1CEF" w:rsidRDefault="00CB1CEF" w:rsidP="002309BF">
            <w:pPr>
              <w:pStyle w:val="TableTextDecimal"/>
              <w:framePr w:wrap="notBeside"/>
              <w:tabs>
                <w:tab w:val="clear" w:pos="716"/>
                <w:tab w:val="decimal" w:pos="597"/>
              </w:tabs>
            </w:pPr>
            <w:r w:rsidRPr="00CB1CEF">
              <w:t>0.4</w:t>
            </w:r>
          </w:p>
        </w:tc>
        <w:tc>
          <w:tcPr>
            <w:tcW w:w="1601" w:type="dxa"/>
            <w:shd w:val="clear" w:color="auto" w:fill="E0D4B5"/>
            <w:tcMar>
              <w:top w:w="29" w:type="dxa"/>
              <w:left w:w="115" w:type="dxa"/>
              <w:bottom w:w="29" w:type="dxa"/>
              <w:right w:w="115" w:type="dxa"/>
            </w:tcMar>
          </w:tcPr>
          <w:p w14:paraId="11132DE9"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11764746" w14:textId="77777777" w:rsidTr="00630740">
        <w:trPr>
          <w:trHeight w:val="20"/>
        </w:trPr>
        <w:tc>
          <w:tcPr>
            <w:tcW w:w="3330" w:type="dxa"/>
            <w:shd w:val="clear" w:color="auto" w:fill="auto"/>
            <w:tcMar>
              <w:top w:w="29" w:type="dxa"/>
              <w:left w:w="115" w:type="dxa"/>
              <w:bottom w:w="29" w:type="dxa"/>
              <w:right w:w="115" w:type="dxa"/>
            </w:tcMar>
            <w:vAlign w:val="center"/>
          </w:tcPr>
          <w:p w14:paraId="2EB4C1F9" w14:textId="77777777" w:rsidR="00CB1CEF" w:rsidRPr="00CB1CEF" w:rsidRDefault="00CB1CEF" w:rsidP="002309BF">
            <w:pPr>
              <w:pStyle w:val="TableTextLeft"/>
            </w:pPr>
            <w:r w:rsidRPr="00CB1CEF">
              <w:t>Number of primary care physicians per 10,000 residents (2015)</w:t>
            </w:r>
          </w:p>
        </w:tc>
        <w:tc>
          <w:tcPr>
            <w:tcW w:w="1405" w:type="dxa"/>
            <w:shd w:val="clear" w:color="auto" w:fill="auto"/>
            <w:tcMar>
              <w:top w:w="29" w:type="dxa"/>
              <w:left w:w="115" w:type="dxa"/>
              <w:bottom w:w="29" w:type="dxa"/>
              <w:right w:w="115" w:type="dxa"/>
            </w:tcMar>
          </w:tcPr>
          <w:p w14:paraId="67822CC5" w14:textId="77777777" w:rsidR="00CB1CEF" w:rsidRPr="00CB1CEF" w:rsidRDefault="00CB1CEF" w:rsidP="002309BF">
            <w:pPr>
              <w:pStyle w:val="TableTextDecimal"/>
              <w:framePr w:wrap="notBeside"/>
              <w:tabs>
                <w:tab w:val="clear" w:pos="716"/>
                <w:tab w:val="decimal" w:pos="597"/>
              </w:tabs>
            </w:pPr>
            <w:r w:rsidRPr="00CB1CEF">
              <w:t>7.8</w:t>
            </w:r>
          </w:p>
        </w:tc>
        <w:tc>
          <w:tcPr>
            <w:tcW w:w="1602" w:type="dxa"/>
            <w:shd w:val="clear" w:color="auto" w:fill="auto"/>
            <w:tcMar>
              <w:top w:w="29" w:type="dxa"/>
              <w:left w:w="115" w:type="dxa"/>
              <w:bottom w:w="29" w:type="dxa"/>
              <w:right w:w="115" w:type="dxa"/>
            </w:tcMar>
          </w:tcPr>
          <w:p w14:paraId="07FC6E11" w14:textId="77777777" w:rsidR="00CB1CEF" w:rsidRPr="00CB1CEF" w:rsidRDefault="00CB1CEF" w:rsidP="002309BF">
            <w:pPr>
              <w:pStyle w:val="TableTextDecimal"/>
              <w:framePr w:wrap="notBeside"/>
              <w:tabs>
                <w:tab w:val="clear" w:pos="716"/>
                <w:tab w:val="decimal" w:pos="597"/>
              </w:tabs>
            </w:pPr>
            <w:r w:rsidRPr="00CB1CEF">
              <w:t>7.9</w:t>
            </w:r>
          </w:p>
        </w:tc>
        <w:tc>
          <w:tcPr>
            <w:tcW w:w="1602" w:type="dxa"/>
            <w:shd w:val="clear" w:color="auto" w:fill="auto"/>
            <w:tcMar>
              <w:top w:w="29" w:type="dxa"/>
              <w:left w:w="115" w:type="dxa"/>
              <w:bottom w:w="29" w:type="dxa"/>
              <w:right w:w="115" w:type="dxa"/>
            </w:tcMar>
          </w:tcPr>
          <w:p w14:paraId="7A17363F" w14:textId="77777777" w:rsidR="00CB1CEF" w:rsidRPr="00CB1CEF" w:rsidRDefault="00CB1CEF" w:rsidP="002309BF">
            <w:pPr>
              <w:pStyle w:val="TableTextDecimal"/>
              <w:framePr w:wrap="notBeside"/>
              <w:tabs>
                <w:tab w:val="clear" w:pos="716"/>
                <w:tab w:val="decimal" w:pos="597"/>
              </w:tabs>
            </w:pPr>
            <w:r w:rsidRPr="00CB1CEF">
              <w:t>-0.1</w:t>
            </w:r>
          </w:p>
        </w:tc>
        <w:tc>
          <w:tcPr>
            <w:tcW w:w="1601" w:type="dxa"/>
            <w:shd w:val="clear" w:color="auto" w:fill="auto"/>
            <w:tcMar>
              <w:top w:w="29" w:type="dxa"/>
              <w:left w:w="115" w:type="dxa"/>
              <w:bottom w:w="29" w:type="dxa"/>
              <w:right w:w="115" w:type="dxa"/>
            </w:tcMar>
          </w:tcPr>
          <w:p w14:paraId="6789184E" w14:textId="77777777" w:rsidR="00CB1CEF" w:rsidRPr="00CB1CEF" w:rsidRDefault="00CB1CEF" w:rsidP="002309BF">
            <w:pPr>
              <w:pStyle w:val="TableTextDecimal"/>
              <w:framePr w:wrap="notBeside"/>
              <w:tabs>
                <w:tab w:val="clear" w:pos="716"/>
                <w:tab w:val="decimal" w:pos="597"/>
              </w:tabs>
            </w:pPr>
            <w:r w:rsidRPr="00CB1CEF">
              <w:t>0.02</w:t>
            </w:r>
          </w:p>
        </w:tc>
      </w:tr>
      <w:tr w:rsidR="00CB1CEF" w:rsidRPr="00CB1CEF" w14:paraId="4D1D626A" w14:textId="77777777" w:rsidTr="00630740">
        <w:trPr>
          <w:trHeight w:val="20"/>
        </w:trPr>
        <w:tc>
          <w:tcPr>
            <w:tcW w:w="3330" w:type="dxa"/>
            <w:shd w:val="clear" w:color="auto" w:fill="E0D4B5"/>
            <w:tcMar>
              <w:top w:w="29" w:type="dxa"/>
              <w:left w:w="115" w:type="dxa"/>
              <w:bottom w:w="29" w:type="dxa"/>
              <w:right w:w="115" w:type="dxa"/>
            </w:tcMar>
            <w:vAlign w:val="center"/>
          </w:tcPr>
          <w:p w14:paraId="0199013B" w14:textId="77777777" w:rsidR="00CB1CEF" w:rsidRPr="00CB1CEF" w:rsidRDefault="00CB1CEF" w:rsidP="002309BF">
            <w:pPr>
              <w:pStyle w:val="TableTextLeft"/>
            </w:pPr>
            <w:r w:rsidRPr="00CB1CEF">
              <w:t>Number of specialists per 10,000 residents (2015)</w:t>
            </w:r>
          </w:p>
        </w:tc>
        <w:tc>
          <w:tcPr>
            <w:tcW w:w="1405" w:type="dxa"/>
            <w:shd w:val="clear" w:color="auto" w:fill="E0D4B5"/>
            <w:tcMar>
              <w:top w:w="29" w:type="dxa"/>
              <w:left w:w="115" w:type="dxa"/>
              <w:bottom w:w="29" w:type="dxa"/>
              <w:right w:w="115" w:type="dxa"/>
            </w:tcMar>
          </w:tcPr>
          <w:p w14:paraId="65D0DBC5" w14:textId="77777777" w:rsidR="00CB1CEF" w:rsidRPr="00CB1CEF" w:rsidRDefault="00CB1CEF" w:rsidP="002309BF">
            <w:pPr>
              <w:pStyle w:val="TableTextDecimal"/>
              <w:framePr w:wrap="notBeside"/>
              <w:tabs>
                <w:tab w:val="clear" w:pos="716"/>
                <w:tab w:val="decimal" w:pos="597"/>
              </w:tabs>
            </w:pPr>
            <w:r w:rsidRPr="00CB1CEF">
              <w:t>15.6</w:t>
            </w:r>
          </w:p>
        </w:tc>
        <w:tc>
          <w:tcPr>
            <w:tcW w:w="1602" w:type="dxa"/>
            <w:shd w:val="clear" w:color="auto" w:fill="E0D4B5"/>
            <w:tcMar>
              <w:top w:w="29" w:type="dxa"/>
              <w:left w:w="115" w:type="dxa"/>
              <w:bottom w:w="29" w:type="dxa"/>
              <w:right w:w="115" w:type="dxa"/>
            </w:tcMar>
          </w:tcPr>
          <w:p w14:paraId="188BFC45" w14:textId="77777777" w:rsidR="00CB1CEF" w:rsidRPr="00CB1CEF" w:rsidRDefault="00CB1CEF" w:rsidP="002309BF">
            <w:pPr>
              <w:pStyle w:val="TableTextDecimal"/>
              <w:framePr w:wrap="notBeside"/>
              <w:tabs>
                <w:tab w:val="clear" w:pos="716"/>
                <w:tab w:val="decimal" w:pos="597"/>
              </w:tabs>
            </w:pPr>
            <w:r w:rsidRPr="00CB1CEF">
              <w:t>15.9</w:t>
            </w:r>
          </w:p>
        </w:tc>
        <w:tc>
          <w:tcPr>
            <w:tcW w:w="1602" w:type="dxa"/>
            <w:shd w:val="clear" w:color="auto" w:fill="E0D4B5"/>
            <w:tcMar>
              <w:top w:w="29" w:type="dxa"/>
              <w:left w:w="115" w:type="dxa"/>
              <w:bottom w:w="29" w:type="dxa"/>
              <w:right w:w="115" w:type="dxa"/>
            </w:tcMar>
          </w:tcPr>
          <w:p w14:paraId="4D59B0FE" w14:textId="77777777" w:rsidR="00CB1CEF" w:rsidRPr="00CB1CEF" w:rsidRDefault="00CB1CEF" w:rsidP="002309BF">
            <w:pPr>
              <w:pStyle w:val="TableTextDecimal"/>
              <w:framePr w:wrap="notBeside"/>
              <w:tabs>
                <w:tab w:val="clear" w:pos="716"/>
                <w:tab w:val="decimal" w:pos="597"/>
              </w:tabs>
            </w:pPr>
            <w:r w:rsidRPr="00CB1CEF">
              <w:t>-0.2</w:t>
            </w:r>
          </w:p>
        </w:tc>
        <w:tc>
          <w:tcPr>
            <w:tcW w:w="1601" w:type="dxa"/>
            <w:shd w:val="clear" w:color="auto" w:fill="E0D4B5"/>
            <w:tcMar>
              <w:top w:w="29" w:type="dxa"/>
              <w:left w:w="115" w:type="dxa"/>
              <w:bottom w:w="29" w:type="dxa"/>
              <w:right w:w="115" w:type="dxa"/>
            </w:tcMar>
          </w:tcPr>
          <w:p w14:paraId="04E7D685" w14:textId="77777777" w:rsidR="00CB1CEF" w:rsidRPr="00CB1CEF" w:rsidRDefault="00CB1CEF" w:rsidP="002309BF">
            <w:pPr>
              <w:pStyle w:val="TableTextDecimal"/>
              <w:framePr w:wrap="notBeside"/>
              <w:tabs>
                <w:tab w:val="clear" w:pos="716"/>
                <w:tab w:val="decimal" w:pos="597"/>
              </w:tabs>
            </w:pPr>
            <w:r w:rsidRPr="00CB1CEF">
              <w:t>0.03</w:t>
            </w:r>
          </w:p>
        </w:tc>
      </w:tr>
      <w:tr w:rsidR="00CB1CEF" w:rsidRPr="00CB1CEF" w14:paraId="6DD39879" w14:textId="77777777" w:rsidTr="00630740">
        <w:trPr>
          <w:trHeight w:val="20"/>
        </w:trPr>
        <w:tc>
          <w:tcPr>
            <w:tcW w:w="3330" w:type="dxa"/>
            <w:tcBorders>
              <w:bottom w:val="nil"/>
            </w:tcBorders>
            <w:shd w:val="clear" w:color="auto" w:fill="auto"/>
            <w:tcMar>
              <w:top w:w="29" w:type="dxa"/>
              <w:left w:w="115" w:type="dxa"/>
              <w:bottom w:w="29" w:type="dxa"/>
              <w:right w:w="115" w:type="dxa"/>
            </w:tcMar>
            <w:vAlign w:val="center"/>
          </w:tcPr>
          <w:p w14:paraId="7B555BE3" w14:textId="77777777" w:rsidR="00CB1CEF" w:rsidRPr="00CB1CEF" w:rsidRDefault="00CB1CEF" w:rsidP="002309BF">
            <w:pPr>
              <w:pStyle w:val="TableTextLeft"/>
            </w:pPr>
            <w:r w:rsidRPr="00CB1CEF">
              <w:t>Population in county age 25 and older with less than a high school diploma (%, 2015)</w:t>
            </w:r>
          </w:p>
        </w:tc>
        <w:tc>
          <w:tcPr>
            <w:tcW w:w="1405" w:type="dxa"/>
            <w:tcBorders>
              <w:bottom w:val="nil"/>
            </w:tcBorders>
            <w:shd w:val="clear" w:color="auto" w:fill="auto"/>
            <w:tcMar>
              <w:top w:w="29" w:type="dxa"/>
              <w:left w:w="115" w:type="dxa"/>
              <w:bottom w:w="29" w:type="dxa"/>
              <w:right w:w="115" w:type="dxa"/>
            </w:tcMar>
          </w:tcPr>
          <w:p w14:paraId="14B31C70" w14:textId="77777777" w:rsidR="00CB1CEF" w:rsidRPr="00CB1CEF" w:rsidRDefault="00CB1CEF" w:rsidP="002309BF">
            <w:pPr>
              <w:pStyle w:val="TableTextDecimal"/>
              <w:framePr w:wrap="notBeside"/>
              <w:tabs>
                <w:tab w:val="clear" w:pos="716"/>
                <w:tab w:val="decimal" w:pos="597"/>
              </w:tabs>
            </w:pPr>
            <w:r w:rsidRPr="00CB1CEF">
              <w:t>13.1</w:t>
            </w:r>
          </w:p>
        </w:tc>
        <w:tc>
          <w:tcPr>
            <w:tcW w:w="1602" w:type="dxa"/>
            <w:tcBorders>
              <w:bottom w:val="nil"/>
            </w:tcBorders>
            <w:shd w:val="clear" w:color="auto" w:fill="auto"/>
            <w:tcMar>
              <w:top w:w="29" w:type="dxa"/>
              <w:left w:w="115" w:type="dxa"/>
              <w:bottom w:w="29" w:type="dxa"/>
              <w:right w:w="115" w:type="dxa"/>
            </w:tcMar>
          </w:tcPr>
          <w:p w14:paraId="3656A9AA" w14:textId="77777777" w:rsidR="00CB1CEF" w:rsidRPr="00CB1CEF" w:rsidRDefault="00CB1CEF" w:rsidP="002309BF">
            <w:pPr>
              <w:pStyle w:val="TableTextDecimal"/>
              <w:framePr w:wrap="notBeside"/>
              <w:tabs>
                <w:tab w:val="clear" w:pos="716"/>
                <w:tab w:val="decimal" w:pos="597"/>
              </w:tabs>
            </w:pPr>
            <w:r w:rsidRPr="00CB1CEF">
              <w:t>13.1</w:t>
            </w:r>
          </w:p>
        </w:tc>
        <w:tc>
          <w:tcPr>
            <w:tcW w:w="1602" w:type="dxa"/>
            <w:tcBorders>
              <w:bottom w:val="nil"/>
            </w:tcBorders>
            <w:shd w:val="clear" w:color="auto" w:fill="auto"/>
            <w:tcMar>
              <w:top w:w="29" w:type="dxa"/>
              <w:left w:w="115" w:type="dxa"/>
              <w:bottom w:w="29" w:type="dxa"/>
              <w:right w:w="115" w:type="dxa"/>
            </w:tcMar>
          </w:tcPr>
          <w:p w14:paraId="35B7A258" w14:textId="77777777" w:rsidR="00CB1CEF" w:rsidRPr="00CB1CEF" w:rsidRDefault="00CB1CEF" w:rsidP="002309BF">
            <w:pPr>
              <w:pStyle w:val="TableTextDecimal"/>
              <w:framePr w:wrap="notBeside"/>
              <w:tabs>
                <w:tab w:val="clear" w:pos="716"/>
                <w:tab w:val="decimal" w:pos="597"/>
              </w:tabs>
            </w:pPr>
            <w:r w:rsidRPr="00CB1CEF">
              <w:t>0.0</w:t>
            </w:r>
          </w:p>
        </w:tc>
        <w:tc>
          <w:tcPr>
            <w:tcW w:w="1601" w:type="dxa"/>
            <w:tcBorders>
              <w:bottom w:val="nil"/>
            </w:tcBorders>
            <w:shd w:val="clear" w:color="auto" w:fill="auto"/>
            <w:tcMar>
              <w:top w:w="29" w:type="dxa"/>
              <w:left w:w="115" w:type="dxa"/>
              <w:bottom w:w="29" w:type="dxa"/>
              <w:right w:w="115" w:type="dxa"/>
            </w:tcMar>
          </w:tcPr>
          <w:p w14:paraId="60DBDDA9" w14:textId="77777777" w:rsidR="00CB1CEF" w:rsidRPr="00CB1CEF" w:rsidRDefault="00CB1CEF" w:rsidP="002309BF">
            <w:pPr>
              <w:pStyle w:val="TableTextDecimal"/>
              <w:framePr w:wrap="notBeside"/>
              <w:tabs>
                <w:tab w:val="clear" w:pos="716"/>
                <w:tab w:val="decimal" w:pos="597"/>
              </w:tabs>
            </w:pPr>
            <w:r w:rsidRPr="00CB1CEF">
              <w:t>0.01</w:t>
            </w:r>
          </w:p>
        </w:tc>
      </w:tr>
      <w:tr w:rsidR="00CB1CEF" w:rsidRPr="00CB1CEF" w14:paraId="0DEF05D8" w14:textId="77777777" w:rsidTr="00630740">
        <w:trPr>
          <w:trHeight w:val="20"/>
        </w:trPr>
        <w:tc>
          <w:tcPr>
            <w:tcW w:w="3330" w:type="dxa"/>
            <w:tcBorders>
              <w:top w:val="nil"/>
            </w:tcBorders>
            <w:shd w:val="clear" w:color="auto" w:fill="E0D4B5"/>
            <w:tcMar>
              <w:top w:w="29" w:type="dxa"/>
              <w:left w:w="115" w:type="dxa"/>
              <w:bottom w:w="29" w:type="dxa"/>
              <w:right w:w="115" w:type="dxa"/>
            </w:tcMar>
            <w:vAlign w:val="center"/>
          </w:tcPr>
          <w:p w14:paraId="698D525D" w14:textId="77777777" w:rsidR="00CB1CEF" w:rsidRPr="00CB1CEF" w:rsidRDefault="00CB1CEF" w:rsidP="002309BF">
            <w:pPr>
              <w:pStyle w:val="TableTextLeft"/>
            </w:pPr>
            <w:r w:rsidRPr="00CB1CEF">
              <w:t>Population age 25 and older with at least a four-year college degree (%, 2015)</w:t>
            </w:r>
          </w:p>
        </w:tc>
        <w:tc>
          <w:tcPr>
            <w:tcW w:w="1405" w:type="dxa"/>
            <w:tcBorders>
              <w:top w:val="nil"/>
            </w:tcBorders>
            <w:shd w:val="clear" w:color="auto" w:fill="E0D4B5"/>
            <w:tcMar>
              <w:top w:w="29" w:type="dxa"/>
              <w:left w:w="115" w:type="dxa"/>
              <w:bottom w:w="29" w:type="dxa"/>
              <w:right w:w="115" w:type="dxa"/>
            </w:tcMar>
          </w:tcPr>
          <w:p w14:paraId="6D9DB617" w14:textId="77777777" w:rsidR="00CB1CEF" w:rsidRPr="00CB1CEF" w:rsidRDefault="00CB1CEF" w:rsidP="002309BF">
            <w:pPr>
              <w:pStyle w:val="TableTextDecimal"/>
              <w:framePr w:wrap="notBeside"/>
              <w:tabs>
                <w:tab w:val="clear" w:pos="716"/>
                <w:tab w:val="decimal" w:pos="597"/>
              </w:tabs>
            </w:pPr>
            <w:r w:rsidRPr="00CB1CEF">
              <w:t>30.0</w:t>
            </w:r>
          </w:p>
        </w:tc>
        <w:tc>
          <w:tcPr>
            <w:tcW w:w="1602" w:type="dxa"/>
            <w:tcBorders>
              <w:top w:val="nil"/>
            </w:tcBorders>
            <w:shd w:val="clear" w:color="auto" w:fill="E0D4B5"/>
            <w:tcMar>
              <w:top w:w="29" w:type="dxa"/>
              <w:left w:w="115" w:type="dxa"/>
              <w:bottom w:w="29" w:type="dxa"/>
              <w:right w:w="115" w:type="dxa"/>
            </w:tcMar>
          </w:tcPr>
          <w:p w14:paraId="565F774E" w14:textId="77777777" w:rsidR="00CB1CEF" w:rsidRPr="00CB1CEF" w:rsidRDefault="00CB1CEF" w:rsidP="002309BF">
            <w:pPr>
              <w:pStyle w:val="TableTextDecimal"/>
              <w:framePr w:wrap="notBeside"/>
              <w:tabs>
                <w:tab w:val="clear" w:pos="716"/>
                <w:tab w:val="decimal" w:pos="597"/>
              </w:tabs>
            </w:pPr>
            <w:r w:rsidRPr="00CB1CEF">
              <w:t>30.4</w:t>
            </w:r>
          </w:p>
        </w:tc>
        <w:tc>
          <w:tcPr>
            <w:tcW w:w="1602" w:type="dxa"/>
            <w:tcBorders>
              <w:top w:val="nil"/>
            </w:tcBorders>
            <w:shd w:val="clear" w:color="auto" w:fill="E0D4B5"/>
            <w:tcMar>
              <w:top w:w="29" w:type="dxa"/>
              <w:left w:w="115" w:type="dxa"/>
              <w:bottom w:w="29" w:type="dxa"/>
              <w:right w:w="115" w:type="dxa"/>
            </w:tcMar>
          </w:tcPr>
          <w:p w14:paraId="2770DB5B" w14:textId="77777777" w:rsidR="00CB1CEF" w:rsidRPr="00CB1CEF" w:rsidRDefault="00CB1CEF" w:rsidP="002309BF">
            <w:pPr>
              <w:pStyle w:val="TableTextDecimal"/>
              <w:framePr w:wrap="notBeside"/>
              <w:tabs>
                <w:tab w:val="clear" w:pos="716"/>
                <w:tab w:val="decimal" w:pos="597"/>
              </w:tabs>
            </w:pPr>
            <w:r w:rsidRPr="00CB1CEF">
              <w:t>-0.4</w:t>
            </w:r>
          </w:p>
        </w:tc>
        <w:tc>
          <w:tcPr>
            <w:tcW w:w="1601" w:type="dxa"/>
            <w:tcBorders>
              <w:top w:val="nil"/>
            </w:tcBorders>
            <w:shd w:val="clear" w:color="auto" w:fill="E0D4B5"/>
            <w:tcMar>
              <w:top w:w="29" w:type="dxa"/>
              <w:left w:w="115" w:type="dxa"/>
              <w:bottom w:w="29" w:type="dxa"/>
              <w:right w:w="115" w:type="dxa"/>
            </w:tcMar>
          </w:tcPr>
          <w:p w14:paraId="2F9BFABE" w14:textId="77777777" w:rsidR="00CB1CEF" w:rsidRPr="00CB1CEF" w:rsidRDefault="00CB1CEF" w:rsidP="002309BF">
            <w:pPr>
              <w:pStyle w:val="TableTextDecimal"/>
              <w:framePr w:wrap="notBeside"/>
              <w:tabs>
                <w:tab w:val="clear" w:pos="716"/>
                <w:tab w:val="decimal" w:pos="597"/>
              </w:tabs>
            </w:pPr>
            <w:r w:rsidRPr="00CB1CEF">
              <w:t>0.04</w:t>
            </w:r>
          </w:p>
        </w:tc>
      </w:tr>
      <w:tr w:rsidR="00CB1CEF" w:rsidRPr="00CB1CEF" w14:paraId="0D6371E3" w14:textId="77777777" w:rsidTr="00630740">
        <w:trPr>
          <w:trHeight w:val="20"/>
        </w:trPr>
        <w:tc>
          <w:tcPr>
            <w:tcW w:w="3330" w:type="dxa"/>
            <w:shd w:val="clear" w:color="auto" w:fill="auto"/>
            <w:tcMar>
              <w:top w:w="29" w:type="dxa"/>
              <w:left w:w="115" w:type="dxa"/>
              <w:bottom w:w="29" w:type="dxa"/>
              <w:right w:w="115" w:type="dxa"/>
            </w:tcMar>
            <w:vAlign w:val="center"/>
          </w:tcPr>
          <w:p w14:paraId="25BFF980" w14:textId="77777777" w:rsidR="00CB1CEF" w:rsidRPr="00CB1CEF" w:rsidRDefault="00CB1CEF" w:rsidP="002309BF">
            <w:pPr>
              <w:pStyle w:val="TableTextLeft"/>
            </w:pPr>
            <w:r w:rsidRPr="00CB1CEF">
              <w:t xml:space="preserve">Population in county age 5 and older that do not speak English as primary language (%, 2010) </w:t>
            </w:r>
          </w:p>
        </w:tc>
        <w:tc>
          <w:tcPr>
            <w:tcW w:w="1405" w:type="dxa"/>
            <w:shd w:val="clear" w:color="auto" w:fill="auto"/>
            <w:tcMar>
              <w:top w:w="29" w:type="dxa"/>
              <w:left w:w="115" w:type="dxa"/>
              <w:bottom w:w="29" w:type="dxa"/>
              <w:right w:w="115" w:type="dxa"/>
            </w:tcMar>
          </w:tcPr>
          <w:p w14:paraId="50D368A8" w14:textId="77777777" w:rsidR="00CB1CEF" w:rsidRPr="00CB1CEF" w:rsidRDefault="00CB1CEF" w:rsidP="002309BF">
            <w:pPr>
              <w:pStyle w:val="TableTextDecimal"/>
              <w:framePr w:wrap="notBeside"/>
              <w:tabs>
                <w:tab w:val="clear" w:pos="716"/>
                <w:tab w:val="decimal" w:pos="597"/>
              </w:tabs>
            </w:pPr>
            <w:r w:rsidRPr="00CB1CEF">
              <w:t>4.7</w:t>
            </w:r>
          </w:p>
        </w:tc>
        <w:tc>
          <w:tcPr>
            <w:tcW w:w="1602" w:type="dxa"/>
            <w:shd w:val="clear" w:color="auto" w:fill="auto"/>
            <w:tcMar>
              <w:top w:w="29" w:type="dxa"/>
              <w:left w:w="115" w:type="dxa"/>
              <w:bottom w:w="29" w:type="dxa"/>
              <w:right w:w="115" w:type="dxa"/>
            </w:tcMar>
          </w:tcPr>
          <w:p w14:paraId="5962E7F8" w14:textId="77777777" w:rsidR="00CB1CEF" w:rsidRPr="00CB1CEF" w:rsidRDefault="00CB1CEF" w:rsidP="002309BF">
            <w:pPr>
              <w:pStyle w:val="TableTextDecimal"/>
              <w:framePr w:wrap="notBeside"/>
              <w:tabs>
                <w:tab w:val="clear" w:pos="716"/>
                <w:tab w:val="decimal" w:pos="597"/>
              </w:tabs>
            </w:pPr>
            <w:r w:rsidRPr="00CB1CEF">
              <w:t>4.6</w:t>
            </w:r>
          </w:p>
        </w:tc>
        <w:tc>
          <w:tcPr>
            <w:tcW w:w="1602" w:type="dxa"/>
            <w:shd w:val="clear" w:color="auto" w:fill="auto"/>
            <w:tcMar>
              <w:top w:w="29" w:type="dxa"/>
              <w:left w:w="115" w:type="dxa"/>
              <w:bottom w:w="29" w:type="dxa"/>
              <w:right w:w="115" w:type="dxa"/>
            </w:tcMar>
          </w:tcPr>
          <w:p w14:paraId="426A075C" w14:textId="77777777" w:rsidR="00CB1CEF" w:rsidRPr="00CB1CEF" w:rsidRDefault="00CB1CEF" w:rsidP="002309BF">
            <w:pPr>
              <w:pStyle w:val="TableTextDecimal"/>
              <w:framePr w:wrap="notBeside"/>
              <w:tabs>
                <w:tab w:val="clear" w:pos="716"/>
                <w:tab w:val="decimal" w:pos="597"/>
              </w:tabs>
            </w:pPr>
            <w:r w:rsidRPr="00CB1CEF">
              <w:t>0.1</w:t>
            </w:r>
          </w:p>
        </w:tc>
        <w:tc>
          <w:tcPr>
            <w:tcW w:w="1601" w:type="dxa"/>
            <w:shd w:val="clear" w:color="auto" w:fill="auto"/>
            <w:tcMar>
              <w:top w:w="29" w:type="dxa"/>
              <w:left w:w="115" w:type="dxa"/>
              <w:bottom w:w="29" w:type="dxa"/>
              <w:right w:w="115" w:type="dxa"/>
            </w:tcMar>
          </w:tcPr>
          <w:p w14:paraId="78A92E55" w14:textId="77777777" w:rsidR="00CB1CEF" w:rsidRPr="00CB1CEF" w:rsidRDefault="00CB1CEF" w:rsidP="002309BF">
            <w:pPr>
              <w:pStyle w:val="TableTextDecimal"/>
              <w:framePr w:wrap="notBeside"/>
              <w:tabs>
                <w:tab w:val="clear" w:pos="716"/>
                <w:tab w:val="decimal" w:pos="597"/>
              </w:tabs>
            </w:pPr>
            <w:r w:rsidRPr="00CB1CEF">
              <w:t>0.01</w:t>
            </w:r>
          </w:p>
        </w:tc>
      </w:tr>
    </w:tbl>
    <w:p w14:paraId="3B6DF366" w14:textId="25FAEC88" w:rsidR="0025366A" w:rsidRDefault="0025366A" w:rsidP="00CB1CEF">
      <w:pPr>
        <w:pStyle w:val="TableSource"/>
      </w:pPr>
      <w:r>
        <w:t>Source:</w:t>
      </w:r>
      <w:r>
        <w:tab/>
        <w:t>Analyses were based on enrollment data from PTNs and SAN 2.0s, MD-PPAS, and the NPPES. We obtained meaningful use and PQRS participation data from CMS. Source of Medicaid acceptance and ownership was SK&amp;A for practices identified by a TIN (</w:t>
      </w:r>
      <w:hyperlink r:id="rId16" w:history="1">
        <w:r w:rsidR="002309BF" w:rsidRPr="0028754B">
          <w:rPr>
            <w:rStyle w:val="Hyperlink"/>
          </w:rPr>
          <w:t>https://www.skainfo.com/databases/physician-data</w:t>
        </w:r>
      </w:hyperlink>
      <w:r>
        <w:t>). County-level market characteristics were from the AHRF. Medical home participation was from NCQA PCMH Recognition Program data (https://www.ncqa.org/programs/health-care-providers-practices/patient-centered-medical-home-pcmh/), TJC, AAAHC, and state-specific certification programs (covering Arkansas, Iowa, Michigan, Minnesota, Missouri, Montana, Oklahoma, Oregon, South Carolina, and West Virginia). Physician specialty information came from MD-PPAS.</w:t>
      </w:r>
    </w:p>
    <w:p w14:paraId="041F71EA" w14:textId="77777777" w:rsidR="0025366A" w:rsidRDefault="0025366A" w:rsidP="00CB1CEF">
      <w:pPr>
        <w:pStyle w:val="TableSource"/>
      </w:pPr>
      <w:r>
        <w:t>Note:</w:t>
      </w:r>
      <w:r>
        <w:tab/>
        <w:t>Characteristics were measured as of the year before a practice enrolled, unless otherwise noted.</w:t>
      </w:r>
    </w:p>
    <w:p w14:paraId="55F604F9" w14:textId="77777777" w:rsidR="0025366A" w:rsidRDefault="0025366A" w:rsidP="00CB1CEF">
      <w:pPr>
        <w:pStyle w:val="TableFootnote"/>
      </w:pPr>
      <w:r w:rsidRPr="00CB1CEF">
        <w:rPr>
          <w:rStyle w:val="Superscript"/>
        </w:rPr>
        <w:t>a</w:t>
      </w:r>
      <w:r>
        <w:t xml:space="preserve"> We required that each </w:t>
      </w:r>
      <w:proofErr w:type="spellStart"/>
      <w:r>
        <w:t>TCPi</w:t>
      </w:r>
      <w:proofErr w:type="spellEnd"/>
      <w:r>
        <w:t xml:space="preserve"> practice be matched to a comparison practice that shared each exact-match characteristic. For example, a </w:t>
      </w:r>
      <w:proofErr w:type="spellStart"/>
      <w:r>
        <w:t>TCPi</w:t>
      </w:r>
      <w:proofErr w:type="spellEnd"/>
      <w:r>
        <w:t xml:space="preserve"> practice with a primary care specialty type was always matched to another primary care practice.</w:t>
      </w:r>
    </w:p>
    <w:p w14:paraId="5A29BAC4" w14:textId="77777777" w:rsidR="0025366A" w:rsidRDefault="0025366A" w:rsidP="00CB1CEF">
      <w:pPr>
        <w:pStyle w:val="TableFootnote"/>
      </w:pPr>
      <w:r w:rsidRPr="00CB1CEF">
        <w:rPr>
          <w:rStyle w:val="Superscript"/>
        </w:rPr>
        <w:t>b</w:t>
      </w:r>
      <w:r>
        <w:t xml:space="preserve"> Primary care practices had more than 90 percent of primary care clinicians; specialty care practices had fewer than 10 percent. Mixed primary/specialty practices had either (1) between 10 percent and 90 percent primary care clinicians or (2) were solely comprised of clinicians whose specialty was unknown. </w:t>
      </w:r>
    </w:p>
    <w:p w14:paraId="0DEEEA24" w14:textId="77777777" w:rsidR="0025366A" w:rsidRDefault="0025366A" w:rsidP="00CB1CEF">
      <w:pPr>
        <w:pStyle w:val="TableFootnote"/>
      </w:pPr>
      <w:r w:rsidRPr="00CB1CEF">
        <w:rPr>
          <w:rStyle w:val="Superscript"/>
        </w:rPr>
        <w:t>c</w:t>
      </w:r>
      <w:r>
        <w:t xml:space="preserve"> We used the CMS definition of primary care, which includes general practice, family medicine, internal medicine, and geriatric medicine specialties. Centers for Medicare &amp; Medicaid Services. “Two-Step Attribution for Measures Included in the Value Modifier.” August 2015. Available at https://www.cms.gov/Medicare/Medicare-Fee-for-Service-Payment/PhysicianFeedbackProgram/Downloads/Attribution-Fact-Sheet.pdf. Accessed April 15, 2020.</w:t>
      </w:r>
    </w:p>
    <w:p w14:paraId="21992100" w14:textId="77777777" w:rsidR="0025366A" w:rsidRDefault="0025366A" w:rsidP="00CB1CEF">
      <w:pPr>
        <w:pStyle w:val="TableFootnote"/>
      </w:pPr>
      <w:r w:rsidRPr="00CB1CEF">
        <w:rPr>
          <w:rStyle w:val="Superscript"/>
        </w:rPr>
        <w:t>d</w:t>
      </w:r>
      <w:r>
        <w:t xml:space="preserve"> Clinicians in each TIN were those who billed the plurality of their Medicare Part B charges to that TIN in the year before the practice’s enrollment. </w:t>
      </w:r>
    </w:p>
    <w:p w14:paraId="0A93C024" w14:textId="77777777" w:rsidR="0025366A" w:rsidRDefault="0025366A" w:rsidP="00CB1CEF">
      <w:pPr>
        <w:pStyle w:val="TableFootnote"/>
      </w:pPr>
      <w:r w:rsidRPr="00CB1CEF">
        <w:rPr>
          <w:rStyle w:val="Superscript"/>
        </w:rPr>
        <w:t>e</w:t>
      </w:r>
      <w:r>
        <w:t xml:space="preserve"> </w:t>
      </w:r>
      <w:proofErr w:type="gramStart"/>
      <w:r>
        <w:t>In</w:t>
      </w:r>
      <w:proofErr w:type="gramEnd"/>
      <w:r>
        <w:t xml:space="preserve"> SK&amp;A data, these characteristics were defined for each practice location. Because practice locations might share a TIN, we assigned to each TIN the proportion of practice locations within a TIN that had the characteristic, weighted by the number of clinicians at each location. </w:t>
      </w:r>
    </w:p>
    <w:p w14:paraId="613ECEF6" w14:textId="77777777" w:rsidR="0025366A" w:rsidRDefault="0025366A" w:rsidP="00CB1CEF">
      <w:pPr>
        <w:pStyle w:val="TableFootnote"/>
      </w:pPr>
      <w:r w:rsidRPr="00CB1CEF">
        <w:rPr>
          <w:rStyle w:val="Superscript"/>
        </w:rPr>
        <w:t>f</w:t>
      </w:r>
      <w:r>
        <w:t xml:space="preserve"> Data for this characteristic were available for only about a third of all practices. Over three-quarters of primary care practices had these data compared to less than two-thirds of mixed primary/specialty care practices, and less than 10 percent of specialty care practices. </w:t>
      </w:r>
    </w:p>
    <w:p w14:paraId="4196A1D0" w14:textId="77777777" w:rsidR="0025366A" w:rsidRDefault="0025366A" w:rsidP="00CB1CEF">
      <w:pPr>
        <w:pStyle w:val="TableFootnote"/>
      </w:pPr>
      <w:r w:rsidRPr="00CB1CEF">
        <w:rPr>
          <w:rStyle w:val="Superscript"/>
        </w:rPr>
        <w:t>g</w:t>
      </w:r>
      <w:r>
        <w:t xml:space="preserve"> These broad disciplinary categories were defined by MD-PPAS based on combinations of CMS specialty codes. </w:t>
      </w:r>
    </w:p>
    <w:p w14:paraId="54784C6B" w14:textId="71D77F0A" w:rsidR="0025366A" w:rsidRDefault="0025366A" w:rsidP="00CB1CEF">
      <w:pPr>
        <w:pStyle w:val="TableFootnote"/>
      </w:pPr>
      <w:r w:rsidRPr="00CB1CEF">
        <w:rPr>
          <w:rStyle w:val="Superscript"/>
        </w:rPr>
        <w:t>h</w:t>
      </w:r>
      <w:r>
        <w:t xml:space="preserve"> Most practices recognized as medical homes gained this status through NCQA’s PCMH Recognition Program.</w:t>
      </w:r>
    </w:p>
    <w:p w14:paraId="6300DC5E" w14:textId="77777777" w:rsidR="00543DBF" w:rsidRDefault="00CB1CEF" w:rsidP="00CB1CEF">
      <w:pPr>
        <w:pStyle w:val="TableFootnote"/>
      </w:pPr>
      <w:r w:rsidRPr="00CB1CEF">
        <w:t>AAAHC = Accreditation Association for Ambulatory Health Care; AHRF = Area Health Resource File; CMS = Centers for Medicare &amp; Medicaid Services; MD-PPAS = Medicare Data on Provider Practice and Specialty; NCQA = National Committee for Quality Assurance; NPPES = National Plan and Provider Enumeration System; PCMH = patient-centered medical home; PQRS = Physician Quality Reporting System; PTN = Practice Transformation Network; SAN</w:t>
      </w:r>
      <w:r w:rsidR="002309BF">
        <w:t> </w:t>
      </w:r>
      <w:r w:rsidRPr="00CB1CEF">
        <w:t>= Support and Alignment Network; TIN = Tax Identification Number; TJC = The Joint Commission.</w:t>
      </w:r>
    </w:p>
    <w:p w14:paraId="498D4A36" w14:textId="3C60A759" w:rsidR="00543DBF" w:rsidRDefault="00543DBF" w:rsidP="00CB1CEF">
      <w:pPr>
        <w:pStyle w:val="TableFootnote"/>
        <w:sectPr w:rsidR="00543DBF" w:rsidSect="00224D9D">
          <w:headerReference w:type="default" r:id="rId17"/>
          <w:endnotePr>
            <w:numFmt w:val="decimal"/>
          </w:endnotePr>
          <w:type w:val="continuous"/>
          <w:pgSz w:w="12240" w:h="15840" w:code="1"/>
          <w:pgMar w:top="1440" w:right="1440" w:bottom="1440" w:left="1440" w:header="720" w:footer="720" w:gutter="0"/>
          <w:cols w:space="360"/>
          <w:docGrid w:linePitch="360"/>
        </w:sectPr>
      </w:pPr>
    </w:p>
    <w:p w14:paraId="0E264DB9" w14:textId="0EF50550" w:rsidR="000743D8" w:rsidRDefault="00161789" w:rsidP="00543DBF">
      <w:pPr>
        <w:pStyle w:val="ExhibitTitle"/>
        <w:spacing w:before="0"/>
      </w:pPr>
      <w:r>
        <w:t>Supplemental Digital Content</w:t>
      </w:r>
      <w:r w:rsidR="0025366A">
        <w:t xml:space="preserve"> </w:t>
      </w:r>
      <w:r w:rsidR="00AF7C67">
        <w:t>Table</w:t>
      </w:r>
      <w:r w:rsidR="0025366A">
        <w:t xml:space="preserve"> 1.</w:t>
      </w:r>
      <w:r w:rsidR="00D737A4">
        <w:t>3</w:t>
      </w:r>
      <w:r w:rsidR="00CB1CEF">
        <w:t>.</w:t>
      </w:r>
      <w:r w:rsidR="0025366A">
        <w:t xml:space="preserve"> Baseline beneficiary outcomes and characteristics for </w:t>
      </w:r>
      <w:proofErr w:type="spellStart"/>
      <w:r w:rsidR="0025366A">
        <w:t>TCPi</w:t>
      </w:r>
      <w:proofErr w:type="spellEnd"/>
      <w:r w:rsidR="0025366A">
        <w:t xml:space="preserve"> and comparison practices</w:t>
      </w:r>
    </w:p>
    <w:p w14:paraId="3FDD463C" w14:textId="3D981339" w:rsidR="000743D8" w:rsidRPr="000743D8" w:rsidRDefault="000743D8" w:rsidP="000743D8">
      <w:pPr>
        <w:pStyle w:val="Paragraph"/>
        <w:sectPr w:rsidR="000743D8" w:rsidRPr="000743D8" w:rsidSect="00543DBF">
          <w:headerReference w:type="default" r:id="rId18"/>
          <w:endnotePr>
            <w:numFmt w:val="decimal"/>
          </w:endnotePr>
          <w:pgSz w:w="12240" w:h="15840" w:code="1"/>
          <w:pgMar w:top="1440" w:right="1440" w:bottom="1440" w:left="1440" w:header="720" w:footer="720" w:gutter="0"/>
          <w:cols w:space="360"/>
          <w:docGrid w:linePitch="360"/>
        </w:sectPr>
      </w:pPr>
    </w:p>
    <w:tbl>
      <w:tblPr>
        <w:tblW w:w="5000" w:type="pct"/>
        <w:tblBorders>
          <w:bottom w:val="single" w:sz="4" w:space="0" w:color="auto"/>
        </w:tblBorders>
        <w:tblLook w:val="04A0" w:firstRow="1" w:lastRow="0" w:firstColumn="1" w:lastColumn="0" w:noHBand="0" w:noVBand="1"/>
      </w:tblPr>
      <w:tblGrid>
        <w:gridCol w:w="2931"/>
        <w:gridCol w:w="1614"/>
        <w:gridCol w:w="1808"/>
        <w:gridCol w:w="1391"/>
        <w:gridCol w:w="1616"/>
      </w:tblGrid>
      <w:tr w:rsidR="00A00673" w:rsidRPr="001B692D" w14:paraId="6A3C3A6C" w14:textId="77777777" w:rsidTr="00630740">
        <w:trPr>
          <w:cantSplit/>
          <w:trHeight w:val="20"/>
          <w:tblHeader/>
        </w:trPr>
        <w:tc>
          <w:tcPr>
            <w:tcW w:w="1566" w:type="pct"/>
            <w:tcBorders>
              <w:top w:val="nil"/>
              <w:bottom w:val="nil"/>
            </w:tcBorders>
            <w:shd w:val="clear" w:color="auto" w:fill="046B5C" w:themeFill="text2"/>
            <w:vAlign w:val="bottom"/>
            <w:hideMark/>
          </w:tcPr>
          <w:p w14:paraId="1D2FB5D0" w14:textId="77777777" w:rsidR="00A00673" w:rsidRPr="001B692D" w:rsidRDefault="00A00673" w:rsidP="00A95003">
            <w:pPr>
              <w:pStyle w:val="TableHeaderLeft"/>
              <w:rPr>
                <w:vertAlign w:val="superscript"/>
              </w:rPr>
            </w:pPr>
            <w:r w:rsidRPr="001B692D">
              <w:t>Characteristic</w:t>
            </w:r>
          </w:p>
        </w:tc>
        <w:tc>
          <w:tcPr>
            <w:tcW w:w="862" w:type="pct"/>
            <w:tcBorders>
              <w:top w:val="nil"/>
              <w:bottom w:val="nil"/>
            </w:tcBorders>
            <w:shd w:val="clear" w:color="auto" w:fill="046B5C" w:themeFill="text2"/>
            <w:vAlign w:val="bottom"/>
            <w:hideMark/>
          </w:tcPr>
          <w:p w14:paraId="4A5EABBA" w14:textId="77777777" w:rsidR="00A00673" w:rsidRPr="001B692D" w:rsidRDefault="00A00673" w:rsidP="00A95003">
            <w:pPr>
              <w:pStyle w:val="TableHeaderCenter"/>
            </w:pPr>
            <w:r>
              <w:t xml:space="preserve">Mean for </w:t>
            </w:r>
            <w:proofErr w:type="spellStart"/>
            <w:r>
              <w:t>TCPi</w:t>
            </w:r>
            <w:proofErr w:type="spellEnd"/>
            <w:r>
              <w:t xml:space="preserve"> practices</w:t>
            </w:r>
            <w:r w:rsidRPr="001B692D">
              <w:br/>
              <w:t xml:space="preserve">(n = </w:t>
            </w:r>
            <w:r>
              <w:t>53,817</w:t>
            </w:r>
            <w:r w:rsidRPr="001B692D">
              <w:t xml:space="preserve"> practice-quarter observations)</w:t>
            </w:r>
          </w:p>
        </w:tc>
        <w:tc>
          <w:tcPr>
            <w:tcW w:w="966" w:type="pct"/>
            <w:tcBorders>
              <w:top w:val="nil"/>
              <w:bottom w:val="nil"/>
            </w:tcBorders>
            <w:shd w:val="clear" w:color="auto" w:fill="046B5C" w:themeFill="text2"/>
            <w:vAlign w:val="bottom"/>
            <w:hideMark/>
          </w:tcPr>
          <w:p w14:paraId="2CEEDD22" w14:textId="77777777" w:rsidR="00A00673" w:rsidRPr="001B692D" w:rsidRDefault="00A00673" w:rsidP="00A95003">
            <w:pPr>
              <w:pStyle w:val="TableHeaderCenter"/>
            </w:pPr>
            <w:r>
              <w:t>Mean for</w:t>
            </w:r>
            <w:r w:rsidRPr="001B692D">
              <w:t xml:space="preserve"> comparison</w:t>
            </w:r>
            <w:r w:rsidRPr="001B692D">
              <w:br/>
            </w:r>
            <w:r>
              <w:t>practices</w:t>
            </w:r>
            <w:r w:rsidRPr="001B692D">
              <w:br/>
              <w:t xml:space="preserve">(n = </w:t>
            </w:r>
            <w:r>
              <w:t>53,766</w:t>
            </w:r>
            <w:r w:rsidRPr="001B692D">
              <w:br/>
              <w:t>practice-quarter observations)</w:t>
            </w:r>
          </w:p>
        </w:tc>
        <w:tc>
          <w:tcPr>
            <w:tcW w:w="743" w:type="pct"/>
            <w:tcBorders>
              <w:top w:val="nil"/>
              <w:bottom w:val="nil"/>
            </w:tcBorders>
            <w:shd w:val="clear" w:color="auto" w:fill="046B5C" w:themeFill="text2"/>
            <w:vAlign w:val="bottom"/>
            <w:hideMark/>
          </w:tcPr>
          <w:p w14:paraId="62A61DAB" w14:textId="77777777" w:rsidR="00A00673" w:rsidRPr="001B692D" w:rsidRDefault="00A00673" w:rsidP="00A95003">
            <w:pPr>
              <w:pStyle w:val="TableHeaderCenter"/>
            </w:pPr>
            <w:r w:rsidRPr="00FD7B43">
              <w:t xml:space="preserve">Difference between </w:t>
            </w:r>
            <w:proofErr w:type="spellStart"/>
            <w:r w:rsidRPr="00FD7B43">
              <w:t>TCPi</w:t>
            </w:r>
            <w:proofErr w:type="spellEnd"/>
            <w:r w:rsidRPr="00FD7B43">
              <w:t xml:space="preserve"> and comparison practices</w:t>
            </w:r>
          </w:p>
        </w:tc>
        <w:tc>
          <w:tcPr>
            <w:tcW w:w="863" w:type="pct"/>
            <w:tcBorders>
              <w:top w:val="nil"/>
              <w:bottom w:val="nil"/>
            </w:tcBorders>
            <w:shd w:val="clear" w:color="auto" w:fill="046B5C" w:themeFill="text2"/>
            <w:vAlign w:val="bottom"/>
          </w:tcPr>
          <w:p w14:paraId="19CD0B6E" w14:textId="77777777" w:rsidR="00A00673" w:rsidRPr="001B692D" w:rsidRDefault="00A00673" w:rsidP="00A95003">
            <w:pPr>
              <w:pStyle w:val="TableHeaderCenter"/>
            </w:pPr>
            <w:r>
              <w:t>Absolute s</w:t>
            </w:r>
            <w:r w:rsidRPr="001B692D">
              <w:t>tandardized difference (standard deviations)</w:t>
            </w:r>
          </w:p>
        </w:tc>
      </w:tr>
      <w:tr w:rsidR="00A00673" w:rsidRPr="00F15E9F" w14:paraId="6EEFE151" w14:textId="77777777" w:rsidTr="00630740">
        <w:trPr>
          <w:trHeight w:val="20"/>
        </w:trPr>
        <w:tc>
          <w:tcPr>
            <w:tcW w:w="5000" w:type="pct"/>
            <w:gridSpan w:val="5"/>
            <w:shd w:val="clear" w:color="auto" w:fill="0B2949" w:themeFill="accent1"/>
            <w:tcMar>
              <w:top w:w="29" w:type="dxa"/>
              <w:left w:w="115" w:type="dxa"/>
              <w:bottom w:w="29" w:type="dxa"/>
              <w:right w:w="115" w:type="dxa"/>
            </w:tcMar>
            <w:vAlign w:val="center"/>
          </w:tcPr>
          <w:p w14:paraId="239A3BAB" w14:textId="77777777" w:rsidR="00A00673" w:rsidRPr="00F15E9F" w:rsidRDefault="00A00673" w:rsidP="00A95003">
            <w:pPr>
              <w:pStyle w:val="TableRowHead"/>
            </w:pPr>
            <w:r>
              <w:t xml:space="preserve">Beneficiary outcomes during the quarter before enrolling in </w:t>
            </w:r>
            <w:proofErr w:type="spellStart"/>
            <w:r>
              <w:t>TCPi</w:t>
            </w:r>
            <w:proofErr w:type="spellEnd"/>
          </w:p>
        </w:tc>
      </w:tr>
      <w:tr w:rsidR="00A00673" w:rsidRPr="001B692D" w14:paraId="74121883" w14:textId="77777777" w:rsidTr="00630740">
        <w:trPr>
          <w:trHeight w:val="20"/>
        </w:trPr>
        <w:tc>
          <w:tcPr>
            <w:tcW w:w="1566" w:type="pct"/>
            <w:shd w:val="clear" w:color="auto" w:fill="auto"/>
            <w:tcMar>
              <w:top w:w="29" w:type="dxa"/>
              <w:left w:w="115" w:type="dxa"/>
              <w:bottom w:w="29" w:type="dxa"/>
              <w:right w:w="115" w:type="dxa"/>
            </w:tcMar>
            <w:vAlign w:val="center"/>
          </w:tcPr>
          <w:p w14:paraId="03A3C43C" w14:textId="77777777" w:rsidR="00A00673" w:rsidRPr="001B692D" w:rsidRDefault="00A00673" w:rsidP="00630740">
            <w:pPr>
              <w:spacing w:before="40" w:after="20" w:line="240" w:lineRule="auto"/>
              <w:rPr>
                <w:rFonts w:asciiTheme="majorHAnsi" w:hAnsiTheme="majorHAnsi"/>
                <w:sz w:val="18"/>
                <w:szCs w:val="18"/>
              </w:rPr>
            </w:pPr>
            <w:r w:rsidRPr="00E776A3">
              <w:rPr>
                <w:rFonts w:asciiTheme="majorHAnsi" w:hAnsiTheme="majorHAnsi"/>
                <w:sz w:val="18"/>
                <w:szCs w:val="18"/>
              </w:rPr>
              <w:t>Medicare Part A and B expenditures ($/beneficiary)</w:t>
            </w:r>
          </w:p>
        </w:tc>
        <w:tc>
          <w:tcPr>
            <w:tcW w:w="862" w:type="pct"/>
            <w:shd w:val="clear" w:color="auto" w:fill="auto"/>
            <w:tcMar>
              <w:top w:w="29" w:type="dxa"/>
              <w:left w:w="115" w:type="dxa"/>
              <w:bottom w:w="29" w:type="dxa"/>
              <w:right w:w="115" w:type="dxa"/>
            </w:tcMar>
            <w:vAlign w:val="bottom"/>
          </w:tcPr>
          <w:p w14:paraId="3CABE32D" w14:textId="77777777" w:rsidR="00A00673" w:rsidRPr="00295B34" w:rsidRDefault="00A00673" w:rsidP="00295B34">
            <w:pPr>
              <w:pStyle w:val="TableTextDecimal"/>
              <w:framePr w:wrap="notBeside"/>
            </w:pPr>
            <w:r w:rsidRPr="00295B34">
              <w:t>2,803</w:t>
            </w:r>
          </w:p>
        </w:tc>
        <w:tc>
          <w:tcPr>
            <w:tcW w:w="966" w:type="pct"/>
            <w:shd w:val="clear" w:color="auto" w:fill="auto"/>
            <w:tcMar>
              <w:top w:w="29" w:type="dxa"/>
              <w:left w:w="115" w:type="dxa"/>
              <w:bottom w:w="29" w:type="dxa"/>
              <w:right w:w="115" w:type="dxa"/>
            </w:tcMar>
            <w:vAlign w:val="bottom"/>
          </w:tcPr>
          <w:p w14:paraId="293703B9" w14:textId="77777777" w:rsidR="00A00673" w:rsidRPr="00295B34" w:rsidRDefault="00A00673" w:rsidP="00295B34">
            <w:pPr>
              <w:pStyle w:val="TableTextDecimal"/>
              <w:framePr w:wrap="notBeside"/>
            </w:pPr>
            <w:r w:rsidRPr="00295B34">
              <w:t>2,746</w:t>
            </w:r>
          </w:p>
        </w:tc>
        <w:tc>
          <w:tcPr>
            <w:tcW w:w="743" w:type="pct"/>
            <w:shd w:val="clear" w:color="auto" w:fill="auto"/>
            <w:tcMar>
              <w:top w:w="29" w:type="dxa"/>
              <w:left w:w="115" w:type="dxa"/>
              <w:bottom w:w="29" w:type="dxa"/>
              <w:right w:w="115" w:type="dxa"/>
            </w:tcMar>
            <w:vAlign w:val="bottom"/>
          </w:tcPr>
          <w:p w14:paraId="3E96A9E6" w14:textId="77777777" w:rsidR="00A00673" w:rsidRPr="00295B34" w:rsidRDefault="00A00673" w:rsidP="00295B34">
            <w:pPr>
              <w:pStyle w:val="TableTextDecimal"/>
              <w:framePr w:wrap="notBeside"/>
            </w:pPr>
            <w:r w:rsidRPr="00295B34">
              <w:t>57</w:t>
            </w:r>
          </w:p>
        </w:tc>
        <w:tc>
          <w:tcPr>
            <w:tcW w:w="863" w:type="pct"/>
            <w:shd w:val="clear" w:color="auto" w:fill="auto"/>
            <w:tcMar>
              <w:top w:w="29" w:type="dxa"/>
              <w:left w:w="115" w:type="dxa"/>
              <w:bottom w:w="29" w:type="dxa"/>
              <w:right w:w="115" w:type="dxa"/>
            </w:tcMar>
            <w:vAlign w:val="bottom"/>
          </w:tcPr>
          <w:p w14:paraId="3500A04A" w14:textId="77777777" w:rsidR="00A00673" w:rsidRPr="00295B34" w:rsidRDefault="00A00673" w:rsidP="00295B34">
            <w:pPr>
              <w:pStyle w:val="TableTextDecimal"/>
              <w:framePr w:wrap="notBeside"/>
            </w:pPr>
            <w:r w:rsidRPr="00295B34">
              <w:t>0.05</w:t>
            </w:r>
          </w:p>
        </w:tc>
      </w:tr>
      <w:tr w:rsidR="00A00673" w:rsidRPr="001B692D" w14:paraId="5C462050"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75434D6D" w14:textId="77777777" w:rsidR="00A00673" w:rsidRPr="001B692D" w:rsidRDefault="00A00673" w:rsidP="00630740">
            <w:pPr>
              <w:spacing w:before="40" w:after="20" w:line="240" w:lineRule="auto"/>
              <w:rPr>
                <w:rFonts w:asciiTheme="majorHAnsi" w:hAnsiTheme="majorHAnsi"/>
                <w:sz w:val="18"/>
                <w:szCs w:val="18"/>
              </w:rPr>
            </w:pPr>
            <w:r w:rsidRPr="00E776A3">
              <w:rPr>
                <w:rFonts w:asciiTheme="majorHAnsi" w:hAnsiTheme="majorHAnsi"/>
                <w:sz w:val="18"/>
                <w:szCs w:val="18"/>
              </w:rPr>
              <w:t>Outpatient ED visits (#/1,000 beneficiaries)</w:t>
            </w:r>
          </w:p>
        </w:tc>
        <w:tc>
          <w:tcPr>
            <w:tcW w:w="862" w:type="pct"/>
            <w:shd w:val="clear" w:color="auto" w:fill="E0D4B5" w:themeFill="background2"/>
            <w:tcMar>
              <w:top w:w="29" w:type="dxa"/>
              <w:left w:w="115" w:type="dxa"/>
              <w:bottom w:w="29" w:type="dxa"/>
              <w:right w:w="115" w:type="dxa"/>
            </w:tcMar>
            <w:vAlign w:val="bottom"/>
          </w:tcPr>
          <w:p w14:paraId="31FE47E8" w14:textId="77777777" w:rsidR="00A00673" w:rsidRPr="00295B34" w:rsidRDefault="00A00673" w:rsidP="00295B34">
            <w:pPr>
              <w:pStyle w:val="TableTextDecimal"/>
              <w:framePr w:wrap="notBeside"/>
            </w:pPr>
            <w:r w:rsidRPr="00295B34">
              <w:t>133.4</w:t>
            </w:r>
          </w:p>
        </w:tc>
        <w:tc>
          <w:tcPr>
            <w:tcW w:w="966" w:type="pct"/>
            <w:shd w:val="clear" w:color="auto" w:fill="E0D4B5" w:themeFill="background2"/>
            <w:tcMar>
              <w:top w:w="29" w:type="dxa"/>
              <w:left w:w="115" w:type="dxa"/>
              <w:bottom w:w="29" w:type="dxa"/>
              <w:right w:w="115" w:type="dxa"/>
            </w:tcMar>
            <w:vAlign w:val="bottom"/>
          </w:tcPr>
          <w:p w14:paraId="03196C1F" w14:textId="77777777" w:rsidR="00A00673" w:rsidRPr="00295B34" w:rsidRDefault="00A00673" w:rsidP="00295B34">
            <w:pPr>
              <w:pStyle w:val="TableTextDecimal"/>
              <w:framePr w:wrap="notBeside"/>
            </w:pPr>
            <w:r w:rsidRPr="00295B34">
              <w:t>133.8</w:t>
            </w:r>
          </w:p>
        </w:tc>
        <w:tc>
          <w:tcPr>
            <w:tcW w:w="743" w:type="pct"/>
            <w:shd w:val="clear" w:color="auto" w:fill="E0D4B5" w:themeFill="background2"/>
            <w:tcMar>
              <w:top w:w="29" w:type="dxa"/>
              <w:left w:w="115" w:type="dxa"/>
              <w:bottom w:w="29" w:type="dxa"/>
              <w:right w:w="115" w:type="dxa"/>
            </w:tcMar>
            <w:vAlign w:val="bottom"/>
          </w:tcPr>
          <w:p w14:paraId="015596C4" w14:textId="77777777" w:rsidR="00A00673" w:rsidRPr="00295B34" w:rsidRDefault="00A00673" w:rsidP="00295B34">
            <w:pPr>
              <w:pStyle w:val="TableTextDecimal"/>
              <w:framePr w:wrap="notBeside"/>
            </w:pPr>
            <w:r w:rsidRPr="00295B34">
              <w:t>-0.5</w:t>
            </w:r>
          </w:p>
        </w:tc>
        <w:tc>
          <w:tcPr>
            <w:tcW w:w="863" w:type="pct"/>
            <w:shd w:val="clear" w:color="auto" w:fill="E0D4B5" w:themeFill="background2"/>
            <w:tcMar>
              <w:top w:w="29" w:type="dxa"/>
              <w:left w:w="115" w:type="dxa"/>
              <w:bottom w:w="29" w:type="dxa"/>
              <w:right w:w="115" w:type="dxa"/>
            </w:tcMar>
            <w:vAlign w:val="bottom"/>
          </w:tcPr>
          <w:p w14:paraId="4B8584D8" w14:textId="77777777" w:rsidR="00A00673" w:rsidRPr="00295B34" w:rsidRDefault="00A00673" w:rsidP="00295B34">
            <w:pPr>
              <w:pStyle w:val="TableTextDecimal"/>
              <w:framePr w:wrap="notBeside"/>
            </w:pPr>
            <w:r w:rsidRPr="00295B34">
              <w:t>0.01</w:t>
            </w:r>
          </w:p>
        </w:tc>
      </w:tr>
      <w:tr w:rsidR="00A00673" w:rsidRPr="001B692D" w14:paraId="545DFE02" w14:textId="77777777" w:rsidTr="00630740">
        <w:trPr>
          <w:trHeight w:val="20"/>
        </w:trPr>
        <w:tc>
          <w:tcPr>
            <w:tcW w:w="1566" w:type="pct"/>
            <w:shd w:val="clear" w:color="auto" w:fill="auto"/>
            <w:tcMar>
              <w:top w:w="29" w:type="dxa"/>
              <w:left w:w="115" w:type="dxa"/>
              <w:bottom w:w="29" w:type="dxa"/>
              <w:right w:w="115" w:type="dxa"/>
            </w:tcMar>
            <w:vAlign w:val="center"/>
          </w:tcPr>
          <w:p w14:paraId="09527F99" w14:textId="77777777" w:rsidR="00A00673" w:rsidRPr="001B692D" w:rsidRDefault="00A00673" w:rsidP="00630740">
            <w:pPr>
              <w:spacing w:before="40" w:after="20" w:line="240" w:lineRule="auto"/>
              <w:rPr>
                <w:rFonts w:asciiTheme="majorHAnsi" w:hAnsiTheme="majorHAnsi"/>
                <w:sz w:val="18"/>
                <w:szCs w:val="18"/>
              </w:rPr>
            </w:pPr>
            <w:r w:rsidRPr="00E776A3">
              <w:rPr>
                <w:rFonts w:asciiTheme="majorHAnsi" w:hAnsiTheme="majorHAnsi"/>
                <w:sz w:val="18"/>
                <w:szCs w:val="18"/>
              </w:rPr>
              <w:t>All-cause inpatient admissions (#/1,000 beneficiaries)</w:t>
            </w:r>
          </w:p>
        </w:tc>
        <w:tc>
          <w:tcPr>
            <w:tcW w:w="862" w:type="pct"/>
            <w:shd w:val="clear" w:color="auto" w:fill="auto"/>
            <w:tcMar>
              <w:top w:w="29" w:type="dxa"/>
              <w:left w:w="115" w:type="dxa"/>
              <w:bottom w:w="29" w:type="dxa"/>
              <w:right w:w="115" w:type="dxa"/>
            </w:tcMar>
            <w:vAlign w:val="bottom"/>
          </w:tcPr>
          <w:p w14:paraId="3CF5BE97" w14:textId="77777777" w:rsidR="00A00673" w:rsidRPr="00295B34" w:rsidRDefault="00A00673" w:rsidP="00295B34">
            <w:pPr>
              <w:pStyle w:val="TableTextDecimal"/>
              <w:framePr w:wrap="notBeside"/>
            </w:pPr>
            <w:r w:rsidRPr="00295B34">
              <w:t>76.1</w:t>
            </w:r>
          </w:p>
        </w:tc>
        <w:tc>
          <w:tcPr>
            <w:tcW w:w="966" w:type="pct"/>
            <w:shd w:val="clear" w:color="auto" w:fill="auto"/>
            <w:tcMar>
              <w:top w:w="29" w:type="dxa"/>
              <w:left w:w="115" w:type="dxa"/>
              <w:bottom w:w="29" w:type="dxa"/>
              <w:right w:w="115" w:type="dxa"/>
            </w:tcMar>
            <w:vAlign w:val="bottom"/>
          </w:tcPr>
          <w:p w14:paraId="3A9D6E90" w14:textId="77777777" w:rsidR="00A00673" w:rsidRPr="00295B34" w:rsidRDefault="00A00673" w:rsidP="00295B34">
            <w:pPr>
              <w:pStyle w:val="TableTextDecimal"/>
              <w:framePr w:wrap="notBeside"/>
            </w:pPr>
            <w:r w:rsidRPr="00295B34">
              <w:t>75.5</w:t>
            </w:r>
          </w:p>
        </w:tc>
        <w:tc>
          <w:tcPr>
            <w:tcW w:w="743" w:type="pct"/>
            <w:shd w:val="clear" w:color="auto" w:fill="auto"/>
            <w:tcMar>
              <w:top w:w="29" w:type="dxa"/>
              <w:left w:w="115" w:type="dxa"/>
              <w:bottom w:w="29" w:type="dxa"/>
              <w:right w:w="115" w:type="dxa"/>
            </w:tcMar>
            <w:vAlign w:val="bottom"/>
          </w:tcPr>
          <w:p w14:paraId="44A75DA2" w14:textId="77777777" w:rsidR="00A00673" w:rsidRPr="00295B34" w:rsidRDefault="00A00673" w:rsidP="00295B34">
            <w:pPr>
              <w:pStyle w:val="TableTextDecimal"/>
              <w:framePr w:wrap="notBeside"/>
            </w:pPr>
            <w:r w:rsidRPr="00295B34">
              <w:t>0.6</w:t>
            </w:r>
          </w:p>
        </w:tc>
        <w:tc>
          <w:tcPr>
            <w:tcW w:w="863" w:type="pct"/>
            <w:shd w:val="clear" w:color="auto" w:fill="auto"/>
            <w:tcMar>
              <w:top w:w="29" w:type="dxa"/>
              <w:left w:w="115" w:type="dxa"/>
              <w:bottom w:w="29" w:type="dxa"/>
              <w:right w:w="115" w:type="dxa"/>
            </w:tcMar>
            <w:vAlign w:val="bottom"/>
          </w:tcPr>
          <w:p w14:paraId="63BFE917" w14:textId="77777777" w:rsidR="00A00673" w:rsidRPr="00295B34" w:rsidRDefault="00A00673" w:rsidP="00295B34">
            <w:pPr>
              <w:pStyle w:val="TableTextDecimal"/>
              <w:framePr w:wrap="notBeside"/>
            </w:pPr>
            <w:r w:rsidRPr="00295B34">
              <w:t>0.02</w:t>
            </w:r>
          </w:p>
        </w:tc>
      </w:tr>
      <w:tr w:rsidR="00A00673" w:rsidRPr="00AD6561" w14:paraId="05FF9270" w14:textId="77777777" w:rsidTr="00630740">
        <w:trPr>
          <w:trHeight w:val="79"/>
        </w:trPr>
        <w:tc>
          <w:tcPr>
            <w:tcW w:w="5000" w:type="pct"/>
            <w:gridSpan w:val="5"/>
            <w:shd w:val="clear" w:color="auto" w:fill="0B2949" w:themeFill="accent1"/>
            <w:tcMar>
              <w:top w:w="29" w:type="dxa"/>
              <w:left w:w="115" w:type="dxa"/>
              <w:bottom w:w="29" w:type="dxa"/>
              <w:right w:w="115" w:type="dxa"/>
            </w:tcMar>
            <w:vAlign w:val="center"/>
          </w:tcPr>
          <w:p w14:paraId="34E666B9" w14:textId="77777777" w:rsidR="00A00673" w:rsidRPr="00AD6561" w:rsidRDefault="00A00673" w:rsidP="00A95003">
            <w:pPr>
              <w:pStyle w:val="TableRowHead"/>
            </w:pPr>
            <w:r>
              <w:t>Beneficiary characteristics</w:t>
            </w:r>
          </w:p>
        </w:tc>
      </w:tr>
      <w:tr w:rsidR="00A00673" w:rsidRPr="00AD6561" w14:paraId="6F11244C" w14:textId="77777777" w:rsidTr="00630740">
        <w:trPr>
          <w:trHeight w:val="20"/>
        </w:trPr>
        <w:tc>
          <w:tcPr>
            <w:tcW w:w="1566" w:type="pct"/>
            <w:shd w:val="clear" w:color="auto" w:fill="auto"/>
            <w:tcMar>
              <w:top w:w="29" w:type="dxa"/>
              <w:left w:w="115" w:type="dxa"/>
              <w:bottom w:w="29" w:type="dxa"/>
              <w:right w:w="115" w:type="dxa"/>
            </w:tcMar>
            <w:vAlign w:val="center"/>
          </w:tcPr>
          <w:p w14:paraId="38A19440" w14:textId="77777777" w:rsidR="00A00673" w:rsidRPr="00AD6561" w:rsidRDefault="00A00673" w:rsidP="00A95003">
            <w:pPr>
              <w:pStyle w:val="TableTextLeft"/>
            </w:pPr>
            <w:r>
              <w:t>Age</w:t>
            </w:r>
          </w:p>
        </w:tc>
        <w:tc>
          <w:tcPr>
            <w:tcW w:w="862" w:type="pct"/>
            <w:shd w:val="clear" w:color="auto" w:fill="auto"/>
            <w:tcMar>
              <w:top w:w="29" w:type="dxa"/>
              <w:left w:w="115" w:type="dxa"/>
              <w:bottom w:w="29" w:type="dxa"/>
              <w:right w:w="115" w:type="dxa"/>
            </w:tcMar>
            <w:vAlign w:val="bottom"/>
          </w:tcPr>
          <w:p w14:paraId="29C1329E" w14:textId="77777777" w:rsidR="00A00673" w:rsidRPr="00AD6561" w:rsidRDefault="00A00673" w:rsidP="00295B34">
            <w:pPr>
              <w:pStyle w:val="TableTextDecimal"/>
              <w:framePr w:wrap="notBeside"/>
            </w:pPr>
            <w:r>
              <w:t>71.7</w:t>
            </w:r>
          </w:p>
        </w:tc>
        <w:tc>
          <w:tcPr>
            <w:tcW w:w="966" w:type="pct"/>
            <w:shd w:val="clear" w:color="auto" w:fill="auto"/>
            <w:tcMar>
              <w:top w:w="29" w:type="dxa"/>
              <w:left w:w="115" w:type="dxa"/>
              <w:bottom w:w="29" w:type="dxa"/>
              <w:right w:w="115" w:type="dxa"/>
            </w:tcMar>
            <w:vAlign w:val="bottom"/>
          </w:tcPr>
          <w:p w14:paraId="73BFA94B" w14:textId="77777777" w:rsidR="00A00673" w:rsidRPr="00AD6561" w:rsidRDefault="00A00673" w:rsidP="00295B34">
            <w:pPr>
              <w:pStyle w:val="TableTextDecimal"/>
              <w:framePr w:wrap="notBeside"/>
            </w:pPr>
            <w:r>
              <w:t>71.7</w:t>
            </w:r>
          </w:p>
        </w:tc>
        <w:tc>
          <w:tcPr>
            <w:tcW w:w="743" w:type="pct"/>
            <w:shd w:val="clear" w:color="auto" w:fill="auto"/>
            <w:tcMar>
              <w:top w:w="29" w:type="dxa"/>
              <w:left w:w="115" w:type="dxa"/>
              <w:bottom w:w="29" w:type="dxa"/>
              <w:right w:w="115" w:type="dxa"/>
            </w:tcMar>
            <w:vAlign w:val="bottom"/>
          </w:tcPr>
          <w:p w14:paraId="1ACE908B" w14:textId="77777777" w:rsidR="00A00673" w:rsidRPr="00AD6561" w:rsidRDefault="00A00673" w:rsidP="00295B34">
            <w:pPr>
              <w:pStyle w:val="TableTextDecimal"/>
              <w:framePr w:wrap="notBeside"/>
            </w:pPr>
            <w:r>
              <w:t>-0.1</w:t>
            </w:r>
          </w:p>
        </w:tc>
        <w:tc>
          <w:tcPr>
            <w:tcW w:w="863" w:type="pct"/>
            <w:tcMar>
              <w:top w:w="29" w:type="dxa"/>
              <w:left w:w="115" w:type="dxa"/>
              <w:bottom w:w="29" w:type="dxa"/>
              <w:right w:w="115" w:type="dxa"/>
            </w:tcMar>
            <w:vAlign w:val="bottom"/>
          </w:tcPr>
          <w:p w14:paraId="018BE65D" w14:textId="77777777" w:rsidR="00A00673" w:rsidRPr="00AD6561" w:rsidRDefault="00A00673" w:rsidP="00295B34">
            <w:pPr>
              <w:pStyle w:val="TableTextDecimal"/>
              <w:framePr w:wrap="notBeside"/>
            </w:pPr>
            <w:r>
              <w:t>0.01</w:t>
            </w:r>
          </w:p>
        </w:tc>
      </w:tr>
      <w:tr w:rsidR="00A00673" w:rsidRPr="00AD6561" w14:paraId="5204E335"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7FAA5F62" w14:textId="77777777" w:rsidR="00A00673" w:rsidRPr="00AD6561" w:rsidRDefault="00A00673" w:rsidP="00A95003">
            <w:pPr>
              <w:pStyle w:val="TableTextLeft"/>
            </w:pPr>
            <w:r w:rsidRPr="00B85761">
              <w:t>Female (%)</w:t>
            </w:r>
          </w:p>
        </w:tc>
        <w:tc>
          <w:tcPr>
            <w:tcW w:w="862" w:type="pct"/>
            <w:shd w:val="clear" w:color="auto" w:fill="E0D4B5" w:themeFill="background2"/>
            <w:tcMar>
              <w:top w:w="29" w:type="dxa"/>
              <w:left w:w="115" w:type="dxa"/>
              <w:bottom w:w="29" w:type="dxa"/>
              <w:right w:w="115" w:type="dxa"/>
            </w:tcMar>
            <w:vAlign w:val="bottom"/>
          </w:tcPr>
          <w:p w14:paraId="461A2E02" w14:textId="77777777" w:rsidR="00A00673" w:rsidRPr="00AD6561" w:rsidRDefault="00A00673" w:rsidP="00295B34">
            <w:pPr>
              <w:pStyle w:val="TableTextDecimal"/>
              <w:framePr w:wrap="notBeside"/>
            </w:pPr>
            <w:r>
              <w:t>56.5</w:t>
            </w:r>
          </w:p>
        </w:tc>
        <w:tc>
          <w:tcPr>
            <w:tcW w:w="966" w:type="pct"/>
            <w:shd w:val="clear" w:color="auto" w:fill="E0D4B5" w:themeFill="background2"/>
            <w:tcMar>
              <w:top w:w="29" w:type="dxa"/>
              <w:left w:w="115" w:type="dxa"/>
              <w:bottom w:w="29" w:type="dxa"/>
              <w:right w:w="115" w:type="dxa"/>
            </w:tcMar>
            <w:vAlign w:val="bottom"/>
          </w:tcPr>
          <w:p w14:paraId="7563E2DB" w14:textId="77777777" w:rsidR="00A00673" w:rsidRPr="00AD6561" w:rsidRDefault="00A00673" w:rsidP="00295B34">
            <w:pPr>
              <w:pStyle w:val="TableTextDecimal"/>
              <w:framePr w:wrap="notBeside"/>
            </w:pPr>
            <w:r>
              <w:t>56.8</w:t>
            </w:r>
          </w:p>
        </w:tc>
        <w:tc>
          <w:tcPr>
            <w:tcW w:w="743" w:type="pct"/>
            <w:shd w:val="clear" w:color="auto" w:fill="E0D4B5" w:themeFill="background2"/>
            <w:tcMar>
              <w:top w:w="29" w:type="dxa"/>
              <w:left w:w="115" w:type="dxa"/>
              <w:bottom w:w="29" w:type="dxa"/>
              <w:right w:w="115" w:type="dxa"/>
            </w:tcMar>
            <w:vAlign w:val="bottom"/>
          </w:tcPr>
          <w:p w14:paraId="1402ED7D" w14:textId="77777777" w:rsidR="00A00673" w:rsidRPr="00AD6561" w:rsidRDefault="00A00673" w:rsidP="00295B34">
            <w:pPr>
              <w:pStyle w:val="TableTextDecimal"/>
              <w:framePr w:wrap="notBeside"/>
            </w:pPr>
            <w:r>
              <w:t>-0.3</w:t>
            </w:r>
          </w:p>
        </w:tc>
        <w:tc>
          <w:tcPr>
            <w:tcW w:w="863" w:type="pct"/>
            <w:shd w:val="clear" w:color="auto" w:fill="E0D4B5" w:themeFill="background2"/>
            <w:tcMar>
              <w:top w:w="29" w:type="dxa"/>
              <w:left w:w="115" w:type="dxa"/>
              <w:bottom w:w="29" w:type="dxa"/>
              <w:right w:w="115" w:type="dxa"/>
            </w:tcMar>
            <w:vAlign w:val="bottom"/>
          </w:tcPr>
          <w:p w14:paraId="4F5D86B0" w14:textId="77777777" w:rsidR="00A00673" w:rsidRPr="00AD6561" w:rsidRDefault="00A00673" w:rsidP="00295B34">
            <w:pPr>
              <w:pStyle w:val="TableTextDecimal"/>
              <w:framePr w:wrap="notBeside"/>
            </w:pPr>
            <w:r>
              <w:t>0.04</w:t>
            </w:r>
          </w:p>
        </w:tc>
      </w:tr>
      <w:tr w:rsidR="00A00673" w:rsidRPr="00AD6561" w14:paraId="55109155" w14:textId="77777777" w:rsidTr="00630740">
        <w:trPr>
          <w:trHeight w:val="20"/>
        </w:trPr>
        <w:tc>
          <w:tcPr>
            <w:tcW w:w="1566" w:type="pct"/>
            <w:shd w:val="clear" w:color="auto" w:fill="auto"/>
            <w:tcMar>
              <w:top w:w="29" w:type="dxa"/>
              <w:left w:w="115" w:type="dxa"/>
              <w:bottom w:w="29" w:type="dxa"/>
              <w:right w:w="115" w:type="dxa"/>
            </w:tcMar>
            <w:vAlign w:val="center"/>
          </w:tcPr>
          <w:p w14:paraId="208D36DB" w14:textId="77777777" w:rsidR="00A00673" w:rsidRPr="00AD6561" w:rsidRDefault="00A00673" w:rsidP="00A95003">
            <w:pPr>
              <w:pStyle w:val="TableTextLeft"/>
            </w:pPr>
            <w:r w:rsidRPr="00B85761">
              <w:t>Race/ethnicity (%)</w:t>
            </w:r>
          </w:p>
        </w:tc>
        <w:tc>
          <w:tcPr>
            <w:tcW w:w="862" w:type="pct"/>
            <w:shd w:val="clear" w:color="auto" w:fill="auto"/>
            <w:tcMar>
              <w:top w:w="29" w:type="dxa"/>
              <w:left w:w="115" w:type="dxa"/>
              <w:bottom w:w="29" w:type="dxa"/>
              <w:right w:w="115" w:type="dxa"/>
            </w:tcMar>
            <w:vAlign w:val="bottom"/>
          </w:tcPr>
          <w:p w14:paraId="647E37CA" w14:textId="77777777" w:rsidR="00A00673" w:rsidRPr="00AD6561" w:rsidRDefault="00A00673" w:rsidP="00295B34">
            <w:pPr>
              <w:pStyle w:val="TableTextDecimal"/>
              <w:framePr w:wrap="notBeside"/>
            </w:pPr>
          </w:p>
        </w:tc>
        <w:tc>
          <w:tcPr>
            <w:tcW w:w="966" w:type="pct"/>
            <w:shd w:val="clear" w:color="auto" w:fill="auto"/>
            <w:tcMar>
              <w:top w:w="29" w:type="dxa"/>
              <w:left w:w="115" w:type="dxa"/>
              <w:bottom w:w="29" w:type="dxa"/>
              <w:right w:w="115" w:type="dxa"/>
            </w:tcMar>
            <w:vAlign w:val="bottom"/>
          </w:tcPr>
          <w:p w14:paraId="592F1E1E" w14:textId="77777777" w:rsidR="00A00673" w:rsidRPr="00AD6561" w:rsidRDefault="00A00673" w:rsidP="00295B34">
            <w:pPr>
              <w:pStyle w:val="TableTextDecimal"/>
              <w:framePr w:wrap="notBeside"/>
            </w:pPr>
          </w:p>
        </w:tc>
        <w:tc>
          <w:tcPr>
            <w:tcW w:w="743" w:type="pct"/>
            <w:shd w:val="clear" w:color="auto" w:fill="auto"/>
            <w:tcMar>
              <w:top w:w="29" w:type="dxa"/>
              <w:left w:w="115" w:type="dxa"/>
              <w:bottom w:w="29" w:type="dxa"/>
              <w:right w:w="115" w:type="dxa"/>
            </w:tcMar>
            <w:vAlign w:val="bottom"/>
          </w:tcPr>
          <w:p w14:paraId="7FA347A6" w14:textId="77777777" w:rsidR="00A00673" w:rsidRPr="00AD6561" w:rsidRDefault="00A00673" w:rsidP="00295B34">
            <w:pPr>
              <w:pStyle w:val="TableTextDecimal"/>
              <w:framePr w:wrap="notBeside"/>
            </w:pPr>
          </w:p>
        </w:tc>
        <w:tc>
          <w:tcPr>
            <w:tcW w:w="863" w:type="pct"/>
            <w:tcMar>
              <w:top w:w="29" w:type="dxa"/>
              <w:left w:w="115" w:type="dxa"/>
              <w:bottom w:w="29" w:type="dxa"/>
              <w:right w:w="115" w:type="dxa"/>
            </w:tcMar>
            <w:vAlign w:val="bottom"/>
          </w:tcPr>
          <w:p w14:paraId="3600BAF1" w14:textId="77777777" w:rsidR="00A00673" w:rsidRPr="00AD6561" w:rsidRDefault="00A00673" w:rsidP="00295B34">
            <w:pPr>
              <w:pStyle w:val="TableTextDecimal"/>
              <w:framePr w:wrap="notBeside"/>
            </w:pPr>
          </w:p>
        </w:tc>
      </w:tr>
      <w:tr w:rsidR="00A00673" w:rsidRPr="00AD6561" w14:paraId="632FFD7A"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77A4454A" w14:textId="77777777" w:rsidR="00A00673" w:rsidRPr="00AD6561" w:rsidRDefault="00A00673" w:rsidP="00E57C91">
            <w:pPr>
              <w:pStyle w:val="TableTextLeft"/>
              <w:ind w:left="245"/>
            </w:pPr>
            <w:r w:rsidRPr="00B85761">
              <w:t>White</w:t>
            </w:r>
          </w:p>
        </w:tc>
        <w:tc>
          <w:tcPr>
            <w:tcW w:w="862" w:type="pct"/>
            <w:shd w:val="clear" w:color="auto" w:fill="E0D4B5" w:themeFill="background2"/>
            <w:tcMar>
              <w:top w:w="29" w:type="dxa"/>
              <w:left w:w="115" w:type="dxa"/>
              <w:bottom w:w="29" w:type="dxa"/>
              <w:right w:w="115" w:type="dxa"/>
            </w:tcMar>
            <w:vAlign w:val="bottom"/>
          </w:tcPr>
          <w:p w14:paraId="740318CC" w14:textId="77777777" w:rsidR="00A00673" w:rsidRPr="00AD6561" w:rsidRDefault="00A00673" w:rsidP="00295B34">
            <w:pPr>
              <w:pStyle w:val="TableTextDecimal"/>
              <w:framePr w:wrap="notBeside"/>
            </w:pPr>
            <w:r>
              <w:t>83.6</w:t>
            </w:r>
          </w:p>
        </w:tc>
        <w:tc>
          <w:tcPr>
            <w:tcW w:w="966" w:type="pct"/>
            <w:shd w:val="clear" w:color="auto" w:fill="E0D4B5" w:themeFill="background2"/>
            <w:tcMar>
              <w:top w:w="29" w:type="dxa"/>
              <w:left w:w="115" w:type="dxa"/>
              <w:bottom w:w="29" w:type="dxa"/>
              <w:right w:w="115" w:type="dxa"/>
            </w:tcMar>
            <w:vAlign w:val="bottom"/>
          </w:tcPr>
          <w:p w14:paraId="35DB401F" w14:textId="77777777" w:rsidR="00A00673" w:rsidRPr="00AD6561" w:rsidRDefault="00A00673" w:rsidP="00295B34">
            <w:pPr>
              <w:pStyle w:val="TableTextDecimal"/>
              <w:framePr w:wrap="notBeside"/>
            </w:pPr>
            <w:r>
              <w:t>84.0</w:t>
            </w:r>
          </w:p>
        </w:tc>
        <w:tc>
          <w:tcPr>
            <w:tcW w:w="743" w:type="pct"/>
            <w:shd w:val="clear" w:color="auto" w:fill="E0D4B5" w:themeFill="background2"/>
            <w:tcMar>
              <w:top w:w="29" w:type="dxa"/>
              <w:left w:w="115" w:type="dxa"/>
              <w:bottom w:w="29" w:type="dxa"/>
              <w:right w:w="115" w:type="dxa"/>
            </w:tcMar>
            <w:vAlign w:val="bottom"/>
          </w:tcPr>
          <w:p w14:paraId="3737C266" w14:textId="77777777" w:rsidR="00A00673" w:rsidRPr="00AD6561" w:rsidRDefault="00A00673" w:rsidP="00295B34">
            <w:pPr>
              <w:pStyle w:val="TableTextDecimal"/>
              <w:framePr w:wrap="notBeside"/>
            </w:pPr>
            <w:r>
              <w:t>-0.3</w:t>
            </w:r>
          </w:p>
        </w:tc>
        <w:tc>
          <w:tcPr>
            <w:tcW w:w="863" w:type="pct"/>
            <w:shd w:val="clear" w:color="auto" w:fill="E0D4B5" w:themeFill="background2"/>
            <w:tcMar>
              <w:top w:w="29" w:type="dxa"/>
              <w:left w:w="115" w:type="dxa"/>
              <w:bottom w:w="29" w:type="dxa"/>
              <w:right w:w="115" w:type="dxa"/>
            </w:tcMar>
            <w:vAlign w:val="bottom"/>
          </w:tcPr>
          <w:p w14:paraId="7129946D" w14:textId="77777777" w:rsidR="00A00673" w:rsidRPr="00AD6561" w:rsidRDefault="00A00673" w:rsidP="00295B34">
            <w:pPr>
              <w:pStyle w:val="TableTextDecimal"/>
              <w:framePr w:wrap="notBeside"/>
            </w:pPr>
            <w:r>
              <w:t>0.02</w:t>
            </w:r>
          </w:p>
        </w:tc>
      </w:tr>
      <w:tr w:rsidR="00A00673" w:rsidRPr="00AD6561" w14:paraId="3FBFA5C9" w14:textId="77777777" w:rsidTr="00630740">
        <w:trPr>
          <w:trHeight w:val="20"/>
        </w:trPr>
        <w:tc>
          <w:tcPr>
            <w:tcW w:w="1566" w:type="pct"/>
            <w:shd w:val="clear" w:color="auto" w:fill="auto"/>
            <w:tcMar>
              <w:top w:w="29" w:type="dxa"/>
              <w:left w:w="115" w:type="dxa"/>
              <w:bottom w:w="29" w:type="dxa"/>
              <w:right w:w="115" w:type="dxa"/>
            </w:tcMar>
            <w:vAlign w:val="center"/>
          </w:tcPr>
          <w:p w14:paraId="431C101B" w14:textId="77777777" w:rsidR="00A00673" w:rsidRPr="00AD6561" w:rsidRDefault="00A00673" w:rsidP="00E57C91">
            <w:pPr>
              <w:pStyle w:val="TableTextLeft"/>
              <w:ind w:left="245"/>
            </w:pPr>
            <w:r w:rsidRPr="00B85761">
              <w:t>Black</w:t>
            </w:r>
          </w:p>
        </w:tc>
        <w:tc>
          <w:tcPr>
            <w:tcW w:w="862" w:type="pct"/>
            <w:shd w:val="clear" w:color="auto" w:fill="auto"/>
            <w:tcMar>
              <w:top w:w="29" w:type="dxa"/>
              <w:left w:w="115" w:type="dxa"/>
              <w:bottom w:w="29" w:type="dxa"/>
              <w:right w:w="115" w:type="dxa"/>
            </w:tcMar>
            <w:vAlign w:val="bottom"/>
          </w:tcPr>
          <w:p w14:paraId="26A2AD08" w14:textId="77777777" w:rsidR="00A00673" w:rsidRPr="00AD6561" w:rsidRDefault="00A00673" w:rsidP="00295B34">
            <w:pPr>
              <w:pStyle w:val="TableTextDecimal"/>
              <w:framePr w:wrap="notBeside"/>
            </w:pPr>
            <w:r>
              <w:t>10.5</w:t>
            </w:r>
          </w:p>
        </w:tc>
        <w:tc>
          <w:tcPr>
            <w:tcW w:w="966" w:type="pct"/>
            <w:shd w:val="clear" w:color="auto" w:fill="auto"/>
            <w:tcMar>
              <w:top w:w="29" w:type="dxa"/>
              <w:left w:w="115" w:type="dxa"/>
              <w:bottom w:w="29" w:type="dxa"/>
              <w:right w:w="115" w:type="dxa"/>
            </w:tcMar>
            <w:vAlign w:val="bottom"/>
          </w:tcPr>
          <w:p w14:paraId="49D4E1D9" w14:textId="77777777" w:rsidR="00A00673" w:rsidRPr="00AD6561" w:rsidRDefault="00A00673" w:rsidP="00295B34">
            <w:pPr>
              <w:pStyle w:val="TableTextDecimal"/>
              <w:framePr w:wrap="notBeside"/>
            </w:pPr>
            <w:r>
              <w:t>9.7</w:t>
            </w:r>
          </w:p>
        </w:tc>
        <w:tc>
          <w:tcPr>
            <w:tcW w:w="743" w:type="pct"/>
            <w:shd w:val="clear" w:color="auto" w:fill="auto"/>
            <w:tcMar>
              <w:top w:w="29" w:type="dxa"/>
              <w:left w:w="115" w:type="dxa"/>
              <w:bottom w:w="29" w:type="dxa"/>
              <w:right w:w="115" w:type="dxa"/>
            </w:tcMar>
            <w:vAlign w:val="bottom"/>
          </w:tcPr>
          <w:p w14:paraId="06E928CA" w14:textId="77777777" w:rsidR="00A00673" w:rsidRPr="00AD6561" w:rsidRDefault="00A00673" w:rsidP="00295B34">
            <w:pPr>
              <w:pStyle w:val="TableTextDecimal"/>
              <w:framePr w:wrap="notBeside"/>
            </w:pPr>
            <w:r>
              <w:t>0.7</w:t>
            </w:r>
          </w:p>
        </w:tc>
        <w:tc>
          <w:tcPr>
            <w:tcW w:w="863" w:type="pct"/>
            <w:tcMar>
              <w:top w:w="29" w:type="dxa"/>
              <w:left w:w="115" w:type="dxa"/>
              <w:bottom w:w="29" w:type="dxa"/>
              <w:right w:w="115" w:type="dxa"/>
            </w:tcMar>
            <w:vAlign w:val="bottom"/>
          </w:tcPr>
          <w:p w14:paraId="39CE7086" w14:textId="77777777" w:rsidR="00A00673" w:rsidRPr="00AD6561" w:rsidRDefault="00A00673" w:rsidP="00295B34">
            <w:pPr>
              <w:pStyle w:val="TableTextDecimal"/>
              <w:framePr w:wrap="notBeside"/>
            </w:pPr>
            <w:r>
              <w:t>0.05</w:t>
            </w:r>
          </w:p>
        </w:tc>
      </w:tr>
      <w:tr w:rsidR="00A00673" w:rsidRPr="00AD6561" w14:paraId="13C0BA63"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3647F972" w14:textId="77777777" w:rsidR="00A00673" w:rsidRPr="00AD6561" w:rsidRDefault="00A00673" w:rsidP="00E57C91">
            <w:pPr>
              <w:pStyle w:val="TableTextLeft"/>
              <w:ind w:left="245"/>
            </w:pPr>
            <w:r w:rsidRPr="00B85761">
              <w:t>Asian</w:t>
            </w:r>
          </w:p>
        </w:tc>
        <w:tc>
          <w:tcPr>
            <w:tcW w:w="862" w:type="pct"/>
            <w:shd w:val="clear" w:color="auto" w:fill="E0D4B5" w:themeFill="background2"/>
            <w:tcMar>
              <w:top w:w="29" w:type="dxa"/>
              <w:left w:w="115" w:type="dxa"/>
              <w:bottom w:w="29" w:type="dxa"/>
              <w:right w:w="115" w:type="dxa"/>
            </w:tcMar>
            <w:vAlign w:val="bottom"/>
          </w:tcPr>
          <w:p w14:paraId="023953B3" w14:textId="77777777" w:rsidR="00A00673" w:rsidRPr="00AD6561" w:rsidRDefault="00A00673" w:rsidP="00295B34">
            <w:pPr>
              <w:pStyle w:val="TableTextDecimal"/>
              <w:framePr w:wrap="notBeside"/>
            </w:pPr>
            <w:r>
              <w:t>2.2</w:t>
            </w:r>
          </w:p>
        </w:tc>
        <w:tc>
          <w:tcPr>
            <w:tcW w:w="966" w:type="pct"/>
            <w:shd w:val="clear" w:color="auto" w:fill="E0D4B5" w:themeFill="background2"/>
            <w:tcMar>
              <w:top w:w="29" w:type="dxa"/>
              <w:left w:w="115" w:type="dxa"/>
              <w:bottom w:w="29" w:type="dxa"/>
              <w:right w:w="115" w:type="dxa"/>
            </w:tcMar>
            <w:vAlign w:val="bottom"/>
          </w:tcPr>
          <w:p w14:paraId="6C4C9FDD" w14:textId="77777777" w:rsidR="00A00673" w:rsidRPr="00AD6561" w:rsidRDefault="00A00673" w:rsidP="00295B34">
            <w:pPr>
              <w:pStyle w:val="TableTextDecimal"/>
              <w:framePr w:wrap="notBeside"/>
            </w:pPr>
            <w:r>
              <w:t>2.3</w:t>
            </w:r>
          </w:p>
        </w:tc>
        <w:tc>
          <w:tcPr>
            <w:tcW w:w="743" w:type="pct"/>
            <w:shd w:val="clear" w:color="auto" w:fill="E0D4B5" w:themeFill="background2"/>
            <w:tcMar>
              <w:top w:w="29" w:type="dxa"/>
              <w:left w:w="115" w:type="dxa"/>
              <w:bottom w:w="29" w:type="dxa"/>
              <w:right w:w="115" w:type="dxa"/>
            </w:tcMar>
            <w:vAlign w:val="bottom"/>
          </w:tcPr>
          <w:p w14:paraId="529DD713" w14:textId="77777777" w:rsidR="00A00673" w:rsidRPr="00AD6561" w:rsidRDefault="00A00673" w:rsidP="00295B34">
            <w:pPr>
              <w:pStyle w:val="TableTextDecimal"/>
              <w:framePr w:wrap="notBeside"/>
            </w:pPr>
            <w:r>
              <w:t>-0.1</w:t>
            </w:r>
          </w:p>
        </w:tc>
        <w:tc>
          <w:tcPr>
            <w:tcW w:w="863" w:type="pct"/>
            <w:shd w:val="clear" w:color="auto" w:fill="E0D4B5" w:themeFill="background2"/>
            <w:tcMar>
              <w:top w:w="29" w:type="dxa"/>
              <w:left w:w="115" w:type="dxa"/>
              <w:bottom w:w="29" w:type="dxa"/>
              <w:right w:w="115" w:type="dxa"/>
            </w:tcMar>
            <w:vAlign w:val="bottom"/>
          </w:tcPr>
          <w:p w14:paraId="0C50D324" w14:textId="77777777" w:rsidR="00A00673" w:rsidRPr="00AD6561" w:rsidRDefault="00A00673" w:rsidP="00295B34">
            <w:pPr>
              <w:pStyle w:val="TableTextDecimal"/>
              <w:framePr w:wrap="notBeside"/>
            </w:pPr>
            <w:r>
              <w:t>0.01</w:t>
            </w:r>
          </w:p>
        </w:tc>
      </w:tr>
      <w:tr w:rsidR="00A00673" w:rsidRPr="00AD6561" w14:paraId="357D1233" w14:textId="77777777" w:rsidTr="00630740">
        <w:trPr>
          <w:trHeight w:val="20"/>
        </w:trPr>
        <w:tc>
          <w:tcPr>
            <w:tcW w:w="1566" w:type="pct"/>
            <w:shd w:val="clear" w:color="auto" w:fill="auto"/>
            <w:tcMar>
              <w:top w:w="29" w:type="dxa"/>
              <w:left w:w="115" w:type="dxa"/>
              <w:bottom w:w="29" w:type="dxa"/>
              <w:right w:w="115" w:type="dxa"/>
            </w:tcMar>
            <w:vAlign w:val="center"/>
          </w:tcPr>
          <w:p w14:paraId="63BB252E" w14:textId="77777777" w:rsidR="00A00673" w:rsidRPr="00AD6561" w:rsidRDefault="00A00673" w:rsidP="00E57C91">
            <w:pPr>
              <w:pStyle w:val="TableTextLeft"/>
              <w:ind w:left="245"/>
            </w:pPr>
            <w:r w:rsidRPr="00B85761">
              <w:t>Hispanic ethnicity</w:t>
            </w:r>
          </w:p>
        </w:tc>
        <w:tc>
          <w:tcPr>
            <w:tcW w:w="862" w:type="pct"/>
            <w:shd w:val="clear" w:color="auto" w:fill="auto"/>
            <w:tcMar>
              <w:top w:w="29" w:type="dxa"/>
              <w:left w:w="115" w:type="dxa"/>
              <w:bottom w:w="29" w:type="dxa"/>
              <w:right w:w="115" w:type="dxa"/>
            </w:tcMar>
            <w:vAlign w:val="bottom"/>
          </w:tcPr>
          <w:p w14:paraId="1D8E3EEA" w14:textId="77777777" w:rsidR="00A00673" w:rsidRPr="00AD6561" w:rsidRDefault="00A00673" w:rsidP="00295B34">
            <w:pPr>
              <w:pStyle w:val="TableTextDecimal"/>
              <w:framePr w:wrap="notBeside"/>
            </w:pPr>
            <w:r>
              <w:t>1.7</w:t>
            </w:r>
          </w:p>
        </w:tc>
        <w:tc>
          <w:tcPr>
            <w:tcW w:w="966" w:type="pct"/>
            <w:shd w:val="clear" w:color="auto" w:fill="auto"/>
            <w:tcMar>
              <w:top w:w="29" w:type="dxa"/>
              <w:left w:w="115" w:type="dxa"/>
              <w:bottom w:w="29" w:type="dxa"/>
              <w:right w:w="115" w:type="dxa"/>
            </w:tcMar>
            <w:vAlign w:val="bottom"/>
          </w:tcPr>
          <w:p w14:paraId="75104B61" w14:textId="77777777" w:rsidR="00A00673" w:rsidRPr="00AD6561" w:rsidRDefault="00A00673" w:rsidP="00295B34">
            <w:pPr>
              <w:pStyle w:val="TableTextDecimal"/>
              <w:framePr w:wrap="notBeside"/>
            </w:pPr>
            <w:r>
              <w:t>1.5</w:t>
            </w:r>
          </w:p>
        </w:tc>
        <w:tc>
          <w:tcPr>
            <w:tcW w:w="743" w:type="pct"/>
            <w:shd w:val="clear" w:color="auto" w:fill="auto"/>
            <w:tcMar>
              <w:top w:w="29" w:type="dxa"/>
              <w:left w:w="115" w:type="dxa"/>
              <w:bottom w:w="29" w:type="dxa"/>
              <w:right w:w="115" w:type="dxa"/>
            </w:tcMar>
            <w:vAlign w:val="bottom"/>
          </w:tcPr>
          <w:p w14:paraId="0D28C72C" w14:textId="77777777" w:rsidR="00A00673" w:rsidRPr="00AD6561" w:rsidRDefault="00A00673" w:rsidP="00295B34">
            <w:pPr>
              <w:pStyle w:val="TableTextDecimal"/>
              <w:framePr w:wrap="notBeside"/>
            </w:pPr>
            <w:r>
              <w:t>0.2</w:t>
            </w:r>
          </w:p>
        </w:tc>
        <w:tc>
          <w:tcPr>
            <w:tcW w:w="863" w:type="pct"/>
            <w:tcMar>
              <w:top w:w="29" w:type="dxa"/>
              <w:left w:w="115" w:type="dxa"/>
              <w:bottom w:w="29" w:type="dxa"/>
              <w:right w:w="115" w:type="dxa"/>
            </w:tcMar>
            <w:vAlign w:val="bottom"/>
          </w:tcPr>
          <w:p w14:paraId="706D8B12" w14:textId="77777777" w:rsidR="00A00673" w:rsidRPr="00AD6561" w:rsidRDefault="00A00673" w:rsidP="00295B34">
            <w:pPr>
              <w:pStyle w:val="TableTextDecimal"/>
              <w:framePr w:wrap="notBeside"/>
            </w:pPr>
            <w:r>
              <w:t>0.04</w:t>
            </w:r>
          </w:p>
        </w:tc>
      </w:tr>
      <w:tr w:rsidR="00A00673" w:rsidRPr="00AD6561" w14:paraId="04D9C897"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1A2FEE4B" w14:textId="77777777" w:rsidR="00A00673" w:rsidRPr="00AD6561" w:rsidRDefault="00A00673" w:rsidP="00E57C91">
            <w:pPr>
              <w:pStyle w:val="TableTextLeft"/>
              <w:ind w:left="245"/>
            </w:pPr>
            <w:r w:rsidRPr="00B85761">
              <w:t>North American Native or other</w:t>
            </w:r>
          </w:p>
        </w:tc>
        <w:tc>
          <w:tcPr>
            <w:tcW w:w="862" w:type="pct"/>
            <w:shd w:val="clear" w:color="auto" w:fill="E0D4B5" w:themeFill="background2"/>
            <w:tcMar>
              <w:top w:w="29" w:type="dxa"/>
              <w:left w:w="115" w:type="dxa"/>
              <w:bottom w:w="29" w:type="dxa"/>
              <w:right w:w="115" w:type="dxa"/>
            </w:tcMar>
            <w:vAlign w:val="bottom"/>
          </w:tcPr>
          <w:p w14:paraId="3BD57CD4" w14:textId="77777777" w:rsidR="00A00673" w:rsidRPr="00AD6561" w:rsidRDefault="00A00673" w:rsidP="00295B34">
            <w:pPr>
              <w:pStyle w:val="TableTextDecimal"/>
              <w:framePr w:wrap="notBeside"/>
            </w:pPr>
            <w:r>
              <w:t>2.0</w:t>
            </w:r>
          </w:p>
        </w:tc>
        <w:tc>
          <w:tcPr>
            <w:tcW w:w="966" w:type="pct"/>
            <w:shd w:val="clear" w:color="auto" w:fill="E0D4B5" w:themeFill="background2"/>
            <w:tcMar>
              <w:top w:w="29" w:type="dxa"/>
              <w:left w:w="115" w:type="dxa"/>
              <w:bottom w:w="29" w:type="dxa"/>
              <w:right w:w="115" w:type="dxa"/>
            </w:tcMar>
            <w:vAlign w:val="bottom"/>
          </w:tcPr>
          <w:p w14:paraId="082292BB" w14:textId="77777777" w:rsidR="00A00673" w:rsidRPr="00AD6561" w:rsidRDefault="00A00673" w:rsidP="00295B34">
            <w:pPr>
              <w:pStyle w:val="TableTextDecimal"/>
              <w:framePr w:wrap="notBeside"/>
            </w:pPr>
            <w:r>
              <w:t>2.5</w:t>
            </w:r>
          </w:p>
        </w:tc>
        <w:tc>
          <w:tcPr>
            <w:tcW w:w="743" w:type="pct"/>
            <w:shd w:val="clear" w:color="auto" w:fill="E0D4B5" w:themeFill="background2"/>
            <w:tcMar>
              <w:top w:w="29" w:type="dxa"/>
              <w:left w:w="115" w:type="dxa"/>
              <w:bottom w:w="29" w:type="dxa"/>
              <w:right w:w="115" w:type="dxa"/>
            </w:tcMar>
            <w:vAlign w:val="bottom"/>
          </w:tcPr>
          <w:p w14:paraId="3163CEE0" w14:textId="77777777" w:rsidR="00A00673" w:rsidRPr="00AD6561" w:rsidRDefault="00A00673" w:rsidP="00295B34">
            <w:pPr>
              <w:pStyle w:val="TableTextDecimal"/>
              <w:framePr w:wrap="notBeside"/>
            </w:pPr>
            <w:r>
              <w:t>-0.5</w:t>
            </w:r>
          </w:p>
        </w:tc>
        <w:tc>
          <w:tcPr>
            <w:tcW w:w="863" w:type="pct"/>
            <w:shd w:val="clear" w:color="auto" w:fill="E0D4B5" w:themeFill="background2"/>
            <w:tcMar>
              <w:top w:w="29" w:type="dxa"/>
              <w:left w:w="115" w:type="dxa"/>
              <w:bottom w:w="29" w:type="dxa"/>
              <w:right w:w="115" w:type="dxa"/>
            </w:tcMar>
            <w:vAlign w:val="bottom"/>
          </w:tcPr>
          <w:p w14:paraId="5D043107" w14:textId="77777777" w:rsidR="00A00673" w:rsidRPr="00AD6561" w:rsidRDefault="00A00673" w:rsidP="00295B34">
            <w:pPr>
              <w:pStyle w:val="TableTextDecimal"/>
              <w:framePr w:wrap="notBeside"/>
            </w:pPr>
            <w:r>
              <w:t>0.16</w:t>
            </w:r>
          </w:p>
        </w:tc>
      </w:tr>
      <w:tr w:rsidR="00A00673" w:rsidRPr="001B692D" w14:paraId="60AF9887" w14:textId="77777777" w:rsidTr="00630740">
        <w:trPr>
          <w:trHeight w:val="20"/>
        </w:trPr>
        <w:tc>
          <w:tcPr>
            <w:tcW w:w="1566" w:type="pct"/>
            <w:shd w:val="clear" w:color="auto" w:fill="auto"/>
            <w:tcMar>
              <w:top w:w="29" w:type="dxa"/>
              <w:left w:w="115" w:type="dxa"/>
              <w:bottom w:w="29" w:type="dxa"/>
              <w:right w:w="115" w:type="dxa"/>
            </w:tcMar>
            <w:vAlign w:val="center"/>
          </w:tcPr>
          <w:p w14:paraId="31F103AD" w14:textId="77777777" w:rsidR="00A00673" w:rsidRPr="001B692D" w:rsidRDefault="00A00673" w:rsidP="00A95003">
            <w:pPr>
              <w:pStyle w:val="TableTextLeft"/>
            </w:pPr>
            <w:r w:rsidRPr="00B85761">
              <w:t>Dual eligibility status (%)</w:t>
            </w:r>
          </w:p>
        </w:tc>
        <w:tc>
          <w:tcPr>
            <w:tcW w:w="862" w:type="pct"/>
            <w:shd w:val="clear" w:color="auto" w:fill="auto"/>
            <w:tcMar>
              <w:top w:w="29" w:type="dxa"/>
              <w:left w:w="115" w:type="dxa"/>
              <w:bottom w:w="29" w:type="dxa"/>
              <w:right w:w="115" w:type="dxa"/>
            </w:tcMar>
            <w:vAlign w:val="bottom"/>
          </w:tcPr>
          <w:p w14:paraId="0626CDE1" w14:textId="77777777" w:rsidR="00A00673" w:rsidRDefault="00A00673" w:rsidP="00295B34">
            <w:pPr>
              <w:pStyle w:val="TableTextDecimal"/>
              <w:framePr w:wrap="notBeside"/>
            </w:pPr>
          </w:p>
        </w:tc>
        <w:tc>
          <w:tcPr>
            <w:tcW w:w="966" w:type="pct"/>
            <w:shd w:val="clear" w:color="auto" w:fill="auto"/>
            <w:tcMar>
              <w:top w:w="29" w:type="dxa"/>
              <w:left w:w="115" w:type="dxa"/>
              <w:bottom w:w="29" w:type="dxa"/>
              <w:right w:w="115" w:type="dxa"/>
            </w:tcMar>
            <w:vAlign w:val="bottom"/>
          </w:tcPr>
          <w:p w14:paraId="19B4F5E6" w14:textId="77777777" w:rsidR="00A00673" w:rsidRDefault="00A00673" w:rsidP="00295B34">
            <w:pPr>
              <w:pStyle w:val="TableTextDecimal"/>
              <w:framePr w:wrap="notBeside"/>
            </w:pPr>
          </w:p>
        </w:tc>
        <w:tc>
          <w:tcPr>
            <w:tcW w:w="743" w:type="pct"/>
            <w:shd w:val="clear" w:color="auto" w:fill="auto"/>
            <w:tcMar>
              <w:top w:w="29" w:type="dxa"/>
              <w:left w:w="115" w:type="dxa"/>
              <w:bottom w:w="29" w:type="dxa"/>
              <w:right w:w="115" w:type="dxa"/>
            </w:tcMar>
            <w:vAlign w:val="bottom"/>
          </w:tcPr>
          <w:p w14:paraId="4E4A4521" w14:textId="77777777" w:rsidR="00A00673" w:rsidRDefault="00A00673" w:rsidP="00295B34">
            <w:pPr>
              <w:pStyle w:val="TableTextDecimal"/>
              <w:framePr w:wrap="notBeside"/>
            </w:pPr>
          </w:p>
        </w:tc>
        <w:tc>
          <w:tcPr>
            <w:tcW w:w="863" w:type="pct"/>
            <w:shd w:val="clear" w:color="auto" w:fill="auto"/>
            <w:tcMar>
              <w:top w:w="29" w:type="dxa"/>
              <w:left w:w="115" w:type="dxa"/>
              <w:bottom w:w="29" w:type="dxa"/>
              <w:right w:w="115" w:type="dxa"/>
            </w:tcMar>
            <w:vAlign w:val="bottom"/>
          </w:tcPr>
          <w:p w14:paraId="124AF542" w14:textId="77777777" w:rsidR="00A00673" w:rsidRDefault="00A00673" w:rsidP="00295B34">
            <w:pPr>
              <w:pStyle w:val="TableTextDecimal"/>
              <w:framePr w:wrap="notBeside"/>
            </w:pPr>
          </w:p>
        </w:tc>
      </w:tr>
      <w:tr w:rsidR="00A00673" w:rsidRPr="001B692D" w14:paraId="682FEBBA"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4B7B4BAF" w14:textId="77777777" w:rsidR="00A00673" w:rsidRPr="001B692D" w:rsidRDefault="00A00673" w:rsidP="00E57C91">
            <w:pPr>
              <w:pStyle w:val="TableTextLeft"/>
              <w:ind w:left="245"/>
            </w:pPr>
            <w:r w:rsidRPr="00B85761">
              <w:t>Not dually eligible</w:t>
            </w:r>
          </w:p>
        </w:tc>
        <w:tc>
          <w:tcPr>
            <w:tcW w:w="862" w:type="pct"/>
            <w:shd w:val="clear" w:color="auto" w:fill="E0D4B5" w:themeFill="background2"/>
            <w:tcMar>
              <w:top w:w="29" w:type="dxa"/>
              <w:left w:w="115" w:type="dxa"/>
              <w:bottom w:w="29" w:type="dxa"/>
              <w:right w:w="115" w:type="dxa"/>
            </w:tcMar>
            <w:vAlign w:val="bottom"/>
          </w:tcPr>
          <w:p w14:paraId="54134DD7" w14:textId="77777777" w:rsidR="00A00673" w:rsidRDefault="00A00673" w:rsidP="00295B34">
            <w:pPr>
              <w:pStyle w:val="TableTextDecimal"/>
              <w:framePr w:wrap="notBeside"/>
            </w:pPr>
            <w:r>
              <w:t>80.0</w:t>
            </w:r>
          </w:p>
        </w:tc>
        <w:tc>
          <w:tcPr>
            <w:tcW w:w="966" w:type="pct"/>
            <w:shd w:val="clear" w:color="auto" w:fill="E0D4B5" w:themeFill="background2"/>
            <w:tcMar>
              <w:top w:w="29" w:type="dxa"/>
              <w:left w:w="115" w:type="dxa"/>
              <w:bottom w:w="29" w:type="dxa"/>
              <w:right w:w="115" w:type="dxa"/>
            </w:tcMar>
            <w:vAlign w:val="bottom"/>
          </w:tcPr>
          <w:p w14:paraId="039E2613" w14:textId="77777777" w:rsidR="00A00673" w:rsidRDefault="00A00673" w:rsidP="00295B34">
            <w:pPr>
              <w:pStyle w:val="TableTextDecimal"/>
              <w:framePr w:wrap="notBeside"/>
            </w:pPr>
            <w:r>
              <w:t>80.1</w:t>
            </w:r>
          </w:p>
        </w:tc>
        <w:tc>
          <w:tcPr>
            <w:tcW w:w="743" w:type="pct"/>
            <w:shd w:val="clear" w:color="auto" w:fill="E0D4B5" w:themeFill="background2"/>
            <w:tcMar>
              <w:top w:w="29" w:type="dxa"/>
              <w:left w:w="115" w:type="dxa"/>
              <w:bottom w:w="29" w:type="dxa"/>
              <w:right w:w="115" w:type="dxa"/>
            </w:tcMar>
            <w:vAlign w:val="bottom"/>
          </w:tcPr>
          <w:p w14:paraId="652748C5" w14:textId="77777777" w:rsidR="00A00673" w:rsidRDefault="00A00673" w:rsidP="00295B34">
            <w:pPr>
              <w:pStyle w:val="TableTextDecimal"/>
              <w:framePr w:wrap="notBeside"/>
            </w:pPr>
            <w:r>
              <w:t>-0.1</w:t>
            </w:r>
          </w:p>
        </w:tc>
        <w:tc>
          <w:tcPr>
            <w:tcW w:w="863" w:type="pct"/>
            <w:shd w:val="clear" w:color="auto" w:fill="E0D4B5" w:themeFill="background2"/>
            <w:tcMar>
              <w:top w:w="29" w:type="dxa"/>
              <w:left w:w="115" w:type="dxa"/>
              <w:bottom w:w="29" w:type="dxa"/>
              <w:right w:w="115" w:type="dxa"/>
            </w:tcMar>
            <w:vAlign w:val="bottom"/>
          </w:tcPr>
          <w:p w14:paraId="2F1F8B4E" w14:textId="77777777" w:rsidR="00A00673" w:rsidRDefault="00A00673" w:rsidP="00295B34">
            <w:pPr>
              <w:pStyle w:val="TableTextDecimal"/>
              <w:framePr w:wrap="notBeside"/>
            </w:pPr>
            <w:r>
              <w:t>0.01</w:t>
            </w:r>
          </w:p>
        </w:tc>
      </w:tr>
      <w:tr w:rsidR="00A00673" w:rsidRPr="001B692D" w14:paraId="0D7E97F2" w14:textId="77777777" w:rsidTr="00630740">
        <w:trPr>
          <w:trHeight w:val="20"/>
        </w:trPr>
        <w:tc>
          <w:tcPr>
            <w:tcW w:w="1566" w:type="pct"/>
            <w:shd w:val="clear" w:color="auto" w:fill="auto"/>
            <w:tcMar>
              <w:top w:w="29" w:type="dxa"/>
              <w:left w:w="115" w:type="dxa"/>
              <w:bottom w:w="29" w:type="dxa"/>
              <w:right w:w="115" w:type="dxa"/>
            </w:tcMar>
            <w:vAlign w:val="center"/>
          </w:tcPr>
          <w:p w14:paraId="117327D9" w14:textId="77777777" w:rsidR="00A00673" w:rsidRPr="001B692D" w:rsidRDefault="00A00673" w:rsidP="00E57C91">
            <w:pPr>
              <w:pStyle w:val="TableTextLeft"/>
              <w:ind w:left="245"/>
            </w:pPr>
            <w:r w:rsidRPr="00B85761">
              <w:t>Fully eligible</w:t>
            </w:r>
          </w:p>
        </w:tc>
        <w:tc>
          <w:tcPr>
            <w:tcW w:w="862" w:type="pct"/>
            <w:shd w:val="clear" w:color="auto" w:fill="auto"/>
            <w:tcMar>
              <w:top w:w="29" w:type="dxa"/>
              <w:left w:w="115" w:type="dxa"/>
              <w:bottom w:w="29" w:type="dxa"/>
              <w:right w:w="115" w:type="dxa"/>
            </w:tcMar>
            <w:vAlign w:val="bottom"/>
          </w:tcPr>
          <w:p w14:paraId="09CC6B2E" w14:textId="77777777" w:rsidR="00A00673" w:rsidRDefault="00A00673" w:rsidP="00295B34">
            <w:pPr>
              <w:pStyle w:val="TableTextDecimal"/>
              <w:framePr w:wrap="notBeside"/>
            </w:pPr>
            <w:r>
              <w:t>15.1</w:t>
            </w:r>
          </w:p>
        </w:tc>
        <w:tc>
          <w:tcPr>
            <w:tcW w:w="966" w:type="pct"/>
            <w:shd w:val="clear" w:color="auto" w:fill="auto"/>
            <w:tcMar>
              <w:top w:w="29" w:type="dxa"/>
              <w:left w:w="115" w:type="dxa"/>
              <w:bottom w:w="29" w:type="dxa"/>
              <w:right w:w="115" w:type="dxa"/>
            </w:tcMar>
            <w:vAlign w:val="bottom"/>
          </w:tcPr>
          <w:p w14:paraId="023871CC" w14:textId="77777777" w:rsidR="00A00673" w:rsidRDefault="00A00673" w:rsidP="00295B34">
            <w:pPr>
              <w:pStyle w:val="TableTextDecimal"/>
              <w:framePr w:wrap="notBeside"/>
            </w:pPr>
            <w:r>
              <w:t>15.0</w:t>
            </w:r>
          </w:p>
        </w:tc>
        <w:tc>
          <w:tcPr>
            <w:tcW w:w="743" w:type="pct"/>
            <w:shd w:val="clear" w:color="auto" w:fill="auto"/>
            <w:tcMar>
              <w:top w:w="29" w:type="dxa"/>
              <w:left w:w="115" w:type="dxa"/>
              <w:bottom w:w="29" w:type="dxa"/>
              <w:right w:w="115" w:type="dxa"/>
            </w:tcMar>
            <w:vAlign w:val="bottom"/>
          </w:tcPr>
          <w:p w14:paraId="4A72476C" w14:textId="77777777" w:rsidR="00A00673" w:rsidRDefault="00A00673" w:rsidP="00295B34">
            <w:pPr>
              <w:pStyle w:val="TableTextDecimal"/>
              <w:framePr w:wrap="notBeside"/>
            </w:pPr>
            <w:r>
              <w:t>0.0</w:t>
            </w:r>
          </w:p>
        </w:tc>
        <w:tc>
          <w:tcPr>
            <w:tcW w:w="863" w:type="pct"/>
            <w:shd w:val="clear" w:color="auto" w:fill="auto"/>
            <w:tcMar>
              <w:top w:w="29" w:type="dxa"/>
              <w:left w:w="115" w:type="dxa"/>
              <w:bottom w:w="29" w:type="dxa"/>
              <w:right w:w="115" w:type="dxa"/>
            </w:tcMar>
            <w:vAlign w:val="bottom"/>
          </w:tcPr>
          <w:p w14:paraId="1D2AC970" w14:textId="77777777" w:rsidR="00A00673" w:rsidRDefault="00A00673" w:rsidP="00295B34">
            <w:pPr>
              <w:pStyle w:val="TableTextDecimal"/>
              <w:framePr w:wrap="notBeside"/>
            </w:pPr>
            <w:r>
              <w:t>0.00</w:t>
            </w:r>
          </w:p>
        </w:tc>
      </w:tr>
      <w:tr w:rsidR="00A00673" w:rsidRPr="001B692D" w14:paraId="0195F44E"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4C97D29D" w14:textId="77777777" w:rsidR="00A00673" w:rsidRPr="001B692D" w:rsidRDefault="00A00673" w:rsidP="00E57C91">
            <w:pPr>
              <w:pStyle w:val="TableTextLeft"/>
              <w:ind w:left="245"/>
            </w:pPr>
            <w:r w:rsidRPr="00B85761">
              <w:t>Partially eligible</w:t>
            </w:r>
          </w:p>
        </w:tc>
        <w:tc>
          <w:tcPr>
            <w:tcW w:w="862" w:type="pct"/>
            <w:shd w:val="clear" w:color="auto" w:fill="E0D4B5" w:themeFill="background2"/>
            <w:tcMar>
              <w:top w:w="29" w:type="dxa"/>
              <w:left w:w="115" w:type="dxa"/>
              <w:bottom w:w="29" w:type="dxa"/>
              <w:right w:w="115" w:type="dxa"/>
            </w:tcMar>
            <w:vAlign w:val="bottom"/>
          </w:tcPr>
          <w:p w14:paraId="7777B79C" w14:textId="77777777" w:rsidR="00A00673" w:rsidRDefault="00A00673" w:rsidP="00295B34">
            <w:pPr>
              <w:pStyle w:val="TableTextDecimal"/>
              <w:framePr w:wrap="notBeside"/>
            </w:pPr>
            <w:r>
              <w:t>4.9</w:t>
            </w:r>
          </w:p>
        </w:tc>
        <w:tc>
          <w:tcPr>
            <w:tcW w:w="966" w:type="pct"/>
            <w:shd w:val="clear" w:color="auto" w:fill="E0D4B5" w:themeFill="background2"/>
            <w:tcMar>
              <w:top w:w="29" w:type="dxa"/>
              <w:left w:w="115" w:type="dxa"/>
              <w:bottom w:w="29" w:type="dxa"/>
              <w:right w:w="115" w:type="dxa"/>
            </w:tcMar>
            <w:vAlign w:val="bottom"/>
          </w:tcPr>
          <w:p w14:paraId="46CBCF10" w14:textId="77777777" w:rsidR="00A00673" w:rsidRDefault="00A00673" w:rsidP="00295B34">
            <w:pPr>
              <w:pStyle w:val="TableTextDecimal"/>
              <w:framePr w:wrap="notBeside"/>
            </w:pPr>
            <w:r>
              <w:t>4.8</w:t>
            </w:r>
          </w:p>
        </w:tc>
        <w:tc>
          <w:tcPr>
            <w:tcW w:w="743" w:type="pct"/>
            <w:shd w:val="clear" w:color="auto" w:fill="E0D4B5" w:themeFill="background2"/>
            <w:tcMar>
              <w:top w:w="29" w:type="dxa"/>
              <w:left w:w="115" w:type="dxa"/>
              <w:bottom w:w="29" w:type="dxa"/>
              <w:right w:w="115" w:type="dxa"/>
            </w:tcMar>
            <w:vAlign w:val="bottom"/>
          </w:tcPr>
          <w:p w14:paraId="13D3682A" w14:textId="77777777" w:rsidR="00A00673" w:rsidRDefault="00A00673" w:rsidP="00295B34">
            <w:pPr>
              <w:pStyle w:val="TableTextDecimal"/>
              <w:framePr w:wrap="notBeside"/>
            </w:pPr>
            <w:r>
              <w:t>0.1</w:t>
            </w:r>
          </w:p>
        </w:tc>
        <w:tc>
          <w:tcPr>
            <w:tcW w:w="863" w:type="pct"/>
            <w:shd w:val="clear" w:color="auto" w:fill="E0D4B5" w:themeFill="background2"/>
            <w:tcMar>
              <w:top w:w="29" w:type="dxa"/>
              <w:left w:w="115" w:type="dxa"/>
              <w:bottom w:w="29" w:type="dxa"/>
              <w:right w:w="115" w:type="dxa"/>
            </w:tcMar>
            <w:vAlign w:val="bottom"/>
          </w:tcPr>
          <w:p w14:paraId="304FD472" w14:textId="77777777" w:rsidR="00A00673" w:rsidRDefault="00A00673" w:rsidP="00295B34">
            <w:pPr>
              <w:pStyle w:val="TableTextDecimal"/>
              <w:framePr w:wrap="notBeside"/>
            </w:pPr>
            <w:r>
              <w:t>0.02</w:t>
            </w:r>
          </w:p>
        </w:tc>
      </w:tr>
      <w:tr w:rsidR="00A00673" w:rsidRPr="001B692D" w14:paraId="1038AB30" w14:textId="77777777" w:rsidTr="00630740">
        <w:trPr>
          <w:trHeight w:val="20"/>
        </w:trPr>
        <w:tc>
          <w:tcPr>
            <w:tcW w:w="1566" w:type="pct"/>
            <w:shd w:val="clear" w:color="auto" w:fill="auto"/>
            <w:tcMar>
              <w:top w:w="29" w:type="dxa"/>
              <w:left w:w="115" w:type="dxa"/>
              <w:bottom w:w="29" w:type="dxa"/>
              <w:right w:w="115" w:type="dxa"/>
            </w:tcMar>
            <w:vAlign w:val="center"/>
          </w:tcPr>
          <w:p w14:paraId="70CA1479" w14:textId="77777777" w:rsidR="00A00673" w:rsidRPr="001B692D" w:rsidRDefault="00A00673" w:rsidP="00A95003">
            <w:pPr>
              <w:pStyle w:val="TableTextLeft"/>
            </w:pPr>
            <w:r w:rsidRPr="00B85761">
              <w:t>Original reason for entitlement is disability and/or ESRD (%)</w:t>
            </w:r>
          </w:p>
        </w:tc>
        <w:tc>
          <w:tcPr>
            <w:tcW w:w="862" w:type="pct"/>
            <w:shd w:val="clear" w:color="auto" w:fill="auto"/>
            <w:tcMar>
              <w:top w:w="29" w:type="dxa"/>
              <w:left w:w="115" w:type="dxa"/>
              <w:bottom w:w="29" w:type="dxa"/>
              <w:right w:w="115" w:type="dxa"/>
            </w:tcMar>
            <w:vAlign w:val="bottom"/>
          </w:tcPr>
          <w:p w14:paraId="13805262" w14:textId="77777777" w:rsidR="00A00673" w:rsidRDefault="00A00673" w:rsidP="00295B34">
            <w:pPr>
              <w:pStyle w:val="TableTextDecimal"/>
              <w:framePr w:wrap="notBeside"/>
            </w:pPr>
            <w:r>
              <w:t>25.1</w:t>
            </w:r>
          </w:p>
        </w:tc>
        <w:tc>
          <w:tcPr>
            <w:tcW w:w="966" w:type="pct"/>
            <w:shd w:val="clear" w:color="auto" w:fill="auto"/>
            <w:tcMar>
              <w:top w:w="29" w:type="dxa"/>
              <w:left w:w="115" w:type="dxa"/>
              <w:bottom w:w="29" w:type="dxa"/>
              <w:right w:w="115" w:type="dxa"/>
            </w:tcMar>
            <w:vAlign w:val="bottom"/>
          </w:tcPr>
          <w:p w14:paraId="3CE53253" w14:textId="77777777" w:rsidR="00A00673" w:rsidRDefault="00A00673" w:rsidP="00295B34">
            <w:pPr>
              <w:pStyle w:val="TableTextDecimal"/>
              <w:framePr w:wrap="notBeside"/>
            </w:pPr>
            <w:r>
              <w:t>25.1</w:t>
            </w:r>
          </w:p>
        </w:tc>
        <w:tc>
          <w:tcPr>
            <w:tcW w:w="743" w:type="pct"/>
            <w:shd w:val="clear" w:color="auto" w:fill="auto"/>
            <w:tcMar>
              <w:top w:w="29" w:type="dxa"/>
              <w:left w:w="115" w:type="dxa"/>
              <w:bottom w:w="29" w:type="dxa"/>
              <w:right w:w="115" w:type="dxa"/>
            </w:tcMar>
            <w:vAlign w:val="bottom"/>
          </w:tcPr>
          <w:p w14:paraId="3FC860E3" w14:textId="77777777" w:rsidR="00A00673" w:rsidRDefault="00A00673" w:rsidP="00295B34">
            <w:pPr>
              <w:pStyle w:val="TableTextDecimal"/>
              <w:framePr w:wrap="notBeside"/>
            </w:pPr>
            <w:r>
              <w:t>0.0</w:t>
            </w:r>
          </w:p>
        </w:tc>
        <w:tc>
          <w:tcPr>
            <w:tcW w:w="863" w:type="pct"/>
            <w:shd w:val="clear" w:color="auto" w:fill="auto"/>
            <w:tcMar>
              <w:top w:w="29" w:type="dxa"/>
              <w:left w:w="115" w:type="dxa"/>
              <w:bottom w:w="29" w:type="dxa"/>
              <w:right w:w="115" w:type="dxa"/>
            </w:tcMar>
            <w:vAlign w:val="bottom"/>
          </w:tcPr>
          <w:p w14:paraId="0539A9ED" w14:textId="77777777" w:rsidR="00A00673" w:rsidRDefault="00A00673" w:rsidP="00295B34">
            <w:pPr>
              <w:pStyle w:val="TableTextDecimal"/>
              <w:framePr w:wrap="notBeside"/>
            </w:pPr>
            <w:r>
              <w:t>0.00</w:t>
            </w:r>
          </w:p>
        </w:tc>
      </w:tr>
      <w:tr w:rsidR="00A00673" w:rsidRPr="001B692D" w14:paraId="7DBF20B7"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690C0BDA" w14:textId="77777777" w:rsidR="00A00673" w:rsidRPr="001B692D" w:rsidRDefault="00A00673" w:rsidP="00A95003">
            <w:pPr>
              <w:pStyle w:val="TableTextLeft"/>
            </w:pPr>
            <w:r w:rsidRPr="00B85761">
              <w:t xml:space="preserve">Number of chronic </w:t>
            </w:r>
            <w:proofErr w:type="spellStart"/>
            <w:r w:rsidRPr="00B85761">
              <w:t>conditions</w:t>
            </w:r>
            <w:r w:rsidRPr="00B85761">
              <w:rPr>
                <w:vertAlign w:val="superscript"/>
              </w:rPr>
              <w:t>a</w:t>
            </w:r>
            <w:proofErr w:type="spellEnd"/>
          </w:p>
        </w:tc>
        <w:tc>
          <w:tcPr>
            <w:tcW w:w="862" w:type="pct"/>
            <w:shd w:val="clear" w:color="auto" w:fill="E0D4B5" w:themeFill="background2"/>
            <w:tcMar>
              <w:top w:w="29" w:type="dxa"/>
              <w:left w:w="115" w:type="dxa"/>
              <w:bottom w:w="29" w:type="dxa"/>
              <w:right w:w="115" w:type="dxa"/>
            </w:tcMar>
            <w:vAlign w:val="bottom"/>
          </w:tcPr>
          <w:p w14:paraId="0E2FABF9" w14:textId="77777777" w:rsidR="00A00673" w:rsidRDefault="00A00673" w:rsidP="00295B34">
            <w:pPr>
              <w:pStyle w:val="TableTextDecimal"/>
              <w:framePr w:wrap="notBeside"/>
            </w:pPr>
            <w:r>
              <w:t>4.4</w:t>
            </w:r>
          </w:p>
        </w:tc>
        <w:tc>
          <w:tcPr>
            <w:tcW w:w="966" w:type="pct"/>
            <w:shd w:val="clear" w:color="auto" w:fill="E0D4B5" w:themeFill="background2"/>
            <w:tcMar>
              <w:top w:w="29" w:type="dxa"/>
              <w:left w:w="115" w:type="dxa"/>
              <w:bottom w:w="29" w:type="dxa"/>
              <w:right w:w="115" w:type="dxa"/>
            </w:tcMar>
            <w:vAlign w:val="bottom"/>
          </w:tcPr>
          <w:p w14:paraId="55E53A02" w14:textId="77777777" w:rsidR="00A00673" w:rsidRDefault="00A00673" w:rsidP="00295B34">
            <w:pPr>
              <w:pStyle w:val="TableTextDecimal"/>
              <w:framePr w:wrap="notBeside"/>
            </w:pPr>
            <w:r>
              <w:t>4.5</w:t>
            </w:r>
          </w:p>
        </w:tc>
        <w:tc>
          <w:tcPr>
            <w:tcW w:w="743" w:type="pct"/>
            <w:shd w:val="clear" w:color="auto" w:fill="E0D4B5" w:themeFill="background2"/>
            <w:tcMar>
              <w:top w:w="29" w:type="dxa"/>
              <w:left w:w="115" w:type="dxa"/>
              <w:bottom w:w="29" w:type="dxa"/>
              <w:right w:w="115" w:type="dxa"/>
            </w:tcMar>
            <w:vAlign w:val="bottom"/>
          </w:tcPr>
          <w:p w14:paraId="55EF54AA" w14:textId="77777777" w:rsidR="00A00673" w:rsidRDefault="00A00673" w:rsidP="00295B34">
            <w:pPr>
              <w:pStyle w:val="TableTextDecimal"/>
              <w:framePr w:wrap="notBeside"/>
            </w:pPr>
            <w:r>
              <w:t>0.0</w:t>
            </w:r>
          </w:p>
        </w:tc>
        <w:tc>
          <w:tcPr>
            <w:tcW w:w="863" w:type="pct"/>
            <w:shd w:val="clear" w:color="auto" w:fill="E0D4B5" w:themeFill="background2"/>
            <w:tcMar>
              <w:top w:w="29" w:type="dxa"/>
              <w:left w:w="115" w:type="dxa"/>
              <w:bottom w:w="29" w:type="dxa"/>
              <w:right w:w="115" w:type="dxa"/>
            </w:tcMar>
            <w:vAlign w:val="bottom"/>
          </w:tcPr>
          <w:p w14:paraId="598FD3D9" w14:textId="77777777" w:rsidR="00A00673" w:rsidRDefault="00A00673" w:rsidP="00295B34">
            <w:pPr>
              <w:pStyle w:val="TableTextDecimal"/>
              <w:framePr w:wrap="notBeside"/>
            </w:pPr>
            <w:r>
              <w:t>0.02</w:t>
            </w:r>
          </w:p>
        </w:tc>
      </w:tr>
      <w:tr w:rsidR="00A00673" w:rsidRPr="001B692D" w14:paraId="4156252C" w14:textId="77777777" w:rsidTr="00630740">
        <w:trPr>
          <w:trHeight w:val="20"/>
        </w:trPr>
        <w:tc>
          <w:tcPr>
            <w:tcW w:w="1566" w:type="pct"/>
            <w:shd w:val="clear" w:color="auto" w:fill="auto"/>
            <w:tcMar>
              <w:top w:w="29" w:type="dxa"/>
              <w:left w:w="115" w:type="dxa"/>
              <w:bottom w:w="29" w:type="dxa"/>
              <w:right w:w="115" w:type="dxa"/>
            </w:tcMar>
            <w:vAlign w:val="center"/>
          </w:tcPr>
          <w:p w14:paraId="28571A79" w14:textId="77777777" w:rsidR="00A00673" w:rsidRPr="001B692D" w:rsidRDefault="00A00673" w:rsidP="00A95003">
            <w:pPr>
              <w:pStyle w:val="TableTextLeft"/>
            </w:pPr>
            <w:r w:rsidRPr="00B85761">
              <w:t>Select chronic conditions</w:t>
            </w:r>
            <w:r w:rsidRPr="00B85761">
              <w:rPr>
                <w:vertAlign w:val="superscript"/>
              </w:rPr>
              <w:t xml:space="preserve"> </w:t>
            </w:r>
            <w:r w:rsidRPr="00B85761">
              <w:t>(%)</w:t>
            </w:r>
          </w:p>
        </w:tc>
        <w:tc>
          <w:tcPr>
            <w:tcW w:w="862" w:type="pct"/>
            <w:shd w:val="clear" w:color="auto" w:fill="auto"/>
            <w:tcMar>
              <w:top w:w="29" w:type="dxa"/>
              <w:left w:w="115" w:type="dxa"/>
              <w:bottom w:w="29" w:type="dxa"/>
              <w:right w:w="115" w:type="dxa"/>
            </w:tcMar>
            <w:vAlign w:val="bottom"/>
          </w:tcPr>
          <w:p w14:paraId="309F4F87" w14:textId="77777777" w:rsidR="00A00673" w:rsidRDefault="00A00673" w:rsidP="00295B34">
            <w:pPr>
              <w:pStyle w:val="TableTextDecimal"/>
              <w:framePr w:wrap="notBeside"/>
            </w:pPr>
          </w:p>
        </w:tc>
        <w:tc>
          <w:tcPr>
            <w:tcW w:w="966" w:type="pct"/>
            <w:shd w:val="clear" w:color="auto" w:fill="auto"/>
            <w:tcMar>
              <w:top w:w="29" w:type="dxa"/>
              <w:left w:w="115" w:type="dxa"/>
              <w:bottom w:w="29" w:type="dxa"/>
              <w:right w:w="115" w:type="dxa"/>
            </w:tcMar>
            <w:vAlign w:val="bottom"/>
          </w:tcPr>
          <w:p w14:paraId="6ABAB107" w14:textId="77777777" w:rsidR="00A00673" w:rsidRDefault="00A00673" w:rsidP="00295B34">
            <w:pPr>
              <w:pStyle w:val="TableTextDecimal"/>
              <w:framePr w:wrap="notBeside"/>
            </w:pPr>
          </w:p>
        </w:tc>
        <w:tc>
          <w:tcPr>
            <w:tcW w:w="743" w:type="pct"/>
            <w:shd w:val="clear" w:color="auto" w:fill="auto"/>
            <w:tcMar>
              <w:top w:w="29" w:type="dxa"/>
              <w:left w:w="115" w:type="dxa"/>
              <w:bottom w:w="29" w:type="dxa"/>
              <w:right w:w="115" w:type="dxa"/>
            </w:tcMar>
            <w:vAlign w:val="bottom"/>
          </w:tcPr>
          <w:p w14:paraId="17264238" w14:textId="77777777" w:rsidR="00A00673" w:rsidRDefault="00A00673" w:rsidP="00295B34">
            <w:pPr>
              <w:pStyle w:val="TableTextDecimal"/>
              <w:framePr w:wrap="notBeside"/>
            </w:pPr>
          </w:p>
        </w:tc>
        <w:tc>
          <w:tcPr>
            <w:tcW w:w="863" w:type="pct"/>
            <w:shd w:val="clear" w:color="auto" w:fill="auto"/>
            <w:tcMar>
              <w:top w:w="29" w:type="dxa"/>
              <w:left w:w="115" w:type="dxa"/>
              <w:bottom w:w="29" w:type="dxa"/>
              <w:right w:w="115" w:type="dxa"/>
            </w:tcMar>
            <w:vAlign w:val="bottom"/>
          </w:tcPr>
          <w:p w14:paraId="31C72EAB" w14:textId="77777777" w:rsidR="00A00673" w:rsidRDefault="00A00673" w:rsidP="00295B34">
            <w:pPr>
              <w:pStyle w:val="TableTextDecimal"/>
              <w:framePr w:wrap="notBeside"/>
            </w:pPr>
          </w:p>
        </w:tc>
      </w:tr>
      <w:tr w:rsidR="00A00673" w:rsidRPr="001B692D" w14:paraId="4B57812D"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20DCD4AA" w14:textId="77777777" w:rsidR="00A00673" w:rsidRPr="001B692D" w:rsidRDefault="00A00673" w:rsidP="00E57C91">
            <w:pPr>
              <w:pStyle w:val="TableTextLeft"/>
              <w:ind w:left="245"/>
            </w:pPr>
            <w:r w:rsidRPr="00B85761">
              <w:t>Hypertension</w:t>
            </w:r>
          </w:p>
        </w:tc>
        <w:tc>
          <w:tcPr>
            <w:tcW w:w="862" w:type="pct"/>
            <w:shd w:val="clear" w:color="auto" w:fill="E0D4B5" w:themeFill="background2"/>
            <w:tcMar>
              <w:top w:w="29" w:type="dxa"/>
              <w:left w:w="115" w:type="dxa"/>
              <w:bottom w:w="29" w:type="dxa"/>
              <w:right w:w="115" w:type="dxa"/>
            </w:tcMar>
            <w:vAlign w:val="bottom"/>
          </w:tcPr>
          <w:p w14:paraId="52D742C4" w14:textId="77777777" w:rsidR="00A00673" w:rsidRDefault="00A00673" w:rsidP="00295B34">
            <w:pPr>
              <w:pStyle w:val="TableTextDecimal"/>
              <w:framePr w:wrap="notBeside"/>
            </w:pPr>
            <w:r>
              <w:t>61.2</w:t>
            </w:r>
          </w:p>
        </w:tc>
        <w:tc>
          <w:tcPr>
            <w:tcW w:w="966" w:type="pct"/>
            <w:shd w:val="clear" w:color="auto" w:fill="E0D4B5" w:themeFill="background2"/>
            <w:tcMar>
              <w:top w:w="29" w:type="dxa"/>
              <w:left w:w="115" w:type="dxa"/>
              <w:bottom w:w="29" w:type="dxa"/>
              <w:right w:w="115" w:type="dxa"/>
            </w:tcMar>
            <w:vAlign w:val="bottom"/>
          </w:tcPr>
          <w:p w14:paraId="27293E35" w14:textId="77777777" w:rsidR="00A00673" w:rsidRDefault="00A00673" w:rsidP="00295B34">
            <w:pPr>
              <w:pStyle w:val="TableTextDecimal"/>
              <w:framePr w:wrap="notBeside"/>
            </w:pPr>
            <w:r>
              <w:t>61.7</w:t>
            </w:r>
          </w:p>
        </w:tc>
        <w:tc>
          <w:tcPr>
            <w:tcW w:w="743" w:type="pct"/>
            <w:shd w:val="clear" w:color="auto" w:fill="E0D4B5" w:themeFill="background2"/>
            <w:tcMar>
              <w:top w:w="29" w:type="dxa"/>
              <w:left w:w="115" w:type="dxa"/>
              <w:bottom w:w="29" w:type="dxa"/>
              <w:right w:w="115" w:type="dxa"/>
            </w:tcMar>
            <w:vAlign w:val="bottom"/>
          </w:tcPr>
          <w:p w14:paraId="74444B65" w14:textId="77777777" w:rsidR="00A00673" w:rsidRDefault="00A00673" w:rsidP="00295B34">
            <w:pPr>
              <w:pStyle w:val="TableTextDecimal"/>
              <w:framePr w:wrap="notBeside"/>
            </w:pPr>
            <w:r>
              <w:t>-0.5</w:t>
            </w:r>
          </w:p>
        </w:tc>
        <w:tc>
          <w:tcPr>
            <w:tcW w:w="863" w:type="pct"/>
            <w:shd w:val="clear" w:color="auto" w:fill="E0D4B5" w:themeFill="background2"/>
            <w:tcMar>
              <w:top w:w="29" w:type="dxa"/>
              <w:left w:w="115" w:type="dxa"/>
              <w:bottom w:w="29" w:type="dxa"/>
              <w:right w:w="115" w:type="dxa"/>
            </w:tcMar>
            <w:vAlign w:val="bottom"/>
          </w:tcPr>
          <w:p w14:paraId="7B0D6137" w14:textId="77777777" w:rsidR="00A00673" w:rsidRDefault="00A00673" w:rsidP="00295B34">
            <w:pPr>
              <w:pStyle w:val="TableTextDecimal"/>
              <w:framePr w:wrap="notBeside"/>
            </w:pPr>
            <w:r>
              <w:t>0.04</w:t>
            </w:r>
          </w:p>
        </w:tc>
      </w:tr>
      <w:tr w:rsidR="00A00673" w:rsidRPr="001B692D" w14:paraId="545A2F81" w14:textId="77777777" w:rsidTr="00630740">
        <w:trPr>
          <w:trHeight w:val="20"/>
        </w:trPr>
        <w:tc>
          <w:tcPr>
            <w:tcW w:w="1566" w:type="pct"/>
            <w:shd w:val="clear" w:color="auto" w:fill="auto"/>
            <w:tcMar>
              <w:top w:w="29" w:type="dxa"/>
              <w:left w:w="115" w:type="dxa"/>
              <w:bottom w:w="29" w:type="dxa"/>
              <w:right w:w="115" w:type="dxa"/>
            </w:tcMar>
            <w:vAlign w:val="center"/>
          </w:tcPr>
          <w:p w14:paraId="77038179" w14:textId="77777777" w:rsidR="00A00673" w:rsidRPr="001B692D" w:rsidRDefault="00A00673" w:rsidP="00E57C91">
            <w:pPr>
              <w:pStyle w:val="TableTextLeft"/>
              <w:ind w:left="245"/>
            </w:pPr>
            <w:r w:rsidRPr="00B85761">
              <w:t>Hyperlipidemia</w:t>
            </w:r>
          </w:p>
        </w:tc>
        <w:tc>
          <w:tcPr>
            <w:tcW w:w="862" w:type="pct"/>
            <w:shd w:val="clear" w:color="auto" w:fill="auto"/>
            <w:tcMar>
              <w:top w:w="29" w:type="dxa"/>
              <w:left w:w="115" w:type="dxa"/>
              <w:bottom w:w="29" w:type="dxa"/>
              <w:right w:w="115" w:type="dxa"/>
            </w:tcMar>
            <w:vAlign w:val="bottom"/>
          </w:tcPr>
          <w:p w14:paraId="5C8AEEE6" w14:textId="77777777" w:rsidR="00A00673" w:rsidRDefault="00A00673" w:rsidP="00295B34">
            <w:pPr>
              <w:pStyle w:val="TableTextDecimal"/>
              <w:framePr w:wrap="notBeside"/>
            </w:pPr>
            <w:r>
              <w:t>50.1</w:t>
            </w:r>
          </w:p>
        </w:tc>
        <w:tc>
          <w:tcPr>
            <w:tcW w:w="966" w:type="pct"/>
            <w:shd w:val="clear" w:color="auto" w:fill="auto"/>
            <w:tcMar>
              <w:top w:w="29" w:type="dxa"/>
              <w:left w:w="115" w:type="dxa"/>
              <w:bottom w:w="29" w:type="dxa"/>
              <w:right w:w="115" w:type="dxa"/>
            </w:tcMar>
            <w:vAlign w:val="bottom"/>
          </w:tcPr>
          <w:p w14:paraId="58FBD5C7" w14:textId="77777777" w:rsidR="00A00673" w:rsidRDefault="00A00673" w:rsidP="00295B34">
            <w:pPr>
              <w:pStyle w:val="TableTextDecimal"/>
              <w:framePr w:wrap="notBeside"/>
            </w:pPr>
            <w:r>
              <w:t>50.3</w:t>
            </w:r>
          </w:p>
        </w:tc>
        <w:tc>
          <w:tcPr>
            <w:tcW w:w="743" w:type="pct"/>
            <w:shd w:val="clear" w:color="auto" w:fill="auto"/>
            <w:tcMar>
              <w:top w:w="29" w:type="dxa"/>
              <w:left w:w="115" w:type="dxa"/>
              <w:bottom w:w="29" w:type="dxa"/>
              <w:right w:w="115" w:type="dxa"/>
            </w:tcMar>
            <w:vAlign w:val="bottom"/>
          </w:tcPr>
          <w:p w14:paraId="50452688" w14:textId="77777777" w:rsidR="00A00673" w:rsidRDefault="00A00673" w:rsidP="00295B34">
            <w:pPr>
              <w:pStyle w:val="TableTextDecimal"/>
              <w:framePr w:wrap="notBeside"/>
            </w:pPr>
            <w:r>
              <w:t>-0.2</w:t>
            </w:r>
          </w:p>
        </w:tc>
        <w:tc>
          <w:tcPr>
            <w:tcW w:w="863" w:type="pct"/>
            <w:shd w:val="clear" w:color="auto" w:fill="auto"/>
            <w:tcMar>
              <w:top w:w="29" w:type="dxa"/>
              <w:left w:w="115" w:type="dxa"/>
              <w:bottom w:w="29" w:type="dxa"/>
              <w:right w:w="115" w:type="dxa"/>
            </w:tcMar>
            <w:vAlign w:val="bottom"/>
          </w:tcPr>
          <w:p w14:paraId="07E41730" w14:textId="77777777" w:rsidR="00A00673" w:rsidRDefault="00A00673" w:rsidP="00295B34">
            <w:pPr>
              <w:pStyle w:val="TableTextDecimal"/>
              <w:framePr w:wrap="notBeside"/>
            </w:pPr>
            <w:r>
              <w:t>0.01</w:t>
            </w:r>
          </w:p>
        </w:tc>
      </w:tr>
      <w:tr w:rsidR="00A00673" w:rsidRPr="001B692D" w14:paraId="1E630446"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22DD4201" w14:textId="77777777" w:rsidR="00A00673" w:rsidRPr="001B692D" w:rsidRDefault="00A00673" w:rsidP="00E57C91">
            <w:pPr>
              <w:pStyle w:val="TableTextLeft"/>
              <w:ind w:left="245"/>
            </w:pPr>
            <w:r w:rsidRPr="00B85761">
              <w:t>Rheumatoid arthritis or osteoarthritis</w:t>
            </w:r>
          </w:p>
        </w:tc>
        <w:tc>
          <w:tcPr>
            <w:tcW w:w="862" w:type="pct"/>
            <w:shd w:val="clear" w:color="auto" w:fill="E0D4B5" w:themeFill="background2"/>
            <w:tcMar>
              <w:top w:w="29" w:type="dxa"/>
              <w:left w:w="115" w:type="dxa"/>
              <w:bottom w:w="29" w:type="dxa"/>
              <w:right w:w="115" w:type="dxa"/>
            </w:tcMar>
            <w:vAlign w:val="bottom"/>
          </w:tcPr>
          <w:p w14:paraId="1D39E78C" w14:textId="77777777" w:rsidR="00A00673" w:rsidRDefault="00A00673" w:rsidP="00295B34">
            <w:pPr>
              <w:pStyle w:val="TableTextDecimal"/>
              <w:framePr w:wrap="notBeside"/>
            </w:pPr>
            <w:r>
              <w:t>35.4</w:t>
            </w:r>
          </w:p>
        </w:tc>
        <w:tc>
          <w:tcPr>
            <w:tcW w:w="966" w:type="pct"/>
            <w:shd w:val="clear" w:color="auto" w:fill="E0D4B5" w:themeFill="background2"/>
            <w:tcMar>
              <w:top w:w="29" w:type="dxa"/>
              <w:left w:w="115" w:type="dxa"/>
              <w:bottom w:w="29" w:type="dxa"/>
              <w:right w:w="115" w:type="dxa"/>
            </w:tcMar>
            <w:vAlign w:val="bottom"/>
          </w:tcPr>
          <w:p w14:paraId="5174AEC4" w14:textId="77777777" w:rsidR="00A00673" w:rsidRDefault="00A00673" w:rsidP="00295B34">
            <w:pPr>
              <w:pStyle w:val="TableTextDecimal"/>
              <w:framePr w:wrap="notBeside"/>
            </w:pPr>
            <w:r>
              <w:t>36.4</w:t>
            </w:r>
          </w:p>
        </w:tc>
        <w:tc>
          <w:tcPr>
            <w:tcW w:w="743" w:type="pct"/>
            <w:shd w:val="clear" w:color="auto" w:fill="E0D4B5" w:themeFill="background2"/>
            <w:tcMar>
              <w:top w:w="29" w:type="dxa"/>
              <w:left w:w="115" w:type="dxa"/>
              <w:bottom w:w="29" w:type="dxa"/>
              <w:right w:w="115" w:type="dxa"/>
            </w:tcMar>
            <w:vAlign w:val="bottom"/>
          </w:tcPr>
          <w:p w14:paraId="046164EE" w14:textId="77777777" w:rsidR="00A00673" w:rsidRDefault="00A00673" w:rsidP="00295B34">
            <w:pPr>
              <w:pStyle w:val="TableTextDecimal"/>
              <w:framePr w:wrap="notBeside"/>
            </w:pPr>
            <w:r>
              <w:t>-1.0</w:t>
            </w:r>
          </w:p>
        </w:tc>
        <w:tc>
          <w:tcPr>
            <w:tcW w:w="863" w:type="pct"/>
            <w:shd w:val="clear" w:color="auto" w:fill="E0D4B5" w:themeFill="background2"/>
            <w:tcMar>
              <w:top w:w="29" w:type="dxa"/>
              <w:left w:w="115" w:type="dxa"/>
              <w:bottom w:w="29" w:type="dxa"/>
              <w:right w:w="115" w:type="dxa"/>
            </w:tcMar>
            <w:vAlign w:val="bottom"/>
          </w:tcPr>
          <w:p w14:paraId="2769BC21" w14:textId="77777777" w:rsidR="00A00673" w:rsidRDefault="00A00673" w:rsidP="00295B34">
            <w:pPr>
              <w:pStyle w:val="TableTextDecimal"/>
              <w:framePr w:wrap="notBeside"/>
            </w:pPr>
            <w:r>
              <w:t>0.09</w:t>
            </w:r>
          </w:p>
        </w:tc>
      </w:tr>
      <w:tr w:rsidR="00A00673" w:rsidRPr="001B692D" w14:paraId="7BD8B3A2" w14:textId="77777777" w:rsidTr="00630740">
        <w:trPr>
          <w:trHeight w:val="20"/>
        </w:trPr>
        <w:tc>
          <w:tcPr>
            <w:tcW w:w="1566" w:type="pct"/>
            <w:shd w:val="clear" w:color="auto" w:fill="auto"/>
            <w:tcMar>
              <w:top w:w="29" w:type="dxa"/>
              <w:left w:w="115" w:type="dxa"/>
              <w:bottom w:w="29" w:type="dxa"/>
              <w:right w:w="115" w:type="dxa"/>
            </w:tcMar>
            <w:vAlign w:val="center"/>
          </w:tcPr>
          <w:p w14:paraId="57A7B371" w14:textId="77777777" w:rsidR="00A00673" w:rsidRPr="001B692D" w:rsidRDefault="00A00673" w:rsidP="00E57C91">
            <w:pPr>
              <w:pStyle w:val="TableTextLeft"/>
              <w:ind w:left="245"/>
            </w:pPr>
            <w:r w:rsidRPr="00B85761">
              <w:t>Diabetes</w:t>
            </w:r>
          </w:p>
        </w:tc>
        <w:tc>
          <w:tcPr>
            <w:tcW w:w="862" w:type="pct"/>
            <w:shd w:val="clear" w:color="auto" w:fill="auto"/>
            <w:tcMar>
              <w:top w:w="29" w:type="dxa"/>
              <w:left w:w="115" w:type="dxa"/>
              <w:bottom w:w="29" w:type="dxa"/>
              <w:right w:w="115" w:type="dxa"/>
            </w:tcMar>
            <w:vAlign w:val="bottom"/>
          </w:tcPr>
          <w:p w14:paraId="579BD0DD" w14:textId="77777777" w:rsidR="00A00673" w:rsidRDefault="00A00673" w:rsidP="00295B34">
            <w:pPr>
              <w:pStyle w:val="TableTextDecimal"/>
              <w:framePr w:wrap="notBeside"/>
            </w:pPr>
            <w:r>
              <w:t>31.4</w:t>
            </w:r>
          </w:p>
        </w:tc>
        <w:tc>
          <w:tcPr>
            <w:tcW w:w="966" w:type="pct"/>
            <w:shd w:val="clear" w:color="auto" w:fill="auto"/>
            <w:tcMar>
              <w:top w:w="29" w:type="dxa"/>
              <w:left w:w="115" w:type="dxa"/>
              <w:bottom w:w="29" w:type="dxa"/>
              <w:right w:w="115" w:type="dxa"/>
            </w:tcMar>
            <w:vAlign w:val="bottom"/>
          </w:tcPr>
          <w:p w14:paraId="0FA88DD2" w14:textId="77777777" w:rsidR="00A00673" w:rsidRDefault="00A00673" w:rsidP="00295B34">
            <w:pPr>
              <w:pStyle w:val="TableTextDecimal"/>
              <w:framePr w:wrap="notBeside"/>
            </w:pPr>
            <w:r>
              <w:t>31.5</w:t>
            </w:r>
          </w:p>
        </w:tc>
        <w:tc>
          <w:tcPr>
            <w:tcW w:w="743" w:type="pct"/>
            <w:shd w:val="clear" w:color="auto" w:fill="auto"/>
            <w:tcMar>
              <w:top w:w="29" w:type="dxa"/>
              <w:left w:w="115" w:type="dxa"/>
              <w:bottom w:w="29" w:type="dxa"/>
              <w:right w:w="115" w:type="dxa"/>
            </w:tcMar>
            <w:vAlign w:val="bottom"/>
          </w:tcPr>
          <w:p w14:paraId="50557B78" w14:textId="77777777" w:rsidR="00A00673" w:rsidRDefault="00A00673" w:rsidP="00295B34">
            <w:pPr>
              <w:pStyle w:val="TableTextDecimal"/>
              <w:framePr w:wrap="notBeside"/>
            </w:pPr>
            <w:r>
              <w:t>-0.2</w:t>
            </w:r>
          </w:p>
        </w:tc>
        <w:tc>
          <w:tcPr>
            <w:tcW w:w="863" w:type="pct"/>
            <w:shd w:val="clear" w:color="auto" w:fill="auto"/>
            <w:tcMar>
              <w:top w:w="29" w:type="dxa"/>
              <w:left w:w="115" w:type="dxa"/>
              <w:bottom w:w="29" w:type="dxa"/>
              <w:right w:w="115" w:type="dxa"/>
            </w:tcMar>
            <w:vAlign w:val="bottom"/>
          </w:tcPr>
          <w:p w14:paraId="7A6E7DB0" w14:textId="77777777" w:rsidR="00A00673" w:rsidRDefault="00A00673" w:rsidP="00295B34">
            <w:pPr>
              <w:pStyle w:val="TableTextDecimal"/>
              <w:framePr w:wrap="notBeside"/>
            </w:pPr>
            <w:r>
              <w:t>0.02</w:t>
            </w:r>
          </w:p>
        </w:tc>
      </w:tr>
      <w:tr w:rsidR="00A00673" w:rsidRPr="001B692D" w14:paraId="217D57CE"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437040DE" w14:textId="77777777" w:rsidR="00A00673" w:rsidRPr="001B692D" w:rsidRDefault="00A00673" w:rsidP="00E57C91">
            <w:pPr>
              <w:pStyle w:val="TableTextLeft"/>
              <w:ind w:left="245"/>
            </w:pPr>
            <w:r w:rsidRPr="00B85761">
              <w:t>Ischemic heart disease</w:t>
            </w:r>
          </w:p>
        </w:tc>
        <w:tc>
          <w:tcPr>
            <w:tcW w:w="862" w:type="pct"/>
            <w:shd w:val="clear" w:color="auto" w:fill="E0D4B5" w:themeFill="background2"/>
            <w:tcMar>
              <w:top w:w="29" w:type="dxa"/>
              <w:left w:w="115" w:type="dxa"/>
              <w:bottom w:w="29" w:type="dxa"/>
              <w:right w:w="115" w:type="dxa"/>
            </w:tcMar>
            <w:vAlign w:val="bottom"/>
          </w:tcPr>
          <w:p w14:paraId="44755798" w14:textId="77777777" w:rsidR="00A00673" w:rsidRDefault="00A00673" w:rsidP="00295B34">
            <w:pPr>
              <w:pStyle w:val="TableTextDecimal"/>
              <w:framePr w:wrap="notBeside"/>
            </w:pPr>
            <w:r>
              <w:t>30.6</w:t>
            </w:r>
          </w:p>
        </w:tc>
        <w:tc>
          <w:tcPr>
            <w:tcW w:w="966" w:type="pct"/>
            <w:shd w:val="clear" w:color="auto" w:fill="E0D4B5" w:themeFill="background2"/>
            <w:tcMar>
              <w:top w:w="29" w:type="dxa"/>
              <w:left w:w="115" w:type="dxa"/>
              <w:bottom w:w="29" w:type="dxa"/>
              <w:right w:w="115" w:type="dxa"/>
            </w:tcMar>
            <w:vAlign w:val="bottom"/>
          </w:tcPr>
          <w:p w14:paraId="64AE3EFA" w14:textId="77777777" w:rsidR="00A00673" w:rsidRDefault="00A00673" w:rsidP="00295B34">
            <w:pPr>
              <w:pStyle w:val="TableTextDecimal"/>
              <w:framePr w:wrap="notBeside"/>
            </w:pPr>
            <w:r>
              <w:t>30.7</w:t>
            </w:r>
          </w:p>
        </w:tc>
        <w:tc>
          <w:tcPr>
            <w:tcW w:w="743" w:type="pct"/>
            <w:shd w:val="clear" w:color="auto" w:fill="E0D4B5" w:themeFill="background2"/>
            <w:tcMar>
              <w:top w:w="29" w:type="dxa"/>
              <w:left w:w="115" w:type="dxa"/>
              <w:bottom w:w="29" w:type="dxa"/>
              <w:right w:w="115" w:type="dxa"/>
            </w:tcMar>
            <w:vAlign w:val="bottom"/>
          </w:tcPr>
          <w:p w14:paraId="0BB2F815" w14:textId="77777777" w:rsidR="00A00673" w:rsidRDefault="00A00673" w:rsidP="00295B34">
            <w:pPr>
              <w:pStyle w:val="TableTextDecimal"/>
              <w:framePr w:wrap="notBeside"/>
            </w:pPr>
            <w:r>
              <w:t>-0.1</w:t>
            </w:r>
          </w:p>
        </w:tc>
        <w:tc>
          <w:tcPr>
            <w:tcW w:w="863" w:type="pct"/>
            <w:shd w:val="clear" w:color="auto" w:fill="E0D4B5" w:themeFill="background2"/>
            <w:tcMar>
              <w:top w:w="29" w:type="dxa"/>
              <w:left w:w="115" w:type="dxa"/>
              <w:bottom w:w="29" w:type="dxa"/>
              <w:right w:w="115" w:type="dxa"/>
            </w:tcMar>
            <w:vAlign w:val="bottom"/>
          </w:tcPr>
          <w:p w14:paraId="6BE3E962" w14:textId="77777777" w:rsidR="00A00673" w:rsidRDefault="00A00673" w:rsidP="00295B34">
            <w:pPr>
              <w:pStyle w:val="TableTextDecimal"/>
              <w:framePr w:wrap="notBeside"/>
            </w:pPr>
            <w:r>
              <w:t>0.01</w:t>
            </w:r>
          </w:p>
        </w:tc>
      </w:tr>
      <w:tr w:rsidR="00A00673" w:rsidRPr="001B692D" w14:paraId="00A1F974" w14:textId="77777777" w:rsidTr="00630740">
        <w:trPr>
          <w:trHeight w:val="20"/>
        </w:trPr>
        <w:tc>
          <w:tcPr>
            <w:tcW w:w="1566" w:type="pct"/>
            <w:shd w:val="clear" w:color="auto" w:fill="auto"/>
            <w:tcMar>
              <w:top w:w="29" w:type="dxa"/>
              <w:left w:w="115" w:type="dxa"/>
              <w:bottom w:w="29" w:type="dxa"/>
              <w:right w:w="115" w:type="dxa"/>
            </w:tcMar>
            <w:vAlign w:val="center"/>
          </w:tcPr>
          <w:p w14:paraId="609E2F68" w14:textId="77777777" w:rsidR="00A00673" w:rsidRPr="001B692D" w:rsidRDefault="00A00673" w:rsidP="00E57C91">
            <w:pPr>
              <w:pStyle w:val="TableTextLeft"/>
              <w:ind w:left="245"/>
            </w:pPr>
            <w:r w:rsidRPr="00B85761">
              <w:t>Anemia</w:t>
            </w:r>
          </w:p>
        </w:tc>
        <w:tc>
          <w:tcPr>
            <w:tcW w:w="862" w:type="pct"/>
            <w:shd w:val="clear" w:color="auto" w:fill="auto"/>
            <w:tcMar>
              <w:top w:w="29" w:type="dxa"/>
              <w:left w:w="115" w:type="dxa"/>
              <w:bottom w:w="29" w:type="dxa"/>
              <w:right w:w="115" w:type="dxa"/>
            </w:tcMar>
            <w:vAlign w:val="bottom"/>
          </w:tcPr>
          <w:p w14:paraId="2F8DA41D" w14:textId="77777777" w:rsidR="00A00673" w:rsidRDefault="00A00673" w:rsidP="00295B34">
            <w:pPr>
              <w:pStyle w:val="TableTextDecimal"/>
              <w:framePr w:wrap="notBeside"/>
            </w:pPr>
            <w:r>
              <w:t>22.5</w:t>
            </w:r>
          </w:p>
        </w:tc>
        <w:tc>
          <w:tcPr>
            <w:tcW w:w="966" w:type="pct"/>
            <w:shd w:val="clear" w:color="auto" w:fill="auto"/>
            <w:tcMar>
              <w:top w:w="29" w:type="dxa"/>
              <w:left w:w="115" w:type="dxa"/>
              <w:bottom w:w="29" w:type="dxa"/>
              <w:right w:w="115" w:type="dxa"/>
            </w:tcMar>
            <w:vAlign w:val="bottom"/>
          </w:tcPr>
          <w:p w14:paraId="67DDC59F" w14:textId="77777777" w:rsidR="00A00673" w:rsidRDefault="00A00673" w:rsidP="00295B34">
            <w:pPr>
              <w:pStyle w:val="TableTextDecimal"/>
              <w:framePr w:wrap="notBeside"/>
            </w:pPr>
            <w:r>
              <w:t>22.8</w:t>
            </w:r>
          </w:p>
        </w:tc>
        <w:tc>
          <w:tcPr>
            <w:tcW w:w="743" w:type="pct"/>
            <w:shd w:val="clear" w:color="auto" w:fill="auto"/>
            <w:tcMar>
              <w:top w:w="29" w:type="dxa"/>
              <w:left w:w="115" w:type="dxa"/>
              <w:bottom w:w="29" w:type="dxa"/>
              <w:right w:w="115" w:type="dxa"/>
            </w:tcMar>
            <w:vAlign w:val="bottom"/>
          </w:tcPr>
          <w:p w14:paraId="41F363D7" w14:textId="77777777" w:rsidR="00A00673" w:rsidRDefault="00A00673" w:rsidP="00295B34">
            <w:pPr>
              <w:pStyle w:val="TableTextDecimal"/>
              <w:framePr w:wrap="notBeside"/>
            </w:pPr>
            <w:r>
              <w:t>-0.3</w:t>
            </w:r>
          </w:p>
        </w:tc>
        <w:tc>
          <w:tcPr>
            <w:tcW w:w="863" w:type="pct"/>
            <w:shd w:val="clear" w:color="auto" w:fill="auto"/>
            <w:tcMar>
              <w:top w:w="29" w:type="dxa"/>
              <w:left w:w="115" w:type="dxa"/>
              <w:bottom w:w="29" w:type="dxa"/>
              <w:right w:w="115" w:type="dxa"/>
            </w:tcMar>
            <w:vAlign w:val="bottom"/>
          </w:tcPr>
          <w:p w14:paraId="314A0B58" w14:textId="77777777" w:rsidR="00A00673" w:rsidRDefault="00A00673" w:rsidP="00295B34">
            <w:pPr>
              <w:pStyle w:val="TableTextDecimal"/>
              <w:framePr w:wrap="notBeside"/>
            </w:pPr>
            <w:r>
              <w:t>0.03</w:t>
            </w:r>
          </w:p>
        </w:tc>
      </w:tr>
      <w:tr w:rsidR="00A00673" w:rsidRPr="001B692D" w14:paraId="535723F8"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60EB7962" w14:textId="77777777" w:rsidR="00A00673" w:rsidRPr="001B692D" w:rsidRDefault="00A00673" w:rsidP="00E57C91">
            <w:pPr>
              <w:pStyle w:val="TableTextLeft"/>
              <w:ind w:left="245"/>
            </w:pPr>
            <w:r w:rsidRPr="00B85761">
              <w:t>Chronic kidney disease</w:t>
            </w:r>
          </w:p>
        </w:tc>
        <w:tc>
          <w:tcPr>
            <w:tcW w:w="862" w:type="pct"/>
            <w:shd w:val="clear" w:color="auto" w:fill="E0D4B5" w:themeFill="background2"/>
            <w:tcMar>
              <w:top w:w="29" w:type="dxa"/>
              <w:left w:w="115" w:type="dxa"/>
              <w:bottom w:w="29" w:type="dxa"/>
              <w:right w:w="115" w:type="dxa"/>
            </w:tcMar>
            <w:vAlign w:val="bottom"/>
          </w:tcPr>
          <w:p w14:paraId="449C7ED1" w14:textId="77777777" w:rsidR="00A00673" w:rsidRDefault="00A00673" w:rsidP="00295B34">
            <w:pPr>
              <w:pStyle w:val="TableTextDecimal"/>
              <w:framePr w:wrap="notBeside"/>
            </w:pPr>
            <w:r>
              <w:t>21.1</w:t>
            </w:r>
          </w:p>
        </w:tc>
        <w:tc>
          <w:tcPr>
            <w:tcW w:w="966" w:type="pct"/>
            <w:shd w:val="clear" w:color="auto" w:fill="E0D4B5" w:themeFill="background2"/>
            <w:tcMar>
              <w:top w:w="29" w:type="dxa"/>
              <w:left w:w="115" w:type="dxa"/>
              <w:bottom w:w="29" w:type="dxa"/>
              <w:right w:w="115" w:type="dxa"/>
            </w:tcMar>
            <w:vAlign w:val="bottom"/>
          </w:tcPr>
          <w:p w14:paraId="42B9F18A" w14:textId="77777777" w:rsidR="00A00673" w:rsidRDefault="00A00673" w:rsidP="00295B34">
            <w:pPr>
              <w:pStyle w:val="TableTextDecimal"/>
              <w:framePr w:wrap="notBeside"/>
            </w:pPr>
            <w:r>
              <w:t>20.7</w:t>
            </w:r>
          </w:p>
        </w:tc>
        <w:tc>
          <w:tcPr>
            <w:tcW w:w="743" w:type="pct"/>
            <w:shd w:val="clear" w:color="auto" w:fill="E0D4B5" w:themeFill="background2"/>
            <w:tcMar>
              <w:top w:w="29" w:type="dxa"/>
              <w:left w:w="115" w:type="dxa"/>
              <w:bottom w:w="29" w:type="dxa"/>
              <w:right w:w="115" w:type="dxa"/>
            </w:tcMar>
            <w:vAlign w:val="bottom"/>
          </w:tcPr>
          <w:p w14:paraId="72741E43" w14:textId="77777777" w:rsidR="00A00673" w:rsidRDefault="00A00673" w:rsidP="00295B34">
            <w:pPr>
              <w:pStyle w:val="TableTextDecimal"/>
              <w:framePr w:wrap="notBeside"/>
            </w:pPr>
            <w:r>
              <w:t>0.4</w:t>
            </w:r>
          </w:p>
        </w:tc>
        <w:tc>
          <w:tcPr>
            <w:tcW w:w="863" w:type="pct"/>
            <w:shd w:val="clear" w:color="auto" w:fill="E0D4B5" w:themeFill="background2"/>
            <w:tcMar>
              <w:top w:w="29" w:type="dxa"/>
              <w:left w:w="115" w:type="dxa"/>
              <w:bottom w:w="29" w:type="dxa"/>
              <w:right w:w="115" w:type="dxa"/>
            </w:tcMar>
            <w:vAlign w:val="bottom"/>
          </w:tcPr>
          <w:p w14:paraId="6BB9D617" w14:textId="77777777" w:rsidR="00A00673" w:rsidRDefault="00A00673" w:rsidP="00295B34">
            <w:pPr>
              <w:pStyle w:val="TableTextDecimal"/>
              <w:framePr w:wrap="notBeside"/>
            </w:pPr>
            <w:r>
              <w:t>0.04</w:t>
            </w:r>
          </w:p>
        </w:tc>
      </w:tr>
      <w:tr w:rsidR="00A00673" w:rsidRPr="001B692D" w14:paraId="57DE1F2B" w14:textId="77777777" w:rsidTr="00630740">
        <w:trPr>
          <w:trHeight w:val="20"/>
        </w:trPr>
        <w:tc>
          <w:tcPr>
            <w:tcW w:w="1566" w:type="pct"/>
            <w:shd w:val="clear" w:color="auto" w:fill="auto"/>
            <w:tcMar>
              <w:top w:w="29" w:type="dxa"/>
              <w:left w:w="115" w:type="dxa"/>
              <w:bottom w:w="29" w:type="dxa"/>
              <w:right w:w="115" w:type="dxa"/>
            </w:tcMar>
            <w:vAlign w:val="center"/>
          </w:tcPr>
          <w:p w14:paraId="510BC56C" w14:textId="77777777" w:rsidR="00A00673" w:rsidRPr="001B692D" w:rsidRDefault="00A00673" w:rsidP="00E57C91">
            <w:pPr>
              <w:pStyle w:val="TableTextLeft"/>
              <w:ind w:left="245"/>
            </w:pPr>
            <w:r w:rsidRPr="00B85761">
              <w:t>Cataract</w:t>
            </w:r>
          </w:p>
        </w:tc>
        <w:tc>
          <w:tcPr>
            <w:tcW w:w="862" w:type="pct"/>
            <w:shd w:val="clear" w:color="auto" w:fill="auto"/>
            <w:tcMar>
              <w:top w:w="29" w:type="dxa"/>
              <w:left w:w="115" w:type="dxa"/>
              <w:bottom w:w="29" w:type="dxa"/>
              <w:right w:w="115" w:type="dxa"/>
            </w:tcMar>
            <w:vAlign w:val="bottom"/>
          </w:tcPr>
          <w:p w14:paraId="4BA1A264" w14:textId="77777777" w:rsidR="00A00673" w:rsidRDefault="00A00673" w:rsidP="00295B34">
            <w:pPr>
              <w:pStyle w:val="TableTextDecimal"/>
              <w:framePr w:wrap="notBeside"/>
            </w:pPr>
            <w:r>
              <w:t>20.6</w:t>
            </w:r>
          </w:p>
        </w:tc>
        <w:tc>
          <w:tcPr>
            <w:tcW w:w="966" w:type="pct"/>
            <w:shd w:val="clear" w:color="auto" w:fill="auto"/>
            <w:tcMar>
              <w:top w:w="29" w:type="dxa"/>
              <w:left w:w="115" w:type="dxa"/>
              <w:bottom w:w="29" w:type="dxa"/>
              <w:right w:w="115" w:type="dxa"/>
            </w:tcMar>
            <w:vAlign w:val="bottom"/>
          </w:tcPr>
          <w:p w14:paraId="12DFAE39" w14:textId="77777777" w:rsidR="00A00673" w:rsidRDefault="00A00673" w:rsidP="00295B34">
            <w:pPr>
              <w:pStyle w:val="TableTextDecimal"/>
              <w:framePr w:wrap="notBeside"/>
            </w:pPr>
            <w:r>
              <w:t>20.7</w:t>
            </w:r>
          </w:p>
        </w:tc>
        <w:tc>
          <w:tcPr>
            <w:tcW w:w="743" w:type="pct"/>
            <w:shd w:val="clear" w:color="auto" w:fill="auto"/>
            <w:tcMar>
              <w:top w:w="29" w:type="dxa"/>
              <w:left w:w="115" w:type="dxa"/>
              <w:bottom w:w="29" w:type="dxa"/>
              <w:right w:w="115" w:type="dxa"/>
            </w:tcMar>
            <w:vAlign w:val="bottom"/>
          </w:tcPr>
          <w:p w14:paraId="2A2B76A8" w14:textId="77777777" w:rsidR="00A00673" w:rsidRDefault="00A00673" w:rsidP="00295B34">
            <w:pPr>
              <w:pStyle w:val="TableTextDecimal"/>
              <w:framePr w:wrap="notBeside"/>
            </w:pPr>
            <w:r>
              <w:t>-0.1</w:t>
            </w:r>
          </w:p>
        </w:tc>
        <w:tc>
          <w:tcPr>
            <w:tcW w:w="863" w:type="pct"/>
            <w:shd w:val="clear" w:color="auto" w:fill="auto"/>
            <w:tcMar>
              <w:top w:w="29" w:type="dxa"/>
              <w:left w:w="115" w:type="dxa"/>
              <w:bottom w:w="29" w:type="dxa"/>
              <w:right w:w="115" w:type="dxa"/>
            </w:tcMar>
            <w:vAlign w:val="bottom"/>
          </w:tcPr>
          <w:p w14:paraId="6073DC7A" w14:textId="77777777" w:rsidR="00A00673" w:rsidRDefault="00A00673" w:rsidP="00295B34">
            <w:pPr>
              <w:pStyle w:val="TableTextDecimal"/>
              <w:framePr w:wrap="notBeside"/>
            </w:pPr>
            <w:r>
              <w:t>0.01</w:t>
            </w:r>
          </w:p>
        </w:tc>
      </w:tr>
      <w:tr w:rsidR="00A00673" w:rsidRPr="001B692D" w14:paraId="56B71D4F"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7F5E8F35" w14:textId="77777777" w:rsidR="00A00673" w:rsidRPr="001B692D" w:rsidRDefault="00A00673" w:rsidP="00E57C91">
            <w:pPr>
              <w:pStyle w:val="TableTextLeft"/>
              <w:ind w:left="245"/>
            </w:pPr>
            <w:r w:rsidRPr="00B85761">
              <w:t>Depression</w:t>
            </w:r>
          </w:p>
        </w:tc>
        <w:tc>
          <w:tcPr>
            <w:tcW w:w="862" w:type="pct"/>
            <w:shd w:val="clear" w:color="auto" w:fill="E0D4B5" w:themeFill="background2"/>
            <w:tcMar>
              <w:top w:w="29" w:type="dxa"/>
              <w:left w:w="115" w:type="dxa"/>
              <w:bottom w:w="29" w:type="dxa"/>
              <w:right w:w="115" w:type="dxa"/>
            </w:tcMar>
            <w:vAlign w:val="bottom"/>
          </w:tcPr>
          <w:p w14:paraId="69A8D53E" w14:textId="77777777" w:rsidR="00A00673" w:rsidRDefault="00A00673" w:rsidP="00295B34">
            <w:pPr>
              <w:pStyle w:val="TableTextDecimal"/>
              <w:framePr w:wrap="notBeside"/>
            </w:pPr>
            <w:r>
              <w:t>18.4</w:t>
            </w:r>
          </w:p>
        </w:tc>
        <w:tc>
          <w:tcPr>
            <w:tcW w:w="966" w:type="pct"/>
            <w:shd w:val="clear" w:color="auto" w:fill="E0D4B5" w:themeFill="background2"/>
            <w:tcMar>
              <w:top w:w="29" w:type="dxa"/>
              <w:left w:w="115" w:type="dxa"/>
              <w:bottom w:w="29" w:type="dxa"/>
              <w:right w:w="115" w:type="dxa"/>
            </w:tcMar>
            <w:vAlign w:val="bottom"/>
          </w:tcPr>
          <w:p w14:paraId="0D09A86F" w14:textId="77777777" w:rsidR="00A00673" w:rsidRDefault="00A00673" w:rsidP="00295B34">
            <w:pPr>
              <w:pStyle w:val="TableTextDecimal"/>
              <w:framePr w:wrap="notBeside"/>
            </w:pPr>
            <w:r>
              <w:t>18.1</w:t>
            </w:r>
          </w:p>
        </w:tc>
        <w:tc>
          <w:tcPr>
            <w:tcW w:w="743" w:type="pct"/>
            <w:shd w:val="clear" w:color="auto" w:fill="E0D4B5" w:themeFill="background2"/>
            <w:tcMar>
              <w:top w:w="29" w:type="dxa"/>
              <w:left w:w="115" w:type="dxa"/>
              <w:bottom w:w="29" w:type="dxa"/>
              <w:right w:w="115" w:type="dxa"/>
            </w:tcMar>
            <w:vAlign w:val="bottom"/>
          </w:tcPr>
          <w:p w14:paraId="468F55EF" w14:textId="77777777" w:rsidR="00A00673" w:rsidRDefault="00A00673" w:rsidP="00295B34">
            <w:pPr>
              <w:pStyle w:val="TableTextDecimal"/>
              <w:framePr w:wrap="notBeside"/>
            </w:pPr>
            <w:r>
              <w:t>0.3</w:t>
            </w:r>
          </w:p>
        </w:tc>
        <w:tc>
          <w:tcPr>
            <w:tcW w:w="863" w:type="pct"/>
            <w:shd w:val="clear" w:color="auto" w:fill="E0D4B5" w:themeFill="background2"/>
            <w:tcMar>
              <w:top w:w="29" w:type="dxa"/>
              <w:left w:w="115" w:type="dxa"/>
              <w:bottom w:w="29" w:type="dxa"/>
              <w:right w:w="115" w:type="dxa"/>
            </w:tcMar>
            <w:vAlign w:val="bottom"/>
          </w:tcPr>
          <w:p w14:paraId="03E080BA" w14:textId="77777777" w:rsidR="00A00673" w:rsidRDefault="00A00673" w:rsidP="00295B34">
            <w:pPr>
              <w:pStyle w:val="TableTextDecimal"/>
              <w:framePr w:wrap="notBeside"/>
            </w:pPr>
            <w:r>
              <w:t>0.03</w:t>
            </w:r>
          </w:p>
        </w:tc>
      </w:tr>
      <w:tr w:rsidR="00A00673" w:rsidRPr="001B692D" w14:paraId="36847994" w14:textId="77777777" w:rsidTr="00630740">
        <w:trPr>
          <w:trHeight w:val="20"/>
        </w:trPr>
        <w:tc>
          <w:tcPr>
            <w:tcW w:w="1566" w:type="pct"/>
            <w:shd w:val="clear" w:color="auto" w:fill="auto"/>
            <w:tcMar>
              <w:top w:w="29" w:type="dxa"/>
              <w:left w:w="115" w:type="dxa"/>
              <w:bottom w:w="29" w:type="dxa"/>
              <w:right w:w="115" w:type="dxa"/>
            </w:tcMar>
            <w:vAlign w:val="center"/>
          </w:tcPr>
          <w:p w14:paraId="49EC5350" w14:textId="77777777" w:rsidR="00A00673" w:rsidRPr="001B692D" w:rsidRDefault="00A00673" w:rsidP="00E57C91">
            <w:pPr>
              <w:pStyle w:val="TableTextLeft"/>
              <w:ind w:left="245"/>
            </w:pPr>
            <w:r w:rsidRPr="00B85761">
              <w:t>Anxiety disorders</w:t>
            </w:r>
          </w:p>
        </w:tc>
        <w:tc>
          <w:tcPr>
            <w:tcW w:w="862" w:type="pct"/>
            <w:shd w:val="clear" w:color="auto" w:fill="auto"/>
            <w:tcMar>
              <w:top w:w="29" w:type="dxa"/>
              <w:left w:w="115" w:type="dxa"/>
              <w:bottom w:w="29" w:type="dxa"/>
              <w:right w:w="115" w:type="dxa"/>
            </w:tcMar>
            <w:vAlign w:val="bottom"/>
          </w:tcPr>
          <w:p w14:paraId="0A450852" w14:textId="77777777" w:rsidR="00A00673" w:rsidRDefault="00A00673" w:rsidP="00295B34">
            <w:pPr>
              <w:pStyle w:val="TableTextDecimal"/>
              <w:framePr w:wrap="notBeside"/>
            </w:pPr>
            <w:r>
              <w:t>16.4</w:t>
            </w:r>
          </w:p>
        </w:tc>
        <w:tc>
          <w:tcPr>
            <w:tcW w:w="966" w:type="pct"/>
            <w:shd w:val="clear" w:color="auto" w:fill="auto"/>
            <w:tcMar>
              <w:top w:w="29" w:type="dxa"/>
              <w:left w:w="115" w:type="dxa"/>
              <w:bottom w:w="29" w:type="dxa"/>
              <w:right w:w="115" w:type="dxa"/>
            </w:tcMar>
            <w:vAlign w:val="bottom"/>
          </w:tcPr>
          <w:p w14:paraId="155CE69E" w14:textId="77777777" w:rsidR="00A00673" w:rsidRDefault="00A00673" w:rsidP="00295B34">
            <w:pPr>
              <w:pStyle w:val="TableTextDecimal"/>
              <w:framePr w:wrap="notBeside"/>
            </w:pPr>
            <w:r>
              <w:t>16.3</w:t>
            </w:r>
          </w:p>
        </w:tc>
        <w:tc>
          <w:tcPr>
            <w:tcW w:w="743" w:type="pct"/>
            <w:shd w:val="clear" w:color="auto" w:fill="auto"/>
            <w:tcMar>
              <w:top w:w="29" w:type="dxa"/>
              <w:left w:w="115" w:type="dxa"/>
              <w:bottom w:w="29" w:type="dxa"/>
              <w:right w:w="115" w:type="dxa"/>
            </w:tcMar>
            <w:vAlign w:val="bottom"/>
          </w:tcPr>
          <w:p w14:paraId="2807F10D" w14:textId="77777777" w:rsidR="00A00673" w:rsidRDefault="00A00673" w:rsidP="00295B34">
            <w:pPr>
              <w:pStyle w:val="TableTextDecimal"/>
              <w:framePr w:wrap="notBeside"/>
            </w:pPr>
            <w:r>
              <w:t>0.1</w:t>
            </w:r>
          </w:p>
        </w:tc>
        <w:tc>
          <w:tcPr>
            <w:tcW w:w="863" w:type="pct"/>
            <w:shd w:val="clear" w:color="auto" w:fill="auto"/>
            <w:tcMar>
              <w:top w:w="29" w:type="dxa"/>
              <w:left w:w="115" w:type="dxa"/>
              <w:bottom w:w="29" w:type="dxa"/>
              <w:right w:w="115" w:type="dxa"/>
            </w:tcMar>
            <w:vAlign w:val="bottom"/>
          </w:tcPr>
          <w:p w14:paraId="53B7354C" w14:textId="77777777" w:rsidR="00A00673" w:rsidRDefault="00A00673" w:rsidP="00295B34">
            <w:pPr>
              <w:pStyle w:val="TableTextDecimal"/>
              <w:framePr w:wrap="notBeside"/>
            </w:pPr>
            <w:r>
              <w:t>0.01</w:t>
            </w:r>
          </w:p>
        </w:tc>
      </w:tr>
      <w:tr w:rsidR="00A00673" w:rsidRPr="001B692D" w14:paraId="3AFB0770"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1338FBDC" w14:textId="77777777" w:rsidR="00A00673" w:rsidRPr="001B692D" w:rsidRDefault="00A00673" w:rsidP="00E57C91">
            <w:pPr>
              <w:pStyle w:val="TableTextLeft"/>
              <w:ind w:left="245"/>
            </w:pPr>
            <w:r w:rsidRPr="00B85761">
              <w:t>Acquired hypothyroidism</w:t>
            </w:r>
          </w:p>
        </w:tc>
        <w:tc>
          <w:tcPr>
            <w:tcW w:w="862" w:type="pct"/>
            <w:shd w:val="clear" w:color="auto" w:fill="E0D4B5" w:themeFill="background2"/>
            <w:tcMar>
              <w:top w:w="29" w:type="dxa"/>
              <w:left w:w="115" w:type="dxa"/>
              <w:bottom w:w="29" w:type="dxa"/>
              <w:right w:w="115" w:type="dxa"/>
            </w:tcMar>
            <w:vAlign w:val="bottom"/>
          </w:tcPr>
          <w:p w14:paraId="0C22D947" w14:textId="77777777" w:rsidR="00A00673" w:rsidRDefault="00A00673" w:rsidP="00295B34">
            <w:pPr>
              <w:pStyle w:val="TableTextDecimal"/>
              <w:framePr w:wrap="notBeside"/>
            </w:pPr>
            <w:r>
              <w:t>15.9</w:t>
            </w:r>
          </w:p>
        </w:tc>
        <w:tc>
          <w:tcPr>
            <w:tcW w:w="966" w:type="pct"/>
            <w:shd w:val="clear" w:color="auto" w:fill="E0D4B5" w:themeFill="background2"/>
            <w:tcMar>
              <w:top w:w="29" w:type="dxa"/>
              <w:left w:w="115" w:type="dxa"/>
              <w:bottom w:w="29" w:type="dxa"/>
              <w:right w:w="115" w:type="dxa"/>
            </w:tcMar>
            <w:vAlign w:val="bottom"/>
          </w:tcPr>
          <w:p w14:paraId="2FF62EAB" w14:textId="77777777" w:rsidR="00A00673" w:rsidRDefault="00A00673" w:rsidP="00295B34">
            <w:pPr>
              <w:pStyle w:val="TableTextDecimal"/>
              <w:framePr w:wrap="notBeside"/>
            </w:pPr>
            <w:r>
              <w:t>16.3</w:t>
            </w:r>
          </w:p>
        </w:tc>
        <w:tc>
          <w:tcPr>
            <w:tcW w:w="743" w:type="pct"/>
            <w:shd w:val="clear" w:color="auto" w:fill="E0D4B5" w:themeFill="background2"/>
            <w:tcMar>
              <w:top w:w="29" w:type="dxa"/>
              <w:left w:w="115" w:type="dxa"/>
              <w:bottom w:w="29" w:type="dxa"/>
              <w:right w:w="115" w:type="dxa"/>
            </w:tcMar>
            <w:vAlign w:val="bottom"/>
          </w:tcPr>
          <w:p w14:paraId="1269209A" w14:textId="77777777" w:rsidR="00A00673" w:rsidRDefault="00A00673" w:rsidP="00295B34">
            <w:pPr>
              <w:pStyle w:val="TableTextDecimal"/>
              <w:framePr w:wrap="notBeside"/>
            </w:pPr>
            <w:r>
              <w:t>-0.4</w:t>
            </w:r>
          </w:p>
        </w:tc>
        <w:tc>
          <w:tcPr>
            <w:tcW w:w="863" w:type="pct"/>
            <w:shd w:val="clear" w:color="auto" w:fill="E0D4B5" w:themeFill="background2"/>
            <w:tcMar>
              <w:top w:w="29" w:type="dxa"/>
              <w:left w:w="115" w:type="dxa"/>
              <w:bottom w:w="29" w:type="dxa"/>
              <w:right w:w="115" w:type="dxa"/>
            </w:tcMar>
            <w:vAlign w:val="bottom"/>
          </w:tcPr>
          <w:p w14:paraId="66147C8D" w14:textId="77777777" w:rsidR="00A00673" w:rsidRDefault="00A00673" w:rsidP="00295B34">
            <w:pPr>
              <w:pStyle w:val="TableTextDecimal"/>
              <w:framePr w:wrap="notBeside"/>
            </w:pPr>
            <w:r>
              <w:t>0.08</w:t>
            </w:r>
          </w:p>
        </w:tc>
      </w:tr>
      <w:tr w:rsidR="00A00673" w:rsidRPr="001B692D" w14:paraId="36CB7995" w14:textId="77777777" w:rsidTr="00630740">
        <w:trPr>
          <w:trHeight w:val="20"/>
        </w:trPr>
        <w:tc>
          <w:tcPr>
            <w:tcW w:w="1566" w:type="pct"/>
            <w:shd w:val="clear" w:color="auto" w:fill="auto"/>
            <w:tcMar>
              <w:top w:w="29" w:type="dxa"/>
              <w:left w:w="115" w:type="dxa"/>
              <w:bottom w:w="29" w:type="dxa"/>
              <w:right w:w="115" w:type="dxa"/>
            </w:tcMar>
            <w:vAlign w:val="center"/>
          </w:tcPr>
          <w:p w14:paraId="4B5921D6" w14:textId="77777777" w:rsidR="00A00673" w:rsidRPr="001B692D" w:rsidRDefault="00A00673" w:rsidP="00E57C91">
            <w:pPr>
              <w:pStyle w:val="TableTextLeft"/>
              <w:ind w:left="245"/>
            </w:pPr>
            <w:r w:rsidRPr="00B85761">
              <w:t>Congestive heart failure</w:t>
            </w:r>
          </w:p>
        </w:tc>
        <w:tc>
          <w:tcPr>
            <w:tcW w:w="862" w:type="pct"/>
            <w:shd w:val="clear" w:color="auto" w:fill="auto"/>
            <w:tcMar>
              <w:top w:w="29" w:type="dxa"/>
              <w:left w:w="115" w:type="dxa"/>
              <w:bottom w:w="29" w:type="dxa"/>
              <w:right w:w="115" w:type="dxa"/>
            </w:tcMar>
            <w:vAlign w:val="bottom"/>
          </w:tcPr>
          <w:p w14:paraId="3573F9E4" w14:textId="77777777" w:rsidR="00A00673" w:rsidRDefault="00A00673" w:rsidP="00295B34">
            <w:pPr>
              <w:pStyle w:val="TableTextDecimal"/>
              <w:framePr w:wrap="notBeside"/>
            </w:pPr>
            <w:r>
              <w:t>15.2</w:t>
            </w:r>
          </w:p>
        </w:tc>
        <w:tc>
          <w:tcPr>
            <w:tcW w:w="966" w:type="pct"/>
            <w:shd w:val="clear" w:color="auto" w:fill="auto"/>
            <w:tcMar>
              <w:top w:w="29" w:type="dxa"/>
              <w:left w:w="115" w:type="dxa"/>
              <w:bottom w:w="29" w:type="dxa"/>
              <w:right w:w="115" w:type="dxa"/>
            </w:tcMar>
            <w:vAlign w:val="bottom"/>
          </w:tcPr>
          <w:p w14:paraId="3D466FED" w14:textId="77777777" w:rsidR="00A00673" w:rsidRDefault="00A00673" w:rsidP="00295B34">
            <w:pPr>
              <w:pStyle w:val="TableTextDecimal"/>
              <w:framePr w:wrap="notBeside"/>
            </w:pPr>
            <w:r>
              <w:t>14.9</w:t>
            </w:r>
          </w:p>
        </w:tc>
        <w:tc>
          <w:tcPr>
            <w:tcW w:w="743" w:type="pct"/>
            <w:shd w:val="clear" w:color="auto" w:fill="auto"/>
            <w:tcMar>
              <w:top w:w="29" w:type="dxa"/>
              <w:left w:w="115" w:type="dxa"/>
              <w:bottom w:w="29" w:type="dxa"/>
              <w:right w:w="115" w:type="dxa"/>
            </w:tcMar>
            <w:vAlign w:val="bottom"/>
          </w:tcPr>
          <w:p w14:paraId="5240B79B" w14:textId="77777777" w:rsidR="00A00673" w:rsidRDefault="00A00673" w:rsidP="00295B34">
            <w:pPr>
              <w:pStyle w:val="TableTextDecimal"/>
              <w:framePr w:wrap="notBeside"/>
            </w:pPr>
            <w:r>
              <w:t>0.2</w:t>
            </w:r>
          </w:p>
        </w:tc>
        <w:tc>
          <w:tcPr>
            <w:tcW w:w="863" w:type="pct"/>
            <w:shd w:val="clear" w:color="auto" w:fill="auto"/>
            <w:tcMar>
              <w:top w:w="29" w:type="dxa"/>
              <w:left w:w="115" w:type="dxa"/>
              <w:bottom w:w="29" w:type="dxa"/>
              <w:right w:w="115" w:type="dxa"/>
            </w:tcMar>
            <w:vAlign w:val="bottom"/>
          </w:tcPr>
          <w:p w14:paraId="17D08D5A" w14:textId="77777777" w:rsidR="00A00673" w:rsidRDefault="00A00673" w:rsidP="00295B34">
            <w:pPr>
              <w:pStyle w:val="TableTextDecimal"/>
              <w:framePr w:wrap="notBeside"/>
            </w:pPr>
            <w:r>
              <w:t>0.03</w:t>
            </w:r>
          </w:p>
        </w:tc>
      </w:tr>
      <w:tr w:rsidR="00A00673" w:rsidRPr="001B692D" w14:paraId="49C06F5E"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37041256" w14:textId="77777777" w:rsidR="00A00673" w:rsidRPr="001B692D" w:rsidRDefault="00A00673" w:rsidP="00E57C91">
            <w:pPr>
              <w:pStyle w:val="TableTextLeft"/>
              <w:ind w:left="245"/>
            </w:pPr>
            <w:r w:rsidRPr="00B85761">
              <w:t>Obesity</w:t>
            </w:r>
          </w:p>
        </w:tc>
        <w:tc>
          <w:tcPr>
            <w:tcW w:w="862" w:type="pct"/>
            <w:shd w:val="clear" w:color="auto" w:fill="E0D4B5" w:themeFill="background2"/>
            <w:tcMar>
              <w:top w:w="29" w:type="dxa"/>
              <w:left w:w="115" w:type="dxa"/>
              <w:bottom w:w="29" w:type="dxa"/>
              <w:right w:w="115" w:type="dxa"/>
            </w:tcMar>
            <w:vAlign w:val="bottom"/>
          </w:tcPr>
          <w:p w14:paraId="3240327A" w14:textId="77777777" w:rsidR="00A00673" w:rsidRDefault="00A00673" w:rsidP="00295B34">
            <w:pPr>
              <w:pStyle w:val="TableTextDecimal"/>
              <w:framePr w:wrap="notBeside"/>
            </w:pPr>
            <w:r>
              <w:t>14.6</w:t>
            </w:r>
          </w:p>
        </w:tc>
        <w:tc>
          <w:tcPr>
            <w:tcW w:w="966" w:type="pct"/>
            <w:shd w:val="clear" w:color="auto" w:fill="E0D4B5" w:themeFill="background2"/>
            <w:tcMar>
              <w:top w:w="29" w:type="dxa"/>
              <w:left w:w="115" w:type="dxa"/>
              <w:bottom w:w="29" w:type="dxa"/>
              <w:right w:w="115" w:type="dxa"/>
            </w:tcMar>
            <w:vAlign w:val="bottom"/>
          </w:tcPr>
          <w:p w14:paraId="63DD45DD" w14:textId="77777777" w:rsidR="00A00673" w:rsidRDefault="00A00673" w:rsidP="00295B34">
            <w:pPr>
              <w:pStyle w:val="TableTextDecimal"/>
              <w:framePr w:wrap="notBeside"/>
            </w:pPr>
            <w:r>
              <w:t>14.7</w:t>
            </w:r>
          </w:p>
        </w:tc>
        <w:tc>
          <w:tcPr>
            <w:tcW w:w="743" w:type="pct"/>
            <w:shd w:val="clear" w:color="auto" w:fill="E0D4B5" w:themeFill="background2"/>
            <w:tcMar>
              <w:top w:w="29" w:type="dxa"/>
              <w:left w:w="115" w:type="dxa"/>
              <w:bottom w:w="29" w:type="dxa"/>
              <w:right w:w="115" w:type="dxa"/>
            </w:tcMar>
            <w:vAlign w:val="bottom"/>
          </w:tcPr>
          <w:p w14:paraId="3ACE1D6E" w14:textId="77777777" w:rsidR="00A00673" w:rsidRDefault="00A00673" w:rsidP="00295B34">
            <w:pPr>
              <w:pStyle w:val="TableTextDecimal"/>
              <w:framePr w:wrap="notBeside"/>
            </w:pPr>
            <w:r>
              <w:t>-0.1</w:t>
            </w:r>
          </w:p>
        </w:tc>
        <w:tc>
          <w:tcPr>
            <w:tcW w:w="863" w:type="pct"/>
            <w:shd w:val="clear" w:color="auto" w:fill="E0D4B5" w:themeFill="background2"/>
            <w:tcMar>
              <w:top w:w="29" w:type="dxa"/>
              <w:left w:w="115" w:type="dxa"/>
              <w:bottom w:w="29" w:type="dxa"/>
              <w:right w:w="115" w:type="dxa"/>
            </w:tcMar>
            <w:vAlign w:val="bottom"/>
          </w:tcPr>
          <w:p w14:paraId="104BDF41" w14:textId="77777777" w:rsidR="00A00673" w:rsidRDefault="00A00673" w:rsidP="00295B34">
            <w:pPr>
              <w:pStyle w:val="TableTextDecimal"/>
              <w:framePr w:wrap="notBeside"/>
            </w:pPr>
            <w:r>
              <w:t>0.01</w:t>
            </w:r>
          </w:p>
        </w:tc>
      </w:tr>
      <w:tr w:rsidR="00A00673" w:rsidRPr="001B692D" w14:paraId="1E61652B" w14:textId="77777777" w:rsidTr="00630740">
        <w:trPr>
          <w:trHeight w:val="20"/>
        </w:trPr>
        <w:tc>
          <w:tcPr>
            <w:tcW w:w="1566" w:type="pct"/>
            <w:shd w:val="clear" w:color="auto" w:fill="auto"/>
            <w:tcMar>
              <w:top w:w="29" w:type="dxa"/>
              <w:left w:w="115" w:type="dxa"/>
              <w:bottom w:w="29" w:type="dxa"/>
              <w:right w:w="115" w:type="dxa"/>
            </w:tcMar>
            <w:vAlign w:val="center"/>
          </w:tcPr>
          <w:p w14:paraId="767D502C" w14:textId="77777777" w:rsidR="00A00673" w:rsidRPr="001B692D" w:rsidRDefault="00A00673" w:rsidP="00E57C91">
            <w:pPr>
              <w:pStyle w:val="TableTextLeft"/>
              <w:ind w:left="245"/>
            </w:pPr>
            <w:r w:rsidRPr="00B85761">
              <w:t>COPD</w:t>
            </w:r>
          </w:p>
        </w:tc>
        <w:tc>
          <w:tcPr>
            <w:tcW w:w="862" w:type="pct"/>
            <w:shd w:val="clear" w:color="auto" w:fill="auto"/>
            <w:tcMar>
              <w:top w:w="29" w:type="dxa"/>
              <w:left w:w="115" w:type="dxa"/>
              <w:bottom w:w="29" w:type="dxa"/>
              <w:right w:w="115" w:type="dxa"/>
            </w:tcMar>
            <w:vAlign w:val="bottom"/>
          </w:tcPr>
          <w:p w14:paraId="40799ED2" w14:textId="77777777" w:rsidR="00A00673" w:rsidRDefault="00A00673" w:rsidP="00295B34">
            <w:pPr>
              <w:pStyle w:val="TableTextDecimal"/>
              <w:framePr w:wrap="notBeside"/>
            </w:pPr>
            <w:r>
              <w:t>11.7</w:t>
            </w:r>
          </w:p>
        </w:tc>
        <w:tc>
          <w:tcPr>
            <w:tcW w:w="966" w:type="pct"/>
            <w:shd w:val="clear" w:color="auto" w:fill="auto"/>
            <w:tcMar>
              <w:top w:w="29" w:type="dxa"/>
              <w:left w:w="115" w:type="dxa"/>
              <w:bottom w:w="29" w:type="dxa"/>
              <w:right w:w="115" w:type="dxa"/>
            </w:tcMar>
            <w:vAlign w:val="bottom"/>
          </w:tcPr>
          <w:p w14:paraId="14CEBB6E" w14:textId="77777777" w:rsidR="00A00673" w:rsidRDefault="00A00673" w:rsidP="00295B34">
            <w:pPr>
              <w:pStyle w:val="TableTextDecimal"/>
              <w:framePr w:wrap="notBeside"/>
            </w:pPr>
            <w:r>
              <w:t>11.8</w:t>
            </w:r>
          </w:p>
        </w:tc>
        <w:tc>
          <w:tcPr>
            <w:tcW w:w="743" w:type="pct"/>
            <w:shd w:val="clear" w:color="auto" w:fill="auto"/>
            <w:tcMar>
              <w:top w:w="29" w:type="dxa"/>
              <w:left w:w="115" w:type="dxa"/>
              <w:bottom w:w="29" w:type="dxa"/>
              <w:right w:w="115" w:type="dxa"/>
            </w:tcMar>
            <w:vAlign w:val="bottom"/>
          </w:tcPr>
          <w:p w14:paraId="59F915F8" w14:textId="77777777" w:rsidR="00A00673" w:rsidRDefault="00A00673" w:rsidP="00295B34">
            <w:pPr>
              <w:pStyle w:val="TableTextDecimal"/>
              <w:framePr w:wrap="notBeside"/>
            </w:pPr>
            <w:r>
              <w:t>-0.1</w:t>
            </w:r>
          </w:p>
        </w:tc>
        <w:tc>
          <w:tcPr>
            <w:tcW w:w="863" w:type="pct"/>
            <w:shd w:val="clear" w:color="auto" w:fill="auto"/>
            <w:tcMar>
              <w:top w:w="29" w:type="dxa"/>
              <w:left w:w="115" w:type="dxa"/>
              <w:bottom w:w="29" w:type="dxa"/>
              <w:right w:w="115" w:type="dxa"/>
            </w:tcMar>
            <w:vAlign w:val="bottom"/>
          </w:tcPr>
          <w:p w14:paraId="43CCAEF9" w14:textId="77777777" w:rsidR="00A00673" w:rsidRDefault="00A00673" w:rsidP="00295B34">
            <w:pPr>
              <w:pStyle w:val="TableTextDecimal"/>
              <w:framePr w:wrap="notBeside"/>
            </w:pPr>
            <w:r>
              <w:t>0.02</w:t>
            </w:r>
          </w:p>
        </w:tc>
      </w:tr>
      <w:tr w:rsidR="00A00673" w:rsidRPr="001B692D" w14:paraId="1953F9B6"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1972ECE1" w14:textId="77777777" w:rsidR="00A00673" w:rsidRPr="001B692D" w:rsidRDefault="00A00673" w:rsidP="00295B34">
            <w:pPr>
              <w:pStyle w:val="TableTextLeft"/>
              <w:ind w:left="245"/>
            </w:pPr>
            <w:r w:rsidRPr="00B85761">
              <w:t>Alzheimer’s disease and related disorders or senile dementia</w:t>
            </w:r>
          </w:p>
        </w:tc>
        <w:tc>
          <w:tcPr>
            <w:tcW w:w="862" w:type="pct"/>
            <w:shd w:val="clear" w:color="auto" w:fill="E0D4B5" w:themeFill="background2"/>
            <w:tcMar>
              <w:top w:w="29" w:type="dxa"/>
              <w:left w:w="115" w:type="dxa"/>
              <w:bottom w:w="29" w:type="dxa"/>
              <w:right w:w="115" w:type="dxa"/>
            </w:tcMar>
            <w:vAlign w:val="bottom"/>
          </w:tcPr>
          <w:p w14:paraId="68F62770" w14:textId="77777777" w:rsidR="00A00673" w:rsidRDefault="00A00673" w:rsidP="00295B34">
            <w:pPr>
              <w:pStyle w:val="TableTextDecimal"/>
              <w:framePr w:wrap="notBeside"/>
            </w:pPr>
            <w:r>
              <w:t>11.4</w:t>
            </w:r>
          </w:p>
        </w:tc>
        <w:tc>
          <w:tcPr>
            <w:tcW w:w="966" w:type="pct"/>
            <w:shd w:val="clear" w:color="auto" w:fill="E0D4B5" w:themeFill="background2"/>
            <w:tcMar>
              <w:top w:w="29" w:type="dxa"/>
              <w:left w:w="115" w:type="dxa"/>
              <w:bottom w:w="29" w:type="dxa"/>
              <w:right w:w="115" w:type="dxa"/>
            </w:tcMar>
            <w:vAlign w:val="bottom"/>
          </w:tcPr>
          <w:p w14:paraId="4653DA44" w14:textId="77777777" w:rsidR="00A00673" w:rsidRDefault="00A00673" w:rsidP="00295B34">
            <w:pPr>
              <w:pStyle w:val="TableTextDecimal"/>
              <w:framePr w:wrap="notBeside"/>
            </w:pPr>
            <w:r>
              <w:t>11.2</w:t>
            </w:r>
          </w:p>
        </w:tc>
        <w:tc>
          <w:tcPr>
            <w:tcW w:w="743" w:type="pct"/>
            <w:shd w:val="clear" w:color="auto" w:fill="E0D4B5" w:themeFill="background2"/>
            <w:tcMar>
              <w:top w:w="29" w:type="dxa"/>
              <w:left w:w="115" w:type="dxa"/>
              <w:bottom w:w="29" w:type="dxa"/>
              <w:right w:w="115" w:type="dxa"/>
            </w:tcMar>
            <w:vAlign w:val="bottom"/>
          </w:tcPr>
          <w:p w14:paraId="19E92FBB" w14:textId="77777777" w:rsidR="00A00673" w:rsidRDefault="00A00673" w:rsidP="00295B34">
            <w:pPr>
              <w:pStyle w:val="TableTextDecimal"/>
              <w:framePr w:wrap="notBeside"/>
            </w:pPr>
            <w:r>
              <w:t>0.2</w:t>
            </w:r>
          </w:p>
        </w:tc>
        <w:tc>
          <w:tcPr>
            <w:tcW w:w="863" w:type="pct"/>
            <w:shd w:val="clear" w:color="auto" w:fill="E0D4B5" w:themeFill="background2"/>
            <w:tcMar>
              <w:top w:w="29" w:type="dxa"/>
              <w:left w:w="115" w:type="dxa"/>
              <w:bottom w:w="29" w:type="dxa"/>
              <w:right w:w="115" w:type="dxa"/>
            </w:tcMar>
            <w:vAlign w:val="bottom"/>
          </w:tcPr>
          <w:p w14:paraId="21D8E849" w14:textId="77777777" w:rsidR="00A00673" w:rsidRDefault="00A00673" w:rsidP="00295B34">
            <w:pPr>
              <w:pStyle w:val="TableTextDecimal"/>
              <w:framePr w:wrap="notBeside"/>
            </w:pPr>
            <w:r>
              <w:t>0.02</w:t>
            </w:r>
          </w:p>
        </w:tc>
      </w:tr>
      <w:tr w:rsidR="00A00673" w:rsidRPr="001B692D" w14:paraId="2014A06A" w14:textId="77777777" w:rsidTr="00630740">
        <w:trPr>
          <w:trHeight w:val="20"/>
        </w:trPr>
        <w:tc>
          <w:tcPr>
            <w:tcW w:w="1566" w:type="pct"/>
            <w:shd w:val="clear" w:color="auto" w:fill="auto"/>
            <w:tcMar>
              <w:top w:w="29" w:type="dxa"/>
              <w:left w:w="115" w:type="dxa"/>
              <w:bottom w:w="29" w:type="dxa"/>
              <w:right w:w="115" w:type="dxa"/>
            </w:tcMar>
            <w:vAlign w:val="center"/>
          </w:tcPr>
          <w:p w14:paraId="459F6FA4" w14:textId="77777777" w:rsidR="00A00673" w:rsidRPr="001B692D" w:rsidRDefault="00A00673" w:rsidP="00295B34">
            <w:pPr>
              <w:pStyle w:val="TableTextLeft"/>
              <w:ind w:left="245"/>
            </w:pPr>
            <w:r w:rsidRPr="00B85761">
              <w:t>Glaucoma</w:t>
            </w:r>
          </w:p>
        </w:tc>
        <w:tc>
          <w:tcPr>
            <w:tcW w:w="862" w:type="pct"/>
            <w:shd w:val="clear" w:color="auto" w:fill="auto"/>
            <w:tcMar>
              <w:top w:w="29" w:type="dxa"/>
              <w:left w:w="115" w:type="dxa"/>
              <w:bottom w:w="29" w:type="dxa"/>
              <w:right w:w="115" w:type="dxa"/>
            </w:tcMar>
            <w:vAlign w:val="bottom"/>
          </w:tcPr>
          <w:p w14:paraId="108ACD15" w14:textId="77777777" w:rsidR="00A00673" w:rsidRDefault="00A00673" w:rsidP="00295B34">
            <w:pPr>
              <w:pStyle w:val="TableTextDecimal"/>
              <w:framePr w:wrap="notBeside"/>
            </w:pPr>
            <w:r>
              <w:t>10.5</w:t>
            </w:r>
          </w:p>
        </w:tc>
        <w:tc>
          <w:tcPr>
            <w:tcW w:w="966" w:type="pct"/>
            <w:shd w:val="clear" w:color="auto" w:fill="auto"/>
            <w:tcMar>
              <w:top w:w="29" w:type="dxa"/>
              <w:left w:w="115" w:type="dxa"/>
              <w:bottom w:w="29" w:type="dxa"/>
              <w:right w:w="115" w:type="dxa"/>
            </w:tcMar>
            <w:vAlign w:val="bottom"/>
          </w:tcPr>
          <w:p w14:paraId="37EA64B0" w14:textId="77777777" w:rsidR="00A00673" w:rsidRDefault="00A00673" w:rsidP="00295B34">
            <w:pPr>
              <w:pStyle w:val="TableTextDecimal"/>
              <w:framePr w:wrap="notBeside"/>
            </w:pPr>
            <w:r>
              <w:t>10.5</w:t>
            </w:r>
          </w:p>
        </w:tc>
        <w:tc>
          <w:tcPr>
            <w:tcW w:w="743" w:type="pct"/>
            <w:shd w:val="clear" w:color="auto" w:fill="auto"/>
            <w:tcMar>
              <w:top w:w="29" w:type="dxa"/>
              <w:left w:w="115" w:type="dxa"/>
              <w:bottom w:w="29" w:type="dxa"/>
              <w:right w:w="115" w:type="dxa"/>
            </w:tcMar>
            <w:vAlign w:val="bottom"/>
          </w:tcPr>
          <w:p w14:paraId="36258769" w14:textId="77777777" w:rsidR="00A00673" w:rsidRDefault="00A00673" w:rsidP="00295B34">
            <w:pPr>
              <w:pStyle w:val="TableTextDecimal"/>
              <w:framePr w:wrap="notBeside"/>
            </w:pPr>
            <w:r>
              <w:t>0.0</w:t>
            </w:r>
          </w:p>
        </w:tc>
        <w:tc>
          <w:tcPr>
            <w:tcW w:w="863" w:type="pct"/>
            <w:shd w:val="clear" w:color="auto" w:fill="auto"/>
            <w:tcMar>
              <w:top w:w="29" w:type="dxa"/>
              <w:left w:w="115" w:type="dxa"/>
              <w:bottom w:w="29" w:type="dxa"/>
              <w:right w:w="115" w:type="dxa"/>
            </w:tcMar>
            <w:vAlign w:val="bottom"/>
          </w:tcPr>
          <w:p w14:paraId="58C887F5" w14:textId="77777777" w:rsidR="00A00673" w:rsidRDefault="00A00673" w:rsidP="00295B34">
            <w:pPr>
              <w:pStyle w:val="TableTextDecimal"/>
              <w:framePr w:wrap="notBeside"/>
            </w:pPr>
            <w:r>
              <w:t>0.01</w:t>
            </w:r>
          </w:p>
        </w:tc>
      </w:tr>
      <w:tr w:rsidR="00A00673" w:rsidRPr="001B692D" w14:paraId="7B14E1ED" w14:textId="77777777" w:rsidTr="00630740">
        <w:trPr>
          <w:trHeight w:val="20"/>
        </w:trPr>
        <w:tc>
          <w:tcPr>
            <w:tcW w:w="1566" w:type="pct"/>
            <w:shd w:val="clear" w:color="auto" w:fill="E0D4B5" w:themeFill="background2"/>
            <w:tcMar>
              <w:top w:w="29" w:type="dxa"/>
              <w:left w:w="115" w:type="dxa"/>
              <w:bottom w:w="29" w:type="dxa"/>
              <w:right w:w="115" w:type="dxa"/>
            </w:tcMar>
            <w:vAlign w:val="center"/>
          </w:tcPr>
          <w:p w14:paraId="525AD740" w14:textId="77777777" w:rsidR="00A00673" w:rsidRPr="001B692D" w:rsidRDefault="00A00673" w:rsidP="00295B34">
            <w:pPr>
              <w:pStyle w:val="TableTextLeft"/>
              <w:ind w:left="245"/>
            </w:pPr>
            <w:r w:rsidRPr="0007472F">
              <w:t xml:space="preserve">Any </w:t>
            </w:r>
            <w:proofErr w:type="spellStart"/>
            <w:r w:rsidRPr="0007472F">
              <w:t>cancer</w:t>
            </w:r>
            <w:r w:rsidRPr="0007472F">
              <w:rPr>
                <w:vertAlign w:val="superscript"/>
              </w:rPr>
              <w:t>b</w:t>
            </w:r>
            <w:proofErr w:type="spellEnd"/>
          </w:p>
        </w:tc>
        <w:tc>
          <w:tcPr>
            <w:tcW w:w="862" w:type="pct"/>
            <w:shd w:val="clear" w:color="auto" w:fill="E0D4B5" w:themeFill="background2"/>
            <w:tcMar>
              <w:top w:w="29" w:type="dxa"/>
              <w:left w:w="115" w:type="dxa"/>
              <w:bottom w:w="29" w:type="dxa"/>
              <w:right w:w="115" w:type="dxa"/>
            </w:tcMar>
            <w:vAlign w:val="bottom"/>
          </w:tcPr>
          <w:p w14:paraId="02009CCD" w14:textId="77777777" w:rsidR="00A00673" w:rsidRDefault="00A00673" w:rsidP="00295B34">
            <w:pPr>
              <w:pStyle w:val="TableTextDecimal"/>
              <w:framePr w:wrap="notBeside"/>
            </w:pPr>
            <w:r>
              <w:t>9.4</w:t>
            </w:r>
          </w:p>
        </w:tc>
        <w:tc>
          <w:tcPr>
            <w:tcW w:w="966" w:type="pct"/>
            <w:shd w:val="clear" w:color="auto" w:fill="E0D4B5" w:themeFill="background2"/>
            <w:tcMar>
              <w:top w:w="29" w:type="dxa"/>
              <w:left w:w="115" w:type="dxa"/>
              <w:bottom w:w="29" w:type="dxa"/>
              <w:right w:w="115" w:type="dxa"/>
            </w:tcMar>
            <w:vAlign w:val="bottom"/>
          </w:tcPr>
          <w:p w14:paraId="6C8C232F" w14:textId="77777777" w:rsidR="00A00673" w:rsidRDefault="00A00673" w:rsidP="00295B34">
            <w:pPr>
              <w:pStyle w:val="TableTextDecimal"/>
              <w:framePr w:wrap="notBeside"/>
            </w:pPr>
            <w:r>
              <w:t>9.2</w:t>
            </w:r>
          </w:p>
        </w:tc>
        <w:tc>
          <w:tcPr>
            <w:tcW w:w="743" w:type="pct"/>
            <w:shd w:val="clear" w:color="auto" w:fill="E0D4B5" w:themeFill="background2"/>
            <w:tcMar>
              <w:top w:w="29" w:type="dxa"/>
              <w:left w:w="115" w:type="dxa"/>
              <w:bottom w:w="29" w:type="dxa"/>
              <w:right w:w="115" w:type="dxa"/>
            </w:tcMar>
            <w:vAlign w:val="bottom"/>
          </w:tcPr>
          <w:p w14:paraId="572EC38D" w14:textId="77777777" w:rsidR="00A00673" w:rsidRDefault="00A00673" w:rsidP="00295B34">
            <w:pPr>
              <w:pStyle w:val="TableTextDecimal"/>
              <w:framePr w:wrap="notBeside"/>
            </w:pPr>
            <w:r>
              <w:t>0.2</w:t>
            </w:r>
          </w:p>
        </w:tc>
        <w:tc>
          <w:tcPr>
            <w:tcW w:w="863" w:type="pct"/>
            <w:shd w:val="clear" w:color="auto" w:fill="E0D4B5" w:themeFill="background2"/>
            <w:tcMar>
              <w:top w:w="29" w:type="dxa"/>
              <w:left w:w="115" w:type="dxa"/>
              <w:bottom w:w="29" w:type="dxa"/>
              <w:right w:w="115" w:type="dxa"/>
            </w:tcMar>
            <w:vAlign w:val="bottom"/>
          </w:tcPr>
          <w:p w14:paraId="3810E458" w14:textId="77777777" w:rsidR="00A00673" w:rsidRDefault="00A00673" w:rsidP="00295B34">
            <w:pPr>
              <w:pStyle w:val="TableTextDecimal"/>
              <w:framePr w:wrap="notBeside"/>
            </w:pPr>
            <w:r>
              <w:t>0.04</w:t>
            </w:r>
          </w:p>
        </w:tc>
      </w:tr>
    </w:tbl>
    <w:p w14:paraId="0DDCF971" w14:textId="1CE13C6E" w:rsidR="0025366A" w:rsidRDefault="0025366A" w:rsidP="002309BF">
      <w:pPr>
        <w:pStyle w:val="TableSource"/>
      </w:pPr>
      <w:r>
        <w:t>Source:</w:t>
      </w:r>
      <w:r>
        <w:tab/>
        <w:t>Analyses were based on enrollment data from PTNs and SAN 2.0s, MD-PPAS, and the NPPES. We attributed beneficiaries and calculated outcomes by using data from Medicare FFS Part A and Part B claims. We took beneficiary characteristics from the MBSF.</w:t>
      </w:r>
    </w:p>
    <w:p w14:paraId="715A2D2E" w14:textId="77777777" w:rsidR="0025366A" w:rsidRDefault="0025366A" w:rsidP="002309BF">
      <w:pPr>
        <w:pStyle w:val="TableSource"/>
      </w:pPr>
      <w:r>
        <w:t>Note:</w:t>
      </w:r>
      <w:r>
        <w:tab/>
        <w:t xml:space="preserve">This exhibit was based on data with one record per practice per quarter that were weighted by (1) the proportion of the quarter for which the beneficiary was observable summed across all beneficiaries attributed to the practice in that quarter, and (2) a practice-level weight for each </w:t>
      </w:r>
      <w:proofErr w:type="spellStart"/>
      <w:r>
        <w:t>TCPi</w:t>
      </w:r>
      <w:proofErr w:type="spellEnd"/>
      <w:r>
        <w:t xml:space="preserve"> and comparison practice set indicating the proportion of beneficiaries at </w:t>
      </w:r>
      <w:proofErr w:type="spellStart"/>
      <w:r>
        <w:t>TCPi</w:t>
      </w:r>
      <w:proofErr w:type="spellEnd"/>
      <w:r>
        <w:t xml:space="preserve"> practice seen by </w:t>
      </w:r>
      <w:proofErr w:type="spellStart"/>
      <w:r>
        <w:t>TCPi</w:t>
      </w:r>
      <w:proofErr w:type="spellEnd"/>
      <w:r>
        <w:t xml:space="preserve">-enrolled clinicians during the two-year baseline period. </w:t>
      </w:r>
    </w:p>
    <w:p w14:paraId="2B842257" w14:textId="77777777" w:rsidR="0025366A" w:rsidRDefault="0025366A" w:rsidP="002309BF">
      <w:pPr>
        <w:pStyle w:val="TableSource"/>
      </w:pPr>
      <w:r>
        <w:tab/>
        <w:t xml:space="preserve">Sample sizes represent the total number of practice-quarter observations during baseline in each group. For baseline outcomes, we measured among the 6,926 </w:t>
      </w:r>
      <w:proofErr w:type="spellStart"/>
      <w:r>
        <w:t>TCPi</w:t>
      </w:r>
      <w:proofErr w:type="spellEnd"/>
      <w:r>
        <w:t xml:space="preserve"> and 6,877 comparison practices that had at least one beneficiary attributed during the quarter before enrolling in </w:t>
      </w:r>
      <w:proofErr w:type="spellStart"/>
      <w:r>
        <w:t>TCPi</w:t>
      </w:r>
      <w:proofErr w:type="spellEnd"/>
      <w:r>
        <w:t>.</w:t>
      </w:r>
    </w:p>
    <w:p w14:paraId="60BF93B5" w14:textId="77777777" w:rsidR="0025366A" w:rsidRDefault="0025366A" w:rsidP="002309BF">
      <w:pPr>
        <w:pStyle w:val="TableFootnote"/>
      </w:pPr>
      <w:proofErr w:type="spellStart"/>
      <w:r w:rsidRPr="002309BF">
        <w:rPr>
          <w:rStyle w:val="Superscript"/>
        </w:rPr>
        <w:t>a</w:t>
      </w:r>
      <w:proofErr w:type="spellEnd"/>
      <w:r>
        <w:t xml:space="preserve"> </w:t>
      </w:r>
      <w:proofErr w:type="gramStart"/>
      <w:r>
        <w:t>In</w:t>
      </w:r>
      <w:proofErr w:type="gramEnd"/>
      <w:r>
        <w:t xml:space="preserve"> addition to the select chronic conditions listed in the exhibit, we also counted the following conditions: tobacco use disorder, atrial fibrillation, benign prostatic hyperplasia, osteoporosis, asthma, attention deficit hyperactivity disorder and other conduct disorders, acute myocardial infarction, bipolar disorder, hip or pelvic fracture, personality disorders, post-traumatic stress disorder, schizophrenia and other psychotic disorders, stroke or transient ischemic attack, and ESRD. We also counted each type of cancer (among breast, colorectal, endometrial, lung, and prostate cancers) separately.</w:t>
      </w:r>
    </w:p>
    <w:p w14:paraId="30926072" w14:textId="0CCE6B64" w:rsidR="0025366A" w:rsidRDefault="0025366A" w:rsidP="002309BF">
      <w:pPr>
        <w:pStyle w:val="TableFootnote"/>
      </w:pPr>
      <w:r w:rsidRPr="002309BF">
        <w:rPr>
          <w:rStyle w:val="Superscript"/>
        </w:rPr>
        <w:t>b</w:t>
      </w:r>
      <w:r>
        <w:t xml:space="preserve"> Any cancer was defined as having at least one of breast, colorectal, endometrial, lung, or prostate cancer.</w:t>
      </w:r>
    </w:p>
    <w:p w14:paraId="2E598C1B" w14:textId="77777777" w:rsidR="00543DBF" w:rsidRDefault="002309BF" w:rsidP="002309BF">
      <w:pPr>
        <w:pStyle w:val="TableFootnote"/>
      </w:pPr>
      <w:r w:rsidRPr="002309BF">
        <w:t>COPD = chronic obstructive pulmonary disease; ED = emergency department; ESRD = end-stage renal disease; FFS</w:t>
      </w:r>
      <w:r>
        <w:t> </w:t>
      </w:r>
      <w:r w:rsidRPr="002309BF">
        <w:t xml:space="preserve">= </w:t>
      </w:r>
      <w:proofErr w:type="spellStart"/>
      <w:r w:rsidRPr="002309BF">
        <w:t>fee-for-service</w:t>
      </w:r>
      <w:proofErr w:type="spellEnd"/>
      <w:r w:rsidRPr="002309BF">
        <w:t>; MBSF = Master Beneficiary Summary File; MD-PPAS = Medicare Data on Provider Practice and Specialty; NPPES = National Plan and Provider Enumeration System; PTN = Practice Transformation Network; SAN = Support and Alignment Network.</w:t>
      </w:r>
    </w:p>
    <w:p w14:paraId="1E6474B3" w14:textId="2A698D2C" w:rsidR="00543DBF" w:rsidRDefault="00543DBF" w:rsidP="002309BF">
      <w:pPr>
        <w:pStyle w:val="TableFootnote"/>
        <w:sectPr w:rsidR="00543DBF" w:rsidSect="000743D8">
          <w:headerReference w:type="default" r:id="rId19"/>
          <w:endnotePr>
            <w:numFmt w:val="decimal"/>
          </w:endnotePr>
          <w:type w:val="continuous"/>
          <w:pgSz w:w="12240" w:h="15840" w:code="1"/>
          <w:pgMar w:top="1440" w:right="1440" w:bottom="1440" w:left="1440" w:header="720" w:footer="720" w:gutter="0"/>
          <w:cols w:space="360"/>
          <w:docGrid w:linePitch="360"/>
        </w:sectPr>
      </w:pPr>
    </w:p>
    <w:p w14:paraId="36EDC870" w14:textId="31101E62" w:rsidR="0025366A" w:rsidRPr="006A4148" w:rsidRDefault="00161789" w:rsidP="006A4148">
      <w:pPr>
        <w:pStyle w:val="ExhibitTitle"/>
      </w:pPr>
      <w:r>
        <w:t>Supplemental Digital Content</w:t>
      </w:r>
      <w:r w:rsidR="0025366A" w:rsidRPr="004A22C6">
        <w:t xml:space="preserve"> </w:t>
      </w:r>
      <w:r w:rsidR="00AF7C67" w:rsidRPr="004A22C6">
        <w:t>Figure 1.</w:t>
      </w:r>
      <w:r w:rsidR="00B76AF9" w:rsidRPr="006A4148">
        <w:t>2</w:t>
      </w:r>
      <w:r w:rsidR="002309BF" w:rsidRPr="006A4148">
        <w:t>.</w:t>
      </w:r>
      <w:r w:rsidR="0025366A" w:rsidRPr="006A4148">
        <w:t xml:space="preserve"> Similarity of baseline aggregate beneficiary spending and utilization between </w:t>
      </w:r>
      <w:proofErr w:type="spellStart"/>
      <w:r w:rsidR="0025366A" w:rsidRPr="006A4148">
        <w:t>TCPi</w:t>
      </w:r>
      <w:proofErr w:type="spellEnd"/>
      <w:r w:rsidR="0025366A" w:rsidRPr="006A4148">
        <w:t xml:space="preserve"> and matched comparison practices</w:t>
      </w:r>
    </w:p>
    <w:p w14:paraId="5B2F3E3D" w14:textId="28254B27" w:rsidR="0025366A" w:rsidRDefault="00EE67A1" w:rsidP="00EE67A1">
      <w:pPr>
        <w:pStyle w:val="Paragraph"/>
        <w:spacing w:after="0"/>
      </w:pPr>
      <w:r>
        <w:rPr>
          <w:noProof/>
        </w:rPr>
        <w:drawing>
          <wp:inline distT="0" distB="0" distL="0" distR="0" wp14:anchorId="39C0F1E8" wp14:editId="267F334C">
            <wp:extent cx="5943600" cy="569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5695950"/>
                    </a:xfrm>
                    <a:prstGeom prst="rect">
                      <a:avLst/>
                    </a:prstGeom>
                    <a:noFill/>
                    <a:ln>
                      <a:noFill/>
                    </a:ln>
                  </pic:spPr>
                </pic:pic>
              </a:graphicData>
            </a:graphic>
          </wp:inline>
        </w:drawing>
      </w:r>
    </w:p>
    <w:p w14:paraId="3E7383ED" w14:textId="77777777" w:rsidR="0025366A" w:rsidRDefault="0025366A" w:rsidP="002309BF">
      <w:pPr>
        <w:pStyle w:val="TableSource"/>
      </w:pPr>
      <w:r>
        <w:t>Source:</w:t>
      </w:r>
      <w:r>
        <w:tab/>
        <w:t>Analyses were based on enrollment data from PTNs and SAN 2.0s, MD-PPAS, and the NPPES. We attributed beneficiaries and calculated outcomes by using data from Medicare FFS Part A and Part B claims.</w:t>
      </w:r>
    </w:p>
    <w:p w14:paraId="7098E5CC" w14:textId="77777777" w:rsidR="0025366A" w:rsidRDefault="0025366A" w:rsidP="002309BF">
      <w:pPr>
        <w:pStyle w:val="TableSource"/>
      </w:pPr>
      <w:r>
        <w:t>Note:</w:t>
      </w:r>
      <w:r>
        <w:tab/>
        <w:t xml:space="preserve">This figure was based on data with one record per practice per quarter, ranging from the eighth quarter prior to </w:t>
      </w:r>
      <w:proofErr w:type="spellStart"/>
      <w:r>
        <w:t>TCPi</w:t>
      </w:r>
      <w:proofErr w:type="spellEnd"/>
      <w:r>
        <w:t xml:space="preserve"> enrollment (-8) through the first quarter prior (-1), weighted by (1) the proportion of the quarter for which the beneficiary was observable summed across all beneficiaries attributed to the practice in that quarter, and (2) a practice-level weight for each </w:t>
      </w:r>
      <w:proofErr w:type="spellStart"/>
      <w:r>
        <w:t>TCPi</w:t>
      </w:r>
      <w:proofErr w:type="spellEnd"/>
      <w:r>
        <w:t xml:space="preserve"> and comparison practice set indicating the proportion of beneficiaries at </w:t>
      </w:r>
      <w:proofErr w:type="spellStart"/>
      <w:r>
        <w:t>TCPi</w:t>
      </w:r>
      <w:proofErr w:type="spellEnd"/>
      <w:r>
        <w:t xml:space="preserve"> practice seen by </w:t>
      </w:r>
      <w:proofErr w:type="spellStart"/>
      <w:r>
        <w:t>TCPi</w:t>
      </w:r>
      <w:proofErr w:type="spellEnd"/>
      <w:r>
        <w:t xml:space="preserve">-enrolled clinicians during the two-year baseline period. </w:t>
      </w:r>
    </w:p>
    <w:p w14:paraId="34B4C6FC" w14:textId="77777777" w:rsidR="0025366A" w:rsidRDefault="0025366A" w:rsidP="002309BF">
      <w:pPr>
        <w:pStyle w:val="TableSource"/>
      </w:pPr>
      <w:r>
        <w:tab/>
        <w:t xml:space="preserve">Positive differences indicate that the outcome was of a higher value for </w:t>
      </w:r>
      <w:proofErr w:type="spellStart"/>
      <w:r>
        <w:t>TCPi</w:t>
      </w:r>
      <w:proofErr w:type="spellEnd"/>
      <w:r>
        <w:t xml:space="preserve"> practices on average than comparisons; similarly, negative values indicate lower average values for </w:t>
      </w:r>
      <w:proofErr w:type="spellStart"/>
      <w:r>
        <w:t>TCPi</w:t>
      </w:r>
      <w:proofErr w:type="spellEnd"/>
      <w:r>
        <w:t xml:space="preserve"> practices than comparisons. </w:t>
      </w:r>
    </w:p>
    <w:p w14:paraId="1EBBCACC" w14:textId="77777777" w:rsidR="00977E97" w:rsidRDefault="0025366A" w:rsidP="00536605">
      <w:pPr>
        <w:pStyle w:val="TableFootnote"/>
      </w:pPr>
      <w:r>
        <w:t xml:space="preserve">ED = emergency department; FFS = </w:t>
      </w:r>
      <w:proofErr w:type="spellStart"/>
      <w:r>
        <w:t>fee-for-service</w:t>
      </w:r>
      <w:proofErr w:type="spellEnd"/>
      <w:r>
        <w:t>; MD-PPAS = Medicare Data on Provider Practice and Specialty; NPPES = National Plan and Provider Enumeration System; PTN = Practice Transformation Network; SAN = Support and Alignment Network.</w:t>
      </w:r>
    </w:p>
    <w:p w14:paraId="3C796B82" w14:textId="77777777" w:rsidR="00377A73" w:rsidRDefault="00377A73" w:rsidP="00536605">
      <w:pPr>
        <w:pStyle w:val="TableFootnote"/>
      </w:pPr>
    </w:p>
    <w:p w14:paraId="3106E6B5" w14:textId="57679D8D" w:rsidR="00D4628E" w:rsidRDefault="00161789" w:rsidP="006A4148">
      <w:pPr>
        <w:pStyle w:val="ExhibitTitle"/>
      </w:pPr>
      <w:r>
        <w:t>Supplemental Digital Content</w:t>
      </w:r>
      <w:r w:rsidR="00D4628E">
        <w:t xml:space="preserve"> Figure 1.</w:t>
      </w:r>
      <w:r w:rsidR="002B5FC7">
        <w:t>3</w:t>
      </w:r>
      <w:r w:rsidR="00D4628E">
        <w:t xml:space="preserve">. Density plot for the estimated propensity score </w:t>
      </w:r>
      <w:r w:rsidR="008668B7">
        <w:t xml:space="preserve">for </w:t>
      </w:r>
      <w:proofErr w:type="spellStart"/>
      <w:r w:rsidR="008668B7">
        <w:t>TCPi</w:t>
      </w:r>
      <w:proofErr w:type="spellEnd"/>
      <w:r w:rsidR="008668B7">
        <w:t xml:space="preserve"> and comparison practices</w:t>
      </w:r>
    </w:p>
    <w:p w14:paraId="2A3AEBB5" w14:textId="77777777" w:rsidR="00D4628E" w:rsidRDefault="00D4628E" w:rsidP="00536605">
      <w:pPr>
        <w:pStyle w:val="TableFootnote"/>
      </w:pPr>
    </w:p>
    <w:p w14:paraId="6C0D0EEE" w14:textId="6CDD941C" w:rsidR="00D4628E" w:rsidRDefault="004312C0" w:rsidP="00536605">
      <w:pPr>
        <w:pStyle w:val="TableFootnote"/>
      </w:pPr>
      <w:r>
        <w:rPr>
          <w:noProof/>
        </w:rPr>
        <w:drawing>
          <wp:inline distT="0" distB="0" distL="0" distR="0" wp14:anchorId="1DD5FE27" wp14:editId="2F2300AC">
            <wp:extent cx="54864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4F6BBF1C" w14:textId="6368A19B" w:rsidR="00D4628E" w:rsidRDefault="00D4628E" w:rsidP="00D4628E">
      <w:pPr>
        <w:pStyle w:val="TableSource"/>
      </w:pPr>
      <w:r>
        <w:t>Source:</w:t>
      </w:r>
      <w:r>
        <w:tab/>
        <w:t>Analyses were based on enrollment data from PTNs and SAN 2.0s, MD-PPAS, and the NPPES. We attributed beneficiaries by using data from Medicare FFS Part A and Part B claims.</w:t>
      </w:r>
    </w:p>
    <w:p w14:paraId="0092F68B" w14:textId="1AC6ABC0" w:rsidR="00D4628E" w:rsidRDefault="00D4628E">
      <w:pPr>
        <w:spacing w:line="240" w:lineRule="auto"/>
        <w:rPr>
          <w:rFonts w:asciiTheme="majorHAnsi" w:hAnsiTheme="majorHAnsi"/>
          <w:sz w:val="18"/>
        </w:rPr>
      </w:pPr>
    </w:p>
    <w:p w14:paraId="0CF572E0" w14:textId="77777777" w:rsidR="00622BA0" w:rsidRDefault="00622BA0">
      <w:pPr>
        <w:spacing w:line="240" w:lineRule="auto"/>
        <w:rPr>
          <w:rFonts w:asciiTheme="majorHAnsi" w:hAnsiTheme="majorHAnsi"/>
          <w:b/>
          <w:sz w:val="22"/>
        </w:rPr>
      </w:pPr>
      <w:r>
        <w:br w:type="page"/>
      </w:r>
    </w:p>
    <w:p w14:paraId="7243B1F5" w14:textId="44CCE166" w:rsidR="00D4628E" w:rsidRDefault="00161789" w:rsidP="006A4148">
      <w:pPr>
        <w:pStyle w:val="ExhibitTitle"/>
      </w:pPr>
      <w:r>
        <w:t>Supplemental Digital Content</w:t>
      </w:r>
      <w:r w:rsidR="00D4628E">
        <w:t xml:space="preserve"> Figure 1.</w:t>
      </w:r>
      <w:r w:rsidR="002B5FC7">
        <w:t>4</w:t>
      </w:r>
      <w:r w:rsidR="00D4628E">
        <w:t>. Density plot for practice size</w:t>
      </w:r>
      <w:r w:rsidR="008668B7">
        <w:t xml:space="preserve"> for </w:t>
      </w:r>
      <w:proofErr w:type="spellStart"/>
      <w:r w:rsidR="008668B7">
        <w:t>TCPi</w:t>
      </w:r>
      <w:proofErr w:type="spellEnd"/>
      <w:r w:rsidR="008668B7">
        <w:t xml:space="preserve"> and comparison practices</w:t>
      </w:r>
    </w:p>
    <w:p w14:paraId="2A0F01A9" w14:textId="77777777" w:rsidR="00D4628E" w:rsidRDefault="00D4628E" w:rsidP="00D4628E">
      <w:pPr>
        <w:pStyle w:val="TableFootnote"/>
      </w:pPr>
    </w:p>
    <w:p w14:paraId="1CBF7B66" w14:textId="0D08EB8C" w:rsidR="00D4628E" w:rsidRDefault="004312C0" w:rsidP="00D4628E">
      <w:pPr>
        <w:pStyle w:val="TableFootnote"/>
      </w:pPr>
      <w:r>
        <w:rPr>
          <w:noProof/>
        </w:rPr>
        <w:drawing>
          <wp:inline distT="0" distB="0" distL="0" distR="0" wp14:anchorId="2BCBA7F2" wp14:editId="3608DCBC">
            <wp:extent cx="5486400" cy="457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472E874D" w14:textId="07B375D3" w:rsidR="00622BA0" w:rsidRDefault="00622BA0" w:rsidP="00622BA0">
      <w:pPr>
        <w:pStyle w:val="TableSource"/>
      </w:pPr>
      <w:r>
        <w:t>Source:</w:t>
      </w:r>
      <w:r>
        <w:tab/>
        <w:t>Analyses were based on enrollment data from PTNs and SAN 2.0s, MD-PPAS, and the NPPES. We attributed beneficiaries by using data from Medicare FFS Part A and Part B claims.</w:t>
      </w:r>
    </w:p>
    <w:p w14:paraId="78EDCB12" w14:textId="77777777" w:rsidR="00D4628E" w:rsidRDefault="00D4628E" w:rsidP="00D4628E">
      <w:pPr>
        <w:spacing w:line="240" w:lineRule="auto"/>
        <w:rPr>
          <w:rFonts w:asciiTheme="majorHAnsi" w:hAnsiTheme="majorHAnsi"/>
          <w:sz w:val="18"/>
        </w:rPr>
      </w:pPr>
      <w:r>
        <w:br w:type="page"/>
      </w:r>
    </w:p>
    <w:p w14:paraId="1D982EAF" w14:textId="77777777" w:rsidR="00D4628E" w:rsidRPr="00977E97" w:rsidRDefault="00D4628E" w:rsidP="00536605">
      <w:pPr>
        <w:pStyle w:val="TableFootnote"/>
        <w:sectPr w:rsidR="00D4628E" w:rsidRPr="00977E97" w:rsidSect="00CA3AB8">
          <w:headerReference w:type="default" r:id="rId23"/>
          <w:endnotePr>
            <w:numFmt w:val="decimal"/>
          </w:endnotePr>
          <w:pgSz w:w="12240" w:h="15840" w:code="1"/>
          <w:pgMar w:top="1440" w:right="1440" w:bottom="1440" w:left="1440" w:header="720" w:footer="720" w:gutter="0"/>
          <w:cols w:space="360"/>
          <w:docGrid w:linePitch="360"/>
        </w:sectPr>
      </w:pPr>
    </w:p>
    <w:p w14:paraId="51C1BE90" w14:textId="59778800" w:rsidR="0025366A" w:rsidRPr="005C3534" w:rsidRDefault="00EB7785" w:rsidP="00131BA8">
      <w:pPr>
        <w:pStyle w:val="H2"/>
      </w:pPr>
      <w:r w:rsidRPr="003D6CA4">
        <w:t>2</w:t>
      </w:r>
      <w:r w:rsidR="0025366A" w:rsidRPr="003D6CA4">
        <w:t xml:space="preserve">: </w:t>
      </w:r>
      <w:r w:rsidR="001D5298" w:rsidRPr="005C3534">
        <w:t>Estimation approach</w:t>
      </w:r>
      <w:r w:rsidR="0025366A" w:rsidRPr="005C3534">
        <w:t xml:space="preserve"> </w:t>
      </w:r>
    </w:p>
    <w:p w14:paraId="33019875" w14:textId="0CBC4B1B" w:rsidR="00421758" w:rsidRDefault="00421758" w:rsidP="00421758">
      <w:pPr>
        <w:pStyle w:val="H3"/>
      </w:pPr>
      <w:r>
        <w:t>1.</w:t>
      </w:r>
      <w:r>
        <w:tab/>
      </w:r>
      <w:r w:rsidR="00A43264">
        <w:t xml:space="preserve">Overview </w:t>
      </w:r>
    </w:p>
    <w:p w14:paraId="4BB9D3DD" w14:textId="4F3D0594" w:rsidR="00421758" w:rsidRDefault="00421758" w:rsidP="00421758">
      <w:r w:rsidRPr="00052EA7">
        <w:t xml:space="preserve">We estimated effects as the difference between the </w:t>
      </w:r>
      <w:r>
        <w:t>Transforming Clinical Practice Initiative (</w:t>
      </w:r>
      <w:proofErr w:type="spellStart"/>
      <w:r>
        <w:t>TCPi</w:t>
      </w:r>
      <w:proofErr w:type="spellEnd"/>
      <w:r>
        <w:t xml:space="preserve">) </w:t>
      </w:r>
      <w:r w:rsidRPr="00052EA7">
        <w:t xml:space="preserve">and comparison groups in Medicare </w:t>
      </w:r>
      <w:r w:rsidR="00D40FC6">
        <w:t>A</w:t>
      </w:r>
      <w:r w:rsidR="00A43264">
        <w:t xml:space="preserve">lternative </w:t>
      </w:r>
      <w:r w:rsidR="00D40FC6">
        <w:t>P</w:t>
      </w:r>
      <w:r w:rsidR="00A43264">
        <w:t xml:space="preserve">ayment </w:t>
      </w:r>
      <w:r w:rsidR="00D40FC6">
        <w:t>M</w:t>
      </w:r>
      <w:r w:rsidR="00A43264">
        <w:t>odel (</w:t>
      </w:r>
      <w:r w:rsidRPr="00052EA7">
        <w:t>APM</w:t>
      </w:r>
      <w:r w:rsidR="00A43264">
        <w:t>)</w:t>
      </w:r>
      <w:r w:rsidRPr="00052EA7">
        <w:t xml:space="preserve"> participation after practices </w:t>
      </w:r>
      <w:r>
        <w:t>joined</w:t>
      </w:r>
      <w:r w:rsidRPr="00052EA7">
        <w:t xml:space="preserve"> </w:t>
      </w:r>
      <w:proofErr w:type="spellStart"/>
      <w:r w:rsidRPr="00052EA7">
        <w:t>TCPi</w:t>
      </w:r>
      <w:proofErr w:type="spellEnd"/>
      <w:r w:rsidRPr="00052EA7">
        <w:t xml:space="preserve">. </w:t>
      </w:r>
      <w:r>
        <w:t xml:space="preserve">This approach is analogous to a difference-in-difference analysis where the preintervention outcome is identical at baseline – in our </w:t>
      </w:r>
      <w:proofErr w:type="gramStart"/>
      <w:r>
        <w:t xml:space="preserve">analysis, </w:t>
      </w:r>
      <w:r w:rsidR="009D18C4">
        <w:t>because</w:t>
      </w:r>
      <w:proofErr w:type="gramEnd"/>
      <w:r w:rsidR="009D18C4">
        <w:t xml:space="preserve"> we are assessing new APM enrollment, </w:t>
      </w:r>
      <w:r>
        <w:t xml:space="preserve">no </w:t>
      </w:r>
      <w:proofErr w:type="spellStart"/>
      <w:r>
        <w:t>TCPi</w:t>
      </w:r>
      <w:proofErr w:type="spellEnd"/>
      <w:r>
        <w:t xml:space="preserve"> or comparison practices participated in APMs at baseline. </w:t>
      </w:r>
    </w:p>
    <w:p w14:paraId="039AD435" w14:textId="6068C383" w:rsidR="00A43264" w:rsidRDefault="00A43264" w:rsidP="001D5298">
      <w:r w:rsidRPr="001D5298">
        <w:rPr>
          <w:b/>
          <w:bCs/>
        </w:rPr>
        <w:t xml:space="preserve">Comparing </w:t>
      </w:r>
      <w:r w:rsidR="001A230A">
        <w:rPr>
          <w:b/>
          <w:bCs/>
        </w:rPr>
        <w:t>APM enrollment over time</w:t>
      </w:r>
      <w:r w:rsidRPr="001D5298">
        <w:rPr>
          <w:b/>
          <w:bCs/>
        </w:rPr>
        <w:t xml:space="preserve">. </w:t>
      </w:r>
      <w:r w:rsidR="00F22382" w:rsidRPr="00052EA7">
        <w:t xml:space="preserve">To compare the two groups on the same timeline, we </w:t>
      </w:r>
      <w:r w:rsidR="00F22382">
        <w:t>started following</w:t>
      </w:r>
      <w:r w:rsidR="00F22382" w:rsidRPr="00052EA7">
        <w:t xml:space="preserve"> each comparison practice </w:t>
      </w:r>
      <w:r w:rsidR="00F22382">
        <w:t xml:space="preserve">at the same time we started following its matched </w:t>
      </w:r>
      <w:proofErr w:type="spellStart"/>
      <w:r w:rsidR="00F22382">
        <w:t>TCPi</w:t>
      </w:r>
      <w:proofErr w:type="spellEnd"/>
      <w:r w:rsidR="00F22382">
        <w:t xml:space="preserve"> practice – 90 days after</w:t>
      </w:r>
      <w:r w:rsidR="00D40FC6">
        <w:t xml:space="preserve"> its</w:t>
      </w:r>
      <w:r w:rsidR="00F22382">
        <w:t xml:space="preserve"> enrollment into </w:t>
      </w:r>
      <w:proofErr w:type="spellStart"/>
      <w:r w:rsidR="00F22382">
        <w:t>TCPi</w:t>
      </w:r>
      <w:proofErr w:type="spellEnd"/>
      <w:r w:rsidR="00F22382">
        <w:t>.</w:t>
      </w:r>
      <w:r>
        <w:t xml:space="preserve"> </w:t>
      </w:r>
      <w:r w:rsidR="002A0788">
        <w:t xml:space="preserve">In other words, </w:t>
      </w:r>
      <w:r w:rsidR="00134811">
        <w:t xml:space="preserve">for </w:t>
      </w:r>
      <w:r w:rsidR="002A0788">
        <w:t xml:space="preserve">each matched set consisting of one </w:t>
      </w:r>
      <w:proofErr w:type="spellStart"/>
      <w:r w:rsidR="002A0788">
        <w:t>TCPi</w:t>
      </w:r>
      <w:proofErr w:type="spellEnd"/>
      <w:r w:rsidR="002A0788">
        <w:t xml:space="preserve"> practice and one comparison practice</w:t>
      </w:r>
      <w:r w:rsidR="00134811">
        <w:t>, we assessed</w:t>
      </w:r>
      <w:r w:rsidR="002A0788">
        <w:t xml:space="preserve"> </w:t>
      </w:r>
      <w:r w:rsidR="00134811">
        <w:t>whether either enrolled into an APM 90 days or longer after the</w:t>
      </w:r>
      <w:r w:rsidR="00665CD6">
        <w:t xml:space="preserve"> </w:t>
      </w:r>
      <w:proofErr w:type="spellStart"/>
      <w:r w:rsidR="00134811">
        <w:t>TCPi</w:t>
      </w:r>
      <w:proofErr w:type="spellEnd"/>
      <w:r w:rsidR="00134811">
        <w:t xml:space="preserve"> practice enrolled in </w:t>
      </w:r>
      <w:proofErr w:type="spellStart"/>
      <w:r w:rsidR="008E7F84">
        <w:t>TCPi</w:t>
      </w:r>
      <w:proofErr w:type="spellEnd"/>
      <w:r w:rsidR="00134811">
        <w:t xml:space="preserve">. </w:t>
      </w:r>
      <w:r w:rsidR="00F22382">
        <w:t>This approach was appropriate b</w:t>
      </w:r>
      <w:r>
        <w:t xml:space="preserve">ecause we selected the comparison group using case matching, that is, we selected a particular comparison practice for each </w:t>
      </w:r>
      <w:proofErr w:type="spellStart"/>
      <w:r>
        <w:t>TCPi</w:t>
      </w:r>
      <w:proofErr w:type="spellEnd"/>
      <w:r>
        <w:t xml:space="preserve"> practice</w:t>
      </w:r>
      <w:r w:rsidR="00F22382">
        <w:t>.</w:t>
      </w:r>
      <w:r>
        <w:t xml:space="preserve"> </w:t>
      </w:r>
    </w:p>
    <w:p w14:paraId="10B86E9C" w14:textId="730BE9D6" w:rsidR="0025366A" w:rsidRDefault="00421758" w:rsidP="00F22EEE">
      <w:pPr>
        <w:pStyle w:val="H3"/>
      </w:pPr>
      <w:r>
        <w:t>2</w:t>
      </w:r>
      <w:r w:rsidR="0025366A">
        <w:t>.</w:t>
      </w:r>
      <w:r w:rsidR="0025366A">
        <w:tab/>
        <w:t>Model specification</w:t>
      </w:r>
    </w:p>
    <w:p w14:paraId="0E78176A" w14:textId="18F29D44" w:rsidR="0025366A" w:rsidRDefault="0025366A" w:rsidP="0025366A">
      <w:pPr>
        <w:pStyle w:val="Paragraph"/>
      </w:pPr>
      <w:r>
        <w:t>To estimate the effect</w:t>
      </w:r>
      <w:r w:rsidR="00421758">
        <w:t xml:space="preserve"> of </w:t>
      </w:r>
      <w:proofErr w:type="spellStart"/>
      <w:r w:rsidR="00421758">
        <w:t>TCPi</w:t>
      </w:r>
      <w:proofErr w:type="spellEnd"/>
      <w:r>
        <w:t xml:space="preserve">, we analyzed the treatment-comparison difference in </w:t>
      </w:r>
      <w:r w:rsidR="00343D77">
        <w:t xml:space="preserve">new </w:t>
      </w:r>
      <w:r>
        <w:t xml:space="preserve">Medicare APM participation between 90 days after enrolling in </w:t>
      </w:r>
      <w:proofErr w:type="spellStart"/>
      <w:r>
        <w:t>TCPi</w:t>
      </w:r>
      <w:proofErr w:type="spellEnd"/>
      <w:r>
        <w:t xml:space="preserve"> and January 2020. We estimated the following </w:t>
      </w:r>
      <w:r w:rsidR="006C6FB7">
        <w:t xml:space="preserve">linear </w:t>
      </w:r>
      <w:r>
        <w:t>regression model</w:t>
      </w:r>
      <w:r w:rsidR="006C6FB7">
        <w:t xml:space="preserve"> using </w:t>
      </w:r>
      <w:r w:rsidR="00AE1E1C">
        <w:t>fit (</w:t>
      </w:r>
      <w:proofErr w:type="spellStart"/>
      <w:r w:rsidR="00AE1E1C">
        <w:t>lm</w:t>
      </w:r>
      <w:proofErr w:type="spellEnd"/>
      <w:r w:rsidR="00AE1E1C">
        <w:t>)</w:t>
      </w:r>
      <w:r w:rsidR="006C6FB7">
        <w:t xml:space="preserve"> in R</w:t>
      </w:r>
      <w:r>
        <w:t>:</w:t>
      </w:r>
    </w:p>
    <w:p w14:paraId="1CA79B04" w14:textId="4EBE784F" w:rsidR="00124400" w:rsidRDefault="00124400" w:rsidP="00124400">
      <w:pPr>
        <w:pStyle w:val="Paragraph"/>
        <w:jc w:val="center"/>
      </w:pPr>
      <w:r w:rsidRPr="00262E12">
        <w:rPr>
          <w:position w:val="-14"/>
        </w:rPr>
        <w:object w:dxaOrig="3680" w:dyaOrig="400" w14:anchorId="64F2B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 subscript j equals alpha plus beta superscript upper b times upper x superscript upper b subscript j plus beta superscript upper p times upper x superscript upper p subscript j plus theta times treat subscript j plus epsilon subscript j" style="width:186.75pt;height:21.75pt" o:ole="">
            <v:imagedata r:id="rId24" o:title=""/>
          </v:shape>
          <o:OLEObject Type="Embed" ProgID="Equation.DSMT4" ShapeID="_x0000_i1025" DrawAspect="Content" ObjectID="_1707763710" r:id="rId25"/>
        </w:object>
      </w:r>
    </w:p>
    <w:p w14:paraId="609BC95B" w14:textId="59EA4174" w:rsidR="0025366A" w:rsidRDefault="0025366A" w:rsidP="0025366A">
      <w:pPr>
        <w:pStyle w:val="Paragraph"/>
      </w:pPr>
      <w:r>
        <w:t xml:space="preserve">In this model, j indexes the practice, and </w:t>
      </w:r>
      <w:r w:rsidR="000D6297" w:rsidRPr="00262E12">
        <w:rPr>
          <w:position w:val="-14"/>
        </w:rPr>
        <w:object w:dxaOrig="3680" w:dyaOrig="400" w14:anchorId="797D0004">
          <v:shape id="_x0000_i1026" type="#_x0000_t75" alt="y subscript j equals alpha plus beta superscript upper b times upper x superscript upper b subscript j plus beta superscript upper p times upper x superscript upper p subscript j plus theta times treat subscript j plus epsilon subscript j" style="width:15pt;height:21.75pt" o:ole="">
            <v:imagedata r:id="rId24" o:title="" cropright="60265f"/>
          </v:shape>
          <o:OLEObject Type="Embed" ProgID="Equation.DSMT4" ShapeID="_x0000_i1026" DrawAspect="Content" ObjectID="_1707763711" r:id="rId26"/>
        </w:object>
      </w:r>
      <w:r>
        <w:t xml:space="preserve"> is the outcome of interest.</w:t>
      </w:r>
    </w:p>
    <w:p w14:paraId="69090D04" w14:textId="4FC8078D" w:rsidR="009728DA" w:rsidRPr="009728DA" w:rsidRDefault="009728DA" w:rsidP="009728DA">
      <w:pPr>
        <w:pStyle w:val="ListBullet"/>
      </w:pPr>
      <w:r>
        <w:t>The co</w:t>
      </w:r>
      <w:r w:rsidRPr="009728DA">
        <w:t xml:space="preserve">variate </w:t>
      </w:r>
      <w:r w:rsidRPr="009728DA">
        <w:object w:dxaOrig="380" w:dyaOrig="400" w14:anchorId="67617B9F">
          <v:shape id="_x0000_i1027" type="#_x0000_t75" alt="upper x superscript upper b subscript j" style="width:21.75pt;height:21.75pt" o:ole="">
            <v:imagedata r:id="rId27" o:title=""/>
          </v:shape>
          <o:OLEObject Type="Embed" ProgID="Equation.DSMT4" ShapeID="_x0000_i1027" DrawAspect="Content" ObjectID="_1707763712" r:id="rId28"/>
        </w:object>
      </w:r>
      <w:r w:rsidRPr="009728DA">
        <w:t xml:space="preserve"> is a vector of beneficiary characteristics for practice j and </w:t>
      </w:r>
      <w:r w:rsidRPr="009728DA">
        <w:object w:dxaOrig="380" w:dyaOrig="400" w14:anchorId="21D080DE">
          <v:shape id="_x0000_i1028" type="#_x0000_t75" alt="upper x superscript upper p subscript j" style="width:21.75pt;height:21.75pt" o:ole="">
            <v:imagedata r:id="rId29" o:title=""/>
          </v:shape>
          <o:OLEObject Type="Embed" ProgID="Equation.DSMT4" ShapeID="_x0000_i1028" DrawAspect="Content" ObjectID="_1707763713" r:id="rId30"/>
        </w:object>
      </w:r>
      <w:r w:rsidRPr="009728DA">
        <w:t xml:space="preserve"> is a vector of characteristics of practice j and area characteristics of practice j.</w:t>
      </w:r>
      <w:r w:rsidR="007D687E">
        <w:t xml:space="preserve"> All covariates are listed in </w:t>
      </w:r>
      <w:r w:rsidR="00161789">
        <w:t>Supplemental Digital Content</w:t>
      </w:r>
      <w:r w:rsidR="007D687E">
        <w:t xml:space="preserve"> Table 2.1 below.</w:t>
      </w:r>
    </w:p>
    <w:p w14:paraId="1B45464B" w14:textId="77777777" w:rsidR="009728DA" w:rsidRPr="009728DA" w:rsidRDefault="009728DA" w:rsidP="009728DA">
      <w:pPr>
        <w:pStyle w:val="ListBullet"/>
      </w:pPr>
      <w:r w:rsidRPr="009728DA">
        <w:object w:dxaOrig="680" w:dyaOrig="380" w14:anchorId="56EC9306">
          <v:shape id="_x0000_i1029" type="#_x0000_t75" alt="treat subscript j" style="width:36pt;height:21.75pt" o:ole="">
            <v:imagedata r:id="rId31" o:title=""/>
          </v:shape>
          <o:OLEObject Type="Embed" ProgID="Equation.DSMT4" ShapeID="_x0000_i1029" DrawAspect="Content" ObjectID="_1707763714" r:id="rId32"/>
        </w:object>
      </w:r>
      <w:r w:rsidRPr="009728DA">
        <w:t xml:space="preserve"> is a binary indicator of intervention status; the indicator takes the value of 1 if practice j participated in </w:t>
      </w:r>
      <w:proofErr w:type="spellStart"/>
      <w:r w:rsidRPr="009728DA">
        <w:t>TCPi</w:t>
      </w:r>
      <w:proofErr w:type="spellEnd"/>
      <w:r w:rsidRPr="009728DA">
        <w:t xml:space="preserve"> or 0 if it is a comparison practice. </w:t>
      </w:r>
    </w:p>
    <w:p w14:paraId="4BA67E0B" w14:textId="77777777" w:rsidR="009728DA" w:rsidRPr="009728DA" w:rsidRDefault="009728DA" w:rsidP="009728DA">
      <w:pPr>
        <w:pStyle w:val="ListBullet"/>
      </w:pPr>
      <w:r w:rsidRPr="009728DA">
        <w:object w:dxaOrig="260" w:dyaOrig="380" w14:anchorId="4CD126DE">
          <v:shape id="_x0000_i1030" type="#_x0000_t75" alt="epsilon subscript j" style="width:14.25pt;height:21.75pt" o:ole="">
            <v:imagedata r:id="rId33" o:title=""/>
          </v:shape>
          <o:OLEObject Type="Embed" ProgID="Equation.DSMT4" ShapeID="_x0000_i1030" DrawAspect="Content" ObjectID="_1707763715" r:id="rId34"/>
        </w:object>
      </w:r>
      <w:r w:rsidRPr="009728DA">
        <w:t xml:space="preserve">is the idiosyncratic error term. It represents unexplained variability in the outcome for practice j. </w:t>
      </w:r>
    </w:p>
    <w:p w14:paraId="3CA97E06" w14:textId="3212690D" w:rsidR="00924AFB" w:rsidRDefault="009728DA" w:rsidP="00924AFB">
      <w:pPr>
        <w:pStyle w:val="ListBullet"/>
      </w:pPr>
      <w:r w:rsidRPr="009728DA">
        <w:t xml:space="preserve">Regressions include additional terms to capture </w:t>
      </w:r>
      <w:proofErr w:type="spellStart"/>
      <w:r w:rsidRPr="009728DA">
        <w:t>TCPi’s</w:t>
      </w:r>
      <w:proofErr w:type="spellEnd"/>
      <w:r w:rsidRPr="009728DA">
        <w:t xml:space="preserve"> effect in subgroups.  Subgroup indicator</w:t>
      </w:r>
      <w:r>
        <w:t xml:space="preserve">s are interacted with the </w:t>
      </w:r>
      <w:r w:rsidRPr="00262E12">
        <w:rPr>
          <w:position w:val="-14"/>
        </w:rPr>
        <w:object w:dxaOrig="680" w:dyaOrig="380" w14:anchorId="0ECCFCC0">
          <v:shape id="_x0000_i1031" type="#_x0000_t75" alt="treat subscript j" style="width:36pt;height:21.75pt" o:ole="">
            <v:imagedata r:id="rId31" o:title=""/>
          </v:shape>
          <o:OLEObject Type="Embed" ProgID="Equation.DSMT4" ShapeID="_x0000_i1031" DrawAspect="Content" ObjectID="_1707763716" r:id="rId35"/>
        </w:object>
      </w:r>
      <w:r>
        <w:t>indicator.</w:t>
      </w:r>
    </w:p>
    <w:p w14:paraId="2FC7166F" w14:textId="2E88011C" w:rsidR="00924AFB" w:rsidRDefault="00924AFB" w:rsidP="001D5298">
      <w:r w:rsidRPr="001D5298">
        <w:rPr>
          <w:b/>
          <w:bCs/>
        </w:rPr>
        <w:t>Weighting.</w:t>
      </w:r>
      <w:r w:rsidRPr="00924AFB">
        <w:t xml:space="preserve"> We did not weight regressions. Because the goal of the program was to help as many practices as possible transition into APMs (rather than maximize the number of beneficiaries affected), each practice contributed equally to the estimation of impacts of </w:t>
      </w:r>
      <w:proofErr w:type="spellStart"/>
      <w:r w:rsidRPr="00924AFB">
        <w:t>TCPi</w:t>
      </w:r>
      <w:proofErr w:type="spellEnd"/>
      <w:r w:rsidRPr="00924AFB">
        <w:t xml:space="preserve"> on APM transition.</w:t>
      </w:r>
    </w:p>
    <w:p w14:paraId="23C14BEA" w14:textId="77777777" w:rsidR="0025366A" w:rsidRDefault="0025366A" w:rsidP="00F22EEE">
      <w:pPr>
        <w:pStyle w:val="H3"/>
      </w:pPr>
      <w:r>
        <w:t>2.</w:t>
      </w:r>
      <w:r>
        <w:tab/>
        <w:t>Regression coefficients</w:t>
      </w:r>
    </w:p>
    <w:p w14:paraId="0DB4B86E" w14:textId="0B46AC79" w:rsidR="00977E97" w:rsidRDefault="00161789" w:rsidP="00536605">
      <w:pPr>
        <w:pStyle w:val="Paragraph"/>
      </w:pPr>
      <w:r>
        <w:t>Supplemental Digital Content</w:t>
      </w:r>
      <w:r w:rsidR="0025366A">
        <w:t xml:space="preserve"> </w:t>
      </w:r>
      <w:r w:rsidR="00AF7C67">
        <w:t>Table</w:t>
      </w:r>
      <w:r w:rsidR="0025366A">
        <w:t xml:space="preserve"> </w:t>
      </w:r>
      <w:r w:rsidR="00EB7785">
        <w:t>2</w:t>
      </w:r>
      <w:r w:rsidR="0025366A">
        <w:t>.1 provide</w:t>
      </w:r>
      <w:r w:rsidR="00EE74BD">
        <w:t>s</w:t>
      </w:r>
      <w:r w:rsidR="0025366A">
        <w:t xml:space="preserve"> the estimated regression coefficients from the above model, for the</w:t>
      </w:r>
      <w:r w:rsidR="00EE74BD" w:rsidRPr="00EE74BD">
        <w:t xml:space="preserve"> overall and Advanced APM participation outcomes presented in Figure </w:t>
      </w:r>
      <w:r w:rsidR="00EE74BD">
        <w:t>2</w:t>
      </w:r>
      <w:r w:rsidR="0025366A">
        <w:t xml:space="preserve">. For each regression, the exhibits also include goodness-of-fit statistics, </w:t>
      </w:r>
      <w:r w:rsidR="001D5298">
        <w:t>i</w:t>
      </w:r>
      <w:r w:rsidR="0025366A">
        <w:t xml:space="preserve">ncluding R-squared and F-tests. </w:t>
      </w:r>
    </w:p>
    <w:p w14:paraId="60F751DA" w14:textId="63316EF6" w:rsidR="00D601E9" w:rsidDel="00377A73" w:rsidRDefault="00161789" w:rsidP="00001347">
      <w:pPr>
        <w:pStyle w:val="ExhibitTitle"/>
        <w:spacing w:before="0"/>
      </w:pPr>
      <w:r>
        <w:t>Supplemental Digital Content</w:t>
      </w:r>
      <w:r w:rsidR="0025366A" w:rsidDel="00377A73">
        <w:t xml:space="preserve"> </w:t>
      </w:r>
      <w:r w:rsidR="00AF7C67" w:rsidDel="00377A73">
        <w:t>Table</w:t>
      </w:r>
      <w:r w:rsidR="0025366A" w:rsidDel="00377A73">
        <w:t xml:space="preserve"> </w:t>
      </w:r>
      <w:r w:rsidR="00EE74BD" w:rsidDel="00377A73">
        <w:t>2</w:t>
      </w:r>
      <w:r w:rsidR="0025366A" w:rsidDel="00377A73">
        <w:t>.1</w:t>
      </w:r>
      <w:r w:rsidR="009F375A" w:rsidDel="00377A73">
        <w:t>.</w:t>
      </w:r>
      <w:r w:rsidR="0025366A" w:rsidDel="00377A73">
        <w:t xml:space="preserve"> Estimated regression coefficients for the effect of </w:t>
      </w:r>
      <w:proofErr w:type="spellStart"/>
      <w:r w:rsidR="0025366A" w:rsidDel="00377A73">
        <w:t>TCPi</w:t>
      </w:r>
      <w:proofErr w:type="spellEnd"/>
      <w:r w:rsidR="0025366A" w:rsidDel="00377A73">
        <w:t xml:space="preserve"> on participation in a Medicare APM</w:t>
      </w:r>
      <w:r w:rsidR="00EB7785" w:rsidDel="00377A73">
        <w:t xml:space="preserve"> and</w:t>
      </w:r>
      <w:r w:rsidR="0025366A" w:rsidDel="00377A73">
        <w:t xml:space="preserve"> in an Advanced APM</w:t>
      </w:r>
    </w:p>
    <w:p w14:paraId="14678807" w14:textId="2C47A885" w:rsidR="00D601E9" w:rsidRPr="00D601E9" w:rsidDel="00377A73" w:rsidRDefault="00D601E9" w:rsidP="00D601E9">
      <w:pPr>
        <w:pStyle w:val="Paragraph"/>
        <w:sectPr w:rsidR="00D601E9" w:rsidRPr="00D601E9" w:rsidDel="00377A73" w:rsidSect="00CA3AB8">
          <w:headerReference w:type="default" r:id="rId36"/>
          <w:endnotePr>
            <w:numFmt w:val="decimal"/>
          </w:endnotePr>
          <w:pgSz w:w="12240" w:h="15840" w:code="1"/>
          <w:pgMar w:top="1440" w:right="1440" w:bottom="1440" w:left="1440" w:header="720" w:footer="720" w:gutter="0"/>
          <w:cols w:space="360"/>
          <w:docGrid w:linePitch="360"/>
        </w:sectPr>
      </w:pPr>
    </w:p>
    <w:tbl>
      <w:tblPr>
        <w:tblStyle w:val="MPRBaseTable"/>
        <w:tblW w:w="5000" w:type="pct"/>
        <w:tblLook w:val="0420" w:firstRow="1" w:lastRow="0" w:firstColumn="0" w:lastColumn="0" w:noHBand="0" w:noVBand="1"/>
      </w:tblPr>
      <w:tblGrid>
        <w:gridCol w:w="5760"/>
        <w:gridCol w:w="1799"/>
        <w:gridCol w:w="1801"/>
      </w:tblGrid>
      <w:tr w:rsidR="00EB7785" w:rsidDel="00377A73" w14:paraId="7247189E" w14:textId="0BB8314E" w:rsidTr="00536605">
        <w:trPr>
          <w:cnfStyle w:val="100000000000" w:firstRow="1" w:lastRow="0" w:firstColumn="0" w:lastColumn="0" w:oddVBand="0" w:evenVBand="0" w:oddHBand="0" w:evenHBand="0" w:firstRowFirstColumn="0" w:firstRowLastColumn="0" w:lastRowFirstColumn="0" w:lastRowLastColumn="0"/>
          <w:tblHeader/>
        </w:trPr>
        <w:tc>
          <w:tcPr>
            <w:tcW w:w="3077" w:type="pct"/>
            <w:tcMar>
              <w:bottom w:w="0" w:type="dxa"/>
            </w:tcMar>
            <w:hideMark/>
          </w:tcPr>
          <w:p w14:paraId="3EE2C3FA" w14:textId="56DF613D" w:rsidR="00EB7785" w:rsidRPr="00E949E4" w:rsidDel="00377A73" w:rsidRDefault="00EB7785" w:rsidP="000D775D">
            <w:pPr>
              <w:pStyle w:val="TableHeaderLeft"/>
            </w:pPr>
            <w:r w:rsidDel="00377A73">
              <w:t>Covariate</w:t>
            </w:r>
          </w:p>
        </w:tc>
        <w:tc>
          <w:tcPr>
            <w:tcW w:w="961" w:type="pct"/>
            <w:tcMar>
              <w:bottom w:w="0" w:type="dxa"/>
            </w:tcMar>
            <w:hideMark/>
          </w:tcPr>
          <w:p w14:paraId="67490396" w14:textId="684F9C66" w:rsidR="00EB7785" w:rsidRPr="00E949E4" w:rsidDel="00377A73" w:rsidRDefault="00EB7785" w:rsidP="000D775D">
            <w:pPr>
              <w:pStyle w:val="TableHeaderCenter"/>
            </w:pPr>
            <w:r w:rsidDel="00377A73">
              <w:t>Participation in a Medicare APM</w:t>
            </w:r>
            <w:r w:rsidDel="00377A73">
              <w:br/>
              <w:t xml:space="preserve">(n = 6,958 </w:t>
            </w:r>
            <w:r w:rsidDel="00377A73">
              <w:br/>
            </w:r>
            <w:proofErr w:type="spellStart"/>
            <w:r w:rsidDel="00377A73">
              <w:t>TCPi</w:t>
            </w:r>
            <w:proofErr w:type="spellEnd"/>
            <w:r w:rsidDel="00377A73">
              <w:t xml:space="preserve"> practices)</w:t>
            </w:r>
            <w:r w:rsidDel="00377A73">
              <w:br/>
              <w:t xml:space="preserve">Coefficient </w:t>
            </w:r>
            <w:r w:rsidDel="00377A73">
              <w:br/>
              <w:t>(SE)</w:t>
            </w:r>
          </w:p>
        </w:tc>
        <w:tc>
          <w:tcPr>
            <w:tcW w:w="962" w:type="pct"/>
            <w:tcMar>
              <w:bottom w:w="0" w:type="dxa"/>
            </w:tcMar>
          </w:tcPr>
          <w:p w14:paraId="1C8D94CE" w14:textId="3781DAEB" w:rsidR="00EB7785" w:rsidDel="00377A73" w:rsidRDefault="00EB7785" w:rsidP="000D775D">
            <w:pPr>
              <w:pStyle w:val="TableHeaderCenter"/>
            </w:pPr>
            <w:r w:rsidDel="00377A73">
              <w:t>Participation in an Advanced APM</w:t>
            </w:r>
            <w:r w:rsidDel="00377A73">
              <w:br/>
              <w:t xml:space="preserve">(n = 6,958 </w:t>
            </w:r>
            <w:r w:rsidDel="00377A73">
              <w:br/>
            </w:r>
            <w:proofErr w:type="spellStart"/>
            <w:r w:rsidDel="00377A73">
              <w:t>TCPi</w:t>
            </w:r>
            <w:proofErr w:type="spellEnd"/>
            <w:r w:rsidDel="00377A73">
              <w:t xml:space="preserve"> practices)</w:t>
            </w:r>
            <w:r w:rsidDel="00377A73">
              <w:br/>
              <w:t>Coefficient</w:t>
            </w:r>
            <w:r w:rsidDel="00377A73">
              <w:br/>
              <w:t>(SE)</w:t>
            </w:r>
          </w:p>
        </w:tc>
      </w:tr>
      <w:tr w:rsidR="00EB7785" w:rsidRPr="00E949E4" w:rsidDel="00377A73" w14:paraId="10A1C3B7" w14:textId="5A28EA3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C8854F8" w14:textId="52AD5467" w:rsidR="00EB7785" w:rsidDel="00377A73" w:rsidRDefault="00EB7785" w:rsidP="000D775D">
            <w:pPr>
              <w:pStyle w:val="TableTextLeft"/>
            </w:pPr>
            <w:r w:rsidDel="00377A73">
              <w:t xml:space="preserve">Enrolled in </w:t>
            </w:r>
            <w:proofErr w:type="spellStart"/>
            <w:r w:rsidDel="00377A73">
              <w:t>TCPi</w:t>
            </w:r>
            <w:proofErr w:type="spellEnd"/>
          </w:p>
        </w:tc>
        <w:tc>
          <w:tcPr>
            <w:tcW w:w="961" w:type="pct"/>
            <w:tcBorders>
              <w:top w:val="nil"/>
              <w:left w:val="nil"/>
              <w:bottom w:val="nil"/>
              <w:right w:val="nil"/>
            </w:tcBorders>
            <w:tcMar>
              <w:bottom w:w="0" w:type="dxa"/>
            </w:tcMar>
          </w:tcPr>
          <w:p w14:paraId="05307368" w14:textId="3664D698" w:rsidR="00EB7785" w:rsidDel="00377A73" w:rsidRDefault="00EB7785" w:rsidP="00E919D1">
            <w:pPr>
              <w:pStyle w:val="TableTextDecimal"/>
              <w:framePr w:wrap="notBeside"/>
            </w:pPr>
            <w:r w:rsidDel="00377A73">
              <w:t>0.194***</w:t>
            </w:r>
            <w:r w:rsidDel="00377A73">
              <w:br/>
              <w:t>(0.016)</w:t>
            </w:r>
          </w:p>
        </w:tc>
        <w:tc>
          <w:tcPr>
            <w:tcW w:w="962" w:type="pct"/>
            <w:tcBorders>
              <w:top w:val="nil"/>
              <w:left w:val="nil"/>
              <w:bottom w:val="nil"/>
              <w:right w:val="nil"/>
            </w:tcBorders>
            <w:tcMar>
              <w:bottom w:w="0" w:type="dxa"/>
            </w:tcMar>
          </w:tcPr>
          <w:p w14:paraId="2EC810EF" w14:textId="121C139B" w:rsidR="00EB7785" w:rsidRPr="00E949E4" w:rsidDel="00377A73" w:rsidRDefault="00EB7785" w:rsidP="00E919D1">
            <w:pPr>
              <w:pStyle w:val="TableTextDecimal"/>
              <w:framePr w:wrap="notBeside"/>
            </w:pPr>
            <w:r w:rsidDel="00377A73">
              <w:t>0.080***</w:t>
            </w:r>
            <w:r w:rsidDel="00377A73">
              <w:br/>
              <w:t>(0.013)</w:t>
            </w:r>
          </w:p>
        </w:tc>
      </w:tr>
      <w:tr w:rsidR="00EB7785" w:rsidRPr="00E949E4" w:rsidDel="00377A73" w14:paraId="43EAF547" w14:textId="63A0DBFE"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28DDEEB7" w14:textId="7C230597" w:rsidR="00EB7785" w:rsidDel="00377A73" w:rsidRDefault="00EB7785" w:rsidP="000D775D">
            <w:pPr>
              <w:pStyle w:val="TableTextLeft"/>
            </w:pPr>
            <w:r w:rsidDel="00377A73">
              <w:t>Practice specialty type in year before enrollment</w:t>
            </w:r>
          </w:p>
        </w:tc>
        <w:tc>
          <w:tcPr>
            <w:tcW w:w="961" w:type="pct"/>
            <w:tcBorders>
              <w:top w:val="nil"/>
              <w:left w:val="nil"/>
              <w:bottom w:val="nil"/>
              <w:right w:val="nil"/>
            </w:tcBorders>
            <w:tcMar>
              <w:bottom w:w="0" w:type="dxa"/>
            </w:tcMar>
          </w:tcPr>
          <w:p w14:paraId="651BB4E6" w14:textId="669A6132"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72F7D443" w14:textId="4B8FB85E" w:rsidR="00EB7785" w:rsidRPr="00E949E4" w:rsidDel="00377A73" w:rsidRDefault="00EB7785" w:rsidP="00E919D1">
            <w:pPr>
              <w:pStyle w:val="TableTextDecimal"/>
              <w:framePr w:wrap="notBeside"/>
            </w:pPr>
          </w:p>
        </w:tc>
      </w:tr>
      <w:tr w:rsidR="00EB7785" w:rsidDel="00377A73" w14:paraId="76C30BD2" w14:textId="73FD52D4"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7D081DB" w14:textId="6CEACC53" w:rsidR="00EB7785" w:rsidDel="00377A73" w:rsidRDefault="00EB7785" w:rsidP="007153A0">
            <w:pPr>
              <w:pStyle w:val="TableTextLeft"/>
              <w:ind w:left="221"/>
            </w:pPr>
            <w:r w:rsidDel="00377A73">
              <w:t>Primary care</w:t>
            </w:r>
          </w:p>
        </w:tc>
        <w:tc>
          <w:tcPr>
            <w:tcW w:w="961" w:type="pct"/>
            <w:tcBorders>
              <w:top w:val="nil"/>
              <w:left w:val="nil"/>
              <w:bottom w:val="nil"/>
              <w:right w:val="nil"/>
            </w:tcBorders>
            <w:tcMar>
              <w:bottom w:w="0" w:type="dxa"/>
            </w:tcMar>
          </w:tcPr>
          <w:p w14:paraId="051278F7" w14:textId="46EEFED8"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30B75D5E" w14:textId="585FF315" w:rsidR="00EB7785" w:rsidRPr="00E949E4" w:rsidDel="00377A73" w:rsidRDefault="00EB7785" w:rsidP="00E919D1">
            <w:pPr>
              <w:pStyle w:val="TableTextCentered"/>
            </w:pPr>
            <w:r w:rsidDel="00377A73">
              <w:t>(reference)</w:t>
            </w:r>
          </w:p>
        </w:tc>
      </w:tr>
      <w:tr w:rsidR="00EB7785" w:rsidRPr="00E949E4" w:rsidDel="00377A73" w14:paraId="6FCA026C" w14:textId="23F6B478"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33A965F6" w14:textId="63A1B920" w:rsidR="00EB7785" w:rsidDel="00377A73" w:rsidRDefault="00EB7785" w:rsidP="007153A0">
            <w:pPr>
              <w:pStyle w:val="TableTextLeft"/>
              <w:ind w:left="221"/>
            </w:pPr>
            <w:r w:rsidDel="00377A73">
              <w:t>Specialty care</w:t>
            </w:r>
          </w:p>
        </w:tc>
        <w:tc>
          <w:tcPr>
            <w:tcW w:w="961" w:type="pct"/>
            <w:tcBorders>
              <w:top w:val="nil"/>
              <w:left w:val="nil"/>
              <w:bottom w:val="nil"/>
              <w:right w:val="nil"/>
            </w:tcBorders>
            <w:tcMar>
              <w:bottom w:w="0" w:type="dxa"/>
            </w:tcMar>
          </w:tcPr>
          <w:p w14:paraId="04B94CC9" w14:textId="38665871" w:rsidR="00EB7785" w:rsidDel="00377A73" w:rsidRDefault="00EB7785" w:rsidP="00E919D1">
            <w:pPr>
              <w:pStyle w:val="TableTextDecimal"/>
              <w:framePr w:wrap="notBeside"/>
            </w:pPr>
            <w:r w:rsidDel="00377A73">
              <w:t>0.090***</w:t>
            </w:r>
            <w:r w:rsidDel="00377A73">
              <w:br/>
              <w:t>(0.035)</w:t>
            </w:r>
          </w:p>
        </w:tc>
        <w:tc>
          <w:tcPr>
            <w:tcW w:w="962" w:type="pct"/>
            <w:tcBorders>
              <w:top w:val="nil"/>
              <w:left w:val="nil"/>
              <w:bottom w:val="nil"/>
              <w:right w:val="nil"/>
            </w:tcBorders>
            <w:tcMar>
              <w:bottom w:w="0" w:type="dxa"/>
            </w:tcMar>
          </w:tcPr>
          <w:p w14:paraId="53C37A42" w14:textId="60291AD1" w:rsidR="00EB7785" w:rsidRPr="00E949E4" w:rsidDel="00377A73" w:rsidRDefault="00EB7785" w:rsidP="00E919D1">
            <w:pPr>
              <w:pStyle w:val="TableTextDecimal"/>
              <w:framePr w:wrap="notBeside"/>
            </w:pPr>
            <w:r w:rsidDel="00377A73">
              <w:t>0.033</w:t>
            </w:r>
            <w:r w:rsidDel="00377A73">
              <w:br/>
              <w:t>(0.027)</w:t>
            </w:r>
          </w:p>
        </w:tc>
      </w:tr>
      <w:tr w:rsidR="00EB7785" w:rsidRPr="00E949E4" w:rsidDel="00377A73" w14:paraId="2A7ACBF5" w14:textId="05684630"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3CBCBEA" w14:textId="338374A3" w:rsidR="00EB7785" w:rsidDel="00377A73" w:rsidRDefault="00EB7785" w:rsidP="007153A0">
            <w:pPr>
              <w:pStyle w:val="TableTextLeft"/>
              <w:ind w:left="221"/>
            </w:pPr>
            <w:r w:rsidDel="00377A73">
              <w:t>Mixed primary/specialty care</w:t>
            </w:r>
          </w:p>
        </w:tc>
        <w:tc>
          <w:tcPr>
            <w:tcW w:w="961" w:type="pct"/>
            <w:tcBorders>
              <w:top w:val="nil"/>
              <w:left w:val="nil"/>
              <w:bottom w:val="nil"/>
              <w:right w:val="nil"/>
            </w:tcBorders>
            <w:tcMar>
              <w:bottom w:w="0" w:type="dxa"/>
            </w:tcMar>
          </w:tcPr>
          <w:p w14:paraId="2C5AB264" w14:textId="0903E086" w:rsidR="00EB7785" w:rsidDel="00377A73" w:rsidRDefault="00EB7785" w:rsidP="00E919D1">
            <w:pPr>
              <w:pStyle w:val="TableTextDecimal"/>
              <w:framePr w:wrap="notBeside"/>
            </w:pPr>
            <w:r w:rsidDel="00377A73">
              <w:t>0.050*</w:t>
            </w:r>
            <w:r w:rsidDel="00377A73">
              <w:br/>
              <w:t>(0.026)</w:t>
            </w:r>
          </w:p>
        </w:tc>
        <w:tc>
          <w:tcPr>
            <w:tcW w:w="962" w:type="pct"/>
            <w:tcBorders>
              <w:top w:val="nil"/>
              <w:left w:val="nil"/>
              <w:bottom w:val="nil"/>
              <w:right w:val="nil"/>
            </w:tcBorders>
            <w:tcMar>
              <w:bottom w:w="0" w:type="dxa"/>
            </w:tcMar>
          </w:tcPr>
          <w:p w14:paraId="2E7A6CC3" w14:textId="637B1F2F" w:rsidR="00EB7785" w:rsidRPr="00E949E4" w:rsidDel="00377A73" w:rsidRDefault="00EB7785" w:rsidP="00E919D1">
            <w:pPr>
              <w:pStyle w:val="TableTextDecimal"/>
              <w:framePr w:wrap="notBeside"/>
            </w:pPr>
            <w:r w:rsidDel="00377A73">
              <w:t>0.013</w:t>
            </w:r>
            <w:r w:rsidDel="00377A73">
              <w:br/>
              <w:t>(0.020)</w:t>
            </w:r>
          </w:p>
        </w:tc>
      </w:tr>
      <w:tr w:rsidR="00EB7785" w:rsidRPr="00E949E4" w:rsidDel="00377A73" w14:paraId="7F2E02D9" w14:textId="53898E89"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3EF2FEC" w14:textId="5AC8C16D" w:rsidR="00EB7785" w:rsidRPr="00E949E4" w:rsidDel="00377A73" w:rsidRDefault="00EB7785" w:rsidP="000D775D">
            <w:pPr>
              <w:pStyle w:val="TableTextLeft"/>
            </w:pPr>
            <w:r w:rsidDel="00377A73">
              <w:t>Located in a rural county</w:t>
            </w:r>
          </w:p>
        </w:tc>
        <w:tc>
          <w:tcPr>
            <w:tcW w:w="961" w:type="pct"/>
            <w:tcBorders>
              <w:top w:val="nil"/>
              <w:left w:val="nil"/>
              <w:bottom w:val="nil"/>
              <w:right w:val="nil"/>
            </w:tcBorders>
            <w:tcMar>
              <w:bottom w:w="0" w:type="dxa"/>
            </w:tcMar>
          </w:tcPr>
          <w:p w14:paraId="4A0E5A3C" w14:textId="4A7FEBD0" w:rsidR="00EB7785" w:rsidRPr="00E949E4" w:rsidDel="00377A73" w:rsidRDefault="00EB7785" w:rsidP="00E919D1">
            <w:pPr>
              <w:pStyle w:val="TableTextDecimal"/>
              <w:framePr w:wrap="notBeside"/>
            </w:pPr>
            <w:r w:rsidDel="00377A73">
              <w:t>-0.024*</w:t>
            </w:r>
            <w:r w:rsidDel="00377A73">
              <w:br/>
              <w:t>(0.013)</w:t>
            </w:r>
          </w:p>
        </w:tc>
        <w:tc>
          <w:tcPr>
            <w:tcW w:w="962" w:type="pct"/>
            <w:tcBorders>
              <w:top w:val="nil"/>
              <w:left w:val="nil"/>
              <w:bottom w:val="nil"/>
              <w:right w:val="nil"/>
            </w:tcBorders>
            <w:tcMar>
              <w:bottom w:w="0" w:type="dxa"/>
            </w:tcMar>
          </w:tcPr>
          <w:p w14:paraId="23A8800C" w14:textId="44BE4C7F" w:rsidR="00EB7785" w:rsidRPr="00E949E4" w:rsidDel="00377A73" w:rsidRDefault="00EB7785" w:rsidP="00E919D1">
            <w:pPr>
              <w:pStyle w:val="TableTextDecimal"/>
              <w:framePr w:wrap="notBeside"/>
            </w:pPr>
            <w:r w:rsidDel="00377A73">
              <w:t>0.017</w:t>
            </w:r>
            <w:r w:rsidDel="00377A73">
              <w:br/>
              <w:t>(0.010)</w:t>
            </w:r>
          </w:p>
        </w:tc>
      </w:tr>
      <w:tr w:rsidR="00EB7785" w:rsidDel="00377A73" w14:paraId="2DE64E9F" w14:textId="0C863F2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33029D5" w14:textId="48373E4B" w:rsidR="00EB7785" w:rsidDel="00377A73" w:rsidRDefault="00EB7785" w:rsidP="000D775D">
            <w:pPr>
              <w:pStyle w:val="TableTextLeft"/>
            </w:pPr>
            <w:r w:rsidDel="00377A73">
              <w:t xml:space="preserve">Small practice: Three or fewer clinicians billing Medicare in year before enrollment </w:t>
            </w:r>
          </w:p>
        </w:tc>
        <w:tc>
          <w:tcPr>
            <w:tcW w:w="961" w:type="pct"/>
            <w:tcBorders>
              <w:top w:val="nil"/>
              <w:left w:val="nil"/>
              <w:bottom w:val="nil"/>
              <w:right w:val="nil"/>
            </w:tcBorders>
            <w:tcMar>
              <w:bottom w:w="0" w:type="dxa"/>
            </w:tcMar>
          </w:tcPr>
          <w:p w14:paraId="09C1928B" w14:textId="465CFB3D" w:rsidR="00EB7785" w:rsidDel="00377A73" w:rsidRDefault="00EB7785" w:rsidP="00E919D1">
            <w:pPr>
              <w:pStyle w:val="TableTextDecimal"/>
              <w:framePr w:wrap="notBeside"/>
            </w:pPr>
            <w:r w:rsidDel="00377A73">
              <w:t>-0.024</w:t>
            </w:r>
            <w:r w:rsidDel="00377A73">
              <w:br/>
              <w:t>(0.015)</w:t>
            </w:r>
          </w:p>
        </w:tc>
        <w:tc>
          <w:tcPr>
            <w:tcW w:w="962" w:type="pct"/>
            <w:tcBorders>
              <w:top w:val="nil"/>
              <w:left w:val="nil"/>
              <w:bottom w:val="nil"/>
              <w:right w:val="nil"/>
            </w:tcBorders>
            <w:tcMar>
              <w:bottom w:w="0" w:type="dxa"/>
            </w:tcMar>
          </w:tcPr>
          <w:p w14:paraId="621FA0E1" w14:textId="5DB53A31" w:rsidR="00EB7785" w:rsidDel="00377A73" w:rsidRDefault="00EB7785" w:rsidP="00E919D1">
            <w:pPr>
              <w:pStyle w:val="TableTextDecimal"/>
              <w:framePr w:wrap="notBeside"/>
            </w:pPr>
            <w:r w:rsidDel="00377A73">
              <w:t>-0.034***</w:t>
            </w:r>
            <w:r w:rsidDel="00377A73">
              <w:br/>
              <w:t>(0.012)</w:t>
            </w:r>
          </w:p>
        </w:tc>
      </w:tr>
      <w:tr w:rsidR="00EB7785" w:rsidDel="00377A73" w14:paraId="37CF3D50" w14:textId="34D55573"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7762F5D0" w14:textId="1E0AEB34" w:rsidR="00EB7785" w:rsidDel="00377A73" w:rsidRDefault="00EB7785" w:rsidP="000D775D">
            <w:pPr>
              <w:pStyle w:val="TableTextLeft"/>
            </w:pPr>
            <w:proofErr w:type="spellStart"/>
            <w:r w:rsidDel="00377A73">
              <w:t>TCPi</w:t>
            </w:r>
            <w:proofErr w:type="spellEnd"/>
            <w:r w:rsidDel="00377A73">
              <w:t xml:space="preserve"> enrollment cohort</w:t>
            </w:r>
          </w:p>
        </w:tc>
        <w:tc>
          <w:tcPr>
            <w:tcW w:w="961" w:type="pct"/>
            <w:tcBorders>
              <w:top w:val="nil"/>
              <w:left w:val="nil"/>
              <w:bottom w:val="nil"/>
              <w:right w:val="nil"/>
            </w:tcBorders>
            <w:tcMar>
              <w:bottom w:w="0" w:type="dxa"/>
            </w:tcMar>
          </w:tcPr>
          <w:p w14:paraId="2A7D146A" w14:textId="23EDE1A4"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1B84F70F" w14:textId="77F60972" w:rsidR="00EB7785" w:rsidDel="00377A73" w:rsidRDefault="00EB7785" w:rsidP="00E919D1">
            <w:pPr>
              <w:pStyle w:val="TableTextDecimal"/>
              <w:framePr w:wrap="notBeside"/>
            </w:pPr>
          </w:p>
        </w:tc>
      </w:tr>
      <w:tr w:rsidR="00EB7785" w:rsidDel="00377A73" w14:paraId="38E2A8FC" w14:textId="6B98F1B8"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46FEC33" w14:textId="4E2C8E37" w:rsidR="00EB7785" w:rsidDel="00377A73" w:rsidRDefault="00EB7785" w:rsidP="007153A0">
            <w:pPr>
              <w:pStyle w:val="TableTextLeft"/>
              <w:ind w:left="221"/>
            </w:pPr>
            <w:r w:rsidDel="00377A73">
              <w:t>October 2015–September 2016</w:t>
            </w:r>
          </w:p>
        </w:tc>
        <w:tc>
          <w:tcPr>
            <w:tcW w:w="961" w:type="pct"/>
            <w:tcBorders>
              <w:top w:val="nil"/>
              <w:left w:val="nil"/>
              <w:bottom w:val="nil"/>
              <w:right w:val="nil"/>
            </w:tcBorders>
            <w:tcMar>
              <w:bottom w:w="0" w:type="dxa"/>
            </w:tcMar>
          </w:tcPr>
          <w:p w14:paraId="74C5149A" w14:textId="49FD2F60"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47B43B00" w14:textId="152C9D3D" w:rsidR="00EB7785" w:rsidDel="00377A73" w:rsidRDefault="00EB7785" w:rsidP="00E919D1">
            <w:pPr>
              <w:pStyle w:val="TableTextCentered"/>
            </w:pPr>
            <w:r w:rsidDel="00377A73">
              <w:t>(reference)</w:t>
            </w:r>
          </w:p>
        </w:tc>
      </w:tr>
      <w:tr w:rsidR="00EB7785" w:rsidDel="00377A73" w14:paraId="7346DFBE" w14:textId="1BCF37B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A79993F" w14:textId="5251D6FB" w:rsidR="00EB7785" w:rsidDel="00377A73" w:rsidRDefault="00EB7785" w:rsidP="007153A0">
            <w:pPr>
              <w:pStyle w:val="TableTextLeft"/>
              <w:ind w:left="221"/>
            </w:pPr>
            <w:r w:rsidRPr="00B6473D" w:rsidDel="00377A73">
              <w:t>October 201</w:t>
            </w:r>
            <w:r w:rsidDel="00377A73">
              <w:t>6</w:t>
            </w:r>
            <w:r w:rsidRPr="00B6473D" w:rsidDel="00377A73">
              <w:t>–September 201</w:t>
            </w:r>
            <w:r w:rsidDel="00377A73">
              <w:t>7</w:t>
            </w:r>
          </w:p>
        </w:tc>
        <w:tc>
          <w:tcPr>
            <w:tcW w:w="961" w:type="pct"/>
            <w:tcBorders>
              <w:top w:val="nil"/>
              <w:left w:val="nil"/>
              <w:bottom w:val="nil"/>
              <w:right w:val="nil"/>
            </w:tcBorders>
            <w:tcMar>
              <w:bottom w:w="0" w:type="dxa"/>
            </w:tcMar>
          </w:tcPr>
          <w:p w14:paraId="55F8ED96" w14:textId="320F700F" w:rsidR="00EB7785" w:rsidDel="00377A73" w:rsidRDefault="00EB7785" w:rsidP="00E919D1">
            <w:pPr>
              <w:pStyle w:val="TableTextDecimal"/>
              <w:framePr w:wrap="notBeside"/>
            </w:pPr>
            <w:r w:rsidDel="00377A73">
              <w:t>-0.068***</w:t>
            </w:r>
            <w:r w:rsidDel="00377A73">
              <w:br/>
              <w:t>(0.010)</w:t>
            </w:r>
          </w:p>
        </w:tc>
        <w:tc>
          <w:tcPr>
            <w:tcW w:w="962" w:type="pct"/>
            <w:tcBorders>
              <w:top w:val="nil"/>
              <w:left w:val="nil"/>
              <w:bottom w:val="nil"/>
              <w:right w:val="nil"/>
            </w:tcBorders>
            <w:tcMar>
              <w:bottom w:w="0" w:type="dxa"/>
            </w:tcMar>
          </w:tcPr>
          <w:p w14:paraId="49BF7C51" w14:textId="6F474281" w:rsidR="00EB7785" w:rsidDel="00377A73" w:rsidRDefault="00EB7785" w:rsidP="00E919D1">
            <w:pPr>
              <w:pStyle w:val="TableTextDecimal"/>
              <w:framePr w:wrap="notBeside"/>
            </w:pPr>
            <w:r w:rsidDel="00377A73">
              <w:t>-0.051***</w:t>
            </w:r>
            <w:r w:rsidDel="00377A73">
              <w:br/>
              <w:t>(0.008)</w:t>
            </w:r>
          </w:p>
        </w:tc>
      </w:tr>
      <w:tr w:rsidR="00EB7785" w:rsidDel="00377A73" w14:paraId="66D84536" w14:textId="5C147D6C"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1026ED1" w14:textId="40D94407" w:rsidR="00EB7785" w:rsidDel="00377A73" w:rsidRDefault="00EB7785" w:rsidP="007153A0">
            <w:pPr>
              <w:pStyle w:val="TableTextLeft"/>
              <w:ind w:left="221"/>
            </w:pPr>
            <w:r w:rsidRPr="00B6473D" w:rsidDel="00377A73">
              <w:t>October 201</w:t>
            </w:r>
            <w:r w:rsidDel="00377A73">
              <w:t>7</w:t>
            </w:r>
            <w:r w:rsidRPr="00B6473D" w:rsidDel="00377A73">
              <w:t>–September 201</w:t>
            </w:r>
            <w:r w:rsidDel="00377A73">
              <w:t>8</w:t>
            </w:r>
          </w:p>
        </w:tc>
        <w:tc>
          <w:tcPr>
            <w:tcW w:w="961" w:type="pct"/>
            <w:tcBorders>
              <w:top w:val="nil"/>
              <w:left w:val="nil"/>
              <w:bottom w:val="nil"/>
              <w:right w:val="nil"/>
            </w:tcBorders>
            <w:tcMar>
              <w:bottom w:w="0" w:type="dxa"/>
            </w:tcMar>
          </w:tcPr>
          <w:p w14:paraId="556205E4" w14:textId="0CAEF7EF" w:rsidR="00EB7785" w:rsidDel="00377A73" w:rsidRDefault="00EB7785" w:rsidP="00E919D1">
            <w:pPr>
              <w:pStyle w:val="TableTextDecimal"/>
              <w:framePr w:wrap="notBeside"/>
            </w:pPr>
            <w:r w:rsidDel="00377A73">
              <w:t>-0.087***</w:t>
            </w:r>
            <w:r w:rsidDel="00377A73">
              <w:br/>
              <w:t>(0.018)</w:t>
            </w:r>
          </w:p>
        </w:tc>
        <w:tc>
          <w:tcPr>
            <w:tcW w:w="962" w:type="pct"/>
            <w:tcBorders>
              <w:top w:val="nil"/>
              <w:left w:val="nil"/>
              <w:bottom w:val="nil"/>
              <w:right w:val="nil"/>
            </w:tcBorders>
            <w:tcMar>
              <w:bottom w:w="0" w:type="dxa"/>
            </w:tcMar>
          </w:tcPr>
          <w:p w14:paraId="2C88DDFD" w14:textId="19368838" w:rsidR="00EB7785" w:rsidDel="00377A73" w:rsidRDefault="00EB7785" w:rsidP="00E919D1">
            <w:pPr>
              <w:pStyle w:val="TableTextDecimal"/>
              <w:framePr w:wrap="notBeside"/>
            </w:pPr>
            <w:r w:rsidDel="00377A73">
              <w:t>-0.050***</w:t>
            </w:r>
            <w:r w:rsidDel="00377A73">
              <w:br/>
              <w:t>(0.014)</w:t>
            </w:r>
          </w:p>
        </w:tc>
      </w:tr>
      <w:tr w:rsidR="00EB7785" w:rsidDel="00377A73" w14:paraId="0ED20B46" w14:textId="78B2B65E"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1E40FB9" w14:textId="4BA33B56" w:rsidR="00EB7785" w:rsidRPr="00B6473D" w:rsidDel="00377A73" w:rsidRDefault="00EB7785" w:rsidP="000D775D">
            <w:pPr>
              <w:pStyle w:val="TableTextLeft"/>
            </w:pPr>
            <w:r w:rsidDel="00377A73">
              <w:t>Fewer</w:t>
            </w:r>
            <w:r w:rsidRPr="00506058" w:rsidDel="00377A73">
              <w:t xml:space="preserve"> than 40 beneficiaries attributed per quarter</w:t>
            </w:r>
            <w:r w:rsidDel="00377A73">
              <w:t xml:space="preserve"> during two-year baseline</w:t>
            </w:r>
          </w:p>
        </w:tc>
        <w:tc>
          <w:tcPr>
            <w:tcW w:w="961" w:type="pct"/>
            <w:tcBorders>
              <w:top w:val="nil"/>
              <w:left w:val="nil"/>
              <w:bottom w:val="nil"/>
              <w:right w:val="nil"/>
            </w:tcBorders>
            <w:tcMar>
              <w:bottom w:w="0" w:type="dxa"/>
            </w:tcMar>
          </w:tcPr>
          <w:p w14:paraId="753BDD48" w14:textId="2F32FEAF" w:rsidR="00EB7785" w:rsidDel="00377A73" w:rsidRDefault="00EB7785" w:rsidP="00E919D1">
            <w:pPr>
              <w:pStyle w:val="TableTextDecimal"/>
              <w:framePr w:wrap="notBeside"/>
            </w:pPr>
            <w:r w:rsidDel="00377A73">
              <w:t>-0.015</w:t>
            </w:r>
            <w:r w:rsidDel="00377A73">
              <w:br/>
              <w:t>(0.010)</w:t>
            </w:r>
          </w:p>
        </w:tc>
        <w:tc>
          <w:tcPr>
            <w:tcW w:w="962" w:type="pct"/>
            <w:tcBorders>
              <w:top w:val="nil"/>
              <w:left w:val="nil"/>
              <w:bottom w:val="nil"/>
              <w:right w:val="nil"/>
            </w:tcBorders>
            <w:tcMar>
              <w:bottom w:w="0" w:type="dxa"/>
            </w:tcMar>
          </w:tcPr>
          <w:p w14:paraId="14A51263" w14:textId="7879EE2A" w:rsidR="00EB7785" w:rsidDel="00377A73" w:rsidRDefault="00EB7785" w:rsidP="00E919D1">
            <w:pPr>
              <w:pStyle w:val="TableTextDecimal"/>
              <w:framePr w:wrap="notBeside"/>
            </w:pPr>
            <w:r w:rsidDel="00377A73">
              <w:t>-0.018**</w:t>
            </w:r>
            <w:r w:rsidDel="00377A73">
              <w:br/>
              <w:t>(0.008)</w:t>
            </w:r>
          </w:p>
        </w:tc>
      </w:tr>
      <w:tr w:rsidR="00EB7785" w:rsidRPr="004862D8" w:rsidDel="00377A73" w14:paraId="0CD1E044" w14:textId="73A5A82C"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B073D8B" w14:textId="2C73D177" w:rsidR="00EB7785" w:rsidRPr="004862D8" w:rsidDel="00377A73" w:rsidRDefault="00EB7785" w:rsidP="000D775D">
            <w:pPr>
              <w:pStyle w:val="TableTextLeft"/>
            </w:pPr>
            <w:r w:rsidDel="00377A73">
              <w:t xml:space="preserve">Enrolled in </w:t>
            </w:r>
            <w:proofErr w:type="spellStart"/>
            <w:r w:rsidDel="00377A73">
              <w:t>TCPi</w:t>
            </w:r>
            <w:proofErr w:type="spellEnd"/>
            <w:r w:rsidDel="00377A73">
              <w:t xml:space="preserve"> * P</w:t>
            </w:r>
            <w:r w:rsidRPr="004862D8" w:rsidDel="00377A73">
              <w:t>ractice specialty type</w:t>
            </w:r>
            <w:r w:rsidDel="00377A73">
              <w:t xml:space="preserve"> in year before enrollment</w:t>
            </w:r>
          </w:p>
        </w:tc>
        <w:tc>
          <w:tcPr>
            <w:tcW w:w="961" w:type="pct"/>
            <w:tcBorders>
              <w:top w:val="nil"/>
              <w:left w:val="nil"/>
              <w:bottom w:val="nil"/>
              <w:right w:val="nil"/>
            </w:tcBorders>
            <w:tcMar>
              <w:bottom w:w="0" w:type="dxa"/>
            </w:tcMar>
          </w:tcPr>
          <w:p w14:paraId="4FD0D16A" w14:textId="72377A6D" w:rsidR="00EB7785" w:rsidRPr="004862D8"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18FEBA22" w14:textId="55608A47" w:rsidR="00EB7785" w:rsidRPr="004862D8" w:rsidDel="00377A73" w:rsidRDefault="00EB7785" w:rsidP="00E919D1">
            <w:pPr>
              <w:pStyle w:val="TableTextDecimal"/>
              <w:framePr w:wrap="notBeside"/>
            </w:pPr>
          </w:p>
        </w:tc>
      </w:tr>
      <w:tr w:rsidR="00EB7785" w:rsidRPr="004862D8" w:rsidDel="00377A73" w14:paraId="1EF18EBA" w14:textId="22C4450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A953FD5" w14:textId="48F2A49B" w:rsidR="00EB7785" w:rsidRPr="004862D8" w:rsidDel="00377A73" w:rsidRDefault="00EB7785" w:rsidP="007153A0">
            <w:pPr>
              <w:pStyle w:val="TableTextLeft"/>
              <w:ind w:left="221"/>
            </w:pPr>
            <w:r w:rsidRPr="004862D8" w:rsidDel="00377A73">
              <w:t>Primary care</w:t>
            </w:r>
          </w:p>
        </w:tc>
        <w:tc>
          <w:tcPr>
            <w:tcW w:w="961" w:type="pct"/>
            <w:tcBorders>
              <w:top w:val="nil"/>
              <w:left w:val="nil"/>
              <w:bottom w:val="nil"/>
              <w:right w:val="nil"/>
            </w:tcBorders>
            <w:tcMar>
              <w:bottom w:w="0" w:type="dxa"/>
            </w:tcMar>
          </w:tcPr>
          <w:p w14:paraId="7ABEB1E1" w14:textId="16A5B806" w:rsidR="00EB7785" w:rsidRPr="004862D8"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00BB0D56" w14:textId="5F1AD0AC" w:rsidR="00EB7785" w:rsidRPr="004862D8" w:rsidDel="00377A73" w:rsidRDefault="00EB7785" w:rsidP="00E919D1">
            <w:pPr>
              <w:pStyle w:val="TableTextCentered"/>
            </w:pPr>
            <w:r w:rsidDel="00377A73">
              <w:t>(reference)</w:t>
            </w:r>
          </w:p>
        </w:tc>
      </w:tr>
      <w:tr w:rsidR="00EB7785" w:rsidRPr="004862D8" w:rsidDel="00377A73" w14:paraId="7CAF7ED1" w14:textId="20582FFE"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3FD2869" w14:textId="0A62EEDE" w:rsidR="00EB7785" w:rsidRPr="004862D8" w:rsidDel="00377A73" w:rsidRDefault="00EB7785" w:rsidP="007153A0">
            <w:pPr>
              <w:pStyle w:val="TableTextLeft"/>
              <w:ind w:left="221"/>
            </w:pPr>
            <w:r w:rsidRPr="004862D8" w:rsidDel="00377A73">
              <w:t>Specialty care</w:t>
            </w:r>
          </w:p>
        </w:tc>
        <w:tc>
          <w:tcPr>
            <w:tcW w:w="961" w:type="pct"/>
            <w:tcBorders>
              <w:top w:val="nil"/>
              <w:left w:val="nil"/>
              <w:bottom w:val="nil"/>
              <w:right w:val="nil"/>
            </w:tcBorders>
            <w:tcMar>
              <w:bottom w:w="0" w:type="dxa"/>
            </w:tcMar>
          </w:tcPr>
          <w:p w14:paraId="12041422" w14:textId="1339594E" w:rsidR="00EB7785" w:rsidRPr="004862D8" w:rsidDel="00377A73" w:rsidRDefault="00EB7785" w:rsidP="00E919D1">
            <w:pPr>
              <w:pStyle w:val="TableTextDecimal"/>
              <w:framePr w:wrap="notBeside"/>
            </w:pPr>
            <w:r w:rsidDel="00377A73">
              <w:t>-0.164***</w:t>
            </w:r>
            <w:r w:rsidDel="00377A73">
              <w:br/>
              <w:t>(0.014)</w:t>
            </w:r>
          </w:p>
        </w:tc>
        <w:tc>
          <w:tcPr>
            <w:tcW w:w="962" w:type="pct"/>
            <w:tcBorders>
              <w:top w:val="nil"/>
              <w:left w:val="nil"/>
              <w:bottom w:val="nil"/>
              <w:right w:val="nil"/>
            </w:tcBorders>
            <w:tcMar>
              <w:bottom w:w="0" w:type="dxa"/>
            </w:tcMar>
          </w:tcPr>
          <w:p w14:paraId="41851F3A" w14:textId="69BD5AFB" w:rsidR="00EB7785" w:rsidRPr="004862D8" w:rsidDel="00377A73" w:rsidRDefault="00EB7785" w:rsidP="00E919D1">
            <w:pPr>
              <w:pStyle w:val="TableTextDecimal"/>
              <w:framePr w:wrap="notBeside"/>
            </w:pPr>
            <w:r w:rsidDel="00377A73">
              <w:t>-0.111***</w:t>
            </w:r>
            <w:r w:rsidDel="00377A73">
              <w:br/>
              <w:t>(0.011)</w:t>
            </w:r>
          </w:p>
        </w:tc>
      </w:tr>
      <w:tr w:rsidR="00EB7785" w:rsidRPr="004862D8" w:rsidDel="00377A73" w14:paraId="7631CE22" w14:textId="2C4AB52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73A11C79" w14:textId="1D0333A8" w:rsidR="00EB7785" w:rsidRPr="004862D8" w:rsidDel="00377A73" w:rsidRDefault="00EB7785" w:rsidP="007153A0">
            <w:pPr>
              <w:pStyle w:val="TableTextLeft"/>
              <w:ind w:left="221"/>
            </w:pPr>
            <w:r w:rsidRPr="004862D8" w:rsidDel="00377A73">
              <w:t>Mixed primary</w:t>
            </w:r>
            <w:r w:rsidDel="00377A73">
              <w:t>/</w:t>
            </w:r>
            <w:r w:rsidRPr="004862D8" w:rsidDel="00377A73">
              <w:t>specialty care</w:t>
            </w:r>
          </w:p>
        </w:tc>
        <w:tc>
          <w:tcPr>
            <w:tcW w:w="961" w:type="pct"/>
            <w:tcBorders>
              <w:top w:val="nil"/>
              <w:left w:val="nil"/>
              <w:bottom w:val="nil"/>
              <w:right w:val="nil"/>
            </w:tcBorders>
            <w:tcMar>
              <w:bottom w:w="0" w:type="dxa"/>
            </w:tcMar>
          </w:tcPr>
          <w:p w14:paraId="06CE343D" w14:textId="4B04589A" w:rsidR="00EB7785" w:rsidRPr="004862D8" w:rsidDel="00377A73" w:rsidRDefault="00EB7785" w:rsidP="00E919D1">
            <w:pPr>
              <w:pStyle w:val="TableTextDecimal"/>
              <w:framePr w:wrap="notBeside"/>
            </w:pPr>
            <w:r w:rsidDel="00377A73">
              <w:t>-0.088***</w:t>
            </w:r>
            <w:r w:rsidDel="00377A73">
              <w:br/>
              <w:t>(0.021)</w:t>
            </w:r>
          </w:p>
        </w:tc>
        <w:tc>
          <w:tcPr>
            <w:tcW w:w="962" w:type="pct"/>
            <w:tcBorders>
              <w:top w:val="nil"/>
              <w:left w:val="nil"/>
              <w:bottom w:val="nil"/>
              <w:right w:val="nil"/>
            </w:tcBorders>
            <w:tcMar>
              <w:bottom w:w="0" w:type="dxa"/>
            </w:tcMar>
          </w:tcPr>
          <w:p w14:paraId="2FB6B964" w14:textId="0FBBA236" w:rsidR="00EB7785" w:rsidRPr="004862D8" w:rsidDel="00377A73" w:rsidRDefault="00EB7785" w:rsidP="00E919D1">
            <w:pPr>
              <w:pStyle w:val="TableTextDecimal"/>
              <w:framePr w:wrap="notBeside"/>
            </w:pPr>
            <w:r w:rsidDel="00377A73">
              <w:t>-0.076***</w:t>
            </w:r>
            <w:r w:rsidDel="00377A73">
              <w:br/>
              <w:t>(0.016)</w:t>
            </w:r>
          </w:p>
        </w:tc>
      </w:tr>
      <w:tr w:rsidR="00EB7785" w:rsidRPr="004862D8" w:rsidDel="00377A73" w14:paraId="3D5DA561" w14:textId="3DDA2CF3"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6FBDD7B3" w14:textId="19088EE3" w:rsidR="00EB7785" w:rsidRPr="004862D8" w:rsidDel="00377A73" w:rsidRDefault="00EB7785" w:rsidP="000D775D">
            <w:pPr>
              <w:pStyle w:val="TableTextLeft"/>
            </w:pPr>
            <w:r w:rsidRPr="004862D8" w:rsidDel="00377A73">
              <w:t xml:space="preserve">Enrolled in </w:t>
            </w:r>
            <w:proofErr w:type="spellStart"/>
            <w:r w:rsidRPr="004862D8" w:rsidDel="00377A73">
              <w:t>TCPi</w:t>
            </w:r>
            <w:proofErr w:type="spellEnd"/>
            <w:r w:rsidRPr="004862D8" w:rsidDel="00377A73">
              <w:t xml:space="preserve"> * </w:t>
            </w:r>
            <w:r w:rsidDel="00377A73">
              <w:t>Located</w:t>
            </w:r>
            <w:r w:rsidRPr="004862D8" w:rsidDel="00377A73">
              <w:t xml:space="preserve"> in</w:t>
            </w:r>
            <w:r w:rsidDel="00377A73">
              <w:t xml:space="preserve"> a</w:t>
            </w:r>
            <w:r w:rsidRPr="004862D8" w:rsidDel="00377A73">
              <w:t xml:space="preserve"> rural county</w:t>
            </w:r>
          </w:p>
        </w:tc>
        <w:tc>
          <w:tcPr>
            <w:tcW w:w="961" w:type="pct"/>
            <w:tcBorders>
              <w:top w:val="nil"/>
              <w:left w:val="nil"/>
              <w:bottom w:val="nil"/>
              <w:right w:val="nil"/>
            </w:tcBorders>
            <w:tcMar>
              <w:bottom w:w="0" w:type="dxa"/>
            </w:tcMar>
          </w:tcPr>
          <w:p w14:paraId="6108D6DA" w14:textId="55624267" w:rsidR="00EB7785" w:rsidRPr="004862D8" w:rsidDel="00377A73" w:rsidRDefault="00EB7785" w:rsidP="00E919D1">
            <w:pPr>
              <w:pStyle w:val="TableTextDecimal"/>
              <w:framePr w:wrap="notBeside"/>
            </w:pPr>
            <w:r w:rsidDel="00377A73">
              <w:t>0.012</w:t>
            </w:r>
            <w:r w:rsidDel="00377A73">
              <w:br/>
              <w:t>(0.017)</w:t>
            </w:r>
          </w:p>
        </w:tc>
        <w:tc>
          <w:tcPr>
            <w:tcW w:w="962" w:type="pct"/>
            <w:tcBorders>
              <w:top w:val="nil"/>
              <w:left w:val="nil"/>
              <w:bottom w:val="nil"/>
              <w:right w:val="nil"/>
            </w:tcBorders>
            <w:tcMar>
              <w:bottom w:w="0" w:type="dxa"/>
            </w:tcMar>
          </w:tcPr>
          <w:p w14:paraId="2B274788" w14:textId="7AF9024D" w:rsidR="00EB7785" w:rsidRPr="004862D8" w:rsidDel="00377A73" w:rsidRDefault="00EB7785" w:rsidP="00E919D1">
            <w:pPr>
              <w:pStyle w:val="TableTextDecimal"/>
              <w:framePr w:wrap="notBeside"/>
            </w:pPr>
            <w:r w:rsidDel="00377A73">
              <w:t>-0.035***</w:t>
            </w:r>
            <w:r w:rsidDel="00377A73">
              <w:br/>
              <w:t>(0.013)</w:t>
            </w:r>
          </w:p>
        </w:tc>
      </w:tr>
      <w:tr w:rsidR="00EB7785" w:rsidRPr="004862D8" w:rsidDel="00377A73" w14:paraId="0F0ABB5A" w14:textId="3B0EA112"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C9E5EF1" w14:textId="4DA80383" w:rsidR="00EB7785" w:rsidRPr="004862D8" w:rsidDel="00377A73" w:rsidRDefault="00EB7785" w:rsidP="000D775D">
            <w:pPr>
              <w:pStyle w:val="TableTextLeft"/>
            </w:pPr>
            <w:r w:rsidRPr="004862D8" w:rsidDel="00377A73">
              <w:t xml:space="preserve">Enrolled in </w:t>
            </w:r>
            <w:proofErr w:type="spellStart"/>
            <w:r w:rsidRPr="004862D8" w:rsidDel="00377A73">
              <w:t>TCPi</w:t>
            </w:r>
            <w:proofErr w:type="spellEnd"/>
            <w:r w:rsidRPr="004862D8" w:rsidDel="00377A73">
              <w:t xml:space="preserve"> * </w:t>
            </w:r>
            <w:r w:rsidDel="00377A73">
              <w:t>Small practice</w:t>
            </w:r>
          </w:p>
        </w:tc>
        <w:tc>
          <w:tcPr>
            <w:tcW w:w="961" w:type="pct"/>
            <w:tcBorders>
              <w:top w:val="nil"/>
              <w:left w:val="nil"/>
              <w:bottom w:val="nil"/>
              <w:right w:val="nil"/>
            </w:tcBorders>
            <w:tcMar>
              <w:bottom w:w="0" w:type="dxa"/>
            </w:tcMar>
          </w:tcPr>
          <w:p w14:paraId="72AD222F" w14:textId="122ED3AB" w:rsidR="00EB7785" w:rsidRPr="004862D8" w:rsidDel="00377A73" w:rsidRDefault="00EB7785" w:rsidP="00E919D1">
            <w:pPr>
              <w:pStyle w:val="TableTextDecimal"/>
              <w:framePr w:wrap="notBeside"/>
            </w:pPr>
            <w:r w:rsidDel="00377A73">
              <w:t>-0.015</w:t>
            </w:r>
            <w:r w:rsidDel="00377A73">
              <w:br/>
              <w:t>(0.014)</w:t>
            </w:r>
          </w:p>
        </w:tc>
        <w:tc>
          <w:tcPr>
            <w:tcW w:w="962" w:type="pct"/>
            <w:tcBorders>
              <w:top w:val="nil"/>
              <w:left w:val="nil"/>
              <w:bottom w:val="nil"/>
              <w:right w:val="nil"/>
            </w:tcBorders>
            <w:tcMar>
              <w:bottom w:w="0" w:type="dxa"/>
            </w:tcMar>
          </w:tcPr>
          <w:p w14:paraId="77054EB8" w14:textId="6F0C0452" w:rsidR="00EB7785" w:rsidRPr="004862D8" w:rsidDel="00377A73" w:rsidRDefault="00EB7785" w:rsidP="00E919D1">
            <w:pPr>
              <w:pStyle w:val="TableTextDecimal"/>
              <w:framePr w:wrap="notBeside"/>
            </w:pPr>
            <w:r w:rsidDel="00377A73">
              <w:t>0.061***</w:t>
            </w:r>
            <w:r w:rsidDel="00377A73">
              <w:br/>
              <w:t>(0.011)</w:t>
            </w:r>
          </w:p>
        </w:tc>
      </w:tr>
      <w:tr w:rsidR="00EB7785" w:rsidRPr="004862D8" w:rsidDel="00377A73" w14:paraId="4743D697" w14:textId="5A9C56C9"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9C2149C" w14:textId="07057562" w:rsidR="00EB7785" w:rsidRPr="004862D8" w:rsidDel="00377A73" w:rsidRDefault="00EB7785" w:rsidP="000D775D">
            <w:pPr>
              <w:pStyle w:val="TableTextLeft"/>
            </w:pPr>
            <w:r w:rsidRPr="004862D8" w:rsidDel="00377A73">
              <w:t xml:space="preserve">Enrolled in </w:t>
            </w:r>
            <w:proofErr w:type="spellStart"/>
            <w:r w:rsidRPr="004862D8" w:rsidDel="00377A73">
              <w:t>TCPi</w:t>
            </w:r>
            <w:proofErr w:type="spellEnd"/>
            <w:r w:rsidRPr="004862D8" w:rsidDel="00377A73">
              <w:t xml:space="preserve"> * </w:t>
            </w:r>
            <w:proofErr w:type="spellStart"/>
            <w:r w:rsidRPr="004862D8" w:rsidDel="00377A73">
              <w:t>TCPi</w:t>
            </w:r>
            <w:proofErr w:type="spellEnd"/>
            <w:r w:rsidRPr="004862D8" w:rsidDel="00377A73">
              <w:t xml:space="preserve"> enrollment cohort</w:t>
            </w:r>
          </w:p>
        </w:tc>
        <w:tc>
          <w:tcPr>
            <w:tcW w:w="961" w:type="pct"/>
            <w:tcBorders>
              <w:top w:val="nil"/>
              <w:left w:val="nil"/>
              <w:bottom w:val="nil"/>
              <w:right w:val="nil"/>
            </w:tcBorders>
            <w:tcMar>
              <w:bottom w:w="0" w:type="dxa"/>
            </w:tcMar>
          </w:tcPr>
          <w:p w14:paraId="159D5EE5" w14:textId="7774DD2E" w:rsidR="00EB7785" w:rsidRPr="004862D8"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514E2FD6" w14:textId="595630D6" w:rsidR="00EB7785" w:rsidRPr="004862D8" w:rsidDel="00377A73" w:rsidRDefault="00EB7785" w:rsidP="00E919D1">
            <w:pPr>
              <w:pStyle w:val="TableTextDecimal"/>
              <w:framePr w:wrap="notBeside"/>
            </w:pPr>
          </w:p>
        </w:tc>
      </w:tr>
      <w:tr w:rsidR="00EB7785" w:rsidRPr="004862D8" w:rsidDel="00377A73" w14:paraId="1840EE13" w14:textId="6C9B708C"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08C46EF" w14:textId="15C5FCDD" w:rsidR="00EB7785" w:rsidRPr="004862D8" w:rsidDel="00377A73" w:rsidRDefault="00EB7785" w:rsidP="007153A0">
            <w:pPr>
              <w:pStyle w:val="TableTextLeft"/>
              <w:ind w:left="221"/>
            </w:pPr>
            <w:r w:rsidRPr="004862D8" w:rsidDel="00377A73">
              <w:t>October 2015–September 2016</w:t>
            </w:r>
          </w:p>
        </w:tc>
        <w:tc>
          <w:tcPr>
            <w:tcW w:w="961" w:type="pct"/>
            <w:tcBorders>
              <w:top w:val="nil"/>
              <w:left w:val="nil"/>
              <w:bottom w:val="nil"/>
              <w:right w:val="nil"/>
            </w:tcBorders>
            <w:tcMar>
              <w:bottom w:w="0" w:type="dxa"/>
            </w:tcMar>
          </w:tcPr>
          <w:p w14:paraId="7089FDC3" w14:textId="0FBE2EBB" w:rsidR="00EB7785" w:rsidRPr="004862D8"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78D911DB" w14:textId="1AB9FFEA" w:rsidR="00EB7785" w:rsidRPr="004862D8" w:rsidDel="00377A73" w:rsidRDefault="00EB7785" w:rsidP="00E919D1">
            <w:pPr>
              <w:pStyle w:val="TableTextCentered"/>
            </w:pPr>
            <w:r w:rsidDel="00377A73">
              <w:t>(reference)</w:t>
            </w:r>
          </w:p>
        </w:tc>
      </w:tr>
      <w:tr w:rsidR="00EB7785" w:rsidRPr="004862D8" w:rsidDel="00377A73" w14:paraId="7C0278FA" w14:textId="146DED2F"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DFA1BC8" w14:textId="180B6615" w:rsidR="00EB7785" w:rsidRPr="004862D8" w:rsidDel="00377A73" w:rsidRDefault="00EB7785" w:rsidP="007153A0">
            <w:pPr>
              <w:pStyle w:val="TableTextLeft"/>
              <w:ind w:left="221"/>
            </w:pPr>
            <w:r w:rsidRPr="004862D8" w:rsidDel="00377A73">
              <w:t>October 2016–September 2017</w:t>
            </w:r>
          </w:p>
        </w:tc>
        <w:tc>
          <w:tcPr>
            <w:tcW w:w="961" w:type="pct"/>
            <w:tcBorders>
              <w:top w:val="nil"/>
              <w:left w:val="nil"/>
              <w:bottom w:val="nil"/>
              <w:right w:val="nil"/>
            </w:tcBorders>
            <w:tcMar>
              <w:bottom w:w="0" w:type="dxa"/>
            </w:tcMar>
          </w:tcPr>
          <w:p w14:paraId="4F088911" w14:textId="2FA2E479" w:rsidR="00EB7785" w:rsidRPr="004862D8" w:rsidDel="00377A73" w:rsidRDefault="00EB7785" w:rsidP="00E919D1">
            <w:pPr>
              <w:pStyle w:val="TableTextDecimal"/>
              <w:framePr w:wrap="notBeside"/>
            </w:pPr>
            <w:r w:rsidDel="00377A73">
              <w:t>0.044***</w:t>
            </w:r>
            <w:r w:rsidDel="00377A73">
              <w:br/>
              <w:t>(0.013)</w:t>
            </w:r>
          </w:p>
        </w:tc>
        <w:tc>
          <w:tcPr>
            <w:tcW w:w="962" w:type="pct"/>
            <w:tcBorders>
              <w:top w:val="nil"/>
              <w:left w:val="nil"/>
              <w:bottom w:val="nil"/>
              <w:right w:val="nil"/>
            </w:tcBorders>
            <w:tcMar>
              <w:bottom w:w="0" w:type="dxa"/>
            </w:tcMar>
          </w:tcPr>
          <w:p w14:paraId="157F40F9" w14:textId="51F08D6A" w:rsidR="00EB7785" w:rsidRPr="004862D8" w:rsidDel="00377A73" w:rsidRDefault="00EB7785" w:rsidP="00E919D1">
            <w:pPr>
              <w:pStyle w:val="TableTextDecimal"/>
              <w:framePr w:wrap="notBeside"/>
            </w:pPr>
            <w:r w:rsidDel="00377A73">
              <w:t>0.019*</w:t>
            </w:r>
            <w:r w:rsidDel="00377A73">
              <w:br/>
              <w:t>(0.010)</w:t>
            </w:r>
          </w:p>
        </w:tc>
      </w:tr>
      <w:tr w:rsidR="00EB7785" w:rsidRPr="004862D8" w:rsidDel="00377A73" w14:paraId="6DE22B67" w14:textId="6D7F2416"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5E7FE18" w14:textId="64B8CEAB" w:rsidR="00EB7785" w:rsidRPr="004862D8" w:rsidDel="00377A73" w:rsidRDefault="00EB7785" w:rsidP="007153A0">
            <w:pPr>
              <w:pStyle w:val="TableTextLeft"/>
              <w:ind w:left="221"/>
            </w:pPr>
            <w:r w:rsidRPr="004862D8" w:rsidDel="00377A73">
              <w:t>October 2017–September 2018</w:t>
            </w:r>
          </w:p>
        </w:tc>
        <w:tc>
          <w:tcPr>
            <w:tcW w:w="961" w:type="pct"/>
            <w:tcBorders>
              <w:top w:val="nil"/>
              <w:left w:val="nil"/>
              <w:bottom w:val="nil"/>
              <w:right w:val="nil"/>
            </w:tcBorders>
            <w:tcMar>
              <w:bottom w:w="0" w:type="dxa"/>
            </w:tcMar>
          </w:tcPr>
          <w:p w14:paraId="300B8828" w14:textId="68F4B823" w:rsidR="00EB7785" w:rsidRPr="004862D8" w:rsidDel="00377A73" w:rsidRDefault="00EB7785" w:rsidP="00E919D1">
            <w:pPr>
              <w:pStyle w:val="TableTextDecimal"/>
              <w:framePr w:wrap="notBeside"/>
            </w:pPr>
            <w:r w:rsidDel="00377A73">
              <w:t>0.035</w:t>
            </w:r>
            <w:r w:rsidDel="00377A73">
              <w:br/>
              <w:t>(0.025)</w:t>
            </w:r>
          </w:p>
        </w:tc>
        <w:tc>
          <w:tcPr>
            <w:tcW w:w="962" w:type="pct"/>
            <w:tcBorders>
              <w:top w:val="nil"/>
              <w:left w:val="nil"/>
              <w:bottom w:val="nil"/>
              <w:right w:val="nil"/>
            </w:tcBorders>
            <w:tcMar>
              <w:bottom w:w="0" w:type="dxa"/>
            </w:tcMar>
          </w:tcPr>
          <w:p w14:paraId="45732B2A" w14:textId="7D4F7D19" w:rsidR="00EB7785" w:rsidRPr="004862D8" w:rsidDel="00377A73" w:rsidRDefault="00EB7785" w:rsidP="00E919D1">
            <w:pPr>
              <w:pStyle w:val="TableTextDecimal"/>
              <w:framePr w:wrap="notBeside"/>
            </w:pPr>
            <w:r w:rsidDel="00377A73">
              <w:t>0.003</w:t>
            </w:r>
            <w:r w:rsidDel="00377A73">
              <w:br/>
              <w:t>(0.019)</w:t>
            </w:r>
          </w:p>
        </w:tc>
      </w:tr>
      <w:tr w:rsidR="00EB7785" w:rsidDel="00377A73" w14:paraId="19FBB2E8" w14:textId="3C5D55B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18A80C3A" w14:textId="3BD66166" w:rsidR="00EB7785" w:rsidDel="00377A73" w:rsidRDefault="00EB7785" w:rsidP="000D775D">
            <w:pPr>
              <w:pStyle w:val="TableTextLeft"/>
            </w:pPr>
            <w:r w:rsidRPr="00506058" w:rsidDel="00377A73">
              <w:t xml:space="preserve">Enrolled in </w:t>
            </w:r>
            <w:proofErr w:type="spellStart"/>
            <w:r w:rsidRPr="00506058" w:rsidDel="00377A73">
              <w:t>TCPi</w:t>
            </w:r>
            <w:proofErr w:type="spellEnd"/>
            <w:r w:rsidRPr="00506058" w:rsidDel="00377A73">
              <w:t xml:space="preserve"> * </w:t>
            </w:r>
            <w:r w:rsidDel="00377A73">
              <w:t>F</w:t>
            </w:r>
            <w:r w:rsidRPr="00506058" w:rsidDel="00377A73">
              <w:t>ewer than 40 beneficiaries attributed per quarter</w:t>
            </w:r>
            <w:r w:rsidDel="00377A73">
              <w:t xml:space="preserve"> during two-year baseline</w:t>
            </w:r>
          </w:p>
        </w:tc>
        <w:tc>
          <w:tcPr>
            <w:tcW w:w="961" w:type="pct"/>
            <w:tcBorders>
              <w:top w:val="nil"/>
              <w:left w:val="nil"/>
              <w:bottom w:val="nil"/>
              <w:right w:val="nil"/>
            </w:tcBorders>
            <w:tcMar>
              <w:bottom w:w="0" w:type="dxa"/>
            </w:tcMar>
          </w:tcPr>
          <w:p w14:paraId="01E9BFA7" w14:textId="405A31C3" w:rsidR="00EB7785" w:rsidDel="00377A73" w:rsidRDefault="00EB7785" w:rsidP="00E919D1">
            <w:pPr>
              <w:pStyle w:val="TableTextDecimal"/>
              <w:framePr w:wrap="notBeside"/>
            </w:pPr>
            <w:r w:rsidDel="00377A73">
              <w:t>0.011</w:t>
            </w:r>
            <w:r w:rsidDel="00377A73">
              <w:br/>
              <w:t>(0.013)</w:t>
            </w:r>
          </w:p>
        </w:tc>
        <w:tc>
          <w:tcPr>
            <w:tcW w:w="962" w:type="pct"/>
            <w:tcBorders>
              <w:top w:val="nil"/>
              <w:left w:val="nil"/>
              <w:bottom w:val="nil"/>
              <w:right w:val="nil"/>
            </w:tcBorders>
            <w:tcMar>
              <w:bottom w:w="0" w:type="dxa"/>
            </w:tcMar>
          </w:tcPr>
          <w:p w14:paraId="7F6A0E14" w14:textId="635B306B" w:rsidR="00EB7785" w:rsidDel="00377A73" w:rsidRDefault="00EB7785" w:rsidP="00E919D1">
            <w:pPr>
              <w:pStyle w:val="TableTextDecimal"/>
              <w:framePr w:wrap="notBeside"/>
            </w:pPr>
            <w:r w:rsidDel="00377A73">
              <w:t>-0.013</w:t>
            </w:r>
            <w:r w:rsidDel="00377A73">
              <w:br/>
              <w:t>(0.010)</w:t>
            </w:r>
          </w:p>
        </w:tc>
      </w:tr>
      <w:tr w:rsidR="00EB7785" w:rsidDel="00377A73" w14:paraId="6F76732C" w14:textId="062DA3C2"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80B34DD" w14:textId="1FF56767" w:rsidR="00EB7785" w:rsidDel="00377A73" w:rsidRDefault="00EB7785" w:rsidP="000D775D">
            <w:pPr>
              <w:pStyle w:val="TableTextLeft"/>
            </w:pPr>
            <w:r w:rsidRPr="0041797F" w:rsidDel="00377A73">
              <w:t>Number of clinicians billing Medicare</w:t>
            </w:r>
          </w:p>
        </w:tc>
        <w:tc>
          <w:tcPr>
            <w:tcW w:w="961" w:type="pct"/>
            <w:tcBorders>
              <w:top w:val="nil"/>
              <w:left w:val="nil"/>
              <w:bottom w:val="nil"/>
              <w:right w:val="nil"/>
            </w:tcBorders>
            <w:tcMar>
              <w:bottom w:w="0" w:type="dxa"/>
            </w:tcMar>
          </w:tcPr>
          <w:p w14:paraId="10F7E02C" w14:textId="248C9144"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105FC251" w14:textId="3FADB60B" w:rsidR="00EB7785" w:rsidDel="00377A73" w:rsidRDefault="00EB7785" w:rsidP="00E919D1">
            <w:pPr>
              <w:pStyle w:val="TableTextDecimal"/>
              <w:framePr w:wrap="notBeside"/>
            </w:pPr>
          </w:p>
        </w:tc>
      </w:tr>
      <w:tr w:rsidR="00EB7785" w:rsidDel="00377A73" w14:paraId="49ABFDD6" w14:textId="1BF8820B"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E2D52C0" w14:textId="55912542" w:rsidR="00EB7785" w:rsidDel="00377A73" w:rsidRDefault="00EB7785" w:rsidP="007153A0">
            <w:pPr>
              <w:pStyle w:val="TableTextLeft"/>
              <w:ind w:left="221"/>
            </w:pPr>
            <w:r w:rsidDel="00377A73">
              <w:t>Solo practice</w:t>
            </w:r>
          </w:p>
        </w:tc>
        <w:tc>
          <w:tcPr>
            <w:tcW w:w="961" w:type="pct"/>
            <w:tcBorders>
              <w:top w:val="nil"/>
              <w:left w:val="nil"/>
              <w:bottom w:val="nil"/>
              <w:right w:val="nil"/>
            </w:tcBorders>
            <w:tcMar>
              <w:bottom w:w="0" w:type="dxa"/>
            </w:tcMar>
          </w:tcPr>
          <w:p w14:paraId="1BCC5BA8" w14:textId="0A82E1BC" w:rsidR="00EB7785" w:rsidDel="00377A73" w:rsidRDefault="00EB7785" w:rsidP="00E919D1">
            <w:pPr>
              <w:pStyle w:val="TableTextDecimal"/>
              <w:framePr w:wrap="notBeside"/>
            </w:pPr>
            <w:r w:rsidDel="00377A73">
              <w:t>-0.003</w:t>
            </w:r>
            <w:r w:rsidDel="00377A73">
              <w:br/>
              <w:t>(0.007)</w:t>
            </w:r>
          </w:p>
        </w:tc>
        <w:tc>
          <w:tcPr>
            <w:tcW w:w="962" w:type="pct"/>
            <w:tcBorders>
              <w:top w:val="nil"/>
              <w:left w:val="nil"/>
              <w:bottom w:val="nil"/>
              <w:right w:val="nil"/>
            </w:tcBorders>
            <w:tcMar>
              <w:bottom w:w="0" w:type="dxa"/>
            </w:tcMar>
          </w:tcPr>
          <w:p w14:paraId="09E4EF96" w14:textId="4A3986E3" w:rsidR="00EB7785" w:rsidDel="00377A73" w:rsidRDefault="00EB7785" w:rsidP="00E919D1">
            <w:pPr>
              <w:pStyle w:val="TableTextDecimal"/>
              <w:framePr w:wrap="notBeside"/>
            </w:pPr>
            <w:r w:rsidDel="00377A73">
              <w:t>0.008</w:t>
            </w:r>
            <w:r w:rsidDel="00377A73">
              <w:br/>
              <w:t>(0.006)</w:t>
            </w:r>
          </w:p>
        </w:tc>
      </w:tr>
      <w:tr w:rsidR="00EB7785" w:rsidDel="00377A73" w14:paraId="2DB09DFF" w14:textId="558E4748"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635C957" w14:textId="7C13A118" w:rsidR="00EB7785" w:rsidDel="00377A73" w:rsidRDefault="00EB7785" w:rsidP="007153A0">
            <w:pPr>
              <w:pStyle w:val="TableTextLeft"/>
              <w:ind w:left="221"/>
            </w:pPr>
            <w:r w:rsidDel="00377A73">
              <w:t>2–4 clinicians</w:t>
            </w:r>
          </w:p>
        </w:tc>
        <w:tc>
          <w:tcPr>
            <w:tcW w:w="961" w:type="pct"/>
            <w:tcBorders>
              <w:top w:val="nil"/>
              <w:left w:val="nil"/>
              <w:bottom w:val="nil"/>
              <w:right w:val="nil"/>
            </w:tcBorders>
            <w:tcMar>
              <w:bottom w:w="0" w:type="dxa"/>
            </w:tcMar>
          </w:tcPr>
          <w:p w14:paraId="3879FD33" w14:textId="6B5EFAE6"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3AF36B43" w14:textId="75C9B0BD" w:rsidR="00EB7785" w:rsidDel="00377A73" w:rsidRDefault="00EB7785" w:rsidP="00E919D1">
            <w:pPr>
              <w:pStyle w:val="TableTextCentered"/>
            </w:pPr>
            <w:r w:rsidDel="00377A73">
              <w:t>(reference)</w:t>
            </w:r>
          </w:p>
        </w:tc>
      </w:tr>
      <w:tr w:rsidR="00EB7785" w:rsidDel="00377A73" w14:paraId="374613E1" w14:textId="7A4A9954"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6BA9FAFA" w14:textId="28075CB0" w:rsidR="00EB7785" w:rsidDel="00377A73" w:rsidRDefault="00EB7785" w:rsidP="007153A0">
            <w:pPr>
              <w:pStyle w:val="TableTextLeft"/>
              <w:ind w:left="221"/>
            </w:pPr>
            <w:r w:rsidDel="00377A73">
              <w:t>5–24 clinicians</w:t>
            </w:r>
          </w:p>
        </w:tc>
        <w:tc>
          <w:tcPr>
            <w:tcW w:w="961" w:type="pct"/>
            <w:tcBorders>
              <w:top w:val="nil"/>
              <w:left w:val="nil"/>
              <w:bottom w:val="nil"/>
              <w:right w:val="nil"/>
            </w:tcBorders>
            <w:tcMar>
              <w:bottom w:w="0" w:type="dxa"/>
            </w:tcMar>
          </w:tcPr>
          <w:p w14:paraId="730E43A0" w14:textId="573341D2" w:rsidR="00EB7785" w:rsidDel="00377A73" w:rsidRDefault="00EB7785" w:rsidP="00E919D1">
            <w:pPr>
              <w:pStyle w:val="TableTextDecimal"/>
              <w:framePr w:wrap="notBeside"/>
            </w:pPr>
            <w:r w:rsidDel="00377A73">
              <w:t>0.033**</w:t>
            </w:r>
            <w:r w:rsidDel="00377A73">
              <w:br/>
              <w:t>(0.014)</w:t>
            </w:r>
          </w:p>
        </w:tc>
        <w:tc>
          <w:tcPr>
            <w:tcW w:w="962" w:type="pct"/>
            <w:tcBorders>
              <w:top w:val="nil"/>
              <w:left w:val="nil"/>
              <w:bottom w:val="nil"/>
              <w:right w:val="nil"/>
            </w:tcBorders>
            <w:tcMar>
              <w:bottom w:w="0" w:type="dxa"/>
            </w:tcMar>
          </w:tcPr>
          <w:p w14:paraId="0545463E" w14:textId="5B84374E" w:rsidR="00EB7785" w:rsidDel="00377A73" w:rsidRDefault="00EB7785" w:rsidP="00E919D1">
            <w:pPr>
              <w:pStyle w:val="TableTextDecimal"/>
              <w:framePr w:wrap="notBeside"/>
            </w:pPr>
            <w:r w:rsidDel="00377A73">
              <w:t>0.014</w:t>
            </w:r>
            <w:r w:rsidDel="00377A73">
              <w:br/>
              <w:t>(0.011)</w:t>
            </w:r>
          </w:p>
        </w:tc>
      </w:tr>
      <w:tr w:rsidR="00EB7785" w:rsidDel="00377A73" w14:paraId="60BD8CFB" w14:textId="5B1D94B9"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6757E20" w14:textId="7C399ADE" w:rsidR="00EB7785" w:rsidDel="00377A73" w:rsidRDefault="00EB7785" w:rsidP="007153A0">
            <w:pPr>
              <w:pStyle w:val="TableTextLeft"/>
              <w:ind w:left="221"/>
            </w:pPr>
            <w:r w:rsidDel="00377A73">
              <w:t>25–49 clinicians</w:t>
            </w:r>
          </w:p>
        </w:tc>
        <w:tc>
          <w:tcPr>
            <w:tcW w:w="961" w:type="pct"/>
            <w:tcBorders>
              <w:top w:val="nil"/>
              <w:left w:val="nil"/>
              <w:bottom w:val="nil"/>
              <w:right w:val="nil"/>
            </w:tcBorders>
            <w:tcMar>
              <w:bottom w:w="0" w:type="dxa"/>
            </w:tcMar>
          </w:tcPr>
          <w:p w14:paraId="34744DDE" w14:textId="4C28DBBC" w:rsidR="00EB7785" w:rsidDel="00377A73" w:rsidRDefault="00EB7785" w:rsidP="00E919D1">
            <w:pPr>
              <w:pStyle w:val="TableTextDecimal"/>
              <w:framePr w:wrap="notBeside"/>
            </w:pPr>
            <w:r w:rsidDel="00377A73">
              <w:t>0.122***</w:t>
            </w:r>
            <w:r w:rsidDel="00377A73">
              <w:br/>
              <w:t>(0.020)</w:t>
            </w:r>
          </w:p>
        </w:tc>
        <w:tc>
          <w:tcPr>
            <w:tcW w:w="962" w:type="pct"/>
            <w:tcBorders>
              <w:top w:val="nil"/>
              <w:left w:val="nil"/>
              <w:bottom w:val="nil"/>
              <w:right w:val="nil"/>
            </w:tcBorders>
            <w:tcMar>
              <w:bottom w:w="0" w:type="dxa"/>
            </w:tcMar>
          </w:tcPr>
          <w:p w14:paraId="6CDC18FC" w14:textId="6DAB2E56" w:rsidR="00EB7785" w:rsidDel="00377A73" w:rsidRDefault="00EB7785" w:rsidP="00E919D1">
            <w:pPr>
              <w:pStyle w:val="TableTextDecimal"/>
              <w:framePr w:wrap="notBeside"/>
            </w:pPr>
            <w:r w:rsidDel="00377A73">
              <w:t>0.085***</w:t>
            </w:r>
            <w:r w:rsidDel="00377A73">
              <w:br/>
              <w:t>(0.016)</w:t>
            </w:r>
          </w:p>
        </w:tc>
      </w:tr>
      <w:tr w:rsidR="00EB7785" w:rsidDel="00377A73" w14:paraId="64C3B5EF" w14:textId="77DC6399"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62D65CD6" w14:textId="4D152245" w:rsidR="00EB7785" w:rsidDel="00377A73" w:rsidRDefault="00EB7785" w:rsidP="007153A0">
            <w:pPr>
              <w:pStyle w:val="TableTextLeft"/>
              <w:ind w:left="221"/>
            </w:pPr>
            <w:r w:rsidDel="00377A73">
              <w:t>50 or more clinicians</w:t>
            </w:r>
          </w:p>
        </w:tc>
        <w:tc>
          <w:tcPr>
            <w:tcW w:w="961" w:type="pct"/>
            <w:tcBorders>
              <w:top w:val="nil"/>
              <w:left w:val="nil"/>
              <w:bottom w:val="nil"/>
              <w:right w:val="nil"/>
            </w:tcBorders>
            <w:tcMar>
              <w:bottom w:w="0" w:type="dxa"/>
            </w:tcMar>
          </w:tcPr>
          <w:p w14:paraId="54B46DE9" w14:textId="61E67285" w:rsidR="00EB7785" w:rsidDel="00377A73" w:rsidRDefault="00EB7785" w:rsidP="00E919D1">
            <w:pPr>
              <w:pStyle w:val="TableTextDecimal"/>
              <w:framePr w:wrap="notBeside"/>
            </w:pPr>
            <w:r w:rsidDel="00377A73">
              <w:t>0.113***</w:t>
            </w:r>
            <w:r w:rsidDel="00377A73">
              <w:br/>
              <w:t>(0.022)</w:t>
            </w:r>
          </w:p>
        </w:tc>
        <w:tc>
          <w:tcPr>
            <w:tcW w:w="962" w:type="pct"/>
            <w:tcBorders>
              <w:top w:val="nil"/>
              <w:left w:val="nil"/>
              <w:bottom w:val="nil"/>
              <w:right w:val="nil"/>
            </w:tcBorders>
            <w:tcMar>
              <w:bottom w:w="0" w:type="dxa"/>
            </w:tcMar>
          </w:tcPr>
          <w:p w14:paraId="28E95A43" w14:textId="64825AA5" w:rsidR="00EB7785" w:rsidDel="00377A73" w:rsidRDefault="00EB7785" w:rsidP="00E919D1">
            <w:pPr>
              <w:pStyle w:val="TableTextDecimal"/>
              <w:framePr w:wrap="notBeside"/>
            </w:pPr>
            <w:r w:rsidDel="00377A73">
              <w:t>0.135***</w:t>
            </w:r>
            <w:r w:rsidDel="00377A73">
              <w:br/>
              <w:t>(0.017)</w:t>
            </w:r>
          </w:p>
        </w:tc>
      </w:tr>
      <w:tr w:rsidR="00EB7785" w:rsidDel="00377A73" w14:paraId="374C1109" w14:textId="4D82169D"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327764E" w14:textId="7AFC9F63" w:rsidR="00EB7785" w:rsidDel="00377A73" w:rsidRDefault="00EB7785" w:rsidP="000D775D">
            <w:pPr>
              <w:pStyle w:val="TableTextLeft"/>
            </w:pPr>
            <w:r w:rsidDel="00377A73">
              <w:t>Hospital-owned (2017)</w:t>
            </w:r>
          </w:p>
        </w:tc>
        <w:tc>
          <w:tcPr>
            <w:tcW w:w="961" w:type="pct"/>
            <w:tcBorders>
              <w:top w:val="nil"/>
              <w:left w:val="nil"/>
              <w:bottom w:val="nil"/>
              <w:right w:val="nil"/>
            </w:tcBorders>
            <w:tcMar>
              <w:bottom w:w="0" w:type="dxa"/>
            </w:tcMar>
          </w:tcPr>
          <w:p w14:paraId="5BF25810" w14:textId="464B93FD" w:rsidR="00EB7785" w:rsidDel="00377A73" w:rsidRDefault="00EB7785" w:rsidP="00E919D1">
            <w:pPr>
              <w:pStyle w:val="TableTextDecimal"/>
              <w:framePr w:wrap="notBeside"/>
            </w:pPr>
            <w:r w:rsidDel="00377A73">
              <w:t>0.160***</w:t>
            </w:r>
            <w:r w:rsidDel="00377A73">
              <w:br/>
              <w:t>(0.013)</w:t>
            </w:r>
          </w:p>
        </w:tc>
        <w:tc>
          <w:tcPr>
            <w:tcW w:w="962" w:type="pct"/>
            <w:tcBorders>
              <w:top w:val="nil"/>
              <w:left w:val="nil"/>
              <w:bottom w:val="nil"/>
              <w:right w:val="nil"/>
            </w:tcBorders>
            <w:tcMar>
              <w:bottom w:w="0" w:type="dxa"/>
            </w:tcMar>
          </w:tcPr>
          <w:p w14:paraId="7B2953D2" w14:textId="30BFEA09" w:rsidR="00EB7785" w:rsidDel="00377A73" w:rsidRDefault="00EB7785" w:rsidP="00E919D1">
            <w:pPr>
              <w:pStyle w:val="TableTextDecimal"/>
              <w:framePr w:wrap="notBeside"/>
            </w:pPr>
            <w:r w:rsidDel="00377A73">
              <w:t>0.036***</w:t>
            </w:r>
            <w:r w:rsidDel="00377A73">
              <w:br/>
              <w:t>(0.011)</w:t>
            </w:r>
          </w:p>
        </w:tc>
      </w:tr>
      <w:tr w:rsidR="00EB7785" w:rsidDel="00377A73" w14:paraId="71FE7327" w14:textId="18164101"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7C3655EA" w14:textId="2C37925C" w:rsidR="00EB7785" w:rsidDel="00377A73" w:rsidRDefault="00EB7785" w:rsidP="000D775D">
            <w:pPr>
              <w:pStyle w:val="TableTextLeft"/>
            </w:pPr>
            <w:r w:rsidDel="00377A73">
              <w:t>Accepts Medicaid (2017)</w:t>
            </w:r>
          </w:p>
        </w:tc>
        <w:tc>
          <w:tcPr>
            <w:tcW w:w="961" w:type="pct"/>
            <w:tcBorders>
              <w:top w:val="nil"/>
              <w:left w:val="nil"/>
              <w:bottom w:val="nil"/>
              <w:right w:val="nil"/>
            </w:tcBorders>
            <w:tcMar>
              <w:bottom w:w="0" w:type="dxa"/>
            </w:tcMar>
          </w:tcPr>
          <w:p w14:paraId="4B8AF56F" w14:textId="12C98761" w:rsidR="00EB7785" w:rsidDel="00377A73" w:rsidRDefault="00EB7785" w:rsidP="00E919D1">
            <w:pPr>
              <w:pStyle w:val="TableTextDecimal"/>
              <w:framePr w:wrap="notBeside"/>
            </w:pPr>
            <w:r w:rsidDel="00377A73">
              <w:t>-0.013</w:t>
            </w:r>
            <w:r w:rsidDel="00377A73">
              <w:br/>
              <w:t>(0.011)</w:t>
            </w:r>
          </w:p>
        </w:tc>
        <w:tc>
          <w:tcPr>
            <w:tcW w:w="962" w:type="pct"/>
            <w:tcBorders>
              <w:top w:val="nil"/>
              <w:left w:val="nil"/>
              <w:bottom w:val="nil"/>
              <w:right w:val="nil"/>
            </w:tcBorders>
            <w:tcMar>
              <w:bottom w:w="0" w:type="dxa"/>
            </w:tcMar>
          </w:tcPr>
          <w:p w14:paraId="2CF66DE1" w14:textId="423F791E" w:rsidR="00EB7785" w:rsidDel="00377A73" w:rsidRDefault="00EB7785" w:rsidP="00E919D1">
            <w:pPr>
              <w:pStyle w:val="TableTextDecimal"/>
              <w:framePr w:wrap="notBeside"/>
            </w:pPr>
            <w:r w:rsidDel="00377A73">
              <w:t>-0.022**</w:t>
            </w:r>
            <w:r w:rsidDel="00377A73">
              <w:br/>
              <w:t>(0.009)</w:t>
            </w:r>
          </w:p>
        </w:tc>
      </w:tr>
      <w:tr w:rsidR="00EB7785" w:rsidDel="00377A73" w14:paraId="194A9B8A" w14:textId="24F9D6DD"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994940E" w14:textId="797225D1" w:rsidR="00EB7785" w:rsidDel="00377A73" w:rsidRDefault="00EB7785" w:rsidP="007153A0">
            <w:pPr>
              <w:pStyle w:val="TableTextLeft"/>
              <w:ind w:left="221"/>
            </w:pPr>
            <w:r w:rsidDel="00377A73">
              <w:t>Missing data on hospital ownership and Medicaid acceptance</w:t>
            </w:r>
          </w:p>
        </w:tc>
        <w:tc>
          <w:tcPr>
            <w:tcW w:w="961" w:type="pct"/>
            <w:tcBorders>
              <w:top w:val="nil"/>
              <w:left w:val="nil"/>
              <w:bottom w:val="nil"/>
              <w:right w:val="nil"/>
            </w:tcBorders>
            <w:tcMar>
              <w:bottom w:w="0" w:type="dxa"/>
            </w:tcMar>
          </w:tcPr>
          <w:p w14:paraId="6400C4B6" w14:textId="4AA64AF5" w:rsidR="00EB7785" w:rsidDel="00377A73" w:rsidRDefault="00EB7785" w:rsidP="00E919D1">
            <w:pPr>
              <w:pStyle w:val="TableTextDecimal"/>
              <w:framePr w:wrap="notBeside"/>
            </w:pPr>
            <w:r w:rsidDel="00377A73">
              <w:t>-0.065***</w:t>
            </w:r>
            <w:r w:rsidDel="00377A73">
              <w:br/>
              <w:t>(0.013)</w:t>
            </w:r>
          </w:p>
        </w:tc>
        <w:tc>
          <w:tcPr>
            <w:tcW w:w="962" w:type="pct"/>
            <w:tcBorders>
              <w:top w:val="nil"/>
              <w:left w:val="nil"/>
              <w:bottom w:val="nil"/>
              <w:right w:val="nil"/>
            </w:tcBorders>
            <w:tcMar>
              <w:bottom w:w="0" w:type="dxa"/>
            </w:tcMar>
          </w:tcPr>
          <w:p w14:paraId="0C875BFA" w14:textId="6F1F75DF" w:rsidR="00EB7785" w:rsidDel="00377A73" w:rsidRDefault="00EB7785" w:rsidP="00E919D1">
            <w:pPr>
              <w:pStyle w:val="TableTextDecimal"/>
              <w:framePr w:wrap="notBeside"/>
            </w:pPr>
            <w:r w:rsidDel="00377A73">
              <w:t>-0.057***</w:t>
            </w:r>
            <w:r w:rsidDel="00377A73">
              <w:br/>
              <w:t>(0.010)</w:t>
            </w:r>
          </w:p>
        </w:tc>
      </w:tr>
      <w:tr w:rsidR="00EB7785" w:rsidDel="00377A73" w14:paraId="3AFFF247" w14:textId="1A021A33"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5E3DCD14" w14:textId="6D1E7BF5" w:rsidR="00EB7785" w:rsidDel="00377A73" w:rsidRDefault="00EB7785" w:rsidP="000D775D">
            <w:pPr>
              <w:pStyle w:val="TableTextLeft"/>
            </w:pPr>
            <w:r w:rsidDel="00377A73">
              <w:t>Proportion of clinicians at practice with select specialties (%)</w:t>
            </w:r>
          </w:p>
        </w:tc>
        <w:tc>
          <w:tcPr>
            <w:tcW w:w="961" w:type="pct"/>
            <w:tcBorders>
              <w:top w:val="nil"/>
              <w:left w:val="nil"/>
              <w:bottom w:val="nil"/>
              <w:right w:val="nil"/>
            </w:tcBorders>
            <w:tcMar>
              <w:bottom w:w="0" w:type="dxa"/>
            </w:tcMar>
          </w:tcPr>
          <w:p w14:paraId="03F17134" w14:textId="45865AAB"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609091CF" w14:textId="4E5124EB" w:rsidR="00EB7785" w:rsidDel="00377A73" w:rsidRDefault="00EB7785" w:rsidP="00E919D1">
            <w:pPr>
              <w:pStyle w:val="TableTextDecimal"/>
              <w:framePr w:wrap="notBeside"/>
            </w:pPr>
          </w:p>
        </w:tc>
      </w:tr>
      <w:tr w:rsidR="00EB7785" w:rsidDel="00377A73" w14:paraId="5511B581" w14:textId="4C98994A"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7FE55E1" w14:textId="55D7D458" w:rsidR="00EB7785" w:rsidDel="00377A73" w:rsidRDefault="00EB7785" w:rsidP="007153A0">
            <w:pPr>
              <w:pStyle w:val="TableTextLeft"/>
              <w:ind w:left="221"/>
            </w:pPr>
            <w:r w:rsidDel="00377A73">
              <w:t>Primary care</w:t>
            </w:r>
          </w:p>
        </w:tc>
        <w:tc>
          <w:tcPr>
            <w:tcW w:w="961" w:type="pct"/>
            <w:tcBorders>
              <w:top w:val="nil"/>
              <w:left w:val="nil"/>
              <w:bottom w:val="nil"/>
              <w:right w:val="nil"/>
            </w:tcBorders>
            <w:tcMar>
              <w:bottom w:w="0" w:type="dxa"/>
            </w:tcMar>
          </w:tcPr>
          <w:p w14:paraId="4331422C" w14:textId="3C71BE8B"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53C47CFB" w14:textId="246833D1" w:rsidR="00EB7785" w:rsidDel="00377A73" w:rsidRDefault="00EB7785" w:rsidP="00E919D1">
            <w:pPr>
              <w:pStyle w:val="TableTextCentered"/>
            </w:pPr>
            <w:r w:rsidDel="00377A73">
              <w:t>(reference)</w:t>
            </w:r>
          </w:p>
        </w:tc>
      </w:tr>
      <w:tr w:rsidR="00EB7785" w:rsidDel="00377A73" w14:paraId="2FD8D21B" w14:textId="56CFA9A1"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36CED28" w14:textId="746AF9F0" w:rsidR="00EB7785" w:rsidDel="00377A73" w:rsidRDefault="00EB7785" w:rsidP="007153A0">
            <w:pPr>
              <w:pStyle w:val="TableTextLeft"/>
              <w:ind w:left="221"/>
            </w:pPr>
            <w:r w:rsidDel="00377A73">
              <w:t>Surgical specialty</w:t>
            </w:r>
          </w:p>
        </w:tc>
        <w:tc>
          <w:tcPr>
            <w:tcW w:w="961" w:type="pct"/>
            <w:tcBorders>
              <w:top w:val="nil"/>
              <w:left w:val="nil"/>
              <w:bottom w:val="nil"/>
              <w:right w:val="nil"/>
            </w:tcBorders>
            <w:tcMar>
              <w:bottom w:w="0" w:type="dxa"/>
            </w:tcMar>
          </w:tcPr>
          <w:p w14:paraId="24D2E276" w14:textId="65CD1341" w:rsidR="00EB7785" w:rsidDel="00377A73" w:rsidRDefault="00EB7785" w:rsidP="00E919D1">
            <w:pPr>
              <w:pStyle w:val="TableTextDecimal"/>
              <w:framePr w:wrap="notBeside"/>
            </w:pPr>
            <w:r w:rsidDel="00377A73">
              <w:t>-0.082**</w:t>
            </w:r>
            <w:r w:rsidDel="00377A73">
              <w:br/>
              <w:t>(0.035)</w:t>
            </w:r>
          </w:p>
        </w:tc>
        <w:tc>
          <w:tcPr>
            <w:tcW w:w="962" w:type="pct"/>
            <w:tcBorders>
              <w:top w:val="nil"/>
              <w:left w:val="nil"/>
              <w:bottom w:val="nil"/>
              <w:right w:val="nil"/>
            </w:tcBorders>
            <w:tcMar>
              <w:bottom w:w="0" w:type="dxa"/>
            </w:tcMar>
          </w:tcPr>
          <w:p w14:paraId="494694EB" w14:textId="504088DF" w:rsidR="00EB7785" w:rsidDel="00377A73" w:rsidRDefault="00EB7785" w:rsidP="00E919D1">
            <w:pPr>
              <w:pStyle w:val="TableTextDecimal"/>
              <w:framePr w:wrap="notBeside"/>
            </w:pPr>
            <w:r w:rsidDel="00377A73">
              <w:t>-0.023</w:t>
            </w:r>
            <w:r w:rsidDel="00377A73">
              <w:br/>
              <w:t>(0.028)</w:t>
            </w:r>
          </w:p>
        </w:tc>
      </w:tr>
      <w:tr w:rsidR="00EB7785" w:rsidDel="00377A73" w14:paraId="0D2D1768" w14:textId="377A5608"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2C012BD4" w14:textId="69227349" w:rsidR="00EB7785" w:rsidDel="00377A73" w:rsidRDefault="00EB7785" w:rsidP="007153A0">
            <w:pPr>
              <w:pStyle w:val="TableTextLeft"/>
              <w:ind w:left="221"/>
            </w:pPr>
            <w:r w:rsidDel="00377A73">
              <w:t>Hospital-based specialty</w:t>
            </w:r>
          </w:p>
        </w:tc>
        <w:tc>
          <w:tcPr>
            <w:tcW w:w="961" w:type="pct"/>
            <w:tcBorders>
              <w:top w:val="nil"/>
              <w:left w:val="nil"/>
              <w:bottom w:val="nil"/>
              <w:right w:val="nil"/>
            </w:tcBorders>
            <w:tcMar>
              <w:bottom w:w="0" w:type="dxa"/>
            </w:tcMar>
          </w:tcPr>
          <w:p w14:paraId="43FB2B92" w14:textId="481AA9A1" w:rsidR="00EB7785" w:rsidDel="00377A73" w:rsidRDefault="00EB7785" w:rsidP="00E919D1">
            <w:pPr>
              <w:pStyle w:val="TableTextDecimal"/>
              <w:framePr w:wrap="notBeside"/>
            </w:pPr>
            <w:r w:rsidDel="00377A73">
              <w:t>-0.163***</w:t>
            </w:r>
            <w:r w:rsidDel="00377A73">
              <w:br/>
              <w:t>(0.038)</w:t>
            </w:r>
          </w:p>
        </w:tc>
        <w:tc>
          <w:tcPr>
            <w:tcW w:w="962" w:type="pct"/>
            <w:tcBorders>
              <w:top w:val="nil"/>
              <w:left w:val="nil"/>
              <w:bottom w:val="nil"/>
              <w:right w:val="nil"/>
            </w:tcBorders>
            <w:tcMar>
              <w:bottom w:w="0" w:type="dxa"/>
            </w:tcMar>
          </w:tcPr>
          <w:p w14:paraId="15C36BCA" w14:textId="57F04455" w:rsidR="00EB7785" w:rsidDel="00377A73" w:rsidRDefault="00EB7785" w:rsidP="00E919D1">
            <w:pPr>
              <w:pStyle w:val="TableTextDecimal"/>
              <w:framePr w:wrap="notBeside"/>
            </w:pPr>
            <w:r w:rsidDel="00377A73">
              <w:t>-0.064**</w:t>
            </w:r>
            <w:r w:rsidDel="00377A73">
              <w:br/>
              <w:t>(0.030)</w:t>
            </w:r>
          </w:p>
        </w:tc>
      </w:tr>
      <w:tr w:rsidR="00EB7785" w:rsidDel="00377A73" w14:paraId="78D84C5A" w14:textId="3E48F5C2"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15E7A575" w14:textId="10D384D6" w:rsidR="00EB7785" w:rsidDel="00377A73" w:rsidRDefault="00EB7785" w:rsidP="007153A0">
            <w:pPr>
              <w:pStyle w:val="TableTextLeft"/>
              <w:ind w:left="221"/>
            </w:pPr>
            <w:r w:rsidDel="00377A73">
              <w:t>Cardiology</w:t>
            </w:r>
          </w:p>
        </w:tc>
        <w:tc>
          <w:tcPr>
            <w:tcW w:w="961" w:type="pct"/>
            <w:tcBorders>
              <w:top w:val="nil"/>
              <w:left w:val="nil"/>
              <w:bottom w:val="nil"/>
              <w:right w:val="nil"/>
            </w:tcBorders>
            <w:tcMar>
              <w:bottom w:w="0" w:type="dxa"/>
            </w:tcMar>
          </w:tcPr>
          <w:p w14:paraId="72C34794" w14:textId="7B1A5FA2" w:rsidR="00EB7785" w:rsidDel="00377A73" w:rsidRDefault="00EB7785" w:rsidP="00E919D1">
            <w:pPr>
              <w:pStyle w:val="TableTextDecimal"/>
              <w:framePr w:wrap="notBeside"/>
            </w:pPr>
            <w:r w:rsidDel="00377A73">
              <w:t>-0.131***</w:t>
            </w:r>
            <w:r w:rsidDel="00377A73">
              <w:br/>
              <w:t>(0.043)</w:t>
            </w:r>
          </w:p>
        </w:tc>
        <w:tc>
          <w:tcPr>
            <w:tcW w:w="962" w:type="pct"/>
            <w:tcBorders>
              <w:top w:val="nil"/>
              <w:left w:val="nil"/>
              <w:bottom w:val="nil"/>
              <w:right w:val="nil"/>
            </w:tcBorders>
            <w:tcMar>
              <w:bottom w:w="0" w:type="dxa"/>
            </w:tcMar>
          </w:tcPr>
          <w:p w14:paraId="489DDCF2" w14:textId="7E4F2B9C" w:rsidR="00EB7785" w:rsidDel="00377A73" w:rsidRDefault="00EB7785" w:rsidP="00E919D1">
            <w:pPr>
              <w:pStyle w:val="TableTextDecimal"/>
              <w:framePr w:wrap="notBeside"/>
            </w:pPr>
            <w:r w:rsidDel="00377A73">
              <w:t>-0.048</w:t>
            </w:r>
            <w:r w:rsidDel="00377A73">
              <w:br/>
              <w:t>(0.034)</w:t>
            </w:r>
          </w:p>
        </w:tc>
      </w:tr>
      <w:tr w:rsidR="00EB7785" w:rsidDel="00377A73" w14:paraId="183490DE" w14:textId="379F1A2A"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CF61681" w14:textId="430BFC82" w:rsidR="00EB7785" w:rsidDel="00377A73" w:rsidRDefault="00EB7785" w:rsidP="007153A0">
            <w:pPr>
              <w:pStyle w:val="TableTextLeft"/>
              <w:ind w:left="221"/>
            </w:pPr>
            <w:r w:rsidDel="00377A73">
              <w:t>Dermatology</w:t>
            </w:r>
          </w:p>
        </w:tc>
        <w:tc>
          <w:tcPr>
            <w:tcW w:w="961" w:type="pct"/>
            <w:tcBorders>
              <w:top w:val="nil"/>
              <w:left w:val="nil"/>
              <w:bottom w:val="nil"/>
              <w:right w:val="nil"/>
            </w:tcBorders>
            <w:tcMar>
              <w:bottom w:w="0" w:type="dxa"/>
            </w:tcMar>
          </w:tcPr>
          <w:p w14:paraId="27CA0571" w14:textId="460EC1C2" w:rsidR="00EB7785" w:rsidDel="00377A73" w:rsidRDefault="00EB7785" w:rsidP="00E919D1">
            <w:pPr>
              <w:pStyle w:val="TableTextDecimal"/>
              <w:framePr w:wrap="notBeside"/>
            </w:pPr>
            <w:r w:rsidDel="00377A73">
              <w:t>-0.151***</w:t>
            </w:r>
            <w:r w:rsidDel="00377A73">
              <w:br/>
              <w:t>(0.041)</w:t>
            </w:r>
          </w:p>
        </w:tc>
        <w:tc>
          <w:tcPr>
            <w:tcW w:w="962" w:type="pct"/>
            <w:tcBorders>
              <w:top w:val="nil"/>
              <w:left w:val="nil"/>
              <w:bottom w:val="nil"/>
              <w:right w:val="nil"/>
            </w:tcBorders>
            <w:tcMar>
              <w:bottom w:w="0" w:type="dxa"/>
            </w:tcMar>
          </w:tcPr>
          <w:p w14:paraId="0C3F8AD5" w14:textId="1848B046" w:rsidR="00EB7785" w:rsidDel="00377A73" w:rsidRDefault="00EB7785" w:rsidP="00E919D1">
            <w:pPr>
              <w:pStyle w:val="TableTextDecimal"/>
              <w:framePr w:wrap="notBeside"/>
            </w:pPr>
            <w:r w:rsidDel="00377A73">
              <w:t>-0.075**</w:t>
            </w:r>
            <w:r w:rsidDel="00377A73">
              <w:br/>
              <w:t>(0.032)</w:t>
            </w:r>
          </w:p>
        </w:tc>
      </w:tr>
      <w:tr w:rsidR="00EB7785" w:rsidDel="00377A73" w14:paraId="02566392" w14:textId="444384BA"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3A6644C" w14:textId="4D6770DF" w:rsidR="00EB7785" w:rsidDel="00377A73" w:rsidRDefault="00EB7785" w:rsidP="007153A0">
            <w:pPr>
              <w:pStyle w:val="TableTextLeft"/>
              <w:ind w:left="221"/>
            </w:pPr>
            <w:r w:rsidDel="00377A73">
              <w:t>Gastroenterology</w:t>
            </w:r>
          </w:p>
        </w:tc>
        <w:tc>
          <w:tcPr>
            <w:tcW w:w="961" w:type="pct"/>
            <w:tcBorders>
              <w:top w:val="nil"/>
              <w:left w:val="nil"/>
              <w:bottom w:val="nil"/>
              <w:right w:val="nil"/>
            </w:tcBorders>
            <w:tcMar>
              <w:bottom w:w="0" w:type="dxa"/>
            </w:tcMar>
          </w:tcPr>
          <w:p w14:paraId="116294AC" w14:textId="0BF2ACC5" w:rsidR="00EB7785" w:rsidDel="00377A73" w:rsidRDefault="00EB7785" w:rsidP="00E919D1">
            <w:pPr>
              <w:pStyle w:val="TableTextDecimal"/>
              <w:framePr w:wrap="notBeside"/>
            </w:pPr>
            <w:r w:rsidDel="00377A73">
              <w:t>-0.099**</w:t>
            </w:r>
            <w:r w:rsidDel="00377A73">
              <w:br/>
              <w:t>(0.041)</w:t>
            </w:r>
          </w:p>
        </w:tc>
        <w:tc>
          <w:tcPr>
            <w:tcW w:w="962" w:type="pct"/>
            <w:tcBorders>
              <w:top w:val="nil"/>
              <w:left w:val="nil"/>
              <w:bottom w:val="nil"/>
              <w:right w:val="nil"/>
            </w:tcBorders>
            <w:tcMar>
              <w:bottom w:w="0" w:type="dxa"/>
            </w:tcMar>
          </w:tcPr>
          <w:p w14:paraId="0DEE54E4" w14:textId="1BA28135" w:rsidR="00EB7785" w:rsidDel="00377A73" w:rsidRDefault="00EB7785" w:rsidP="00E919D1">
            <w:pPr>
              <w:pStyle w:val="TableTextDecimal"/>
              <w:framePr w:wrap="notBeside"/>
            </w:pPr>
            <w:r w:rsidDel="00377A73">
              <w:t>-0.001</w:t>
            </w:r>
            <w:r w:rsidDel="00377A73">
              <w:br/>
              <w:t>(0.032)</w:t>
            </w:r>
          </w:p>
        </w:tc>
      </w:tr>
      <w:tr w:rsidR="00EB7785" w:rsidDel="00377A73" w14:paraId="5BC7DB7D" w14:textId="2E832538"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7367F74" w14:textId="72220352" w:rsidR="00EB7785" w:rsidDel="00377A73" w:rsidRDefault="00EB7785" w:rsidP="007153A0">
            <w:pPr>
              <w:pStyle w:val="TableTextLeft"/>
              <w:ind w:left="221"/>
            </w:pPr>
            <w:r w:rsidDel="00377A73">
              <w:t>Licensed clinical social work or clinical psychology</w:t>
            </w:r>
          </w:p>
        </w:tc>
        <w:tc>
          <w:tcPr>
            <w:tcW w:w="961" w:type="pct"/>
            <w:tcBorders>
              <w:top w:val="nil"/>
              <w:left w:val="nil"/>
              <w:bottom w:val="nil"/>
              <w:right w:val="nil"/>
            </w:tcBorders>
            <w:tcMar>
              <w:bottom w:w="0" w:type="dxa"/>
            </w:tcMar>
          </w:tcPr>
          <w:p w14:paraId="10C44D74" w14:textId="097E2126" w:rsidR="00EB7785" w:rsidDel="00377A73" w:rsidRDefault="00EB7785" w:rsidP="00E919D1">
            <w:pPr>
              <w:pStyle w:val="TableTextDecimal"/>
              <w:framePr w:wrap="notBeside"/>
            </w:pPr>
            <w:r w:rsidDel="00377A73">
              <w:t>-0.167***</w:t>
            </w:r>
            <w:r w:rsidDel="00377A73">
              <w:br/>
              <w:t>(0.041)</w:t>
            </w:r>
          </w:p>
        </w:tc>
        <w:tc>
          <w:tcPr>
            <w:tcW w:w="962" w:type="pct"/>
            <w:tcBorders>
              <w:top w:val="nil"/>
              <w:left w:val="nil"/>
              <w:bottom w:val="nil"/>
              <w:right w:val="nil"/>
            </w:tcBorders>
            <w:tcMar>
              <w:bottom w:w="0" w:type="dxa"/>
            </w:tcMar>
          </w:tcPr>
          <w:p w14:paraId="55DC0A1F" w14:textId="5D62B33D" w:rsidR="00EB7785" w:rsidDel="00377A73" w:rsidRDefault="00EB7785" w:rsidP="00E919D1">
            <w:pPr>
              <w:pStyle w:val="TableTextDecimal"/>
              <w:framePr w:wrap="notBeside"/>
            </w:pPr>
            <w:r w:rsidDel="00377A73">
              <w:t>-0.022</w:t>
            </w:r>
            <w:r w:rsidDel="00377A73">
              <w:br/>
              <w:t>(0.032)</w:t>
            </w:r>
          </w:p>
        </w:tc>
      </w:tr>
      <w:tr w:rsidR="00EB7785" w:rsidDel="00377A73" w14:paraId="59747280" w14:textId="342FE2B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1D3C2899" w14:textId="0AAA56DD" w:rsidR="00EB7785" w:rsidDel="00377A73" w:rsidRDefault="00EB7785" w:rsidP="007153A0">
            <w:pPr>
              <w:pStyle w:val="TableTextLeft"/>
              <w:ind w:left="221"/>
            </w:pPr>
            <w:r w:rsidDel="00377A73">
              <w:t>Obstetrics and gynecology</w:t>
            </w:r>
          </w:p>
        </w:tc>
        <w:tc>
          <w:tcPr>
            <w:tcW w:w="961" w:type="pct"/>
            <w:tcBorders>
              <w:top w:val="nil"/>
              <w:left w:val="nil"/>
              <w:bottom w:val="nil"/>
              <w:right w:val="nil"/>
            </w:tcBorders>
            <w:tcMar>
              <w:bottom w:w="0" w:type="dxa"/>
            </w:tcMar>
          </w:tcPr>
          <w:p w14:paraId="27EE356C" w14:textId="127B043D" w:rsidR="00EB7785" w:rsidDel="00377A73" w:rsidRDefault="00EB7785" w:rsidP="00E919D1">
            <w:pPr>
              <w:pStyle w:val="TableTextDecimal"/>
              <w:framePr w:wrap="notBeside"/>
            </w:pPr>
            <w:r w:rsidDel="00377A73">
              <w:t>-0.122***</w:t>
            </w:r>
            <w:r w:rsidDel="00377A73">
              <w:br/>
              <w:t>(0.039)</w:t>
            </w:r>
          </w:p>
        </w:tc>
        <w:tc>
          <w:tcPr>
            <w:tcW w:w="962" w:type="pct"/>
            <w:tcBorders>
              <w:top w:val="nil"/>
              <w:left w:val="nil"/>
              <w:bottom w:val="nil"/>
              <w:right w:val="nil"/>
            </w:tcBorders>
            <w:tcMar>
              <w:bottom w:w="0" w:type="dxa"/>
            </w:tcMar>
          </w:tcPr>
          <w:p w14:paraId="788440C7" w14:textId="03D597DE" w:rsidR="00EB7785" w:rsidDel="00377A73" w:rsidRDefault="00EB7785" w:rsidP="00E919D1">
            <w:pPr>
              <w:pStyle w:val="TableTextDecimal"/>
              <w:framePr w:wrap="notBeside"/>
            </w:pPr>
            <w:r w:rsidDel="00377A73">
              <w:t>-0.059*</w:t>
            </w:r>
            <w:r w:rsidDel="00377A73">
              <w:br/>
              <w:t>(0.030)</w:t>
            </w:r>
          </w:p>
        </w:tc>
      </w:tr>
      <w:tr w:rsidR="00EB7785" w:rsidDel="00377A73" w14:paraId="595AE150" w14:textId="10BFDF0A"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3596C91" w14:textId="5C55FA41" w:rsidR="00EB7785" w:rsidDel="00377A73" w:rsidRDefault="00EB7785" w:rsidP="007153A0">
            <w:pPr>
              <w:pStyle w:val="TableTextLeft"/>
              <w:ind w:left="221"/>
            </w:pPr>
            <w:r w:rsidDel="00377A73">
              <w:t>Ophthalmology</w:t>
            </w:r>
          </w:p>
        </w:tc>
        <w:tc>
          <w:tcPr>
            <w:tcW w:w="961" w:type="pct"/>
            <w:tcBorders>
              <w:top w:val="nil"/>
              <w:left w:val="nil"/>
              <w:bottom w:val="nil"/>
              <w:right w:val="nil"/>
            </w:tcBorders>
            <w:tcMar>
              <w:bottom w:w="0" w:type="dxa"/>
            </w:tcMar>
          </w:tcPr>
          <w:p w14:paraId="78A6EF3B" w14:textId="50008893" w:rsidR="00EB7785" w:rsidDel="00377A73" w:rsidRDefault="00EB7785" w:rsidP="00E919D1">
            <w:pPr>
              <w:pStyle w:val="TableTextDecimal"/>
              <w:framePr w:wrap="notBeside"/>
            </w:pPr>
            <w:r w:rsidDel="00377A73">
              <w:t>-0.070***</w:t>
            </w:r>
            <w:r w:rsidDel="00377A73">
              <w:br/>
              <w:t>(0.024)</w:t>
            </w:r>
          </w:p>
        </w:tc>
        <w:tc>
          <w:tcPr>
            <w:tcW w:w="962" w:type="pct"/>
            <w:tcBorders>
              <w:top w:val="nil"/>
              <w:left w:val="nil"/>
              <w:bottom w:val="nil"/>
              <w:right w:val="nil"/>
            </w:tcBorders>
            <w:tcMar>
              <w:bottom w:w="0" w:type="dxa"/>
            </w:tcMar>
          </w:tcPr>
          <w:p w14:paraId="3734B49A" w14:textId="5084C67F" w:rsidR="00EB7785" w:rsidDel="00377A73" w:rsidRDefault="00EB7785" w:rsidP="00E919D1">
            <w:pPr>
              <w:pStyle w:val="TableTextDecimal"/>
              <w:framePr w:wrap="notBeside"/>
            </w:pPr>
            <w:r w:rsidDel="00377A73">
              <w:t>-0.048**</w:t>
            </w:r>
            <w:r w:rsidDel="00377A73">
              <w:br/>
              <w:t>(0.019)</w:t>
            </w:r>
          </w:p>
        </w:tc>
      </w:tr>
      <w:tr w:rsidR="00EB7785" w:rsidDel="00377A73" w14:paraId="1AD0FF4A" w14:textId="6129287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E8293E8" w14:textId="3BC98E30" w:rsidR="00EB7785" w:rsidDel="00377A73" w:rsidRDefault="00EB7785" w:rsidP="007153A0">
            <w:pPr>
              <w:pStyle w:val="TableTextLeft"/>
              <w:ind w:left="221"/>
            </w:pPr>
            <w:r w:rsidDel="00377A73">
              <w:t>Optometry</w:t>
            </w:r>
          </w:p>
        </w:tc>
        <w:tc>
          <w:tcPr>
            <w:tcW w:w="961" w:type="pct"/>
            <w:tcBorders>
              <w:top w:val="nil"/>
              <w:left w:val="nil"/>
              <w:bottom w:val="nil"/>
              <w:right w:val="nil"/>
            </w:tcBorders>
            <w:tcMar>
              <w:bottom w:w="0" w:type="dxa"/>
            </w:tcMar>
          </w:tcPr>
          <w:p w14:paraId="4270D697" w14:textId="1A23C8F8" w:rsidR="00EB7785" w:rsidDel="00377A73" w:rsidRDefault="00EB7785" w:rsidP="00E919D1">
            <w:pPr>
              <w:pStyle w:val="TableTextDecimal"/>
              <w:framePr w:wrap="notBeside"/>
            </w:pPr>
            <w:r w:rsidDel="00377A73">
              <w:t>-0.178***</w:t>
            </w:r>
            <w:r w:rsidDel="00377A73">
              <w:br/>
              <w:t>(0.036)</w:t>
            </w:r>
          </w:p>
        </w:tc>
        <w:tc>
          <w:tcPr>
            <w:tcW w:w="962" w:type="pct"/>
            <w:tcBorders>
              <w:top w:val="nil"/>
              <w:left w:val="nil"/>
              <w:bottom w:val="nil"/>
              <w:right w:val="nil"/>
            </w:tcBorders>
            <w:tcMar>
              <w:bottom w:w="0" w:type="dxa"/>
            </w:tcMar>
          </w:tcPr>
          <w:p w14:paraId="7DE5383E" w14:textId="0FB656B5" w:rsidR="00EB7785" w:rsidDel="00377A73" w:rsidRDefault="00EB7785" w:rsidP="00E919D1">
            <w:pPr>
              <w:pStyle w:val="TableTextDecimal"/>
              <w:framePr w:wrap="notBeside"/>
            </w:pPr>
            <w:r w:rsidDel="00377A73">
              <w:t>-0.074***</w:t>
            </w:r>
            <w:r w:rsidDel="00377A73">
              <w:br/>
              <w:t>(0.028)</w:t>
            </w:r>
          </w:p>
        </w:tc>
      </w:tr>
      <w:tr w:rsidR="00EB7785" w:rsidDel="00377A73" w14:paraId="02DEB479" w14:textId="6BEBB0DB"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EDE85DC" w14:textId="7C14DD4D" w:rsidR="00EB7785" w:rsidDel="00377A73" w:rsidRDefault="00EB7785" w:rsidP="007153A0">
            <w:pPr>
              <w:pStyle w:val="TableTextLeft"/>
              <w:ind w:left="221"/>
            </w:pPr>
            <w:r w:rsidDel="00377A73">
              <w:t>Podiatry</w:t>
            </w:r>
          </w:p>
        </w:tc>
        <w:tc>
          <w:tcPr>
            <w:tcW w:w="961" w:type="pct"/>
            <w:tcBorders>
              <w:top w:val="nil"/>
              <w:left w:val="nil"/>
              <w:bottom w:val="nil"/>
              <w:right w:val="nil"/>
            </w:tcBorders>
            <w:tcMar>
              <w:bottom w:w="0" w:type="dxa"/>
            </w:tcMar>
          </w:tcPr>
          <w:p w14:paraId="19C229CF" w14:textId="4C6F0055" w:rsidR="00EB7785" w:rsidDel="00377A73" w:rsidRDefault="00EB7785" w:rsidP="00E919D1">
            <w:pPr>
              <w:pStyle w:val="TableTextDecimal"/>
              <w:framePr w:wrap="notBeside"/>
            </w:pPr>
            <w:r w:rsidDel="00377A73">
              <w:t>-0.153***</w:t>
            </w:r>
            <w:r w:rsidDel="00377A73">
              <w:br/>
              <w:t>(0.039)</w:t>
            </w:r>
          </w:p>
        </w:tc>
        <w:tc>
          <w:tcPr>
            <w:tcW w:w="962" w:type="pct"/>
            <w:tcBorders>
              <w:top w:val="nil"/>
              <w:left w:val="nil"/>
              <w:bottom w:val="nil"/>
              <w:right w:val="nil"/>
            </w:tcBorders>
            <w:tcMar>
              <w:bottom w:w="0" w:type="dxa"/>
            </w:tcMar>
          </w:tcPr>
          <w:p w14:paraId="48CA985B" w14:textId="3654BD37" w:rsidR="00EB7785" w:rsidDel="00377A73" w:rsidRDefault="00EB7785" w:rsidP="00E919D1">
            <w:pPr>
              <w:pStyle w:val="TableTextDecimal"/>
              <w:framePr w:wrap="notBeside"/>
            </w:pPr>
            <w:r w:rsidDel="00377A73">
              <w:t>-0.061**</w:t>
            </w:r>
            <w:r w:rsidDel="00377A73">
              <w:br/>
              <w:t>(0.030)</w:t>
            </w:r>
          </w:p>
        </w:tc>
      </w:tr>
      <w:tr w:rsidR="00EB7785" w:rsidDel="00377A73" w14:paraId="51CF91FE" w14:textId="64CBC5B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4BE3995" w14:textId="27063463" w:rsidR="00EB7785" w:rsidDel="00377A73" w:rsidRDefault="00EB7785" w:rsidP="007153A0">
            <w:pPr>
              <w:pStyle w:val="TableTextLeft"/>
              <w:ind w:left="221"/>
            </w:pPr>
            <w:r w:rsidDel="00377A73">
              <w:t>Other non-primary care specialties</w:t>
            </w:r>
          </w:p>
        </w:tc>
        <w:tc>
          <w:tcPr>
            <w:tcW w:w="961" w:type="pct"/>
            <w:tcBorders>
              <w:top w:val="nil"/>
              <w:left w:val="nil"/>
              <w:bottom w:val="nil"/>
              <w:right w:val="nil"/>
            </w:tcBorders>
            <w:tcMar>
              <w:bottom w:w="0" w:type="dxa"/>
            </w:tcMar>
          </w:tcPr>
          <w:p w14:paraId="00B3E8BE" w14:textId="0F2A548E" w:rsidR="00EB7785" w:rsidDel="00377A73" w:rsidRDefault="00EB7785" w:rsidP="00E919D1">
            <w:pPr>
              <w:pStyle w:val="TableTextDecimal"/>
              <w:framePr w:wrap="notBeside"/>
            </w:pPr>
            <w:r w:rsidDel="00377A73">
              <w:t>-0.090***</w:t>
            </w:r>
            <w:r w:rsidDel="00377A73">
              <w:br/>
              <w:t>(0.032)</w:t>
            </w:r>
          </w:p>
        </w:tc>
        <w:tc>
          <w:tcPr>
            <w:tcW w:w="962" w:type="pct"/>
            <w:tcBorders>
              <w:top w:val="nil"/>
              <w:left w:val="nil"/>
              <w:bottom w:val="nil"/>
              <w:right w:val="nil"/>
            </w:tcBorders>
            <w:tcMar>
              <w:bottom w:w="0" w:type="dxa"/>
            </w:tcMar>
          </w:tcPr>
          <w:p w14:paraId="10F482D0" w14:textId="54232EEB" w:rsidR="00EB7785" w:rsidDel="00377A73" w:rsidRDefault="00EB7785" w:rsidP="00E919D1">
            <w:pPr>
              <w:pStyle w:val="TableTextDecimal"/>
              <w:framePr w:wrap="notBeside"/>
            </w:pPr>
            <w:r w:rsidDel="00377A73">
              <w:t>-0.029</w:t>
            </w:r>
            <w:r w:rsidDel="00377A73">
              <w:br/>
              <w:t>(0.025)</w:t>
            </w:r>
          </w:p>
        </w:tc>
      </w:tr>
      <w:tr w:rsidR="00EB7785" w:rsidDel="00377A73" w14:paraId="199A8677" w14:textId="374F19B5"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232094FB" w14:textId="0F5AF6AC" w:rsidR="00EB7785" w:rsidDel="00377A73" w:rsidRDefault="00EB7785" w:rsidP="000D775D">
            <w:pPr>
              <w:pStyle w:val="TableTextLeft"/>
            </w:pPr>
            <w:r w:rsidDel="00377A73">
              <w:t xml:space="preserve">Proportion of clinicians </w:t>
            </w:r>
            <w:r w:rsidR="000C1505">
              <w:t xml:space="preserve">participating </w:t>
            </w:r>
            <w:r w:rsidDel="00377A73">
              <w:t>in medical home</w:t>
            </w:r>
            <w:r w:rsidR="000C1505">
              <w:t xml:space="preserve"> program</w:t>
            </w:r>
            <w:r w:rsidDel="00377A73">
              <w:t xml:space="preserve">s in year before </w:t>
            </w:r>
            <w:proofErr w:type="spellStart"/>
            <w:r w:rsidDel="00377A73">
              <w:t>TCPi</w:t>
            </w:r>
            <w:proofErr w:type="spellEnd"/>
            <w:r w:rsidDel="00377A73">
              <w:t xml:space="preserve"> enrollment</w:t>
            </w:r>
          </w:p>
        </w:tc>
        <w:tc>
          <w:tcPr>
            <w:tcW w:w="961" w:type="pct"/>
            <w:tcBorders>
              <w:top w:val="nil"/>
              <w:left w:val="nil"/>
              <w:bottom w:val="nil"/>
              <w:right w:val="nil"/>
            </w:tcBorders>
            <w:tcMar>
              <w:bottom w:w="0" w:type="dxa"/>
            </w:tcMar>
          </w:tcPr>
          <w:p w14:paraId="340018EE" w14:textId="79560BAC"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02C941B3" w14:textId="750AB859" w:rsidR="00EB7785" w:rsidDel="00377A73" w:rsidRDefault="00EB7785" w:rsidP="00E919D1">
            <w:pPr>
              <w:pStyle w:val="TableTextDecimal"/>
              <w:framePr w:wrap="notBeside"/>
            </w:pPr>
          </w:p>
        </w:tc>
      </w:tr>
      <w:tr w:rsidR="00EB7785" w:rsidDel="00377A73" w14:paraId="38D8CB78" w14:textId="20E9C1B7"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582536B4" w14:textId="5D1E1DB5" w:rsidR="00EB7785" w:rsidDel="00377A73" w:rsidRDefault="00EB7785" w:rsidP="00061E9D">
            <w:pPr>
              <w:pStyle w:val="TableTextLeft"/>
              <w:ind w:left="221"/>
            </w:pPr>
            <w:r w:rsidDel="00377A73">
              <w:t>All</w:t>
            </w:r>
          </w:p>
        </w:tc>
        <w:tc>
          <w:tcPr>
            <w:tcW w:w="961" w:type="pct"/>
            <w:tcBorders>
              <w:top w:val="nil"/>
              <w:left w:val="nil"/>
              <w:bottom w:val="nil"/>
              <w:right w:val="nil"/>
            </w:tcBorders>
            <w:tcMar>
              <w:bottom w:w="0" w:type="dxa"/>
            </w:tcMar>
          </w:tcPr>
          <w:p w14:paraId="26B08F6D" w14:textId="0988D538" w:rsidR="00EB7785" w:rsidDel="00377A73" w:rsidRDefault="00EB7785" w:rsidP="00E919D1">
            <w:pPr>
              <w:pStyle w:val="TableTextDecimal"/>
              <w:framePr w:wrap="notBeside"/>
            </w:pPr>
            <w:r w:rsidDel="00377A73">
              <w:t>0.035**</w:t>
            </w:r>
            <w:r w:rsidDel="00377A73">
              <w:br/>
              <w:t>(0.016)</w:t>
            </w:r>
          </w:p>
        </w:tc>
        <w:tc>
          <w:tcPr>
            <w:tcW w:w="962" w:type="pct"/>
            <w:tcBorders>
              <w:top w:val="nil"/>
              <w:left w:val="nil"/>
              <w:bottom w:val="nil"/>
              <w:right w:val="nil"/>
            </w:tcBorders>
            <w:tcMar>
              <w:bottom w:w="0" w:type="dxa"/>
            </w:tcMar>
          </w:tcPr>
          <w:p w14:paraId="5E7B21FC" w14:textId="005A3D2E" w:rsidR="00EB7785" w:rsidDel="00377A73" w:rsidRDefault="00EB7785" w:rsidP="00E919D1">
            <w:pPr>
              <w:pStyle w:val="TableTextDecimal"/>
              <w:framePr w:wrap="notBeside"/>
            </w:pPr>
            <w:r w:rsidDel="00377A73">
              <w:t>0.014</w:t>
            </w:r>
            <w:r w:rsidDel="00377A73">
              <w:br/>
              <w:t>(0.012)</w:t>
            </w:r>
          </w:p>
        </w:tc>
      </w:tr>
      <w:tr w:rsidR="00EB7785" w:rsidDel="00377A73" w14:paraId="6D92ECF1" w14:textId="51DABED7"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70028692" w14:textId="57BA9F2E" w:rsidR="00EB7785" w:rsidDel="00377A73" w:rsidRDefault="00EB7785" w:rsidP="00061E9D">
            <w:pPr>
              <w:pStyle w:val="TableTextLeft"/>
              <w:ind w:left="221"/>
            </w:pPr>
            <w:r w:rsidDel="00377A73">
              <w:t>Some but not all</w:t>
            </w:r>
          </w:p>
        </w:tc>
        <w:tc>
          <w:tcPr>
            <w:tcW w:w="961" w:type="pct"/>
            <w:tcBorders>
              <w:top w:val="nil"/>
              <w:left w:val="nil"/>
              <w:bottom w:val="nil"/>
              <w:right w:val="nil"/>
            </w:tcBorders>
            <w:tcMar>
              <w:bottom w:w="0" w:type="dxa"/>
            </w:tcMar>
          </w:tcPr>
          <w:p w14:paraId="2BF16FEC" w14:textId="2D1AA57A" w:rsidR="00EB7785" w:rsidDel="00377A73" w:rsidRDefault="00EB7785" w:rsidP="00E919D1">
            <w:pPr>
              <w:pStyle w:val="TableTextDecimal"/>
              <w:framePr w:wrap="notBeside"/>
            </w:pPr>
            <w:r w:rsidDel="00377A73">
              <w:t>0.119***</w:t>
            </w:r>
            <w:r w:rsidDel="00377A73">
              <w:br/>
              <w:t>(0.020)</w:t>
            </w:r>
          </w:p>
        </w:tc>
        <w:tc>
          <w:tcPr>
            <w:tcW w:w="962" w:type="pct"/>
            <w:tcBorders>
              <w:top w:val="nil"/>
              <w:left w:val="nil"/>
              <w:bottom w:val="nil"/>
              <w:right w:val="nil"/>
            </w:tcBorders>
            <w:tcMar>
              <w:bottom w:w="0" w:type="dxa"/>
            </w:tcMar>
          </w:tcPr>
          <w:p w14:paraId="685F8554" w14:textId="43C0ADDD" w:rsidR="00EB7785" w:rsidDel="00377A73" w:rsidRDefault="00EB7785" w:rsidP="00E919D1">
            <w:pPr>
              <w:pStyle w:val="TableTextDecimal"/>
              <w:framePr w:wrap="notBeside"/>
            </w:pPr>
            <w:r w:rsidDel="00377A73">
              <w:t>0.111***</w:t>
            </w:r>
            <w:r w:rsidDel="00377A73">
              <w:br/>
              <w:t>(0.016)</w:t>
            </w:r>
          </w:p>
        </w:tc>
      </w:tr>
      <w:tr w:rsidR="00EB7785" w:rsidDel="00377A73" w14:paraId="3A594041" w14:textId="3C7B63CB"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898DA47" w14:textId="32CA71AE" w:rsidR="00EB7785" w:rsidDel="00377A73" w:rsidRDefault="00EB7785" w:rsidP="00061E9D">
            <w:pPr>
              <w:pStyle w:val="TableTextLeft"/>
              <w:ind w:left="221"/>
            </w:pPr>
            <w:r w:rsidDel="00377A73">
              <w:t>None</w:t>
            </w:r>
          </w:p>
        </w:tc>
        <w:tc>
          <w:tcPr>
            <w:tcW w:w="961" w:type="pct"/>
            <w:tcBorders>
              <w:top w:val="nil"/>
              <w:left w:val="nil"/>
              <w:bottom w:val="nil"/>
              <w:right w:val="nil"/>
            </w:tcBorders>
            <w:tcMar>
              <w:bottom w:w="0" w:type="dxa"/>
            </w:tcMar>
          </w:tcPr>
          <w:p w14:paraId="5AFAB207" w14:textId="60CFA3C9"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5E8CA762" w14:textId="49F44EAF" w:rsidR="00EB7785" w:rsidDel="00377A73" w:rsidRDefault="00EB7785" w:rsidP="00E919D1">
            <w:pPr>
              <w:pStyle w:val="TableTextCentered"/>
            </w:pPr>
            <w:r w:rsidDel="00377A73">
              <w:t>(reference)</w:t>
            </w:r>
          </w:p>
        </w:tc>
      </w:tr>
      <w:tr w:rsidR="00EB7785" w:rsidDel="00377A73" w14:paraId="62D2A2D6" w14:textId="713C2D40"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D02CBC4" w14:textId="51F39B76" w:rsidR="00EB7785" w:rsidDel="00377A73" w:rsidRDefault="00EB7785" w:rsidP="000D775D">
            <w:pPr>
              <w:pStyle w:val="TableTextLeft"/>
            </w:pPr>
            <w:r w:rsidDel="00377A73">
              <w:t xml:space="preserve">At least one clinician received meaningful use payment for EHRs before </w:t>
            </w:r>
            <w:proofErr w:type="spellStart"/>
            <w:r w:rsidDel="00377A73">
              <w:t>TCPi</w:t>
            </w:r>
            <w:proofErr w:type="spellEnd"/>
            <w:r w:rsidDel="00377A73">
              <w:t xml:space="preserve"> enrollment</w:t>
            </w:r>
          </w:p>
        </w:tc>
        <w:tc>
          <w:tcPr>
            <w:tcW w:w="961" w:type="pct"/>
            <w:tcBorders>
              <w:top w:val="nil"/>
              <w:left w:val="nil"/>
              <w:bottom w:val="nil"/>
              <w:right w:val="nil"/>
            </w:tcBorders>
            <w:tcMar>
              <w:bottom w:w="0" w:type="dxa"/>
            </w:tcMar>
          </w:tcPr>
          <w:p w14:paraId="3F4FE2FD" w14:textId="571CCA27" w:rsidR="00EB7785" w:rsidDel="00377A73" w:rsidRDefault="00EB7785" w:rsidP="00E919D1">
            <w:pPr>
              <w:pStyle w:val="TableTextDecimal"/>
              <w:framePr w:wrap="notBeside"/>
            </w:pPr>
            <w:r w:rsidDel="00377A73">
              <w:t>0.033***</w:t>
            </w:r>
            <w:r w:rsidDel="00377A73">
              <w:br/>
              <w:t>(0.006)</w:t>
            </w:r>
          </w:p>
        </w:tc>
        <w:tc>
          <w:tcPr>
            <w:tcW w:w="962" w:type="pct"/>
            <w:tcBorders>
              <w:top w:val="nil"/>
              <w:left w:val="nil"/>
              <w:bottom w:val="nil"/>
              <w:right w:val="nil"/>
            </w:tcBorders>
            <w:tcMar>
              <w:bottom w:w="0" w:type="dxa"/>
            </w:tcMar>
          </w:tcPr>
          <w:p w14:paraId="76C3D401" w14:textId="16FFDFDF" w:rsidR="00EB7785" w:rsidDel="00377A73" w:rsidRDefault="00EB7785" w:rsidP="00E919D1">
            <w:pPr>
              <w:pStyle w:val="TableTextDecimal"/>
              <w:framePr w:wrap="notBeside"/>
            </w:pPr>
            <w:r w:rsidDel="00377A73">
              <w:t>0.020***</w:t>
            </w:r>
            <w:r w:rsidDel="00377A73">
              <w:br/>
              <w:t>(0.005)</w:t>
            </w:r>
          </w:p>
        </w:tc>
      </w:tr>
      <w:tr w:rsidR="00EB7785" w:rsidDel="00377A73" w14:paraId="0B79CE28" w14:textId="5310F6E2"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45BDD5FE" w14:textId="025A9AC0" w:rsidR="00EB7785" w:rsidDel="00377A73" w:rsidRDefault="00EB7785" w:rsidP="000D775D">
            <w:pPr>
              <w:pStyle w:val="TableTextLeft"/>
            </w:pPr>
            <w:r w:rsidDel="00377A73">
              <w:t>Proportion of county below poverty line (%, 2015)</w:t>
            </w:r>
          </w:p>
        </w:tc>
        <w:tc>
          <w:tcPr>
            <w:tcW w:w="961" w:type="pct"/>
            <w:tcBorders>
              <w:top w:val="nil"/>
              <w:left w:val="nil"/>
              <w:bottom w:val="nil"/>
              <w:right w:val="nil"/>
            </w:tcBorders>
            <w:tcMar>
              <w:bottom w:w="0" w:type="dxa"/>
            </w:tcMar>
          </w:tcPr>
          <w:p w14:paraId="1EC73A7B" w14:textId="44981A3E" w:rsidR="00EB7785" w:rsidDel="00377A73" w:rsidRDefault="00EB7785" w:rsidP="00E919D1">
            <w:pPr>
              <w:pStyle w:val="TableTextDecimal"/>
              <w:framePr w:wrap="notBeside"/>
            </w:pPr>
            <w:r w:rsidDel="00377A73">
              <w:t>0.258***</w:t>
            </w:r>
            <w:r w:rsidDel="00377A73">
              <w:br/>
              <w:t>(0.089)</w:t>
            </w:r>
          </w:p>
        </w:tc>
        <w:tc>
          <w:tcPr>
            <w:tcW w:w="962" w:type="pct"/>
            <w:tcBorders>
              <w:top w:val="nil"/>
              <w:left w:val="nil"/>
              <w:bottom w:val="nil"/>
              <w:right w:val="nil"/>
            </w:tcBorders>
            <w:tcMar>
              <w:bottom w:w="0" w:type="dxa"/>
            </w:tcMar>
          </w:tcPr>
          <w:p w14:paraId="5C1B45EA" w14:textId="4A2A47CA" w:rsidR="00EB7785" w:rsidDel="00377A73" w:rsidRDefault="00EB7785" w:rsidP="00E919D1">
            <w:pPr>
              <w:pStyle w:val="TableTextDecimal"/>
              <w:framePr w:wrap="notBeside"/>
            </w:pPr>
            <w:r w:rsidDel="00377A73">
              <w:t>-0.012</w:t>
            </w:r>
            <w:r w:rsidDel="00377A73">
              <w:br/>
              <w:t>(0.069)</w:t>
            </w:r>
          </w:p>
        </w:tc>
      </w:tr>
      <w:tr w:rsidR="00EB7785" w:rsidDel="00377A73" w14:paraId="7047328B" w14:textId="5B72DE1B"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AE68875" w14:textId="350B7027" w:rsidR="00EB7785" w:rsidDel="00377A73" w:rsidRDefault="00EB7785" w:rsidP="000D775D">
            <w:pPr>
              <w:pStyle w:val="TableTextLeft"/>
            </w:pPr>
            <w:r w:rsidDel="00377A73">
              <w:t xml:space="preserve">Medicare Advantage penetration (%, year before </w:t>
            </w:r>
            <w:proofErr w:type="spellStart"/>
            <w:r w:rsidDel="00377A73">
              <w:t>TCPi</w:t>
            </w:r>
            <w:proofErr w:type="spellEnd"/>
            <w:r w:rsidDel="00377A73">
              <w:t xml:space="preserve"> enrollment)</w:t>
            </w:r>
          </w:p>
        </w:tc>
        <w:tc>
          <w:tcPr>
            <w:tcW w:w="961" w:type="pct"/>
            <w:tcBorders>
              <w:top w:val="nil"/>
              <w:left w:val="nil"/>
              <w:bottom w:val="nil"/>
              <w:right w:val="nil"/>
            </w:tcBorders>
            <w:tcMar>
              <w:bottom w:w="0" w:type="dxa"/>
            </w:tcMar>
          </w:tcPr>
          <w:p w14:paraId="590DC59F" w14:textId="2746D2F7" w:rsidR="00EB7785" w:rsidDel="00377A73" w:rsidRDefault="00EB7785" w:rsidP="00E919D1">
            <w:pPr>
              <w:pStyle w:val="TableTextDecimal"/>
              <w:framePr w:wrap="notBeside"/>
            </w:pPr>
            <w:r w:rsidDel="00377A73">
              <w:t>-0.062***</w:t>
            </w:r>
            <w:r w:rsidDel="00377A73">
              <w:br/>
              <w:t>(0.023)</w:t>
            </w:r>
          </w:p>
        </w:tc>
        <w:tc>
          <w:tcPr>
            <w:tcW w:w="962" w:type="pct"/>
            <w:tcBorders>
              <w:top w:val="nil"/>
              <w:left w:val="nil"/>
              <w:bottom w:val="nil"/>
              <w:right w:val="nil"/>
            </w:tcBorders>
            <w:tcMar>
              <w:bottom w:w="0" w:type="dxa"/>
            </w:tcMar>
          </w:tcPr>
          <w:p w14:paraId="00634BCB" w14:textId="2D742316" w:rsidR="00EB7785" w:rsidDel="00377A73" w:rsidRDefault="00EB7785" w:rsidP="00E919D1">
            <w:pPr>
              <w:pStyle w:val="TableTextDecimal"/>
              <w:framePr w:wrap="notBeside"/>
            </w:pPr>
            <w:r w:rsidDel="00377A73">
              <w:t>0.032*</w:t>
            </w:r>
            <w:r w:rsidDel="00377A73">
              <w:br/>
              <w:t>(0.018)</w:t>
            </w:r>
          </w:p>
        </w:tc>
      </w:tr>
      <w:tr w:rsidR="00EB7785" w:rsidDel="00377A73" w14:paraId="0501DC52" w14:textId="5D6F439B"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766AF6C1" w14:textId="2EA53941" w:rsidR="00EB7785" w:rsidDel="00377A73" w:rsidRDefault="00EB7785" w:rsidP="000D775D">
            <w:pPr>
              <w:pStyle w:val="TableTextLeft"/>
            </w:pPr>
            <w:r w:rsidDel="00377A73">
              <w:t xml:space="preserve">Health professional shortage area (%, year before </w:t>
            </w:r>
            <w:proofErr w:type="spellStart"/>
            <w:r w:rsidDel="00377A73">
              <w:t>TCPi</w:t>
            </w:r>
            <w:proofErr w:type="spellEnd"/>
            <w:r w:rsidDel="00377A73">
              <w:t xml:space="preserve"> enrollment)</w:t>
            </w:r>
          </w:p>
        </w:tc>
        <w:tc>
          <w:tcPr>
            <w:tcW w:w="961" w:type="pct"/>
            <w:tcBorders>
              <w:top w:val="nil"/>
              <w:left w:val="nil"/>
              <w:bottom w:val="nil"/>
              <w:right w:val="nil"/>
            </w:tcBorders>
            <w:tcMar>
              <w:bottom w:w="0" w:type="dxa"/>
            </w:tcMar>
          </w:tcPr>
          <w:p w14:paraId="0089387D" w14:textId="13924736"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2B48B5F4" w14:textId="6DC298DD" w:rsidR="00EB7785" w:rsidDel="00377A73" w:rsidRDefault="00EB7785" w:rsidP="00E919D1">
            <w:pPr>
              <w:pStyle w:val="TableTextDecimal"/>
              <w:framePr w:wrap="notBeside"/>
            </w:pPr>
          </w:p>
        </w:tc>
      </w:tr>
      <w:tr w:rsidR="00EB7785" w:rsidDel="00377A73" w14:paraId="4E43008C" w14:textId="3AEC4010"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336DE45C" w14:textId="500F6171" w:rsidR="00EB7785" w:rsidDel="00377A73" w:rsidRDefault="00EB7785" w:rsidP="00061E9D">
            <w:pPr>
              <w:pStyle w:val="TableTextLeft"/>
              <w:ind w:left="221"/>
            </w:pPr>
            <w:r w:rsidDel="00377A73">
              <w:t>Primary care, whole county</w:t>
            </w:r>
          </w:p>
        </w:tc>
        <w:tc>
          <w:tcPr>
            <w:tcW w:w="961" w:type="pct"/>
            <w:tcBorders>
              <w:top w:val="nil"/>
              <w:left w:val="nil"/>
              <w:bottom w:val="nil"/>
              <w:right w:val="nil"/>
            </w:tcBorders>
            <w:tcMar>
              <w:bottom w:w="0" w:type="dxa"/>
            </w:tcMar>
          </w:tcPr>
          <w:p w14:paraId="19DE5FD9" w14:textId="771E84F6" w:rsidR="00EB7785" w:rsidDel="00377A73" w:rsidRDefault="00EB7785" w:rsidP="00E919D1">
            <w:pPr>
              <w:pStyle w:val="TableTextDecimal"/>
              <w:framePr w:wrap="notBeside"/>
            </w:pPr>
            <w:r w:rsidDel="00377A73">
              <w:t>-0.059***</w:t>
            </w:r>
            <w:r w:rsidDel="00377A73">
              <w:br/>
              <w:t>(0.021)</w:t>
            </w:r>
          </w:p>
        </w:tc>
        <w:tc>
          <w:tcPr>
            <w:tcW w:w="962" w:type="pct"/>
            <w:tcBorders>
              <w:top w:val="nil"/>
              <w:left w:val="nil"/>
              <w:bottom w:val="nil"/>
              <w:right w:val="nil"/>
            </w:tcBorders>
            <w:tcMar>
              <w:bottom w:w="0" w:type="dxa"/>
            </w:tcMar>
          </w:tcPr>
          <w:p w14:paraId="030FCF6E" w14:textId="6CE22682" w:rsidR="00EB7785" w:rsidDel="00377A73" w:rsidRDefault="00EB7785" w:rsidP="00E919D1">
            <w:pPr>
              <w:pStyle w:val="TableTextDecimal"/>
              <w:framePr w:wrap="notBeside"/>
            </w:pPr>
            <w:r w:rsidDel="00377A73">
              <w:t>-0.026</w:t>
            </w:r>
            <w:r w:rsidDel="00377A73">
              <w:br/>
              <w:t>(0.016)</w:t>
            </w:r>
          </w:p>
        </w:tc>
      </w:tr>
      <w:tr w:rsidR="00EB7785" w:rsidDel="00377A73" w14:paraId="4B41BBB3" w14:textId="3E7D3680"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7B78D196" w14:textId="224675A7" w:rsidR="00EB7785" w:rsidDel="00377A73" w:rsidRDefault="00EB7785" w:rsidP="00061E9D">
            <w:pPr>
              <w:pStyle w:val="TableTextLeft"/>
              <w:ind w:left="221"/>
            </w:pPr>
            <w:r w:rsidDel="00377A73">
              <w:t>Primary care, partial county</w:t>
            </w:r>
          </w:p>
        </w:tc>
        <w:tc>
          <w:tcPr>
            <w:tcW w:w="961" w:type="pct"/>
            <w:tcBorders>
              <w:top w:val="nil"/>
              <w:left w:val="nil"/>
              <w:bottom w:val="nil"/>
              <w:right w:val="nil"/>
            </w:tcBorders>
            <w:tcMar>
              <w:bottom w:w="0" w:type="dxa"/>
            </w:tcMar>
          </w:tcPr>
          <w:p w14:paraId="650D5E07" w14:textId="4B96FAC8" w:rsidR="00EB7785" w:rsidDel="00377A73" w:rsidRDefault="00EB7785" w:rsidP="00E919D1">
            <w:pPr>
              <w:pStyle w:val="TableTextDecimal"/>
              <w:framePr w:wrap="notBeside"/>
            </w:pPr>
            <w:r w:rsidDel="00377A73">
              <w:t>-0.013</w:t>
            </w:r>
            <w:r w:rsidDel="00377A73">
              <w:br/>
              <w:t>(0.013)</w:t>
            </w:r>
          </w:p>
        </w:tc>
        <w:tc>
          <w:tcPr>
            <w:tcW w:w="962" w:type="pct"/>
            <w:tcBorders>
              <w:top w:val="nil"/>
              <w:left w:val="nil"/>
              <w:bottom w:val="nil"/>
              <w:right w:val="nil"/>
            </w:tcBorders>
            <w:tcMar>
              <w:bottom w:w="0" w:type="dxa"/>
            </w:tcMar>
          </w:tcPr>
          <w:p w14:paraId="4CDD1A2B" w14:textId="2E60467F" w:rsidR="00EB7785" w:rsidDel="00377A73" w:rsidRDefault="00EB7785" w:rsidP="00E919D1">
            <w:pPr>
              <w:pStyle w:val="TableTextDecimal"/>
              <w:framePr w:wrap="notBeside"/>
            </w:pPr>
            <w:r w:rsidDel="00377A73">
              <w:t>0.003</w:t>
            </w:r>
            <w:r w:rsidDel="00377A73">
              <w:br/>
              <w:t>(0.01)</w:t>
            </w:r>
          </w:p>
        </w:tc>
      </w:tr>
      <w:tr w:rsidR="00EB7785" w:rsidDel="00377A73" w14:paraId="3528C4CC" w14:textId="2361FBA4"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33CAAED3" w14:textId="02454757" w:rsidR="00EB7785" w:rsidDel="00377A73" w:rsidRDefault="00EB7785" w:rsidP="00061E9D">
            <w:pPr>
              <w:pStyle w:val="TableTextLeft"/>
              <w:ind w:left="221"/>
            </w:pPr>
            <w:r w:rsidDel="00377A73">
              <w:t>Mental health, whole county</w:t>
            </w:r>
          </w:p>
        </w:tc>
        <w:tc>
          <w:tcPr>
            <w:tcW w:w="961" w:type="pct"/>
            <w:tcBorders>
              <w:top w:val="nil"/>
              <w:left w:val="nil"/>
              <w:bottom w:val="nil"/>
              <w:right w:val="nil"/>
            </w:tcBorders>
            <w:tcMar>
              <w:bottom w:w="0" w:type="dxa"/>
            </w:tcMar>
          </w:tcPr>
          <w:p w14:paraId="01A1A49B" w14:textId="2E722658" w:rsidR="00EB7785" w:rsidDel="00377A73" w:rsidRDefault="00EB7785" w:rsidP="00E919D1">
            <w:pPr>
              <w:pStyle w:val="TableTextDecimal"/>
              <w:framePr w:wrap="notBeside"/>
            </w:pPr>
            <w:r w:rsidDel="00377A73">
              <w:t>0.006</w:t>
            </w:r>
            <w:r w:rsidDel="00377A73">
              <w:br/>
              <w:t>(0.014)</w:t>
            </w:r>
          </w:p>
        </w:tc>
        <w:tc>
          <w:tcPr>
            <w:tcW w:w="962" w:type="pct"/>
            <w:tcBorders>
              <w:top w:val="nil"/>
              <w:left w:val="nil"/>
              <w:bottom w:val="nil"/>
              <w:right w:val="nil"/>
            </w:tcBorders>
            <w:tcMar>
              <w:bottom w:w="0" w:type="dxa"/>
            </w:tcMar>
          </w:tcPr>
          <w:p w14:paraId="31347A84" w14:textId="3A85357E" w:rsidR="00EB7785" w:rsidDel="00377A73" w:rsidRDefault="00EB7785" w:rsidP="00E919D1">
            <w:pPr>
              <w:pStyle w:val="TableTextDecimal"/>
              <w:framePr w:wrap="notBeside"/>
            </w:pPr>
            <w:r w:rsidDel="00377A73">
              <w:t>-0.011</w:t>
            </w:r>
            <w:r w:rsidDel="00377A73">
              <w:br/>
              <w:t>(0.011)</w:t>
            </w:r>
          </w:p>
        </w:tc>
      </w:tr>
      <w:tr w:rsidR="00EB7785" w:rsidDel="00377A73" w14:paraId="10255092" w14:textId="0884EA5A"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7812A4F7" w14:textId="65D36C90" w:rsidR="00EB7785" w:rsidDel="00377A73" w:rsidRDefault="00EB7785" w:rsidP="00061E9D">
            <w:pPr>
              <w:pStyle w:val="TableTextLeft"/>
              <w:ind w:left="221"/>
            </w:pPr>
            <w:r w:rsidDel="00377A73">
              <w:t>Mental health, partial county</w:t>
            </w:r>
          </w:p>
        </w:tc>
        <w:tc>
          <w:tcPr>
            <w:tcW w:w="961" w:type="pct"/>
            <w:tcBorders>
              <w:top w:val="nil"/>
              <w:left w:val="nil"/>
              <w:bottom w:val="nil"/>
              <w:right w:val="nil"/>
            </w:tcBorders>
            <w:tcMar>
              <w:bottom w:w="0" w:type="dxa"/>
            </w:tcMar>
          </w:tcPr>
          <w:p w14:paraId="7E4F9648" w14:textId="33EBD18B" w:rsidR="00EB7785" w:rsidDel="00377A73" w:rsidRDefault="00EB7785" w:rsidP="00E919D1">
            <w:pPr>
              <w:pStyle w:val="TableTextDecimal"/>
              <w:framePr w:wrap="notBeside"/>
            </w:pPr>
            <w:r w:rsidDel="00377A73">
              <w:t>0.024*</w:t>
            </w:r>
            <w:r w:rsidDel="00377A73">
              <w:br/>
              <w:t>(0.014)</w:t>
            </w:r>
          </w:p>
        </w:tc>
        <w:tc>
          <w:tcPr>
            <w:tcW w:w="962" w:type="pct"/>
            <w:tcBorders>
              <w:top w:val="nil"/>
              <w:left w:val="nil"/>
              <w:bottom w:val="nil"/>
              <w:right w:val="nil"/>
            </w:tcBorders>
            <w:tcMar>
              <w:bottom w:w="0" w:type="dxa"/>
            </w:tcMar>
          </w:tcPr>
          <w:p w14:paraId="4E45406A" w14:textId="3F3FAAB6" w:rsidR="00EB7785" w:rsidDel="00377A73" w:rsidRDefault="00EB7785" w:rsidP="00E919D1">
            <w:pPr>
              <w:pStyle w:val="TableTextDecimal"/>
              <w:framePr w:wrap="notBeside"/>
            </w:pPr>
            <w:r w:rsidDel="00377A73">
              <w:t>0.011</w:t>
            </w:r>
            <w:r w:rsidDel="00377A73">
              <w:br/>
              <w:t>(0.011)</w:t>
            </w:r>
          </w:p>
        </w:tc>
      </w:tr>
      <w:tr w:rsidR="00EB7785" w:rsidDel="00377A73" w14:paraId="7AFCC38A" w14:textId="127B63D9"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290B9CC" w14:textId="7B9F242B" w:rsidR="00EB7785" w:rsidDel="00377A73" w:rsidRDefault="00EB7785" w:rsidP="000D775D">
            <w:pPr>
              <w:pStyle w:val="TableTextLeft"/>
            </w:pPr>
            <w:r w:rsidDel="00377A73">
              <w:t>Number of hospital beds per 10,000 residents (2015)</w:t>
            </w:r>
          </w:p>
        </w:tc>
        <w:tc>
          <w:tcPr>
            <w:tcW w:w="961" w:type="pct"/>
            <w:tcBorders>
              <w:top w:val="nil"/>
              <w:left w:val="nil"/>
              <w:bottom w:val="nil"/>
              <w:right w:val="nil"/>
            </w:tcBorders>
            <w:tcMar>
              <w:bottom w:w="0" w:type="dxa"/>
            </w:tcMar>
          </w:tcPr>
          <w:p w14:paraId="053488E6" w14:textId="3ADAC03C" w:rsidR="00EB7785" w:rsidDel="00377A73" w:rsidRDefault="00EB7785" w:rsidP="00E919D1">
            <w:pPr>
              <w:pStyle w:val="TableTextDecimal"/>
              <w:framePr w:wrap="notBeside"/>
            </w:pPr>
            <w:r w:rsidDel="00377A73">
              <w:t>-0.0002</w:t>
            </w:r>
            <w:r w:rsidDel="00377A73">
              <w:br/>
              <w:t>(0.0001)</w:t>
            </w:r>
          </w:p>
        </w:tc>
        <w:tc>
          <w:tcPr>
            <w:tcW w:w="962" w:type="pct"/>
            <w:tcBorders>
              <w:top w:val="nil"/>
              <w:left w:val="nil"/>
              <w:bottom w:val="nil"/>
              <w:right w:val="nil"/>
            </w:tcBorders>
            <w:tcMar>
              <w:bottom w:w="0" w:type="dxa"/>
            </w:tcMar>
          </w:tcPr>
          <w:p w14:paraId="4B74A577" w14:textId="238DD043" w:rsidR="00EB7785" w:rsidDel="00377A73" w:rsidRDefault="00EB7785" w:rsidP="00E919D1">
            <w:pPr>
              <w:pStyle w:val="TableTextDecimal"/>
              <w:framePr w:wrap="notBeside"/>
            </w:pPr>
            <w:r w:rsidDel="00377A73">
              <w:t>-0.0004***</w:t>
            </w:r>
            <w:r w:rsidDel="00377A73">
              <w:br/>
              <w:t>(0.0001)</w:t>
            </w:r>
          </w:p>
        </w:tc>
      </w:tr>
      <w:tr w:rsidR="00EB7785" w:rsidDel="00377A73" w14:paraId="4395AEBB" w14:textId="0091A5F2"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4DE687E2" w14:textId="29E48ED4" w:rsidR="00EB7785" w:rsidDel="00377A73" w:rsidRDefault="00EB7785" w:rsidP="000D775D">
            <w:pPr>
              <w:pStyle w:val="TableTextLeft"/>
            </w:pPr>
            <w:r w:rsidDel="00377A73">
              <w:t>Number of primary care physicians per 10,000 residents (2015)</w:t>
            </w:r>
          </w:p>
        </w:tc>
        <w:tc>
          <w:tcPr>
            <w:tcW w:w="961" w:type="pct"/>
            <w:tcBorders>
              <w:top w:val="nil"/>
              <w:left w:val="nil"/>
              <w:bottom w:val="nil"/>
              <w:right w:val="nil"/>
            </w:tcBorders>
            <w:tcMar>
              <w:bottom w:w="0" w:type="dxa"/>
            </w:tcMar>
          </w:tcPr>
          <w:p w14:paraId="1FF7C198" w14:textId="2AA543D0" w:rsidR="00EB7785" w:rsidDel="00377A73" w:rsidRDefault="00EB7785" w:rsidP="00E919D1">
            <w:pPr>
              <w:pStyle w:val="TableTextDecimal"/>
              <w:framePr w:wrap="notBeside"/>
            </w:pPr>
            <w:r w:rsidDel="00377A73">
              <w:t>0.005**</w:t>
            </w:r>
            <w:r w:rsidDel="00377A73">
              <w:br/>
              <w:t>(0.002)</w:t>
            </w:r>
          </w:p>
        </w:tc>
        <w:tc>
          <w:tcPr>
            <w:tcW w:w="962" w:type="pct"/>
            <w:tcBorders>
              <w:top w:val="nil"/>
              <w:left w:val="nil"/>
              <w:bottom w:val="nil"/>
              <w:right w:val="nil"/>
            </w:tcBorders>
            <w:tcMar>
              <w:bottom w:w="0" w:type="dxa"/>
            </w:tcMar>
          </w:tcPr>
          <w:p w14:paraId="7ECAAB8C" w14:textId="7C811F10" w:rsidR="00EB7785" w:rsidDel="00377A73" w:rsidRDefault="00EB7785" w:rsidP="00E919D1">
            <w:pPr>
              <w:pStyle w:val="TableTextDecimal"/>
              <w:framePr w:wrap="notBeside"/>
            </w:pPr>
            <w:r w:rsidDel="00377A73">
              <w:t>-0.0004</w:t>
            </w:r>
            <w:r w:rsidDel="00377A73">
              <w:br/>
              <w:t>(0.002)</w:t>
            </w:r>
          </w:p>
        </w:tc>
      </w:tr>
      <w:tr w:rsidR="00EB7785" w:rsidDel="00377A73" w14:paraId="1BFED08A" w14:textId="490077CD"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05D27AE" w14:textId="56B4FF3D" w:rsidR="00EB7785" w:rsidDel="00377A73" w:rsidRDefault="00EB7785" w:rsidP="000D775D">
            <w:pPr>
              <w:pStyle w:val="TableTextLeft"/>
            </w:pPr>
            <w:r w:rsidDel="00377A73">
              <w:t>Number of specialists per 10,000 residents (2015)</w:t>
            </w:r>
          </w:p>
        </w:tc>
        <w:tc>
          <w:tcPr>
            <w:tcW w:w="961" w:type="pct"/>
            <w:tcBorders>
              <w:top w:val="nil"/>
              <w:left w:val="nil"/>
              <w:bottom w:val="nil"/>
              <w:right w:val="nil"/>
            </w:tcBorders>
            <w:tcMar>
              <w:bottom w:w="0" w:type="dxa"/>
            </w:tcMar>
          </w:tcPr>
          <w:p w14:paraId="70C81FB1" w14:textId="2D50B553" w:rsidR="00EB7785" w:rsidDel="00377A73" w:rsidRDefault="00EB7785" w:rsidP="00E919D1">
            <w:pPr>
              <w:pStyle w:val="TableTextDecimal"/>
              <w:framePr w:wrap="notBeside"/>
            </w:pPr>
            <w:r w:rsidDel="00377A73">
              <w:t>-0.0002</w:t>
            </w:r>
            <w:r w:rsidDel="00377A73">
              <w:br/>
              <w:t>(0.001)</w:t>
            </w:r>
          </w:p>
        </w:tc>
        <w:tc>
          <w:tcPr>
            <w:tcW w:w="962" w:type="pct"/>
            <w:tcBorders>
              <w:top w:val="nil"/>
              <w:left w:val="nil"/>
              <w:bottom w:val="nil"/>
              <w:right w:val="nil"/>
            </w:tcBorders>
            <w:tcMar>
              <w:bottom w:w="0" w:type="dxa"/>
            </w:tcMar>
          </w:tcPr>
          <w:p w14:paraId="4874AF34" w14:textId="68DB8815" w:rsidR="00EB7785" w:rsidDel="00377A73" w:rsidRDefault="00EB7785" w:rsidP="00E919D1">
            <w:pPr>
              <w:pStyle w:val="TableTextDecimal"/>
              <w:framePr w:wrap="notBeside"/>
            </w:pPr>
            <w:r w:rsidDel="00377A73">
              <w:t>0.001**</w:t>
            </w:r>
            <w:r w:rsidDel="00377A73">
              <w:br/>
              <w:t>(0.001)</w:t>
            </w:r>
          </w:p>
        </w:tc>
      </w:tr>
      <w:tr w:rsidR="00EB7785" w:rsidDel="00377A73" w14:paraId="54B56BFA" w14:textId="6E6CC6D1"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1992FBF4" w14:textId="4AE94D26" w:rsidR="00EB7785" w:rsidDel="00377A73" w:rsidRDefault="00EB7785" w:rsidP="000D775D">
            <w:pPr>
              <w:pStyle w:val="TableTextLeft"/>
            </w:pPr>
            <w:r w:rsidDel="00377A73">
              <w:t>Population in county age 25 and older with less than a high school diploma (%, 2015)</w:t>
            </w:r>
          </w:p>
        </w:tc>
        <w:tc>
          <w:tcPr>
            <w:tcW w:w="961" w:type="pct"/>
            <w:tcBorders>
              <w:top w:val="nil"/>
              <w:left w:val="nil"/>
              <w:bottom w:val="nil"/>
              <w:right w:val="nil"/>
            </w:tcBorders>
            <w:tcMar>
              <w:bottom w:w="0" w:type="dxa"/>
            </w:tcMar>
          </w:tcPr>
          <w:p w14:paraId="36D86D7F" w14:textId="315CD8B4" w:rsidR="00EB7785" w:rsidDel="00377A73" w:rsidRDefault="00EB7785" w:rsidP="00E919D1">
            <w:pPr>
              <w:pStyle w:val="TableTextDecimal"/>
              <w:framePr w:wrap="notBeside"/>
            </w:pPr>
            <w:r w:rsidDel="00377A73">
              <w:t>-0.203</w:t>
            </w:r>
            <w:r w:rsidDel="00377A73">
              <w:br/>
              <w:t>(0.139)</w:t>
            </w:r>
          </w:p>
        </w:tc>
        <w:tc>
          <w:tcPr>
            <w:tcW w:w="962" w:type="pct"/>
            <w:tcBorders>
              <w:top w:val="nil"/>
              <w:left w:val="nil"/>
              <w:bottom w:val="nil"/>
              <w:right w:val="nil"/>
            </w:tcBorders>
            <w:tcMar>
              <w:bottom w:w="0" w:type="dxa"/>
            </w:tcMar>
          </w:tcPr>
          <w:p w14:paraId="27ED8146" w14:textId="563FF37C" w:rsidR="00EB7785" w:rsidDel="00377A73" w:rsidRDefault="00EB7785" w:rsidP="00E919D1">
            <w:pPr>
              <w:pStyle w:val="TableTextDecimal"/>
              <w:framePr w:wrap="notBeside"/>
            </w:pPr>
            <w:r w:rsidDel="00377A73">
              <w:t>-0.275**</w:t>
            </w:r>
            <w:r w:rsidDel="00377A73">
              <w:br/>
              <w:t>(0.108)</w:t>
            </w:r>
          </w:p>
        </w:tc>
      </w:tr>
      <w:tr w:rsidR="00EB7785" w:rsidDel="00377A73" w14:paraId="11832775" w14:textId="54CE8E7F"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EFC4384" w14:textId="63DDEEDB" w:rsidR="00EB7785" w:rsidDel="00377A73" w:rsidRDefault="00EB7785" w:rsidP="000D775D">
            <w:pPr>
              <w:pStyle w:val="TableTextLeft"/>
            </w:pPr>
            <w:r w:rsidDel="00377A73">
              <w:t>Population in county age 25 and older with at least a four-year college degree (%, 2015)</w:t>
            </w:r>
          </w:p>
        </w:tc>
        <w:tc>
          <w:tcPr>
            <w:tcW w:w="961" w:type="pct"/>
            <w:tcBorders>
              <w:top w:val="nil"/>
              <w:left w:val="nil"/>
              <w:bottom w:val="nil"/>
              <w:right w:val="nil"/>
            </w:tcBorders>
            <w:tcMar>
              <w:bottom w:w="0" w:type="dxa"/>
            </w:tcMar>
          </w:tcPr>
          <w:p w14:paraId="3EB6F5CC" w14:textId="1B241D04" w:rsidR="00EB7785" w:rsidDel="00377A73" w:rsidRDefault="00EB7785" w:rsidP="00E919D1">
            <w:pPr>
              <w:pStyle w:val="TableTextDecimal"/>
              <w:framePr w:wrap="notBeside"/>
            </w:pPr>
            <w:r w:rsidDel="00377A73">
              <w:t>-0.175***</w:t>
            </w:r>
            <w:r w:rsidDel="00377A73">
              <w:br/>
              <w:t>(0.060)</w:t>
            </w:r>
          </w:p>
        </w:tc>
        <w:tc>
          <w:tcPr>
            <w:tcW w:w="962" w:type="pct"/>
            <w:tcBorders>
              <w:top w:val="nil"/>
              <w:left w:val="nil"/>
              <w:bottom w:val="nil"/>
              <w:right w:val="nil"/>
            </w:tcBorders>
            <w:tcMar>
              <w:bottom w:w="0" w:type="dxa"/>
            </w:tcMar>
          </w:tcPr>
          <w:p w14:paraId="0C005A98" w14:textId="0552CEA7" w:rsidR="00EB7785" w:rsidDel="00377A73" w:rsidRDefault="00EB7785" w:rsidP="00E919D1">
            <w:pPr>
              <w:pStyle w:val="TableTextDecimal"/>
              <w:framePr w:wrap="notBeside"/>
            </w:pPr>
            <w:r w:rsidDel="00377A73">
              <w:t>-0.180***</w:t>
            </w:r>
            <w:r w:rsidDel="00377A73">
              <w:br/>
              <w:t>(0.047)</w:t>
            </w:r>
          </w:p>
        </w:tc>
      </w:tr>
      <w:tr w:rsidR="00EB7785" w:rsidDel="00377A73" w14:paraId="62A46FF5" w14:textId="0D73E42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6F8D72AA" w14:textId="20C30FDD" w:rsidR="00EB7785" w:rsidDel="00377A73" w:rsidRDefault="00EB7785" w:rsidP="000D775D">
            <w:pPr>
              <w:pStyle w:val="TableTextLeft"/>
            </w:pPr>
            <w:r w:rsidDel="00377A73">
              <w:t>Population in county age 5 and older that do not speak English as primary language (%, 2010)</w:t>
            </w:r>
          </w:p>
        </w:tc>
        <w:tc>
          <w:tcPr>
            <w:tcW w:w="961" w:type="pct"/>
            <w:tcBorders>
              <w:top w:val="nil"/>
              <w:left w:val="nil"/>
              <w:bottom w:val="nil"/>
              <w:right w:val="nil"/>
            </w:tcBorders>
            <w:tcMar>
              <w:bottom w:w="0" w:type="dxa"/>
            </w:tcMar>
          </w:tcPr>
          <w:p w14:paraId="2074E8AF" w14:textId="37CED351" w:rsidR="00EB7785" w:rsidDel="00377A73" w:rsidRDefault="00EB7785" w:rsidP="00E919D1">
            <w:pPr>
              <w:pStyle w:val="TableTextDecimal"/>
              <w:framePr w:wrap="notBeside"/>
            </w:pPr>
            <w:r w:rsidDel="00377A73">
              <w:t>0.089</w:t>
            </w:r>
            <w:r w:rsidDel="00377A73">
              <w:br/>
              <w:t>(0.146)</w:t>
            </w:r>
          </w:p>
        </w:tc>
        <w:tc>
          <w:tcPr>
            <w:tcW w:w="962" w:type="pct"/>
            <w:tcBorders>
              <w:top w:val="nil"/>
              <w:left w:val="nil"/>
              <w:bottom w:val="nil"/>
              <w:right w:val="nil"/>
            </w:tcBorders>
            <w:tcMar>
              <w:bottom w:w="0" w:type="dxa"/>
            </w:tcMar>
          </w:tcPr>
          <w:p w14:paraId="400F3E0B" w14:textId="19848F23" w:rsidR="00EB7785" w:rsidDel="00377A73" w:rsidRDefault="00EB7785" w:rsidP="00E919D1">
            <w:pPr>
              <w:pStyle w:val="TableTextDecimal"/>
              <w:framePr w:wrap="notBeside"/>
            </w:pPr>
            <w:r w:rsidDel="00377A73">
              <w:t>0.411***</w:t>
            </w:r>
            <w:r w:rsidDel="00377A73">
              <w:br/>
              <w:t>(0.113)</w:t>
            </w:r>
          </w:p>
        </w:tc>
      </w:tr>
      <w:tr w:rsidR="00EB7785" w:rsidDel="00377A73" w14:paraId="1767993F" w14:textId="7543AF1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968052F" w14:textId="62BDE2E0" w:rsidR="00EB7785" w:rsidDel="00377A73" w:rsidRDefault="00EB7785" w:rsidP="000D775D">
            <w:pPr>
              <w:pStyle w:val="TableTextLeft"/>
            </w:pPr>
            <w:r w:rsidDel="00377A73">
              <w:t>Average age of beneficiaries attributed during baseline</w:t>
            </w:r>
          </w:p>
        </w:tc>
        <w:tc>
          <w:tcPr>
            <w:tcW w:w="961" w:type="pct"/>
            <w:tcBorders>
              <w:top w:val="nil"/>
              <w:left w:val="nil"/>
              <w:bottom w:val="nil"/>
              <w:right w:val="nil"/>
            </w:tcBorders>
            <w:tcMar>
              <w:bottom w:w="0" w:type="dxa"/>
            </w:tcMar>
          </w:tcPr>
          <w:p w14:paraId="069BCD98" w14:textId="30AD76AE" w:rsidR="00EB7785" w:rsidDel="00377A73" w:rsidRDefault="00EB7785" w:rsidP="00E919D1">
            <w:pPr>
              <w:pStyle w:val="TableTextDecimal"/>
              <w:framePr w:wrap="notBeside"/>
            </w:pPr>
            <w:r w:rsidDel="00377A73">
              <w:t>-0.00002</w:t>
            </w:r>
            <w:r w:rsidDel="00377A73">
              <w:br/>
              <w:t>(0.001)</w:t>
            </w:r>
          </w:p>
        </w:tc>
        <w:tc>
          <w:tcPr>
            <w:tcW w:w="962" w:type="pct"/>
            <w:tcBorders>
              <w:top w:val="nil"/>
              <w:left w:val="nil"/>
              <w:bottom w:val="nil"/>
              <w:right w:val="nil"/>
            </w:tcBorders>
            <w:tcMar>
              <w:bottom w:w="0" w:type="dxa"/>
            </w:tcMar>
          </w:tcPr>
          <w:p w14:paraId="222AFAD1" w14:textId="0ED0A481" w:rsidR="00EB7785" w:rsidDel="00377A73" w:rsidRDefault="00EB7785" w:rsidP="00E919D1">
            <w:pPr>
              <w:pStyle w:val="TableTextDecimal"/>
              <w:framePr w:wrap="notBeside"/>
            </w:pPr>
            <w:r w:rsidDel="00377A73">
              <w:t>0.002***</w:t>
            </w:r>
            <w:r w:rsidDel="00377A73">
              <w:br/>
              <w:t>(0.001)</w:t>
            </w:r>
          </w:p>
        </w:tc>
      </w:tr>
      <w:tr w:rsidR="00EB7785" w:rsidDel="00377A73" w14:paraId="7B08187B" w14:textId="6770E898"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7C6ED156" w14:textId="1ADE93FE" w:rsidR="00EB7785" w:rsidDel="00377A73" w:rsidRDefault="00EB7785" w:rsidP="000D775D">
            <w:pPr>
              <w:pStyle w:val="TableTextLeft"/>
            </w:pPr>
            <w:r w:rsidDel="00377A73">
              <w:t>Proportion of beneficiaries attributed during baseline that are female (%)</w:t>
            </w:r>
          </w:p>
        </w:tc>
        <w:tc>
          <w:tcPr>
            <w:tcW w:w="961" w:type="pct"/>
            <w:tcBorders>
              <w:top w:val="nil"/>
              <w:left w:val="nil"/>
              <w:bottom w:val="nil"/>
              <w:right w:val="nil"/>
            </w:tcBorders>
            <w:tcMar>
              <w:bottom w:w="0" w:type="dxa"/>
            </w:tcMar>
          </w:tcPr>
          <w:p w14:paraId="4261CD13" w14:textId="21C2EC29" w:rsidR="00EB7785" w:rsidDel="00377A73" w:rsidRDefault="00EB7785" w:rsidP="00E919D1">
            <w:pPr>
              <w:pStyle w:val="TableTextDecimal"/>
              <w:framePr w:wrap="notBeside"/>
            </w:pPr>
            <w:r w:rsidDel="00377A73">
              <w:t>0.006</w:t>
            </w:r>
            <w:r w:rsidDel="00377A73">
              <w:br/>
              <w:t>(0.024)</w:t>
            </w:r>
          </w:p>
        </w:tc>
        <w:tc>
          <w:tcPr>
            <w:tcW w:w="962" w:type="pct"/>
            <w:tcBorders>
              <w:top w:val="nil"/>
              <w:left w:val="nil"/>
              <w:bottom w:val="nil"/>
              <w:right w:val="nil"/>
            </w:tcBorders>
            <w:tcMar>
              <w:bottom w:w="0" w:type="dxa"/>
            </w:tcMar>
          </w:tcPr>
          <w:p w14:paraId="3D051D0E" w14:textId="3D89B852" w:rsidR="00EB7785" w:rsidDel="00377A73" w:rsidRDefault="00EB7785" w:rsidP="00E919D1">
            <w:pPr>
              <w:pStyle w:val="TableTextDecimal"/>
              <w:framePr w:wrap="notBeside"/>
            </w:pPr>
            <w:r w:rsidDel="00377A73">
              <w:t>0.028</w:t>
            </w:r>
            <w:r w:rsidDel="00377A73">
              <w:br/>
              <w:t>(0.019)</w:t>
            </w:r>
          </w:p>
        </w:tc>
      </w:tr>
      <w:tr w:rsidR="00EB7785" w:rsidDel="00377A73" w14:paraId="4A953D36" w14:textId="1B000C95"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0A01E93" w14:textId="6F91EB0E" w:rsidR="00EB7785" w:rsidDel="00377A73" w:rsidRDefault="00EB7785" w:rsidP="000D775D">
            <w:pPr>
              <w:pStyle w:val="TableTextLeft"/>
            </w:pPr>
            <w:r w:rsidDel="00377A73">
              <w:t>Proportion of beneficiaries attributed during baseline that are of a given race/ethnicity (%)</w:t>
            </w:r>
          </w:p>
        </w:tc>
        <w:tc>
          <w:tcPr>
            <w:tcW w:w="961" w:type="pct"/>
            <w:tcBorders>
              <w:top w:val="nil"/>
              <w:left w:val="nil"/>
              <w:bottom w:val="nil"/>
              <w:right w:val="nil"/>
            </w:tcBorders>
            <w:tcMar>
              <w:bottom w:w="0" w:type="dxa"/>
            </w:tcMar>
          </w:tcPr>
          <w:p w14:paraId="19C1927F" w14:textId="4BF35A51"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321DC23E" w14:textId="51DCB45C" w:rsidR="00EB7785" w:rsidDel="00377A73" w:rsidRDefault="00EB7785" w:rsidP="00E919D1">
            <w:pPr>
              <w:pStyle w:val="TableTextDecimal"/>
              <w:framePr w:wrap="notBeside"/>
            </w:pPr>
          </w:p>
        </w:tc>
      </w:tr>
      <w:tr w:rsidR="00EB7785" w:rsidDel="00377A73" w14:paraId="31BC3CC5" w14:textId="5AD7399C"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5A5A24B8" w14:textId="5DBB15B7" w:rsidR="00EB7785" w:rsidDel="00377A73" w:rsidRDefault="00EB7785" w:rsidP="00061E9D">
            <w:pPr>
              <w:pStyle w:val="TableTextLeft"/>
              <w:ind w:left="221"/>
            </w:pPr>
            <w:r w:rsidDel="00377A73">
              <w:t>White</w:t>
            </w:r>
          </w:p>
        </w:tc>
        <w:tc>
          <w:tcPr>
            <w:tcW w:w="961" w:type="pct"/>
            <w:tcBorders>
              <w:top w:val="nil"/>
              <w:left w:val="nil"/>
              <w:bottom w:val="nil"/>
              <w:right w:val="nil"/>
            </w:tcBorders>
            <w:tcMar>
              <w:bottom w:w="0" w:type="dxa"/>
            </w:tcMar>
          </w:tcPr>
          <w:p w14:paraId="4F3F9A75" w14:textId="56C1EC98"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56155EC2" w14:textId="1D943C3A" w:rsidR="00EB7785" w:rsidDel="00377A73" w:rsidRDefault="00EB7785" w:rsidP="00E919D1">
            <w:pPr>
              <w:pStyle w:val="TableTextCentered"/>
            </w:pPr>
            <w:r w:rsidDel="00377A73">
              <w:t>(reference)</w:t>
            </w:r>
          </w:p>
        </w:tc>
      </w:tr>
      <w:tr w:rsidR="00EB7785" w:rsidDel="00377A73" w14:paraId="043A24F1" w14:textId="61FDF874"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D742D81" w14:textId="1B5D1392" w:rsidR="00EB7785" w:rsidDel="00377A73" w:rsidRDefault="00EB7785" w:rsidP="00061E9D">
            <w:pPr>
              <w:pStyle w:val="TableTextLeft"/>
              <w:ind w:left="221"/>
            </w:pPr>
            <w:r w:rsidDel="00377A73">
              <w:t>Black</w:t>
            </w:r>
          </w:p>
        </w:tc>
        <w:tc>
          <w:tcPr>
            <w:tcW w:w="961" w:type="pct"/>
            <w:tcBorders>
              <w:top w:val="nil"/>
              <w:left w:val="nil"/>
              <w:bottom w:val="nil"/>
              <w:right w:val="nil"/>
            </w:tcBorders>
            <w:tcMar>
              <w:bottom w:w="0" w:type="dxa"/>
            </w:tcMar>
          </w:tcPr>
          <w:p w14:paraId="0D0282D6" w14:textId="781110A4" w:rsidR="00EB7785" w:rsidDel="00377A73" w:rsidRDefault="00EB7785" w:rsidP="00E919D1">
            <w:pPr>
              <w:pStyle w:val="TableTextDecimal"/>
              <w:framePr w:wrap="notBeside"/>
            </w:pPr>
            <w:r w:rsidDel="00377A73">
              <w:t>-0.004</w:t>
            </w:r>
            <w:r w:rsidDel="00377A73">
              <w:br/>
              <w:t>(0.021)</w:t>
            </w:r>
          </w:p>
        </w:tc>
        <w:tc>
          <w:tcPr>
            <w:tcW w:w="962" w:type="pct"/>
            <w:tcBorders>
              <w:top w:val="nil"/>
              <w:left w:val="nil"/>
              <w:bottom w:val="nil"/>
              <w:right w:val="nil"/>
            </w:tcBorders>
            <w:tcMar>
              <w:bottom w:w="0" w:type="dxa"/>
            </w:tcMar>
          </w:tcPr>
          <w:p w14:paraId="3461FE78" w14:textId="57D358AE" w:rsidR="00EB7785" w:rsidDel="00377A73" w:rsidRDefault="00EB7785" w:rsidP="00E919D1">
            <w:pPr>
              <w:pStyle w:val="TableTextDecimal"/>
              <w:framePr w:wrap="notBeside"/>
            </w:pPr>
            <w:r w:rsidDel="00377A73">
              <w:t>-0.010</w:t>
            </w:r>
            <w:r w:rsidDel="00377A73">
              <w:br/>
              <w:t>(0.017)</w:t>
            </w:r>
          </w:p>
        </w:tc>
      </w:tr>
      <w:tr w:rsidR="00EB7785" w:rsidDel="00377A73" w14:paraId="091FA3C6" w14:textId="4D1B3DC2"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45A7D5AB" w14:textId="6F381EC3" w:rsidR="00EB7785" w:rsidDel="00377A73" w:rsidRDefault="00EB7785" w:rsidP="00061E9D">
            <w:pPr>
              <w:pStyle w:val="TableTextLeft"/>
              <w:ind w:left="221"/>
            </w:pPr>
            <w:r w:rsidDel="00377A73">
              <w:t>Asian</w:t>
            </w:r>
          </w:p>
        </w:tc>
        <w:tc>
          <w:tcPr>
            <w:tcW w:w="961" w:type="pct"/>
            <w:tcBorders>
              <w:top w:val="nil"/>
              <w:left w:val="nil"/>
              <w:bottom w:val="nil"/>
              <w:right w:val="nil"/>
            </w:tcBorders>
            <w:tcMar>
              <w:bottom w:w="0" w:type="dxa"/>
            </w:tcMar>
          </w:tcPr>
          <w:p w14:paraId="52BCC9BA" w14:textId="5C9E6DF4" w:rsidR="00EB7785" w:rsidDel="00377A73" w:rsidRDefault="00EB7785" w:rsidP="00E919D1">
            <w:pPr>
              <w:pStyle w:val="TableTextDecimal"/>
              <w:framePr w:wrap="notBeside"/>
            </w:pPr>
            <w:r w:rsidDel="00377A73">
              <w:t>0.117***</w:t>
            </w:r>
            <w:r w:rsidDel="00377A73">
              <w:br/>
              <w:t>(0.033)</w:t>
            </w:r>
          </w:p>
        </w:tc>
        <w:tc>
          <w:tcPr>
            <w:tcW w:w="962" w:type="pct"/>
            <w:tcBorders>
              <w:top w:val="nil"/>
              <w:left w:val="nil"/>
              <w:bottom w:val="nil"/>
              <w:right w:val="nil"/>
            </w:tcBorders>
            <w:tcMar>
              <w:bottom w:w="0" w:type="dxa"/>
            </w:tcMar>
          </w:tcPr>
          <w:p w14:paraId="2F93BEC9" w14:textId="57BEC869" w:rsidR="00EB7785" w:rsidDel="00377A73" w:rsidRDefault="00EB7785" w:rsidP="00E919D1">
            <w:pPr>
              <w:pStyle w:val="TableTextDecimal"/>
              <w:framePr w:wrap="notBeside"/>
            </w:pPr>
            <w:r w:rsidDel="00377A73">
              <w:t>0.045*</w:t>
            </w:r>
            <w:r w:rsidDel="00377A73">
              <w:br/>
              <w:t>(0.026)</w:t>
            </w:r>
          </w:p>
        </w:tc>
      </w:tr>
      <w:tr w:rsidR="00EB7785" w:rsidDel="00377A73" w14:paraId="559F93A2" w14:textId="2FFEAE84"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DDA8CAB" w14:textId="5D2C060F" w:rsidR="00EB7785" w:rsidDel="00377A73" w:rsidRDefault="00EB7785" w:rsidP="00061E9D">
            <w:pPr>
              <w:pStyle w:val="TableTextLeft"/>
              <w:ind w:left="221"/>
            </w:pPr>
            <w:r w:rsidDel="00377A73">
              <w:t>Hispanic</w:t>
            </w:r>
          </w:p>
        </w:tc>
        <w:tc>
          <w:tcPr>
            <w:tcW w:w="961" w:type="pct"/>
            <w:tcBorders>
              <w:top w:val="nil"/>
              <w:left w:val="nil"/>
              <w:bottom w:val="nil"/>
              <w:right w:val="nil"/>
            </w:tcBorders>
            <w:tcMar>
              <w:bottom w:w="0" w:type="dxa"/>
            </w:tcMar>
          </w:tcPr>
          <w:p w14:paraId="64533643" w14:textId="052E9E96" w:rsidR="00EB7785" w:rsidDel="00377A73" w:rsidRDefault="00EB7785" w:rsidP="00E919D1">
            <w:pPr>
              <w:pStyle w:val="TableTextDecimal"/>
              <w:framePr w:wrap="notBeside"/>
            </w:pPr>
            <w:r w:rsidDel="00377A73">
              <w:t>0.047</w:t>
            </w:r>
            <w:r w:rsidDel="00377A73">
              <w:br/>
              <w:t>(0.046)</w:t>
            </w:r>
          </w:p>
        </w:tc>
        <w:tc>
          <w:tcPr>
            <w:tcW w:w="962" w:type="pct"/>
            <w:tcBorders>
              <w:top w:val="nil"/>
              <w:left w:val="nil"/>
              <w:bottom w:val="nil"/>
              <w:right w:val="nil"/>
            </w:tcBorders>
            <w:tcMar>
              <w:bottom w:w="0" w:type="dxa"/>
            </w:tcMar>
          </w:tcPr>
          <w:p w14:paraId="6755A6BE" w14:textId="0E1E0050" w:rsidR="00EB7785" w:rsidDel="00377A73" w:rsidRDefault="00EB7785" w:rsidP="00E919D1">
            <w:pPr>
              <w:pStyle w:val="TableTextDecimal"/>
              <w:framePr w:wrap="notBeside"/>
            </w:pPr>
            <w:r w:rsidDel="00377A73">
              <w:t>0.049</w:t>
            </w:r>
            <w:r w:rsidDel="00377A73">
              <w:br/>
              <w:t>(0.036)</w:t>
            </w:r>
          </w:p>
        </w:tc>
      </w:tr>
      <w:tr w:rsidR="00EB7785" w:rsidDel="00377A73" w14:paraId="4201AFBB" w14:textId="56A801CD"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65EF9972" w14:textId="54ABE02D" w:rsidR="00EB7785" w:rsidDel="00377A73" w:rsidRDefault="00EB7785" w:rsidP="00061E9D">
            <w:pPr>
              <w:pStyle w:val="TableTextLeft"/>
              <w:ind w:left="221"/>
            </w:pPr>
            <w:r w:rsidDel="00377A73">
              <w:t>North American Native or other</w:t>
            </w:r>
          </w:p>
        </w:tc>
        <w:tc>
          <w:tcPr>
            <w:tcW w:w="961" w:type="pct"/>
            <w:tcBorders>
              <w:top w:val="nil"/>
              <w:left w:val="nil"/>
              <w:bottom w:val="nil"/>
              <w:right w:val="nil"/>
            </w:tcBorders>
            <w:tcMar>
              <w:bottom w:w="0" w:type="dxa"/>
            </w:tcMar>
          </w:tcPr>
          <w:p w14:paraId="33DEA453" w14:textId="5B933E66" w:rsidR="00EB7785" w:rsidDel="00377A73" w:rsidRDefault="00EB7785" w:rsidP="00E919D1">
            <w:pPr>
              <w:pStyle w:val="TableTextDecimal"/>
              <w:framePr w:wrap="notBeside"/>
            </w:pPr>
            <w:r w:rsidDel="00377A73">
              <w:t>-0.048</w:t>
            </w:r>
            <w:r w:rsidDel="00377A73">
              <w:br/>
              <w:t>(0.040)</w:t>
            </w:r>
          </w:p>
        </w:tc>
        <w:tc>
          <w:tcPr>
            <w:tcW w:w="962" w:type="pct"/>
            <w:tcBorders>
              <w:top w:val="nil"/>
              <w:left w:val="nil"/>
              <w:bottom w:val="nil"/>
              <w:right w:val="nil"/>
            </w:tcBorders>
            <w:tcMar>
              <w:bottom w:w="0" w:type="dxa"/>
            </w:tcMar>
          </w:tcPr>
          <w:p w14:paraId="7F52CBEE" w14:textId="7FA4218C" w:rsidR="00EB7785" w:rsidDel="00377A73" w:rsidRDefault="00EB7785" w:rsidP="00E919D1">
            <w:pPr>
              <w:pStyle w:val="TableTextDecimal"/>
              <w:framePr w:wrap="notBeside"/>
            </w:pPr>
            <w:r w:rsidDel="00377A73">
              <w:t>0.021</w:t>
            </w:r>
            <w:r w:rsidDel="00377A73">
              <w:br/>
              <w:t>(0.031)</w:t>
            </w:r>
          </w:p>
        </w:tc>
      </w:tr>
      <w:tr w:rsidR="00EB7785" w:rsidDel="00377A73" w14:paraId="29E23DAF" w14:textId="050718CC"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5BF6090" w14:textId="1178B82B" w:rsidR="00EB7785" w:rsidDel="00377A73" w:rsidRDefault="00EB7785" w:rsidP="000D775D">
            <w:pPr>
              <w:pStyle w:val="TableTextLeft"/>
            </w:pPr>
            <w:r w:rsidDel="00377A73">
              <w:t>Proportion of beneficiaries attributed during baseline with a given dual eligibility status (%)</w:t>
            </w:r>
          </w:p>
        </w:tc>
        <w:tc>
          <w:tcPr>
            <w:tcW w:w="961" w:type="pct"/>
            <w:tcBorders>
              <w:top w:val="nil"/>
              <w:left w:val="nil"/>
              <w:bottom w:val="nil"/>
              <w:right w:val="nil"/>
            </w:tcBorders>
            <w:tcMar>
              <w:bottom w:w="0" w:type="dxa"/>
            </w:tcMar>
          </w:tcPr>
          <w:p w14:paraId="29E86708" w14:textId="5F3DF1EE"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53C554E7" w14:textId="66772D05" w:rsidR="00EB7785" w:rsidDel="00377A73" w:rsidRDefault="00EB7785" w:rsidP="00E919D1">
            <w:pPr>
              <w:pStyle w:val="TableTextDecimal"/>
              <w:framePr w:wrap="notBeside"/>
            </w:pPr>
          </w:p>
        </w:tc>
      </w:tr>
      <w:tr w:rsidR="00EB7785" w:rsidDel="00377A73" w14:paraId="481DD7D5" w14:textId="731CBDFC"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67651C0B" w14:textId="7EC7A520" w:rsidR="00EB7785" w:rsidDel="00377A73" w:rsidRDefault="00EB7785" w:rsidP="00061E9D">
            <w:pPr>
              <w:pStyle w:val="TableTextLeft"/>
              <w:ind w:left="221"/>
            </w:pPr>
            <w:r w:rsidDel="00377A73">
              <w:t>Not dually eligible</w:t>
            </w:r>
          </w:p>
        </w:tc>
        <w:tc>
          <w:tcPr>
            <w:tcW w:w="961" w:type="pct"/>
            <w:tcBorders>
              <w:top w:val="nil"/>
              <w:left w:val="nil"/>
              <w:bottom w:val="nil"/>
              <w:right w:val="nil"/>
            </w:tcBorders>
            <w:tcMar>
              <w:bottom w:w="0" w:type="dxa"/>
            </w:tcMar>
          </w:tcPr>
          <w:p w14:paraId="2CF1B80D" w14:textId="1D73F87E"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502E8D55" w14:textId="6D125390" w:rsidR="00EB7785" w:rsidDel="00377A73" w:rsidRDefault="00EB7785" w:rsidP="00E919D1">
            <w:pPr>
              <w:pStyle w:val="TableTextCentered"/>
            </w:pPr>
            <w:r w:rsidDel="00377A73">
              <w:t>(reference)</w:t>
            </w:r>
          </w:p>
        </w:tc>
      </w:tr>
      <w:tr w:rsidR="00EB7785" w:rsidDel="00377A73" w14:paraId="4590B70E" w14:textId="0494D89B"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3BEDD38E" w14:textId="2063E1FC" w:rsidR="00EB7785" w:rsidDel="00377A73" w:rsidRDefault="00EB7785" w:rsidP="00061E9D">
            <w:pPr>
              <w:pStyle w:val="TableTextLeft"/>
              <w:ind w:left="221"/>
            </w:pPr>
            <w:r w:rsidDel="00377A73">
              <w:t>Fully eligible</w:t>
            </w:r>
          </w:p>
        </w:tc>
        <w:tc>
          <w:tcPr>
            <w:tcW w:w="961" w:type="pct"/>
            <w:tcBorders>
              <w:top w:val="nil"/>
              <w:left w:val="nil"/>
              <w:bottom w:val="nil"/>
              <w:right w:val="nil"/>
            </w:tcBorders>
            <w:tcMar>
              <w:bottom w:w="0" w:type="dxa"/>
            </w:tcMar>
          </w:tcPr>
          <w:p w14:paraId="2DD9CBE0" w14:textId="05BDAE89" w:rsidR="00EB7785" w:rsidDel="00377A73" w:rsidRDefault="00EB7785" w:rsidP="00E919D1">
            <w:pPr>
              <w:pStyle w:val="TableTextDecimal"/>
              <w:framePr w:wrap="notBeside"/>
            </w:pPr>
            <w:r w:rsidDel="00377A73">
              <w:t>-0.064***</w:t>
            </w:r>
            <w:r w:rsidDel="00377A73">
              <w:br/>
              <w:t>(0.023)</w:t>
            </w:r>
          </w:p>
        </w:tc>
        <w:tc>
          <w:tcPr>
            <w:tcW w:w="962" w:type="pct"/>
            <w:tcBorders>
              <w:top w:val="nil"/>
              <w:left w:val="nil"/>
              <w:bottom w:val="nil"/>
              <w:right w:val="nil"/>
            </w:tcBorders>
            <w:tcMar>
              <w:bottom w:w="0" w:type="dxa"/>
            </w:tcMar>
          </w:tcPr>
          <w:p w14:paraId="176F0953" w14:textId="41DE349A" w:rsidR="00EB7785" w:rsidDel="00377A73" w:rsidRDefault="00EB7785" w:rsidP="00E919D1">
            <w:pPr>
              <w:pStyle w:val="TableTextDecimal"/>
              <w:framePr w:wrap="notBeside"/>
            </w:pPr>
            <w:r w:rsidDel="00377A73">
              <w:t>-0.0001</w:t>
            </w:r>
            <w:r w:rsidDel="00377A73">
              <w:br/>
              <w:t>(0.018)</w:t>
            </w:r>
          </w:p>
        </w:tc>
      </w:tr>
      <w:tr w:rsidR="00EB7785" w:rsidDel="00377A73" w14:paraId="46B413AD" w14:textId="6E413219"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5BCB7DA9" w14:textId="728D4CBD" w:rsidR="00EB7785" w:rsidDel="00377A73" w:rsidRDefault="00EB7785" w:rsidP="00061E9D">
            <w:pPr>
              <w:pStyle w:val="TableTextLeft"/>
              <w:ind w:left="221"/>
            </w:pPr>
            <w:r w:rsidDel="00377A73">
              <w:t>Partially eligible</w:t>
            </w:r>
          </w:p>
        </w:tc>
        <w:tc>
          <w:tcPr>
            <w:tcW w:w="961" w:type="pct"/>
            <w:tcBorders>
              <w:top w:val="nil"/>
              <w:left w:val="nil"/>
              <w:bottom w:val="nil"/>
              <w:right w:val="nil"/>
            </w:tcBorders>
            <w:tcMar>
              <w:bottom w:w="0" w:type="dxa"/>
            </w:tcMar>
          </w:tcPr>
          <w:p w14:paraId="28A0939D" w14:textId="0F080174" w:rsidR="00EB7785" w:rsidDel="00377A73" w:rsidRDefault="00EB7785" w:rsidP="00E919D1">
            <w:pPr>
              <w:pStyle w:val="TableTextDecimal"/>
              <w:framePr w:wrap="notBeside"/>
            </w:pPr>
            <w:r w:rsidDel="00377A73">
              <w:t>-0.045</w:t>
            </w:r>
            <w:r w:rsidDel="00377A73">
              <w:br/>
              <w:t>(0.052)</w:t>
            </w:r>
          </w:p>
        </w:tc>
        <w:tc>
          <w:tcPr>
            <w:tcW w:w="962" w:type="pct"/>
            <w:tcBorders>
              <w:top w:val="nil"/>
              <w:left w:val="nil"/>
              <w:bottom w:val="nil"/>
              <w:right w:val="nil"/>
            </w:tcBorders>
            <w:tcMar>
              <w:bottom w:w="0" w:type="dxa"/>
            </w:tcMar>
          </w:tcPr>
          <w:p w14:paraId="334BB1FF" w14:textId="60E28CD2" w:rsidR="00EB7785" w:rsidDel="00377A73" w:rsidRDefault="00EB7785" w:rsidP="00E919D1">
            <w:pPr>
              <w:pStyle w:val="TableTextDecimal"/>
              <w:framePr w:wrap="notBeside"/>
            </w:pPr>
            <w:r w:rsidDel="00377A73">
              <w:t>-0.056</w:t>
            </w:r>
            <w:r w:rsidDel="00377A73">
              <w:br/>
              <w:t>(0.041)</w:t>
            </w:r>
          </w:p>
        </w:tc>
      </w:tr>
      <w:tr w:rsidR="00EB7785" w:rsidDel="00377A73" w14:paraId="2A954C9B" w14:textId="2ABCF906"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563A7D9" w14:textId="297F64DD" w:rsidR="00EB7785" w:rsidDel="00377A73" w:rsidRDefault="00EB7785" w:rsidP="000D775D">
            <w:pPr>
              <w:pStyle w:val="TableTextLeft"/>
            </w:pPr>
            <w:r w:rsidDel="00377A73">
              <w:t>Proportion of beneficiaries attributed during baseline with a given original reason for entitlement (%)</w:t>
            </w:r>
          </w:p>
        </w:tc>
        <w:tc>
          <w:tcPr>
            <w:tcW w:w="961" w:type="pct"/>
            <w:tcBorders>
              <w:top w:val="nil"/>
              <w:left w:val="nil"/>
              <w:bottom w:val="nil"/>
              <w:right w:val="nil"/>
            </w:tcBorders>
            <w:tcMar>
              <w:bottom w:w="0" w:type="dxa"/>
            </w:tcMar>
          </w:tcPr>
          <w:p w14:paraId="5B2AD4B2" w14:textId="174D3F17"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152E9898" w14:textId="097A0FCE" w:rsidR="00EB7785" w:rsidDel="00377A73" w:rsidRDefault="00EB7785" w:rsidP="00E919D1">
            <w:pPr>
              <w:pStyle w:val="TableTextDecimal"/>
              <w:framePr w:wrap="notBeside"/>
            </w:pPr>
          </w:p>
        </w:tc>
      </w:tr>
      <w:tr w:rsidR="00EB7785" w:rsidDel="00377A73" w14:paraId="7C825687" w14:textId="120A859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CA89E3E" w14:textId="52BDF29E" w:rsidR="00EB7785" w:rsidDel="00377A73" w:rsidRDefault="00EB7785" w:rsidP="00061E9D">
            <w:pPr>
              <w:pStyle w:val="TableTextLeft"/>
              <w:ind w:left="221"/>
            </w:pPr>
            <w:r w:rsidDel="00377A73">
              <w:t>Aged</w:t>
            </w:r>
          </w:p>
        </w:tc>
        <w:tc>
          <w:tcPr>
            <w:tcW w:w="961" w:type="pct"/>
            <w:tcBorders>
              <w:top w:val="nil"/>
              <w:left w:val="nil"/>
              <w:bottom w:val="nil"/>
              <w:right w:val="nil"/>
            </w:tcBorders>
            <w:tcMar>
              <w:bottom w:w="0" w:type="dxa"/>
            </w:tcMar>
          </w:tcPr>
          <w:p w14:paraId="2BCB7263" w14:textId="24BEDC7F"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36F00CD8" w14:textId="15DE73BB" w:rsidR="00EB7785" w:rsidDel="00377A73" w:rsidRDefault="00EB7785" w:rsidP="00E919D1">
            <w:pPr>
              <w:pStyle w:val="TableTextCentered"/>
            </w:pPr>
            <w:r w:rsidDel="00377A73">
              <w:t>(reference)</w:t>
            </w:r>
          </w:p>
        </w:tc>
      </w:tr>
      <w:tr w:rsidR="00EB7785" w:rsidDel="00377A73" w14:paraId="224D51E3" w14:textId="53299895"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2F3E798C" w14:textId="55326EC5" w:rsidR="00EB7785" w:rsidDel="00377A73" w:rsidRDefault="00EB7785" w:rsidP="00061E9D">
            <w:pPr>
              <w:pStyle w:val="TableTextLeft"/>
              <w:ind w:left="221"/>
            </w:pPr>
            <w:r w:rsidDel="00377A73">
              <w:t>Disability</w:t>
            </w:r>
          </w:p>
        </w:tc>
        <w:tc>
          <w:tcPr>
            <w:tcW w:w="961" w:type="pct"/>
            <w:tcBorders>
              <w:top w:val="nil"/>
              <w:left w:val="nil"/>
              <w:bottom w:val="nil"/>
              <w:right w:val="nil"/>
            </w:tcBorders>
            <w:tcMar>
              <w:bottom w:w="0" w:type="dxa"/>
            </w:tcMar>
          </w:tcPr>
          <w:p w14:paraId="0AC9B71F" w14:textId="778B6FE1" w:rsidR="00EB7785" w:rsidDel="00377A73" w:rsidRDefault="00EB7785" w:rsidP="00E919D1">
            <w:pPr>
              <w:pStyle w:val="TableTextDecimal"/>
              <w:framePr w:wrap="notBeside"/>
            </w:pPr>
            <w:r w:rsidDel="00377A73">
              <w:t>-0.034</w:t>
            </w:r>
            <w:r w:rsidDel="00377A73">
              <w:br/>
              <w:t>(0.035)</w:t>
            </w:r>
          </w:p>
        </w:tc>
        <w:tc>
          <w:tcPr>
            <w:tcW w:w="962" w:type="pct"/>
            <w:tcBorders>
              <w:top w:val="nil"/>
              <w:left w:val="nil"/>
              <w:bottom w:val="nil"/>
              <w:right w:val="nil"/>
            </w:tcBorders>
            <w:tcMar>
              <w:bottom w:w="0" w:type="dxa"/>
            </w:tcMar>
          </w:tcPr>
          <w:p w14:paraId="7782C9C5" w14:textId="0653AD3C" w:rsidR="00EB7785" w:rsidDel="00377A73" w:rsidRDefault="00EB7785" w:rsidP="00E919D1">
            <w:pPr>
              <w:pStyle w:val="TableTextDecimal"/>
              <w:framePr w:wrap="notBeside"/>
            </w:pPr>
            <w:r w:rsidDel="00377A73">
              <w:t>0.038</w:t>
            </w:r>
            <w:r w:rsidDel="00377A73">
              <w:br/>
              <w:t>(0.028)</w:t>
            </w:r>
          </w:p>
        </w:tc>
      </w:tr>
      <w:tr w:rsidR="00EB7785" w:rsidDel="00377A73" w14:paraId="7A652269" w14:textId="57B6237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B4B3B46" w14:textId="1B4ACCF4" w:rsidR="00EB7785" w:rsidDel="00377A73" w:rsidRDefault="00EB7785" w:rsidP="00061E9D">
            <w:pPr>
              <w:pStyle w:val="TableTextLeft"/>
              <w:ind w:left="221"/>
            </w:pPr>
            <w:r w:rsidDel="00377A73">
              <w:t>ESRD or ESRD and disability</w:t>
            </w:r>
          </w:p>
        </w:tc>
        <w:tc>
          <w:tcPr>
            <w:tcW w:w="961" w:type="pct"/>
            <w:tcBorders>
              <w:top w:val="nil"/>
              <w:left w:val="nil"/>
              <w:bottom w:val="nil"/>
              <w:right w:val="nil"/>
            </w:tcBorders>
            <w:tcMar>
              <w:bottom w:w="0" w:type="dxa"/>
            </w:tcMar>
          </w:tcPr>
          <w:p w14:paraId="602D9CAF" w14:textId="29A10B53" w:rsidR="00EB7785" w:rsidDel="00377A73" w:rsidRDefault="00EB7785" w:rsidP="00E919D1">
            <w:pPr>
              <w:pStyle w:val="TableTextDecimal"/>
              <w:framePr w:wrap="notBeside"/>
            </w:pPr>
            <w:r w:rsidDel="00377A73">
              <w:t>0.121</w:t>
            </w:r>
            <w:r w:rsidDel="00377A73">
              <w:br/>
              <w:t>(0.086)</w:t>
            </w:r>
          </w:p>
        </w:tc>
        <w:tc>
          <w:tcPr>
            <w:tcW w:w="962" w:type="pct"/>
            <w:tcBorders>
              <w:top w:val="nil"/>
              <w:left w:val="nil"/>
              <w:bottom w:val="nil"/>
              <w:right w:val="nil"/>
            </w:tcBorders>
            <w:tcMar>
              <w:bottom w:w="0" w:type="dxa"/>
            </w:tcMar>
          </w:tcPr>
          <w:p w14:paraId="50E0BE83" w14:textId="7E13C694" w:rsidR="00EB7785" w:rsidDel="00377A73" w:rsidRDefault="00EB7785" w:rsidP="00E919D1">
            <w:pPr>
              <w:pStyle w:val="TableTextDecimal"/>
              <w:framePr w:wrap="notBeside"/>
            </w:pPr>
            <w:r w:rsidDel="00377A73">
              <w:t>0.034</w:t>
            </w:r>
            <w:r w:rsidDel="00377A73">
              <w:br/>
              <w:t>(0.067)</w:t>
            </w:r>
          </w:p>
        </w:tc>
      </w:tr>
      <w:tr w:rsidR="00EB7785" w:rsidDel="00377A73" w14:paraId="01B57C07" w14:textId="185E7F92"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14E6063D" w14:textId="7002D787" w:rsidR="00EB7785" w:rsidDel="00377A73" w:rsidRDefault="00EB7785" w:rsidP="000D775D">
            <w:pPr>
              <w:pStyle w:val="TableTextLeft"/>
            </w:pPr>
            <w:r w:rsidDel="00377A73">
              <w:t>Proportion of beneficiaries attributed during baseline with a given number of chronic conditions (%)</w:t>
            </w:r>
          </w:p>
        </w:tc>
        <w:tc>
          <w:tcPr>
            <w:tcW w:w="961" w:type="pct"/>
            <w:tcBorders>
              <w:top w:val="nil"/>
              <w:left w:val="nil"/>
              <w:bottom w:val="nil"/>
              <w:right w:val="nil"/>
            </w:tcBorders>
            <w:tcMar>
              <w:bottom w:w="0" w:type="dxa"/>
            </w:tcMar>
          </w:tcPr>
          <w:p w14:paraId="578A21CF" w14:textId="3813459D"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693FDF42" w14:textId="566268E2" w:rsidR="00EB7785" w:rsidDel="00377A73" w:rsidRDefault="00EB7785" w:rsidP="00E919D1">
            <w:pPr>
              <w:pStyle w:val="TableTextDecimal"/>
              <w:framePr w:wrap="notBeside"/>
            </w:pPr>
          </w:p>
        </w:tc>
      </w:tr>
      <w:tr w:rsidR="00EB7785" w:rsidDel="00377A73" w14:paraId="2A27586E" w14:textId="1BAB7FE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A63D084" w14:textId="531F724B" w:rsidR="00EB7785" w:rsidDel="00377A73" w:rsidRDefault="00EB7785" w:rsidP="00061E9D">
            <w:pPr>
              <w:pStyle w:val="TableTextLeft"/>
              <w:ind w:left="221"/>
            </w:pPr>
            <w:r w:rsidDel="00377A73">
              <w:t>None</w:t>
            </w:r>
          </w:p>
        </w:tc>
        <w:tc>
          <w:tcPr>
            <w:tcW w:w="961" w:type="pct"/>
            <w:tcBorders>
              <w:top w:val="nil"/>
              <w:left w:val="nil"/>
              <w:bottom w:val="nil"/>
              <w:right w:val="nil"/>
            </w:tcBorders>
            <w:tcMar>
              <w:bottom w:w="0" w:type="dxa"/>
            </w:tcMar>
          </w:tcPr>
          <w:p w14:paraId="524325BB" w14:textId="0F9C1497" w:rsidR="00EB7785" w:rsidDel="00377A73" w:rsidRDefault="00EB7785" w:rsidP="00E919D1">
            <w:pPr>
              <w:pStyle w:val="TableTextCentered"/>
            </w:pPr>
            <w:r w:rsidDel="00377A73">
              <w:t>(reference)</w:t>
            </w:r>
          </w:p>
        </w:tc>
        <w:tc>
          <w:tcPr>
            <w:tcW w:w="962" w:type="pct"/>
            <w:tcBorders>
              <w:top w:val="nil"/>
              <w:left w:val="nil"/>
              <w:bottom w:val="nil"/>
              <w:right w:val="nil"/>
            </w:tcBorders>
            <w:tcMar>
              <w:bottom w:w="0" w:type="dxa"/>
            </w:tcMar>
          </w:tcPr>
          <w:p w14:paraId="750B563D" w14:textId="1D608A6F" w:rsidR="00EB7785" w:rsidDel="00377A73" w:rsidRDefault="00EB7785" w:rsidP="00E919D1">
            <w:pPr>
              <w:pStyle w:val="TableTextCentered"/>
            </w:pPr>
            <w:r w:rsidDel="00377A73">
              <w:t>(reference)</w:t>
            </w:r>
          </w:p>
        </w:tc>
      </w:tr>
      <w:tr w:rsidR="00EB7785" w:rsidDel="00377A73" w14:paraId="3AA979F1" w14:textId="6F1637FD"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2783E24" w14:textId="0F8FA207" w:rsidR="00EB7785" w:rsidDel="00377A73" w:rsidRDefault="00EB7785" w:rsidP="00061E9D">
            <w:pPr>
              <w:pStyle w:val="TableTextLeft"/>
              <w:ind w:left="221"/>
            </w:pPr>
            <w:r w:rsidDel="00377A73">
              <w:t>1–4</w:t>
            </w:r>
          </w:p>
        </w:tc>
        <w:tc>
          <w:tcPr>
            <w:tcW w:w="961" w:type="pct"/>
            <w:tcBorders>
              <w:top w:val="nil"/>
              <w:left w:val="nil"/>
              <w:bottom w:val="nil"/>
              <w:right w:val="nil"/>
            </w:tcBorders>
            <w:tcMar>
              <w:bottom w:w="0" w:type="dxa"/>
            </w:tcMar>
          </w:tcPr>
          <w:p w14:paraId="19F4BE2D" w14:textId="187F73EA" w:rsidR="00EB7785" w:rsidDel="00377A73" w:rsidRDefault="00EB7785" w:rsidP="00E919D1">
            <w:pPr>
              <w:pStyle w:val="TableTextDecimal"/>
              <w:framePr w:wrap="notBeside"/>
            </w:pPr>
            <w:r w:rsidDel="00377A73">
              <w:t>0.016</w:t>
            </w:r>
            <w:r w:rsidDel="00377A73">
              <w:br/>
              <w:t>(0.025)</w:t>
            </w:r>
          </w:p>
        </w:tc>
        <w:tc>
          <w:tcPr>
            <w:tcW w:w="962" w:type="pct"/>
            <w:tcBorders>
              <w:top w:val="nil"/>
              <w:left w:val="nil"/>
              <w:bottom w:val="nil"/>
              <w:right w:val="nil"/>
            </w:tcBorders>
            <w:tcMar>
              <w:bottom w:w="0" w:type="dxa"/>
            </w:tcMar>
          </w:tcPr>
          <w:p w14:paraId="5D3088AE" w14:textId="372A5BF3" w:rsidR="00EB7785" w:rsidDel="00377A73" w:rsidRDefault="00EB7785" w:rsidP="00E919D1">
            <w:pPr>
              <w:pStyle w:val="TableTextDecimal"/>
              <w:framePr w:wrap="notBeside"/>
            </w:pPr>
            <w:r w:rsidDel="00377A73">
              <w:t>0.023</w:t>
            </w:r>
            <w:r w:rsidDel="00377A73">
              <w:br/>
              <w:t>(0.019)</w:t>
            </w:r>
          </w:p>
        </w:tc>
      </w:tr>
      <w:tr w:rsidR="00EB7785" w:rsidDel="00377A73" w14:paraId="212B1A6A" w14:textId="1340BAB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12B7E859" w14:textId="33893902" w:rsidR="00EB7785" w:rsidDel="00377A73" w:rsidRDefault="00EB7785" w:rsidP="00061E9D">
            <w:pPr>
              <w:pStyle w:val="TableTextLeft"/>
              <w:ind w:left="221"/>
            </w:pPr>
            <w:r w:rsidDel="00377A73">
              <w:t>5 or more</w:t>
            </w:r>
          </w:p>
        </w:tc>
        <w:tc>
          <w:tcPr>
            <w:tcW w:w="961" w:type="pct"/>
            <w:tcBorders>
              <w:top w:val="nil"/>
              <w:left w:val="nil"/>
              <w:bottom w:val="nil"/>
              <w:right w:val="nil"/>
            </w:tcBorders>
            <w:tcMar>
              <w:bottom w:w="0" w:type="dxa"/>
            </w:tcMar>
          </w:tcPr>
          <w:p w14:paraId="345950FC" w14:textId="304EB09D" w:rsidR="00EB7785" w:rsidDel="00377A73" w:rsidRDefault="00EB7785" w:rsidP="00E919D1">
            <w:pPr>
              <w:pStyle w:val="TableTextDecimal"/>
              <w:framePr w:wrap="notBeside"/>
            </w:pPr>
            <w:r w:rsidDel="00377A73">
              <w:t>-0.009</w:t>
            </w:r>
            <w:r w:rsidDel="00377A73">
              <w:br/>
              <w:t>(0.040)</w:t>
            </w:r>
          </w:p>
        </w:tc>
        <w:tc>
          <w:tcPr>
            <w:tcW w:w="962" w:type="pct"/>
            <w:tcBorders>
              <w:top w:val="nil"/>
              <w:left w:val="nil"/>
              <w:bottom w:val="nil"/>
              <w:right w:val="nil"/>
            </w:tcBorders>
            <w:tcMar>
              <w:bottom w:w="0" w:type="dxa"/>
            </w:tcMar>
          </w:tcPr>
          <w:p w14:paraId="6184A54B" w14:textId="33C7CE43" w:rsidR="00EB7785" w:rsidDel="00377A73" w:rsidRDefault="00EB7785" w:rsidP="00E919D1">
            <w:pPr>
              <w:pStyle w:val="TableTextDecimal"/>
              <w:framePr w:wrap="notBeside"/>
            </w:pPr>
            <w:r w:rsidDel="00377A73">
              <w:t>0.006</w:t>
            </w:r>
            <w:r w:rsidDel="00377A73">
              <w:br/>
              <w:t>(0.032)</w:t>
            </w:r>
          </w:p>
        </w:tc>
      </w:tr>
      <w:tr w:rsidR="00EB7785" w:rsidDel="00377A73" w14:paraId="2D3CBF93" w14:textId="6D11EE15"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DA120A3" w14:textId="0F59963B" w:rsidR="00EB7785" w:rsidDel="00377A73" w:rsidRDefault="00EB7785" w:rsidP="000D775D">
            <w:pPr>
              <w:pStyle w:val="TableTextLeft"/>
            </w:pPr>
            <w:r w:rsidDel="00377A73">
              <w:t>Proportion of beneficiaries attributed during baseline with select chronic conditions (%)</w:t>
            </w:r>
          </w:p>
        </w:tc>
        <w:tc>
          <w:tcPr>
            <w:tcW w:w="961" w:type="pct"/>
            <w:tcBorders>
              <w:top w:val="nil"/>
              <w:left w:val="nil"/>
              <w:bottom w:val="nil"/>
              <w:right w:val="nil"/>
            </w:tcBorders>
            <w:tcMar>
              <w:bottom w:w="0" w:type="dxa"/>
            </w:tcMar>
          </w:tcPr>
          <w:p w14:paraId="796DD5AB" w14:textId="7AE4FFEA" w:rsidR="00EB7785" w:rsidDel="00377A73" w:rsidRDefault="00EB7785" w:rsidP="00E919D1">
            <w:pPr>
              <w:pStyle w:val="TableTextDecimal"/>
              <w:framePr w:wrap="notBeside"/>
            </w:pPr>
          </w:p>
        </w:tc>
        <w:tc>
          <w:tcPr>
            <w:tcW w:w="962" w:type="pct"/>
            <w:tcBorders>
              <w:top w:val="nil"/>
              <w:left w:val="nil"/>
              <w:bottom w:val="nil"/>
              <w:right w:val="nil"/>
            </w:tcBorders>
            <w:tcMar>
              <w:bottom w:w="0" w:type="dxa"/>
            </w:tcMar>
          </w:tcPr>
          <w:p w14:paraId="05AAF3C4" w14:textId="3E3AB3D6" w:rsidR="00EB7785" w:rsidDel="00377A73" w:rsidRDefault="00EB7785" w:rsidP="00E919D1">
            <w:pPr>
              <w:pStyle w:val="TableTextDecimal"/>
              <w:framePr w:wrap="notBeside"/>
            </w:pPr>
          </w:p>
        </w:tc>
      </w:tr>
      <w:tr w:rsidR="00EB7785" w:rsidDel="00377A73" w14:paraId="6EF42EF1" w14:textId="76E50D0D"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E8E394E" w14:textId="46AE3392" w:rsidR="00EB7785" w:rsidDel="00377A73" w:rsidRDefault="00EB7785" w:rsidP="00061E9D">
            <w:pPr>
              <w:pStyle w:val="TableTextLeft"/>
              <w:ind w:left="221"/>
            </w:pPr>
            <w:r w:rsidDel="00377A73">
              <w:t>Acquired hypothyroidism</w:t>
            </w:r>
          </w:p>
        </w:tc>
        <w:tc>
          <w:tcPr>
            <w:tcW w:w="961" w:type="pct"/>
            <w:tcBorders>
              <w:top w:val="nil"/>
              <w:left w:val="nil"/>
              <w:bottom w:val="nil"/>
              <w:right w:val="nil"/>
            </w:tcBorders>
            <w:tcMar>
              <w:bottom w:w="0" w:type="dxa"/>
            </w:tcMar>
          </w:tcPr>
          <w:p w14:paraId="01392315" w14:textId="488FA6FC" w:rsidR="00EB7785" w:rsidDel="00377A73" w:rsidRDefault="00EB7785" w:rsidP="00E919D1">
            <w:pPr>
              <w:pStyle w:val="TableTextDecimal"/>
              <w:framePr w:wrap="notBeside"/>
            </w:pPr>
            <w:r w:rsidDel="00377A73">
              <w:t>-0.033</w:t>
            </w:r>
            <w:r w:rsidDel="00377A73">
              <w:br/>
              <w:t>(0.038)</w:t>
            </w:r>
          </w:p>
        </w:tc>
        <w:tc>
          <w:tcPr>
            <w:tcW w:w="962" w:type="pct"/>
            <w:tcBorders>
              <w:top w:val="nil"/>
              <w:left w:val="nil"/>
              <w:bottom w:val="nil"/>
              <w:right w:val="nil"/>
            </w:tcBorders>
            <w:tcMar>
              <w:bottom w:w="0" w:type="dxa"/>
            </w:tcMar>
          </w:tcPr>
          <w:p w14:paraId="08038385" w14:textId="5F7A6E44" w:rsidR="00EB7785" w:rsidDel="00377A73" w:rsidRDefault="00EB7785" w:rsidP="00E919D1">
            <w:pPr>
              <w:pStyle w:val="TableTextDecimal"/>
              <w:framePr w:wrap="notBeside"/>
            </w:pPr>
            <w:r w:rsidDel="00377A73">
              <w:t>-0.060**</w:t>
            </w:r>
            <w:r w:rsidDel="00377A73">
              <w:br/>
              <w:t>(0.029)</w:t>
            </w:r>
          </w:p>
        </w:tc>
      </w:tr>
      <w:tr w:rsidR="00EB7785" w:rsidDel="00377A73" w14:paraId="64E11FDA" w14:textId="4EF8499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28B9BE37" w14:textId="2E6F080D" w:rsidR="00EB7785" w:rsidDel="00377A73" w:rsidRDefault="00EB7785" w:rsidP="00061E9D">
            <w:pPr>
              <w:pStyle w:val="TableTextLeft"/>
              <w:ind w:left="221"/>
            </w:pPr>
            <w:r w:rsidDel="00377A73">
              <w:t>Alzheimer’s disease and related disorders or senile dementia</w:t>
            </w:r>
          </w:p>
        </w:tc>
        <w:tc>
          <w:tcPr>
            <w:tcW w:w="961" w:type="pct"/>
            <w:tcBorders>
              <w:top w:val="nil"/>
              <w:left w:val="nil"/>
              <w:bottom w:val="nil"/>
              <w:right w:val="nil"/>
            </w:tcBorders>
            <w:tcMar>
              <w:bottom w:w="0" w:type="dxa"/>
            </w:tcMar>
          </w:tcPr>
          <w:p w14:paraId="78C2FA00" w14:textId="36023722" w:rsidR="00EB7785" w:rsidDel="00377A73" w:rsidRDefault="00EB7785" w:rsidP="00E919D1">
            <w:pPr>
              <w:pStyle w:val="TableTextDecimal"/>
              <w:framePr w:wrap="notBeside"/>
            </w:pPr>
            <w:r w:rsidDel="00377A73">
              <w:t>0.022</w:t>
            </w:r>
            <w:r w:rsidDel="00377A73">
              <w:br/>
              <w:t>(0.032)</w:t>
            </w:r>
          </w:p>
        </w:tc>
        <w:tc>
          <w:tcPr>
            <w:tcW w:w="962" w:type="pct"/>
            <w:tcBorders>
              <w:top w:val="nil"/>
              <w:left w:val="nil"/>
              <w:bottom w:val="nil"/>
              <w:right w:val="nil"/>
            </w:tcBorders>
            <w:tcMar>
              <w:bottom w:w="0" w:type="dxa"/>
            </w:tcMar>
          </w:tcPr>
          <w:p w14:paraId="6AFDD0C7" w14:textId="2E13F705" w:rsidR="00EB7785" w:rsidDel="00377A73" w:rsidRDefault="00EB7785" w:rsidP="00E919D1">
            <w:pPr>
              <w:pStyle w:val="TableTextDecimal"/>
              <w:framePr w:wrap="notBeside"/>
            </w:pPr>
            <w:r w:rsidDel="00377A73">
              <w:t>0.006</w:t>
            </w:r>
            <w:r w:rsidDel="00377A73">
              <w:br/>
              <w:t>(0.025)</w:t>
            </w:r>
          </w:p>
        </w:tc>
      </w:tr>
      <w:tr w:rsidR="00EB7785" w:rsidDel="00377A73" w14:paraId="18DCE50B" w14:textId="4D5EFE91"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B8FE2A3" w14:textId="5DF1D4F6" w:rsidR="00EB7785" w:rsidDel="00377A73" w:rsidRDefault="00EB7785" w:rsidP="00061E9D">
            <w:pPr>
              <w:pStyle w:val="TableTextLeft"/>
              <w:ind w:left="221"/>
            </w:pPr>
            <w:r w:rsidDel="00377A73">
              <w:t>Anemia</w:t>
            </w:r>
          </w:p>
        </w:tc>
        <w:tc>
          <w:tcPr>
            <w:tcW w:w="961" w:type="pct"/>
            <w:tcBorders>
              <w:top w:val="nil"/>
              <w:left w:val="nil"/>
              <w:bottom w:val="nil"/>
              <w:right w:val="nil"/>
            </w:tcBorders>
            <w:tcMar>
              <w:bottom w:w="0" w:type="dxa"/>
            </w:tcMar>
          </w:tcPr>
          <w:p w14:paraId="49F64508" w14:textId="5724813E" w:rsidR="00EB7785" w:rsidDel="00377A73" w:rsidRDefault="00EB7785" w:rsidP="00E919D1">
            <w:pPr>
              <w:pStyle w:val="TableTextDecimal"/>
              <w:framePr w:wrap="notBeside"/>
            </w:pPr>
            <w:r w:rsidDel="00377A73">
              <w:t>-0.081***</w:t>
            </w:r>
            <w:r w:rsidDel="00377A73">
              <w:br/>
              <w:t>(0.028)</w:t>
            </w:r>
          </w:p>
        </w:tc>
        <w:tc>
          <w:tcPr>
            <w:tcW w:w="962" w:type="pct"/>
            <w:tcBorders>
              <w:top w:val="nil"/>
              <w:left w:val="nil"/>
              <w:bottom w:val="nil"/>
              <w:right w:val="nil"/>
            </w:tcBorders>
            <w:tcMar>
              <w:bottom w:w="0" w:type="dxa"/>
            </w:tcMar>
          </w:tcPr>
          <w:p w14:paraId="07C31821" w14:textId="5A24B5CA" w:rsidR="00EB7785" w:rsidDel="00377A73" w:rsidRDefault="00EB7785" w:rsidP="00E919D1">
            <w:pPr>
              <w:pStyle w:val="TableTextDecimal"/>
              <w:framePr w:wrap="notBeside"/>
            </w:pPr>
            <w:r w:rsidDel="00377A73">
              <w:t>-0.027</w:t>
            </w:r>
            <w:r w:rsidDel="00377A73">
              <w:br/>
              <w:t>(0.021)</w:t>
            </w:r>
          </w:p>
        </w:tc>
      </w:tr>
      <w:tr w:rsidR="00EB7785" w:rsidDel="00377A73" w14:paraId="2C07E5D8" w14:textId="7A830B23"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D4B891F" w14:textId="7DC93458" w:rsidR="00EB7785" w:rsidDel="00377A73" w:rsidRDefault="00EB7785" w:rsidP="00061E9D">
            <w:pPr>
              <w:pStyle w:val="TableTextLeft"/>
              <w:ind w:left="221"/>
            </w:pPr>
            <w:r w:rsidDel="00377A73">
              <w:t>Anxiety disorders</w:t>
            </w:r>
          </w:p>
        </w:tc>
        <w:tc>
          <w:tcPr>
            <w:tcW w:w="961" w:type="pct"/>
            <w:tcBorders>
              <w:top w:val="nil"/>
              <w:left w:val="nil"/>
              <w:bottom w:val="nil"/>
              <w:right w:val="nil"/>
            </w:tcBorders>
            <w:tcMar>
              <w:bottom w:w="0" w:type="dxa"/>
            </w:tcMar>
          </w:tcPr>
          <w:p w14:paraId="05D857F6" w14:textId="6F1504C0" w:rsidR="00EB7785" w:rsidDel="00377A73" w:rsidRDefault="00EB7785" w:rsidP="00E919D1">
            <w:pPr>
              <w:pStyle w:val="TableTextDecimal"/>
              <w:framePr w:wrap="notBeside"/>
            </w:pPr>
            <w:r w:rsidDel="00377A73">
              <w:t>0.005</w:t>
            </w:r>
            <w:r w:rsidDel="00377A73">
              <w:br/>
              <w:t>(0.034)</w:t>
            </w:r>
          </w:p>
        </w:tc>
        <w:tc>
          <w:tcPr>
            <w:tcW w:w="962" w:type="pct"/>
            <w:tcBorders>
              <w:top w:val="nil"/>
              <w:left w:val="nil"/>
              <w:bottom w:val="nil"/>
              <w:right w:val="nil"/>
            </w:tcBorders>
            <w:tcMar>
              <w:bottom w:w="0" w:type="dxa"/>
            </w:tcMar>
          </w:tcPr>
          <w:p w14:paraId="57B328D8" w14:textId="5FFCA642" w:rsidR="00EB7785" w:rsidDel="00377A73" w:rsidRDefault="00EB7785" w:rsidP="00E919D1">
            <w:pPr>
              <w:pStyle w:val="TableTextDecimal"/>
              <w:framePr w:wrap="notBeside"/>
            </w:pPr>
            <w:r w:rsidDel="00377A73">
              <w:t>-0.021</w:t>
            </w:r>
            <w:r w:rsidDel="00377A73">
              <w:br/>
              <w:t>(0.026)</w:t>
            </w:r>
          </w:p>
        </w:tc>
      </w:tr>
      <w:tr w:rsidR="00EB7785" w:rsidDel="00377A73" w14:paraId="1FBD2905" w14:textId="5DAED32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46094EB5" w14:textId="4BE76808" w:rsidR="00EB7785" w:rsidDel="00377A73" w:rsidRDefault="00EB7785" w:rsidP="00061E9D">
            <w:pPr>
              <w:pStyle w:val="TableTextLeft"/>
              <w:ind w:left="221"/>
            </w:pPr>
            <w:r w:rsidDel="00377A73">
              <w:t>Asthma</w:t>
            </w:r>
          </w:p>
        </w:tc>
        <w:tc>
          <w:tcPr>
            <w:tcW w:w="961" w:type="pct"/>
            <w:tcBorders>
              <w:top w:val="nil"/>
              <w:left w:val="nil"/>
              <w:bottom w:val="nil"/>
              <w:right w:val="nil"/>
            </w:tcBorders>
            <w:tcMar>
              <w:bottom w:w="0" w:type="dxa"/>
            </w:tcMar>
          </w:tcPr>
          <w:p w14:paraId="6E1D5B47" w14:textId="0C50E2E6" w:rsidR="00EB7785" w:rsidDel="00377A73" w:rsidRDefault="00EB7785" w:rsidP="00E919D1">
            <w:pPr>
              <w:pStyle w:val="TableTextDecimal"/>
              <w:framePr w:wrap="notBeside"/>
            </w:pPr>
            <w:r w:rsidDel="00377A73">
              <w:t>-0.023</w:t>
            </w:r>
            <w:r w:rsidDel="00377A73">
              <w:br/>
              <w:t>(0.047)</w:t>
            </w:r>
          </w:p>
        </w:tc>
        <w:tc>
          <w:tcPr>
            <w:tcW w:w="962" w:type="pct"/>
            <w:tcBorders>
              <w:top w:val="nil"/>
              <w:left w:val="nil"/>
              <w:bottom w:val="nil"/>
              <w:right w:val="nil"/>
            </w:tcBorders>
            <w:tcMar>
              <w:bottom w:w="0" w:type="dxa"/>
            </w:tcMar>
          </w:tcPr>
          <w:p w14:paraId="7743B7B6" w14:textId="7EB415A2" w:rsidR="00EB7785" w:rsidDel="00377A73" w:rsidRDefault="00EB7785" w:rsidP="00E919D1">
            <w:pPr>
              <w:pStyle w:val="TableTextDecimal"/>
              <w:framePr w:wrap="notBeside"/>
            </w:pPr>
            <w:r w:rsidDel="00377A73">
              <w:t>0.007</w:t>
            </w:r>
            <w:r w:rsidDel="00377A73">
              <w:br/>
              <w:t>(0.036)</w:t>
            </w:r>
          </w:p>
        </w:tc>
      </w:tr>
      <w:tr w:rsidR="00EB7785" w:rsidDel="00377A73" w14:paraId="1B46B611" w14:textId="3E7613A3"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36DB6315" w14:textId="3F2FAE5F" w:rsidR="00EB7785" w:rsidDel="00377A73" w:rsidRDefault="00EB7785" w:rsidP="00061E9D">
            <w:pPr>
              <w:pStyle w:val="TableTextLeft"/>
              <w:ind w:left="221"/>
            </w:pPr>
            <w:r w:rsidDel="00377A73">
              <w:t>Atrial fibrillation</w:t>
            </w:r>
          </w:p>
        </w:tc>
        <w:tc>
          <w:tcPr>
            <w:tcW w:w="961" w:type="pct"/>
            <w:tcBorders>
              <w:top w:val="nil"/>
              <w:left w:val="nil"/>
              <w:bottom w:val="nil"/>
              <w:right w:val="nil"/>
            </w:tcBorders>
            <w:tcMar>
              <w:bottom w:w="0" w:type="dxa"/>
            </w:tcMar>
          </w:tcPr>
          <w:p w14:paraId="1974F44C" w14:textId="1AF2AC2E" w:rsidR="00EB7785" w:rsidDel="00377A73" w:rsidRDefault="00EB7785" w:rsidP="00E919D1">
            <w:pPr>
              <w:pStyle w:val="TableTextDecimal"/>
              <w:framePr w:wrap="notBeside"/>
            </w:pPr>
            <w:r w:rsidDel="00377A73">
              <w:t>0.075</w:t>
            </w:r>
            <w:r w:rsidDel="00377A73">
              <w:br/>
              <w:t>(0.065)</w:t>
            </w:r>
          </w:p>
        </w:tc>
        <w:tc>
          <w:tcPr>
            <w:tcW w:w="962" w:type="pct"/>
            <w:tcBorders>
              <w:top w:val="nil"/>
              <w:left w:val="nil"/>
              <w:bottom w:val="nil"/>
              <w:right w:val="nil"/>
            </w:tcBorders>
            <w:tcMar>
              <w:bottom w:w="0" w:type="dxa"/>
            </w:tcMar>
          </w:tcPr>
          <w:p w14:paraId="36CCCF04" w14:textId="79D01301" w:rsidR="00EB7785" w:rsidDel="00377A73" w:rsidRDefault="00EB7785" w:rsidP="00E919D1">
            <w:pPr>
              <w:pStyle w:val="TableTextDecimal"/>
              <w:framePr w:wrap="notBeside"/>
            </w:pPr>
            <w:r w:rsidDel="00377A73">
              <w:t>0.065</w:t>
            </w:r>
            <w:r w:rsidDel="00377A73">
              <w:br/>
              <w:t>(0.051)</w:t>
            </w:r>
          </w:p>
        </w:tc>
      </w:tr>
      <w:tr w:rsidR="00EB7785" w:rsidDel="00377A73" w14:paraId="19337635" w14:textId="1C65668F"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2C368F8" w14:textId="64751A08" w:rsidR="00EB7785" w:rsidDel="00377A73" w:rsidRDefault="00EB7785" w:rsidP="00061E9D">
            <w:pPr>
              <w:pStyle w:val="TableTextLeft"/>
              <w:ind w:left="221"/>
            </w:pPr>
            <w:r w:rsidDel="00377A73">
              <w:t>Benign prostatic hyperplasia</w:t>
            </w:r>
          </w:p>
        </w:tc>
        <w:tc>
          <w:tcPr>
            <w:tcW w:w="961" w:type="pct"/>
            <w:tcBorders>
              <w:top w:val="nil"/>
              <w:left w:val="nil"/>
              <w:bottom w:val="nil"/>
              <w:right w:val="nil"/>
            </w:tcBorders>
            <w:tcMar>
              <w:bottom w:w="0" w:type="dxa"/>
            </w:tcMar>
          </w:tcPr>
          <w:p w14:paraId="1D9EADD0" w14:textId="417F5C6B" w:rsidR="00EB7785" w:rsidDel="00377A73" w:rsidRDefault="00EB7785" w:rsidP="00E919D1">
            <w:pPr>
              <w:pStyle w:val="TableTextDecimal"/>
              <w:framePr w:wrap="notBeside"/>
            </w:pPr>
            <w:r w:rsidDel="00377A73">
              <w:t>-0.040</w:t>
            </w:r>
            <w:r w:rsidDel="00377A73">
              <w:br/>
              <w:t>(0.055)</w:t>
            </w:r>
          </w:p>
        </w:tc>
        <w:tc>
          <w:tcPr>
            <w:tcW w:w="962" w:type="pct"/>
            <w:tcBorders>
              <w:top w:val="nil"/>
              <w:left w:val="nil"/>
              <w:bottom w:val="nil"/>
              <w:right w:val="nil"/>
            </w:tcBorders>
            <w:tcMar>
              <w:bottom w:w="0" w:type="dxa"/>
            </w:tcMar>
          </w:tcPr>
          <w:p w14:paraId="6B7ED57C" w14:textId="3E3BEFA5" w:rsidR="00EB7785" w:rsidDel="00377A73" w:rsidRDefault="00EB7785" w:rsidP="00E919D1">
            <w:pPr>
              <w:pStyle w:val="TableTextDecimal"/>
              <w:framePr w:wrap="notBeside"/>
            </w:pPr>
            <w:r w:rsidDel="00377A73">
              <w:t>-0.003</w:t>
            </w:r>
            <w:r w:rsidDel="00377A73">
              <w:br/>
              <w:t>(0.043)</w:t>
            </w:r>
          </w:p>
        </w:tc>
      </w:tr>
      <w:tr w:rsidR="00EB7785" w:rsidRPr="00471429" w:rsidDel="00377A73" w14:paraId="51809F9B" w14:textId="13C6FCA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664A7FBB" w14:textId="29678D0D" w:rsidR="00EB7785" w:rsidRPr="00471429" w:rsidDel="00377A73" w:rsidRDefault="00EB7785" w:rsidP="00061E9D">
            <w:pPr>
              <w:pStyle w:val="TableTextLeft"/>
              <w:ind w:left="221"/>
            </w:pPr>
            <w:proofErr w:type="spellStart"/>
            <w:r w:rsidDel="00377A73">
              <w:t>Cancer</w:t>
            </w:r>
            <w:r w:rsidRPr="00471429" w:rsidDel="00377A73">
              <w:rPr>
                <w:vertAlign w:val="superscript"/>
              </w:rPr>
              <w:t>a</w:t>
            </w:r>
            <w:proofErr w:type="spellEnd"/>
          </w:p>
        </w:tc>
        <w:tc>
          <w:tcPr>
            <w:tcW w:w="961" w:type="pct"/>
            <w:tcBorders>
              <w:top w:val="nil"/>
              <w:left w:val="nil"/>
              <w:bottom w:val="nil"/>
              <w:right w:val="nil"/>
            </w:tcBorders>
            <w:tcMar>
              <w:bottom w:w="0" w:type="dxa"/>
            </w:tcMar>
          </w:tcPr>
          <w:p w14:paraId="531316C7" w14:textId="46010739" w:rsidR="00EB7785" w:rsidRPr="00471429" w:rsidDel="00377A73" w:rsidRDefault="00EB7785" w:rsidP="00E919D1">
            <w:pPr>
              <w:pStyle w:val="TableTextDecimal"/>
              <w:framePr w:wrap="notBeside"/>
            </w:pPr>
            <w:r w:rsidDel="00377A73">
              <w:t>0.062</w:t>
            </w:r>
            <w:r w:rsidDel="00377A73">
              <w:br/>
              <w:t>(0.039)</w:t>
            </w:r>
          </w:p>
        </w:tc>
        <w:tc>
          <w:tcPr>
            <w:tcW w:w="962" w:type="pct"/>
            <w:tcBorders>
              <w:top w:val="nil"/>
              <w:left w:val="nil"/>
              <w:bottom w:val="nil"/>
              <w:right w:val="nil"/>
            </w:tcBorders>
            <w:tcMar>
              <w:bottom w:w="0" w:type="dxa"/>
            </w:tcMar>
          </w:tcPr>
          <w:p w14:paraId="1E5DB513" w14:textId="110BFBC9" w:rsidR="00EB7785" w:rsidRPr="00471429" w:rsidDel="00377A73" w:rsidRDefault="00EB7785" w:rsidP="00E919D1">
            <w:pPr>
              <w:pStyle w:val="TableTextDecimal"/>
              <w:framePr w:wrap="notBeside"/>
            </w:pPr>
            <w:r w:rsidDel="00377A73">
              <w:t>-0.008</w:t>
            </w:r>
            <w:r w:rsidDel="00377A73">
              <w:br/>
              <w:t>(0.030)</w:t>
            </w:r>
          </w:p>
        </w:tc>
      </w:tr>
      <w:tr w:rsidR="00EB7785" w:rsidDel="00377A73" w14:paraId="11103EF9" w14:textId="6A4175B1"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4E77DBDE" w14:textId="620F99B2" w:rsidR="00EB7785" w:rsidDel="00377A73" w:rsidRDefault="00EB7785" w:rsidP="00061E9D">
            <w:pPr>
              <w:pStyle w:val="TableTextLeft"/>
              <w:ind w:left="221"/>
            </w:pPr>
            <w:r w:rsidDel="00377A73">
              <w:t>Cataract</w:t>
            </w:r>
          </w:p>
        </w:tc>
        <w:tc>
          <w:tcPr>
            <w:tcW w:w="961" w:type="pct"/>
            <w:tcBorders>
              <w:top w:val="nil"/>
              <w:left w:val="nil"/>
              <w:bottom w:val="nil"/>
              <w:right w:val="nil"/>
            </w:tcBorders>
            <w:tcMar>
              <w:bottom w:w="0" w:type="dxa"/>
            </w:tcMar>
          </w:tcPr>
          <w:p w14:paraId="673AB654" w14:textId="7FEFF165" w:rsidR="00EB7785" w:rsidDel="00377A73" w:rsidRDefault="00EB7785" w:rsidP="00E919D1">
            <w:pPr>
              <w:pStyle w:val="TableTextDecimal"/>
              <w:framePr w:wrap="notBeside"/>
            </w:pPr>
            <w:r w:rsidDel="00377A73">
              <w:t>0.011</w:t>
            </w:r>
            <w:r w:rsidDel="00377A73">
              <w:br/>
              <w:t>(0.027)</w:t>
            </w:r>
          </w:p>
        </w:tc>
        <w:tc>
          <w:tcPr>
            <w:tcW w:w="962" w:type="pct"/>
            <w:tcBorders>
              <w:top w:val="nil"/>
              <w:left w:val="nil"/>
              <w:bottom w:val="nil"/>
              <w:right w:val="nil"/>
            </w:tcBorders>
            <w:tcMar>
              <w:bottom w:w="0" w:type="dxa"/>
            </w:tcMar>
          </w:tcPr>
          <w:p w14:paraId="527196D2" w14:textId="062F93B0" w:rsidR="00EB7785" w:rsidDel="00377A73" w:rsidRDefault="00EB7785" w:rsidP="00E919D1">
            <w:pPr>
              <w:pStyle w:val="TableTextDecimal"/>
              <w:framePr w:wrap="notBeside"/>
            </w:pPr>
            <w:r w:rsidDel="00377A73">
              <w:t>0.008</w:t>
            </w:r>
            <w:r w:rsidDel="00377A73">
              <w:br/>
              <w:t>(0.021)</w:t>
            </w:r>
          </w:p>
        </w:tc>
      </w:tr>
      <w:tr w:rsidR="00EB7785" w:rsidRPr="00471429" w:rsidDel="00377A73" w14:paraId="0A9A442F" w14:textId="097C0EB0"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374C824A" w14:textId="5E5FDCFD" w:rsidR="00EB7785" w:rsidRPr="00471429" w:rsidDel="00377A73" w:rsidRDefault="00EB7785" w:rsidP="00061E9D">
            <w:pPr>
              <w:pStyle w:val="TableTextLeft"/>
              <w:ind w:left="221"/>
            </w:pPr>
            <w:r w:rsidRPr="00471429" w:rsidDel="00377A73">
              <w:t>Chronic kidney disease</w:t>
            </w:r>
          </w:p>
        </w:tc>
        <w:tc>
          <w:tcPr>
            <w:tcW w:w="961" w:type="pct"/>
            <w:tcBorders>
              <w:top w:val="nil"/>
              <w:left w:val="nil"/>
              <w:bottom w:val="nil"/>
              <w:right w:val="nil"/>
            </w:tcBorders>
            <w:tcMar>
              <w:bottom w:w="0" w:type="dxa"/>
            </w:tcMar>
          </w:tcPr>
          <w:p w14:paraId="0D2F34B1" w14:textId="08BAA4BC" w:rsidR="00EB7785" w:rsidRPr="00471429" w:rsidDel="00377A73" w:rsidRDefault="00EB7785" w:rsidP="00E919D1">
            <w:pPr>
              <w:pStyle w:val="TableTextDecimal"/>
              <w:framePr w:wrap="notBeside"/>
            </w:pPr>
            <w:r w:rsidDel="00377A73">
              <w:t>0.010</w:t>
            </w:r>
            <w:r w:rsidDel="00377A73">
              <w:br/>
              <w:t>(0.030)</w:t>
            </w:r>
          </w:p>
        </w:tc>
        <w:tc>
          <w:tcPr>
            <w:tcW w:w="962" w:type="pct"/>
            <w:tcBorders>
              <w:top w:val="nil"/>
              <w:left w:val="nil"/>
              <w:bottom w:val="nil"/>
              <w:right w:val="nil"/>
            </w:tcBorders>
            <w:tcMar>
              <w:bottom w:w="0" w:type="dxa"/>
            </w:tcMar>
          </w:tcPr>
          <w:p w14:paraId="67051BAD" w14:textId="0D3D7346" w:rsidR="00EB7785" w:rsidRPr="00471429" w:rsidDel="00377A73" w:rsidRDefault="00EB7785" w:rsidP="00E919D1">
            <w:pPr>
              <w:pStyle w:val="TableTextDecimal"/>
              <w:framePr w:wrap="notBeside"/>
            </w:pPr>
            <w:r w:rsidDel="00377A73">
              <w:t>-0.014</w:t>
            </w:r>
            <w:r w:rsidDel="00377A73">
              <w:br/>
              <w:t>(0.024)</w:t>
            </w:r>
          </w:p>
        </w:tc>
      </w:tr>
      <w:tr w:rsidR="00EB7785" w:rsidRPr="00471429" w:rsidDel="00377A73" w14:paraId="6E551DE1" w14:textId="7C925284"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5B3682CF" w14:textId="3FE638CB" w:rsidR="00EB7785" w:rsidRPr="00471429" w:rsidDel="00377A73" w:rsidRDefault="00EB7785" w:rsidP="00061E9D">
            <w:pPr>
              <w:pStyle w:val="TableTextLeft"/>
              <w:ind w:left="221"/>
            </w:pPr>
            <w:r w:rsidDel="00377A73">
              <w:t>Chronic obstructive pulmonary disease</w:t>
            </w:r>
          </w:p>
        </w:tc>
        <w:tc>
          <w:tcPr>
            <w:tcW w:w="961" w:type="pct"/>
            <w:tcBorders>
              <w:top w:val="nil"/>
              <w:left w:val="nil"/>
              <w:bottom w:val="nil"/>
              <w:right w:val="nil"/>
            </w:tcBorders>
            <w:tcMar>
              <w:bottom w:w="0" w:type="dxa"/>
            </w:tcMar>
          </w:tcPr>
          <w:p w14:paraId="554520D4" w14:textId="4F4AAB26" w:rsidR="00EB7785" w:rsidRPr="00471429" w:rsidDel="00377A73" w:rsidRDefault="00EB7785" w:rsidP="00E919D1">
            <w:pPr>
              <w:pStyle w:val="TableTextDecimal"/>
              <w:framePr w:wrap="notBeside"/>
            </w:pPr>
            <w:r w:rsidDel="00377A73">
              <w:t>0.048</w:t>
            </w:r>
            <w:r w:rsidDel="00377A73">
              <w:br/>
              <w:t>(0.039)</w:t>
            </w:r>
          </w:p>
        </w:tc>
        <w:tc>
          <w:tcPr>
            <w:tcW w:w="962" w:type="pct"/>
            <w:tcBorders>
              <w:top w:val="nil"/>
              <w:left w:val="nil"/>
              <w:bottom w:val="nil"/>
              <w:right w:val="nil"/>
            </w:tcBorders>
            <w:tcMar>
              <w:bottom w:w="0" w:type="dxa"/>
            </w:tcMar>
          </w:tcPr>
          <w:p w14:paraId="580958DB" w14:textId="27DA4B95" w:rsidR="00EB7785" w:rsidRPr="00471429" w:rsidDel="00377A73" w:rsidRDefault="00EB7785" w:rsidP="00E919D1">
            <w:pPr>
              <w:pStyle w:val="TableTextDecimal"/>
              <w:framePr w:wrap="notBeside"/>
            </w:pPr>
            <w:r w:rsidDel="00377A73">
              <w:t>-0.010</w:t>
            </w:r>
            <w:r w:rsidDel="00377A73">
              <w:br/>
              <w:t>(0.031)</w:t>
            </w:r>
          </w:p>
        </w:tc>
      </w:tr>
      <w:tr w:rsidR="00EB7785" w:rsidDel="00377A73" w14:paraId="2F239EE4" w14:textId="3D5C76E0"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268443D" w14:textId="552F3043" w:rsidR="00EB7785" w:rsidDel="00377A73" w:rsidRDefault="00EB7785" w:rsidP="00061E9D">
            <w:pPr>
              <w:pStyle w:val="TableTextLeft"/>
              <w:ind w:left="221"/>
            </w:pPr>
            <w:r w:rsidDel="00377A73">
              <w:t>Congestive heart failure</w:t>
            </w:r>
          </w:p>
        </w:tc>
        <w:tc>
          <w:tcPr>
            <w:tcW w:w="961" w:type="pct"/>
            <w:tcBorders>
              <w:top w:val="nil"/>
              <w:left w:val="nil"/>
              <w:bottom w:val="nil"/>
              <w:right w:val="nil"/>
            </w:tcBorders>
            <w:tcMar>
              <w:bottom w:w="0" w:type="dxa"/>
            </w:tcMar>
          </w:tcPr>
          <w:p w14:paraId="050EA99C" w14:textId="63347DCD" w:rsidR="00EB7785" w:rsidDel="00377A73" w:rsidRDefault="00EB7785" w:rsidP="00E919D1">
            <w:pPr>
              <w:pStyle w:val="TableTextDecimal"/>
              <w:framePr w:wrap="notBeside"/>
            </w:pPr>
            <w:r w:rsidDel="00377A73">
              <w:t>-0.034</w:t>
            </w:r>
            <w:r w:rsidDel="00377A73">
              <w:br/>
              <w:t>(0.040)</w:t>
            </w:r>
          </w:p>
        </w:tc>
        <w:tc>
          <w:tcPr>
            <w:tcW w:w="962" w:type="pct"/>
            <w:tcBorders>
              <w:top w:val="nil"/>
              <w:left w:val="nil"/>
              <w:bottom w:val="nil"/>
              <w:right w:val="nil"/>
            </w:tcBorders>
            <w:tcMar>
              <w:bottom w:w="0" w:type="dxa"/>
            </w:tcMar>
          </w:tcPr>
          <w:p w14:paraId="1E8D8A29" w14:textId="5A850D4F" w:rsidR="00EB7785" w:rsidDel="00377A73" w:rsidRDefault="00EB7785" w:rsidP="00E919D1">
            <w:pPr>
              <w:pStyle w:val="TableTextDecimal"/>
              <w:framePr w:wrap="notBeside"/>
            </w:pPr>
            <w:r w:rsidDel="00377A73">
              <w:t>-0.011</w:t>
            </w:r>
            <w:r w:rsidDel="00377A73">
              <w:br/>
              <w:t>(0.031)</w:t>
            </w:r>
          </w:p>
        </w:tc>
      </w:tr>
      <w:tr w:rsidR="00EB7785" w:rsidDel="00377A73" w14:paraId="3BD42D11" w14:textId="654311ED"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4936760" w14:textId="5A39ECC3" w:rsidR="00EB7785" w:rsidDel="00377A73" w:rsidRDefault="00EB7785" w:rsidP="00061E9D">
            <w:pPr>
              <w:pStyle w:val="TableTextLeft"/>
              <w:ind w:left="221"/>
            </w:pPr>
            <w:r w:rsidDel="00377A73">
              <w:t>Depression</w:t>
            </w:r>
          </w:p>
        </w:tc>
        <w:tc>
          <w:tcPr>
            <w:tcW w:w="961" w:type="pct"/>
            <w:tcBorders>
              <w:top w:val="nil"/>
              <w:left w:val="nil"/>
              <w:bottom w:val="nil"/>
              <w:right w:val="nil"/>
            </w:tcBorders>
            <w:tcMar>
              <w:bottom w:w="0" w:type="dxa"/>
            </w:tcMar>
          </w:tcPr>
          <w:p w14:paraId="25F1797C" w14:textId="6952BE0A" w:rsidR="00EB7785" w:rsidDel="00377A73" w:rsidRDefault="00EB7785" w:rsidP="00E919D1">
            <w:pPr>
              <w:pStyle w:val="TableTextDecimal"/>
              <w:framePr w:wrap="notBeside"/>
            </w:pPr>
            <w:r w:rsidDel="00377A73">
              <w:t>-0.022</w:t>
            </w:r>
            <w:r w:rsidDel="00377A73">
              <w:br/>
              <w:t>(0.034)</w:t>
            </w:r>
          </w:p>
        </w:tc>
        <w:tc>
          <w:tcPr>
            <w:tcW w:w="962" w:type="pct"/>
            <w:tcBorders>
              <w:top w:val="nil"/>
              <w:left w:val="nil"/>
              <w:bottom w:val="nil"/>
              <w:right w:val="nil"/>
            </w:tcBorders>
            <w:tcMar>
              <w:bottom w:w="0" w:type="dxa"/>
            </w:tcMar>
          </w:tcPr>
          <w:p w14:paraId="3BCE58F2" w14:textId="20BBF217" w:rsidR="00EB7785" w:rsidDel="00377A73" w:rsidRDefault="00EB7785" w:rsidP="00E919D1">
            <w:pPr>
              <w:pStyle w:val="TableTextDecimal"/>
              <w:framePr w:wrap="notBeside"/>
            </w:pPr>
            <w:r w:rsidDel="00377A73">
              <w:t>-0.040</w:t>
            </w:r>
            <w:r w:rsidDel="00377A73">
              <w:br/>
              <w:t>(0.026)</w:t>
            </w:r>
          </w:p>
        </w:tc>
      </w:tr>
      <w:tr w:rsidR="00EB7785" w:rsidDel="00377A73" w14:paraId="76E48491" w14:textId="178A1EBA"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5D1C981" w14:textId="62CAD10D" w:rsidR="00EB7785" w:rsidDel="00377A73" w:rsidRDefault="00EB7785" w:rsidP="00061E9D">
            <w:pPr>
              <w:pStyle w:val="TableTextLeft"/>
              <w:ind w:left="221"/>
            </w:pPr>
            <w:r w:rsidDel="00377A73">
              <w:t>Diabetes</w:t>
            </w:r>
          </w:p>
        </w:tc>
        <w:tc>
          <w:tcPr>
            <w:tcW w:w="961" w:type="pct"/>
            <w:tcBorders>
              <w:top w:val="nil"/>
              <w:left w:val="nil"/>
              <w:bottom w:val="nil"/>
              <w:right w:val="nil"/>
            </w:tcBorders>
            <w:tcMar>
              <w:bottom w:w="0" w:type="dxa"/>
            </w:tcMar>
          </w:tcPr>
          <w:p w14:paraId="6C2C3C04" w14:textId="5E2A7CEC" w:rsidR="00EB7785" w:rsidDel="00377A73" w:rsidRDefault="00EB7785" w:rsidP="00E919D1">
            <w:pPr>
              <w:pStyle w:val="TableTextDecimal"/>
              <w:framePr w:wrap="notBeside"/>
            </w:pPr>
            <w:r w:rsidDel="00377A73">
              <w:t>0.013</w:t>
            </w:r>
            <w:r w:rsidDel="00377A73">
              <w:br/>
              <w:t>(0.027)</w:t>
            </w:r>
          </w:p>
        </w:tc>
        <w:tc>
          <w:tcPr>
            <w:tcW w:w="962" w:type="pct"/>
            <w:tcBorders>
              <w:top w:val="nil"/>
              <w:left w:val="nil"/>
              <w:bottom w:val="nil"/>
              <w:right w:val="nil"/>
            </w:tcBorders>
            <w:tcMar>
              <w:bottom w:w="0" w:type="dxa"/>
            </w:tcMar>
          </w:tcPr>
          <w:p w14:paraId="780763B4" w14:textId="782AA85E" w:rsidR="00EB7785" w:rsidDel="00377A73" w:rsidRDefault="00EB7785" w:rsidP="00E919D1">
            <w:pPr>
              <w:pStyle w:val="TableTextDecimal"/>
              <w:framePr w:wrap="notBeside"/>
            </w:pPr>
            <w:r w:rsidDel="00377A73">
              <w:t>0.004</w:t>
            </w:r>
            <w:r w:rsidDel="00377A73">
              <w:br/>
              <w:t>(0.021)</w:t>
            </w:r>
          </w:p>
        </w:tc>
      </w:tr>
      <w:tr w:rsidR="00EB7785" w:rsidDel="00377A73" w14:paraId="5ACDCF3F" w14:textId="781B9884"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37BE9C5F" w14:textId="5834E4FD" w:rsidR="00EB7785" w:rsidDel="00377A73" w:rsidRDefault="00EB7785" w:rsidP="00061E9D">
            <w:pPr>
              <w:pStyle w:val="TableTextLeft"/>
              <w:ind w:left="221"/>
            </w:pPr>
            <w:r w:rsidDel="00377A73">
              <w:t>Glaucoma</w:t>
            </w:r>
          </w:p>
        </w:tc>
        <w:tc>
          <w:tcPr>
            <w:tcW w:w="961" w:type="pct"/>
            <w:tcBorders>
              <w:top w:val="nil"/>
              <w:left w:val="nil"/>
              <w:bottom w:val="nil"/>
              <w:right w:val="nil"/>
            </w:tcBorders>
            <w:tcMar>
              <w:bottom w:w="0" w:type="dxa"/>
            </w:tcMar>
          </w:tcPr>
          <w:p w14:paraId="2681BF5B" w14:textId="73B18104" w:rsidR="00EB7785" w:rsidDel="00377A73" w:rsidRDefault="00EB7785" w:rsidP="00E919D1">
            <w:pPr>
              <w:pStyle w:val="TableTextDecimal"/>
              <w:framePr w:wrap="notBeside"/>
            </w:pPr>
            <w:r w:rsidDel="00377A73">
              <w:t>-0.033</w:t>
            </w:r>
            <w:r w:rsidDel="00377A73">
              <w:br/>
              <w:t>(0.029)</w:t>
            </w:r>
          </w:p>
        </w:tc>
        <w:tc>
          <w:tcPr>
            <w:tcW w:w="962" w:type="pct"/>
            <w:tcBorders>
              <w:top w:val="nil"/>
              <w:left w:val="nil"/>
              <w:bottom w:val="nil"/>
              <w:right w:val="nil"/>
            </w:tcBorders>
            <w:tcMar>
              <w:bottom w:w="0" w:type="dxa"/>
            </w:tcMar>
          </w:tcPr>
          <w:p w14:paraId="5A96CD8A" w14:textId="1522EE45" w:rsidR="00EB7785" w:rsidDel="00377A73" w:rsidRDefault="00EB7785" w:rsidP="00E919D1">
            <w:pPr>
              <w:pStyle w:val="TableTextDecimal"/>
              <w:framePr w:wrap="notBeside"/>
            </w:pPr>
            <w:r w:rsidDel="00377A73">
              <w:t>0.0001</w:t>
            </w:r>
            <w:r w:rsidDel="00377A73">
              <w:br/>
              <w:t>(0.023)</w:t>
            </w:r>
          </w:p>
        </w:tc>
      </w:tr>
      <w:tr w:rsidR="00EB7785" w:rsidDel="00377A73" w14:paraId="4A6AE6FC" w14:textId="1DC14B17"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2494896B" w14:textId="680C762C" w:rsidR="00EB7785" w:rsidDel="00377A73" w:rsidRDefault="00EB7785" w:rsidP="00061E9D">
            <w:pPr>
              <w:pStyle w:val="TableTextLeft"/>
              <w:ind w:left="221"/>
            </w:pPr>
            <w:r w:rsidDel="00377A73">
              <w:t>Hyperlipidemia</w:t>
            </w:r>
          </w:p>
        </w:tc>
        <w:tc>
          <w:tcPr>
            <w:tcW w:w="961" w:type="pct"/>
            <w:tcBorders>
              <w:top w:val="nil"/>
              <w:left w:val="nil"/>
              <w:bottom w:val="nil"/>
              <w:right w:val="nil"/>
            </w:tcBorders>
            <w:tcMar>
              <w:bottom w:w="0" w:type="dxa"/>
            </w:tcMar>
          </w:tcPr>
          <w:p w14:paraId="71688611" w14:textId="43FA370A" w:rsidR="00EB7785" w:rsidDel="00377A73" w:rsidRDefault="00EB7785" w:rsidP="00E919D1">
            <w:pPr>
              <w:pStyle w:val="TableTextDecimal"/>
              <w:framePr w:wrap="notBeside"/>
            </w:pPr>
            <w:r w:rsidDel="00377A73">
              <w:t>0.051*</w:t>
            </w:r>
            <w:r w:rsidDel="00377A73">
              <w:br/>
              <w:t>(0.027)</w:t>
            </w:r>
          </w:p>
        </w:tc>
        <w:tc>
          <w:tcPr>
            <w:tcW w:w="962" w:type="pct"/>
            <w:tcBorders>
              <w:top w:val="nil"/>
              <w:left w:val="nil"/>
              <w:bottom w:val="nil"/>
              <w:right w:val="nil"/>
            </w:tcBorders>
            <w:tcMar>
              <w:bottom w:w="0" w:type="dxa"/>
            </w:tcMar>
          </w:tcPr>
          <w:p w14:paraId="51EC1CDB" w14:textId="325C65FC" w:rsidR="00EB7785" w:rsidDel="00377A73" w:rsidRDefault="00EB7785" w:rsidP="00E919D1">
            <w:pPr>
              <w:pStyle w:val="TableTextDecimal"/>
              <w:framePr w:wrap="notBeside"/>
            </w:pPr>
            <w:r w:rsidDel="00377A73">
              <w:t>0.039*</w:t>
            </w:r>
            <w:r w:rsidDel="00377A73">
              <w:br/>
              <w:t>(0.021)</w:t>
            </w:r>
          </w:p>
        </w:tc>
      </w:tr>
      <w:tr w:rsidR="00EB7785" w:rsidDel="00377A73" w14:paraId="2A3BFB1D" w14:textId="4C341995"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22C2180" w14:textId="603CFC6A" w:rsidR="00EB7785" w:rsidDel="00377A73" w:rsidRDefault="00EB7785" w:rsidP="00061E9D">
            <w:pPr>
              <w:pStyle w:val="TableTextLeft"/>
              <w:ind w:left="221"/>
            </w:pPr>
            <w:r w:rsidDel="00377A73">
              <w:t>Hypertension</w:t>
            </w:r>
          </w:p>
        </w:tc>
        <w:tc>
          <w:tcPr>
            <w:tcW w:w="961" w:type="pct"/>
            <w:tcBorders>
              <w:top w:val="nil"/>
              <w:left w:val="nil"/>
              <w:bottom w:val="nil"/>
              <w:right w:val="nil"/>
            </w:tcBorders>
            <w:tcMar>
              <w:bottom w:w="0" w:type="dxa"/>
            </w:tcMar>
          </w:tcPr>
          <w:p w14:paraId="720DD7B4" w14:textId="53EA1E49" w:rsidR="00EB7785" w:rsidDel="00377A73" w:rsidRDefault="00EB7785" w:rsidP="00E919D1">
            <w:pPr>
              <w:pStyle w:val="TableTextDecimal"/>
              <w:framePr w:wrap="notBeside"/>
            </w:pPr>
            <w:r w:rsidDel="00377A73">
              <w:t>0.044</w:t>
            </w:r>
            <w:r w:rsidDel="00377A73">
              <w:br/>
              <w:t>(0.030)</w:t>
            </w:r>
          </w:p>
        </w:tc>
        <w:tc>
          <w:tcPr>
            <w:tcW w:w="962" w:type="pct"/>
            <w:tcBorders>
              <w:top w:val="nil"/>
              <w:left w:val="nil"/>
              <w:bottom w:val="nil"/>
              <w:right w:val="nil"/>
            </w:tcBorders>
            <w:tcMar>
              <w:bottom w:w="0" w:type="dxa"/>
            </w:tcMar>
          </w:tcPr>
          <w:p w14:paraId="18191B0B" w14:textId="17CA6FEA" w:rsidR="00EB7785" w:rsidDel="00377A73" w:rsidRDefault="00EB7785" w:rsidP="00E919D1">
            <w:pPr>
              <w:pStyle w:val="TableTextDecimal"/>
              <w:framePr w:wrap="notBeside"/>
            </w:pPr>
            <w:r w:rsidDel="00377A73">
              <w:t>0.003</w:t>
            </w:r>
            <w:r w:rsidDel="00377A73">
              <w:br/>
              <w:t>(0.024)</w:t>
            </w:r>
          </w:p>
        </w:tc>
      </w:tr>
      <w:tr w:rsidR="00EB7785" w:rsidDel="00377A73" w14:paraId="06804CD5" w14:textId="7D2C486C"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5A1D5070" w14:textId="21491E2D" w:rsidR="00EB7785" w:rsidDel="00377A73" w:rsidRDefault="00EB7785" w:rsidP="00061E9D">
            <w:pPr>
              <w:pStyle w:val="TableTextLeft"/>
              <w:ind w:left="221"/>
            </w:pPr>
            <w:r w:rsidDel="00377A73">
              <w:t>Ischemic heart disease</w:t>
            </w:r>
          </w:p>
        </w:tc>
        <w:tc>
          <w:tcPr>
            <w:tcW w:w="961" w:type="pct"/>
            <w:tcBorders>
              <w:top w:val="nil"/>
              <w:left w:val="nil"/>
              <w:bottom w:val="nil"/>
              <w:right w:val="nil"/>
            </w:tcBorders>
            <w:tcMar>
              <w:bottom w:w="0" w:type="dxa"/>
            </w:tcMar>
          </w:tcPr>
          <w:p w14:paraId="31A3CEC7" w14:textId="5365ED43" w:rsidR="00EB7785" w:rsidDel="00377A73" w:rsidRDefault="00EB7785" w:rsidP="00E919D1">
            <w:pPr>
              <w:pStyle w:val="TableTextDecimal"/>
              <w:framePr w:wrap="notBeside"/>
            </w:pPr>
            <w:r w:rsidDel="00377A73">
              <w:t>0.029</w:t>
            </w:r>
            <w:r w:rsidDel="00377A73">
              <w:br/>
              <w:t>(0.030)</w:t>
            </w:r>
          </w:p>
        </w:tc>
        <w:tc>
          <w:tcPr>
            <w:tcW w:w="962" w:type="pct"/>
            <w:tcBorders>
              <w:top w:val="nil"/>
              <w:left w:val="nil"/>
              <w:bottom w:val="nil"/>
              <w:right w:val="nil"/>
            </w:tcBorders>
            <w:tcMar>
              <w:bottom w:w="0" w:type="dxa"/>
            </w:tcMar>
          </w:tcPr>
          <w:p w14:paraId="744065F5" w14:textId="69AF17AD" w:rsidR="00EB7785" w:rsidDel="00377A73" w:rsidRDefault="00EB7785" w:rsidP="00E919D1">
            <w:pPr>
              <w:pStyle w:val="TableTextDecimal"/>
              <w:framePr w:wrap="notBeside"/>
            </w:pPr>
            <w:r w:rsidDel="00377A73">
              <w:t>-0.005</w:t>
            </w:r>
            <w:r w:rsidDel="00377A73">
              <w:br/>
              <w:t>(0.023)</w:t>
            </w:r>
          </w:p>
        </w:tc>
      </w:tr>
      <w:tr w:rsidR="00EB7785" w:rsidDel="00377A73" w14:paraId="239C5B38" w14:textId="18E4A73D"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31049C5" w14:textId="78DDC99B" w:rsidR="00EB7785" w:rsidDel="00377A73" w:rsidRDefault="00EB7785" w:rsidP="00061E9D">
            <w:pPr>
              <w:pStyle w:val="TableTextLeft"/>
              <w:ind w:left="221"/>
            </w:pPr>
            <w:r w:rsidDel="00377A73">
              <w:t>Obesity</w:t>
            </w:r>
          </w:p>
        </w:tc>
        <w:tc>
          <w:tcPr>
            <w:tcW w:w="961" w:type="pct"/>
            <w:tcBorders>
              <w:top w:val="nil"/>
              <w:left w:val="nil"/>
              <w:bottom w:val="nil"/>
              <w:right w:val="nil"/>
            </w:tcBorders>
            <w:tcMar>
              <w:bottom w:w="0" w:type="dxa"/>
            </w:tcMar>
          </w:tcPr>
          <w:p w14:paraId="22EABB7F" w14:textId="7202FB32" w:rsidR="00EB7785" w:rsidDel="00377A73" w:rsidRDefault="00EB7785" w:rsidP="00E919D1">
            <w:pPr>
              <w:pStyle w:val="TableTextDecimal"/>
              <w:framePr w:wrap="notBeside"/>
            </w:pPr>
            <w:r w:rsidDel="00377A73">
              <w:t>0.128***</w:t>
            </w:r>
            <w:r w:rsidDel="00377A73">
              <w:br/>
              <w:t>(0.030)</w:t>
            </w:r>
          </w:p>
        </w:tc>
        <w:tc>
          <w:tcPr>
            <w:tcW w:w="962" w:type="pct"/>
            <w:tcBorders>
              <w:top w:val="nil"/>
              <w:left w:val="nil"/>
              <w:bottom w:val="nil"/>
              <w:right w:val="nil"/>
            </w:tcBorders>
            <w:tcMar>
              <w:bottom w:w="0" w:type="dxa"/>
            </w:tcMar>
          </w:tcPr>
          <w:p w14:paraId="2227C212" w14:textId="7509ED61" w:rsidR="00EB7785" w:rsidDel="00377A73" w:rsidRDefault="00EB7785" w:rsidP="00E919D1">
            <w:pPr>
              <w:pStyle w:val="TableTextDecimal"/>
              <w:framePr w:wrap="notBeside"/>
            </w:pPr>
            <w:r w:rsidDel="00377A73">
              <w:t>0.060**</w:t>
            </w:r>
            <w:r w:rsidDel="00377A73">
              <w:br/>
              <w:t>(0.023)</w:t>
            </w:r>
          </w:p>
        </w:tc>
      </w:tr>
      <w:tr w:rsidR="00EB7785" w:rsidDel="00377A73" w14:paraId="38647BA3" w14:textId="03525AEA"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40644491" w14:textId="2631DD79" w:rsidR="00EB7785" w:rsidDel="00377A73" w:rsidRDefault="00EB7785" w:rsidP="00061E9D">
            <w:pPr>
              <w:pStyle w:val="TableTextLeft"/>
              <w:ind w:left="221"/>
            </w:pPr>
            <w:r w:rsidDel="00377A73">
              <w:t>Osteoporosis</w:t>
            </w:r>
          </w:p>
        </w:tc>
        <w:tc>
          <w:tcPr>
            <w:tcW w:w="961" w:type="pct"/>
            <w:tcBorders>
              <w:top w:val="nil"/>
              <w:left w:val="nil"/>
              <w:bottom w:val="nil"/>
              <w:right w:val="nil"/>
            </w:tcBorders>
            <w:tcMar>
              <w:bottom w:w="0" w:type="dxa"/>
            </w:tcMar>
          </w:tcPr>
          <w:p w14:paraId="61A7449E" w14:textId="3A7A8BC5" w:rsidR="00EB7785" w:rsidDel="00377A73" w:rsidRDefault="00EB7785" w:rsidP="00E919D1">
            <w:pPr>
              <w:pStyle w:val="TableTextDecimal"/>
              <w:framePr w:wrap="notBeside"/>
            </w:pPr>
            <w:r w:rsidDel="00377A73">
              <w:t>-0.063</w:t>
            </w:r>
            <w:r w:rsidDel="00377A73">
              <w:br/>
              <w:t>(0.054)</w:t>
            </w:r>
          </w:p>
        </w:tc>
        <w:tc>
          <w:tcPr>
            <w:tcW w:w="962" w:type="pct"/>
            <w:tcBorders>
              <w:top w:val="nil"/>
              <w:left w:val="nil"/>
              <w:bottom w:val="nil"/>
              <w:right w:val="nil"/>
            </w:tcBorders>
            <w:tcMar>
              <w:bottom w:w="0" w:type="dxa"/>
            </w:tcMar>
          </w:tcPr>
          <w:p w14:paraId="69004859" w14:textId="5C6E0212" w:rsidR="00EB7785" w:rsidDel="00377A73" w:rsidRDefault="00EB7785" w:rsidP="00E919D1">
            <w:pPr>
              <w:pStyle w:val="TableTextDecimal"/>
              <w:framePr w:wrap="notBeside"/>
            </w:pPr>
            <w:r w:rsidDel="00377A73">
              <w:t>-0.078*</w:t>
            </w:r>
            <w:r w:rsidDel="00377A73">
              <w:br/>
              <w:t>(0.042)</w:t>
            </w:r>
          </w:p>
        </w:tc>
      </w:tr>
      <w:tr w:rsidR="00EB7785" w:rsidDel="00377A73" w14:paraId="3FE68A53" w14:textId="2D49E1A1"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01E7DF48" w14:textId="1E1FC215" w:rsidR="00EB7785" w:rsidDel="00377A73" w:rsidRDefault="00EB7785" w:rsidP="00061E9D">
            <w:pPr>
              <w:pStyle w:val="TableTextLeft"/>
              <w:ind w:left="221"/>
            </w:pPr>
            <w:r w:rsidDel="00377A73">
              <w:t>Rheumatoid arthritis or osteoarthritis</w:t>
            </w:r>
          </w:p>
        </w:tc>
        <w:tc>
          <w:tcPr>
            <w:tcW w:w="961" w:type="pct"/>
            <w:tcBorders>
              <w:top w:val="nil"/>
              <w:left w:val="nil"/>
              <w:bottom w:val="nil"/>
              <w:right w:val="nil"/>
            </w:tcBorders>
            <w:tcMar>
              <w:bottom w:w="0" w:type="dxa"/>
            </w:tcMar>
          </w:tcPr>
          <w:p w14:paraId="376D7013" w14:textId="21096A52" w:rsidR="00EB7785" w:rsidDel="00377A73" w:rsidRDefault="00EB7785" w:rsidP="00E919D1">
            <w:pPr>
              <w:pStyle w:val="TableTextDecimal"/>
              <w:framePr w:wrap="notBeside"/>
            </w:pPr>
            <w:r w:rsidDel="00377A73">
              <w:t>0.016</w:t>
            </w:r>
            <w:r w:rsidDel="00377A73">
              <w:br/>
              <w:t>(0.020)</w:t>
            </w:r>
          </w:p>
        </w:tc>
        <w:tc>
          <w:tcPr>
            <w:tcW w:w="962" w:type="pct"/>
            <w:tcBorders>
              <w:top w:val="nil"/>
              <w:left w:val="nil"/>
              <w:bottom w:val="nil"/>
              <w:right w:val="nil"/>
            </w:tcBorders>
            <w:tcMar>
              <w:bottom w:w="0" w:type="dxa"/>
            </w:tcMar>
          </w:tcPr>
          <w:p w14:paraId="7C71551A" w14:textId="228A4370" w:rsidR="00EB7785" w:rsidDel="00377A73" w:rsidRDefault="00EB7785" w:rsidP="00E919D1">
            <w:pPr>
              <w:pStyle w:val="TableTextDecimal"/>
              <w:framePr w:wrap="notBeside"/>
            </w:pPr>
            <w:r w:rsidDel="00377A73">
              <w:t>0.018</w:t>
            </w:r>
            <w:r w:rsidDel="00377A73">
              <w:br/>
              <w:t>(0.016)</w:t>
            </w:r>
          </w:p>
        </w:tc>
      </w:tr>
      <w:tr w:rsidR="00EB7785" w:rsidDel="00377A73" w14:paraId="5ED9AB4F" w14:textId="4D9413B1"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0A5570B7" w14:textId="68D66BE5" w:rsidR="00EB7785" w:rsidDel="00377A73" w:rsidRDefault="00EB7785" w:rsidP="00061E9D">
            <w:pPr>
              <w:pStyle w:val="TableTextLeft"/>
              <w:ind w:left="221"/>
            </w:pPr>
            <w:r w:rsidDel="00377A73">
              <w:t>Tobacco use disorder</w:t>
            </w:r>
          </w:p>
        </w:tc>
        <w:tc>
          <w:tcPr>
            <w:tcW w:w="961" w:type="pct"/>
            <w:tcBorders>
              <w:top w:val="nil"/>
              <w:left w:val="nil"/>
              <w:bottom w:val="nil"/>
              <w:right w:val="nil"/>
            </w:tcBorders>
            <w:tcMar>
              <w:bottom w:w="0" w:type="dxa"/>
            </w:tcMar>
          </w:tcPr>
          <w:p w14:paraId="0AD1D8CD" w14:textId="71540F5D" w:rsidR="00EB7785" w:rsidDel="00377A73" w:rsidRDefault="00EB7785" w:rsidP="00E919D1">
            <w:pPr>
              <w:pStyle w:val="TableTextDecimal"/>
              <w:framePr w:wrap="notBeside"/>
            </w:pPr>
            <w:r w:rsidDel="00377A73">
              <w:t>0.013</w:t>
            </w:r>
            <w:r w:rsidDel="00377A73">
              <w:br/>
              <w:t>(0.035)</w:t>
            </w:r>
          </w:p>
        </w:tc>
        <w:tc>
          <w:tcPr>
            <w:tcW w:w="962" w:type="pct"/>
            <w:tcBorders>
              <w:top w:val="nil"/>
              <w:left w:val="nil"/>
              <w:bottom w:val="nil"/>
              <w:right w:val="nil"/>
            </w:tcBorders>
            <w:tcMar>
              <w:bottom w:w="0" w:type="dxa"/>
            </w:tcMar>
          </w:tcPr>
          <w:p w14:paraId="2F76EC6B" w14:textId="2B85F851" w:rsidR="00EB7785" w:rsidDel="00377A73" w:rsidRDefault="00EB7785" w:rsidP="00E919D1">
            <w:pPr>
              <w:pStyle w:val="TableTextDecimal"/>
              <w:framePr w:wrap="notBeside"/>
            </w:pPr>
            <w:r w:rsidDel="00377A73">
              <w:t>0.008</w:t>
            </w:r>
            <w:r w:rsidDel="00377A73">
              <w:br/>
              <w:t>(0.028)</w:t>
            </w:r>
          </w:p>
        </w:tc>
      </w:tr>
      <w:tr w:rsidR="00EB7785" w:rsidDel="00377A73" w14:paraId="6EB05894" w14:textId="51BB4AD7"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5F8DEE42" w14:textId="7C7831AB" w:rsidR="00EB7785" w:rsidRPr="00471429" w:rsidDel="00377A73" w:rsidRDefault="00EB7785" w:rsidP="000D775D">
            <w:pPr>
              <w:pStyle w:val="TableTextLeft"/>
            </w:pPr>
            <w:r w:rsidRPr="00471429" w:rsidDel="00377A73">
              <w:t>Proportion of beneficiaries attributed during baseline who were missing information on chronic conditions (%)</w:t>
            </w:r>
          </w:p>
        </w:tc>
        <w:tc>
          <w:tcPr>
            <w:tcW w:w="961" w:type="pct"/>
            <w:tcBorders>
              <w:top w:val="nil"/>
              <w:left w:val="nil"/>
              <w:bottom w:val="nil"/>
              <w:right w:val="nil"/>
            </w:tcBorders>
            <w:tcMar>
              <w:bottom w:w="0" w:type="dxa"/>
            </w:tcMar>
          </w:tcPr>
          <w:p w14:paraId="62FA4C2A" w14:textId="36E61813" w:rsidR="00EB7785" w:rsidDel="00377A73" w:rsidRDefault="00EB7785" w:rsidP="00E919D1">
            <w:pPr>
              <w:pStyle w:val="TableTextDecimal"/>
              <w:framePr w:wrap="notBeside"/>
            </w:pPr>
            <w:r w:rsidDel="00377A73">
              <w:t>0.013</w:t>
            </w:r>
            <w:r w:rsidDel="00377A73">
              <w:br/>
              <w:t>(0.028)</w:t>
            </w:r>
          </w:p>
        </w:tc>
        <w:tc>
          <w:tcPr>
            <w:tcW w:w="962" w:type="pct"/>
            <w:tcBorders>
              <w:top w:val="nil"/>
              <w:left w:val="nil"/>
              <w:bottom w:val="nil"/>
              <w:right w:val="nil"/>
            </w:tcBorders>
            <w:tcMar>
              <w:bottom w:w="0" w:type="dxa"/>
            </w:tcMar>
          </w:tcPr>
          <w:p w14:paraId="3748E091" w14:textId="23E98C62" w:rsidR="00EB7785" w:rsidDel="00377A73" w:rsidRDefault="00EB7785" w:rsidP="00E919D1">
            <w:pPr>
              <w:pStyle w:val="TableTextDecimal"/>
              <w:framePr w:wrap="notBeside"/>
            </w:pPr>
            <w:r w:rsidDel="00377A73">
              <w:t>0.051**</w:t>
            </w:r>
            <w:r w:rsidDel="00377A73">
              <w:br/>
              <w:t>(0.022)</w:t>
            </w:r>
          </w:p>
        </w:tc>
      </w:tr>
      <w:tr w:rsidR="00EB7785" w:rsidDel="00377A73" w14:paraId="6FD0375F" w14:textId="1D6092FA"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single" w:sz="4" w:space="0" w:color="auto"/>
              <w:right w:val="nil"/>
            </w:tcBorders>
            <w:tcMar>
              <w:bottom w:w="0" w:type="dxa"/>
            </w:tcMar>
          </w:tcPr>
          <w:p w14:paraId="7E431E40" w14:textId="5485C869" w:rsidR="00EB7785" w:rsidRPr="00471429" w:rsidDel="00377A73" w:rsidRDefault="00EB7785" w:rsidP="000D775D">
            <w:pPr>
              <w:pStyle w:val="TableTextLeft"/>
            </w:pPr>
            <w:r w:rsidDel="00377A73">
              <w:t>Constant</w:t>
            </w:r>
          </w:p>
        </w:tc>
        <w:tc>
          <w:tcPr>
            <w:tcW w:w="961" w:type="pct"/>
            <w:tcBorders>
              <w:top w:val="nil"/>
              <w:left w:val="nil"/>
              <w:bottom w:val="single" w:sz="4" w:space="0" w:color="auto"/>
              <w:right w:val="nil"/>
            </w:tcBorders>
            <w:tcMar>
              <w:bottom w:w="0" w:type="dxa"/>
            </w:tcMar>
          </w:tcPr>
          <w:p w14:paraId="6FEC7129" w14:textId="0DB7EEF6" w:rsidR="00EB7785" w:rsidDel="00377A73" w:rsidRDefault="00EB7785" w:rsidP="00E919D1">
            <w:pPr>
              <w:pStyle w:val="TableTextDecimal"/>
              <w:framePr w:wrap="notBeside"/>
            </w:pPr>
            <w:r w:rsidDel="00377A73">
              <w:t>0.167*</w:t>
            </w:r>
            <w:r w:rsidDel="00377A73">
              <w:br/>
              <w:t>(0.092)</w:t>
            </w:r>
          </w:p>
        </w:tc>
        <w:tc>
          <w:tcPr>
            <w:tcW w:w="962" w:type="pct"/>
            <w:tcBorders>
              <w:top w:val="nil"/>
              <w:left w:val="nil"/>
              <w:bottom w:val="single" w:sz="4" w:space="0" w:color="auto"/>
              <w:right w:val="nil"/>
            </w:tcBorders>
            <w:tcMar>
              <w:bottom w:w="0" w:type="dxa"/>
            </w:tcMar>
          </w:tcPr>
          <w:p w14:paraId="5CBE3218" w14:textId="7B7A4972" w:rsidR="00EB7785" w:rsidDel="00377A73" w:rsidRDefault="00EB7785" w:rsidP="00E919D1">
            <w:pPr>
              <w:pStyle w:val="TableTextDecimal"/>
              <w:framePr w:wrap="notBeside"/>
            </w:pPr>
            <w:r w:rsidDel="00377A73">
              <w:t>-0.049</w:t>
            </w:r>
            <w:r w:rsidDel="00377A73">
              <w:br/>
              <w:t>(0.072)</w:t>
            </w:r>
          </w:p>
        </w:tc>
      </w:tr>
      <w:tr w:rsidR="00EB7785" w:rsidDel="00377A73" w14:paraId="32E110D1" w14:textId="633B6F56"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nil"/>
              <w:right w:val="nil"/>
            </w:tcBorders>
            <w:tcMar>
              <w:bottom w:w="0" w:type="dxa"/>
            </w:tcMar>
          </w:tcPr>
          <w:p w14:paraId="21E927FB" w14:textId="57F425E5" w:rsidR="00EB7785" w:rsidDel="00377A73" w:rsidRDefault="00EB7785" w:rsidP="000D775D">
            <w:pPr>
              <w:pStyle w:val="TableTextLeft"/>
            </w:pPr>
            <w:r w:rsidDel="00377A73">
              <w:t>R</w:t>
            </w:r>
            <w:r w:rsidRPr="00471429" w:rsidDel="00377A73">
              <w:rPr>
                <w:vertAlign w:val="superscript"/>
              </w:rPr>
              <w:t>2</w:t>
            </w:r>
          </w:p>
        </w:tc>
        <w:tc>
          <w:tcPr>
            <w:tcW w:w="961" w:type="pct"/>
            <w:tcBorders>
              <w:top w:val="nil"/>
              <w:left w:val="nil"/>
              <w:bottom w:val="nil"/>
              <w:right w:val="nil"/>
            </w:tcBorders>
            <w:tcMar>
              <w:bottom w:w="0" w:type="dxa"/>
            </w:tcMar>
          </w:tcPr>
          <w:p w14:paraId="08AF9464" w14:textId="649D5030" w:rsidR="00EB7785" w:rsidDel="00377A73" w:rsidRDefault="00EB7785" w:rsidP="00E919D1">
            <w:pPr>
              <w:pStyle w:val="TableTextDecimal"/>
              <w:framePr w:wrap="notBeside"/>
            </w:pPr>
            <w:r w:rsidDel="00377A73">
              <w:t>0.221</w:t>
            </w:r>
          </w:p>
        </w:tc>
        <w:tc>
          <w:tcPr>
            <w:tcW w:w="962" w:type="pct"/>
            <w:tcBorders>
              <w:top w:val="nil"/>
              <w:left w:val="nil"/>
              <w:bottom w:val="nil"/>
              <w:right w:val="nil"/>
            </w:tcBorders>
            <w:tcMar>
              <w:bottom w:w="0" w:type="dxa"/>
            </w:tcMar>
          </w:tcPr>
          <w:p w14:paraId="52DC6963" w14:textId="4269785D" w:rsidR="00EB7785" w:rsidDel="00377A73" w:rsidRDefault="00EB7785" w:rsidP="00E919D1">
            <w:pPr>
              <w:pStyle w:val="TableTextDecimal"/>
              <w:framePr w:wrap="notBeside"/>
            </w:pPr>
            <w:r w:rsidDel="00377A73">
              <w:t>0.140</w:t>
            </w:r>
          </w:p>
        </w:tc>
      </w:tr>
      <w:tr w:rsidR="00EB7785" w:rsidDel="00377A73" w14:paraId="3B0DDD83" w14:textId="09A77340" w:rsidTr="00536605">
        <w:trPr>
          <w:cnfStyle w:val="000000010000" w:firstRow="0" w:lastRow="0" w:firstColumn="0" w:lastColumn="0" w:oddVBand="0" w:evenVBand="0" w:oddHBand="0" w:evenHBand="1" w:firstRowFirstColumn="0" w:firstRowLastColumn="0" w:lastRowFirstColumn="0" w:lastRowLastColumn="0"/>
        </w:trPr>
        <w:tc>
          <w:tcPr>
            <w:tcW w:w="3077" w:type="pct"/>
            <w:tcBorders>
              <w:top w:val="nil"/>
              <w:left w:val="nil"/>
              <w:bottom w:val="nil"/>
              <w:right w:val="nil"/>
            </w:tcBorders>
            <w:tcMar>
              <w:bottom w:w="0" w:type="dxa"/>
            </w:tcMar>
          </w:tcPr>
          <w:p w14:paraId="7F4EE296" w14:textId="64AF7DC9" w:rsidR="00EB7785" w:rsidDel="00377A73" w:rsidRDefault="00EB7785" w:rsidP="000D775D">
            <w:pPr>
              <w:pStyle w:val="TableTextLeft"/>
            </w:pPr>
            <w:r w:rsidDel="00377A73">
              <w:t>F-statistic</w:t>
            </w:r>
          </w:p>
        </w:tc>
        <w:tc>
          <w:tcPr>
            <w:tcW w:w="961" w:type="pct"/>
            <w:tcBorders>
              <w:top w:val="nil"/>
              <w:left w:val="nil"/>
              <w:bottom w:val="nil"/>
              <w:right w:val="nil"/>
            </w:tcBorders>
            <w:tcMar>
              <w:bottom w:w="0" w:type="dxa"/>
            </w:tcMar>
          </w:tcPr>
          <w:p w14:paraId="10578B55" w14:textId="3D9764F8" w:rsidR="00EB7785" w:rsidDel="00377A73" w:rsidRDefault="00EB7785" w:rsidP="00E919D1">
            <w:pPr>
              <w:pStyle w:val="TableTextDecimal"/>
              <w:framePr w:wrap="notBeside"/>
            </w:pPr>
            <w:r w:rsidDel="00377A73">
              <w:t>47.219***</w:t>
            </w:r>
          </w:p>
        </w:tc>
        <w:tc>
          <w:tcPr>
            <w:tcW w:w="962" w:type="pct"/>
            <w:tcBorders>
              <w:top w:val="nil"/>
              <w:left w:val="nil"/>
              <w:bottom w:val="nil"/>
              <w:right w:val="nil"/>
            </w:tcBorders>
            <w:tcMar>
              <w:bottom w:w="0" w:type="dxa"/>
            </w:tcMar>
          </w:tcPr>
          <w:p w14:paraId="0988F2A8" w14:textId="25D5799E" w:rsidR="00EB7785" w:rsidDel="00377A73" w:rsidRDefault="00EB7785" w:rsidP="00E919D1">
            <w:pPr>
              <w:pStyle w:val="TableTextDecimal"/>
              <w:framePr w:wrap="notBeside"/>
            </w:pPr>
            <w:r w:rsidDel="00377A73">
              <w:t>27.054***</w:t>
            </w:r>
          </w:p>
        </w:tc>
      </w:tr>
      <w:tr w:rsidR="00EB7785" w:rsidDel="00377A73" w14:paraId="0B3A9D91" w14:textId="4242E9F4" w:rsidTr="00536605">
        <w:trPr>
          <w:cnfStyle w:val="000000100000" w:firstRow="0" w:lastRow="0" w:firstColumn="0" w:lastColumn="0" w:oddVBand="0" w:evenVBand="0" w:oddHBand="1" w:evenHBand="0" w:firstRowFirstColumn="0" w:firstRowLastColumn="0" w:lastRowFirstColumn="0" w:lastRowLastColumn="0"/>
        </w:trPr>
        <w:tc>
          <w:tcPr>
            <w:tcW w:w="3077" w:type="pct"/>
            <w:tcBorders>
              <w:top w:val="nil"/>
              <w:left w:val="nil"/>
              <w:bottom w:val="single" w:sz="4" w:space="0" w:color="auto"/>
              <w:right w:val="nil"/>
            </w:tcBorders>
            <w:tcMar>
              <w:bottom w:w="0" w:type="dxa"/>
            </w:tcMar>
          </w:tcPr>
          <w:p w14:paraId="1DF7C94D" w14:textId="1603B88A" w:rsidR="00EB7785" w:rsidDel="00377A73" w:rsidRDefault="00EB7785" w:rsidP="00E919D1">
            <w:pPr>
              <w:pStyle w:val="TableTextLeft"/>
              <w:ind w:left="221"/>
            </w:pPr>
            <w:r w:rsidDel="00377A73">
              <w:t>Degrees of freedom (residual)</w:t>
            </w:r>
          </w:p>
        </w:tc>
        <w:tc>
          <w:tcPr>
            <w:tcW w:w="961" w:type="pct"/>
            <w:tcBorders>
              <w:top w:val="nil"/>
              <w:left w:val="nil"/>
              <w:bottom w:val="single" w:sz="4" w:space="0" w:color="auto"/>
              <w:right w:val="nil"/>
            </w:tcBorders>
            <w:tcMar>
              <w:bottom w:w="0" w:type="dxa"/>
            </w:tcMar>
          </w:tcPr>
          <w:p w14:paraId="45F2593A" w14:textId="3973D299" w:rsidR="00EB7785" w:rsidDel="00377A73" w:rsidRDefault="00EB7785" w:rsidP="00E919D1">
            <w:pPr>
              <w:pStyle w:val="TableTextDecimal"/>
              <w:framePr w:wrap="notBeside"/>
              <w:tabs>
                <w:tab w:val="clear" w:pos="716"/>
                <w:tab w:val="decimal" w:pos="1088"/>
              </w:tabs>
            </w:pPr>
            <w:r w:rsidDel="00377A73">
              <w:t>13,832</w:t>
            </w:r>
          </w:p>
        </w:tc>
        <w:tc>
          <w:tcPr>
            <w:tcW w:w="962" w:type="pct"/>
            <w:tcBorders>
              <w:top w:val="nil"/>
              <w:left w:val="nil"/>
              <w:bottom w:val="single" w:sz="4" w:space="0" w:color="auto"/>
              <w:right w:val="nil"/>
            </w:tcBorders>
            <w:tcMar>
              <w:bottom w:w="0" w:type="dxa"/>
            </w:tcMar>
          </w:tcPr>
          <w:p w14:paraId="7D55E021" w14:textId="0ECBFA02" w:rsidR="00EB7785" w:rsidDel="00377A73" w:rsidRDefault="00EB7785" w:rsidP="00E919D1">
            <w:pPr>
              <w:pStyle w:val="TableTextDecimal"/>
              <w:framePr w:wrap="notBeside"/>
              <w:tabs>
                <w:tab w:val="clear" w:pos="716"/>
                <w:tab w:val="decimal" w:pos="1088"/>
              </w:tabs>
            </w:pPr>
            <w:r w:rsidDel="00377A73">
              <w:t>13,832</w:t>
            </w:r>
          </w:p>
        </w:tc>
      </w:tr>
    </w:tbl>
    <w:p w14:paraId="312F51D4" w14:textId="17791B0C" w:rsidR="0025366A" w:rsidDel="00377A73" w:rsidRDefault="0025366A" w:rsidP="009F375A">
      <w:pPr>
        <w:pStyle w:val="TableSource"/>
      </w:pPr>
      <w:r w:rsidDel="00377A73">
        <w:t>Source:</w:t>
      </w:r>
      <w:r w:rsidDel="00377A73">
        <w:tab/>
        <w:t xml:space="preserve">Analyses were based on </w:t>
      </w:r>
      <w:proofErr w:type="spellStart"/>
      <w:r w:rsidDel="00377A73">
        <w:t>TCPi</w:t>
      </w:r>
      <w:proofErr w:type="spellEnd"/>
      <w:r w:rsidDel="00377A73">
        <w:t xml:space="preserve"> model enrollment data; February 2020 MDM and January 2020 OCM and BPCI-A APM participation data; and administrative claims data from October 1, 2011, through December 31, 2018.</w:t>
      </w:r>
    </w:p>
    <w:p w14:paraId="7F62F453" w14:textId="068970A8" w:rsidR="0025366A" w:rsidDel="00377A73" w:rsidRDefault="0025366A" w:rsidP="009F375A">
      <w:pPr>
        <w:pStyle w:val="TableSource"/>
      </w:pPr>
      <w:r w:rsidDel="00377A73">
        <w:t>Note:</w:t>
      </w:r>
      <w:r w:rsidDel="00377A73">
        <w:tab/>
        <w:t xml:space="preserve">The number of </w:t>
      </w:r>
      <w:proofErr w:type="spellStart"/>
      <w:r w:rsidDel="00377A73">
        <w:t>TCPi</w:t>
      </w:r>
      <w:proofErr w:type="spellEnd"/>
      <w:r w:rsidDel="00377A73">
        <w:t xml:space="preserve"> practices in each regression is presented in parentheses. The regressions for participation in a Medicare APM and in and Advanced APM also included those practices’ matched comparisons. For the regression on whether MSSP practices ever achieved savings, only the subset of 605 </w:t>
      </w:r>
      <w:proofErr w:type="spellStart"/>
      <w:r w:rsidDel="00377A73">
        <w:t>TCPi</w:t>
      </w:r>
      <w:proofErr w:type="spellEnd"/>
      <w:r w:rsidDel="00377A73">
        <w:t xml:space="preserve"> practices and 374 comparison practices that started participating in MSSP by 2018 were included in the regression. </w:t>
      </w:r>
    </w:p>
    <w:p w14:paraId="5760A927" w14:textId="4A776A75" w:rsidR="0025366A" w:rsidDel="00377A73" w:rsidRDefault="0025366A" w:rsidP="009F375A">
      <w:pPr>
        <w:pStyle w:val="TableFootnote"/>
      </w:pPr>
      <w:r w:rsidRPr="009F375A" w:rsidDel="00377A73">
        <w:rPr>
          <w:rStyle w:val="Superscript"/>
        </w:rPr>
        <w:t>a</w:t>
      </w:r>
      <w:r w:rsidDel="00377A73">
        <w:t xml:space="preserve"> Cancer was defined as having at least one of breast, colorectal, endometrial, lung, or prostate cancer.</w:t>
      </w:r>
    </w:p>
    <w:p w14:paraId="32462F36" w14:textId="305836B0" w:rsidR="0025366A" w:rsidDel="00377A73" w:rsidRDefault="0025366A" w:rsidP="009F375A">
      <w:pPr>
        <w:pStyle w:val="TableFootnote"/>
      </w:pPr>
      <w:r w:rsidDel="00377A73">
        <w:t>* = p &lt; 0.10, two-tailed test; ** = p &lt; 0.05, two-tailed test; *** = p &lt; 0.01, two-tailed test</w:t>
      </w:r>
      <w:r w:rsidR="009F375A" w:rsidDel="00377A73">
        <w:t>.</w:t>
      </w:r>
    </w:p>
    <w:p w14:paraId="7B2FCD53" w14:textId="1B5A597A" w:rsidR="00977E97" w:rsidDel="00377A73" w:rsidRDefault="009F375A" w:rsidP="009F375A">
      <w:pPr>
        <w:pStyle w:val="TableFootnote"/>
      </w:pPr>
      <w:r w:rsidRPr="009F375A" w:rsidDel="00377A73">
        <w:t>APM = alternative payment model; BPCI-A = Bundled Payments for Care Improvement Advanced Model; EHR = electronic health record; ESRD = end-stage renal disease; MDM = Master Data Management; MSSP = Medicare Shared Savings Program; OCM = Oncology Care Model.</w:t>
      </w:r>
    </w:p>
    <w:p w14:paraId="270B0429" w14:textId="74275451" w:rsidR="00977E97" w:rsidDel="00377A73" w:rsidRDefault="00977E97" w:rsidP="009F375A">
      <w:pPr>
        <w:pStyle w:val="TableFootnote"/>
        <w:sectPr w:rsidR="00977E97" w:rsidDel="00377A73" w:rsidSect="00D601E9">
          <w:headerReference w:type="default" r:id="rId37"/>
          <w:endnotePr>
            <w:numFmt w:val="decimal"/>
          </w:endnotePr>
          <w:type w:val="continuous"/>
          <w:pgSz w:w="12240" w:h="15840" w:code="1"/>
          <w:pgMar w:top="1440" w:right="1440" w:bottom="1440" w:left="1440" w:header="720" w:footer="720" w:gutter="0"/>
          <w:cols w:space="360"/>
          <w:docGrid w:linePitch="360"/>
        </w:sectPr>
      </w:pPr>
    </w:p>
    <w:p w14:paraId="757B26D2" w14:textId="77777777" w:rsidR="002F3629" w:rsidRDefault="002F3629" w:rsidP="009F375A">
      <w:pPr>
        <w:pStyle w:val="TableFootnote"/>
      </w:pPr>
    </w:p>
    <w:p w14:paraId="7C9A0513" w14:textId="28DDA19C" w:rsidR="009C02F0" w:rsidRDefault="009C02F0" w:rsidP="005C3534">
      <w:pPr>
        <w:pStyle w:val="H2"/>
      </w:pPr>
      <w:r>
        <w:t>REFERENCES</w:t>
      </w:r>
    </w:p>
    <w:p w14:paraId="3369CD1B" w14:textId="2A387C51" w:rsidR="00131BA8" w:rsidRPr="005C3534" w:rsidRDefault="00131BA8" w:rsidP="005C3534">
      <w:pPr>
        <w:spacing w:before="240" w:line="480" w:lineRule="auto"/>
        <w:rPr>
          <w:szCs w:val="24"/>
        </w:rPr>
      </w:pPr>
      <w:r w:rsidRPr="005C3534">
        <w:rPr>
          <w:szCs w:val="24"/>
        </w:rPr>
        <w:t>Centers for Medicare &amp; Medicaid Services. “Medicare Shared Savings Program — Shared Savings and Losses and Assignment Methodology: Specifications.” August 2020. Available at https://www.cms.gov/files/document/shared-savings-losses-assignment-spec-v8.pdf. Accessed October 13, 2021.</w:t>
      </w:r>
    </w:p>
    <w:p w14:paraId="3DA4916E" w14:textId="05D765D2" w:rsidR="00131BA8" w:rsidRPr="00131BA8" w:rsidRDefault="00131BA8" w:rsidP="009C02F0">
      <w:pPr>
        <w:spacing w:line="480" w:lineRule="auto"/>
        <w:rPr>
          <w:szCs w:val="24"/>
        </w:rPr>
      </w:pPr>
      <w:r w:rsidRPr="005C3534">
        <w:rPr>
          <w:szCs w:val="24"/>
        </w:rPr>
        <w:t>Dartmouth Atlas Project. “Research Methods.” 2020. Available at https://www.dartmouthatlas.org/research-methods/. Accessed October 13, 2021.</w:t>
      </w:r>
    </w:p>
    <w:p w14:paraId="063C281D" w14:textId="77777777" w:rsidR="00131BA8" w:rsidRPr="00271323" w:rsidRDefault="00131BA8" w:rsidP="009C02F0">
      <w:pPr>
        <w:spacing w:line="480" w:lineRule="auto"/>
        <w:rPr>
          <w:szCs w:val="24"/>
        </w:rPr>
      </w:pPr>
      <w:proofErr w:type="spellStart"/>
      <w:r w:rsidRPr="00271323">
        <w:rPr>
          <w:szCs w:val="24"/>
        </w:rPr>
        <w:t>Gerteis</w:t>
      </w:r>
      <w:proofErr w:type="spellEnd"/>
      <w:r w:rsidRPr="00271323">
        <w:rPr>
          <w:szCs w:val="24"/>
        </w:rPr>
        <w:t xml:space="preserve">, Jessie, and Beth </w:t>
      </w:r>
      <w:proofErr w:type="spellStart"/>
      <w:r w:rsidRPr="00271323">
        <w:rPr>
          <w:szCs w:val="24"/>
        </w:rPr>
        <w:t>Kantz</w:t>
      </w:r>
      <w:proofErr w:type="spellEnd"/>
      <w:r w:rsidRPr="00271323">
        <w:rPr>
          <w:szCs w:val="24"/>
        </w:rPr>
        <w:t xml:space="preserve">. “Findings from the AHRQ Transforming Primary Care Grant Initiative: A Synthesis Report.” Rockville, MD: Agency for Healthcare Research and Quality, July 2015. </w:t>
      </w:r>
    </w:p>
    <w:p w14:paraId="7A34FA5E" w14:textId="77777777" w:rsidR="00895640" w:rsidRDefault="00895640" w:rsidP="005C3534">
      <w:pPr>
        <w:spacing w:line="480" w:lineRule="auto"/>
      </w:pPr>
      <w:r w:rsidRPr="00895640">
        <w:t xml:space="preserve">Pham, </w:t>
      </w:r>
      <w:proofErr w:type="spellStart"/>
      <w:r w:rsidRPr="00895640">
        <w:t>Hoangmai</w:t>
      </w:r>
      <w:proofErr w:type="spellEnd"/>
      <w:r w:rsidRPr="00895640">
        <w:t xml:space="preserve"> H., Deborah </w:t>
      </w:r>
      <w:proofErr w:type="spellStart"/>
      <w:r w:rsidRPr="00895640">
        <w:t>Schrag</w:t>
      </w:r>
      <w:proofErr w:type="spellEnd"/>
      <w:r w:rsidRPr="00895640">
        <w:t xml:space="preserve">, Ann S. O’Malley, Beny Wu, and Peter B. Bach. “Care Patterns in Medicare and Their Implications for Pay for Performance.” </w:t>
      </w:r>
      <w:r w:rsidRPr="00094539">
        <w:rPr>
          <w:i/>
          <w:iCs/>
        </w:rPr>
        <w:t>New England Journal of Medicine</w:t>
      </w:r>
      <w:r w:rsidRPr="00895640">
        <w:t>, vol. 356, no. 11, 2007, pp. 1130 1139.</w:t>
      </w:r>
    </w:p>
    <w:p w14:paraId="5545A7B7" w14:textId="5AFB6A97" w:rsidR="005C3534" w:rsidRDefault="005C3534" w:rsidP="005C3534">
      <w:pPr>
        <w:spacing w:line="480" w:lineRule="auto"/>
      </w:pPr>
      <w:r w:rsidRPr="000241B3">
        <w:t>Pimentel, S</w:t>
      </w:r>
      <w:r>
        <w:t>.</w:t>
      </w:r>
      <w:r w:rsidRPr="000241B3">
        <w:t xml:space="preserve"> D., </w:t>
      </w:r>
      <w:proofErr w:type="spellStart"/>
      <w:r w:rsidRPr="000241B3">
        <w:t>Forrow</w:t>
      </w:r>
      <w:proofErr w:type="spellEnd"/>
      <w:r w:rsidRPr="000845F1">
        <w:t xml:space="preserve"> </w:t>
      </w:r>
      <w:r w:rsidRPr="000241B3">
        <w:t xml:space="preserve">Vollmer, </w:t>
      </w:r>
      <w:r>
        <w:t xml:space="preserve">L., </w:t>
      </w:r>
      <w:r w:rsidRPr="000241B3">
        <w:t xml:space="preserve">Gellar, </w:t>
      </w:r>
      <w:r>
        <w:t>J., &amp;</w:t>
      </w:r>
      <w:r w:rsidRPr="000241B3">
        <w:t xml:space="preserve"> Li</w:t>
      </w:r>
      <w:r>
        <w:t>, J</w:t>
      </w:r>
      <w:r w:rsidRPr="000241B3">
        <w:t>.</w:t>
      </w:r>
      <w:r>
        <w:t xml:space="preserve"> (2020).</w:t>
      </w:r>
      <w:r w:rsidRPr="000241B3">
        <w:t xml:space="preserve"> Optimal matching approaches in health policy evaluations under rolling enrol</w:t>
      </w:r>
      <w:r>
        <w:t>l</w:t>
      </w:r>
      <w:r w:rsidRPr="000241B3">
        <w:t xml:space="preserve">ment. </w:t>
      </w:r>
      <w:r w:rsidRPr="002C77DA">
        <w:rPr>
          <w:i/>
          <w:iCs/>
        </w:rPr>
        <w:t>Journal of the Royal Statistical Society, Series A, 183</w:t>
      </w:r>
      <w:r>
        <w:t>(</w:t>
      </w:r>
      <w:r w:rsidRPr="000241B3">
        <w:t>4</w:t>
      </w:r>
      <w:r>
        <w:t xml:space="preserve">), </w:t>
      </w:r>
      <w:r w:rsidRPr="000241B3">
        <w:t>1411</w:t>
      </w:r>
      <w:r>
        <w:t>–</w:t>
      </w:r>
      <w:r w:rsidRPr="000241B3">
        <w:t>1435.</w:t>
      </w:r>
    </w:p>
    <w:p w14:paraId="6C4005C6" w14:textId="77777777" w:rsidR="005C3534" w:rsidRDefault="005C3534" w:rsidP="005C3534">
      <w:pPr>
        <w:spacing w:line="480" w:lineRule="auto"/>
        <w:rPr>
          <w:szCs w:val="24"/>
        </w:rPr>
      </w:pPr>
      <w:r w:rsidRPr="000413CB">
        <w:rPr>
          <w:szCs w:val="24"/>
        </w:rPr>
        <w:t>Rosenbaum</w:t>
      </w:r>
      <w:r>
        <w:rPr>
          <w:szCs w:val="24"/>
        </w:rPr>
        <w:t>.</w:t>
      </w:r>
      <w:r w:rsidRPr="000413CB">
        <w:rPr>
          <w:szCs w:val="24"/>
        </w:rPr>
        <w:t xml:space="preserve"> P</w:t>
      </w:r>
      <w:r>
        <w:rPr>
          <w:szCs w:val="24"/>
        </w:rPr>
        <w:t xml:space="preserve">. </w:t>
      </w:r>
      <w:r w:rsidRPr="000413CB">
        <w:rPr>
          <w:szCs w:val="24"/>
        </w:rPr>
        <w:t xml:space="preserve">R. </w:t>
      </w:r>
      <w:r>
        <w:rPr>
          <w:szCs w:val="24"/>
        </w:rPr>
        <w:t xml:space="preserve">(1989). </w:t>
      </w:r>
      <w:r w:rsidRPr="000413CB">
        <w:rPr>
          <w:szCs w:val="24"/>
        </w:rPr>
        <w:t xml:space="preserve">Optimal matching for observational studies. </w:t>
      </w:r>
      <w:r w:rsidRPr="00031D70">
        <w:rPr>
          <w:i/>
          <w:iCs/>
          <w:szCs w:val="24"/>
        </w:rPr>
        <w:t>Journal of the American Statistical Association</w:t>
      </w:r>
      <w:r w:rsidRPr="002C77DA">
        <w:rPr>
          <w:i/>
          <w:iCs/>
          <w:szCs w:val="24"/>
        </w:rPr>
        <w:t>, 84</w:t>
      </w:r>
      <w:r w:rsidRPr="000413CB">
        <w:rPr>
          <w:szCs w:val="24"/>
        </w:rPr>
        <w:t>(408)</w:t>
      </w:r>
      <w:r>
        <w:rPr>
          <w:szCs w:val="24"/>
        </w:rPr>
        <w:t xml:space="preserve">, </w:t>
      </w:r>
      <w:r w:rsidRPr="000413CB">
        <w:rPr>
          <w:szCs w:val="24"/>
        </w:rPr>
        <w:t>1024–1032.</w:t>
      </w:r>
    </w:p>
    <w:p w14:paraId="502D0A53" w14:textId="1B63698A" w:rsidR="005C3534" w:rsidRDefault="005C3534" w:rsidP="009C02F0">
      <w:pPr>
        <w:spacing w:line="480" w:lineRule="auto"/>
        <w:rPr>
          <w:szCs w:val="24"/>
        </w:rPr>
      </w:pPr>
      <w:r w:rsidRPr="005C3534">
        <w:rPr>
          <w:szCs w:val="24"/>
        </w:rPr>
        <w:t xml:space="preserve">Smith, Jeffrey A., and Petra E. Todd. “Does Matching Overcome LaLonde's Critique of Nonexperimental Estimators?” </w:t>
      </w:r>
      <w:r w:rsidRPr="005C3534">
        <w:rPr>
          <w:i/>
          <w:iCs/>
          <w:szCs w:val="24"/>
        </w:rPr>
        <w:t>Journal of Econometrics</w:t>
      </w:r>
      <w:r w:rsidRPr="005C3534">
        <w:rPr>
          <w:szCs w:val="24"/>
        </w:rPr>
        <w:t>, vol. 125, no. 1-2, 2005, pp. 305-353.</w:t>
      </w:r>
    </w:p>
    <w:p w14:paraId="39333DE7" w14:textId="5C234579" w:rsidR="009C02F0" w:rsidRDefault="009C02F0" w:rsidP="009C02F0">
      <w:pPr>
        <w:spacing w:line="480" w:lineRule="auto"/>
        <w:rPr>
          <w:szCs w:val="24"/>
        </w:rPr>
      </w:pPr>
      <w:r w:rsidRPr="00C05DBC">
        <w:rPr>
          <w:szCs w:val="24"/>
        </w:rPr>
        <w:t>Stuart</w:t>
      </w:r>
      <w:r>
        <w:rPr>
          <w:szCs w:val="24"/>
        </w:rPr>
        <w:t>,</w:t>
      </w:r>
      <w:r w:rsidRPr="00C05DBC">
        <w:rPr>
          <w:szCs w:val="24"/>
        </w:rPr>
        <w:t xml:space="preserve"> E</w:t>
      </w:r>
      <w:r>
        <w:rPr>
          <w:szCs w:val="24"/>
        </w:rPr>
        <w:t xml:space="preserve">. </w:t>
      </w:r>
      <w:r w:rsidRPr="00C05DBC">
        <w:rPr>
          <w:szCs w:val="24"/>
        </w:rPr>
        <w:t xml:space="preserve">A. </w:t>
      </w:r>
      <w:r>
        <w:rPr>
          <w:szCs w:val="24"/>
        </w:rPr>
        <w:t xml:space="preserve">(2010). </w:t>
      </w:r>
      <w:r w:rsidRPr="00C05DBC">
        <w:rPr>
          <w:szCs w:val="24"/>
        </w:rPr>
        <w:t xml:space="preserve">Matching methods for causal inference: A review and a look forward. </w:t>
      </w:r>
      <w:r w:rsidRPr="002C77DA">
        <w:rPr>
          <w:i/>
          <w:iCs/>
          <w:szCs w:val="24"/>
        </w:rPr>
        <w:t>Statistical Science, 25</w:t>
      </w:r>
      <w:r w:rsidRPr="00C05DBC">
        <w:rPr>
          <w:szCs w:val="24"/>
        </w:rPr>
        <w:t>(1)</w:t>
      </w:r>
      <w:r>
        <w:rPr>
          <w:szCs w:val="24"/>
        </w:rPr>
        <w:t xml:space="preserve">, </w:t>
      </w:r>
      <w:r w:rsidRPr="00C05DBC">
        <w:rPr>
          <w:szCs w:val="24"/>
        </w:rPr>
        <w:t>1</w:t>
      </w:r>
      <w:r>
        <w:rPr>
          <w:szCs w:val="24"/>
        </w:rPr>
        <w:t>–</w:t>
      </w:r>
      <w:r w:rsidRPr="00C05DBC">
        <w:rPr>
          <w:szCs w:val="24"/>
        </w:rPr>
        <w:t>21. doi:10.1214/09-STS313</w:t>
      </w:r>
    </w:p>
    <w:p w14:paraId="2924187C" w14:textId="7A0B2EFF" w:rsidR="009C02F0" w:rsidRDefault="009C02F0" w:rsidP="001D5298">
      <w:pPr>
        <w:pStyle w:val="TableFootnote"/>
        <w:keepNext/>
        <w:tabs>
          <w:tab w:val="clear" w:pos="1080"/>
        </w:tabs>
        <w:spacing w:before="360" w:line="264" w:lineRule="auto"/>
      </w:pPr>
    </w:p>
    <w:sectPr w:rsidR="009C02F0" w:rsidSect="00CA3AB8">
      <w:headerReference w:type="default" r:id="rId38"/>
      <w:endnotePr>
        <w:numFmt w:val="decimal"/>
      </w:endnotePr>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0668" w14:textId="77777777" w:rsidR="0045712F" w:rsidRPr="00D37B98" w:rsidRDefault="0045712F" w:rsidP="00820339">
      <w:r w:rsidRPr="00D37B98">
        <w:t>Endnotes</w:t>
      </w:r>
    </w:p>
  </w:endnote>
  <w:endnote w:type="continuationSeparator" w:id="0">
    <w:p w14:paraId="11C6E16F" w14:textId="77777777" w:rsidR="0045712F" w:rsidRPr="00D37B98" w:rsidRDefault="0045712F" w:rsidP="00BF08C3">
      <w:pPr>
        <w:pStyle w:val="FootnoteSep"/>
      </w:pPr>
    </w:p>
  </w:endnote>
  <w:endnote w:type="continuationNotice" w:id="1">
    <w:p w14:paraId="788CAA71" w14:textId="77777777" w:rsidR="0045712F" w:rsidRPr="00D37B98" w:rsidRDefault="0045712F"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1" w:subsetted="1" w:fontKey="{DE2DCFFB-7A0E-456B-9039-4C1075708D3B}"/>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76966"/>
      <w:docPartObj>
        <w:docPartGallery w:val="Page Numbers (Bottom of Page)"/>
        <w:docPartUnique/>
      </w:docPartObj>
    </w:sdtPr>
    <w:sdtEndPr/>
    <w:sdtContent>
      <w:sdt>
        <w:sdtPr>
          <w:id w:val="-1769616900"/>
          <w:docPartObj>
            <w:docPartGallery w:val="Page Numbers (Top of Page)"/>
            <w:docPartUnique/>
          </w:docPartObj>
        </w:sdtPr>
        <w:sdtEndPr/>
        <w:sdtContent>
          <w:p w14:paraId="17F502E6" w14:textId="2F452938" w:rsidR="00505697" w:rsidRDefault="005056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79905C" w14:textId="2AFBC659" w:rsidR="0045712F" w:rsidRDefault="0045712F" w:rsidP="008C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7D8E" w14:textId="77777777" w:rsidR="0045712F" w:rsidRPr="00D37B98" w:rsidRDefault="0045712F" w:rsidP="00CC0E68">
      <w:pPr>
        <w:pStyle w:val="FootnoteSep"/>
      </w:pPr>
      <w:r w:rsidRPr="00D37B98">
        <w:separator/>
      </w:r>
    </w:p>
  </w:footnote>
  <w:footnote w:type="continuationSeparator" w:id="0">
    <w:p w14:paraId="3BD5E903" w14:textId="77777777" w:rsidR="0045712F" w:rsidRPr="00D37B98" w:rsidRDefault="0045712F" w:rsidP="007F094C">
      <w:pPr>
        <w:pStyle w:val="FootnoteSep"/>
      </w:pPr>
    </w:p>
    <w:p w14:paraId="1858FDFF" w14:textId="77777777" w:rsidR="0045712F" w:rsidRPr="00D37B98" w:rsidRDefault="0045712F" w:rsidP="007F094C">
      <w:pPr>
        <w:pStyle w:val="FootnoteText"/>
      </w:pPr>
      <w:r w:rsidRPr="00D37B98">
        <w:t>(continued)</w:t>
      </w:r>
    </w:p>
  </w:footnote>
  <w:footnote w:type="continuationNotice" w:id="1">
    <w:p w14:paraId="1F21CF24" w14:textId="77777777" w:rsidR="0045712F" w:rsidRPr="00D37B98" w:rsidRDefault="0045712F"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FBBD" w14:textId="32008B88" w:rsidR="00485FDD" w:rsidRDefault="00094539" w:rsidP="00094539">
    <w:pPr>
      <w:pStyle w:val="Header"/>
    </w:pPr>
    <w:r>
      <w:t xml:space="preserve">Effect of </w:t>
    </w:r>
    <w:proofErr w:type="spellStart"/>
    <w:r>
      <w:t>TCPi</w:t>
    </w:r>
    <w:proofErr w:type="spellEnd"/>
    <w:r>
      <w:t xml:space="preserve"> on APM Participation | Supplemental Digital Content</w:t>
    </w:r>
    <w:r w:rsidR="00485FDD" w:rsidRPr="00CE154F">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DB68" w14:textId="2D27F3EC" w:rsidR="0045712F" w:rsidRPr="00592360" w:rsidRDefault="0045712F" w:rsidP="00592360">
    <w:pPr>
      <w:pStyle w:val="Header"/>
    </w:pPr>
    <w:r>
      <w:t xml:space="preserve">Effect of </w:t>
    </w:r>
    <w:proofErr w:type="spellStart"/>
    <w:r>
      <w:t>TCPi</w:t>
    </w:r>
    <w:proofErr w:type="spellEnd"/>
    <w:r>
      <w:t xml:space="preserve"> on APM Participation | </w:t>
    </w:r>
    <w:r w:rsidR="00161789">
      <w:t>Supplemental Digital Content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0A1C" w14:textId="6007C0A9" w:rsidR="00485FDD" w:rsidRDefault="0000737B" w:rsidP="00644F5F">
    <w:pPr>
      <w:pStyle w:val="Header"/>
      <w:spacing w:after="60"/>
    </w:pPr>
    <w:r>
      <w:t xml:space="preserve">Effect of </w:t>
    </w:r>
    <w:proofErr w:type="spellStart"/>
    <w:r>
      <w:t>TCPi</w:t>
    </w:r>
    <w:proofErr w:type="spellEnd"/>
    <w:r>
      <w:t xml:space="preserve"> on APM Participation | Supplemental Digital Content</w:t>
    </w:r>
    <w:r w:rsidR="00485FDD" w:rsidRPr="00CE154F">
      <w:tab/>
    </w:r>
  </w:p>
  <w:p w14:paraId="5062C5FD" w14:textId="49C8177B" w:rsidR="00485FDD" w:rsidRDefault="00D737A4" w:rsidP="00635751">
    <w:pPr>
      <w:pStyle w:val="TableTitle"/>
      <w:spacing w:before="240" w:after="120"/>
    </w:pPr>
    <w:r>
      <w:t>Supplemental Digital Content Table 1</w:t>
    </w:r>
    <w:r w:rsidR="00485FDD">
      <w:t>.</w:t>
    </w:r>
    <w:r>
      <w:t>1</w:t>
    </w:r>
    <w:r w:rsidRPr="00760EA3">
      <w:t xml:space="preserve"> </w:t>
    </w:r>
    <w:r w:rsidR="00485FDD" w:rsidRPr="00760EA3">
      <w:t>(</w:t>
    </w:r>
    <w:r w:rsidR="00485FDD" w:rsidRPr="009D3BCC">
      <w:rPr>
        <w:rStyle w:val="Italic"/>
      </w:rPr>
      <w:t>continued</w:t>
    </w:r>
    <w:r w:rsidR="00485FDD" w:rsidRPr="00760EA3">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AA93" w14:textId="380310BA" w:rsidR="0045712F" w:rsidRPr="00592360" w:rsidRDefault="0045712F" w:rsidP="00592360">
    <w:pPr>
      <w:pStyle w:val="Header"/>
    </w:pPr>
    <w:r>
      <w:t xml:space="preserve">Effect of </w:t>
    </w:r>
    <w:proofErr w:type="spellStart"/>
    <w:r>
      <w:t>TCPi</w:t>
    </w:r>
    <w:proofErr w:type="spellEnd"/>
    <w:r>
      <w:t xml:space="preserve"> on APM Participation | </w:t>
    </w:r>
    <w:r w:rsidR="00161789">
      <w:t>Supplemental Digital Content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E5E9" w14:textId="1E73E4D3" w:rsidR="0045712F" w:rsidRDefault="0045712F" w:rsidP="00977E97">
    <w:pPr>
      <w:pStyle w:val="Header"/>
      <w:spacing w:after="0"/>
    </w:pPr>
    <w:r>
      <w:t xml:space="preserve">Effect of </w:t>
    </w:r>
    <w:proofErr w:type="spellStart"/>
    <w:r>
      <w:t>TCPi</w:t>
    </w:r>
    <w:proofErr w:type="spellEnd"/>
    <w:r>
      <w:t xml:space="preserve"> on APM Participation | </w:t>
    </w:r>
    <w:r w:rsidR="00161789">
      <w:t>Supplemental Digital Content</w:t>
    </w:r>
  </w:p>
  <w:p w14:paraId="6608D3FE" w14:textId="167F3BF5" w:rsidR="0045712F" w:rsidRPr="00592360" w:rsidRDefault="00161789" w:rsidP="00977E97">
    <w:pPr>
      <w:pStyle w:val="ExhibitTitle"/>
      <w:spacing w:before="120"/>
    </w:pPr>
    <w:r>
      <w:t>Supplemental Digital Content</w:t>
    </w:r>
    <w:r w:rsidR="0045712F">
      <w:t xml:space="preserve"> Table 1.</w:t>
    </w:r>
    <w:r w:rsidR="00D737A4">
      <w:t xml:space="preserve">2 </w:t>
    </w:r>
    <w:r w:rsidR="0045712F">
      <w:t>(</w:t>
    </w:r>
    <w:r w:rsidR="0045712F" w:rsidRPr="00977E97">
      <w:rPr>
        <w:rStyle w:val="Italic"/>
      </w:rPr>
      <w:t>continued</w:t>
    </w:r>
    <w:r w:rsidR="0045712F">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1A2" w14:textId="23FFA246" w:rsidR="0045712F" w:rsidRDefault="0045712F" w:rsidP="00977E97">
    <w:pPr>
      <w:pStyle w:val="Header"/>
      <w:spacing w:after="0"/>
    </w:pPr>
    <w:r>
      <w:t xml:space="preserve">Effect of </w:t>
    </w:r>
    <w:proofErr w:type="spellStart"/>
    <w:r>
      <w:t>TCPi</w:t>
    </w:r>
    <w:proofErr w:type="spellEnd"/>
    <w:r>
      <w:t xml:space="preserve"> on APM Participation | </w:t>
    </w:r>
    <w:r w:rsidR="00161789">
      <w:t>Supplemental Digital Content</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6CD1" w14:textId="413A0A60" w:rsidR="0045712F" w:rsidRDefault="0045712F" w:rsidP="00977E97">
    <w:pPr>
      <w:pStyle w:val="Header"/>
      <w:spacing w:after="0"/>
    </w:pPr>
    <w:r>
      <w:t xml:space="preserve">Effect of </w:t>
    </w:r>
    <w:proofErr w:type="spellStart"/>
    <w:r>
      <w:t>TCPi</w:t>
    </w:r>
    <w:proofErr w:type="spellEnd"/>
    <w:r>
      <w:t xml:space="preserve"> on APM Participation | </w:t>
    </w:r>
    <w:r w:rsidR="00161789">
      <w:t>Supplemental Digital Content</w:t>
    </w:r>
    <w:r>
      <w:t xml:space="preserve"> </w:t>
    </w:r>
  </w:p>
  <w:p w14:paraId="5265886F" w14:textId="2A2BE552" w:rsidR="0045712F" w:rsidRPr="00977E97" w:rsidRDefault="00161789" w:rsidP="00977E97">
    <w:pPr>
      <w:pStyle w:val="ExhibitTitle"/>
      <w:spacing w:before="120"/>
    </w:pPr>
    <w:r>
      <w:t>Supplemental Digital Content</w:t>
    </w:r>
    <w:r w:rsidR="0045712F">
      <w:t xml:space="preserve"> Table 1.</w:t>
    </w:r>
    <w:r w:rsidR="00D737A4">
      <w:t xml:space="preserve">3 </w:t>
    </w:r>
    <w:r w:rsidR="0045712F">
      <w:t>(</w:t>
    </w:r>
    <w:r w:rsidR="0045712F" w:rsidRPr="00977E97">
      <w:rPr>
        <w:rStyle w:val="Italic"/>
      </w:rPr>
      <w:t>continued</w:t>
    </w:r>
    <w:r w:rsidR="0045712F">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05B2" w14:textId="32F6DEF7" w:rsidR="0045712F" w:rsidRDefault="0045712F" w:rsidP="00977E97">
    <w:pPr>
      <w:pStyle w:val="Header"/>
      <w:spacing w:after="0"/>
    </w:pPr>
    <w:r>
      <w:t xml:space="preserve">Effect of </w:t>
    </w:r>
    <w:proofErr w:type="spellStart"/>
    <w:r>
      <w:t>TCPi</w:t>
    </w:r>
    <w:proofErr w:type="spellEnd"/>
    <w:r>
      <w:t xml:space="preserve"> on APM Participation | </w:t>
    </w:r>
    <w:r w:rsidR="00161789">
      <w:t>Supplemental Digital Content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0C96" w14:textId="4A440FA9" w:rsidR="0045712F" w:rsidRDefault="0045712F" w:rsidP="00977E97">
    <w:pPr>
      <w:pStyle w:val="Header"/>
      <w:spacing w:after="0"/>
    </w:pPr>
    <w:r>
      <w:t xml:space="preserve">Effect of </w:t>
    </w:r>
    <w:proofErr w:type="spellStart"/>
    <w:r>
      <w:t>TCPi</w:t>
    </w:r>
    <w:proofErr w:type="spellEnd"/>
    <w:r>
      <w:t xml:space="preserve"> on APM Participation | </w:t>
    </w:r>
    <w:r w:rsidR="00161789">
      <w:t>Supplemental Digital Content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D209" w14:textId="61BD741F" w:rsidR="0045712F" w:rsidRDefault="0045712F" w:rsidP="00977E97">
    <w:pPr>
      <w:pStyle w:val="Header"/>
      <w:spacing w:after="0"/>
    </w:pPr>
    <w:r>
      <w:t xml:space="preserve">Effect of </w:t>
    </w:r>
    <w:proofErr w:type="spellStart"/>
    <w:r>
      <w:t>TCPi</w:t>
    </w:r>
    <w:proofErr w:type="spellEnd"/>
    <w:r>
      <w:t xml:space="preserve"> on APM Participation | </w:t>
    </w:r>
    <w:r w:rsidR="00161789">
      <w:t>Supplemental Digital Content</w:t>
    </w:r>
  </w:p>
  <w:p w14:paraId="06FD9F5B" w14:textId="7DE7F185" w:rsidR="0045712F" w:rsidRPr="00977E97" w:rsidRDefault="00161789" w:rsidP="00977E97">
    <w:pPr>
      <w:pStyle w:val="ExhibitTitle"/>
      <w:spacing w:before="120"/>
    </w:pPr>
    <w:r>
      <w:t>Supplemental Digital Content</w:t>
    </w:r>
    <w:r w:rsidR="0045712F">
      <w:t xml:space="preserve"> Table 2.1 (</w:t>
    </w:r>
    <w:r w:rsidR="0045712F" w:rsidRPr="00977E97">
      <w:rPr>
        <w:rStyle w:val="Italic"/>
      </w:rPr>
      <w:t>continued</w:t>
    </w:r>
    <w:r w:rsidR="0045712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16A2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687C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3"/>
    <w:multiLevelType w:val="singleLevel"/>
    <w:tmpl w:val="8F7C15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04525C"/>
    <w:multiLevelType w:val="hybridMultilevel"/>
    <w:tmpl w:val="C9A41DC0"/>
    <w:lvl w:ilvl="0" w:tplc="1180C244">
      <w:start w:val="1"/>
      <w:numFmt w:val="bullet"/>
      <w:lvlText w:val=""/>
      <w:lvlJc w:val="left"/>
      <w:pPr>
        <w:ind w:left="720" w:hanging="360"/>
      </w:pPr>
      <w:rPr>
        <w:rFonts w:ascii="Symbol" w:hAnsi="Symbol" w:hint="default"/>
      </w:rPr>
    </w:lvl>
    <w:lvl w:ilvl="1" w:tplc="6BB8C9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3" w15:restartNumberingAfterBreak="0">
    <w:nsid w:val="175F4639"/>
    <w:multiLevelType w:val="hybridMultilevel"/>
    <w:tmpl w:val="AC50089A"/>
    <w:lvl w:ilvl="0" w:tplc="04090001">
      <w:start w:val="1"/>
      <w:numFmt w:val="bullet"/>
      <w:lvlText w:val=""/>
      <w:lvlJc w:val="left"/>
      <w:pPr>
        <w:ind w:left="792" w:hanging="360"/>
      </w:pPr>
      <w:rPr>
        <w:rFonts w:ascii="Symbol" w:hAnsi="Symbol" w:hint="default"/>
      </w:rPr>
    </w:lvl>
    <w:lvl w:ilvl="1" w:tplc="6BB8C928">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5656"/>
    <w:multiLevelType w:val="hybridMultilevel"/>
    <w:tmpl w:val="BC26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45725"/>
    <w:multiLevelType w:val="hybridMultilevel"/>
    <w:tmpl w:val="E3B8AD9E"/>
    <w:lvl w:ilvl="0" w:tplc="6BB8C9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71904BB"/>
    <w:multiLevelType w:val="hybridMultilevel"/>
    <w:tmpl w:val="D200C276"/>
    <w:lvl w:ilvl="0" w:tplc="04090001">
      <w:start w:val="1"/>
      <w:numFmt w:val="bullet"/>
      <w:lvlText w:val=""/>
      <w:lvlJc w:val="left"/>
      <w:pPr>
        <w:ind w:left="780" w:hanging="360"/>
      </w:pPr>
      <w:rPr>
        <w:rFonts w:ascii="Symbol" w:hAnsi="Symbol" w:hint="default"/>
      </w:rPr>
    </w:lvl>
    <w:lvl w:ilvl="1" w:tplc="6BB8C928">
      <w:start w:val="1"/>
      <w:numFmt w:val="bullet"/>
      <w:lvlText w:val="–"/>
      <w:lvlJc w:val="left"/>
      <w:pPr>
        <w:ind w:left="1500" w:hanging="360"/>
      </w:pPr>
      <w:rPr>
        <w:rFonts w:ascii="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8AF438F"/>
    <w:multiLevelType w:val="hybridMultilevel"/>
    <w:tmpl w:val="0D7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0478C"/>
    <w:multiLevelType w:val="hybridMultilevel"/>
    <w:tmpl w:val="36CEFBBA"/>
    <w:lvl w:ilvl="0" w:tplc="1180C24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6"/>
  </w:num>
  <w:num w:numId="4">
    <w:abstractNumId w:val="17"/>
  </w:num>
  <w:num w:numId="5">
    <w:abstractNumId w:val="32"/>
  </w:num>
  <w:num w:numId="6">
    <w:abstractNumId w:val="31"/>
  </w:num>
  <w:num w:numId="7">
    <w:abstractNumId w:val="13"/>
  </w:num>
  <w:num w:numId="8">
    <w:abstractNumId w:val="6"/>
  </w:num>
  <w:num w:numId="9">
    <w:abstractNumId w:val="5"/>
  </w:num>
  <w:num w:numId="10">
    <w:abstractNumId w:val="4"/>
  </w:num>
  <w:num w:numId="11">
    <w:abstractNumId w:val="8"/>
  </w:num>
  <w:num w:numId="12">
    <w:abstractNumId w:val="3"/>
  </w:num>
  <w:num w:numId="13">
    <w:abstractNumId w:val="2"/>
  </w:num>
  <w:num w:numId="14">
    <w:abstractNumId w:val="23"/>
  </w:num>
  <w:num w:numId="15">
    <w:abstractNumId w:val="12"/>
  </w:num>
  <w:num w:numId="16">
    <w:abstractNumId w:val="10"/>
  </w:num>
  <w:num w:numId="17">
    <w:abstractNumId w:val="19"/>
  </w:num>
  <w:num w:numId="18">
    <w:abstractNumId w:val="18"/>
  </w:num>
  <w:num w:numId="19">
    <w:abstractNumId w:val="30"/>
  </w:num>
  <w:num w:numId="20">
    <w:abstractNumId w:val="14"/>
  </w:num>
  <w:num w:numId="21">
    <w:abstractNumId w:val="24"/>
  </w:num>
  <w:num w:numId="22">
    <w:abstractNumId w:val="25"/>
  </w:num>
  <w:num w:numId="23">
    <w:abstractNumId w:val="22"/>
  </w:num>
  <w:num w:numId="24">
    <w:abstractNumId w:val="29"/>
  </w:num>
  <w:num w:numId="25">
    <w:abstractNumId w:val="9"/>
  </w:num>
  <w:num w:numId="26">
    <w:abstractNumId w:val="1"/>
  </w:num>
  <w:num w:numId="27">
    <w:abstractNumId w:val="0"/>
  </w:num>
  <w:num w:numId="28">
    <w:abstractNumId w:val="27"/>
  </w:num>
  <w:num w:numId="29">
    <w:abstractNumId w:val="28"/>
  </w:num>
  <w:num w:numId="30">
    <w:abstractNumId w:val="20"/>
  </w:num>
  <w:num w:numId="31">
    <w:abstractNumId w:val="7"/>
  </w:num>
  <w:num w:numId="32">
    <w:abstractNumId w:val="21"/>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43"/>
    <w:rsid w:val="00000897"/>
    <w:rsid w:val="00001347"/>
    <w:rsid w:val="00001766"/>
    <w:rsid w:val="000028AB"/>
    <w:rsid w:val="000030B1"/>
    <w:rsid w:val="000055EC"/>
    <w:rsid w:val="00005975"/>
    <w:rsid w:val="0000627C"/>
    <w:rsid w:val="00006ED7"/>
    <w:rsid w:val="000072FC"/>
    <w:rsid w:val="0000737B"/>
    <w:rsid w:val="00010235"/>
    <w:rsid w:val="00010689"/>
    <w:rsid w:val="0001098C"/>
    <w:rsid w:val="00010CEE"/>
    <w:rsid w:val="00011135"/>
    <w:rsid w:val="00011784"/>
    <w:rsid w:val="00012546"/>
    <w:rsid w:val="0001369C"/>
    <w:rsid w:val="000136EC"/>
    <w:rsid w:val="00014257"/>
    <w:rsid w:val="00014526"/>
    <w:rsid w:val="000150F7"/>
    <w:rsid w:val="0001569E"/>
    <w:rsid w:val="0001587F"/>
    <w:rsid w:val="00015F6D"/>
    <w:rsid w:val="00016B08"/>
    <w:rsid w:val="00016D34"/>
    <w:rsid w:val="00017549"/>
    <w:rsid w:val="00017B8E"/>
    <w:rsid w:val="000212FC"/>
    <w:rsid w:val="0002151F"/>
    <w:rsid w:val="000221A2"/>
    <w:rsid w:val="000221F4"/>
    <w:rsid w:val="00022505"/>
    <w:rsid w:val="00022A0A"/>
    <w:rsid w:val="0002322B"/>
    <w:rsid w:val="000234AB"/>
    <w:rsid w:val="00023E24"/>
    <w:rsid w:val="0002587F"/>
    <w:rsid w:val="000273B7"/>
    <w:rsid w:val="0002754E"/>
    <w:rsid w:val="000278B2"/>
    <w:rsid w:val="00030E11"/>
    <w:rsid w:val="0003153C"/>
    <w:rsid w:val="000320C1"/>
    <w:rsid w:val="0003265D"/>
    <w:rsid w:val="00032E4E"/>
    <w:rsid w:val="00034667"/>
    <w:rsid w:val="00034DB2"/>
    <w:rsid w:val="000351DD"/>
    <w:rsid w:val="000364D9"/>
    <w:rsid w:val="00036E7F"/>
    <w:rsid w:val="00037249"/>
    <w:rsid w:val="0003737C"/>
    <w:rsid w:val="00037965"/>
    <w:rsid w:val="00037E0A"/>
    <w:rsid w:val="00037E42"/>
    <w:rsid w:val="00037F46"/>
    <w:rsid w:val="00040B2C"/>
    <w:rsid w:val="00041521"/>
    <w:rsid w:val="000415E4"/>
    <w:rsid w:val="000419A6"/>
    <w:rsid w:val="00041E74"/>
    <w:rsid w:val="00041F68"/>
    <w:rsid w:val="00041FF4"/>
    <w:rsid w:val="00042110"/>
    <w:rsid w:val="000423BE"/>
    <w:rsid w:val="00042419"/>
    <w:rsid w:val="00042464"/>
    <w:rsid w:val="00042FA8"/>
    <w:rsid w:val="000432F5"/>
    <w:rsid w:val="00043329"/>
    <w:rsid w:val="00043B27"/>
    <w:rsid w:val="00044069"/>
    <w:rsid w:val="00044A35"/>
    <w:rsid w:val="00044C33"/>
    <w:rsid w:val="00045AFF"/>
    <w:rsid w:val="000461C4"/>
    <w:rsid w:val="00046A1A"/>
    <w:rsid w:val="00046D7A"/>
    <w:rsid w:val="00046F9D"/>
    <w:rsid w:val="0004761E"/>
    <w:rsid w:val="00047BA8"/>
    <w:rsid w:val="00047BDD"/>
    <w:rsid w:val="00047D5D"/>
    <w:rsid w:val="00050049"/>
    <w:rsid w:val="00050286"/>
    <w:rsid w:val="00050C43"/>
    <w:rsid w:val="00050C88"/>
    <w:rsid w:val="000527FE"/>
    <w:rsid w:val="00052A32"/>
    <w:rsid w:val="00056203"/>
    <w:rsid w:val="000564B9"/>
    <w:rsid w:val="00056BC1"/>
    <w:rsid w:val="00057425"/>
    <w:rsid w:val="000575D5"/>
    <w:rsid w:val="000578A2"/>
    <w:rsid w:val="000578BB"/>
    <w:rsid w:val="00060579"/>
    <w:rsid w:val="00061707"/>
    <w:rsid w:val="00061E9D"/>
    <w:rsid w:val="0006299E"/>
    <w:rsid w:val="000633AA"/>
    <w:rsid w:val="00063DE2"/>
    <w:rsid w:val="000648D4"/>
    <w:rsid w:val="00064DA3"/>
    <w:rsid w:val="000658E6"/>
    <w:rsid w:val="00065EDF"/>
    <w:rsid w:val="00066C7C"/>
    <w:rsid w:val="00067018"/>
    <w:rsid w:val="000671DF"/>
    <w:rsid w:val="0006743A"/>
    <w:rsid w:val="000676A3"/>
    <w:rsid w:val="00067AEE"/>
    <w:rsid w:val="00067BF8"/>
    <w:rsid w:val="0007041A"/>
    <w:rsid w:val="000706D8"/>
    <w:rsid w:val="0007155D"/>
    <w:rsid w:val="0007276A"/>
    <w:rsid w:val="00072851"/>
    <w:rsid w:val="00072DC0"/>
    <w:rsid w:val="000743D8"/>
    <w:rsid w:val="0007472F"/>
    <w:rsid w:val="00074FEB"/>
    <w:rsid w:val="00076154"/>
    <w:rsid w:val="000777DB"/>
    <w:rsid w:val="00077878"/>
    <w:rsid w:val="00080395"/>
    <w:rsid w:val="00081356"/>
    <w:rsid w:val="00081607"/>
    <w:rsid w:val="000817D6"/>
    <w:rsid w:val="00082472"/>
    <w:rsid w:val="000834E0"/>
    <w:rsid w:val="00083A0A"/>
    <w:rsid w:val="00083FF8"/>
    <w:rsid w:val="00084398"/>
    <w:rsid w:val="000845AF"/>
    <w:rsid w:val="0008470C"/>
    <w:rsid w:val="000855BD"/>
    <w:rsid w:val="00086066"/>
    <w:rsid w:val="00087EBD"/>
    <w:rsid w:val="000900F8"/>
    <w:rsid w:val="00090441"/>
    <w:rsid w:val="000908DF"/>
    <w:rsid w:val="00091160"/>
    <w:rsid w:val="0009143A"/>
    <w:rsid w:val="00092241"/>
    <w:rsid w:val="000929F3"/>
    <w:rsid w:val="00094195"/>
    <w:rsid w:val="000943C5"/>
    <w:rsid w:val="00094539"/>
    <w:rsid w:val="0009547A"/>
    <w:rsid w:val="00095543"/>
    <w:rsid w:val="00095E87"/>
    <w:rsid w:val="00096E64"/>
    <w:rsid w:val="00096F74"/>
    <w:rsid w:val="000972E1"/>
    <w:rsid w:val="000A0B8D"/>
    <w:rsid w:val="000A1DAD"/>
    <w:rsid w:val="000A2181"/>
    <w:rsid w:val="000A2330"/>
    <w:rsid w:val="000A2F18"/>
    <w:rsid w:val="000A376D"/>
    <w:rsid w:val="000A3AF1"/>
    <w:rsid w:val="000A54AF"/>
    <w:rsid w:val="000A54B0"/>
    <w:rsid w:val="000A5A8D"/>
    <w:rsid w:val="000A6591"/>
    <w:rsid w:val="000A6746"/>
    <w:rsid w:val="000A6BE1"/>
    <w:rsid w:val="000A6EE0"/>
    <w:rsid w:val="000A758A"/>
    <w:rsid w:val="000A7604"/>
    <w:rsid w:val="000A7FB4"/>
    <w:rsid w:val="000B1D6B"/>
    <w:rsid w:val="000B25E1"/>
    <w:rsid w:val="000B3709"/>
    <w:rsid w:val="000B521D"/>
    <w:rsid w:val="000B555A"/>
    <w:rsid w:val="000B5D0E"/>
    <w:rsid w:val="000B6EDE"/>
    <w:rsid w:val="000B764C"/>
    <w:rsid w:val="000C1505"/>
    <w:rsid w:val="000C178D"/>
    <w:rsid w:val="000C185F"/>
    <w:rsid w:val="000C22BA"/>
    <w:rsid w:val="000C262B"/>
    <w:rsid w:val="000C2E3B"/>
    <w:rsid w:val="000C33D5"/>
    <w:rsid w:val="000C413E"/>
    <w:rsid w:val="000C53A3"/>
    <w:rsid w:val="000C5EA2"/>
    <w:rsid w:val="000C6260"/>
    <w:rsid w:val="000C7D4D"/>
    <w:rsid w:val="000D07D3"/>
    <w:rsid w:val="000D09AA"/>
    <w:rsid w:val="000D1F2C"/>
    <w:rsid w:val="000D1FAE"/>
    <w:rsid w:val="000D2B3B"/>
    <w:rsid w:val="000D396C"/>
    <w:rsid w:val="000D432E"/>
    <w:rsid w:val="000D4643"/>
    <w:rsid w:val="000D46B8"/>
    <w:rsid w:val="000D47B0"/>
    <w:rsid w:val="000D53A3"/>
    <w:rsid w:val="000D5B34"/>
    <w:rsid w:val="000D5D1F"/>
    <w:rsid w:val="000D5E30"/>
    <w:rsid w:val="000D5F5D"/>
    <w:rsid w:val="000D6297"/>
    <w:rsid w:val="000D6D88"/>
    <w:rsid w:val="000D751A"/>
    <w:rsid w:val="000D7604"/>
    <w:rsid w:val="000D775D"/>
    <w:rsid w:val="000D7F96"/>
    <w:rsid w:val="000E0070"/>
    <w:rsid w:val="000E017B"/>
    <w:rsid w:val="000E0694"/>
    <w:rsid w:val="000E06A9"/>
    <w:rsid w:val="000E0B97"/>
    <w:rsid w:val="000E1C2B"/>
    <w:rsid w:val="000E2169"/>
    <w:rsid w:val="000E2D16"/>
    <w:rsid w:val="000E4C3F"/>
    <w:rsid w:val="000E51E3"/>
    <w:rsid w:val="000E5219"/>
    <w:rsid w:val="000E531C"/>
    <w:rsid w:val="000E5350"/>
    <w:rsid w:val="000E652F"/>
    <w:rsid w:val="000F16B8"/>
    <w:rsid w:val="000F197A"/>
    <w:rsid w:val="000F21A8"/>
    <w:rsid w:val="000F22CB"/>
    <w:rsid w:val="000F3BB9"/>
    <w:rsid w:val="000F4071"/>
    <w:rsid w:val="000F487F"/>
    <w:rsid w:val="000F4D22"/>
    <w:rsid w:val="000F5259"/>
    <w:rsid w:val="000F5457"/>
    <w:rsid w:val="000F583B"/>
    <w:rsid w:val="000F677B"/>
    <w:rsid w:val="000F6D4E"/>
    <w:rsid w:val="000F70B7"/>
    <w:rsid w:val="0010008A"/>
    <w:rsid w:val="0010048B"/>
    <w:rsid w:val="001004A7"/>
    <w:rsid w:val="00100511"/>
    <w:rsid w:val="00100710"/>
    <w:rsid w:val="00100B38"/>
    <w:rsid w:val="00100D22"/>
    <w:rsid w:val="001015E2"/>
    <w:rsid w:val="00101781"/>
    <w:rsid w:val="00101FF2"/>
    <w:rsid w:val="0010238D"/>
    <w:rsid w:val="0010256D"/>
    <w:rsid w:val="0010292D"/>
    <w:rsid w:val="00103C77"/>
    <w:rsid w:val="0010480F"/>
    <w:rsid w:val="0010580B"/>
    <w:rsid w:val="001058F2"/>
    <w:rsid w:val="00106BE4"/>
    <w:rsid w:val="001105EB"/>
    <w:rsid w:val="0011108E"/>
    <w:rsid w:val="001110F6"/>
    <w:rsid w:val="001119F8"/>
    <w:rsid w:val="00111B4F"/>
    <w:rsid w:val="00112244"/>
    <w:rsid w:val="00112A5E"/>
    <w:rsid w:val="00113CC8"/>
    <w:rsid w:val="0011441A"/>
    <w:rsid w:val="001155A9"/>
    <w:rsid w:val="001164BB"/>
    <w:rsid w:val="00116801"/>
    <w:rsid w:val="001168E7"/>
    <w:rsid w:val="00116BD8"/>
    <w:rsid w:val="00117892"/>
    <w:rsid w:val="0012081B"/>
    <w:rsid w:val="001215A9"/>
    <w:rsid w:val="00122374"/>
    <w:rsid w:val="00122C2C"/>
    <w:rsid w:val="001235DC"/>
    <w:rsid w:val="00123A87"/>
    <w:rsid w:val="00123ED3"/>
    <w:rsid w:val="00124044"/>
    <w:rsid w:val="00124400"/>
    <w:rsid w:val="001244B1"/>
    <w:rsid w:val="00124974"/>
    <w:rsid w:val="0012514E"/>
    <w:rsid w:val="0012589E"/>
    <w:rsid w:val="00126560"/>
    <w:rsid w:val="0013059D"/>
    <w:rsid w:val="00130C03"/>
    <w:rsid w:val="001311F7"/>
    <w:rsid w:val="0013184F"/>
    <w:rsid w:val="00131BA8"/>
    <w:rsid w:val="00131D22"/>
    <w:rsid w:val="00131F00"/>
    <w:rsid w:val="0013346F"/>
    <w:rsid w:val="001336A7"/>
    <w:rsid w:val="00134811"/>
    <w:rsid w:val="001349E2"/>
    <w:rsid w:val="00134A06"/>
    <w:rsid w:val="00134F44"/>
    <w:rsid w:val="00134FD9"/>
    <w:rsid w:val="00135328"/>
    <w:rsid w:val="00135EB7"/>
    <w:rsid w:val="00136164"/>
    <w:rsid w:val="001364CF"/>
    <w:rsid w:val="0013709C"/>
    <w:rsid w:val="00137AFA"/>
    <w:rsid w:val="00137B02"/>
    <w:rsid w:val="00137FB8"/>
    <w:rsid w:val="00141304"/>
    <w:rsid w:val="0014202F"/>
    <w:rsid w:val="00142411"/>
    <w:rsid w:val="0014428E"/>
    <w:rsid w:val="00144425"/>
    <w:rsid w:val="00144A6C"/>
    <w:rsid w:val="0014646C"/>
    <w:rsid w:val="001465D9"/>
    <w:rsid w:val="0014674C"/>
    <w:rsid w:val="00146CE3"/>
    <w:rsid w:val="00147515"/>
    <w:rsid w:val="00147A74"/>
    <w:rsid w:val="00147F33"/>
    <w:rsid w:val="001526E2"/>
    <w:rsid w:val="00152EAB"/>
    <w:rsid w:val="001533F4"/>
    <w:rsid w:val="00154AE1"/>
    <w:rsid w:val="00154DF1"/>
    <w:rsid w:val="0015529D"/>
    <w:rsid w:val="00155603"/>
    <w:rsid w:val="00155D06"/>
    <w:rsid w:val="00155EA2"/>
    <w:rsid w:val="00156212"/>
    <w:rsid w:val="001570FB"/>
    <w:rsid w:val="0015713C"/>
    <w:rsid w:val="00157CA2"/>
    <w:rsid w:val="00161789"/>
    <w:rsid w:val="00161B9D"/>
    <w:rsid w:val="00161DA5"/>
    <w:rsid w:val="00163E04"/>
    <w:rsid w:val="001649D5"/>
    <w:rsid w:val="00164BC2"/>
    <w:rsid w:val="00165E8C"/>
    <w:rsid w:val="0016651A"/>
    <w:rsid w:val="00166AD3"/>
    <w:rsid w:val="001711C1"/>
    <w:rsid w:val="00171795"/>
    <w:rsid w:val="00171E2D"/>
    <w:rsid w:val="001726F0"/>
    <w:rsid w:val="001739F1"/>
    <w:rsid w:val="0017416C"/>
    <w:rsid w:val="00174956"/>
    <w:rsid w:val="0017499B"/>
    <w:rsid w:val="00174E4D"/>
    <w:rsid w:val="00175356"/>
    <w:rsid w:val="001754FE"/>
    <w:rsid w:val="00176C98"/>
    <w:rsid w:val="00177107"/>
    <w:rsid w:val="00180B8D"/>
    <w:rsid w:val="00180C42"/>
    <w:rsid w:val="001812BD"/>
    <w:rsid w:val="00181AC8"/>
    <w:rsid w:val="00182162"/>
    <w:rsid w:val="001822CC"/>
    <w:rsid w:val="00182CF1"/>
    <w:rsid w:val="00183196"/>
    <w:rsid w:val="001833ED"/>
    <w:rsid w:val="00183600"/>
    <w:rsid w:val="0018379A"/>
    <w:rsid w:val="00184421"/>
    <w:rsid w:val="00184E72"/>
    <w:rsid w:val="00185CEF"/>
    <w:rsid w:val="00186C9D"/>
    <w:rsid w:val="001871ED"/>
    <w:rsid w:val="00187DC9"/>
    <w:rsid w:val="00190AEC"/>
    <w:rsid w:val="001919FF"/>
    <w:rsid w:val="00191FD5"/>
    <w:rsid w:val="001921A4"/>
    <w:rsid w:val="00192E41"/>
    <w:rsid w:val="0019353F"/>
    <w:rsid w:val="001936A1"/>
    <w:rsid w:val="0019491E"/>
    <w:rsid w:val="00194A0E"/>
    <w:rsid w:val="00195889"/>
    <w:rsid w:val="001969F1"/>
    <w:rsid w:val="00196E5A"/>
    <w:rsid w:val="00197205"/>
    <w:rsid w:val="00197503"/>
    <w:rsid w:val="0019769F"/>
    <w:rsid w:val="00197839"/>
    <w:rsid w:val="001A011C"/>
    <w:rsid w:val="001A136E"/>
    <w:rsid w:val="001A1BDB"/>
    <w:rsid w:val="001A1D2C"/>
    <w:rsid w:val="001A1EA4"/>
    <w:rsid w:val="001A230A"/>
    <w:rsid w:val="001A2689"/>
    <w:rsid w:val="001A2E81"/>
    <w:rsid w:val="001A3026"/>
    <w:rsid w:val="001A3252"/>
    <w:rsid w:val="001A3781"/>
    <w:rsid w:val="001A39A5"/>
    <w:rsid w:val="001A5123"/>
    <w:rsid w:val="001A5817"/>
    <w:rsid w:val="001A5870"/>
    <w:rsid w:val="001B107D"/>
    <w:rsid w:val="001B14AD"/>
    <w:rsid w:val="001B1B81"/>
    <w:rsid w:val="001B1E5B"/>
    <w:rsid w:val="001B2545"/>
    <w:rsid w:val="001B322A"/>
    <w:rsid w:val="001B4842"/>
    <w:rsid w:val="001B5E5A"/>
    <w:rsid w:val="001B6874"/>
    <w:rsid w:val="001B72EA"/>
    <w:rsid w:val="001B762F"/>
    <w:rsid w:val="001B78EA"/>
    <w:rsid w:val="001C031B"/>
    <w:rsid w:val="001C05F9"/>
    <w:rsid w:val="001C19D6"/>
    <w:rsid w:val="001C3678"/>
    <w:rsid w:val="001C44FA"/>
    <w:rsid w:val="001C5359"/>
    <w:rsid w:val="001C5DC2"/>
    <w:rsid w:val="001C5EB8"/>
    <w:rsid w:val="001C5F30"/>
    <w:rsid w:val="001C6506"/>
    <w:rsid w:val="001C6F6D"/>
    <w:rsid w:val="001C7FBE"/>
    <w:rsid w:val="001D055B"/>
    <w:rsid w:val="001D3544"/>
    <w:rsid w:val="001D39AA"/>
    <w:rsid w:val="001D39EC"/>
    <w:rsid w:val="001D3A9C"/>
    <w:rsid w:val="001D418D"/>
    <w:rsid w:val="001D5298"/>
    <w:rsid w:val="001D52EC"/>
    <w:rsid w:val="001D661F"/>
    <w:rsid w:val="001D6E15"/>
    <w:rsid w:val="001D71DF"/>
    <w:rsid w:val="001D72ED"/>
    <w:rsid w:val="001D7ABE"/>
    <w:rsid w:val="001D7B65"/>
    <w:rsid w:val="001E0620"/>
    <w:rsid w:val="001E1B66"/>
    <w:rsid w:val="001E2524"/>
    <w:rsid w:val="001E2A2B"/>
    <w:rsid w:val="001E36F4"/>
    <w:rsid w:val="001E3BCF"/>
    <w:rsid w:val="001E42FA"/>
    <w:rsid w:val="001E6246"/>
    <w:rsid w:val="001E6A60"/>
    <w:rsid w:val="001E6E5A"/>
    <w:rsid w:val="001E79E7"/>
    <w:rsid w:val="001F09FC"/>
    <w:rsid w:val="001F44E7"/>
    <w:rsid w:val="001F5515"/>
    <w:rsid w:val="001F571B"/>
    <w:rsid w:val="001F578D"/>
    <w:rsid w:val="001F580C"/>
    <w:rsid w:val="001F5945"/>
    <w:rsid w:val="001F6C2D"/>
    <w:rsid w:val="001F6EF6"/>
    <w:rsid w:val="001F6F3B"/>
    <w:rsid w:val="001F7319"/>
    <w:rsid w:val="002000FB"/>
    <w:rsid w:val="002012DB"/>
    <w:rsid w:val="0020173E"/>
    <w:rsid w:val="00201BB8"/>
    <w:rsid w:val="00201C71"/>
    <w:rsid w:val="00201E7E"/>
    <w:rsid w:val="002036A4"/>
    <w:rsid w:val="00203C28"/>
    <w:rsid w:val="00203E3B"/>
    <w:rsid w:val="00204542"/>
    <w:rsid w:val="00204AB9"/>
    <w:rsid w:val="00204B23"/>
    <w:rsid w:val="002050B7"/>
    <w:rsid w:val="002067F9"/>
    <w:rsid w:val="00207311"/>
    <w:rsid w:val="0020747A"/>
    <w:rsid w:val="002075C7"/>
    <w:rsid w:val="002077C7"/>
    <w:rsid w:val="00211FFA"/>
    <w:rsid w:val="002139DC"/>
    <w:rsid w:val="00213AF5"/>
    <w:rsid w:val="00213DF6"/>
    <w:rsid w:val="002140C3"/>
    <w:rsid w:val="0021452A"/>
    <w:rsid w:val="0021483D"/>
    <w:rsid w:val="00214E0B"/>
    <w:rsid w:val="0021542F"/>
    <w:rsid w:val="0021564A"/>
    <w:rsid w:val="00215C5A"/>
    <w:rsid w:val="00215E4D"/>
    <w:rsid w:val="002162B0"/>
    <w:rsid w:val="002166BC"/>
    <w:rsid w:val="00217A31"/>
    <w:rsid w:val="00217AB7"/>
    <w:rsid w:val="00217E9A"/>
    <w:rsid w:val="00217FA0"/>
    <w:rsid w:val="002204CD"/>
    <w:rsid w:val="00221020"/>
    <w:rsid w:val="00222316"/>
    <w:rsid w:val="002238F3"/>
    <w:rsid w:val="00224D9D"/>
    <w:rsid w:val="00225954"/>
    <w:rsid w:val="00225A35"/>
    <w:rsid w:val="00226D01"/>
    <w:rsid w:val="0022714B"/>
    <w:rsid w:val="002272CB"/>
    <w:rsid w:val="002273EC"/>
    <w:rsid w:val="00227E6B"/>
    <w:rsid w:val="002309BF"/>
    <w:rsid w:val="00231607"/>
    <w:rsid w:val="00232118"/>
    <w:rsid w:val="00233418"/>
    <w:rsid w:val="0023580D"/>
    <w:rsid w:val="00236253"/>
    <w:rsid w:val="0023638D"/>
    <w:rsid w:val="00236484"/>
    <w:rsid w:val="002369F6"/>
    <w:rsid w:val="002370F9"/>
    <w:rsid w:val="00237B2B"/>
    <w:rsid w:val="0024102A"/>
    <w:rsid w:val="00241B5F"/>
    <w:rsid w:val="00245E3D"/>
    <w:rsid w:val="00245F71"/>
    <w:rsid w:val="00246468"/>
    <w:rsid w:val="00247945"/>
    <w:rsid w:val="0025023C"/>
    <w:rsid w:val="0025070E"/>
    <w:rsid w:val="00250848"/>
    <w:rsid w:val="00250D2A"/>
    <w:rsid w:val="00251612"/>
    <w:rsid w:val="00251C7D"/>
    <w:rsid w:val="0025248B"/>
    <w:rsid w:val="0025249C"/>
    <w:rsid w:val="00252E58"/>
    <w:rsid w:val="00252E59"/>
    <w:rsid w:val="0025366A"/>
    <w:rsid w:val="002542CB"/>
    <w:rsid w:val="00254341"/>
    <w:rsid w:val="002548A8"/>
    <w:rsid w:val="00254C89"/>
    <w:rsid w:val="00254E2D"/>
    <w:rsid w:val="00255AAE"/>
    <w:rsid w:val="00256D04"/>
    <w:rsid w:val="0025770A"/>
    <w:rsid w:val="0026025C"/>
    <w:rsid w:val="002606D9"/>
    <w:rsid w:val="00260EB6"/>
    <w:rsid w:val="00260FE0"/>
    <w:rsid w:val="00261382"/>
    <w:rsid w:val="0026150F"/>
    <w:rsid w:val="00261A27"/>
    <w:rsid w:val="00261AA7"/>
    <w:rsid w:val="00262F10"/>
    <w:rsid w:val="00264782"/>
    <w:rsid w:val="00264D1E"/>
    <w:rsid w:val="00265EFA"/>
    <w:rsid w:val="002666B2"/>
    <w:rsid w:val="0026713B"/>
    <w:rsid w:val="002679D3"/>
    <w:rsid w:val="0027071C"/>
    <w:rsid w:val="00271323"/>
    <w:rsid w:val="00271C83"/>
    <w:rsid w:val="0027245E"/>
    <w:rsid w:val="0027272E"/>
    <w:rsid w:val="00272B66"/>
    <w:rsid w:val="00272DB6"/>
    <w:rsid w:val="002733A4"/>
    <w:rsid w:val="00275511"/>
    <w:rsid w:val="00275D57"/>
    <w:rsid w:val="00276031"/>
    <w:rsid w:val="00276353"/>
    <w:rsid w:val="00276BA2"/>
    <w:rsid w:val="002778FD"/>
    <w:rsid w:val="0027796B"/>
    <w:rsid w:val="0028039E"/>
    <w:rsid w:val="00280DC8"/>
    <w:rsid w:val="002817A6"/>
    <w:rsid w:val="00281C25"/>
    <w:rsid w:val="002830E3"/>
    <w:rsid w:val="00283304"/>
    <w:rsid w:val="0028360E"/>
    <w:rsid w:val="002844AF"/>
    <w:rsid w:val="00284837"/>
    <w:rsid w:val="00284896"/>
    <w:rsid w:val="002856A7"/>
    <w:rsid w:val="002857D5"/>
    <w:rsid w:val="0028699F"/>
    <w:rsid w:val="002869EF"/>
    <w:rsid w:val="00286EB8"/>
    <w:rsid w:val="0028712F"/>
    <w:rsid w:val="0029011D"/>
    <w:rsid w:val="0029042C"/>
    <w:rsid w:val="0029070D"/>
    <w:rsid w:val="0029078B"/>
    <w:rsid w:val="00290858"/>
    <w:rsid w:val="00290EB7"/>
    <w:rsid w:val="0029211D"/>
    <w:rsid w:val="00292A7F"/>
    <w:rsid w:val="00294B21"/>
    <w:rsid w:val="00294E05"/>
    <w:rsid w:val="002957D2"/>
    <w:rsid w:val="00295B34"/>
    <w:rsid w:val="00296407"/>
    <w:rsid w:val="00297266"/>
    <w:rsid w:val="00297F7B"/>
    <w:rsid w:val="002A00E4"/>
    <w:rsid w:val="002A01EB"/>
    <w:rsid w:val="002A0788"/>
    <w:rsid w:val="002A0903"/>
    <w:rsid w:val="002A0DA5"/>
    <w:rsid w:val="002A1180"/>
    <w:rsid w:val="002A11DC"/>
    <w:rsid w:val="002A1ED1"/>
    <w:rsid w:val="002A201D"/>
    <w:rsid w:val="002A2064"/>
    <w:rsid w:val="002A2262"/>
    <w:rsid w:val="002A2293"/>
    <w:rsid w:val="002A22CB"/>
    <w:rsid w:val="002A2483"/>
    <w:rsid w:val="002A2808"/>
    <w:rsid w:val="002A36C2"/>
    <w:rsid w:val="002A3902"/>
    <w:rsid w:val="002A3CE3"/>
    <w:rsid w:val="002A3D5D"/>
    <w:rsid w:val="002A4F27"/>
    <w:rsid w:val="002A5FD5"/>
    <w:rsid w:val="002A63A0"/>
    <w:rsid w:val="002A64F9"/>
    <w:rsid w:val="002A6552"/>
    <w:rsid w:val="002A722C"/>
    <w:rsid w:val="002A72C7"/>
    <w:rsid w:val="002A7985"/>
    <w:rsid w:val="002A7FDE"/>
    <w:rsid w:val="002B0183"/>
    <w:rsid w:val="002B0E82"/>
    <w:rsid w:val="002B17EE"/>
    <w:rsid w:val="002B23D1"/>
    <w:rsid w:val="002B25CD"/>
    <w:rsid w:val="002B2F7B"/>
    <w:rsid w:val="002B3802"/>
    <w:rsid w:val="002B3AC4"/>
    <w:rsid w:val="002B44F6"/>
    <w:rsid w:val="002B4998"/>
    <w:rsid w:val="002B4FB4"/>
    <w:rsid w:val="002B508A"/>
    <w:rsid w:val="002B50B6"/>
    <w:rsid w:val="002B532F"/>
    <w:rsid w:val="002B5FC7"/>
    <w:rsid w:val="002B690D"/>
    <w:rsid w:val="002B71B0"/>
    <w:rsid w:val="002B71CD"/>
    <w:rsid w:val="002B72E0"/>
    <w:rsid w:val="002B76AB"/>
    <w:rsid w:val="002B7C37"/>
    <w:rsid w:val="002C0508"/>
    <w:rsid w:val="002C0B37"/>
    <w:rsid w:val="002C0C0D"/>
    <w:rsid w:val="002C0C50"/>
    <w:rsid w:val="002C1507"/>
    <w:rsid w:val="002C2601"/>
    <w:rsid w:val="002C3CA5"/>
    <w:rsid w:val="002C40A9"/>
    <w:rsid w:val="002C41D0"/>
    <w:rsid w:val="002C440C"/>
    <w:rsid w:val="002C4BF2"/>
    <w:rsid w:val="002C513A"/>
    <w:rsid w:val="002C598D"/>
    <w:rsid w:val="002C5C69"/>
    <w:rsid w:val="002C682B"/>
    <w:rsid w:val="002C71CA"/>
    <w:rsid w:val="002D048E"/>
    <w:rsid w:val="002D262A"/>
    <w:rsid w:val="002D3B71"/>
    <w:rsid w:val="002D3EE6"/>
    <w:rsid w:val="002D4031"/>
    <w:rsid w:val="002D4133"/>
    <w:rsid w:val="002D5049"/>
    <w:rsid w:val="002D568C"/>
    <w:rsid w:val="002D5970"/>
    <w:rsid w:val="002D63A7"/>
    <w:rsid w:val="002D63EC"/>
    <w:rsid w:val="002D6709"/>
    <w:rsid w:val="002D6763"/>
    <w:rsid w:val="002D748C"/>
    <w:rsid w:val="002D7B94"/>
    <w:rsid w:val="002E0532"/>
    <w:rsid w:val="002E06F1"/>
    <w:rsid w:val="002E111D"/>
    <w:rsid w:val="002E1543"/>
    <w:rsid w:val="002E183E"/>
    <w:rsid w:val="002E1B35"/>
    <w:rsid w:val="002E226E"/>
    <w:rsid w:val="002E3E35"/>
    <w:rsid w:val="002E422F"/>
    <w:rsid w:val="002E5299"/>
    <w:rsid w:val="002E55E1"/>
    <w:rsid w:val="002E58EC"/>
    <w:rsid w:val="002E5E67"/>
    <w:rsid w:val="002E6A72"/>
    <w:rsid w:val="002E6AA9"/>
    <w:rsid w:val="002E6BA7"/>
    <w:rsid w:val="002E714D"/>
    <w:rsid w:val="002F0A27"/>
    <w:rsid w:val="002F1AEA"/>
    <w:rsid w:val="002F297B"/>
    <w:rsid w:val="002F2DA9"/>
    <w:rsid w:val="002F3629"/>
    <w:rsid w:val="002F3CB5"/>
    <w:rsid w:val="002F4173"/>
    <w:rsid w:val="002F4EE2"/>
    <w:rsid w:val="002F510F"/>
    <w:rsid w:val="002F58FD"/>
    <w:rsid w:val="002F6E35"/>
    <w:rsid w:val="002F725B"/>
    <w:rsid w:val="002F7AFD"/>
    <w:rsid w:val="002F7E96"/>
    <w:rsid w:val="003006AB"/>
    <w:rsid w:val="00300B4E"/>
    <w:rsid w:val="003013F2"/>
    <w:rsid w:val="00301EF6"/>
    <w:rsid w:val="0030242C"/>
    <w:rsid w:val="003025D2"/>
    <w:rsid w:val="00302890"/>
    <w:rsid w:val="0030313A"/>
    <w:rsid w:val="0030386B"/>
    <w:rsid w:val="0030563D"/>
    <w:rsid w:val="003062A1"/>
    <w:rsid w:val="0030651C"/>
    <w:rsid w:val="00306F1E"/>
    <w:rsid w:val="003079E9"/>
    <w:rsid w:val="00307F32"/>
    <w:rsid w:val="003102A2"/>
    <w:rsid w:val="00310CBE"/>
    <w:rsid w:val="0031169B"/>
    <w:rsid w:val="00311872"/>
    <w:rsid w:val="00311A51"/>
    <w:rsid w:val="003122C7"/>
    <w:rsid w:val="003125B4"/>
    <w:rsid w:val="0031313E"/>
    <w:rsid w:val="00313D90"/>
    <w:rsid w:val="00315045"/>
    <w:rsid w:val="00315DEC"/>
    <w:rsid w:val="00315ECD"/>
    <w:rsid w:val="00315F8F"/>
    <w:rsid w:val="003165C8"/>
    <w:rsid w:val="00317399"/>
    <w:rsid w:val="0031740A"/>
    <w:rsid w:val="00317D7F"/>
    <w:rsid w:val="00317DD3"/>
    <w:rsid w:val="00317E6D"/>
    <w:rsid w:val="00317FDB"/>
    <w:rsid w:val="003204F3"/>
    <w:rsid w:val="003208B3"/>
    <w:rsid w:val="00321145"/>
    <w:rsid w:val="00321556"/>
    <w:rsid w:val="00321668"/>
    <w:rsid w:val="00321678"/>
    <w:rsid w:val="0032254D"/>
    <w:rsid w:val="00322560"/>
    <w:rsid w:val="00322713"/>
    <w:rsid w:val="00323036"/>
    <w:rsid w:val="00323195"/>
    <w:rsid w:val="0032389B"/>
    <w:rsid w:val="00323DEB"/>
    <w:rsid w:val="00324098"/>
    <w:rsid w:val="00324FF7"/>
    <w:rsid w:val="003250D8"/>
    <w:rsid w:val="0032538C"/>
    <w:rsid w:val="003256F1"/>
    <w:rsid w:val="00325FF2"/>
    <w:rsid w:val="00326958"/>
    <w:rsid w:val="00327422"/>
    <w:rsid w:val="00327A46"/>
    <w:rsid w:val="0033010B"/>
    <w:rsid w:val="0033012A"/>
    <w:rsid w:val="003308C3"/>
    <w:rsid w:val="00331079"/>
    <w:rsid w:val="00331283"/>
    <w:rsid w:val="003313F2"/>
    <w:rsid w:val="003315D5"/>
    <w:rsid w:val="00331ADC"/>
    <w:rsid w:val="00332851"/>
    <w:rsid w:val="003329B6"/>
    <w:rsid w:val="00332A3F"/>
    <w:rsid w:val="00333857"/>
    <w:rsid w:val="003348F3"/>
    <w:rsid w:val="0033602A"/>
    <w:rsid w:val="0033626E"/>
    <w:rsid w:val="0033682E"/>
    <w:rsid w:val="003369A7"/>
    <w:rsid w:val="0033735B"/>
    <w:rsid w:val="0033765D"/>
    <w:rsid w:val="00337684"/>
    <w:rsid w:val="00337D81"/>
    <w:rsid w:val="00340B69"/>
    <w:rsid w:val="00341682"/>
    <w:rsid w:val="00342537"/>
    <w:rsid w:val="003426BF"/>
    <w:rsid w:val="0034397A"/>
    <w:rsid w:val="003439CE"/>
    <w:rsid w:val="00343D77"/>
    <w:rsid w:val="003449FB"/>
    <w:rsid w:val="0034507D"/>
    <w:rsid w:val="00345090"/>
    <w:rsid w:val="00345556"/>
    <w:rsid w:val="003456F6"/>
    <w:rsid w:val="00345FBF"/>
    <w:rsid w:val="00346189"/>
    <w:rsid w:val="00346E2D"/>
    <w:rsid w:val="00346E5F"/>
    <w:rsid w:val="00346F07"/>
    <w:rsid w:val="00347636"/>
    <w:rsid w:val="0034778C"/>
    <w:rsid w:val="003478DB"/>
    <w:rsid w:val="00347977"/>
    <w:rsid w:val="00347F5E"/>
    <w:rsid w:val="003502D0"/>
    <w:rsid w:val="003504D1"/>
    <w:rsid w:val="0035060C"/>
    <w:rsid w:val="00350830"/>
    <w:rsid w:val="00350B2A"/>
    <w:rsid w:val="00351CDE"/>
    <w:rsid w:val="00352A0B"/>
    <w:rsid w:val="00352E67"/>
    <w:rsid w:val="0035333C"/>
    <w:rsid w:val="003536EF"/>
    <w:rsid w:val="003545DB"/>
    <w:rsid w:val="0035526C"/>
    <w:rsid w:val="00355654"/>
    <w:rsid w:val="003556EF"/>
    <w:rsid w:val="003568BD"/>
    <w:rsid w:val="003569CA"/>
    <w:rsid w:val="00357B5C"/>
    <w:rsid w:val="003609DB"/>
    <w:rsid w:val="00360C86"/>
    <w:rsid w:val="00360D65"/>
    <w:rsid w:val="00361501"/>
    <w:rsid w:val="0036230B"/>
    <w:rsid w:val="00362522"/>
    <w:rsid w:val="00363298"/>
    <w:rsid w:val="00363410"/>
    <w:rsid w:val="00363A19"/>
    <w:rsid w:val="0036428A"/>
    <w:rsid w:val="00364C25"/>
    <w:rsid w:val="003656C4"/>
    <w:rsid w:val="00365CF0"/>
    <w:rsid w:val="003664A9"/>
    <w:rsid w:val="00366F93"/>
    <w:rsid w:val="00367401"/>
    <w:rsid w:val="00370490"/>
    <w:rsid w:val="00370BC5"/>
    <w:rsid w:val="00370D5B"/>
    <w:rsid w:val="00372523"/>
    <w:rsid w:val="003732D3"/>
    <w:rsid w:val="0037411F"/>
    <w:rsid w:val="0037414E"/>
    <w:rsid w:val="003742A8"/>
    <w:rsid w:val="003743AD"/>
    <w:rsid w:val="00375454"/>
    <w:rsid w:val="00376F39"/>
    <w:rsid w:val="0037758B"/>
    <w:rsid w:val="00377693"/>
    <w:rsid w:val="00377A73"/>
    <w:rsid w:val="00380A68"/>
    <w:rsid w:val="00380DC2"/>
    <w:rsid w:val="00381437"/>
    <w:rsid w:val="003815F7"/>
    <w:rsid w:val="00381D30"/>
    <w:rsid w:val="0038211C"/>
    <w:rsid w:val="003822BC"/>
    <w:rsid w:val="00382BD1"/>
    <w:rsid w:val="00383051"/>
    <w:rsid w:val="00383AF2"/>
    <w:rsid w:val="003845F2"/>
    <w:rsid w:val="00384A00"/>
    <w:rsid w:val="00384E5E"/>
    <w:rsid w:val="003850F7"/>
    <w:rsid w:val="0038627C"/>
    <w:rsid w:val="00386325"/>
    <w:rsid w:val="0038698E"/>
    <w:rsid w:val="00386FFD"/>
    <w:rsid w:val="003872D4"/>
    <w:rsid w:val="00387C3D"/>
    <w:rsid w:val="00387D97"/>
    <w:rsid w:val="003900BB"/>
    <w:rsid w:val="003921CA"/>
    <w:rsid w:val="00392614"/>
    <w:rsid w:val="00394544"/>
    <w:rsid w:val="003946B6"/>
    <w:rsid w:val="00394DAA"/>
    <w:rsid w:val="003954AE"/>
    <w:rsid w:val="00395F71"/>
    <w:rsid w:val="003969F2"/>
    <w:rsid w:val="00396FD7"/>
    <w:rsid w:val="00397B3F"/>
    <w:rsid w:val="00397DF3"/>
    <w:rsid w:val="003A0C4E"/>
    <w:rsid w:val="003A0C7A"/>
    <w:rsid w:val="003A0DAE"/>
    <w:rsid w:val="003A1621"/>
    <w:rsid w:val="003A16DA"/>
    <w:rsid w:val="003A3529"/>
    <w:rsid w:val="003A3997"/>
    <w:rsid w:val="003A3ADA"/>
    <w:rsid w:val="003A501E"/>
    <w:rsid w:val="003A5A3F"/>
    <w:rsid w:val="003A63C1"/>
    <w:rsid w:val="003A67C3"/>
    <w:rsid w:val="003A6A4F"/>
    <w:rsid w:val="003A7405"/>
    <w:rsid w:val="003A7661"/>
    <w:rsid w:val="003B0036"/>
    <w:rsid w:val="003B046C"/>
    <w:rsid w:val="003B055D"/>
    <w:rsid w:val="003B11F7"/>
    <w:rsid w:val="003B1491"/>
    <w:rsid w:val="003B1D9E"/>
    <w:rsid w:val="003B22A7"/>
    <w:rsid w:val="003B26FE"/>
    <w:rsid w:val="003B32AF"/>
    <w:rsid w:val="003B3373"/>
    <w:rsid w:val="003B451B"/>
    <w:rsid w:val="003B4C48"/>
    <w:rsid w:val="003B5F14"/>
    <w:rsid w:val="003B65A1"/>
    <w:rsid w:val="003B6922"/>
    <w:rsid w:val="003B6ABE"/>
    <w:rsid w:val="003B6EBB"/>
    <w:rsid w:val="003B7A1A"/>
    <w:rsid w:val="003C0204"/>
    <w:rsid w:val="003C07E9"/>
    <w:rsid w:val="003C0955"/>
    <w:rsid w:val="003C1235"/>
    <w:rsid w:val="003C135F"/>
    <w:rsid w:val="003C2915"/>
    <w:rsid w:val="003C291E"/>
    <w:rsid w:val="003C2F77"/>
    <w:rsid w:val="003C3464"/>
    <w:rsid w:val="003C38EC"/>
    <w:rsid w:val="003C39B8"/>
    <w:rsid w:val="003C3D38"/>
    <w:rsid w:val="003C3D79"/>
    <w:rsid w:val="003C556C"/>
    <w:rsid w:val="003C5C2F"/>
    <w:rsid w:val="003C5D9A"/>
    <w:rsid w:val="003C683A"/>
    <w:rsid w:val="003C6BEE"/>
    <w:rsid w:val="003C7CEC"/>
    <w:rsid w:val="003D036E"/>
    <w:rsid w:val="003D095B"/>
    <w:rsid w:val="003D0A9E"/>
    <w:rsid w:val="003D166D"/>
    <w:rsid w:val="003D1AD9"/>
    <w:rsid w:val="003D1EB9"/>
    <w:rsid w:val="003D2BC0"/>
    <w:rsid w:val="003D3299"/>
    <w:rsid w:val="003D3D84"/>
    <w:rsid w:val="003D3D94"/>
    <w:rsid w:val="003D4759"/>
    <w:rsid w:val="003D5082"/>
    <w:rsid w:val="003D5AFC"/>
    <w:rsid w:val="003D5ECD"/>
    <w:rsid w:val="003D5F58"/>
    <w:rsid w:val="003D5FD2"/>
    <w:rsid w:val="003D63F0"/>
    <w:rsid w:val="003D6733"/>
    <w:rsid w:val="003D6843"/>
    <w:rsid w:val="003D6A67"/>
    <w:rsid w:val="003D6CA4"/>
    <w:rsid w:val="003E1047"/>
    <w:rsid w:val="003E1520"/>
    <w:rsid w:val="003E21DB"/>
    <w:rsid w:val="003E2B32"/>
    <w:rsid w:val="003E30C6"/>
    <w:rsid w:val="003E3505"/>
    <w:rsid w:val="003E365E"/>
    <w:rsid w:val="003E418E"/>
    <w:rsid w:val="003E4238"/>
    <w:rsid w:val="003E4AF1"/>
    <w:rsid w:val="003E4B14"/>
    <w:rsid w:val="003E5A0C"/>
    <w:rsid w:val="003E788C"/>
    <w:rsid w:val="003E7979"/>
    <w:rsid w:val="003F042F"/>
    <w:rsid w:val="003F0D0D"/>
    <w:rsid w:val="003F0E82"/>
    <w:rsid w:val="003F1529"/>
    <w:rsid w:val="003F3340"/>
    <w:rsid w:val="003F49B9"/>
    <w:rsid w:val="003F4A95"/>
    <w:rsid w:val="003F4ADD"/>
    <w:rsid w:val="003F5865"/>
    <w:rsid w:val="003F626F"/>
    <w:rsid w:val="003F64A6"/>
    <w:rsid w:val="003F678A"/>
    <w:rsid w:val="003F6CE0"/>
    <w:rsid w:val="003F6D37"/>
    <w:rsid w:val="003F7027"/>
    <w:rsid w:val="003F78DE"/>
    <w:rsid w:val="003F7D6D"/>
    <w:rsid w:val="0040000C"/>
    <w:rsid w:val="00400AC2"/>
    <w:rsid w:val="004019B4"/>
    <w:rsid w:val="00402AAA"/>
    <w:rsid w:val="0040320A"/>
    <w:rsid w:val="00403D77"/>
    <w:rsid w:val="004043FA"/>
    <w:rsid w:val="00404461"/>
    <w:rsid w:val="0040466F"/>
    <w:rsid w:val="00404A06"/>
    <w:rsid w:val="00405454"/>
    <w:rsid w:val="00405CC3"/>
    <w:rsid w:val="004064DE"/>
    <w:rsid w:val="00406760"/>
    <w:rsid w:val="0040731A"/>
    <w:rsid w:val="0041033F"/>
    <w:rsid w:val="00410C38"/>
    <w:rsid w:val="00412225"/>
    <w:rsid w:val="00413560"/>
    <w:rsid w:val="00413779"/>
    <w:rsid w:val="00413CB3"/>
    <w:rsid w:val="0041401A"/>
    <w:rsid w:val="00414588"/>
    <w:rsid w:val="00414709"/>
    <w:rsid w:val="00414B8D"/>
    <w:rsid w:val="004152B5"/>
    <w:rsid w:val="0041756C"/>
    <w:rsid w:val="004176C8"/>
    <w:rsid w:val="0042040F"/>
    <w:rsid w:val="00420437"/>
    <w:rsid w:val="00420FF8"/>
    <w:rsid w:val="00421758"/>
    <w:rsid w:val="004220AA"/>
    <w:rsid w:val="0042280C"/>
    <w:rsid w:val="00422AB4"/>
    <w:rsid w:val="00422C04"/>
    <w:rsid w:val="00424ED2"/>
    <w:rsid w:val="0042532E"/>
    <w:rsid w:val="0042556D"/>
    <w:rsid w:val="00425714"/>
    <w:rsid w:val="00425FBF"/>
    <w:rsid w:val="00426A59"/>
    <w:rsid w:val="00426BE7"/>
    <w:rsid w:val="00427D4F"/>
    <w:rsid w:val="004302C1"/>
    <w:rsid w:val="00430757"/>
    <w:rsid w:val="00430A83"/>
    <w:rsid w:val="00430B07"/>
    <w:rsid w:val="00431084"/>
    <w:rsid w:val="004312C0"/>
    <w:rsid w:val="00432A48"/>
    <w:rsid w:val="00432C4E"/>
    <w:rsid w:val="00432CC9"/>
    <w:rsid w:val="004337A1"/>
    <w:rsid w:val="00434FF1"/>
    <w:rsid w:val="0043522F"/>
    <w:rsid w:val="004354F2"/>
    <w:rsid w:val="00435539"/>
    <w:rsid w:val="00435C87"/>
    <w:rsid w:val="00436B58"/>
    <w:rsid w:val="00436BEA"/>
    <w:rsid w:val="00436BF6"/>
    <w:rsid w:val="00436CFC"/>
    <w:rsid w:val="00437868"/>
    <w:rsid w:val="00440176"/>
    <w:rsid w:val="00440198"/>
    <w:rsid w:val="004406E3"/>
    <w:rsid w:val="0044241F"/>
    <w:rsid w:val="0044335E"/>
    <w:rsid w:val="00444916"/>
    <w:rsid w:val="00445F18"/>
    <w:rsid w:val="0044620A"/>
    <w:rsid w:val="0044681E"/>
    <w:rsid w:val="00446C1B"/>
    <w:rsid w:val="00451B33"/>
    <w:rsid w:val="004533DB"/>
    <w:rsid w:val="004534D2"/>
    <w:rsid w:val="0045369E"/>
    <w:rsid w:val="004538AF"/>
    <w:rsid w:val="00454290"/>
    <w:rsid w:val="00455507"/>
    <w:rsid w:val="00455627"/>
    <w:rsid w:val="00455822"/>
    <w:rsid w:val="00455D47"/>
    <w:rsid w:val="0045712F"/>
    <w:rsid w:val="004577DD"/>
    <w:rsid w:val="004579FE"/>
    <w:rsid w:val="004612D4"/>
    <w:rsid w:val="0046209A"/>
    <w:rsid w:val="004620D9"/>
    <w:rsid w:val="004620FF"/>
    <w:rsid w:val="00462212"/>
    <w:rsid w:val="00462497"/>
    <w:rsid w:val="00462E7D"/>
    <w:rsid w:val="00464B7F"/>
    <w:rsid w:val="004655C1"/>
    <w:rsid w:val="00465789"/>
    <w:rsid w:val="00465EAD"/>
    <w:rsid w:val="004662C5"/>
    <w:rsid w:val="00467686"/>
    <w:rsid w:val="00471EE5"/>
    <w:rsid w:val="0047262F"/>
    <w:rsid w:val="00472C55"/>
    <w:rsid w:val="00472E39"/>
    <w:rsid w:val="004734D6"/>
    <w:rsid w:val="0047458A"/>
    <w:rsid w:val="004749C2"/>
    <w:rsid w:val="0047515C"/>
    <w:rsid w:val="0047529D"/>
    <w:rsid w:val="004777ED"/>
    <w:rsid w:val="00477C89"/>
    <w:rsid w:val="00477D80"/>
    <w:rsid w:val="00480779"/>
    <w:rsid w:val="00481392"/>
    <w:rsid w:val="004827EE"/>
    <w:rsid w:val="00483AB1"/>
    <w:rsid w:val="00483AF4"/>
    <w:rsid w:val="00483B5D"/>
    <w:rsid w:val="00484E44"/>
    <w:rsid w:val="00485FDD"/>
    <w:rsid w:val="004862AF"/>
    <w:rsid w:val="004862BE"/>
    <w:rsid w:val="004867C2"/>
    <w:rsid w:val="0049195D"/>
    <w:rsid w:val="00491AB9"/>
    <w:rsid w:val="00492D69"/>
    <w:rsid w:val="004934BE"/>
    <w:rsid w:val="0049383D"/>
    <w:rsid w:val="004945FF"/>
    <w:rsid w:val="00494DC4"/>
    <w:rsid w:val="004953CD"/>
    <w:rsid w:val="00495D2D"/>
    <w:rsid w:val="00495DE3"/>
    <w:rsid w:val="00496EDF"/>
    <w:rsid w:val="0049723D"/>
    <w:rsid w:val="00497E1F"/>
    <w:rsid w:val="004A0870"/>
    <w:rsid w:val="004A22C6"/>
    <w:rsid w:val="004A2DEA"/>
    <w:rsid w:val="004A3377"/>
    <w:rsid w:val="004A351F"/>
    <w:rsid w:val="004A3984"/>
    <w:rsid w:val="004A408F"/>
    <w:rsid w:val="004A4430"/>
    <w:rsid w:val="004A4935"/>
    <w:rsid w:val="004A4977"/>
    <w:rsid w:val="004A6EC1"/>
    <w:rsid w:val="004B0024"/>
    <w:rsid w:val="004B2B73"/>
    <w:rsid w:val="004B31D8"/>
    <w:rsid w:val="004B33A7"/>
    <w:rsid w:val="004B33BA"/>
    <w:rsid w:val="004B36F2"/>
    <w:rsid w:val="004B38B6"/>
    <w:rsid w:val="004B39BF"/>
    <w:rsid w:val="004B3CF0"/>
    <w:rsid w:val="004B462D"/>
    <w:rsid w:val="004B467D"/>
    <w:rsid w:val="004B47D3"/>
    <w:rsid w:val="004B4ABE"/>
    <w:rsid w:val="004B4E50"/>
    <w:rsid w:val="004B5267"/>
    <w:rsid w:val="004B5588"/>
    <w:rsid w:val="004B5934"/>
    <w:rsid w:val="004B5A59"/>
    <w:rsid w:val="004B5D0A"/>
    <w:rsid w:val="004B62DE"/>
    <w:rsid w:val="004B6A25"/>
    <w:rsid w:val="004C03A3"/>
    <w:rsid w:val="004C067D"/>
    <w:rsid w:val="004C2187"/>
    <w:rsid w:val="004C2622"/>
    <w:rsid w:val="004C2AE8"/>
    <w:rsid w:val="004C2DBD"/>
    <w:rsid w:val="004C37D2"/>
    <w:rsid w:val="004C41E8"/>
    <w:rsid w:val="004C4617"/>
    <w:rsid w:val="004C46F2"/>
    <w:rsid w:val="004C498B"/>
    <w:rsid w:val="004C6127"/>
    <w:rsid w:val="004C65B3"/>
    <w:rsid w:val="004C67B1"/>
    <w:rsid w:val="004C683A"/>
    <w:rsid w:val="004C7472"/>
    <w:rsid w:val="004C7804"/>
    <w:rsid w:val="004D0026"/>
    <w:rsid w:val="004D0838"/>
    <w:rsid w:val="004D0C1F"/>
    <w:rsid w:val="004D1EAA"/>
    <w:rsid w:val="004D2643"/>
    <w:rsid w:val="004D2C35"/>
    <w:rsid w:val="004D3B77"/>
    <w:rsid w:val="004D486F"/>
    <w:rsid w:val="004D59B4"/>
    <w:rsid w:val="004D5F30"/>
    <w:rsid w:val="004D6B97"/>
    <w:rsid w:val="004D7305"/>
    <w:rsid w:val="004D7A00"/>
    <w:rsid w:val="004D7BF5"/>
    <w:rsid w:val="004E0488"/>
    <w:rsid w:val="004E049B"/>
    <w:rsid w:val="004E068C"/>
    <w:rsid w:val="004E084A"/>
    <w:rsid w:val="004E14C9"/>
    <w:rsid w:val="004E1976"/>
    <w:rsid w:val="004E3FC0"/>
    <w:rsid w:val="004E455C"/>
    <w:rsid w:val="004E4A48"/>
    <w:rsid w:val="004E5811"/>
    <w:rsid w:val="004E61D2"/>
    <w:rsid w:val="004E6247"/>
    <w:rsid w:val="004E69F7"/>
    <w:rsid w:val="004E6EDE"/>
    <w:rsid w:val="004E7409"/>
    <w:rsid w:val="004E74D1"/>
    <w:rsid w:val="004E7FCC"/>
    <w:rsid w:val="004F1D16"/>
    <w:rsid w:val="004F24E6"/>
    <w:rsid w:val="004F2BAC"/>
    <w:rsid w:val="004F36C4"/>
    <w:rsid w:val="004F426B"/>
    <w:rsid w:val="004F6423"/>
    <w:rsid w:val="004F688E"/>
    <w:rsid w:val="004F6CC1"/>
    <w:rsid w:val="004F715B"/>
    <w:rsid w:val="004F78AA"/>
    <w:rsid w:val="004F7A1D"/>
    <w:rsid w:val="004F7AA1"/>
    <w:rsid w:val="004F7C44"/>
    <w:rsid w:val="00500104"/>
    <w:rsid w:val="0050038C"/>
    <w:rsid w:val="00500870"/>
    <w:rsid w:val="00501DC3"/>
    <w:rsid w:val="005025EF"/>
    <w:rsid w:val="00502656"/>
    <w:rsid w:val="005028B4"/>
    <w:rsid w:val="005028E6"/>
    <w:rsid w:val="00504724"/>
    <w:rsid w:val="00504770"/>
    <w:rsid w:val="00504D21"/>
    <w:rsid w:val="00505697"/>
    <w:rsid w:val="00505804"/>
    <w:rsid w:val="00505B7B"/>
    <w:rsid w:val="00506F79"/>
    <w:rsid w:val="00507816"/>
    <w:rsid w:val="00507D47"/>
    <w:rsid w:val="00510612"/>
    <w:rsid w:val="005107ED"/>
    <w:rsid w:val="00511214"/>
    <w:rsid w:val="00511B30"/>
    <w:rsid w:val="00511D22"/>
    <w:rsid w:val="00512749"/>
    <w:rsid w:val="00513298"/>
    <w:rsid w:val="00514028"/>
    <w:rsid w:val="00514D43"/>
    <w:rsid w:val="00514D6C"/>
    <w:rsid w:val="00515157"/>
    <w:rsid w:val="00515443"/>
    <w:rsid w:val="00516729"/>
    <w:rsid w:val="0051688D"/>
    <w:rsid w:val="00516C40"/>
    <w:rsid w:val="00517AA8"/>
    <w:rsid w:val="00517BD5"/>
    <w:rsid w:val="00517C6B"/>
    <w:rsid w:val="00520526"/>
    <w:rsid w:val="0052142A"/>
    <w:rsid w:val="005214F4"/>
    <w:rsid w:val="00521EAD"/>
    <w:rsid w:val="0052467D"/>
    <w:rsid w:val="005249E9"/>
    <w:rsid w:val="00524C1C"/>
    <w:rsid w:val="005257EC"/>
    <w:rsid w:val="005264A8"/>
    <w:rsid w:val="00526576"/>
    <w:rsid w:val="005265BE"/>
    <w:rsid w:val="00526631"/>
    <w:rsid w:val="00526D08"/>
    <w:rsid w:val="0053051B"/>
    <w:rsid w:val="00530988"/>
    <w:rsid w:val="00530DA4"/>
    <w:rsid w:val="00530E80"/>
    <w:rsid w:val="00532852"/>
    <w:rsid w:val="00533392"/>
    <w:rsid w:val="00533800"/>
    <w:rsid w:val="0053482F"/>
    <w:rsid w:val="005350B0"/>
    <w:rsid w:val="005351A4"/>
    <w:rsid w:val="00535221"/>
    <w:rsid w:val="0053540D"/>
    <w:rsid w:val="0053564C"/>
    <w:rsid w:val="00536154"/>
    <w:rsid w:val="00536162"/>
    <w:rsid w:val="005362CF"/>
    <w:rsid w:val="00536605"/>
    <w:rsid w:val="00537E01"/>
    <w:rsid w:val="0054005A"/>
    <w:rsid w:val="005400FC"/>
    <w:rsid w:val="00540352"/>
    <w:rsid w:val="005403E8"/>
    <w:rsid w:val="00541329"/>
    <w:rsid w:val="00541B7F"/>
    <w:rsid w:val="005423D5"/>
    <w:rsid w:val="00542CD6"/>
    <w:rsid w:val="005437C5"/>
    <w:rsid w:val="005439A6"/>
    <w:rsid w:val="00543DBF"/>
    <w:rsid w:val="005442B7"/>
    <w:rsid w:val="00547150"/>
    <w:rsid w:val="0054746F"/>
    <w:rsid w:val="005474FA"/>
    <w:rsid w:val="005477B4"/>
    <w:rsid w:val="00550A81"/>
    <w:rsid w:val="00550A98"/>
    <w:rsid w:val="00550DF2"/>
    <w:rsid w:val="00550E33"/>
    <w:rsid w:val="0055144E"/>
    <w:rsid w:val="00551D48"/>
    <w:rsid w:val="00552160"/>
    <w:rsid w:val="005527D9"/>
    <w:rsid w:val="005536EE"/>
    <w:rsid w:val="00553F52"/>
    <w:rsid w:val="005547CA"/>
    <w:rsid w:val="0055490E"/>
    <w:rsid w:val="00555D9D"/>
    <w:rsid w:val="00555F68"/>
    <w:rsid w:val="00556BCA"/>
    <w:rsid w:val="00556C41"/>
    <w:rsid w:val="00557640"/>
    <w:rsid w:val="005576F8"/>
    <w:rsid w:val="005608FA"/>
    <w:rsid w:val="00560989"/>
    <w:rsid w:val="00560D9D"/>
    <w:rsid w:val="00561604"/>
    <w:rsid w:val="005629E3"/>
    <w:rsid w:val="00562BEE"/>
    <w:rsid w:val="00562E12"/>
    <w:rsid w:val="00563C42"/>
    <w:rsid w:val="0056663F"/>
    <w:rsid w:val="0056685F"/>
    <w:rsid w:val="00566962"/>
    <w:rsid w:val="00566C57"/>
    <w:rsid w:val="00567B4C"/>
    <w:rsid w:val="00567E19"/>
    <w:rsid w:val="00571457"/>
    <w:rsid w:val="00571CCD"/>
    <w:rsid w:val="005720EB"/>
    <w:rsid w:val="00572BEE"/>
    <w:rsid w:val="00573343"/>
    <w:rsid w:val="005740F5"/>
    <w:rsid w:val="0057441F"/>
    <w:rsid w:val="0057453B"/>
    <w:rsid w:val="005747B7"/>
    <w:rsid w:val="00574ADA"/>
    <w:rsid w:val="0057607A"/>
    <w:rsid w:val="0058011E"/>
    <w:rsid w:val="00580A6C"/>
    <w:rsid w:val="005837E2"/>
    <w:rsid w:val="00583ABE"/>
    <w:rsid w:val="0058515F"/>
    <w:rsid w:val="005857F1"/>
    <w:rsid w:val="00585CF8"/>
    <w:rsid w:val="00585F60"/>
    <w:rsid w:val="005860D2"/>
    <w:rsid w:val="00586C2F"/>
    <w:rsid w:val="00586D96"/>
    <w:rsid w:val="00587B30"/>
    <w:rsid w:val="005903AC"/>
    <w:rsid w:val="00590687"/>
    <w:rsid w:val="00591A61"/>
    <w:rsid w:val="00592360"/>
    <w:rsid w:val="00592471"/>
    <w:rsid w:val="005937EB"/>
    <w:rsid w:val="00593A8D"/>
    <w:rsid w:val="00594530"/>
    <w:rsid w:val="00594FCD"/>
    <w:rsid w:val="0059548B"/>
    <w:rsid w:val="00595FE7"/>
    <w:rsid w:val="00596886"/>
    <w:rsid w:val="005969EC"/>
    <w:rsid w:val="00597042"/>
    <w:rsid w:val="005970FF"/>
    <w:rsid w:val="005975FE"/>
    <w:rsid w:val="00597911"/>
    <w:rsid w:val="00597A03"/>
    <w:rsid w:val="005A0582"/>
    <w:rsid w:val="005A151B"/>
    <w:rsid w:val="005A1B02"/>
    <w:rsid w:val="005A202F"/>
    <w:rsid w:val="005A20C2"/>
    <w:rsid w:val="005A22F7"/>
    <w:rsid w:val="005A2504"/>
    <w:rsid w:val="005A2943"/>
    <w:rsid w:val="005A3064"/>
    <w:rsid w:val="005A3F7E"/>
    <w:rsid w:val="005A42E8"/>
    <w:rsid w:val="005A4B51"/>
    <w:rsid w:val="005A50EB"/>
    <w:rsid w:val="005A5286"/>
    <w:rsid w:val="005A58F8"/>
    <w:rsid w:val="005A7D7E"/>
    <w:rsid w:val="005A7F69"/>
    <w:rsid w:val="005B01B3"/>
    <w:rsid w:val="005B0538"/>
    <w:rsid w:val="005B0854"/>
    <w:rsid w:val="005B16EB"/>
    <w:rsid w:val="005B197E"/>
    <w:rsid w:val="005B2525"/>
    <w:rsid w:val="005B39F1"/>
    <w:rsid w:val="005B3BFB"/>
    <w:rsid w:val="005B3EA6"/>
    <w:rsid w:val="005B4ABF"/>
    <w:rsid w:val="005B5D0B"/>
    <w:rsid w:val="005B7A21"/>
    <w:rsid w:val="005B7BE0"/>
    <w:rsid w:val="005B7C06"/>
    <w:rsid w:val="005B7C88"/>
    <w:rsid w:val="005C0390"/>
    <w:rsid w:val="005C080F"/>
    <w:rsid w:val="005C17ED"/>
    <w:rsid w:val="005C1ED1"/>
    <w:rsid w:val="005C28C4"/>
    <w:rsid w:val="005C2D4E"/>
    <w:rsid w:val="005C2E96"/>
    <w:rsid w:val="005C3534"/>
    <w:rsid w:val="005C36A3"/>
    <w:rsid w:val="005C3A1C"/>
    <w:rsid w:val="005C3CA9"/>
    <w:rsid w:val="005C3E29"/>
    <w:rsid w:val="005C4010"/>
    <w:rsid w:val="005C40D5"/>
    <w:rsid w:val="005C40E0"/>
    <w:rsid w:val="005C44A3"/>
    <w:rsid w:val="005C4A5E"/>
    <w:rsid w:val="005C4F07"/>
    <w:rsid w:val="005C5000"/>
    <w:rsid w:val="005C59F7"/>
    <w:rsid w:val="005C5EB9"/>
    <w:rsid w:val="005C60F6"/>
    <w:rsid w:val="005C62E1"/>
    <w:rsid w:val="005C6E4A"/>
    <w:rsid w:val="005C769D"/>
    <w:rsid w:val="005C7854"/>
    <w:rsid w:val="005C7AA5"/>
    <w:rsid w:val="005D019B"/>
    <w:rsid w:val="005D05CE"/>
    <w:rsid w:val="005D0E73"/>
    <w:rsid w:val="005D15BA"/>
    <w:rsid w:val="005D1BB8"/>
    <w:rsid w:val="005D1DEB"/>
    <w:rsid w:val="005D25B4"/>
    <w:rsid w:val="005D267D"/>
    <w:rsid w:val="005D3846"/>
    <w:rsid w:val="005D38A9"/>
    <w:rsid w:val="005D469E"/>
    <w:rsid w:val="005D4E53"/>
    <w:rsid w:val="005D51C5"/>
    <w:rsid w:val="005D5469"/>
    <w:rsid w:val="005D5508"/>
    <w:rsid w:val="005D5D21"/>
    <w:rsid w:val="005D7121"/>
    <w:rsid w:val="005D76B1"/>
    <w:rsid w:val="005D78B1"/>
    <w:rsid w:val="005E05E4"/>
    <w:rsid w:val="005E0612"/>
    <w:rsid w:val="005E0B04"/>
    <w:rsid w:val="005E0BE3"/>
    <w:rsid w:val="005E0CF7"/>
    <w:rsid w:val="005E1255"/>
    <w:rsid w:val="005E26DF"/>
    <w:rsid w:val="005E2B24"/>
    <w:rsid w:val="005E2B5A"/>
    <w:rsid w:val="005E2CC4"/>
    <w:rsid w:val="005E2D2B"/>
    <w:rsid w:val="005E2D7A"/>
    <w:rsid w:val="005E3FE3"/>
    <w:rsid w:val="005E422A"/>
    <w:rsid w:val="005E454D"/>
    <w:rsid w:val="005E4859"/>
    <w:rsid w:val="005E4997"/>
    <w:rsid w:val="005E4ED2"/>
    <w:rsid w:val="005E57B4"/>
    <w:rsid w:val="005E5E12"/>
    <w:rsid w:val="005E672B"/>
    <w:rsid w:val="005E67EA"/>
    <w:rsid w:val="005E7169"/>
    <w:rsid w:val="005F11E7"/>
    <w:rsid w:val="005F170A"/>
    <w:rsid w:val="005F18E6"/>
    <w:rsid w:val="005F2027"/>
    <w:rsid w:val="005F28ED"/>
    <w:rsid w:val="005F38CB"/>
    <w:rsid w:val="005F3A14"/>
    <w:rsid w:val="005F4977"/>
    <w:rsid w:val="005F5390"/>
    <w:rsid w:val="005F5DC1"/>
    <w:rsid w:val="005F62FF"/>
    <w:rsid w:val="005F6F8C"/>
    <w:rsid w:val="005F7226"/>
    <w:rsid w:val="005F7ADD"/>
    <w:rsid w:val="005F7FEA"/>
    <w:rsid w:val="006001F5"/>
    <w:rsid w:val="006002E5"/>
    <w:rsid w:val="0060087D"/>
    <w:rsid w:val="00600BB1"/>
    <w:rsid w:val="00600F4B"/>
    <w:rsid w:val="006010C4"/>
    <w:rsid w:val="00601E42"/>
    <w:rsid w:val="00602925"/>
    <w:rsid w:val="00603371"/>
    <w:rsid w:val="00603734"/>
    <w:rsid w:val="0060382E"/>
    <w:rsid w:val="00605562"/>
    <w:rsid w:val="00605890"/>
    <w:rsid w:val="00606B26"/>
    <w:rsid w:val="006075CC"/>
    <w:rsid w:val="006102CB"/>
    <w:rsid w:val="00610914"/>
    <w:rsid w:val="0061103F"/>
    <w:rsid w:val="00611B78"/>
    <w:rsid w:val="006128C9"/>
    <w:rsid w:val="006128DF"/>
    <w:rsid w:val="0061294C"/>
    <w:rsid w:val="006134D5"/>
    <w:rsid w:val="006149AA"/>
    <w:rsid w:val="00614AE3"/>
    <w:rsid w:val="00614C13"/>
    <w:rsid w:val="00615050"/>
    <w:rsid w:val="0061557F"/>
    <w:rsid w:val="0061589B"/>
    <w:rsid w:val="00615C7C"/>
    <w:rsid w:val="00616421"/>
    <w:rsid w:val="00616DE6"/>
    <w:rsid w:val="00617071"/>
    <w:rsid w:val="00620A97"/>
    <w:rsid w:val="006212EE"/>
    <w:rsid w:val="00621977"/>
    <w:rsid w:val="00622372"/>
    <w:rsid w:val="0062270C"/>
    <w:rsid w:val="00622BA0"/>
    <w:rsid w:val="00623B88"/>
    <w:rsid w:val="00623E13"/>
    <w:rsid w:val="00624682"/>
    <w:rsid w:val="0062545D"/>
    <w:rsid w:val="006258EC"/>
    <w:rsid w:val="00626EFF"/>
    <w:rsid w:val="00630443"/>
    <w:rsid w:val="00630740"/>
    <w:rsid w:val="00631268"/>
    <w:rsid w:val="006314E5"/>
    <w:rsid w:val="00631963"/>
    <w:rsid w:val="00633570"/>
    <w:rsid w:val="006339C5"/>
    <w:rsid w:val="00633A55"/>
    <w:rsid w:val="00633E77"/>
    <w:rsid w:val="00635235"/>
    <w:rsid w:val="006357DC"/>
    <w:rsid w:val="00635828"/>
    <w:rsid w:val="006358FB"/>
    <w:rsid w:val="00635973"/>
    <w:rsid w:val="00635B44"/>
    <w:rsid w:val="00635E91"/>
    <w:rsid w:val="00635F4A"/>
    <w:rsid w:val="0063644E"/>
    <w:rsid w:val="00636D6D"/>
    <w:rsid w:val="00636DBF"/>
    <w:rsid w:val="006371A1"/>
    <w:rsid w:val="00637B5E"/>
    <w:rsid w:val="0064000C"/>
    <w:rsid w:val="006404FF"/>
    <w:rsid w:val="00640B2A"/>
    <w:rsid w:val="00640C52"/>
    <w:rsid w:val="00642C43"/>
    <w:rsid w:val="00642EA8"/>
    <w:rsid w:val="00643BD9"/>
    <w:rsid w:val="00643C16"/>
    <w:rsid w:val="00645B8E"/>
    <w:rsid w:val="00645DD6"/>
    <w:rsid w:val="00647970"/>
    <w:rsid w:val="00647A41"/>
    <w:rsid w:val="006503CC"/>
    <w:rsid w:val="006510A7"/>
    <w:rsid w:val="00651A9A"/>
    <w:rsid w:val="0065206C"/>
    <w:rsid w:val="006527F4"/>
    <w:rsid w:val="00652FED"/>
    <w:rsid w:val="00653823"/>
    <w:rsid w:val="006539A8"/>
    <w:rsid w:val="00653BBE"/>
    <w:rsid w:val="00654094"/>
    <w:rsid w:val="006542C6"/>
    <w:rsid w:val="006548D3"/>
    <w:rsid w:val="00654BA6"/>
    <w:rsid w:val="00656612"/>
    <w:rsid w:val="0065714B"/>
    <w:rsid w:val="00657212"/>
    <w:rsid w:val="006574D3"/>
    <w:rsid w:val="006578A2"/>
    <w:rsid w:val="006579BF"/>
    <w:rsid w:val="0066062F"/>
    <w:rsid w:val="00661A89"/>
    <w:rsid w:val="00661FB8"/>
    <w:rsid w:val="0066273C"/>
    <w:rsid w:val="00662795"/>
    <w:rsid w:val="00663D7A"/>
    <w:rsid w:val="006641AF"/>
    <w:rsid w:val="00664A3D"/>
    <w:rsid w:val="00665CD6"/>
    <w:rsid w:val="00666D9A"/>
    <w:rsid w:val="006675D9"/>
    <w:rsid w:val="00667CC9"/>
    <w:rsid w:val="00667D81"/>
    <w:rsid w:val="00670D00"/>
    <w:rsid w:val="00671099"/>
    <w:rsid w:val="0067112C"/>
    <w:rsid w:val="006727FF"/>
    <w:rsid w:val="00673061"/>
    <w:rsid w:val="0067358F"/>
    <w:rsid w:val="0067395C"/>
    <w:rsid w:val="00673DFC"/>
    <w:rsid w:val="00674F1E"/>
    <w:rsid w:val="00674F24"/>
    <w:rsid w:val="00675000"/>
    <w:rsid w:val="00675C91"/>
    <w:rsid w:val="00676413"/>
    <w:rsid w:val="00676A56"/>
    <w:rsid w:val="0067720C"/>
    <w:rsid w:val="0067759F"/>
    <w:rsid w:val="00677A6A"/>
    <w:rsid w:val="00680571"/>
    <w:rsid w:val="0068098F"/>
    <w:rsid w:val="00680AB7"/>
    <w:rsid w:val="006814A5"/>
    <w:rsid w:val="00681596"/>
    <w:rsid w:val="00681919"/>
    <w:rsid w:val="00681BE0"/>
    <w:rsid w:val="00681C48"/>
    <w:rsid w:val="00681E5B"/>
    <w:rsid w:val="0068215C"/>
    <w:rsid w:val="0068230E"/>
    <w:rsid w:val="00683640"/>
    <w:rsid w:val="006845A7"/>
    <w:rsid w:val="00684C89"/>
    <w:rsid w:val="00684E8D"/>
    <w:rsid w:val="00685078"/>
    <w:rsid w:val="00685991"/>
    <w:rsid w:val="00686132"/>
    <w:rsid w:val="006869B8"/>
    <w:rsid w:val="00687C16"/>
    <w:rsid w:val="006907C2"/>
    <w:rsid w:val="006923E9"/>
    <w:rsid w:val="00692CCF"/>
    <w:rsid w:val="00692DA3"/>
    <w:rsid w:val="00693672"/>
    <w:rsid w:val="006943D1"/>
    <w:rsid w:val="0069471D"/>
    <w:rsid w:val="006947C8"/>
    <w:rsid w:val="006952EC"/>
    <w:rsid w:val="00696552"/>
    <w:rsid w:val="00696783"/>
    <w:rsid w:val="00697267"/>
    <w:rsid w:val="0069799C"/>
    <w:rsid w:val="00697E5B"/>
    <w:rsid w:val="006A01E7"/>
    <w:rsid w:val="006A04B1"/>
    <w:rsid w:val="006A05B3"/>
    <w:rsid w:val="006A0BB4"/>
    <w:rsid w:val="006A1723"/>
    <w:rsid w:val="006A2994"/>
    <w:rsid w:val="006A4148"/>
    <w:rsid w:val="006A465C"/>
    <w:rsid w:val="006A4862"/>
    <w:rsid w:val="006A4FFC"/>
    <w:rsid w:val="006A5712"/>
    <w:rsid w:val="006A5866"/>
    <w:rsid w:val="006A6D7D"/>
    <w:rsid w:val="006A73F8"/>
    <w:rsid w:val="006B0236"/>
    <w:rsid w:val="006B06A0"/>
    <w:rsid w:val="006B1180"/>
    <w:rsid w:val="006B2425"/>
    <w:rsid w:val="006B2483"/>
    <w:rsid w:val="006B24FB"/>
    <w:rsid w:val="006B3648"/>
    <w:rsid w:val="006B3C03"/>
    <w:rsid w:val="006B41B2"/>
    <w:rsid w:val="006B4E3F"/>
    <w:rsid w:val="006B566C"/>
    <w:rsid w:val="006B652D"/>
    <w:rsid w:val="006B6D4A"/>
    <w:rsid w:val="006B707A"/>
    <w:rsid w:val="006B754F"/>
    <w:rsid w:val="006C133A"/>
    <w:rsid w:val="006C17D4"/>
    <w:rsid w:val="006C1DF5"/>
    <w:rsid w:val="006C2620"/>
    <w:rsid w:val="006C3301"/>
    <w:rsid w:val="006C3304"/>
    <w:rsid w:val="006C38EF"/>
    <w:rsid w:val="006C3FB2"/>
    <w:rsid w:val="006C60B7"/>
    <w:rsid w:val="006C62E4"/>
    <w:rsid w:val="006C6BE8"/>
    <w:rsid w:val="006C6FB7"/>
    <w:rsid w:val="006C7076"/>
    <w:rsid w:val="006C742B"/>
    <w:rsid w:val="006C760F"/>
    <w:rsid w:val="006C7956"/>
    <w:rsid w:val="006C7BE4"/>
    <w:rsid w:val="006D03BB"/>
    <w:rsid w:val="006D08E8"/>
    <w:rsid w:val="006D0B14"/>
    <w:rsid w:val="006D0B3E"/>
    <w:rsid w:val="006D21C0"/>
    <w:rsid w:val="006D21FF"/>
    <w:rsid w:val="006D22DF"/>
    <w:rsid w:val="006D317F"/>
    <w:rsid w:val="006D3D09"/>
    <w:rsid w:val="006D3DC9"/>
    <w:rsid w:val="006D5790"/>
    <w:rsid w:val="006D680C"/>
    <w:rsid w:val="006E09AE"/>
    <w:rsid w:val="006E0F68"/>
    <w:rsid w:val="006E1848"/>
    <w:rsid w:val="006E188F"/>
    <w:rsid w:val="006E2746"/>
    <w:rsid w:val="006E2876"/>
    <w:rsid w:val="006E356A"/>
    <w:rsid w:val="006E3944"/>
    <w:rsid w:val="006E3BD4"/>
    <w:rsid w:val="006E4164"/>
    <w:rsid w:val="006E4B0F"/>
    <w:rsid w:val="006E5B0A"/>
    <w:rsid w:val="006E653D"/>
    <w:rsid w:val="006E70BE"/>
    <w:rsid w:val="006E7BD0"/>
    <w:rsid w:val="006E7E08"/>
    <w:rsid w:val="006E7EFC"/>
    <w:rsid w:val="006F050D"/>
    <w:rsid w:val="006F0B3C"/>
    <w:rsid w:val="006F197E"/>
    <w:rsid w:val="006F244C"/>
    <w:rsid w:val="006F25E9"/>
    <w:rsid w:val="006F265F"/>
    <w:rsid w:val="006F2D88"/>
    <w:rsid w:val="006F2E75"/>
    <w:rsid w:val="006F3FEB"/>
    <w:rsid w:val="006F4AFC"/>
    <w:rsid w:val="006F730C"/>
    <w:rsid w:val="006F73F3"/>
    <w:rsid w:val="00700BEC"/>
    <w:rsid w:val="00700DDD"/>
    <w:rsid w:val="007013DF"/>
    <w:rsid w:val="00701CB6"/>
    <w:rsid w:val="00702652"/>
    <w:rsid w:val="00702CA7"/>
    <w:rsid w:val="00702EB1"/>
    <w:rsid w:val="00702F11"/>
    <w:rsid w:val="007031B1"/>
    <w:rsid w:val="007043FD"/>
    <w:rsid w:val="0070480F"/>
    <w:rsid w:val="0070522D"/>
    <w:rsid w:val="007059C2"/>
    <w:rsid w:val="0070661C"/>
    <w:rsid w:val="00707736"/>
    <w:rsid w:val="007109B7"/>
    <w:rsid w:val="00710F85"/>
    <w:rsid w:val="00711B96"/>
    <w:rsid w:val="00711CCA"/>
    <w:rsid w:val="007126CA"/>
    <w:rsid w:val="00714DC4"/>
    <w:rsid w:val="00714F54"/>
    <w:rsid w:val="007153A0"/>
    <w:rsid w:val="007155EE"/>
    <w:rsid w:val="007158CC"/>
    <w:rsid w:val="00715A86"/>
    <w:rsid w:val="00715F5E"/>
    <w:rsid w:val="007163F2"/>
    <w:rsid w:val="0071650C"/>
    <w:rsid w:val="00716DB7"/>
    <w:rsid w:val="0071742B"/>
    <w:rsid w:val="00717DC2"/>
    <w:rsid w:val="007200DC"/>
    <w:rsid w:val="00720243"/>
    <w:rsid w:val="007204B6"/>
    <w:rsid w:val="007208C0"/>
    <w:rsid w:val="00720C83"/>
    <w:rsid w:val="007222A0"/>
    <w:rsid w:val="00722959"/>
    <w:rsid w:val="00722994"/>
    <w:rsid w:val="00722B8F"/>
    <w:rsid w:val="00722E39"/>
    <w:rsid w:val="007236A9"/>
    <w:rsid w:val="0072387B"/>
    <w:rsid w:val="0072409B"/>
    <w:rsid w:val="007241C1"/>
    <w:rsid w:val="00724B3E"/>
    <w:rsid w:val="00724BB6"/>
    <w:rsid w:val="00724C19"/>
    <w:rsid w:val="00724C22"/>
    <w:rsid w:val="0072682A"/>
    <w:rsid w:val="007270BC"/>
    <w:rsid w:val="00727106"/>
    <w:rsid w:val="00727D40"/>
    <w:rsid w:val="0073129D"/>
    <w:rsid w:val="0073233A"/>
    <w:rsid w:val="007332C1"/>
    <w:rsid w:val="00733369"/>
    <w:rsid w:val="007337CF"/>
    <w:rsid w:val="007339E2"/>
    <w:rsid w:val="00735339"/>
    <w:rsid w:val="007356A8"/>
    <w:rsid w:val="007356BE"/>
    <w:rsid w:val="00737AD5"/>
    <w:rsid w:val="00737ADF"/>
    <w:rsid w:val="00737D75"/>
    <w:rsid w:val="00743C1A"/>
    <w:rsid w:val="0074528A"/>
    <w:rsid w:val="0074753F"/>
    <w:rsid w:val="00747627"/>
    <w:rsid w:val="00747C8A"/>
    <w:rsid w:val="007518A9"/>
    <w:rsid w:val="00752C40"/>
    <w:rsid w:val="007544D6"/>
    <w:rsid w:val="0075488B"/>
    <w:rsid w:val="00755640"/>
    <w:rsid w:val="007556E7"/>
    <w:rsid w:val="00755FCC"/>
    <w:rsid w:val="00756044"/>
    <w:rsid w:val="00756878"/>
    <w:rsid w:val="00756E06"/>
    <w:rsid w:val="00760831"/>
    <w:rsid w:val="007614D4"/>
    <w:rsid w:val="00761557"/>
    <w:rsid w:val="00761981"/>
    <w:rsid w:val="00761C9D"/>
    <w:rsid w:val="00761DA6"/>
    <w:rsid w:val="00762767"/>
    <w:rsid w:val="0076287B"/>
    <w:rsid w:val="00762A79"/>
    <w:rsid w:val="00762CCA"/>
    <w:rsid w:val="00763B52"/>
    <w:rsid w:val="0076425E"/>
    <w:rsid w:val="00764A19"/>
    <w:rsid w:val="00764A69"/>
    <w:rsid w:val="00765254"/>
    <w:rsid w:val="00766439"/>
    <w:rsid w:val="00766F34"/>
    <w:rsid w:val="00767DAA"/>
    <w:rsid w:val="00767FDD"/>
    <w:rsid w:val="007700B1"/>
    <w:rsid w:val="00770FF8"/>
    <w:rsid w:val="00771182"/>
    <w:rsid w:val="007712DF"/>
    <w:rsid w:val="00771559"/>
    <w:rsid w:val="00771F36"/>
    <w:rsid w:val="0077363D"/>
    <w:rsid w:val="00774030"/>
    <w:rsid w:val="00775B80"/>
    <w:rsid w:val="00775F70"/>
    <w:rsid w:val="0077716D"/>
    <w:rsid w:val="007778C0"/>
    <w:rsid w:val="00780ABA"/>
    <w:rsid w:val="00780B38"/>
    <w:rsid w:val="0078139C"/>
    <w:rsid w:val="00781F52"/>
    <w:rsid w:val="007825D9"/>
    <w:rsid w:val="00782DD1"/>
    <w:rsid w:val="0078307E"/>
    <w:rsid w:val="007833F3"/>
    <w:rsid w:val="007837E6"/>
    <w:rsid w:val="0078469C"/>
    <w:rsid w:val="00784B25"/>
    <w:rsid w:val="00785381"/>
    <w:rsid w:val="00785C49"/>
    <w:rsid w:val="00786283"/>
    <w:rsid w:val="007864BA"/>
    <w:rsid w:val="007864C9"/>
    <w:rsid w:val="00786CD1"/>
    <w:rsid w:val="00786F55"/>
    <w:rsid w:val="0078705B"/>
    <w:rsid w:val="00787249"/>
    <w:rsid w:val="007878F4"/>
    <w:rsid w:val="00787CE7"/>
    <w:rsid w:val="007901F2"/>
    <w:rsid w:val="00790BDE"/>
    <w:rsid w:val="00790C2A"/>
    <w:rsid w:val="0079430F"/>
    <w:rsid w:val="00795782"/>
    <w:rsid w:val="00795CD7"/>
    <w:rsid w:val="00795EA5"/>
    <w:rsid w:val="007963EB"/>
    <w:rsid w:val="00796E58"/>
    <w:rsid w:val="007973F5"/>
    <w:rsid w:val="00797613"/>
    <w:rsid w:val="007A08AF"/>
    <w:rsid w:val="007A0F63"/>
    <w:rsid w:val="007A1493"/>
    <w:rsid w:val="007A1FBB"/>
    <w:rsid w:val="007A230B"/>
    <w:rsid w:val="007A251B"/>
    <w:rsid w:val="007A2C23"/>
    <w:rsid w:val="007A2D95"/>
    <w:rsid w:val="007A2E39"/>
    <w:rsid w:val="007A4712"/>
    <w:rsid w:val="007A4E2A"/>
    <w:rsid w:val="007A4FD7"/>
    <w:rsid w:val="007A5028"/>
    <w:rsid w:val="007A5593"/>
    <w:rsid w:val="007A7567"/>
    <w:rsid w:val="007A7C48"/>
    <w:rsid w:val="007B0567"/>
    <w:rsid w:val="007B09F7"/>
    <w:rsid w:val="007B0F0B"/>
    <w:rsid w:val="007B1192"/>
    <w:rsid w:val="007B1305"/>
    <w:rsid w:val="007B15D1"/>
    <w:rsid w:val="007B1E87"/>
    <w:rsid w:val="007B2432"/>
    <w:rsid w:val="007B45CA"/>
    <w:rsid w:val="007B4944"/>
    <w:rsid w:val="007B55E8"/>
    <w:rsid w:val="007B5C86"/>
    <w:rsid w:val="007B6BC1"/>
    <w:rsid w:val="007B6DB8"/>
    <w:rsid w:val="007B717C"/>
    <w:rsid w:val="007B749C"/>
    <w:rsid w:val="007B792D"/>
    <w:rsid w:val="007C0174"/>
    <w:rsid w:val="007C1FC0"/>
    <w:rsid w:val="007C2B84"/>
    <w:rsid w:val="007C306D"/>
    <w:rsid w:val="007C454F"/>
    <w:rsid w:val="007C4918"/>
    <w:rsid w:val="007C4C1B"/>
    <w:rsid w:val="007C6733"/>
    <w:rsid w:val="007C6B23"/>
    <w:rsid w:val="007C6B92"/>
    <w:rsid w:val="007C7161"/>
    <w:rsid w:val="007C74A0"/>
    <w:rsid w:val="007C7719"/>
    <w:rsid w:val="007D0A50"/>
    <w:rsid w:val="007D0F98"/>
    <w:rsid w:val="007D11D6"/>
    <w:rsid w:val="007D153B"/>
    <w:rsid w:val="007D1AA4"/>
    <w:rsid w:val="007D276C"/>
    <w:rsid w:val="007D279A"/>
    <w:rsid w:val="007D2AD5"/>
    <w:rsid w:val="007D363B"/>
    <w:rsid w:val="007D50B7"/>
    <w:rsid w:val="007D5481"/>
    <w:rsid w:val="007D57BF"/>
    <w:rsid w:val="007D6418"/>
    <w:rsid w:val="007D687E"/>
    <w:rsid w:val="007D6AE7"/>
    <w:rsid w:val="007D6CFB"/>
    <w:rsid w:val="007D6DA9"/>
    <w:rsid w:val="007D7ADC"/>
    <w:rsid w:val="007E066A"/>
    <w:rsid w:val="007E0767"/>
    <w:rsid w:val="007E07F9"/>
    <w:rsid w:val="007E1607"/>
    <w:rsid w:val="007E1AB0"/>
    <w:rsid w:val="007E2233"/>
    <w:rsid w:val="007E250B"/>
    <w:rsid w:val="007E2598"/>
    <w:rsid w:val="007E2AEF"/>
    <w:rsid w:val="007E2C04"/>
    <w:rsid w:val="007E313B"/>
    <w:rsid w:val="007E3339"/>
    <w:rsid w:val="007E3C4A"/>
    <w:rsid w:val="007E42A7"/>
    <w:rsid w:val="007E4D74"/>
    <w:rsid w:val="007E5566"/>
    <w:rsid w:val="007E5728"/>
    <w:rsid w:val="007E574B"/>
    <w:rsid w:val="007E5750"/>
    <w:rsid w:val="007E577F"/>
    <w:rsid w:val="007E57E8"/>
    <w:rsid w:val="007E5C69"/>
    <w:rsid w:val="007E6923"/>
    <w:rsid w:val="007F094C"/>
    <w:rsid w:val="007F1800"/>
    <w:rsid w:val="007F1B49"/>
    <w:rsid w:val="007F1D39"/>
    <w:rsid w:val="007F2667"/>
    <w:rsid w:val="007F409B"/>
    <w:rsid w:val="007F5203"/>
    <w:rsid w:val="007F67DB"/>
    <w:rsid w:val="007F7423"/>
    <w:rsid w:val="00800364"/>
    <w:rsid w:val="008003CC"/>
    <w:rsid w:val="00801FB0"/>
    <w:rsid w:val="0080264C"/>
    <w:rsid w:val="00802EA7"/>
    <w:rsid w:val="0080384B"/>
    <w:rsid w:val="00804F81"/>
    <w:rsid w:val="00805791"/>
    <w:rsid w:val="008059AC"/>
    <w:rsid w:val="008065F4"/>
    <w:rsid w:val="00806E56"/>
    <w:rsid w:val="00807CBB"/>
    <w:rsid w:val="00807D1C"/>
    <w:rsid w:val="00810069"/>
    <w:rsid w:val="008100DC"/>
    <w:rsid w:val="00810385"/>
    <w:rsid w:val="00811638"/>
    <w:rsid w:val="00811AAC"/>
    <w:rsid w:val="00811DC7"/>
    <w:rsid w:val="008121A5"/>
    <w:rsid w:val="00813494"/>
    <w:rsid w:val="00813DCA"/>
    <w:rsid w:val="00814356"/>
    <w:rsid w:val="00814AE7"/>
    <w:rsid w:val="00814F48"/>
    <w:rsid w:val="00815382"/>
    <w:rsid w:val="0081552D"/>
    <w:rsid w:val="00815D0D"/>
    <w:rsid w:val="00816BE2"/>
    <w:rsid w:val="008170AC"/>
    <w:rsid w:val="0081787B"/>
    <w:rsid w:val="00817D55"/>
    <w:rsid w:val="00820339"/>
    <w:rsid w:val="00821341"/>
    <w:rsid w:val="00821511"/>
    <w:rsid w:val="008220C7"/>
    <w:rsid w:val="00824D7E"/>
    <w:rsid w:val="00826389"/>
    <w:rsid w:val="008270A4"/>
    <w:rsid w:val="008274D5"/>
    <w:rsid w:val="00830258"/>
    <w:rsid w:val="00830296"/>
    <w:rsid w:val="00831A8E"/>
    <w:rsid w:val="008321D0"/>
    <w:rsid w:val="008323AA"/>
    <w:rsid w:val="00832756"/>
    <w:rsid w:val="00833B51"/>
    <w:rsid w:val="008341C9"/>
    <w:rsid w:val="00835AC3"/>
    <w:rsid w:val="008400E5"/>
    <w:rsid w:val="008403EE"/>
    <w:rsid w:val="008405D8"/>
    <w:rsid w:val="00841155"/>
    <w:rsid w:val="00841251"/>
    <w:rsid w:val="00841793"/>
    <w:rsid w:val="00841F5E"/>
    <w:rsid w:val="00842BFA"/>
    <w:rsid w:val="00844769"/>
    <w:rsid w:val="00844B28"/>
    <w:rsid w:val="00844C1A"/>
    <w:rsid w:val="00844E31"/>
    <w:rsid w:val="008453D2"/>
    <w:rsid w:val="00846BC9"/>
    <w:rsid w:val="0085028F"/>
    <w:rsid w:val="008504B5"/>
    <w:rsid w:val="008505B5"/>
    <w:rsid w:val="00850C5B"/>
    <w:rsid w:val="00850F24"/>
    <w:rsid w:val="00851086"/>
    <w:rsid w:val="008525E3"/>
    <w:rsid w:val="00852A49"/>
    <w:rsid w:val="00852D7A"/>
    <w:rsid w:val="0085348C"/>
    <w:rsid w:val="008535C9"/>
    <w:rsid w:val="008540D9"/>
    <w:rsid w:val="00854CC7"/>
    <w:rsid w:val="00854FD1"/>
    <w:rsid w:val="008553FF"/>
    <w:rsid w:val="00855C5D"/>
    <w:rsid w:val="00855E76"/>
    <w:rsid w:val="00856535"/>
    <w:rsid w:val="00856A11"/>
    <w:rsid w:val="00857E34"/>
    <w:rsid w:val="0086065C"/>
    <w:rsid w:val="0086138D"/>
    <w:rsid w:val="008617DB"/>
    <w:rsid w:val="00861991"/>
    <w:rsid w:val="00861B5B"/>
    <w:rsid w:val="00861E59"/>
    <w:rsid w:val="00862429"/>
    <w:rsid w:val="008628D8"/>
    <w:rsid w:val="008638C7"/>
    <w:rsid w:val="00863EA6"/>
    <w:rsid w:val="0086422A"/>
    <w:rsid w:val="00864607"/>
    <w:rsid w:val="0086558E"/>
    <w:rsid w:val="008656E7"/>
    <w:rsid w:val="00865AD4"/>
    <w:rsid w:val="00865E7D"/>
    <w:rsid w:val="00865E87"/>
    <w:rsid w:val="0086607D"/>
    <w:rsid w:val="00866084"/>
    <w:rsid w:val="0086608E"/>
    <w:rsid w:val="008668B7"/>
    <w:rsid w:val="00867722"/>
    <w:rsid w:val="00867B40"/>
    <w:rsid w:val="00867D4E"/>
    <w:rsid w:val="008700E8"/>
    <w:rsid w:val="008712E0"/>
    <w:rsid w:val="008714D1"/>
    <w:rsid w:val="008715AF"/>
    <w:rsid w:val="00872A9C"/>
    <w:rsid w:val="00874591"/>
    <w:rsid w:val="00875167"/>
    <w:rsid w:val="00875FF2"/>
    <w:rsid w:val="00876CC9"/>
    <w:rsid w:val="00876D8D"/>
    <w:rsid w:val="0087754C"/>
    <w:rsid w:val="00877B02"/>
    <w:rsid w:val="0088075E"/>
    <w:rsid w:val="008813AB"/>
    <w:rsid w:val="0088174A"/>
    <w:rsid w:val="0088246A"/>
    <w:rsid w:val="00882830"/>
    <w:rsid w:val="00882E5C"/>
    <w:rsid w:val="008835B0"/>
    <w:rsid w:val="00884466"/>
    <w:rsid w:val="00884473"/>
    <w:rsid w:val="00884C49"/>
    <w:rsid w:val="00886363"/>
    <w:rsid w:val="008867EB"/>
    <w:rsid w:val="00887FE4"/>
    <w:rsid w:val="00890969"/>
    <w:rsid w:val="008909FE"/>
    <w:rsid w:val="00891A0F"/>
    <w:rsid w:val="00894A06"/>
    <w:rsid w:val="00894F98"/>
    <w:rsid w:val="00895640"/>
    <w:rsid w:val="00895ABA"/>
    <w:rsid w:val="00895F6F"/>
    <w:rsid w:val="0089611E"/>
    <w:rsid w:val="00897391"/>
    <w:rsid w:val="008976F9"/>
    <w:rsid w:val="00897B37"/>
    <w:rsid w:val="008A0724"/>
    <w:rsid w:val="008A1353"/>
    <w:rsid w:val="008A180A"/>
    <w:rsid w:val="008A1ABB"/>
    <w:rsid w:val="008A2A03"/>
    <w:rsid w:val="008A2B06"/>
    <w:rsid w:val="008A47D0"/>
    <w:rsid w:val="008A4A37"/>
    <w:rsid w:val="008A4DB8"/>
    <w:rsid w:val="008A61E9"/>
    <w:rsid w:val="008A62DE"/>
    <w:rsid w:val="008A6D22"/>
    <w:rsid w:val="008A705A"/>
    <w:rsid w:val="008A7809"/>
    <w:rsid w:val="008B07B5"/>
    <w:rsid w:val="008B08AA"/>
    <w:rsid w:val="008B09D6"/>
    <w:rsid w:val="008B170C"/>
    <w:rsid w:val="008B2BAC"/>
    <w:rsid w:val="008B37FE"/>
    <w:rsid w:val="008B4133"/>
    <w:rsid w:val="008B41C9"/>
    <w:rsid w:val="008B4482"/>
    <w:rsid w:val="008B44A6"/>
    <w:rsid w:val="008B453C"/>
    <w:rsid w:val="008B4951"/>
    <w:rsid w:val="008B4E7B"/>
    <w:rsid w:val="008B4FBF"/>
    <w:rsid w:val="008B595E"/>
    <w:rsid w:val="008B5ADA"/>
    <w:rsid w:val="008B5D18"/>
    <w:rsid w:val="008B603D"/>
    <w:rsid w:val="008B6772"/>
    <w:rsid w:val="008B7940"/>
    <w:rsid w:val="008C0044"/>
    <w:rsid w:val="008C134F"/>
    <w:rsid w:val="008C16FA"/>
    <w:rsid w:val="008C249E"/>
    <w:rsid w:val="008C2A21"/>
    <w:rsid w:val="008C39E1"/>
    <w:rsid w:val="008C42DA"/>
    <w:rsid w:val="008C4DE4"/>
    <w:rsid w:val="008C5644"/>
    <w:rsid w:val="008C57E5"/>
    <w:rsid w:val="008C5D23"/>
    <w:rsid w:val="008C5D52"/>
    <w:rsid w:val="008C5F74"/>
    <w:rsid w:val="008C6173"/>
    <w:rsid w:val="008C64B5"/>
    <w:rsid w:val="008C792F"/>
    <w:rsid w:val="008D19C5"/>
    <w:rsid w:val="008D1C7B"/>
    <w:rsid w:val="008D259E"/>
    <w:rsid w:val="008D2677"/>
    <w:rsid w:val="008D308A"/>
    <w:rsid w:val="008D4FDE"/>
    <w:rsid w:val="008D56F0"/>
    <w:rsid w:val="008D5B44"/>
    <w:rsid w:val="008D6172"/>
    <w:rsid w:val="008D680C"/>
    <w:rsid w:val="008D6AB9"/>
    <w:rsid w:val="008D703D"/>
    <w:rsid w:val="008E0151"/>
    <w:rsid w:val="008E0748"/>
    <w:rsid w:val="008E0C76"/>
    <w:rsid w:val="008E10F9"/>
    <w:rsid w:val="008E2336"/>
    <w:rsid w:val="008E284A"/>
    <w:rsid w:val="008E320E"/>
    <w:rsid w:val="008E3B42"/>
    <w:rsid w:val="008E3B75"/>
    <w:rsid w:val="008E3DD6"/>
    <w:rsid w:val="008E4CFF"/>
    <w:rsid w:val="008E6CFB"/>
    <w:rsid w:val="008E725C"/>
    <w:rsid w:val="008E731E"/>
    <w:rsid w:val="008E76B0"/>
    <w:rsid w:val="008E7E8A"/>
    <w:rsid w:val="008E7F84"/>
    <w:rsid w:val="008E7F8D"/>
    <w:rsid w:val="008F0425"/>
    <w:rsid w:val="008F10E3"/>
    <w:rsid w:val="008F14AE"/>
    <w:rsid w:val="008F1A2F"/>
    <w:rsid w:val="008F2484"/>
    <w:rsid w:val="008F2984"/>
    <w:rsid w:val="008F4205"/>
    <w:rsid w:val="008F4781"/>
    <w:rsid w:val="008F4C80"/>
    <w:rsid w:val="008F5468"/>
    <w:rsid w:val="008F5A19"/>
    <w:rsid w:val="008F645F"/>
    <w:rsid w:val="008F71C2"/>
    <w:rsid w:val="008F7311"/>
    <w:rsid w:val="008F7DA8"/>
    <w:rsid w:val="00900ECE"/>
    <w:rsid w:val="00901A0D"/>
    <w:rsid w:val="00901CA4"/>
    <w:rsid w:val="00902290"/>
    <w:rsid w:val="0090264F"/>
    <w:rsid w:val="00903834"/>
    <w:rsid w:val="00903B17"/>
    <w:rsid w:val="00903DBF"/>
    <w:rsid w:val="00903E62"/>
    <w:rsid w:val="00905927"/>
    <w:rsid w:val="009059B9"/>
    <w:rsid w:val="00905EF1"/>
    <w:rsid w:val="00907AA8"/>
    <w:rsid w:val="009105BB"/>
    <w:rsid w:val="009108D8"/>
    <w:rsid w:val="00910B00"/>
    <w:rsid w:val="00910CC7"/>
    <w:rsid w:val="00910EEA"/>
    <w:rsid w:val="009118A4"/>
    <w:rsid w:val="00911A03"/>
    <w:rsid w:val="00912202"/>
    <w:rsid w:val="00912D40"/>
    <w:rsid w:val="0091313F"/>
    <w:rsid w:val="00913C21"/>
    <w:rsid w:val="00913D32"/>
    <w:rsid w:val="00914549"/>
    <w:rsid w:val="009147A0"/>
    <w:rsid w:val="0091525C"/>
    <w:rsid w:val="009157C5"/>
    <w:rsid w:val="00915DCD"/>
    <w:rsid w:val="00916365"/>
    <w:rsid w:val="009164D1"/>
    <w:rsid w:val="0091670C"/>
    <w:rsid w:val="009168A9"/>
    <w:rsid w:val="00916C11"/>
    <w:rsid w:val="00916CB0"/>
    <w:rsid w:val="0091711A"/>
    <w:rsid w:val="009174DF"/>
    <w:rsid w:val="00917F77"/>
    <w:rsid w:val="00921528"/>
    <w:rsid w:val="009225B0"/>
    <w:rsid w:val="0092292E"/>
    <w:rsid w:val="00922BB1"/>
    <w:rsid w:val="00922D90"/>
    <w:rsid w:val="00924646"/>
    <w:rsid w:val="00924AFB"/>
    <w:rsid w:val="009250ED"/>
    <w:rsid w:val="009252B9"/>
    <w:rsid w:val="009259C2"/>
    <w:rsid w:val="00925E37"/>
    <w:rsid w:val="00925E46"/>
    <w:rsid w:val="00927390"/>
    <w:rsid w:val="00927A05"/>
    <w:rsid w:val="00927E43"/>
    <w:rsid w:val="009305DB"/>
    <w:rsid w:val="0093082A"/>
    <w:rsid w:val="00931483"/>
    <w:rsid w:val="009315B2"/>
    <w:rsid w:val="009317F6"/>
    <w:rsid w:val="0093204A"/>
    <w:rsid w:val="0093229D"/>
    <w:rsid w:val="00932372"/>
    <w:rsid w:val="00932E4E"/>
    <w:rsid w:val="009335D7"/>
    <w:rsid w:val="00933B6F"/>
    <w:rsid w:val="00933C50"/>
    <w:rsid w:val="009345A4"/>
    <w:rsid w:val="00935598"/>
    <w:rsid w:val="00936A9A"/>
    <w:rsid w:val="00936D08"/>
    <w:rsid w:val="00940418"/>
    <w:rsid w:val="00940BA2"/>
    <w:rsid w:val="009415F8"/>
    <w:rsid w:val="00941D38"/>
    <w:rsid w:val="00942499"/>
    <w:rsid w:val="00942B85"/>
    <w:rsid w:val="00943019"/>
    <w:rsid w:val="009431DB"/>
    <w:rsid w:val="0094376A"/>
    <w:rsid w:val="0094411D"/>
    <w:rsid w:val="00944938"/>
    <w:rsid w:val="00944C5E"/>
    <w:rsid w:val="0094572A"/>
    <w:rsid w:val="009467A0"/>
    <w:rsid w:val="00946F33"/>
    <w:rsid w:val="0094785F"/>
    <w:rsid w:val="00947A9E"/>
    <w:rsid w:val="00947CE5"/>
    <w:rsid w:val="00950EA0"/>
    <w:rsid w:val="0095140B"/>
    <w:rsid w:val="009526EB"/>
    <w:rsid w:val="00953AC8"/>
    <w:rsid w:val="00954EA7"/>
    <w:rsid w:val="0095537B"/>
    <w:rsid w:val="009555B9"/>
    <w:rsid w:val="00955648"/>
    <w:rsid w:val="00955AB5"/>
    <w:rsid w:val="009562BF"/>
    <w:rsid w:val="0095642D"/>
    <w:rsid w:val="00957063"/>
    <w:rsid w:val="0095788D"/>
    <w:rsid w:val="00957AFB"/>
    <w:rsid w:val="00960ACF"/>
    <w:rsid w:val="00961584"/>
    <w:rsid w:val="00962492"/>
    <w:rsid w:val="009625E7"/>
    <w:rsid w:val="00962D00"/>
    <w:rsid w:val="00964824"/>
    <w:rsid w:val="00964B48"/>
    <w:rsid w:val="00966594"/>
    <w:rsid w:val="00967655"/>
    <w:rsid w:val="00967B6B"/>
    <w:rsid w:val="009700C5"/>
    <w:rsid w:val="00970A65"/>
    <w:rsid w:val="009728DA"/>
    <w:rsid w:val="009729BD"/>
    <w:rsid w:val="00972C11"/>
    <w:rsid w:val="00974B3C"/>
    <w:rsid w:val="00975ACF"/>
    <w:rsid w:val="009760C5"/>
    <w:rsid w:val="009766F4"/>
    <w:rsid w:val="00976BF5"/>
    <w:rsid w:val="00976FCA"/>
    <w:rsid w:val="00977817"/>
    <w:rsid w:val="00977CAE"/>
    <w:rsid w:val="00977E97"/>
    <w:rsid w:val="00980C74"/>
    <w:rsid w:val="00981097"/>
    <w:rsid w:val="009816A4"/>
    <w:rsid w:val="00981855"/>
    <w:rsid w:val="0098190D"/>
    <w:rsid w:val="00981E04"/>
    <w:rsid w:val="00981FE2"/>
    <w:rsid w:val="00982052"/>
    <w:rsid w:val="00982410"/>
    <w:rsid w:val="009832D6"/>
    <w:rsid w:val="009839B2"/>
    <w:rsid w:val="00983BD8"/>
    <w:rsid w:val="0098466E"/>
    <w:rsid w:val="00985274"/>
    <w:rsid w:val="0099015E"/>
    <w:rsid w:val="009902C0"/>
    <w:rsid w:val="0099045C"/>
    <w:rsid w:val="00990E56"/>
    <w:rsid w:val="00991F32"/>
    <w:rsid w:val="0099200E"/>
    <w:rsid w:val="00992B52"/>
    <w:rsid w:val="00994DBB"/>
    <w:rsid w:val="009953D7"/>
    <w:rsid w:val="00995758"/>
    <w:rsid w:val="00995AE9"/>
    <w:rsid w:val="00995B57"/>
    <w:rsid w:val="00995D54"/>
    <w:rsid w:val="00995FBC"/>
    <w:rsid w:val="00997425"/>
    <w:rsid w:val="0099780F"/>
    <w:rsid w:val="009978B9"/>
    <w:rsid w:val="009A0B3B"/>
    <w:rsid w:val="009A1A55"/>
    <w:rsid w:val="009A2CE3"/>
    <w:rsid w:val="009A34A4"/>
    <w:rsid w:val="009A3547"/>
    <w:rsid w:val="009A38A7"/>
    <w:rsid w:val="009A3947"/>
    <w:rsid w:val="009A40DC"/>
    <w:rsid w:val="009A485D"/>
    <w:rsid w:val="009A4BC8"/>
    <w:rsid w:val="009A5344"/>
    <w:rsid w:val="009A5A51"/>
    <w:rsid w:val="009A5B76"/>
    <w:rsid w:val="009A7322"/>
    <w:rsid w:val="009A7429"/>
    <w:rsid w:val="009A75F3"/>
    <w:rsid w:val="009A7765"/>
    <w:rsid w:val="009B0E95"/>
    <w:rsid w:val="009B11C3"/>
    <w:rsid w:val="009B1937"/>
    <w:rsid w:val="009B34B7"/>
    <w:rsid w:val="009B44DA"/>
    <w:rsid w:val="009B4E38"/>
    <w:rsid w:val="009B5398"/>
    <w:rsid w:val="009B5E81"/>
    <w:rsid w:val="009B62DE"/>
    <w:rsid w:val="009B6474"/>
    <w:rsid w:val="009B69E2"/>
    <w:rsid w:val="009B6CDF"/>
    <w:rsid w:val="009B6D8C"/>
    <w:rsid w:val="009B76DA"/>
    <w:rsid w:val="009C02F0"/>
    <w:rsid w:val="009C0672"/>
    <w:rsid w:val="009C1001"/>
    <w:rsid w:val="009C134A"/>
    <w:rsid w:val="009C1358"/>
    <w:rsid w:val="009C13E5"/>
    <w:rsid w:val="009C17F5"/>
    <w:rsid w:val="009C1C0D"/>
    <w:rsid w:val="009C1C64"/>
    <w:rsid w:val="009C2BFA"/>
    <w:rsid w:val="009C31D8"/>
    <w:rsid w:val="009C31E5"/>
    <w:rsid w:val="009C4062"/>
    <w:rsid w:val="009C40AE"/>
    <w:rsid w:val="009C4446"/>
    <w:rsid w:val="009C44BE"/>
    <w:rsid w:val="009C5725"/>
    <w:rsid w:val="009C5BDA"/>
    <w:rsid w:val="009C7076"/>
    <w:rsid w:val="009C7271"/>
    <w:rsid w:val="009C73FF"/>
    <w:rsid w:val="009C7817"/>
    <w:rsid w:val="009D18C4"/>
    <w:rsid w:val="009D2212"/>
    <w:rsid w:val="009D2671"/>
    <w:rsid w:val="009D2CBE"/>
    <w:rsid w:val="009D2E9A"/>
    <w:rsid w:val="009D361D"/>
    <w:rsid w:val="009D42A2"/>
    <w:rsid w:val="009D4563"/>
    <w:rsid w:val="009D45E6"/>
    <w:rsid w:val="009D4863"/>
    <w:rsid w:val="009D4D05"/>
    <w:rsid w:val="009D523A"/>
    <w:rsid w:val="009D5392"/>
    <w:rsid w:val="009D53DA"/>
    <w:rsid w:val="009D58E7"/>
    <w:rsid w:val="009D5A2E"/>
    <w:rsid w:val="009E12C4"/>
    <w:rsid w:val="009E16CC"/>
    <w:rsid w:val="009E2852"/>
    <w:rsid w:val="009E2DC5"/>
    <w:rsid w:val="009E3796"/>
    <w:rsid w:val="009E480D"/>
    <w:rsid w:val="009E5466"/>
    <w:rsid w:val="009E5649"/>
    <w:rsid w:val="009E62C6"/>
    <w:rsid w:val="009E6743"/>
    <w:rsid w:val="009E69BF"/>
    <w:rsid w:val="009E6C29"/>
    <w:rsid w:val="009E715C"/>
    <w:rsid w:val="009E756D"/>
    <w:rsid w:val="009E7A95"/>
    <w:rsid w:val="009E7C89"/>
    <w:rsid w:val="009F108B"/>
    <w:rsid w:val="009F11EC"/>
    <w:rsid w:val="009F2901"/>
    <w:rsid w:val="009F29B1"/>
    <w:rsid w:val="009F33C2"/>
    <w:rsid w:val="009F3544"/>
    <w:rsid w:val="009F375A"/>
    <w:rsid w:val="009F454C"/>
    <w:rsid w:val="009F45A2"/>
    <w:rsid w:val="009F48D5"/>
    <w:rsid w:val="009F5207"/>
    <w:rsid w:val="009F5E06"/>
    <w:rsid w:val="009F6D24"/>
    <w:rsid w:val="009F76A5"/>
    <w:rsid w:val="009F7B4E"/>
    <w:rsid w:val="009F7C3C"/>
    <w:rsid w:val="00A00673"/>
    <w:rsid w:val="00A00DBA"/>
    <w:rsid w:val="00A00DF9"/>
    <w:rsid w:val="00A01047"/>
    <w:rsid w:val="00A032C9"/>
    <w:rsid w:val="00A037D9"/>
    <w:rsid w:val="00A0412D"/>
    <w:rsid w:val="00A041C1"/>
    <w:rsid w:val="00A044E7"/>
    <w:rsid w:val="00A045AA"/>
    <w:rsid w:val="00A0553E"/>
    <w:rsid w:val="00A05B8F"/>
    <w:rsid w:val="00A06422"/>
    <w:rsid w:val="00A064A6"/>
    <w:rsid w:val="00A06CE1"/>
    <w:rsid w:val="00A06FEE"/>
    <w:rsid w:val="00A07CCC"/>
    <w:rsid w:val="00A107AF"/>
    <w:rsid w:val="00A11A1C"/>
    <w:rsid w:val="00A11D29"/>
    <w:rsid w:val="00A11DA8"/>
    <w:rsid w:val="00A127AB"/>
    <w:rsid w:val="00A136BB"/>
    <w:rsid w:val="00A13C2A"/>
    <w:rsid w:val="00A144EA"/>
    <w:rsid w:val="00A145A0"/>
    <w:rsid w:val="00A14923"/>
    <w:rsid w:val="00A152DB"/>
    <w:rsid w:val="00A15820"/>
    <w:rsid w:val="00A158BE"/>
    <w:rsid w:val="00A15916"/>
    <w:rsid w:val="00A1641D"/>
    <w:rsid w:val="00A1651E"/>
    <w:rsid w:val="00A16B44"/>
    <w:rsid w:val="00A16BE0"/>
    <w:rsid w:val="00A16D35"/>
    <w:rsid w:val="00A2070B"/>
    <w:rsid w:val="00A20844"/>
    <w:rsid w:val="00A20B7C"/>
    <w:rsid w:val="00A2183B"/>
    <w:rsid w:val="00A219A4"/>
    <w:rsid w:val="00A21FA3"/>
    <w:rsid w:val="00A22176"/>
    <w:rsid w:val="00A223B8"/>
    <w:rsid w:val="00A23043"/>
    <w:rsid w:val="00A238DD"/>
    <w:rsid w:val="00A24040"/>
    <w:rsid w:val="00A2470A"/>
    <w:rsid w:val="00A2490D"/>
    <w:rsid w:val="00A25328"/>
    <w:rsid w:val="00A25844"/>
    <w:rsid w:val="00A26144"/>
    <w:rsid w:val="00A26E0C"/>
    <w:rsid w:val="00A270F8"/>
    <w:rsid w:val="00A30C7E"/>
    <w:rsid w:val="00A30CB8"/>
    <w:rsid w:val="00A30D2B"/>
    <w:rsid w:val="00A30FCB"/>
    <w:rsid w:val="00A311C2"/>
    <w:rsid w:val="00A31286"/>
    <w:rsid w:val="00A3142B"/>
    <w:rsid w:val="00A32209"/>
    <w:rsid w:val="00A343A5"/>
    <w:rsid w:val="00A34ED3"/>
    <w:rsid w:val="00A355CC"/>
    <w:rsid w:val="00A3685A"/>
    <w:rsid w:val="00A3715B"/>
    <w:rsid w:val="00A373BA"/>
    <w:rsid w:val="00A40FBE"/>
    <w:rsid w:val="00A412B5"/>
    <w:rsid w:val="00A4147C"/>
    <w:rsid w:val="00A43264"/>
    <w:rsid w:val="00A4374B"/>
    <w:rsid w:val="00A44ED1"/>
    <w:rsid w:val="00A4587C"/>
    <w:rsid w:val="00A462C7"/>
    <w:rsid w:val="00A469D3"/>
    <w:rsid w:val="00A46F87"/>
    <w:rsid w:val="00A4771A"/>
    <w:rsid w:val="00A47BB2"/>
    <w:rsid w:val="00A50C3A"/>
    <w:rsid w:val="00A5278D"/>
    <w:rsid w:val="00A529AB"/>
    <w:rsid w:val="00A52B01"/>
    <w:rsid w:val="00A540F3"/>
    <w:rsid w:val="00A56B76"/>
    <w:rsid w:val="00A56E8B"/>
    <w:rsid w:val="00A5717D"/>
    <w:rsid w:val="00A5767A"/>
    <w:rsid w:val="00A5779E"/>
    <w:rsid w:val="00A579FC"/>
    <w:rsid w:val="00A60166"/>
    <w:rsid w:val="00A60379"/>
    <w:rsid w:val="00A6059F"/>
    <w:rsid w:val="00A606CF"/>
    <w:rsid w:val="00A60E94"/>
    <w:rsid w:val="00A61779"/>
    <w:rsid w:val="00A62512"/>
    <w:rsid w:val="00A62554"/>
    <w:rsid w:val="00A641FB"/>
    <w:rsid w:val="00A64599"/>
    <w:rsid w:val="00A658F7"/>
    <w:rsid w:val="00A6598D"/>
    <w:rsid w:val="00A66515"/>
    <w:rsid w:val="00A66A4E"/>
    <w:rsid w:val="00A66AD5"/>
    <w:rsid w:val="00A66D86"/>
    <w:rsid w:val="00A66FAD"/>
    <w:rsid w:val="00A6707D"/>
    <w:rsid w:val="00A7000D"/>
    <w:rsid w:val="00A70EF5"/>
    <w:rsid w:val="00A7122B"/>
    <w:rsid w:val="00A71716"/>
    <w:rsid w:val="00A72467"/>
    <w:rsid w:val="00A73239"/>
    <w:rsid w:val="00A73902"/>
    <w:rsid w:val="00A73B67"/>
    <w:rsid w:val="00A73E40"/>
    <w:rsid w:val="00A73E64"/>
    <w:rsid w:val="00A74132"/>
    <w:rsid w:val="00A74AFC"/>
    <w:rsid w:val="00A75E1A"/>
    <w:rsid w:val="00A77BA9"/>
    <w:rsid w:val="00A8053F"/>
    <w:rsid w:val="00A80F09"/>
    <w:rsid w:val="00A81A44"/>
    <w:rsid w:val="00A81AE0"/>
    <w:rsid w:val="00A81C4F"/>
    <w:rsid w:val="00A81CC8"/>
    <w:rsid w:val="00A81E86"/>
    <w:rsid w:val="00A8232C"/>
    <w:rsid w:val="00A82525"/>
    <w:rsid w:val="00A8297C"/>
    <w:rsid w:val="00A83C03"/>
    <w:rsid w:val="00A8481A"/>
    <w:rsid w:val="00A84D65"/>
    <w:rsid w:val="00A85E3B"/>
    <w:rsid w:val="00A863A0"/>
    <w:rsid w:val="00A8650C"/>
    <w:rsid w:val="00A86760"/>
    <w:rsid w:val="00A8684E"/>
    <w:rsid w:val="00A8774A"/>
    <w:rsid w:val="00A879EC"/>
    <w:rsid w:val="00A900BC"/>
    <w:rsid w:val="00A9015A"/>
    <w:rsid w:val="00A90870"/>
    <w:rsid w:val="00A90B5D"/>
    <w:rsid w:val="00A90E24"/>
    <w:rsid w:val="00A9114D"/>
    <w:rsid w:val="00A91332"/>
    <w:rsid w:val="00A91E60"/>
    <w:rsid w:val="00A92089"/>
    <w:rsid w:val="00A9239D"/>
    <w:rsid w:val="00A92C12"/>
    <w:rsid w:val="00A92EF4"/>
    <w:rsid w:val="00A936C3"/>
    <w:rsid w:val="00A940A3"/>
    <w:rsid w:val="00A95003"/>
    <w:rsid w:val="00A960CD"/>
    <w:rsid w:val="00A96CD2"/>
    <w:rsid w:val="00A9733B"/>
    <w:rsid w:val="00A97A34"/>
    <w:rsid w:val="00A97D13"/>
    <w:rsid w:val="00AA1231"/>
    <w:rsid w:val="00AA174B"/>
    <w:rsid w:val="00AA26B4"/>
    <w:rsid w:val="00AA278D"/>
    <w:rsid w:val="00AA2AF7"/>
    <w:rsid w:val="00AA3667"/>
    <w:rsid w:val="00AA3924"/>
    <w:rsid w:val="00AA3B05"/>
    <w:rsid w:val="00AA4813"/>
    <w:rsid w:val="00AA48CA"/>
    <w:rsid w:val="00AA4CB4"/>
    <w:rsid w:val="00AA6A81"/>
    <w:rsid w:val="00AA6D03"/>
    <w:rsid w:val="00AA745B"/>
    <w:rsid w:val="00AA7799"/>
    <w:rsid w:val="00AA795E"/>
    <w:rsid w:val="00AA7B42"/>
    <w:rsid w:val="00AA7CAA"/>
    <w:rsid w:val="00AA7FAF"/>
    <w:rsid w:val="00AB0D50"/>
    <w:rsid w:val="00AB125D"/>
    <w:rsid w:val="00AB1F21"/>
    <w:rsid w:val="00AB2E0C"/>
    <w:rsid w:val="00AB348C"/>
    <w:rsid w:val="00AB3686"/>
    <w:rsid w:val="00AB4117"/>
    <w:rsid w:val="00AB496C"/>
    <w:rsid w:val="00AB507C"/>
    <w:rsid w:val="00AB5464"/>
    <w:rsid w:val="00AB5F7E"/>
    <w:rsid w:val="00AB6CF4"/>
    <w:rsid w:val="00AB70E7"/>
    <w:rsid w:val="00AB75DA"/>
    <w:rsid w:val="00AB7A9B"/>
    <w:rsid w:val="00AB7AB9"/>
    <w:rsid w:val="00AB7DAD"/>
    <w:rsid w:val="00AC04C0"/>
    <w:rsid w:val="00AC1155"/>
    <w:rsid w:val="00AC1CFB"/>
    <w:rsid w:val="00AC25F1"/>
    <w:rsid w:val="00AC2F36"/>
    <w:rsid w:val="00AC44C3"/>
    <w:rsid w:val="00AC4887"/>
    <w:rsid w:val="00AC4B69"/>
    <w:rsid w:val="00AC5657"/>
    <w:rsid w:val="00AC5EA5"/>
    <w:rsid w:val="00AC603E"/>
    <w:rsid w:val="00AC611B"/>
    <w:rsid w:val="00AC62B4"/>
    <w:rsid w:val="00AC6C48"/>
    <w:rsid w:val="00AC72B5"/>
    <w:rsid w:val="00AD0933"/>
    <w:rsid w:val="00AD1C93"/>
    <w:rsid w:val="00AD2206"/>
    <w:rsid w:val="00AD24F3"/>
    <w:rsid w:val="00AD2E6C"/>
    <w:rsid w:val="00AD3399"/>
    <w:rsid w:val="00AD3751"/>
    <w:rsid w:val="00AD419E"/>
    <w:rsid w:val="00AD48BB"/>
    <w:rsid w:val="00AD5578"/>
    <w:rsid w:val="00AD5933"/>
    <w:rsid w:val="00AD610A"/>
    <w:rsid w:val="00AD64CB"/>
    <w:rsid w:val="00AD6561"/>
    <w:rsid w:val="00AD6B52"/>
    <w:rsid w:val="00AE0726"/>
    <w:rsid w:val="00AE1036"/>
    <w:rsid w:val="00AE189E"/>
    <w:rsid w:val="00AE1E1C"/>
    <w:rsid w:val="00AE21CC"/>
    <w:rsid w:val="00AE3DBB"/>
    <w:rsid w:val="00AE3E27"/>
    <w:rsid w:val="00AE4444"/>
    <w:rsid w:val="00AE48CB"/>
    <w:rsid w:val="00AE6CBA"/>
    <w:rsid w:val="00AE7959"/>
    <w:rsid w:val="00AE7C56"/>
    <w:rsid w:val="00AF0321"/>
    <w:rsid w:val="00AF043C"/>
    <w:rsid w:val="00AF0545"/>
    <w:rsid w:val="00AF096C"/>
    <w:rsid w:val="00AF0C5A"/>
    <w:rsid w:val="00AF122A"/>
    <w:rsid w:val="00AF1BF2"/>
    <w:rsid w:val="00AF213E"/>
    <w:rsid w:val="00AF4851"/>
    <w:rsid w:val="00AF6302"/>
    <w:rsid w:val="00AF7531"/>
    <w:rsid w:val="00AF7813"/>
    <w:rsid w:val="00AF7C67"/>
    <w:rsid w:val="00B000BE"/>
    <w:rsid w:val="00B006DA"/>
    <w:rsid w:val="00B00781"/>
    <w:rsid w:val="00B008D4"/>
    <w:rsid w:val="00B00BB4"/>
    <w:rsid w:val="00B00F72"/>
    <w:rsid w:val="00B01016"/>
    <w:rsid w:val="00B01117"/>
    <w:rsid w:val="00B01CB5"/>
    <w:rsid w:val="00B022EC"/>
    <w:rsid w:val="00B023D9"/>
    <w:rsid w:val="00B02C9E"/>
    <w:rsid w:val="00B02E6B"/>
    <w:rsid w:val="00B0306F"/>
    <w:rsid w:val="00B03860"/>
    <w:rsid w:val="00B03A85"/>
    <w:rsid w:val="00B03F21"/>
    <w:rsid w:val="00B04655"/>
    <w:rsid w:val="00B04A06"/>
    <w:rsid w:val="00B04D2D"/>
    <w:rsid w:val="00B04DDB"/>
    <w:rsid w:val="00B05AB3"/>
    <w:rsid w:val="00B062DD"/>
    <w:rsid w:val="00B06AA4"/>
    <w:rsid w:val="00B0790D"/>
    <w:rsid w:val="00B10864"/>
    <w:rsid w:val="00B10AD5"/>
    <w:rsid w:val="00B11994"/>
    <w:rsid w:val="00B11C13"/>
    <w:rsid w:val="00B11F80"/>
    <w:rsid w:val="00B12811"/>
    <w:rsid w:val="00B134C1"/>
    <w:rsid w:val="00B13613"/>
    <w:rsid w:val="00B13CA1"/>
    <w:rsid w:val="00B14E89"/>
    <w:rsid w:val="00B1569D"/>
    <w:rsid w:val="00B15A6C"/>
    <w:rsid w:val="00B15DD1"/>
    <w:rsid w:val="00B165A2"/>
    <w:rsid w:val="00B176FD"/>
    <w:rsid w:val="00B17BCB"/>
    <w:rsid w:val="00B2005E"/>
    <w:rsid w:val="00B21CE9"/>
    <w:rsid w:val="00B22D85"/>
    <w:rsid w:val="00B23C6F"/>
    <w:rsid w:val="00B242B8"/>
    <w:rsid w:val="00B25B5A"/>
    <w:rsid w:val="00B260D7"/>
    <w:rsid w:val="00B2655F"/>
    <w:rsid w:val="00B26686"/>
    <w:rsid w:val="00B301E3"/>
    <w:rsid w:val="00B30D01"/>
    <w:rsid w:val="00B30F06"/>
    <w:rsid w:val="00B3125E"/>
    <w:rsid w:val="00B314BD"/>
    <w:rsid w:val="00B320C2"/>
    <w:rsid w:val="00B324BD"/>
    <w:rsid w:val="00B325F4"/>
    <w:rsid w:val="00B326CD"/>
    <w:rsid w:val="00B331F4"/>
    <w:rsid w:val="00B3381E"/>
    <w:rsid w:val="00B33BD4"/>
    <w:rsid w:val="00B35F5B"/>
    <w:rsid w:val="00B36676"/>
    <w:rsid w:val="00B36705"/>
    <w:rsid w:val="00B36DC0"/>
    <w:rsid w:val="00B41D57"/>
    <w:rsid w:val="00B42171"/>
    <w:rsid w:val="00B42423"/>
    <w:rsid w:val="00B42E2D"/>
    <w:rsid w:val="00B42EB9"/>
    <w:rsid w:val="00B4412B"/>
    <w:rsid w:val="00B443DD"/>
    <w:rsid w:val="00B45465"/>
    <w:rsid w:val="00B45B86"/>
    <w:rsid w:val="00B45C3D"/>
    <w:rsid w:val="00B46B29"/>
    <w:rsid w:val="00B4797D"/>
    <w:rsid w:val="00B47C7A"/>
    <w:rsid w:val="00B47E1B"/>
    <w:rsid w:val="00B50617"/>
    <w:rsid w:val="00B508F9"/>
    <w:rsid w:val="00B5109B"/>
    <w:rsid w:val="00B516BC"/>
    <w:rsid w:val="00B516E2"/>
    <w:rsid w:val="00B518EB"/>
    <w:rsid w:val="00B519A9"/>
    <w:rsid w:val="00B52256"/>
    <w:rsid w:val="00B52403"/>
    <w:rsid w:val="00B52D18"/>
    <w:rsid w:val="00B54262"/>
    <w:rsid w:val="00B548E2"/>
    <w:rsid w:val="00B55F1C"/>
    <w:rsid w:val="00B568AE"/>
    <w:rsid w:val="00B57089"/>
    <w:rsid w:val="00B57DCF"/>
    <w:rsid w:val="00B6037C"/>
    <w:rsid w:val="00B60B19"/>
    <w:rsid w:val="00B61E99"/>
    <w:rsid w:val="00B6280C"/>
    <w:rsid w:val="00B629E5"/>
    <w:rsid w:val="00B63046"/>
    <w:rsid w:val="00B6347C"/>
    <w:rsid w:val="00B6459C"/>
    <w:rsid w:val="00B64B69"/>
    <w:rsid w:val="00B64D50"/>
    <w:rsid w:val="00B65178"/>
    <w:rsid w:val="00B65561"/>
    <w:rsid w:val="00B656D6"/>
    <w:rsid w:val="00B660A7"/>
    <w:rsid w:val="00B67F11"/>
    <w:rsid w:val="00B70475"/>
    <w:rsid w:val="00B70D32"/>
    <w:rsid w:val="00B713DB"/>
    <w:rsid w:val="00B71594"/>
    <w:rsid w:val="00B72488"/>
    <w:rsid w:val="00B72682"/>
    <w:rsid w:val="00B7297C"/>
    <w:rsid w:val="00B72C2C"/>
    <w:rsid w:val="00B72E0E"/>
    <w:rsid w:val="00B73D4C"/>
    <w:rsid w:val="00B748EB"/>
    <w:rsid w:val="00B74927"/>
    <w:rsid w:val="00B74BBD"/>
    <w:rsid w:val="00B74F38"/>
    <w:rsid w:val="00B75176"/>
    <w:rsid w:val="00B76AF9"/>
    <w:rsid w:val="00B7721E"/>
    <w:rsid w:val="00B77585"/>
    <w:rsid w:val="00B7768D"/>
    <w:rsid w:val="00B802CE"/>
    <w:rsid w:val="00B80400"/>
    <w:rsid w:val="00B80DE5"/>
    <w:rsid w:val="00B81B14"/>
    <w:rsid w:val="00B82210"/>
    <w:rsid w:val="00B823C9"/>
    <w:rsid w:val="00B82AF9"/>
    <w:rsid w:val="00B82B35"/>
    <w:rsid w:val="00B83B64"/>
    <w:rsid w:val="00B83C6C"/>
    <w:rsid w:val="00B841B1"/>
    <w:rsid w:val="00B848FA"/>
    <w:rsid w:val="00B85084"/>
    <w:rsid w:val="00B8576A"/>
    <w:rsid w:val="00B86534"/>
    <w:rsid w:val="00B86735"/>
    <w:rsid w:val="00B86797"/>
    <w:rsid w:val="00B86E7E"/>
    <w:rsid w:val="00B8749E"/>
    <w:rsid w:val="00B87605"/>
    <w:rsid w:val="00B87E70"/>
    <w:rsid w:val="00B9069A"/>
    <w:rsid w:val="00B90E1D"/>
    <w:rsid w:val="00B90ED0"/>
    <w:rsid w:val="00B91A94"/>
    <w:rsid w:val="00B921AA"/>
    <w:rsid w:val="00B93DE1"/>
    <w:rsid w:val="00B949A7"/>
    <w:rsid w:val="00B960BF"/>
    <w:rsid w:val="00B964EF"/>
    <w:rsid w:val="00B973C9"/>
    <w:rsid w:val="00B97B3F"/>
    <w:rsid w:val="00BA0028"/>
    <w:rsid w:val="00BA0343"/>
    <w:rsid w:val="00BA36B1"/>
    <w:rsid w:val="00BA3DD6"/>
    <w:rsid w:val="00BA49D0"/>
    <w:rsid w:val="00BA5ACB"/>
    <w:rsid w:val="00BA6AE5"/>
    <w:rsid w:val="00BA70FF"/>
    <w:rsid w:val="00BA79D9"/>
    <w:rsid w:val="00BA7CB1"/>
    <w:rsid w:val="00BB000E"/>
    <w:rsid w:val="00BB063A"/>
    <w:rsid w:val="00BB076D"/>
    <w:rsid w:val="00BB1396"/>
    <w:rsid w:val="00BB26AB"/>
    <w:rsid w:val="00BB27E4"/>
    <w:rsid w:val="00BB3F9C"/>
    <w:rsid w:val="00BB4F8E"/>
    <w:rsid w:val="00BB4FF9"/>
    <w:rsid w:val="00BB515A"/>
    <w:rsid w:val="00BB5302"/>
    <w:rsid w:val="00BB5573"/>
    <w:rsid w:val="00BB5649"/>
    <w:rsid w:val="00BB6364"/>
    <w:rsid w:val="00BB6C6D"/>
    <w:rsid w:val="00BB7240"/>
    <w:rsid w:val="00BB74AC"/>
    <w:rsid w:val="00BC0683"/>
    <w:rsid w:val="00BC0B37"/>
    <w:rsid w:val="00BC167B"/>
    <w:rsid w:val="00BC1950"/>
    <w:rsid w:val="00BC1F0A"/>
    <w:rsid w:val="00BC2562"/>
    <w:rsid w:val="00BC3468"/>
    <w:rsid w:val="00BC37EE"/>
    <w:rsid w:val="00BC3928"/>
    <w:rsid w:val="00BC39F7"/>
    <w:rsid w:val="00BC3AF2"/>
    <w:rsid w:val="00BC3C52"/>
    <w:rsid w:val="00BC40E8"/>
    <w:rsid w:val="00BC4D7E"/>
    <w:rsid w:val="00BC5780"/>
    <w:rsid w:val="00BC59DF"/>
    <w:rsid w:val="00BC5EFD"/>
    <w:rsid w:val="00BC7331"/>
    <w:rsid w:val="00BC7FFE"/>
    <w:rsid w:val="00BD052E"/>
    <w:rsid w:val="00BD21E4"/>
    <w:rsid w:val="00BD2CC8"/>
    <w:rsid w:val="00BD32AD"/>
    <w:rsid w:val="00BD33E9"/>
    <w:rsid w:val="00BD5019"/>
    <w:rsid w:val="00BD6543"/>
    <w:rsid w:val="00BD6D62"/>
    <w:rsid w:val="00BE0C65"/>
    <w:rsid w:val="00BE10B9"/>
    <w:rsid w:val="00BE18A5"/>
    <w:rsid w:val="00BE190C"/>
    <w:rsid w:val="00BE1A71"/>
    <w:rsid w:val="00BE1AD4"/>
    <w:rsid w:val="00BE1F5D"/>
    <w:rsid w:val="00BE2144"/>
    <w:rsid w:val="00BE239D"/>
    <w:rsid w:val="00BE266D"/>
    <w:rsid w:val="00BE3065"/>
    <w:rsid w:val="00BE31CA"/>
    <w:rsid w:val="00BE33C8"/>
    <w:rsid w:val="00BE3B89"/>
    <w:rsid w:val="00BE46E2"/>
    <w:rsid w:val="00BE5850"/>
    <w:rsid w:val="00BE590A"/>
    <w:rsid w:val="00BE61F0"/>
    <w:rsid w:val="00BE6894"/>
    <w:rsid w:val="00BE75C4"/>
    <w:rsid w:val="00BE7BD0"/>
    <w:rsid w:val="00BE7E07"/>
    <w:rsid w:val="00BF08C3"/>
    <w:rsid w:val="00BF0920"/>
    <w:rsid w:val="00BF1CB1"/>
    <w:rsid w:val="00BF1CE7"/>
    <w:rsid w:val="00BF2064"/>
    <w:rsid w:val="00BF2ECF"/>
    <w:rsid w:val="00BF39D4"/>
    <w:rsid w:val="00BF3F82"/>
    <w:rsid w:val="00BF5B09"/>
    <w:rsid w:val="00BF5B7C"/>
    <w:rsid w:val="00BF7254"/>
    <w:rsid w:val="00BF72DA"/>
    <w:rsid w:val="00BF7326"/>
    <w:rsid w:val="00BF7690"/>
    <w:rsid w:val="00BF7D9D"/>
    <w:rsid w:val="00C0048B"/>
    <w:rsid w:val="00C0117E"/>
    <w:rsid w:val="00C01B00"/>
    <w:rsid w:val="00C030E1"/>
    <w:rsid w:val="00C03405"/>
    <w:rsid w:val="00C0347D"/>
    <w:rsid w:val="00C03960"/>
    <w:rsid w:val="00C040E8"/>
    <w:rsid w:val="00C071D5"/>
    <w:rsid w:val="00C1038C"/>
    <w:rsid w:val="00C11993"/>
    <w:rsid w:val="00C119D3"/>
    <w:rsid w:val="00C13288"/>
    <w:rsid w:val="00C1333C"/>
    <w:rsid w:val="00C13383"/>
    <w:rsid w:val="00C138B9"/>
    <w:rsid w:val="00C139DD"/>
    <w:rsid w:val="00C13D27"/>
    <w:rsid w:val="00C1483C"/>
    <w:rsid w:val="00C14871"/>
    <w:rsid w:val="00C16BFD"/>
    <w:rsid w:val="00C1763C"/>
    <w:rsid w:val="00C2165E"/>
    <w:rsid w:val="00C21A39"/>
    <w:rsid w:val="00C22C89"/>
    <w:rsid w:val="00C230EE"/>
    <w:rsid w:val="00C23BB7"/>
    <w:rsid w:val="00C241A3"/>
    <w:rsid w:val="00C24491"/>
    <w:rsid w:val="00C247F2"/>
    <w:rsid w:val="00C2481F"/>
    <w:rsid w:val="00C24D6A"/>
    <w:rsid w:val="00C2583C"/>
    <w:rsid w:val="00C2725F"/>
    <w:rsid w:val="00C278FF"/>
    <w:rsid w:val="00C2798C"/>
    <w:rsid w:val="00C27DB6"/>
    <w:rsid w:val="00C27DF2"/>
    <w:rsid w:val="00C309EA"/>
    <w:rsid w:val="00C30B71"/>
    <w:rsid w:val="00C3200A"/>
    <w:rsid w:val="00C3304E"/>
    <w:rsid w:val="00C33792"/>
    <w:rsid w:val="00C339D1"/>
    <w:rsid w:val="00C34B4F"/>
    <w:rsid w:val="00C4007D"/>
    <w:rsid w:val="00C402D0"/>
    <w:rsid w:val="00C409BE"/>
    <w:rsid w:val="00C41170"/>
    <w:rsid w:val="00C4142C"/>
    <w:rsid w:val="00C44860"/>
    <w:rsid w:val="00C44D41"/>
    <w:rsid w:val="00C454B8"/>
    <w:rsid w:val="00C4589D"/>
    <w:rsid w:val="00C45A45"/>
    <w:rsid w:val="00C45D90"/>
    <w:rsid w:val="00C46DC5"/>
    <w:rsid w:val="00C47A9D"/>
    <w:rsid w:val="00C50508"/>
    <w:rsid w:val="00C50AC7"/>
    <w:rsid w:val="00C51094"/>
    <w:rsid w:val="00C51B58"/>
    <w:rsid w:val="00C51E8E"/>
    <w:rsid w:val="00C52A39"/>
    <w:rsid w:val="00C536C6"/>
    <w:rsid w:val="00C53706"/>
    <w:rsid w:val="00C5662D"/>
    <w:rsid w:val="00C5757F"/>
    <w:rsid w:val="00C57D24"/>
    <w:rsid w:val="00C60412"/>
    <w:rsid w:val="00C60712"/>
    <w:rsid w:val="00C60F24"/>
    <w:rsid w:val="00C612B1"/>
    <w:rsid w:val="00C61CF1"/>
    <w:rsid w:val="00C61F4E"/>
    <w:rsid w:val="00C622A4"/>
    <w:rsid w:val="00C62485"/>
    <w:rsid w:val="00C62837"/>
    <w:rsid w:val="00C63CB4"/>
    <w:rsid w:val="00C63E20"/>
    <w:rsid w:val="00C63F74"/>
    <w:rsid w:val="00C6450B"/>
    <w:rsid w:val="00C648C6"/>
    <w:rsid w:val="00C651AB"/>
    <w:rsid w:val="00C66922"/>
    <w:rsid w:val="00C673AC"/>
    <w:rsid w:val="00C67A63"/>
    <w:rsid w:val="00C7021B"/>
    <w:rsid w:val="00C71F83"/>
    <w:rsid w:val="00C73783"/>
    <w:rsid w:val="00C747B5"/>
    <w:rsid w:val="00C7488A"/>
    <w:rsid w:val="00C749D7"/>
    <w:rsid w:val="00C74D8D"/>
    <w:rsid w:val="00C76322"/>
    <w:rsid w:val="00C765A5"/>
    <w:rsid w:val="00C76B9C"/>
    <w:rsid w:val="00C810FB"/>
    <w:rsid w:val="00C8196A"/>
    <w:rsid w:val="00C81C15"/>
    <w:rsid w:val="00C81CE4"/>
    <w:rsid w:val="00C82077"/>
    <w:rsid w:val="00C82A82"/>
    <w:rsid w:val="00C83353"/>
    <w:rsid w:val="00C833EC"/>
    <w:rsid w:val="00C838A5"/>
    <w:rsid w:val="00C838DE"/>
    <w:rsid w:val="00C849F7"/>
    <w:rsid w:val="00C84B26"/>
    <w:rsid w:val="00C85BC0"/>
    <w:rsid w:val="00C864ED"/>
    <w:rsid w:val="00C866D2"/>
    <w:rsid w:val="00C90816"/>
    <w:rsid w:val="00C90FA2"/>
    <w:rsid w:val="00C914EC"/>
    <w:rsid w:val="00C920BD"/>
    <w:rsid w:val="00C93CB2"/>
    <w:rsid w:val="00C9479F"/>
    <w:rsid w:val="00C949B2"/>
    <w:rsid w:val="00C94B60"/>
    <w:rsid w:val="00C94F57"/>
    <w:rsid w:val="00C95148"/>
    <w:rsid w:val="00C954D7"/>
    <w:rsid w:val="00C9571A"/>
    <w:rsid w:val="00C96D75"/>
    <w:rsid w:val="00C971DE"/>
    <w:rsid w:val="00C97723"/>
    <w:rsid w:val="00CA18B3"/>
    <w:rsid w:val="00CA1D74"/>
    <w:rsid w:val="00CA1FFC"/>
    <w:rsid w:val="00CA24E3"/>
    <w:rsid w:val="00CA297D"/>
    <w:rsid w:val="00CA2A7E"/>
    <w:rsid w:val="00CA3AB8"/>
    <w:rsid w:val="00CA4524"/>
    <w:rsid w:val="00CA61CE"/>
    <w:rsid w:val="00CA6471"/>
    <w:rsid w:val="00CA6B34"/>
    <w:rsid w:val="00CA6E46"/>
    <w:rsid w:val="00CA73BC"/>
    <w:rsid w:val="00CA7482"/>
    <w:rsid w:val="00CA7E8C"/>
    <w:rsid w:val="00CA7F45"/>
    <w:rsid w:val="00CB0021"/>
    <w:rsid w:val="00CB0678"/>
    <w:rsid w:val="00CB06EC"/>
    <w:rsid w:val="00CB176A"/>
    <w:rsid w:val="00CB1CB6"/>
    <w:rsid w:val="00CB1CEF"/>
    <w:rsid w:val="00CB2F97"/>
    <w:rsid w:val="00CB3552"/>
    <w:rsid w:val="00CB38F4"/>
    <w:rsid w:val="00CB4AFD"/>
    <w:rsid w:val="00CB4FB5"/>
    <w:rsid w:val="00CB5538"/>
    <w:rsid w:val="00CB5557"/>
    <w:rsid w:val="00CB5665"/>
    <w:rsid w:val="00CB5AC8"/>
    <w:rsid w:val="00CB5BFB"/>
    <w:rsid w:val="00CB6D47"/>
    <w:rsid w:val="00CB6E83"/>
    <w:rsid w:val="00CB77C1"/>
    <w:rsid w:val="00CC037F"/>
    <w:rsid w:val="00CC05FF"/>
    <w:rsid w:val="00CC0E68"/>
    <w:rsid w:val="00CC16B8"/>
    <w:rsid w:val="00CC1B89"/>
    <w:rsid w:val="00CC20C5"/>
    <w:rsid w:val="00CC2514"/>
    <w:rsid w:val="00CC2B56"/>
    <w:rsid w:val="00CC3381"/>
    <w:rsid w:val="00CC3E1F"/>
    <w:rsid w:val="00CC44F1"/>
    <w:rsid w:val="00CC47C6"/>
    <w:rsid w:val="00CC5291"/>
    <w:rsid w:val="00CC5CB4"/>
    <w:rsid w:val="00CC5DBD"/>
    <w:rsid w:val="00CC6326"/>
    <w:rsid w:val="00CC6CF7"/>
    <w:rsid w:val="00CC7ACF"/>
    <w:rsid w:val="00CD0091"/>
    <w:rsid w:val="00CD0D49"/>
    <w:rsid w:val="00CD0D5D"/>
    <w:rsid w:val="00CD148B"/>
    <w:rsid w:val="00CD18FD"/>
    <w:rsid w:val="00CD30C4"/>
    <w:rsid w:val="00CD3139"/>
    <w:rsid w:val="00CD335C"/>
    <w:rsid w:val="00CD4B56"/>
    <w:rsid w:val="00CD53CD"/>
    <w:rsid w:val="00CD737E"/>
    <w:rsid w:val="00CE0D92"/>
    <w:rsid w:val="00CE123C"/>
    <w:rsid w:val="00CE1868"/>
    <w:rsid w:val="00CE25C7"/>
    <w:rsid w:val="00CE265A"/>
    <w:rsid w:val="00CE2E1C"/>
    <w:rsid w:val="00CE347E"/>
    <w:rsid w:val="00CE3541"/>
    <w:rsid w:val="00CE35E4"/>
    <w:rsid w:val="00CE55BF"/>
    <w:rsid w:val="00CE5A12"/>
    <w:rsid w:val="00CE5D62"/>
    <w:rsid w:val="00CE614C"/>
    <w:rsid w:val="00CE63C4"/>
    <w:rsid w:val="00CE6670"/>
    <w:rsid w:val="00CE680A"/>
    <w:rsid w:val="00CE6D76"/>
    <w:rsid w:val="00CE74E1"/>
    <w:rsid w:val="00CF0915"/>
    <w:rsid w:val="00CF101A"/>
    <w:rsid w:val="00CF217C"/>
    <w:rsid w:val="00CF2998"/>
    <w:rsid w:val="00CF2E15"/>
    <w:rsid w:val="00CF429F"/>
    <w:rsid w:val="00CF5650"/>
    <w:rsid w:val="00CF598A"/>
    <w:rsid w:val="00CF5EC5"/>
    <w:rsid w:val="00CF6D00"/>
    <w:rsid w:val="00CF6E72"/>
    <w:rsid w:val="00CF7655"/>
    <w:rsid w:val="00CF773F"/>
    <w:rsid w:val="00CF7A6A"/>
    <w:rsid w:val="00CF7C68"/>
    <w:rsid w:val="00D002D4"/>
    <w:rsid w:val="00D00300"/>
    <w:rsid w:val="00D00365"/>
    <w:rsid w:val="00D00CE4"/>
    <w:rsid w:val="00D01DF0"/>
    <w:rsid w:val="00D028A4"/>
    <w:rsid w:val="00D0310F"/>
    <w:rsid w:val="00D04B5A"/>
    <w:rsid w:val="00D05881"/>
    <w:rsid w:val="00D0594F"/>
    <w:rsid w:val="00D05BD4"/>
    <w:rsid w:val="00D05E9E"/>
    <w:rsid w:val="00D06879"/>
    <w:rsid w:val="00D0749C"/>
    <w:rsid w:val="00D0777F"/>
    <w:rsid w:val="00D07C40"/>
    <w:rsid w:val="00D10363"/>
    <w:rsid w:val="00D10755"/>
    <w:rsid w:val="00D11049"/>
    <w:rsid w:val="00D115B2"/>
    <w:rsid w:val="00D12350"/>
    <w:rsid w:val="00D132DF"/>
    <w:rsid w:val="00D13A18"/>
    <w:rsid w:val="00D13F95"/>
    <w:rsid w:val="00D1436A"/>
    <w:rsid w:val="00D1475F"/>
    <w:rsid w:val="00D14A93"/>
    <w:rsid w:val="00D14BA0"/>
    <w:rsid w:val="00D14D2A"/>
    <w:rsid w:val="00D154AE"/>
    <w:rsid w:val="00D15E8A"/>
    <w:rsid w:val="00D170E4"/>
    <w:rsid w:val="00D1716D"/>
    <w:rsid w:val="00D17BAD"/>
    <w:rsid w:val="00D17D5B"/>
    <w:rsid w:val="00D20136"/>
    <w:rsid w:val="00D206F1"/>
    <w:rsid w:val="00D20757"/>
    <w:rsid w:val="00D210A4"/>
    <w:rsid w:val="00D21444"/>
    <w:rsid w:val="00D21D1A"/>
    <w:rsid w:val="00D22739"/>
    <w:rsid w:val="00D22D9A"/>
    <w:rsid w:val="00D22F15"/>
    <w:rsid w:val="00D236DC"/>
    <w:rsid w:val="00D23A03"/>
    <w:rsid w:val="00D23E5E"/>
    <w:rsid w:val="00D23F7B"/>
    <w:rsid w:val="00D24723"/>
    <w:rsid w:val="00D264C3"/>
    <w:rsid w:val="00D267B1"/>
    <w:rsid w:val="00D3011C"/>
    <w:rsid w:val="00D3033B"/>
    <w:rsid w:val="00D30483"/>
    <w:rsid w:val="00D30514"/>
    <w:rsid w:val="00D307C9"/>
    <w:rsid w:val="00D30830"/>
    <w:rsid w:val="00D30DCF"/>
    <w:rsid w:val="00D31C0C"/>
    <w:rsid w:val="00D31F31"/>
    <w:rsid w:val="00D3206B"/>
    <w:rsid w:val="00D328FB"/>
    <w:rsid w:val="00D32D01"/>
    <w:rsid w:val="00D32E30"/>
    <w:rsid w:val="00D33364"/>
    <w:rsid w:val="00D3360C"/>
    <w:rsid w:val="00D3381D"/>
    <w:rsid w:val="00D33843"/>
    <w:rsid w:val="00D339BF"/>
    <w:rsid w:val="00D3411D"/>
    <w:rsid w:val="00D343B9"/>
    <w:rsid w:val="00D34FAE"/>
    <w:rsid w:val="00D3624D"/>
    <w:rsid w:val="00D36A2A"/>
    <w:rsid w:val="00D37878"/>
    <w:rsid w:val="00D37AD2"/>
    <w:rsid w:val="00D37B98"/>
    <w:rsid w:val="00D40FC6"/>
    <w:rsid w:val="00D426AD"/>
    <w:rsid w:val="00D42775"/>
    <w:rsid w:val="00D429AE"/>
    <w:rsid w:val="00D438EB"/>
    <w:rsid w:val="00D44214"/>
    <w:rsid w:val="00D44594"/>
    <w:rsid w:val="00D44A26"/>
    <w:rsid w:val="00D44BF7"/>
    <w:rsid w:val="00D45B29"/>
    <w:rsid w:val="00D45E75"/>
    <w:rsid w:val="00D4628E"/>
    <w:rsid w:val="00D464D1"/>
    <w:rsid w:val="00D46CC5"/>
    <w:rsid w:val="00D47AA8"/>
    <w:rsid w:val="00D50222"/>
    <w:rsid w:val="00D50BF3"/>
    <w:rsid w:val="00D50DC3"/>
    <w:rsid w:val="00D513E6"/>
    <w:rsid w:val="00D525BF"/>
    <w:rsid w:val="00D52E80"/>
    <w:rsid w:val="00D53219"/>
    <w:rsid w:val="00D5361E"/>
    <w:rsid w:val="00D539DB"/>
    <w:rsid w:val="00D53E3B"/>
    <w:rsid w:val="00D541E7"/>
    <w:rsid w:val="00D5679B"/>
    <w:rsid w:val="00D57999"/>
    <w:rsid w:val="00D600BE"/>
    <w:rsid w:val="00D601E9"/>
    <w:rsid w:val="00D6022B"/>
    <w:rsid w:val="00D6060D"/>
    <w:rsid w:val="00D60B10"/>
    <w:rsid w:val="00D61173"/>
    <w:rsid w:val="00D616EA"/>
    <w:rsid w:val="00D62771"/>
    <w:rsid w:val="00D63059"/>
    <w:rsid w:val="00D64A22"/>
    <w:rsid w:val="00D66322"/>
    <w:rsid w:val="00D679B7"/>
    <w:rsid w:val="00D67B2E"/>
    <w:rsid w:val="00D67E65"/>
    <w:rsid w:val="00D70045"/>
    <w:rsid w:val="00D702C0"/>
    <w:rsid w:val="00D70903"/>
    <w:rsid w:val="00D71080"/>
    <w:rsid w:val="00D71154"/>
    <w:rsid w:val="00D7135D"/>
    <w:rsid w:val="00D71AED"/>
    <w:rsid w:val="00D71B98"/>
    <w:rsid w:val="00D7233D"/>
    <w:rsid w:val="00D7252A"/>
    <w:rsid w:val="00D737A4"/>
    <w:rsid w:val="00D747A6"/>
    <w:rsid w:val="00D74F69"/>
    <w:rsid w:val="00D752CB"/>
    <w:rsid w:val="00D76336"/>
    <w:rsid w:val="00D7713F"/>
    <w:rsid w:val="00D77247"/>
    <w:rsid w:val="00D77836"/>
    <w:rsid w:val="00D77EF0"/>
    <w:rsid w:val="00D8026A"/>
    <w:rsid w:val="00D81AE7"/>
    <w:rsid w:val="00D81BDD"/>
    <w:rsid w:val="00D81C88"/>
    <w:rsid w:val="00D83669"/>
    <w:rsid w:val="00D83848"/>
    <w:rsid w:val="00D83BA1"/>
    <w:rsid w:val="00D849EE"/>
    <w:rsid w:val="00D8540F"/>
    <w:rsid w:val="00D854D7"/>
    <w:rsid w:val="00D85759"/>
    <w:rsid w:val="00D864BC"/>
    <w:rsid w:val="00D8659F"/>
    <w:rsid w:val="00D868B1"/>
    <w:rsid w:val="00D87676"/>
    <w:rsid w:val="00D908AF"/>
    <w:rsid w:val="00D90E42"/>
    <w:rsid w:val="00D91212"/>
    <w:rsid w:val="00D91773"/>
    <w:rsid w:val="00D91BC8"/>
    <w:rsid w:val="00D92B18"/>
    <w:rsid w:val="00D933BF"/>
    <w:rsid w:val="00D93B52"/>
    <w:rsid w:val="00D9439C"/>
    <w:rsid w:val="00D94702"/>
    <w:rsid w:val="00D95140"/>
    <w:rsid w:val="00D9514E"/>
    <w:rsid w:val="00D95182"/>
    <w:rsid w:val="00D96BA6"/>
    <w:rsid w:val="00DA1197"/>
    <w:rsid w:val="00DA1A40"/>
    <w:rsid w:val="00DA1FCD"/>
    <w:rsid w:val="00DA37FA"/>
    <w:rsid w:val="00DA4198"/>
    <w:rsid w:val="00DA4B35"/>
    <w:rsid w:val="00DA4E74"/>
    <w:rsid w:val="00DA5BF6"/>
    <w:rsid w:val="00DA647E"/>
    <w:rsid w:val="00DA7C8A"/>
    <w:rsid w:val="00DB055A"/>
    <w:rsid w:val="00DB0662"/>
    <w:rsid w:val="00DB0CFD"/>
    <w:rsid w:val="00DB2324"/>
    <w:rsid w:val="00DB2C10"/>
    <w:rsid w:val="00DB376C"/>
    <w:rsid w:val="00DB3AAC"/>
    <w:rsid w:val="00DB3FA9"/>
    <w:rsid w:val="00DB4ECB"/>
    <w:rsid w:val="00DB5A90"/>
    <w:rsid w:val="00DB7371"/>
    <w:rsid w:val="00DB73CB"/>
    <w:rsid w:val="00DC02C5"/>
    <w:rsid w:val="00DC0518"/>
    <w:rsid w:val="00DC08D1"/>
    <w:rsid w:val="00DC0AA4"/>
    <w:rsid w:val="00DC1EF2"/>
    <w:rsid w:val="00DC1F96"/>
    <w:rsid w:val="00DC2044"/>
    <w:rsid w:val="00DC23B3"/>
    <w:rsid w:val="00DC2710"/>
    <w:rsid w:val="00DC57DB"/>
    <w:rsid w:val="00DC77A2"/>
    <w:rsid w:val="00DC7A7B"/>
    <w:rsid w:val="00DC7BE4"/>
    <w:rsid w:val="00DD003E"/>
    <w:rsid w:val="00DD053B"/>
    <w:rsid w:val="00DD0F52"/>
    <w:rsid w:val="00DD202A"/>
    <w:rsid w:val="00DD2445"/>
    <w:rsid w:val="00DD2ADB"/>
    <w:rsid w:val="00DD3509"/>
    <w:rsid w:val="00DD3578"/>
    <w:rsid w:val="00DD39BD"/>
    <w:rsid w:val="00DD46D3"/>
    <w:rsid w:val="00DD54A2"/>
    <w:rsid w:val="00DD5C17"/>
    <w:rsid w:val="00DD6881"/>
    <w:rsid w:val="00DD6942"/>
    <w:rsid w:val="00DD7E92"/>
    <w:rsid w:val="00DE04CE"/>
    <w:rsid w:val="00DE061D"/>
    <w:rsid w:val="00DE0735"/>
    <w:rsid w:val="00DE1355"/>
    <w:rsid w:val="00DE19EA"/>
    <w:rsid w:val="00DE1CB2"/>
    <w:rsid w:val="00DE222B"/>
    <w:rsid w:val="00DE2E05"/>
    <w:rsid w:val="00DE33E8"/>
    <w:rsid w:val="00DE3C2F"/>
    <w:rsid w:val="00DE4BDB"/>
    <w:rsid w:val="00DE4FC5"/>
    <w:rsid w:val="00DE59A6"/>
    <w:rsid w:val="00DE61C7"/>
    <w:rsid w:val="00DE658D"/>
    <w:rsid w:val="00DE6C82"/>
    <w:rsid w:val="00DE770B"/>
    <w:rsid w:val="00DE7F70"/>
    <w:rsid w:val="00DF0101"/>
    <w:rsid w:val="00DF07DF"/>
    <w:rsid w:val="00DF14D0"/>
    <w:rsid w:val="00DF2879"/>
    <w:rsid w:val="00DF2B65"/>
    <w:rsid w:val="00DF3111"/>
    <w:rsid w:val="00DF35D6"/>
    <w:rsid w:val="00DF3B4C"/>
    <w:rsid w:val="00DF3FC2"/>
    <w:rsid w:val="00DF4330"/>
    <w:rsid w:val="00DF4A86"/>
    <w:rsid w:val="00DF4D91"/>
    <w:rsid w:val="00DF4F75"/>
    <w:rsid w:val="00DF5A17"/>
    <w:rsid w:val="00DF5C9A"/>
    <w:rsid w:val="00DF61FB"/>
    <w:rsid w:val="00DF653D"/>
    <w:rsid w:val="00DF683E"/>
    <w:rsid w:val="00DF7006"/>
    <w:rsid w:val="00E006E2"/>
    <w:rsid w:val="00E01280"/>
    <w:rsid w:val="00E016B6"/>
    <w:rsid w:val="00E02289"/>
    <w:rsid w:val="00E0329D"/>
    <w:rsid w:val="00E033B0"/>
    <w:rsid w:val="00E03512"/>
    <w:rsid w:val="00E03619"/>
    <w:rsid w:val="00E03B42"/>
    <w:rsid w:val="00E03DB4"/>
    <w:rsid w:val="00E03E22"/>
    <w:rsid w:val="00E04596"/>
    <w:rsid w:val="00E04B3E"/>
    <w:rsid w:val="00E05519"/>
    <w:rsid w:val="00E05E09"/>
    <w:rsid w:val="00E064EB"/>
    <w:rsid w:val="00E0689D"/>
    <w:rsid w:val="00E07841"/>
    <w:rsid w:val="00E079CD"/>
    <w:rsid w:val="00E11464"/>
    <w:rsid w:val="00E11C69"/>
    <w:rsid w:val="00E11C98"/>
    <w:rsid w:val="00E12781"/>
    <w:rsid w:val="00E127B5"/>
    <w:rsid w:val="00E13210"/>
    <w:rsid w:val="00E133C6"/>
    <w:rsid w:val="00E13404"/>
    <w:rsid w:val="00E141D5"/>
    <w:rsid w:val="00E142E4"/>
    <w:rsid w:val="00E1445D"/>
    <w:rsid w:val="00E150E7"/>
    <w:rsid w:val="00E151AD"/>
    <w:rsid w:val="00E15AD4"/>
    <w:rsid w:val="00E16443"/>
    <w:rsid w:val="00E16838"/>
    <w:rsid w:val="00E201D3"/>
    <w:rsid w:val="00E202FA"/>
    <w:rsid w:val="00E20B8D"/>
    <w:rsid w:val="00E20EE0"/>
    <w:rsid w:val="00E2156C"/>
    <w:rsid w:val="00E218CA"/>
    <w:rsid w:val="00E224B1"/>
    <w:rsid w:val="00E226CD"/>
    <w:rsid w:val="00E228AB"/>
    <w:rsid w:val="00E23370"/>
    <w:rsid w:val="00E2458E"/>
    <w:rsid w:val="00E253D5"/>
    <w:rsid w:val="00E25645"/>
    <w:rsid w:val="00E26FD1"/>
    <w:rsid w:val="00E309C4"/>
    <w:rsid w:val="00E31818"/>
    <w:rsid w:val="00E3317D"/>
    <w:rsid w:val="00E332C2"/>
    <w:rsid w:val="00E33ACF"/>
    <w:rsid w:val="00E3596A"/>
    <w:rsid w:val="00E361D2"/>
    <w:rsid w:val="00E363BA"/>
    <w:rsid w:val="00E369D2"/>
    <w:rsid w:val="00E371B7"/>
    <w:rsid w:val="00E37474"/>
    <w:rsid w:val="00E4054A"/>
    <w:rsid w:val="00E4096D"/>
    <w:rsid w:val="00E40ADE"/>
    <w:rsid w:val="00E419B5"/>
    <w:rsid w:val="00E41B05"/>
    <w:rsid w:val="00E41EE2"/>
    <w:rsid w:val="00E41FC2"/>
    <w:rsid w:val="00E41FF2"/>
    <w:rsid w:val="00E4204E"/>
    <w:rsid w:val="00E4225A"/>
    <w:rsid w:val="00E42570"/>
    <w:rsid w:val="00E42D11"/>
    <w:rsid w:val="00E43C74"/>
    <w:rsid w:val="00E445EB"/>
    <w:rsid w:val="00E4482D"/>
    <w:rsid w:val="00E448B9"/>
    <w:rsid w:val="00E44E63"/>
    <w:rsid w:val="00E44F2C"/>
    <w:rsid w:val="00E4570B"/>
    <w:rsid w:val="00E45AFB"/>
    <w:rsid w:val="00E463A9"/>
    <w:rsid w:val="00E46F2E"/>
    <w:rsid w:val="00E47181"/>
    <w:rsid w:val="00E50C9B"/>
    <w:rsid w:val="00E50F2E"/>
    <w:rsid w:val="00E51B2D"/>
    <w:rsid w:val="00E51EBB"/>
    <w:rsid w:val="00E51F04"/>
    <w:rsid w:val="00E51F42"/>
    <w:rsid w:val="00E5327E"/>
    <w:rsid w:val="00E533A2"/>
    <w:rsid w:val="00E53EA8"/>
    <w:rsid w:val="00E55240"/>
    <w:rsid w:val="00E560F8"/>
    <w:rsid w:val="00E56206"/>
    <w:rsid w:val="00E570C9"/>
    <w:rsid w:val="00E57389"/>
    <w:rsid w:val="00E57A14"/>
    <w:rsid w:val="00E57C91"/>
    <w:rsid w:val="00E57F0A"/>
    <w:rsid w:val="00E57F48"/>
    <w:rsid w:val="00E603AB"/>
    <w:rsid w:val="00E62115"/>
    <w:rsid w:val="00E6337E"/>
    <w:rsid w:val="00E634EA"/>
    <w:rsid w:val="00E64671"/>
    <w:rsid w:val="00E64897"/>
    <w:rsid w:val="00E64992"/>
    <w:rsid w:val="00E64DCA"/>
    <w:rsid w:val="00E65167"/>
    <w:rsid w:val="00E655FB"/>
    <w:rsid w:val="00E65699"/>
    <w:rsid w:val="00E6629F"/>
    <w:rsid w:val="00E66B83"/>
    <w:rsid w:val="00E66C53"/>
    <w:rsid w:val="00E67484"/>
    <w:rsid w:val="00E677E0"/>
    <w:rsid w:val="00E67AF9"/>
    <w:rsid w:val="00E70AE1"/>
    <w:rsid w:val="00E7133C"/>
    <w:rsid w:val="00E71EDC"/>
    <w:rsid w:val="00E71FE5"/>
    <w:rsid w:val="00E72023"/>
    <w:rsid w:val="00E7287D"/>
    <w:rsid w:val="00E73584"/>
    <w:rsid w:val="00E736E1"/>
    <w:rsid w:val="00E738AF"/>
    <w:rsid w:val="00E73C4C"/>
    <w:rsid w:val="00E742E4"/>
    <w:rsid w:val="00E74508"/>
    <w:rsid w:val="00E74717"/>
    <w:rsid w:val="00E74A82"/>
    <w:rsid w:val="00E74D69"/>
    <w:rsid w:val="00E75C15"/>
    <w:rsid w:val="00E7663B"/>
    <w:rsid w:val="00E77099"/>
    <w:rsid w:val="00E776A3"/>
    <w:rsid w:val="00E77931"/>
    <w:rsid w:val="00E77EEF"/>
    <w:rsid w:val="00E80134"/>
    <w:rsid w:val="00E80366"/>
    <w:rsid w:val="00E81DAA"/>
    <w:rsid w:val="00E81F24"/>
    <w:rsid w:val="00E82AF6"/>
    <w:rsid w:val="00E82C63"/>
    <w:rsid w:val="00E82F62"/>
    <w:rsid w:val="00E83239"/>
    <w:rsid w:val="00E8362B"/>
    <w:rsid w:val="00E83D02"/>
    <w:rsid w:val="00E8480C"/>
    <w:rsid w:val="00E85F06"/>
    <w:rsid w:val="00E87474"/>
    <w:rsid w:val="00E87484"/>
    <w:rsid w:val="00E877DB"/>
    <w:rsid w:val="00E877FD"/>
    <w:rsid w:val="00E907AB"/>
    <w:rsid w:val="00E90DDC"/>
    <w:rsid w:val="00E91272"/>
    <w:rsid w:val="00E919D1"/>
    <w:rsid w:val="00E924CE"/>
    <w:rsid w:val="00E9274D"/>
    <w:rsid w:val="00E92F79"/>
    <w:rsid w:val="00E949E4"/>
    <w:rsid w:val="00E94F20"/>
    <w:rsid w:val="00E96D49"/>
    <w:rsid w:val="00E97688"/>
    <w:rsid w:val="00E97A54"/>
    <w:rsid w:val="00E97C26"/>
    <w:rsid w:val="00EA103F"/>
    <w:rsid w:val="00EA186F"/>
    <w:rsid w:val="00EA1F2B"/>
    <w:rsid w:val="00EA21FD"/>
    <w:rsid w:val="00EA2F43"/>
    <w:rsid w:val="00EA3723"/>
    <w:rsid w:val="00EA38E1"/>
    <w:rsid w:val="00EA49F5"/>
    <w:rsid w:val="00EA51D9"/>
    <w:rsid w:val="00EA5841"/>
    <w:rsid w:val="00EA7283"/>
    <w:rsid w:val="00EA7592"/>
    <w:rsid w:val="00EA7ADD"/>
    <w:rsid w:val="00EB0240"/>
    <w:rsid w:val="00EB0B27"/>
    <w:rsid w:val="00EB0BA7"/>
    <w:rsid w:val="00EB0F2C"/>
    <w:rsid w:val="00EB10F6"/>
    <w:rsid w:val="00EB175C"/>
    <w:rsid w:val="00EB1D17"/>
    <w:rsid w:val="00EB1F74"/>
    <w:rsid w:val="00EB2200"/>
    <w:rsid w:val="00EB2BE2"/>
    <w:rsid w:val="00EB2DFB"/>
    <w:rsid w:val="00EB302F"/>
    <w:rsid w:val="00EB3391"/>
    <w:rsid w:val="00EB3903"/>
    <w:rsid w:val="00EB3F4F"/>
    <w:rsid w:val="00EB459E"/>
    <w:rsid w:val="00EB7785"/>
    <w:rsid w:val="00EB7A57"/>
    <w:rsid w:val="00EB7B14"/>
    <w:rsid w:val="00EB7EFB"/>
    <w:rsid w:val="00EC0241"/>
    <w:rsid w:val="00EC0400"/>
    <w:rsid w:val="00EC10F8"/>
    <w:rsid w:val="00EC1162"/>
    <w:rsid w:val="00EC1625"/>
    <w:rsid w:val="00EC1987"/>
    <w:rsid w:val="00EC1999"/>
    <w:rsid w:val="00EC1CC1"/>
    <w:rsid w:val="00EC22FC"/>
    <w:rsid w:val="00EC2F0B"/>
    <w:rsid w:val="00EC38C9"/>
    <w:rsid w:val="00EC3987"/>
    <w:rsid w:val="00EC442F"/>
    <w:rsid w:val="00EC4495"/>
    <w:rsid w:val="00EC45B0"/>
    <w:rsid w:val="00EC4A25"/>
    <w:rsid w:val="00EC53D1"/>
    <w:rsid w:val="00EC58F8"/>
    <w:rsid w:val="00EC6841"/>
    <w:rsid w:val="00EC7B46"/>
    <w:rsid w:val="00ED0A7C"/>
    <w:rsid w:val="00ED1234"/>
    <w:rsid w:val="00ED31C1"/>
    <w:rsid w:val="00ED3863"/>
    <w:rsid w:val="00ED38BF"/>
    <w:rsid w:val="00ED48CC"/>
    <w:rsid w:val="00ED634D"/>
    <w:rsid w:val="00ED6AF8"/>
    <w:rsid w:val="00ED7C5B"/>
    <w:rsid w:val="00EE02B8"/>
    <w:rsid w:val="00EE03E1"/>
    <w:rsid w:val="00EE05DF"/>
    <w:rsid w:val="00EE0862"/>
    <w:rsid w:val="00EE11F8"/>
    <w:rsid w:val="00EE25F5"/>
    <w:rsid w:val="00EE27FC"/>
    <w:rsid w:val="00EE2CBC"/>
    <w:rsid w:val="00EE3015"/>
    <w:rsid w:val="00EE3C1D"/>
    <w:rsid w:val="00EE465E"/>
    <w:rsid w:val="00EE4ABD"/>
    <w:rsid w:val="00EE5163"/>
    <w:rsid w:val="00EE5540"/>
    <w:rsid w:val="00EE61AB"/>
    <w:rsid w:val="00EE61F6"/>
    <w:rsid w:val="00EE67A1"/>
    <w:rsid w:val="00EE700E"/>
    <w:rsid w:val="00EE74BD"/>
    <w:rsid w:val="00EE75DB"/>
    <w:rsid w:val="00EE7A12"/>
    <w:rsid w:val="00EE7F1B"/>
    <w:rsid w:val="00EF00CC"/>
    <w:rsid w:val="00EF019A"/>
    <w:rsid w:val="00EF0F8B"/>
    <w:rsid w:val="00EF14AC"/>
    <w:rsid w:val="00EF1DD4"/>
    <w:rsid w:val="00EF2082"/>
    <w:rsid w:val="00EF24DA"/>
    <w:rsid w:val="00EF3978"/>
    <w:rsid w:val="00EF4799"/>
    <w:rsid w:val="00EF48FE"/>
    <w:rsid w:val="00EF4A28"/>
    <w:rsid w:val="00EF50D9"/>
    <w:rsid w:val="00EF57F5"/>
    <w:rsid w:val="00EF5C7D"/>
    <w:rsid w:val="00EF6742"/>
    <w:rsid w:val="00EF68FE"/>
    <w:rsid w:val="00EF6A8B"/>
    <w:rsid w:val="00EF6B9D"/>
    <w:rsid w:val="00F00728"/>
    <w:rsid w:val="00F01204"/>
    <w:rsid w:val="00F0160D"/>
    <w:rsid w:val="00F01629"/>
    <w:rsid w:val="00F0273F"/>
    <w:rsid w:val="00F02B63"/>
    <w:rsid w:val="00F02BB8"/>
    <w:rsid w:val="00F02E67"/>
    <w:rsid w:val="00F03A07"/>
    <w:rsid w:val="00F03A1B"/>
    <w:rsid w:val="00F03DC2"/>
    <w:rsid w:val="00F04524"/>
    <w:rsid w:val="00F0490D"/>
    <w:rsid w:val="00F054A3"/>
    <w:rsid w:val="00F05908"/>
    <w:rsid w:val="00F059DE"/>
    <w:rsid w:val="00F067DF"/>
    <w:rsid w:val="00F06811"/>
    <w:rsid w:val="00F06F1E"/>
    <w:rsid w:val="00F07599"/>
    <w:rsid w:val="00F07DF9"/>
    <w:rsid w:val="00F1029B"/>
    <w:rsid w:val="00F106EC"/>
    <w:rsid w:val="00F10993"/>
    <w:rsid w:val="00F10F62"/>
    <w:rsid w:val="00F11498"/>
    <w:rsid w:val="00F11718"/>
    <w:rsid w:val="00F12306"/>
    <w:rsid w:val="00F12333"/>
    <w:rsid w:val="00F133AF"/>
    <w:rsid w:val="00F147C3"/>
    <w:rsid w:val="00F148D2"/>
    <w:rsid w:val="00F14EBB"/>
    <w:rsid w:val="00F14FDC"/>
    <w:rsid w:val="00F15763"/>
    <w:rsid w:val="00F1596D"/>
    <w:rsid w:val="00F15AFB"/>
    <w:rsid w:val="00F15F32"/>
    <w:rsid w:val="00F177B9"/>
    <w:rsid w:val="00F207E4"/>
    <w:rsid w:val="00F2103B"/>
    <w:rsid w:val="00F219E2"/>
    <w:rsid w:val="00F220AC"/>
    <w:rsid w:val="00F22382"/>
    <w:rsid w:val="00F22995"/>
    <w:rsid w:val="00F22A01"/>
    <w:rsid w:val="00F22EEE"/>
    <w:rsid w:val="00F2315C"/>
    <w:rsid w:val="00F26810"/>
    <w:rsid w:val="00F2749D"/>
    <w:rsid w:val="00F30F0B"/>
    <w:rsid w:val="00F318F6"/>
    <w:rsid w:val="00F326A0"/>
    <w:rsid w:val="00F326D4"/>
    <w:rsid w:val="00F34043"/>
    <w:rsid w:val="00F34DB8"/>
    <w:rsid w:val="00F34E0E"/>
    <w:rsid w:val="00F35093"/>
    <w:rsid w:val="00F350A3"/>
    <w:rsid w:val="00F366FB"/>
    <w:rsid w:val="00F3771B"/>
    <w:rsid w:val="00F378A6"/>
    <w:rsid w:val="00F40523"/>
    <w:rsid w:val="00F41057"/>
    <w:rsid w:val="00F41FD3"/>
    <w:rsid w:val="00F4239F"/>
    <w:rsid w:val="00F424AD"/>
    <w:rsid w:val="00F426B8"/>
    <w:rsid w:val="00F43593"/>
    <w:rsid w:val="00F439F6"/>
    <w:rsid w:val="00F43D27"/>
    <w:rsid w:val="00F44272"/>
    <w:rsid w:val="00F44410"/>
    <w:rsid w:val="00F453A2"/>
    <w:rsid w:val="00F453C1"/>
    <w:rsid w:val="00F45668"/>
    <w:rsid w:val="00F4592F"/>
    <w:rsid w:val="00F45D13"/>
    <w:rsid w:val="00F46E77"/>
    <w:rsid w:val="00F50035"/>
    <w:rsid w:val="00F50291"/>
    <w:rsid w:val="00F50873"/>
    <w:rsid w:val="00F5101A"/>
    <w:rsid w:val="00F51561"/>
    <w:rsid w:val="00F51B77"/>
    <w:rsid w:val="00F51F3E"/>
    <w:rsid w:val="00F538C6"/>
    <w:rsid w:val="00F548F9"/>
    <w:rsid w:val="00F553C3"/>
    <w:rsid w:val="00F55805"/>
    <w:rsid w:val="00F567E2"/>
    <w:rsid w:val="00F57185"/>
    <w:rsid w:val="00F57BA4"/>
    <w:rsid w:val="00F6063A"/>
    <w:rsid w:val="00F60738"/>
    <w:rsid w:val="00F60FBE"/>
    <w:rsid w:val="00F61242"/>
    <w:rsid w:val="00F619D2"/>
    <w:rsid w:val="00F6274E"/>
    <w:rsid w:val="00F62B14"/>
    <w:rsid w:val="00F62F33"/>
    <w:rsid w:val="00F63647"/>
    <w:rsid w:val="00F63CB5"/>
    <w:rsid w:val="00F63EF8"/>
    <w:rsid w:val="00F6427E"/>
    <w:rsid w:val="00F6584B"/>
    <w:rsid w:val="00F66DDE"/>
    <w:rsid w:val="00F673F9"/>
    <w:rsid w:val="00F67567"/>
    <w:rsid w:val="00F67D4B"/>
    <w:rsid w:val="00F70118"/>
    <w:rsid w:val="00F70F84"/>
    <w:rsid w:val="00F712F4"/>
    <w:rsid w:val="00F714AC"/>
    <w:rsid w:val="00F717A3"/>
    <w:rsid w:val="00F71BF4"/>
    <w:rsid w:val="00F71E8E"/>
    <w:rsid w:val="00F724DC"/>
    <w:rsid w:val="00F73275"/>
    <w:rsid w:val="00F7367C"/>
    <w:rsid w:val="00F73F78"/>
    <w:rsid w:val="00F74FD4"/>
    <w:rsid w:val="00F7501C"/>
    <w:rsid w:val="00F756FE"/>
    <w:rsid w:val="00F75802"/>
    <w:rsid w:val="00F770B2"/>
    <w:rsid w:val="00F80050"/>
    <w:rsid w:val="00F8060E"/>
    <w:rsid w:val="00F8065D"/>
    <w:rsid w:val="00F80894"/>
    <w:rsid w:val="00F80A77"/>
    <w:rsid w:val="00F80A85"/>
    <w:rsid w:val="00F81B78"/>
    <w:rsid w:val="00F81C42"/>
    <w:rsid w:val="00F8297A"/>
    <w:rsid w:val="00F82993"/>
    <w:rsid w:val="00F82B93"/>
    <w:rsid w:val="00F82DA2"/>
    <w:rsid w:val="00F82F6A"/>
    <w:rsid w:val="00F83D7A"/>
    <w:rsid w:val="00F83DB1"/>
    <w:rsid w:val="00F83EEC"/>
    <w:rsid w:val="00F84150"/>
    <w:rsid w:val="00F84488"/>
    <w:rsid w:val="00F84AFB"/>
    <w:rsid w:val="00F85145"/>
    <w:rsid w:val="00F85583"/>
    <w:rsid w:val="00F85B51"/>
    <w:rsid w:val="00F86061"/>
    <w:rsid w:val="00F86634"/>
    <w:rsid w:val="00F86E99"/>
    <w:rsid w:val="00F878AA"/>
    <w:rsid w:val="00F90D55"/>
    <w:rsid w:val="00F90E15"/>
    <w:rsid w:val="00F91015"/>
    <w:rsid w:val="00F9196F"/>
    <w:rsid w:val="00F91A8D"/>
    <w:rsid w:val="00F92064"/>
    <w:rsid w:val="00F9218C"/>
    <w:rsid w:val="00F93A13"/>
    <w:rsid w:val="00F94E17"/>
    <w:rsid w:val="00F95364"/>
    <w:rsid w:val="00F957AF"/>
    <w:rsid w:val="00F963D3"/>
    <w:rsid w:val="00F96617"/>
    <w:rsid w:val="00F96B7B"/>
    <w:rsid w:val="00F97419"/>
    <w:rsid w:val="00F976AB"/>
    <w:rsid w:val="00FA03B3"/>
    <w:rsid w:val="00FA0D03"/>
    <w:rsid w:val="00FA0D64"/>
    <w:rsid w:val="00FA0F17"/>
    <w:rsid w:val="00FA2182"/>
    <w:rsid w:val="00FA32F9"/>
    <w:rsid w:val="00FA3A18"/>
    <w:rsid w:val="00FA3AD6"/>
    <w:rsid w:val="00FA46A1"/>
    <w:rsid w:val="00FA48BE"/>
    <w:rsid w:val="00FA5AEC"/>
    <w:rsid w:val="00FA5E83"/>
    <w:rsid w:val="00FA676D"/>
    <w:rsid w:val="00FA728D"/>
    <w:rsid w:val="00FA73CD"/>
    <w:rsid w:val="00FB0194"/>
    <w:rsid w:val="00FB0524"/>
    <w:rsid w:val="00FB1658"/>
    <w:rsid w:val="00FB1BD4"/>
    <w:rsid w:val="00FB1FBF"/>
    <w:rsid w:val="00FB4FAB"/>
    <w:rsid w:val="00FB50F5"/>
    <w:rsid w:val="00FB6548"/>
    <w:rsid w:val="00FB6CF5"/>
    <w:rsid w:val="00FB77E2"/>
    <w:rsid w:val="00FC0097"/>
    <w:rsid w:val="00FC0CD5"/>
    <w:rsid w:val="00FC10DE"/>
    <w:rsid w:val="00FC1A97"/>
    <w:rsid w:val="00FC1BDF"/>
    <w:rsid w:val="00FC2831"/>
    <w:rsid w:val="00FC3144"/>
    <w:rsid w:val="00FC3AE7"/>
    <w:rsid w:val="00FC4336"/>
    <w:rsid w:val="00FC43CE"/>
    <w:rsid w:val="00FC4572"/>
    <w:rsid w:val="00FC4623"/>
    <w:rsid w:val="00FC4805"/>
    <w:rsid w:val="00FC49AA"/>
    <w:rsid w:val="00FC50A5"/>
    <w:rsid w:val="00FC5660"/>
    <w:rsid w:val="00FC5AE3"/>
    <w:rsid w:val="00FC5B72"/>
    <w:rsid w:val="00FC5CB5"/>
    <w:rsid w:val="00FC5D22"/>
    <w:rsid w:val="00FC6159"/>
    <w:rsid w:val="00FC6324"/>
    <w:rsid w:val="00FC6A08"/>
    <w:rsid w:val="00FC7E5C"/>
    <w:rsid w:val="00FC7F31"/>
    <w:rsid w:val="00FD166C"/>
    <w:rsid w:val="00FD16C7"/>
    <w:rsid w:val="00FD1F7E"/>
    <w:rsid w:val="00FD21D8"/>
    <w:rsid w:val="00FD2D04"/>
    <w:rsid w:val="00FD327B"/>
    <w:rsid w:val="00FD3604"/>
    <w:rsid w:val="00FD4390"/>
    <w:rsid w:val="00FD50C7"/>
    <w:rsid w:val="00FD55CE"/>
    <w:rsid w:val="00FD6D54"/>
    <w:rsid w:val="00FD70FD"/>
    <w:rsid w:val="00FD7163"/>
    <w:rsid w:val="00FD7B43"/>
    <w:rsid w:val="00FD7DFE"/>
    <w:rsid w:val="00FD7ED2"/>
    <w:rsid w:val="00FE02D5"/>
    <w:rsid w:val="00FE0C98"/>
    <w:rsid w:val="00FE1900"/>
    <w:rsid w:val="00FE1AC1"/>
    <w:rsid w:val="00FE1C9D"/>
    <w:rsid w:val="00FE2657"/>
    <w:rsid w:val="00FE3270"/>
    <w:rsid w:val="00FE32C2"/>
    <w:rsid w:val="00FE44E4"/>
    <w:rsid w:val="00FE480E"/>
    <w:rsid w:val="00FE4919"/>
    <w:rsid w:val="00FE5233"/>
    <w:rsid w:val="00FE5257"/>
    <w:rsid w:val="00FE5405"/>
    <w:rsid w:val="00FE5992"/>
    <w:rsid w:val="00FE74B2"/>
    <w:rsid w:val="00FE7DA9"/>
    <w:rsid w:val="00FF1170"/>
    <w:rsid w:val="00FF1A2B"/>
    <w:rsid w:val="00FF2616"/>
    <w:rsid w:val="00FF33A2"/>
    <w:rsid w:val="00FF374D"/>
    <w:rsid w:val="00FF3CAA"/>
    <w:rsid w:val="00FF3E29"/>
    <w:rsid w:val="00FF4446"/>
    <w:rsid w:val="00FF5771"/>
    <w:rsid w:val="00FF68A6"/>
    <w:rsid w:val="00FF6E3F"/>
    <w:rsid w:val="00FF783A"/>
    <w:rsid w:val="00FF7C48"/>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19F23D6"/>
  <w15:docId w15:val="{4027A5DC-7097-4F60-A69F-F087CC81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9BF"/>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pPr>
  </w:style>
  <w:style w:type="character" w:customStyle="1" w:styleId="EndnoteTextChar">
    <w:name w:val="Endnote Text Char"/>
    <w:basedOn w:val="DefaultParagraphFont"/>
    <w:link w:val="EndnoteText"/>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link w:val="ParagraphChar"/>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2309BF"/>
    <w:pPr>
      <w:tabs>
        <w:tab w:val="left" w:pos="1080"/>
      </w:tabs>
      <w:spacing w:before="60" w:after="60"/>
    </w:pPr>
    <w:rPr>
      <w:rFonts w:asciiTheme="majorHAnsi" w:eastAsia="Times New Roman" w:hAnsiTheme="majorHAnsi" w:cs="Times New Roman"/>
      <w:sz w:val="18"/>
      <w:szCs w:val="20"/>
    </w:rPr>
  </w:style>
  <w:style w:type="paragraph" w:customStyle="1" w:styleId="TableHeaderLeft">
    <w:name w:val="Table Header Left"/>
    <w:basedOn w:val="TableTextLeft"/>
    <w:next w:val="TableTextLeft"/>
    <w:qFormat/>
    <w:rsid w:val="0090264F"/>
    <w:pPr>
      <w:spacing w:before="120"/>
    </w:pPr>
    <w:rPr>
      <w:b/>
      <w:color w:val="FFFFFF" w:themeColor="background1"/>
    </w:rPr>
  </w:style>
  <w:style w:type="paragraph" w:customStyle="1" w:styleId="TableHeaderCenter">
    <w:name w:val="Table Header Center"/>
    <w:basedOn w:val="TableHeaderLeft"/>
    <w:qFormat/>
    <w:rsid w:val="0090264F"/>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0264F"/>
    <w:pPr>
      <w:spacing w:after="60" w:line="240" w:lineRule="auto"/>
    </w:pPr>
    <w:rPr>
      <w:rFonts w:asciiTheme="majorHAnsi" w:hAnsiTheme="majorHAnsi"/>
      <w:sz w:val="18"/>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tabs>
        <w:tab w:val="left" w:pos="432"/>
      </w:tabs>
      <w:spacing w:before="120" w:after="1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2309BF"/>
    <w:pPr>
      <w:spacing w:after="60"/>
    </w:pPr>
    <w:rPr>
      <w:sz w:val="18"/>
    </w:r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link w:val="H3Char"/>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customStyle="1" w:styleId="NormalSS">
    <w:name w:val="NormalSS"/>
    <w:basedOn w:val="Normal"/>
    <w:semiHidden/>
    <w:qFormat/>
    <w:rsid w:val="003D6843"/>
    <w:pPr>
      <w:tabs>
        <w:tab w:val="left" w:pos="432"/>
      </w:tabs>
      <w:spacing w:after="0" w:line="240" w:lineRule="auto"/>
      <w:ind w:firstLine="432"/>
      <w:jc w:val="both"/>
    </w:pPr>
    <w:rPr>
      <w:rFonts w:ascii="Times New Roman" w:hAnsi="Times New Roman"/>
      <w:szCs w:val="24"/>
    </w:rPr>
  </w:style>
  <w:style w:type="character" w:customStyle="1" w:styleId="UnresolvedMention1">
    <w:name w:val="Unresolved Mention1"/>
    <w:basedOn w:val="DefaultParagraphFont"/>
    <w:semiHidden/>
    <w:unhideWhenUsed/>
    <w:rsid w:val="00532852"/>
    <w:rPr>
      <w:color w:val="605E5C"/>
      <w:shd w:val="clear" w:color="auto" w:fill="E1DFDD"/>
    </w:rPr>
  </w:style>
  <w:style w:type="paragraph" w:styleId="Revision">
    <w:name w:val="Revision"/>
    <w:hidden/>
    <w:uiPriority w:val="99"/>
    <w:semiHidden/>
    <w:rsid w:val="00A9114D"/>
    <w:pPr>
      <w:spacing w:after="0"/>
    </w:pPr>
    <w:rPr>
      <w:rFonts w:asciiTheme="minorHAnsi" w:eastAsia="Times New Roman" w:hAnsiTheme="minorHAnsi" w:cs="Times New Roman"/>
      <w:szCs w:val="20"/>
    </w:rPr>
  </w:style>
  <w:style w:type="character" w:customStyle="1" w:styleId="term">
    <w:name w:val="term"/>
    <w:basedOn w:val="DefaultParagraphFont"/>
    <w:semiHidden/>
    <w:rsid w:val="00664A3D"/>
  </w:style>
  <w:style w:type="paragraph" w:customStyle="1" w:styleId="Bullet">
    <w:name w:val="Bullet"/>
    <w:basedOn w:val="Normal"/>
    <w:semiHidden/>
    <w:rsid w:val="00EE03E1"/>
    <w:pPr>
      <w:spacing w:after="120" w:line="240" w:lineRule="auto"/>
      <w:ind w:left="432" w:hanging="432"/>
    </w:pPr>
    <w:rPr>
      <w:rFonts w:ascii="Times New Roman" w:eastAsiaTheme="minorHAnsi" w:hAnsi="Times New Roman"/>
      <w:szCs w:val="24"/>
    </w:rPr>
  </w:style>
  <w:style w:type="paragraph" w:customStyle="1" w:styleId="TableTextCeb">
    <w:name w:val="Table Text Ceb"/>
    <w:basedOn w:val="TableTextDecimal"/>
    <w:semiHidden/>
    <w:rsid w:val="00F84150"/>
    <w:pPr>
      <w:framePr w:wrap="notBeside"/>
      <w:spacing w:before="40"/>
    </w:pPr>
  </w:style>
  <w:style w:type="paragraph" w:customStyle="1" w:styleId="TableTextDecimalCalibri">
    <w:name w:val="Table Text Decimal + Calibri"/>
    <w:aliases w:val="11 pt,Black"/>
    <w:basedOn w:val="TableTextDecimal"/>
    <w:semiHidden/>
    <w:rsid w:val="00F84150"/>
    <w:pPr>
      <w:framePr w:wrap="notBeside"/>
      <w:spacing w:before="40"/>
      <w:contextualSpacing/>
    </w:pPr>
    <w:rPr>
      <w:rFonts w:ascii="Calibri" w:hAnsi="Calibri" w:cs="Calibri"/>
      <w:color w:val="000000"/>
      <w:sz w:val="22"/>
      <w:szCs w:val="22"/>
    </w:rPr>
  </w:style>
  <w:style w:type="character" w:customStyle="1" w:styleId="ListParagraphChar">
    <w:name w:val="List Paragraph Char"/>
    <w:basedOn w:val="DefaultParagraphFont"/>
    <w:link w:val="ListParagraph"/>
    <w:uiPriority w:val="34"/>
    <w:locked/>
    <w:rsid w:val="00111B4F"/>
    <w:rPr>
      <w:rFonts w:asciiTheme="minorHAnsi" w:eastAsia="Times New Roman" w:hAnsiTheme="minorHAnsi" w:cs="Times New Roman"/>
      <w:szCs w:val="20"/>
    </w:rPr>
  </w:style>
  <w:style w:type="character" w:styleId="Strong">
    <w:name w:val="Strong"/>
    <w:basedOn w:val="DefaultParagraphFont"/>
    <w:semiHidden/>
    <w:qFormat/>
    <w:rsid w:val="009E12C4"/>
    <w:rPr>
      <w:b/>
      <w:bCs/>
    </w:rPr>
  </w:style>
  <w:style w:type="character" w:customStyle="1" w:styleId="UnresolvedMention2">
    <w:name w:val="Unresolved Mention2"/>
    <w:basedOn w:val="DefaultParagraphFont"/>
    <w:semiHidden/>
    <w:unhideWhenUsed/>
    <w:rsid w:val="00087EBD"/>
    <w:rPr>
      <w:color w:val="605E5C"/>
      <w:shd w:val="clear" w:color="auto" w:fill="E1DFDD"/>
    </w:rPr>
  </w:style>
  <w:style w:type="paragraph" w:customStyle="1" w:styleId="Pragraph">
    <w:name w:val="Pragraph"/>
    <w:basedOn w:val="Normal"/>
    <w:semiHidden/>
    <w:rsid w:val="00E03512"/>
    <w:rPr>
      <w:rFonts w:cstheme="minorHAnsi"/>
    </w:rPr>
  </w:style>
  <w:style w:type="character" w:styleId="UnresolvedMention">
    <w:name w:val="Unresolved Mention"/>
    <w:basedOn w:val="DefaultParagraphFont"/>
    <w:semiHidden/>
    <w:unhideWhenUsed/>
    <w:rsid w:val="001E2524"/>
    <w:rPr>
      <w:color w:val="605E5C"/>
      <w:shd w:val="clear" w:color="auto" w:fill="E1DFDD"/>
    </w:rPr>
  </w:style>
  <w:style w:type="paragraph" w:styleId="BlockText">
    <w:name w:val="Block Text"/>
    <w:basedOn w:val="Normal"/>
    <w:semiHidden/>
    <w:unhideWhenUsed/>
    <w:rsid w:val="00AF7C6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AF7C67"/>
    <w:pPr>
      <w:spacing w:after="120"/>
    </w:pPr>
  </w:style>
  <w:style w:type="character" w:customStyle="1" w:styleId="BodyTextChar">
    <w:name w:val="Body Text Char"/>
    <w:basedOn w:val="DefaultParagraphFont"/>
    <w:link w:val="BodyText"/>
    <w:uiPriority w:val="99"/>
    <w:semiHidden/>
    <w:rsid w:val="00AF7C67"/>
    <w:rPr>
      <w:rFonts w:asciiTheme="minorHAnsi" w:eastAsia="Times New Roman" w:hAnsiTheme="minorHAnsi" w:cs="Times New Roman"/>
      <w:szCs w:val="20"/>
    </w:rPr>
  </w:style>
  <w:style w:type="paragraph" w:styleId="BodyText2">
    <w:name w:val="Body Text 2"/>
    <w:basedOn w:val="Normal"/>
    <w:link w:val="BodyText2Char"/>
    <w:semiHidden/>
    <w:unhideWhenUsed/>
    <w:rsid w:val="00AF7C67"/>
    <w:pPr>
      <w:spacing w:after="120" w:line="480" w:lineRule="auto"/>
    </w:pPr>
  </w:style>
  <w:style w:type="character" w:customStyle="1" w:styleId="BodyText2Char">
    <w:name w:val="Body Text 2 Char"/>
    <w:basedOn w:val="DefaultParagraphFont"/>
    <w:link w:val="BodyText2"/>
    <w:uiPriority w:val="99"/>
    <w:semiHidden/>
    <w:rsid w:val="00AF7C67"/>
    <w:rPr>
      <w:rFonts w:asciiTheme="minorHAnsi" w:eastAsia="Times New Roman" w:hAnsiTheme="minorHAnsi" w:cs="Times New Roman"/>
      <w:szCs w:val="20"/>
    </w:rPr>
  </w:style>
  <w:style w:type="paragraph" w:styleId="BodyText3">
    <w:name w:val="Body Text 3"/>
    <w:basedOn w:val="Normal"/>
    <w:link w:val="BodyText3Char"/>
    <w:semiHidden/>
    <w:unhideWhenUsed/>
    <w:rsid w:val="00AF7C67"/>
    <w:pPr>
      <w:spacing w:after="120"/>
    </w:pPr>
    <w:rPr>
      <w:sz w:val="16"/>
      <w:szCs w:val="16"/>
    </w:rPr>
  </w:style>
  <w:style w:type="character" w:customStyle="1" w:styleId="BodyText3Char">
    <w:name w:val="Body Text 3 Char"/>
    <w:basedOn w:val="DefaultParagraphFont"/>
    <w:link w:val="BodyText3"/>
    <w:uiPriority w:val="99"/>
    <w:semiHidden/>
    <w:rsid w:val="00AF7C67"/>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AF7C67"/>
    <w:pPr>
      <w:spacing w:after="240"/>
      <w:ind w:firstLine="360"/>
    </w:pPr>
  </w:style>
  <w:style w:type="character" w:customStyle="1" w:styleId="BodyTextFirstIndentChar">
    <w:name w:val="Body Text First Indent Char"/>
    <w:basedOn w:val="BodyTextChar"/>
    <w:link w:val="BodyTextFirstIndent"/>
    <w:uiPriority w:val="99"/>
    <w:semiHidden/>
    <w:rsid w:val="00AF7C67"/>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AF7C67"/>
    <w:pPr>
      <w:spacing w:after="120"/>
      <w:ind w:left="360"/>
    </w:pPr>
  </w:style>
  <w:style w:type="character" w:customStyle="1" w:styleId="BodyTextIndentChar">
    <w:name w:val="Body Text Indent Char"/>
    <w:basedOn w:val="DefaultParagraphFont"/>
    <w:link w:val="BodyTextIndent"/>
    <w:uiPriority w:val="99"/>
    <w:semiHidden/>
    <w:rsid w:val="00AF7C67"/>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AF7C67"/>
    <w:pPr>
      <w:spacing w:after="240"/>
      <w:ind w:firstLine="360"/>
    </w:pPr>
  </w:style>
  <w:style w:type="character" w:customStyle="1" w:styleId="BodyTextFirstIndent2Char">
    <w:name w:val="Body Text First Indent 2 Char"/>
    <w:basedOn w:val="BodyTextIndentChar"/>
    <w:link w:val="BodyTextFirstIndent2"/>
    <w:uiPriority w:val="99"/>
    <w:semiHidden/>
    <w:rsid w:val="00AF7C67"/>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AF7C67"/>
    <w:pPr>
      <w:spacing w:after="120" w:line="480" w:lineRule="auto"/>
      <w:ind w:left="360"/>
    </w:pPr>
  </w:style>
  <w:style w:type="character" w:customStyle="1" w:styleId="BodyTextIndent2Char">
    <w:name w:val="Body Text Indent 2 Char"/>
    <w:basedOn w:val="DefaultParagraphFont"/>
    <w:link w:val="BodyTextIndent2"/>
    <w:uiPriority w:val="99"/>
    <w:semiHidden/>
    <w:rsid w:val="00AF7C67"/>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AF7C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7C67"/>
    <w:rPr>
      <w:rFonts w:asciiTheme="minorHAnsi" w:eastAsia="Times New Roman" w:hAnsiTheme="minorHAnsi" w:cs="Times New Roman"/>
      <w:sz w:val="16"/>
      <w:szCs w:val="16"/>
    </w:rPr>
  </w:style>
  <w:style w:type="character" w:styleId="BookTitle">
    <w:name w:val="Book Title"/>
    <w:basedOn w:val="DefaultParagraphFont"/>
    <w:semiHidden/>
    <w:qFormat/>
    <w:rsid w:val="00AF7C67"/>
    <w:rPr>
      <w:b/>
      <w:bCs/>
      <w:i/>
      <w:iCs/>
      <w:spacing w:val="5"/>
    </w:rPr>
  </w:style>
  <w:style w:type="paragraph" w:styleId="E-mailSignature">
    <w:name w:val="E-mail Signature"/>
    <w:basedOn w:val="Normal"/>
    <w:link w:val="E-mailSignatureChar"/>
    <w:semiHidden/>
    <w:unhideWhenUsed/>
    <w:rsid w:val="00AF7C67"/>
    <w:pPr>
      <w:spacing w:after="0" w:line="240" w:lineRule="auto"/>
    </w:pPr>
  </w:style>
  <w:style w:type="character" w:customStyle="1" w:styleId="E-mailSignatureChar">
    <w:name w:val="E-mail Signature Char"/>
    <w:basedOn w:val="DefaultParagraphFont"/>
    <w:link w:val="E-mailSignature"/>
    <w:uiPriority w:val="99"/>
    <w:semiHidden/>
    <w:rsid w:val="00AF7C67"/>
    <w:rPr>
      <w:rFonts w:asciiTheme="minorHAnsi" w:eastAsia="Times New Roman" w:hAnsiTheme="minorHAnsi" w:cs="Times New Roman"/>
      <w:szCs w:val="20"/>
    </w:rPr>
  </w:style>
  <w:style w:type="character" w:styleId="Emphasis">
    <w:name w:val="Emphasis"/>
    <w:basedOn w:val="DefaultParagraphFont"/>
    <w:semiHidden/>
    <w:qFormat/>
    <w:rsid w:val="00AF7C67"/>
    <w:rPr>
      <w:i/>
      <w:iCs/>
    </w:rPr>
  </w:style>
  <w:style w:type="paragraph" w:styleId="EnvelopeAddress">
    <w:name w:val="envelope address"/>
    <w:basedOn w:val="Normal"/>
    <w:unhideWhenUsed/>
    <w:rsid w:val="00AF7C6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AF7C67"/>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AF7C67"/>
    <w:rPr>
      <w:color w:val="2B579A"/>
      <w:shd w:val="clear" w:color="auto" w:fill="E1DFDD"/>
    </w:rPr>
  </w:style>
  <w:style w:type="character" w:styleId="HTMLAcronym">
    <w:name w:val="HTML Acronym"/>
    <w:basedOn w:val="DefaultParagraphFont"/>
    <w:semiHidden/>
    <w:unhideWhenUsed/>
    <w:rsid w:val="00AF7C67"/>
  </w:style>
  <w:style w:type="paragraph" w:styleId="HTMLAddress">
    <w:name w:val="HTML Address"/>
    <w:basedOn w:val="Normal"/>
    <w:link w:val="HTMLAddressChar"/>
    <w:semiHidden/>
    <w:unhideWhenUsed/>
    <w:rsid w:val="00AF7C67"/>
    <w:pPr>
      <w:spacing w:after="0" w:line="240" w:lineRule="auto"/>
    </w:pPr>
    <w:rPr>
      <w:i/>
      <w:iCs/>
    </w:rPr>
  </w:style>
  <w:style w:type="character" w:customStyle="1" w:styleId="HTMLAddressChar">
    <w:name w:val="HTML Address Char"/>
    <w:basedOn w:val="DefaultParagraphFont"/>
    <w:link w:val="HTMLAddress"/>
    <w:uiPriority w:val="99"/>
    <w:semiHidden/>
    <w:rsid w:val="00AF7C67"/>
    <w:rPr>
      <w:rFonts w:asciiTheme="minorHAnsi" w:eastAsia="Times New Roman" w:hAnsiTheme="minorHAnsi" w:cs="Times New Roman"/>
      <w:i/>
      <w:iCs/>
      <w:szCs w:val="20"/>
    </w:rPr>
  </w:style>
  <w:style w:type="character" w:styleId="HTMLCite">
    <w:name w:val="HTML Cite"/>
    <w:basedOn w:val="DefaultParagraphFont"/>
    <w:semiHidden/>
    <w:unhideWhenUsed/>
    <w:rsid w:val="00AF7C67"/>
    <w:rPr>
      <w:i/>
      <w:iCs/>
    </w:rPr>
  </w:style>
  <w:style w:type="character" w:styleId="HTMLCode">
    <w:name w:val="HTML Code"/>
    <w:basedOn w:val="DefaultParagraphFont"/>
    <w:semiHidden/>
    <w:unhideWhenUsed/>
    <w:rsid w:val="00AF7C67"/>
    <w:rPr>
      <w:rFonts w:ascii="Consolas" w:hAnsi="Consolas"/>
      <w:sz w:val="20"/>
      <w:szCs w:val="20"/>
    </w:rPr>
  </w:style>
  <w:style w:type="character" w:styleId="HTMLDefinition">
    <w:name w:val="HTML Definition"/>
    <w:basedOn w:val="DefaultParagraphFont"/>
    <w:semiHidden/>
    <w:unhideWhenUsed/>
    <w:rsid w:val="00AF7C67"/>
    <w:rPr>
      <w:i/>
      <w:iCs/>
    </w:rPr>
  </w:style>
  <w:style w:type="character" w:styleId="HTMLKeyboard">
    <w:name w:val="HTML Keyboard"/>
    <w:basedOn w:val="DefaultParagraphFont"/>
    <w:semiHidden/>
    <w:unhideWhenUsed/>
    <w:rsid w:val="00AF7C67"/>
    <w:rPr>
      <w:rFonts w:ascii="Consolas" w:hAnsi="Consolas"/>
      <w:sz w:val="20"/>
      <w:szCs w:val="20"/>
    </w:rPr>
  </w:style>
  <w:style w:type="character" w:styleId="HTMLSample">
    <w:name w:val="HTML Sample"/>
    <w:basedOn w:val="DefaultParagraphFont"/>
    <w:semiHidden/>
    <w:unhideWhenUsed/>
    <w:rsid w:val="00AF7C67"/>
    <w:rPr>
      <w:rFonts w:ascii="Consolas" w:hAnsi="Consolas"/>
      <w:sz w:val="24"/>
      <w:szCs w:val="24"/>
    </w:rPr>
  </w:style>
  <w:style w:type="character" w:styleId="HTMLTypewriter">
    <w:name w:val="HTML Typewriter"/>
    <w:basedOn w:val="DefaultParagraphFont"/>
    <w:semiHidden/>
    <w:unhideWhenUsed/>
    <w:rsid w:val="00AF7C67"/>
    <w:rPr>
      <w:rFonts w:ascii="Consolas" w:hAnsi="Consolas"/>
      <w:sz w:val="20"/>
      <w:szCs w:val="20"/>
    </w:rPr>
  </w:style>
  <w:style w:type="character" w:styleId="HTMLVariable">
    <w:name w:val="HTML Variable"/>
    <w:basedOn w:val="DefaultParagraphFont"/>
    <w:semiHidden/>
    <w:unhideWhenUsed/>
    <w:rsid w:val="00AF7C67"/>
    <w:rPr>
      <w:i/>
      <w:iCs/>
    </w:rPr>
  </w:style>
  <w:style w:type="paragraph" w:styleId="Index4">
    <w:name w:val="index 4"/>
    <w:basedOn w:val="Normal"/>
    <w:next w:val="Normal"/>
    <w:autoRedefine/>
    <w:semiHidden/>
    <w:unhideWhenUsed/>
    <w:rsid w:val="00AF7C67"/>
    <w:pPr>
      <w:spacing w:after="0" w:line="240" w:lineRule="auto"/>
      <w:ind w:left="960" w:hanging="240"/>
    </w:pPr>
  </w:style>
  <w:style w:type="paragraph" w:styleId="Index5">
    <w:name w:val="index 5"/>
    <w:basedOn w:val="Normal"/>
    <w:next w:val="Normal"/>
    <w:autoRedefine/>
    <w:semiHidden/>
    <w:unhideWhenUsed/>
    <w:rsid w:val="00AF7C67"/>
    <w:pPr>
      <w:spacing w:after="0" w:line="240" w:lineRule="auto"/>
      <w:ind w:left="1200" w:hanging="240"/>
    </w:pPr>
  </w:style>
  <w:style w:type="paragraph" w:styleId="Index6">
    <w:name w:val="index 6"/>
    <w:basedOn w:val="Normal"/>
    <w:next w:val="Normal"/>
    <w:autoRedefine/>
    <w:semiHidden/>
    <w:unhideWhenUsed/>
    <w:rsid w:val="00AF7C67"/>
    <w:pPr>
      <w:spacing w:after="0" w:line="240" w:lineRule="auto"/>
      <w:ind w:left="1440" w:hanging="240"/>
    </w:pPr>
  </w:style>
  <w:style w:type="paragraph" w:styleId="Index7">
    <w:name w:val="index 7"/>
    <w:basedOn w:val="Normal"/>
    <w:next w:val="Normal"/>
    <w:autoRedefine/>
    <w:semiHidden/>
    <w:unhideWhenUsed/>
    <w:rsid w:val="00AF7C67"/>
    <w:pPr>
      <w:spacing w:after="0" w:line="240" w:lineRule="auto"/>
      <w:ind w:left="1680" w:hanging="240"/>
    </w:pPr>
  </w:style>
  <w:style w:type="paragraph" w:styleId="Index8">
    <w:name w:val="index 8"/>
    <w:basedOn w:val="Normal"/>
    <w:next w:val="Normal"/>
    <w:autoRedefine/>
    <w:semiHidden/>
    <w:unhideWhenUsed/>
    <w:rsid w:val="00AF7C67"/>
    <w:pPr>
      <w:spacing w:after="0" w:line="240" w:lineRule="auto"/>
      <w:ind w:left="1920" w:hanging="240"/>
    </w:pPr>
  </w:style>
  <w:style w:type="paragraph" w:styleId="Index9">
    <w:name w:val="index 9"/>
    <w:basedOn w:val="Normal"/>
    <w:next w:val="Normal"/>
    <w:autoRedefine/>
    <w:semiHidden/>
    <w:unhideWhenUsed/>
    <w:rsid w:val="00AF7C67"/>
    <w:pPr>
      <w:spacing w:after="0" w:line="240" w:lineRule="auto"/>
      <w:ind w:left="2160" w:hanging="240"/>
    </w:pPr>
  </w:style>
  <w:style w:type="paragraph" w:styleId="IndexHeading">
    <w:name w:val="index heading"/>
    <w:basedOn w:val="Normal"/>
    <w:next w:val="Index1"/>
    <w:semiHidden/>
    <w:unhideWhenUsed/>
    <w:rsid w:val="00AF7C67"/>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AF7C6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7C67"/>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AF7C67"/>
  </w:style>
  <w:style w:type="paragraph" w:styleId="ListContinue4">
    <w:name w:val="List Continue 4"/>
    <w:basedOn w:val="Normal"/>
    <w:semiHidden/>
    <w:unhideWhenUsed/>
    <w:rsid w:val="00AF7C67"/>
    <w:pPr>
      <w:spacing w:after="120"/>
      <w:ind w:left="1440"/>
      <w:contextualSpacing/>
    </w:pPr>
  </w:style>
  <w:style w:type="paragraph" w:styleId="ListContinue5">
    <w:name w:val="List Continue 5"/>
    <w:basedOn w:val="Normal"/>
    <w:semiHidden/>
    <w:unhideWhenUsed/>
    <w:rsid w:val="00AF7C67"/>
    <w:pPr>
      <w:spacing w:after="120"/>
      <w:ind w:left="1800"/>
      <w:contextualSpacing/>
    </w:pPr>
  </w:style>
  <w:style w:type="paragraph" w:styleId="ListNumber4">
    <w:name w:val="List Number 4"/>
    <w:basedOn w:val="Normal"/>
    <w:semiHidden/>
    <w:unhideWhenUsed/>
    <w:rsid w:val="00AF7C67"/>
    <w:pPr>
      <w:numPr>
        <w:numId w:val="26"/>
      </w:numPr>
      <w:contextualSpacing/>
    </w:pPr>
  </w:style>
  <w:style w:type="paragraph" w:styleId="ListNumber5">
    <w:name w:val="List Number 5"/>
    <w:basedOn w:val="Normal"/>
    <w:semiHidden/>
    <w:unhideWhenUsed/>
    <w:rsid w:val="00AF7C67"/>
    <w:pPr>
      <w:numPr>
        <w:numId w:val="27"/>
      </w:numPr>
      <w:contextualSpacing/>
    </w:pPr>
  </w:style>
  <w:style w:type="paragraph" w:styleId="MacroText">
    <w:name w:val="macro"/>
    <w:link w:val="MacroTextChar"/>
    <w:semiHidden/>
    <w:unhideWhenUsed/>
    <w:rsid w:val="00AF7C6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F7C67"/>
    <w:rPr>
      <w:rFonts w:ascii="Consolas" w:eastAsia="Times New Roman" w:hAnsi="Consolas" w:cs="Times New Roman"/>
      <w:sz w:val="20"/>
      <w:szCs w:val="20"/>
    </w:rPr>
  </w:style>
  <w:style w:type="character" w:styleId="Mention">
    <w:name w:val="Mention"/>
    <w:basedOn w:val="DefaultParagraphFont"/>
    <w:semiHidden/>
    <w:unhideWhenUsed/>
    <w:rsid w:val="00AF7C67"/>
    <w:rPr>
      <w:color w:val="2B579A"/>
      <w:shd w:val="clear" w:color="auto" w:fill="E1DFDD"/>
    </w:rPr>
  </w:style>
  <w:style w:type="paragraph" w:styleId="MessageHeader">
    <w:name w:val="Message Header"/>
    <w:basedOn w:val="Normal"/>
    <w:link w:val="MessageHeaderChar"/>
    <w:semiHidden/>
    <w:unhideWhenUsed/>
    <w:rsid w:val="00AF7C6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F7C67"/>
    <w:rPr>
      <w:rFonts w:asciiTheme="majorHAnsi" w:eastAsiaTheme="majorEastAsia" w:hAnsiTheme="majorHAnsi" w:cstheme="majorBidi"/>
      <w:shd w:val="pct20" w:color="auto" w:fill="auto"/>
    </w:rPr>
  </w:style>
  <w:style w:type="paragraph" w:styleId="NormalWeb">
    <w:name w:val="Normal (Web)"/>
    <w:basedOn w:val="Normal"/>
    <w:semiHidden/>
    <w:unhideWhenUsed/>
    <w:rsid w:val="00AF7C67"/>
    <w:rPr>
      <w:rFonts w:ascii="Times New Roman" w:hAnsi="Times New Roman"/>
      <w:szCs w:val="24"/>
    </w:rPr>
  </w:style>
  <w:style w:type="paragraph" w:styleId="NormalIndent">
    <w:name w:val="Normal Indent"/>
    <w:basedOn w:val="Normal"/>
    <w:semiHidden/>
    <w:unhideWhenUsed/>
    <w:rsid w:val="00AF7C67"/>
    <w:pPr>
      <w:ind w:left="720"/>
    </w:pPr>
  </w:style>
  <w:style w:type="paragraph" w:styleId="PlainText">
    <w:name w:val="Plain Text"/>
    <w:basedOn w:val="Normal"/>
    <w:link w:val="PlainTextChar"/>
    <w:semiHidden/>
    <w:unhideWhenUsed/>
    <w:rsid w:val="00AF7C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7C67"/>
    <w:rPr>
      <w:rFonts w:ascii="Consolas" w:eastAsia="Times New Roman" w:hAnsi="Consolas" w:cs="Times New Roman"/>
      <w:sz w:val="21"/>
      <w:szCs w:val="21"/>
    </w:rPr>
  </w:style>
  <w:style w:type="character" w:styleId="SmartHyperlink">
    <w:name w:val="Smart Hyperlink"/>
    <w:basedOn w:val="DefaultParagraphFont"/>
    <w:semiHidden/>
    <w:unhideWhenUsed/>
    <w:rsid w:val="00AF7C67"/>
    <w:rPr>
      <w:u w:val="dotted"/>
    </w:rPr>
  </w:style>
  <w:style w:type="character" w:styleId="SmartLink">
    <w:name w:val="Smart Link"/>
    <w:basedOn w:val="DefaultParagraphFont"/>
    <w:semiHidden/>
    <w:unhideWhenUsed/>
    <w:rsid w:val="00AF7C67"/>
    <w:rPr>
      <w:color w:val="0000FF"/>
      <w:u w:val="single"/>
      <w:shd w:val="clear" w:color="auto" w:fill="F3F2F1"/>
    </w:rPr>
  </w:style>
  <w:style w:type="paragraph" w:styleId="Subtitle">
    <w:name w:val="Subtitle"/>
    <w:basedOn w:val="Normal"/>
    <w:next w:val="Normal"/>
    <w:link w:val="SubtitleChar"/>
    <w:qFormat/>
    <w:rsid w:val="00AF7C6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AF7C67"/>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AF7C67"/>
    <w:rPr>
      <w:i/>
      <w:iCs/>
      <w:color w:val="404040" w:themeColor="text1" w:themeTint="BF"/>
    </w:rPr>
  </w:style>
  <w:style w:type="character" w:styleId="SubtleReference">
    <w:name w:val="Subtle Reference"/>
    <w:basedOn w:val="DefaultParagraphFont"/>
    <w:semiHidden/>
    <w:qFormat/>
    <w:rsid w:val="00AF7C67"/>
    <w:rPr>
      <w:smallCaps/>
      <w:color w:val="5A5A5A" w:themeColor="text1" w:themeTint="A5"/>
    </w:rPr>
  </w:style>
  <w:style w:type="paragraph" w:styleId="TableofAuthorities">
    <w:name w:val="table of authorities"/>
    <w:basedOn w:val="Normal"/>
    <w:next w:val="Normal"/>
    <w:semiHidden/>
    <w:unhideWhenUsed/>
    <w:rsid w:val="00AF7C67"/>
    <w:pPr>
      <w:spacing w:after="0"/>
      <w:ind w:left="240" w:hanging="240"/>
    </w:pPr>
  </w:style>
  <w:style w:type="paragraph" w:styleId="TOAHeading">
    <w:name w:val="toa heading"/>
    <w:basedOn w:val="Normal"/>
    <w:next w:val="Normal"/>
    <w:semiHidden/>
    <w:unhideWhenUsed/>
    <w:rsid w:val="00AF7C67"/>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AF7C67"/>
    <w:pPr>
      <w:spacing w:after="100"/>
      <w:ind w:left="1200"/>
    </w:pPr>
  </w:style>
  <w:style w:type="paragraph" w:styleId="TOC7">
    <w:name w:val="toc 7"/>
    <w:basedOn w:val="Normal"/>
    <w:next w:val="Normal"/>
    <w:autoRedefine/>
    <w:semiHidden/>
    <w:unhideWhenUsed/>
    <w:rsid w:val="00AF7C67"/>
    <w:pPr>
      <w:spacing w:after="100"/>
      <w:ind w:left="1440"/>
    </w:pPr>
  </w:style>
  <w:style w:type="paragraph" w:styleId="TOC9">
    <w:name w:val="toc 9"/>
    <w:basedOn w:val="Normal"/>
    <w:next w:val="Normal"/>
    <w:autoRedefine/>
    <w:semiHidden/>
    <w:unhideWhenUsed/>
    <w:rsid w:val="00AF7C67"/>
    <w:pPr>
      <w:spacing w:after="100"/>
      <w:ind w:left="1920"/>
    </w:pPr>
  </w:style>
  <w:style w:type="table" w:customStyle="1" w:styleId="MathUBaseTable">
    <w:name w:val="MathU Base Table"/>
    <w:basedOn w:val="TableNormal"/>
    <w:uiPriority w:val="99"/>
    <w:rsid w:val="00485FDD"/>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3Char">
    <w:name w:val="H3 Char"/>
    <w:basedOn w:val="Heading3Char"/>
    <w:link w:val="H3"/>
    <w:rsid w:val="00485FDD"/>
    <w:rPr>
      <w:rFonts w:asciiTheme="minorHAnsi" w:eastAsia="Times New Roman" w:hAnsiTheme="minorHAnsi" w:cs="Times New Roman"/>
      <w:b/>
      <w:szCs w:val="20"/>
    </w:rPr>
  </w:style>
  <w:style w:type="character" w:customStyle="1" w:styleId="ParagraphChar">
    <w:name w:val="Paragraph Char"/>
    <w:basedOn w:val="DefaultParagraphFont"/>
    <w:link w:val="Paragraph"/>
    <w:rsid w:val="00485FDD"/>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0492">
      <w:bodyDiv w:val="1"/>
      <w:marLeft w:val="0"/>
      <w:marRight w:val="0"/>
      <w:marTop w:val="0"/>
      <w:marBottom w:val="0"/>
      <w:divBdr>
        <w:top w:val="none" w:sz="0" w:space="0" w:color="auto"/>
        <w:left w:val="none" w:sz="0" w:space="0" w:color="auto"/>
        <w:bottom w:val="none" w:sz="0" w:space="0" w:color="auto"/>
        <w:right w:val="none" w:sz="0" w:space="0" w:color="auto"/>
      </w:divBdr>
    </w:div>
    <w:div w:id="143619104">
      <w:bodyDiv w:val="1"/>
      <w:marLeft w:val="0"/>
      <w:marRight w:val="0"/>
      <w:marTop w:val="0"/>
      <w:marBottom w:val="0"/>
      <w:divBdr>
        <w:top w:val="none" w:sz="0" w:space="0" w:color="auto"/>
        <w:left w:val="none" w:sz="0" w:space="0" w:color="auto"/>
        <w:bottom w:val="none" w:sz="0" w:space="0" w:color="auto"/>
        <w:right w:val="none" w:sz="0" w:space="0" w:color="auto"/>
      </w:divBdr>
    </w:div>
    <w:div w:id="154031469">
      <w:bodyDiv w:val="1"/>
      <w:marLeft w:val="0"/>
      <w:marRight w:val="0"/>
      <w:marTop w:val="0"/>
      <w:marBottom w:val="0"/>
      <w:divBdr>
        <w:top w:val="none" w:sz="0" w:space="0" w:color="auto"/>
        <w:left w:val="none" w:sz="0" w:space="0" w:color="auto"/>
        <w:bottom w:val="none" w:sz="0" w:space="0" w:color="auto"/>
        <w:right w:val="none" w:sz="0" w:space="0" w:color="auto"/>
      </w:divBdr>
      <w:divsChild>
        <w:div w:id="812597413">
          <w:marLeft w:val="0"/>
          <w:marRight w:val="0"/>
          <w:marTop w:val="0"/>
          <w:marBottom w:val="0"/>
          <w:divBdr>
            <w:top w:val="none" w:sz="0" w:space="0" w:color="auto"/>
            <w:left w:val="none" w:sz="0" w:space="0" w:color="auto"/>
            <w:bottom w:val="none" w:sz="0" w:space="0" w:color="auto"/>
            <w:right w:val="none" w:sz="0" w:space="0" w:color="auto"/>
          </w:divBdr>
          <w:divsChild>
            <w:div w:id="2085103937">
              <w:marLeft w:val="0"/>
              <w:marRight w:val="0"/>
              <w:marTop w:val="0"/>
              <w:marBottom w:val="0"/>
              <w:divBdr>
                <w:top w:val="none" w:sz="0" w:space="0" w:color="auto"/>
                <w:left w:val="none" w:sz="0" w:space="0" w:color="auto"/>
                <w:bottom w:val="none" w:sz="0" w:space="0" w:color="auto"/>
                <w:right w:val="none" w:sz="0" w:space="0" w:color="auto"/>
              </w:divBdr>
              <w:divsChild>
                <w:div w:id="1242914172">
                  <w:marLeft w:val="0"/>
                  <w:marRight w:val="0"/>
                  <w:marTop w:val="0"/>
                  <w:marBottom w:val="0"/>
                  <w:divBdr>
                    <w:top w:val="none" w:sz="0" w:space="0" w:color="auto"/>
                    <w:left w:val="none" w:sz="0" w:space="0" w:color="auto"/>
                    <w:bottom w:val="none" w:sz="0" w:space="0" w:color="auto"/>
                    <w:right w:val="none" w:sz="0" w:space="0" w:color="auto"/>
                  </w:divBdr>
                  <w:divsChild>
                    <w:div w:id="926111001">
                      <w:marLeft w:val="-225"/>
                      <w:marRight w:val="-225"/>
                      <w:marTop w:val="0"/>
                      <w:marBottom w:val="0"/>
                      <w:divBdr>
                        <w:top w:val="none" w:sz="0" w:space="0" w:color="auto"/>
                        <w:left w:val="none" w:sz="0" w:space="0" w:color="auto"/>
                        <w:bottom w:val="none" w:sz="0" w:space="0" w:color="auto"/>
                        <w:right w:val="none" w:sz="0" w:space="0" w:color="auto"/>
                      </w:divBdr>
                      <w:divsChild>
                        <w:div w:id="1801604186">
                          <w:marLeft w:val="0"/>
                          <w:marRight w:val="0"/>
                          <w:marTop w:val="0"/>
                          <w:marBottom w:val="0"/>
                          <w:divBdr>
                            <w:top w:val="none" w:sz="0" w:space="0" w:color="auto"/>
                            <w:left w:val="none" w:sz="0" w:space="0" w:color="auto"/>
                            <w:bottom w:val="none" w:sz="0" w:space="0" w:color="auto"/>
                            <w:right w:val="none" w:sz="0" w:space="0" w:color="auto"/>
                          </w:divBdr>
                          <w:divsChild>
                            <w:div w:id="789317929">
                              <w:marLeft w:val="0"/>
                              <w:marRight w:val="0"/>
                              <w:marTop w:val="0"/>
                              <w:marBottom w:val="0"/>
                              <w:divBdr>
                                <w:top w:val="none" w:sz="0" w:space="0" w:color="auto"/>
                                <w:left w:val="none" w:sz="0" w:space="0" w:color="auto"/>
                                <w:bottom w:val="none" w:sz="0" w:space="0" w:color="auto"/>
                                <w:right w:val="none" w:sz="0" w:space="0" w:color="auto"/>
                              </w:divBdr>
                              <w:divsChild>
                                <w:div w:id="152533816">
                                  <w:marLeft w:val="-225"/>
                                  <w:marRight w:val="-225"/>
                                  <w:marTop w:val="0"/>
                                  <w:marBottom w:val="0"/>
                                  <w:divBdr>
                                    <w:top w:val="none" w:sz="0" w:space="0" w:color="auto"/>
                                    <w:left w:val="none" w:sz="0" w:space="0" w:color="auto"/>
                                    <w:bottom w:val="none" w:sz="0" w:space="0" w:color="auto"/>
                                    <w:right w:val="none" w:sz="0" w:space="0" w:color="auto"/>
                                  </w:divBdr>
                                  <w:divsChild>
                                    <w:div w:id="1252815039">
                                      <w:marLeft w:val="0"/>
                                      <w:marRight w:val="0"/>
                                      <w:marTop w:val="0"/>
                                      <w:marBottom w:val="750"/>
                                      <w:divBdr>
                                        <w:top w:val="none" w:sz="0" w:space="0" w:color="auto"/>
                                        <w:left w:val="none" w:sz="0" w:space="0" w:color="auto"/>
                                        <w:bottom w:val="none" w:sz="0" w:space="0" w:color="auto"/>
                                        <w:right w:val="none" w:sz="0" w:space="0" w:color="auto"/>
                                      </w:divBdr>
                                      <w:divsChild>
                                        <w:div w:id="883442825">
                                          <w:marLeft w:val="0"/>
                                          <w:marRight w:val="0"/>
                                          <w:marTop w:val="0"/>
                                          <w:marBottom w:val="0"/>
                                          <w:divBdr>
                                            <w:top w:val="none" w:sz="0" w:space="0" w:color="auto"/>
                                            <w:left w:val="none" w:sz="0" w:space="0" w:color="auto"/>
                                            <w:bottom w:val="none" w:sz="0" w:space="0" w:color="auto"/>
                                            <w:right w:val="none" w:sz="0" w:space="0" w:color="auto"/>
                                          </w:divBdr>
                                          <w:divsChild>
                                            <w:div w:id="5525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227276">
      <w:bodyDiv w:val="1"/>
      <w:marLeft w:val="0"/>
      <w:marRight w:val="0"/>
      <w:marTop w:val="0"/>
      <w:marBottom w:val="0"/>
      <w:divBdr>
        <w:top w:val="none" w:sz="0" w:space="0" w:color="auto"/>
        <w:left w:val="none" w:sz="0" w:space="0" w:color="auto"/>
        <w:bottom w:val="none" w:sz="0" w:space="0" w:color="auto"/>
        <w:right w:val="none" w:sz="0" w:space="0" w:color="auto"/>
      </w:divBdr>
    </w:div>
    <w:div w:id="260262585">
      <w:bodyDiv w:val="1"/>
      <w:marLeft w:val="0"/>
      <w:marRight w:val="0"/>
      <w:marTop w:val="0"/>
      <w:marBottom w:val="0"/>
      <w:divBdr>
        <w:top w:val="none" w:sz="0" w:space="0" w:color="auto"/>
        <w:left w:val="none" w:sz="0" w:space="0" w:color="auto"/>
        <w:bottom w:val="none" w:sz="0" w:space="0" w:color="auto"/>
        <w:right w:val="none" w:sz="0" w:space="0" w:color="auto"/>
      </w:divBdr>
    </w:div>
    <w:div w:id="396318438">
      <w:bodyDiv w:val="1"/>
      <w:marLeft w:val="0"/>
      <w:marRight w:val="0"/>
      <w:marTop w:val="0"/>
      <w:marBottom w:val="0"/>
      <w:divBdr>
        <w:top w:val="none" w:sz="0" w:space="0" w:color="auto"/>
        <w:left w:val="none" w:sz="0" w:space="0" w:color="auto"/>
        <w:bottom w:val="none" w:sz="0" w:space="0" w:color="auto"/>
        <w:right w:val="none" w:sz="0" w:space="0" w:color="auto"/>
      </w:divBdr>
    </w:div>
    <w:div w:id="4523588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6868063">
      <w:bodyDiv w:val="1"/>
      <w:marLeft w:val="0"/>
      <w:marRight w:val="0"/>
      <w:marTop w:val="0"/>
      <w:marBottom w:val="0"/>
      <w:divBdr>
        <w:top w:val="none" w:sz="0" w:space="0" w:color="auto"/>
        <w:left w:val="none" w:sz="0" w:space="0" w:color="auto"/>
        <w:bottom w:val="none" w:sz="0" w:space="0" w:color="auto"/>
        <w:right w:val="none" w:sz="0" w:space="0" w:color="auto"/>
      </w:divBdr>
    </w:div>
    <w:div w:id="663514062">
      <w:bodyDiv w:val="1"/>
      <w:marLeft w:val="0"/>
      <w:marRight w:val="0"/>
      <w:marTop w:val="0"/>
      <w:marBottom w:val="0"/>
      <w:divBdr>
        <w:top w:val="none" w:sz="0" w:space="0" w:color="auto"/>
        <w:left w:val="none" w:sz="0" w:space="0" w:color="auto"/>
        <w:bottom w:val="none" w:sz="0" w:space="0" w:color="auto"/>
        <w:right w:val="none" w:sz="0" w:space="0" w:color="auto"/>
      </w:divBdr>
      <w:divsChild>
        <w:div w:id="837617762">
          <w:marLeft w:val="446"/>
          <w:marRight w:val="0"/>
          <w:marTop w:val="86"/>
          <w:marBottom w:val="0"/>
          <w:divBdr>
            <w:top w:val="none" w:sz="0" w:space="0" w:color="auto"/>
            <w:left w:val="none" w:sz="0" w:space="0" w:color="auto"/>
            <w:bottom w:val="none" w:sz="0" w:space="0" w:color="auto"/>
            <w:right w:val="none" w:sz="0" w:space="0" w:color="auto"/>
          </w:divBdr>
        </w:div>
      </w:divsChild>
    </w:div>
    <w:div w:id="726221163">
      <w:bodyDiv w:val="1"/>
      <w:marLeft w:val="0"/>
      <w:marRight w:val="0"/>
      <w:marTop w:val="0"/>
      <w:marBottom w:val="0"/>
      <w:divBdr>
        <w:top w:val="none" w:sz="0" w:space="0" w:color="auto"/>
        <w:left w:val="none" w:sz="0" w:space="0" w:color="auto"/>
        <w:bottom w:val="none" w:sz="0" w:space="0" w:color="auto"/>
        <w:right w:val="none" w:sz="0" w:space="0" w:color="auto"/>
      </w:divBdr>
    </w:div>
    <w:div w:id="827399569">
      <w:bodyDiv w:val="1"/>
      <w:marLeft w:val="0"/>
      <w:marRight w:val="0"/>
      <w:marTop w:val="0"/>
      <w:marBottom w:val="0"/>
      <w:divBdr>
        <w:top w:val="none" w:sz="0" w:space="0" w:color="auto"/>
        <w:left w:val="none" w:sz="0" w:space="0" w:color="auto"/>
        <w:bottom w:val="none" w:sz="0" w:space="0" w:color="auto"/>
        <w:right w:val="none" w:sz="0" w:space="0" w:color="auto"/>
      </w:divBdr>
    </w:div>
    <w:div w:id="852497059">
      <w:bodyDiv w:val="1"/>
      <w:marLeft w:val="0"/>
      <w:marRight w:val="0"/>
      <w:marTop w:val="0"/>
      <w:marBottom w:val="0"/>
      <w:divBdr>
        <w:top w:val="none" w:sz="0" w:space="0" w:color="auto"/>
        <w:left w:val="none" w:sz="0" w:space="0" w:color="auto"/>
        <w:bottom w:val="none" w:sz="0" w:space="0" w:color="auto"/>
        <w:right w:val="none" w:sz="0" w:space="0" w:color="auto"/>
      </w:divBdr>
    </w:div>
    <w:div w:id="860557321">
      <w:bodyDiv w:val="1"/>
      <w:marLeft w:val="0"/>
      <w:marRight w:val="0"/>
      <w:marTop w:val="0"/>
      <w:marBottom w:val="0"/>
      <w:divBdr>
        <w:top w:val="none" w:sz="0" w:space="0" w:color="auto"/>
        <w:left w:val="none" w:sz="0" w:space="0" w:color="auto"/>
        <w:bottom w:val="none" w:sz="0" w:space="0" w:color="auto"/>
        <w:right w:val="none" w:sz="0" w:space="0" w:color="auto"/>
      </w:divBdr>
    </w:div>
    <w:div w:id="1014376909">
      <w:bodyDiv w:val="1"/>
      <w:marLeft w:val="0"/>
      <w:marRight w:val="0"/>
      <w:marTop w:val="0"/>
      <w:marBottom w:val="0"/>
      <w:divBdr>
        <w:top w:val="none" w:sz="0" w:space="0" w:color="auto"/>
        <w:left w:val="none" w:sz="0" w:space="0" w:color="auto"/>
        <w:bottom w:val="none" w:sz="0" w:space="0" w:color="auto"/>
        <w:right w:val="none" w:sz="0" w:space="0" w:color="auto"/>
      </w:divBdr>
    </w:div>
    <w:div w:id="1088111031">
      <w:bodyDiv w:val="1"/>
      <w:marLeft w:val="0"/>
      <w:marRight w:val="0"/>
      <w:marTop w:val="0"/>
      <w:marBottom w:val="0"/>
      <w:divBdr>
        <w:top w:val="none" w:sz="0" w:space="0" w:color="auto"/>
        <w:left w:val="none" w:sz="0" w:space="0" w:color="auto"/>
        <w:bottom w:val="none" w:sz="0" w:space="0" w:color="auto"/>
        <w:right w:val="none" w:sz="0" w:space="0" w:color="auto"/>
      </w:divBdr>
    </w:div>
    <w:div w:id="1089886895">
      <w:bodyDiv w:val="1"/>
      <w:marLeft w:val="0"/>
      <w:marRight w:val="0"/>
      <w:marTop w:val="0"/>
      <w:marBottom w:val="0"/>
      <w:divBdr>
        <w:top w:val="none" w:sz="0" w:space="0" w:color="auto"/>
        <w:left w:val="none" w:sz="0" w:space="0" w:color="auto"/>
        <w:bottom w:val="none" w:sz="0" w:space="0" w:color="auto"/>
        <w:right w:val="none" w:sz="0" w:space="0" w:color="auto"/>
      </w:divBdr>
    </w:div>
    <w:div w:id="1113482382">
      <w:bodyDiv w:val="1"/>
      <w:marLeft w:val="0"/>
      <w:marRight w:val="0"/>
      <w:marTop w:val="0"/>
      <w:marBottom w:val="0"/>
      <w:divBdr>
        <w:top w:val="none" w:sz="0" w:space="0" w:color="auto"/>
        <w:left w:val="none" w:sz="0" w:space="0" w:color="auto"/>
        <w:bottom w:val="none" w:sz="0" w:space="0" w:color="auto"/>
        <w:right w:val="none" w:sz="0" w:space="0" w:color="auto"/>
      </w:divBdr>
    </w:div>
    <w:div w:id="1314719548">
      <w:bodyDiv w:val="1"/>
      <w:marLeft w:val="0"/>
      <w:marRight w:val="0"/>
      <w:marTop w:val="0"/>
      <w:marBottom w:val="0"/>
      <w:divBdr>
        <w:top w:val="none" w:sz="0" w:space="0" w:color="auto"/>
        <w:left w:val="none" w:sz="0" w:space="0" w:color="auto"/>
        <w:bottom w:val="none" w:sz="0" w:space="0" w:color="auto"/>
        <w:right w:val="none" w:sz="0" w:space="0" w:color="auto"/>
      </w:divBdr>
    </w:div>
    <w:div w:id="1323896534">
      <w:bodyDiv w:val="1"/>
      <w:marLeft w:val="0"/>
      <w:marRight w:val="0"/>
      <w:marTop w:val="0"/>
      <w:marBottom w:val="0"/>
      <w:divBdr>
        <w:top w:val="none" w:sz="0" w:space="0" w:color="auto"/>
        <w:left w:val="none" w:sz="0" w:space="0" w:color="auto"/>
        <w:bottom w:val="none" w:sz="0" w:space="0" w:color="auto"/>
        <w:right w:val="none" w:sz="0" w:space="0" w:color="auto"/>
      </w:divBdr>
    </w:div>
    <w:div w:id="1434088936">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7250260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52069846">
      <w:bodyDiv w:val="1"/>
      <w:marLeft w:val="0"/>
      <w:marRight w:val="0"/>
      <w:marTop w:val="0"/>
      <w:marBottom w:val="0"/>
      <w:divBdr>
        <w:top w:val="none" w:sz="0" w:space="0" w:color="auto"/>
        <w:left w:val="none" w:sz="0" w:space="0" w:color="auto"/>
        <w:bottom w:val="none" w:sz="0" w:space="0" w:color="auto"/>
        <w:right w:val="none" w:sz="0" w:space="0" w:color="auto"/>
      </w:divBdr>
    </w:div>
    <w:div w:id="21347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oleObject" Target="embeddings/oleObject6.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www.skainfo.com/databases/physician-data" TargetMode="External"/><Relationship Id="rId20" Type="http://schemas.openxmlformats.org/officeDocument/2006/relationships/image" Target="media/image1.png"/><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oleObject" Target="embeddings/oleObject3.bin"/><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oleObject" Target="embeddings/oleObject7.bin"/><Relationship Id="rId8" Type="http://schemas.openxmlformats.org/officeDocument/2006/relationships/settings" Target="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f2c01103356363eb0526d32075bd224">
  <xsd:schema xmlns:xsd="http://www.w3.org/2001/XMLSchema" xmlns:xs="http://www.w3.org/2001/XMLSchema" xmlns:p="http://schemas.microsoft.com/office/2006/metadata/properties" xmlns:ns3="c87c70f9-ce00-4b4f-8430-823df24ad0b9" targetNamespace="http://schemas.microsoft.com/office/2006/metadata/properties" ma:root="true" ma:fieldsID="de414d7c3d620352668dccad9800ae30"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423f1605-f2d1-4ea3-8765-8e4fd699decc">9</Category>
    <Subcategory xmlns="423f1605-f2d1-4ea3-8765-8e4fd699decc" xsi:nil="true"/>
    <Meeting_x0020_Type xmlns="423f1605-f2d1-4ea3-8765-8e4fd699decc" xsi:nil="true"/>
  </documentManagement>
</p:properties>
</file>

<file path=customXml/itemProps1.xml><?xml version="1.0" encoding="utf-8"?>
<ds:datastoreItem xmlns:ds="http://schemas.openxmlformats.org/officeDocument/2006/customXml" ds:itemID="{DD9E3255-A4E2-4B8A-B9D0-4D33357ACF9A}">
  <ds:schemaRefs>
    <ds:schemaRef ds:uri="http://schemas.openxmlformats.org/officeDocument/2006/bibliography"/>
  </ds:schemaRefs>
</ds:datastoreItem>
</file>

<file path=customXml/itemProps2.xml><?xml version="1.0" encoding="utf-8"?>
<ds:datastoreItem xmlns:ds="http://schemas.openxmlformats.org/officeDocument/2006/customXml" ds:itemID="{C90A08AA-9310-4AC0-ACD8-AD013C2B8D79}">
  <ds:schemaRefs>
    <ds:schemaRef ds:uri="http://schemas.microsoft.com/sharepoint/v3/contenttype/forms"/>
  </ds:schemaRefs>
</ds:datastoreItem>
</file>

<file path=customXml/itemProps3.xml><?xml version="1.0" encoding="utf-8"?>
<ds:datastoreItem xmlns:ds="http://schemas.openxmlformats.org/officeDocument/2006/customXml" ds:itemID="{C816CB6A-A83E-464D-B029-FB31FE9910B7}">
  <ds:schemaRefs>
    <ds:schemaRef ds:uri="Microsoft.SharePoint.Taxonomy.ContentTypeSync"/>
  </ds:schemaRefs>
</ds:datastoreItem>
</file>

<file path=customXml/itemProps4.xml><?xml version="1.0" encoding="utf-8"?>
<ds:datastoreItem xmlns:ds="http://schemas.openxmlformats.org/officeDocument/2006/customXml" ds:itemID="{09B6F0CA-E04D-4E64-965C-3CA42CB7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7AEA59-68E2-4B37-9670-156E7E1660FF}">
  <ds:schemaRefs>
    <ds:schemaRef ds:uri="http://schemas.microsoft.com/office/2006/metadata/properties"/>
    <ds:schemaRef ds:uri="http://schemas.microsoft.com/office/infopath/2007/PartnerControls"/>
    <ds:schemaRef ds:uri="423f1605-f2d1-4ea3-8765-8e4fd699decc"/>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25</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Jelena Zurovac</dc:creator>
  <cp:lastModifiedBy>Jelena Zurovac</cp:lastModifiedBy>
  <cp:revision>2</cp:revision>
  <cp:lastPrinted>2019-04-11T17:18:00Z</cp:lastPrinted>
  <dcterms:created xsi:type="dcterms:W3CDTF">2022-03-03T03:02:00Z</dcterms:created>
  <dcterms:modified xsi:type="dcterms:W3CDTF">2022-03-03T03:02:00Z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0x010100EE48D6E17E1AA34E817A7B82513B75A6</vt:lpwstr>
  </property>
  <property fmtid="{D5CDD505-2E9C-101B-9397-08002B2CF9AE}" pid="3" name="_NewReviewCycle">
    <vt:lpwstr/>
  </property>
</Properties>
</file>