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C9" w:rsidRPr="00F14182" w:rsidRDefault="00AA47C9" w:rsidP="00AA47C9">
      <w:pPr>
        <w:spacing w:after="0" w:line="240" w:lineRule="auto"/>
        <w:contextualSpacing/>
        <w:rPr>
          <w:rFonts w:ascii="Arial" w:eastAsia="ScalaLancetPro" w:hAnsi="Arial" w:cs="Arial"/>
        </w:rPr>
      </w:pPr>
      <w:proofErr w:type="gramStart"/>
      <w:r>
        <w:rPr>
          <w:rFonts w:ascii="Arial" w:hAnsi="Arial" w:cs="Arial"/>
          <w:b/>
        </w:rPr>
        <w:t>Supplementary Table 3</w:t>
      </w:r>
      <w:r w:rsidRPr="00F14182">
        <w:rPr>
          <w:rFonts w:ascii="Arial" w:hAnsi="Arial" w:cs="Arial"/>
          <w:b/>
        </w:rPr>
        <w:t>.</w:t>
      </w:r>
      <w:proofErr w:type="gramEnd"/>
      <w:r w:rsidRPr="00F14182">
        <w:rPr>
          <w:rFonts w:ascii="Arial" w:hAnsi="Arial" w:cs="Arial"/>
          <w:b/>
        </w:rPr>
        <w:t xml:space="preserve"> Baseline Characteristics of Knowledge Panel (KP) Respondents Compared to National Survey of Drug Abuse and Health (NSDUH) Respondents (US Adults 18 Years and Older)</w:t>
      </w:r>
    </w:p>
    <w:tbl>
      <w:tblPr>
        <w:tblStyle w:val="TableGrid"/>
        <w:tblpPr w:leftFromText="180" w:rightFromText="180" w:vertAnchor="text" w:horzAnchor="margin" w:tblpXSpec="center" w:tblpY="339"/>
        <w:tblW w:w="5000" w:type="pct"/>
        <w:tblLook w:val="04A0" w:firstRow="1" w:lastRow="0" w:firstColumn="1" w:lastColumn="0" w:noHBand="0" w:noVBand="1"/>
      </w:tblPr>
      <w:tblGrid>
        <w:gridCol w:w="2856"/>
        <w:gridCol w:w="3155"/>
        <w:gridCol w:w="2650"/>
        <w:gridCol w:w="2355"/>
      </w:tblGrid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</w:rPr>
            </w:pPr>
            <w:r w:rsidRPr="00F14182">
              <w:rPr>
                <w:rFonts w:ascii="Arial" w:hAnsi="Arial" w:cs="Arial"/>
              </w:rPr>
              <w:t> 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 xml:space="preserve">KP 2017 </w:t>
            </w:r>
          </w:p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Weighted data</w:t>
            </w:r>
          </w:p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N = 9003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 xml:space="preserve">NSDUH 2015 </w:t>
            </w:r>
          </w:p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Weighted data</w:t>
            </w:r>
          </w:p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N = 43,561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32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03" w:type="pct"/>
            <w:noWrap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F14182"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</w:pPr>
            <w:r w:rsidRPr="00F14182">
              <w:rPr>
                <w:rFonts w:ascii="Arial" w:eastAsia="Times New Roman" w:hAnsi="Arial" w:cs="Arial"/>
                <w:b/>
                <w:bCs/>
                <w:color w:val="222222"/>
                <w:lang w:bidi="he-IL"/>
              </w:rPr>
              <w:t>N (%)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 xml:space="preserve">Age </w:t>
            </w:r>
            <w:r w:rsidRPr="00F14182">
              <w:rPr>
                <w:rFonts w:ascii="Arial" w:hAnsi="Arial" w:cs="Arial"/>
                <w:bCs/>
                <w:color w:val="000000" w:themeColor="text1"/>
              </w:rPr>
              <w:t>(years)</w:t>
            </w: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18-34</w:t>
            </w:r>
          </w:p>
        </w:tc>
        <w:tc>
          <w:tcPr>
            <w:tcW w:w="1203" w:type="pct"/>
            <w:noWrap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2543 (29%)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23,637 (30%)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35-49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2172 (24%)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11,164 (25%)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50-64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2466 (27%)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5,157 (26%)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65+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1822 (20%)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3,598 (19%)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Gender</w:t>
            </w: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4325 (48%)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19,828 (48%)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4678 (52%)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23,733 (52%)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Race</w:t>
            </w: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White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5772 (64%)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26,025 (65%)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Black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1067 (12%)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5,502 (12%)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Hispanic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1430 (16%)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7,648 (15%)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734 (8%)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4,386 (8%)</w:t>
            </w:r>
          </w:p>
        </w:tc>
      </w:tr>
      <w:tr w:rsidR="00AA47C9" w:rsidRPr="00F14182" w:rsidTr="00DD1803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Education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High school or less</w:t>
            </w:r>
          </w:p>
        </w:tc>
        <w:tc>
          <w:tcPr>
            <w:tcW w:w="1203" w:type="pct"/>
            <w:noWrap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3573 (39%)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18,081 (40%)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Some college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2579 (29%)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14,504 (30%)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Bachelor’s degree or higher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2850 (32%)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10,976 (30%)</w:t>
            </w:r>
          </w:p>
        </w:tc>
      </w:tr>
      <w:tr w:rsidR="00AA47C9" w:rsidRPr="00F14182" w:rsidTr="00DD1803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Employment Status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Working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5579 (62%)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29,183 (62%)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Not Working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3424 (38%)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14,378 (38%)</w:t>
            </w:r>
          </w:p>
        </w:tc>
      </w:tr>
      <w:tr w:rsidR="00AA47C9" w:rsidRPr="00F14182" w:rsidTr="00DD1803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Mean Household size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3</w:t>
            </w:r>
            <w:r w:rsidRPr="00F14182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</w:p>
        </w:tc>
      </w:tr>
      <w:tr w:rsidR="00AA47C9" w:rsidRPr="00F14182" w:rsidTr="00DD1803">
        <w:trPr>
          <w:trHeight w:val="300"/>
        </w:trPr>
        <w:tc>
          <w:tcPr>
            <w:tcW w:w="2728" w:type="pct"/>
            <w:gridSpan w:val="2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14182">
              <w:rPr>
                <w:rFonts w:ascii="Arial" w:hAnsi="Arial" w:cs="Arial"/>
                <w:b/>
                <w:bCs/>
                <w:color w:val="000000" w:themeColor="text1"/>
              </w:rPr>
              <w:t>Household Income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&lt;$20,000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1074 (12%)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9,703 (18%)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$20,000-49,999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2075 (23%)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14,015 (30%)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$50,000-74,999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1567 (17%)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6,770 (17%)</w:t>
            </w:r>
          </w:p>
        </w:tc>
      </w:tr>
      <w:tr w:rsidR="00AA47C9" w:rsidRPr="00F14182" w:rsidTr="00DD1803">
        <w:trPr>
          <w:trHeight w:val="300"/>
        </w:trPr>
        <w:tc>
          <w:tcPr>
            <w:tcW w:w="1296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32" w:type="pct"/>
            <w:noWrap/>
            <w:hideMark/>
          </w:tcPr>
          <w:p w:rsidR="00AA47C9" w:rsidRPr="00F14182" w:rsidRDefault="00AA47C9" w:rsidP="00DD1803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$75,000 or greater</w:t>
            </w:r>
          </w:p>
        </w:tc>
        <w:tc>
          <w:tcPr>
            <w:tcW w:w="1203" w:type="pct"/>
            <w:noWrap/>
            <w:hideMark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F14182">
              <w:rPr>
                <w:rFonts w:ascii="Arial" w:hAnsi="Arial" w:cs="Arial"/>
                <w:color w:val="000000" w:themeColor="text1"/>
              </w:rPr>
              <w:t>4287 (48%)</w:t>
            </w:r>
          </w:p>
        </w:tc>
        <w:tc>
          <w:tcPr>
            <w:tcW w:w="1069" w:type="pct"/>
          </w:tcPr>
          <w:p w:rsidR="00AA47C9" w:rsidRPr="00F14182" w:rsidRDefault="00AA47C9" w:rsidP="00DD1803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eastAsia="Times New Roman" w:hAnsi="Arial" w:cs="Arial"/>
                <w:color w:val="000000" w:themeColor="text1"/>
                <w:lang w:bidi="he-IL"/>
              </w:rPr>
              <w:t>13,073 (35%)</w:t>
            </w:r>
          </w:p>
        </w:tc>
      </w:tr>
      <w:tr w:rsidR="00AA47C9" w:rsidRPr="00F14182" w:rsidTr="00DD1803">
        <w:trPr>
          <w:trHeight w:val="300"/>
        </w:trPr>
        <w:tc>
          <w:tcPr>
            <w:tcW w:w="5000" w:type="pct"/>
            <w:gridSpan w:val="4"/>
            <w:noWrap/>
          </w:tcPr>
          <w:p w:rsidR="00AA47C9" w:rsidRPr="00F14182" w:rsidRDefault="00AA47C9" w:rsidP="00DD1803">
            <w:pPr>
              <w:contextualSpacing/>
              <w:rPr>
                <w:rFonts w:ascii="Arial" w:eastAsia="Times New Roman" w:hAnsi="Arial" w:cs="Arial"/>
                <w:color w:val="000000" w:themeColor="text1"/>
                <w:lang w:bidi="he-IL"/>
              </w:rPr>
            </w:pPr>
            <w:r w:rsidRPr="00F14182">
              <w:rPr>
                <w:rFonts w:ascii="Arial" w:hAnsi="Arial" w:cs="Arial"/>
                <w:vertAlign w:val="superscript"/>
              </w:rPr>
              <w:t xml:space="preserve">b </w:t>
            </w:r>
            <w:r w:rsidRPr="00F14182">
              <w:rPr>
                <w:rFonts w:ascii="Arial" w:hAnsi="Arial" w:cs="Arial"/>
              </w:rPr>
              <w:t>mean household size was calculated by considering respondents in the “6 or more category” as a value of 6</w:t>
            </w:r>
          </w:p>
        </w:tc>
      </w:tr>
    </w:tbl>
    <w:p w:rsidR="00AA47C9" w:rsidRPr="00F14182" w:rsidRDefault="00AA47C9" w:rsidP="00AA47C9">
      <w:pPr>
        <w:contextualSpacing/>
        <w:rPr>
          <w:rFonts w:ascii="Arial" w:hAnsi="Arial" w:cs="Arial"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  <w:b/>
        </w:rPr>
      </w:pPr>
    </w:p>
    <w:p w:rsidR="00AA47C9" w:rsidRPr="00542EC2" w:rsidRDefault="00AA47C9" w:rsidP="00542EC2">
      <w:pPr>
        <w:spacing w:after="160" w:line="259" w:lineRule="auto"/>
        <w:rPr>
          <w:rFonts w:ascii="Arial" w:hAnsi="Arial" w:cs="Arial"/>
          <w:b/>
        </w:rPr>
      </w:pPr>
    </w:p>
    <w:p w:rsidR="00AA47C9" w:rsidRDefault="00AA47C9" w:rsidP="00AA47C9">
      <w:pPr>
        <w:contextualSpacing/>
        <w:rPr>
          <w:rFonts w:ascii="Arial" w:hAnsi="Arial" w:cs="Arial"/>
        </w:rPr>
      </w:pPr>
    </w:p>
    <w:p w:rsidR="00AA47C9" w:rsidRDefault="00AA47C9" w:rsidP="00AA47C9">
      <w:pPr>
        <w:contextualSpacing/>
        <w:rPr>
          <w:rFonts w:ascii="Arial" w:hAnsi="Arial" w:cs="Arial"/>
        </w:rPr>
      </w:pPr>
    </w:p>
    <w:p w:rsidR="00AA47C9" w:rsidRDefault="00AA47C9" w:rsidP="00AA47C9">
      <w:pPr>
        <w:contextualSpacing/>
        <w:rPr>
          <w:rFonts w:ascii="Arial" w:hAnsi="Arial" w:cs="Arial"/>
        </w:rPr>
      </w:pPr>
    </w:p>
    <w:p w:rsidR="00AA47C9" w:rsidRDefault="00AA47C9" w:rsidP="00AA47C9">
      <w:bookmarkStart w:id="0" w:name="_GoBack"/>
      <w:bookmarkEnd w:id="0"/>
    </w:p>
    <w:sectPr w:rsidR="00AA47C9" w:rsidSect="00675EC0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Lance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1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D7A" w:rsidRDefault="00542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1D7A" w:rsidRDefault="00542EC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89"/>
    <w:rsid w:val="002A7AEF"/>
    <w:rsid w:val="004E0F89"/>
    <w:rsid w:val="00542EC2"/>
    <w:rsid w:val="008C29B3"/>
    <w:rsid w:val="00A13910"/>
    <w:rsid w:val="00A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47C9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C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7C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47C9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spiuser</dc:creator>
  <cp:keywords/>
  <dc:description/>
  <cp:lastModifiedBy>spiuser</cp:lastModifiedBy>
  <cp:revision>3</cp:revision>
  <dcterms:created xsi:type="dcterms:W3CDTF">2019-10-08T03:20:00Z</dcterms:created>
  <dcterms:modified xsi:type="dcterms:W3CDTF">2019-10-08T03:21:00Z</dcterms:modified>
</cp:coreProperties>
</file>