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2FEF" w14:textId="77777777" w:rsidR="002928C5" w:rsidRDefault="003156F6" w:rsidP="002928C5">
      <w:pPr>
        <w:spacing w:before="0" w:after="0" w:line="480" w:lineRule="auto"/>
        <w:jc w:val="center"/>
        <w:rPr>
          <w:rFonts w:ascii="Times New Roman" w:hAnsi="Times New Roman" w:cs="Times New Roman"/>
          <w:b/>
          <w:bCs/>
        </w:rPr>
      </w:pPr>
      <w:r w:rsidRPr="007D4CB3">
        <w:rPr>
          <w:rFonts w:ascii="Times New Roman" w:hAnsi="Times New Roman" w:cs="Times New Roman"/>
          <w:b/>
          <w:bCs/>
        </w:rPr>
        <w:t>The ASAM/AA</w:t>
      </w:r>
      <w:r w:rsidR="00F078E4" w:rsidRPr="007D4CB3">
        <w:rPr>
          <w:rFonts w:ascii="Times New Roman" w:hAnsi="Times New Roman" w:cs="Times New Roman"/>
          <w:b/>
          <w:bCs/>
        </w:rPr>
        <w:t>AP</w:t>
      </w:r>
      <w:r w:rsidR="007D4CB3">
        <w:rPr>
          <w:rFonts w:ascii="Times New Roman" w:hAnsi="Times New Roman" w:cs="Times New Roman"/>
          <w:b/>
          <w:bCs/>
        </w:rPr>
        <w:t xml:space="preserve"> </w:t>
      </w:r>
      <w:r w:rsidRPr="007D4CB3">
        <w:rPr>
          <w:rFonts w:ascii="Times New Roman" w:hAnsi="Times New Roman" w:cs="Times New Roman"/>
          <w:b/>
          <w:bCs/>
        </w:rPr>
        <w:t xml:space="preserve">Clinical Practice Guideline </w:t>
      </w:r>
    </w:p>
    <w:p w14:paraId="500ED881" w14:textId="42EB0AA5" w:rsidR="003156F6" w:rsidRPr="007D4CB3" w:rsidRDefault="003156F6" w:rsidP="002928C5">
      <w:pPr>
        <w:spacing w:before="0" w:after="0" w:line="480" w:lineRule="auto"/>
        <w:jc w:val="center"/>
        <w:rPr>
          <w:rFonts w:ascii="Times New Roman" w:hAnsi="Times New Roman" w:cs="Times New Roman"/>
          <w:b/>
          <w:bCs/>
        </w:rPr>
      </w:pPr>
      <w:r w:rsidRPr="007D4CB3">
        <w:rPr>
          <w:rFonts w:ascii="Times New Roman" w:hAnsi="Times New Roman" w:cs="Times New Roman"/>
          <w:b/>
          <w:bCs/>
        </w:rPr>
        <w:t xml:space="preserve">on </w:t>
      </w:r>
      <w:r w:rsidR="005D0FA3" w:rsidRPr="007D4CB3">
        <w:rPr>
          <w:rFonts w:ascii="Times New Roman" w:hAnsi="Times New Roman" w:cs="Times New Roman"/>
          <w:b/>
          <w:bCs/>
        </w:rPr>
        <w:t>the</w:t>
      </w:r>
      <w:r w:rsidR="007D4CB3">
        <w:rPr>
          <w:rFonts w:ascii="Times New Roman" w:hAnsi="Times New Roman" w:cs="Times New Roman"/>
          <w:b/>
          <w:bCs/>
        </w:rPr>
        <w:t xml:space="preserve"> </w:t>
      </w:r>
      <w:r w:rsidRPr="007D4CB3">
        <w:rPr>
          <w:rFonts w:ascii="Times New Roman" w:hAnsi="Times New Roman" w:cs="Times New Roman"/>
          <w:b/>
          <w:bCs/>
        </w:rPr>
        <w:t>Management of Stimulant Use Disorder</w:t>
      </w:r>
    </w:p>
    <w:p w14:paraId="5044FB4F" w14:textId="77777777" w:rsidR="007D4CB3" w:rsidRDefault="007D4CB3" w:rsidP="007D4CB3">
      <w:pPr>
        <w:spacing w:before="0" w:after="0" w:line="480" w:lineRule="auto"/>
        <w:rPr>
          <w:rFonts w:ascii="Times New Roman" w:hAnsi="Times New Roman" w:cs="Times New Roman"/>
          <w:b/>
          <w:bCs/>
        </w:rPr>
      </w:pPr>
    </w:p>
    <w:p w14:paraId="02DD3558" w14:textId="414A08EB" w:rsidR="007D4CB3" w:rsidRDefault="007D4CB3" w:rsidP="007D4CB3">
      <w:pPr>
        <w:spacing w:before="0" w:after="0" w:line="480" w:lineRule="auto"/>
        <w:rPr>
          <w:rFonts w:ascii="Times New Roman" w:hAnsi="Times New Roman" w:cs="Times New Roman"/>
          <w:b/>
          <w:bCs/>
        </w:rPr>
      </w:pPr>
      <w:r w:rsidRPr="007D4CB3">
        <w:rPr>
          <w:rFonts w:ascii="Times New Roman" w:hAnsi="Times New Roman" w:cs="Times New Roman"/>
          <w:b/>
          <w:bCs/>
        </w:rPr>
        <w:t>Appendices</w:t>
      </w:r>
    </w:p>
    <w:p w14:paraId="5E7378A6" w14:textId="77777777" w:rsidR="00FC7CE6" w:rsidRDefault="00FC7CE6" w:rsidP="007D4CB3">
      <w:pPr>
        <w:spacing w:before="0" w:after="0" w:line="480" w:lineRule="auto"/>
        <w:rPr>
          <w:rFonts w:ascii="Times New Roman" w:hAnsi="Times New Roman" w:cs="Times New Roman"/>
          <w:b/>
          <w:bCs/>
        </w:rPr>
      </w:pPr>
    </w:p>
    <w:p w14:paraId="58614C9D" w14:textId="77B623C3" w:rsidR="007D4CB3" w:rsidRPr="007D4CB3" w:rsidRDefault="007D4CB3" w:rsidP="007D4CB3">
      <w:pPr>
        <w:spacing w:before="0" w:after="0" w:line="480" w:lineRule="auto"/>
        <w:rPr>
          <w:rFonts w:ascii="Times New Roman" w:hAnsi="Times New Roman" w:cs="Times New Roman"/>
          <w:b/>
          <w:bCs/>
        </w:rPr>
      </w:pPr>
      <w:r>
        <w:rPr>
          <w:rFonts w:ascii="Times New Roman" w:hAnsi="Times New Roman" w:cs="Times New Roman"/>
          <w:b/>
          <w:bCs/>
        </w:rPr>
        <w:t>Appendix A: Glossary of Terms</w:t>
      </w:r>
    </w:p>
    <w:p w14:paraId="75C66DF5" w14:textId="77777777" w:rsidR="007D4CB3" w:rsidRPr="007D4CB3" w:rsidRDefault="007D4CB3" w:rsidP="007D4CB3">
      <w:pPr>
        <w:pStyle w:val="Heading1"/>
        <w:spacing w:before="0" w:after="0" w:line="480" w:lineRule="auto"/>
        <w:rPr>
          <w:rFonts w:ascii="Times New Roman" w:hAnsi="Times New Roman" w:cs="Times New Roman"/>
          <w:sz w:val="24"/>
          <w:szCs w:val="24"/>
        </w:rPr>
      </w:pPr>
      <w:r w:rsidRPr="007D4CB3">
        <w:rPr>
          <w:rFonts w:ascii="Times New Roman" w:hAnsi="Times New Roman" w:cs="Times New Roman"/>
          <w:sz w:val="24"/>
          <w:szCs w:val="24"/>
        </w:rPr>
        <w:t>Appendix B. Abbreviations and Acronyms</w:t>
      </w:r>
    </w:p>
    <w:p w14:paraId="25202F32" w14:textId="77777777" w:rsidR="007D4CB3" w:rsidRPr="007D4CB3" w:rsidDel="009635B3" w:rsidRDefault="007D4CB3" w:rsidP="007D4CB3">
      <w:pPr>
        <w:pStyle w:val="Heading1"/>
        <w:spacing w:before="0" w:after="0" w:line="480" w:lineRule="auto"/>
        <w:rPr>
          <w:rStyle w:val="Strong"/>
          <w:rFonts w:ascii="Times New Roman" w:hAnsi="Times New Roman" w:cs="Times New Roman"/>
          <w:b/>
          <w:sz w:val="24"/>
          <w:szCs w:val="24"/>
        </w:rPr>
      </w:pPr>
      <w:r w:rsidRPr="007D4CB3" w:rsidDel="009635B3">
        <w:rPr>
          <w:rStyle w:val="Strong"/>
          <w:rFonts w:ascii="Times New Roman" w:hAnsi="Times New Roman" w:cs="Times New Roman"/>
          <w:b/>
          <w:sz w:val="24"/>
          <w:szCs w:val="24"/>
        </w:rPr>
        <w:t xml:space="preserve">Appendix </w:t>
      </w:r>
      <w:r w:rsidRPr="007D4CB3">
        <w:rPr>
          <w:rStyle w:val="Strong"/>
          <w:rFonts w:ascii="Times New Roman" w:hAnsi="Times New Roman" w:cs="Times New Roman"/>
          <w:b/>
          <w:bCs/>
          <w:sz w:val="24"/>
          <w:szCs w:val="24"/>
        </w:rPr>
        <w:t>C</w:t>
      </w:r>
      <w:r w:rsidRPr="007D4CB3" w:rsidDel="009635B3">
        <w:rPr>
          <w:rStyle w:val="Strong"/>
          <w:rFonts w:ascii="Times New Roman" w:hAnsi="Times New Roman" w:cs="Times New Roman"/>
          <w:b/>
          <w:sz w:val="24"/>
          <w:szCs w:val="24"/>
        </w:rPr>
        <w:t xml:space="preserve">. Differential </w:t>
      </w:r>
      <w:r w:rsidRPr="007D4CB3" w:rsidDel="009635B3">
        <w:rPr>
          <w:rStyle w:val="Strong"/>
          <w:rFonts w:ascii="Times New Roman" w:hAnsi="Times New Roman" w:cs="Times New Roman"/>
          <w:b/>
          <w:bCs/>
          <w:sz w:val="24"/>
          <w:szCs w:val="24"/>
        </w:rPr>
        <w:t>Diagnosis</w:t>
      </w:r>
      <w:r w:rsidRPr="007D4CB3" w:rsidDel="009635B3">
        <w:rPr>
          <w:rStyle w:val="Strong"/>
          <w:rFonts w:ascii="Times New Roman" w:hAnsi="Times New Roman" w:cs="Times New Roman"/>
          <w:b/>
          <w:sz w:val="24"/>
          <w:szCs w:val="24"/>
        </w:rPr>
        <w:t xml:space="preserve"> for </w:t>
      </w:r>
      <w:r w:rsidRPr="007D4CB3" w:rsidDel="009635B3">
        <w:rPr>
          <w:rStyle w:val="Strong"/>
          <w:rFonts w:ascii="Times New Roman" w:hAnsi="Times New Roman" w:cs="Times New Roman"/>
          <w:b/>
          <w:bCs/>
          <w:sz w:val="24"/>
          <w:szCs w:val="24"/>
        </w:rPr>
        <w:t>Agitation</w:t>
      </w:r>
      <w:r w:rsidRPr="007D4CB3">
        <w:rPr>
          <w:rStyle w:val="Strong"/>
          <w:rFonts w:ascii="Times New Roman" w:hAnsi="Times New Roman" w:cs="Times New Roman"/>
          <w:b/>
          <w:bCs/>
          <w:sz w:val="24"/>
          <w:szCs w:val="24"/>
        </w:rPr>
        <w:t xml:space="preserve"> and </w:t>
      </w:r>
      <w:r w:rsidRPr="007D4CB3" w:rsidDel="009635B3">
        <w:rPr>
          <w:rStyle w:val="Strong"/>
          <w:rFonts w:ascii="Times New Roman" w:hAnsi="Times New Roman" w:cs="Times New Roman"/>
          <w:b/>
          <w:bCs/>
          <w:sz w:val="24"/>
          <w:szCs w:val="24"/>
        </w:rPr>
        <w:t>Psychosis</w:t>
      </w:r>
    </w:p>
    <w:p w14:paraId="6E1A5252" w14:textId="77777777" w:rsidR="007D4CB3" w:rsidRDefault="007D4CB3" w:rsidP="007D4CB3">
      <w:pPr>
        <w:pStyle w:val="Heading1"/>
        <w:spacing w:before="0" w:after="0" w:line="480" w:lineRule="auto"/>
        <w:rPr>
          <w:rFonts w:ascii="Times New Roman" w:hAnsi="Times New Roman" w:cs="Times New Roman"/>
          <w:sz w:val="24"/>
          <w:szCs w:val="24"/>
        </w:rPr>
      </w:pPr>
      <w:r w:rsidRPr="007D4CB3">
        <w:rPr>
          <w:rFonts w:ascii="Times New Roman" w:hAnsi="Times New Roman" w:cs="Times New Roman"/>
          <w:sz w:val="24"/>
          <w:szCs w:val="24"/>
        </w:rPr>
        <w:t>Appendix D. Disclosures of Interest</w:t>
      </w:r>
    </w:p>
    <w:p w14:paraId="6EEB0374" w14:textId="77777777" w:rsidR="007D4CB3" w:rsidRPr="007D4CB3" w:rsidRDefault="007D4CB3" w:rsidP="007D4CB3">
      <w:pPr>
        <w:pStyle w:val="Heading1"/>
        <w:spacing w:before="0" w:after="0" w:line="480" w:lineRule="auto"/>
        <w:rPr>
          <w:rFonts w:ascii="Times New Roman" w:hAnsi="Times New Roman" w:cs="Times New Roman"/>
          <w:sz w:val="24"/>
          <w:szCs w:val="24"/>
        </w:rPr>
      </w:pPr>
      <w:r w:rsidRPr="007D4CB3">
        <w:rPr>
          <w:rFonts w:ascii="Times New Roman" w:hAnsi="Times New Roman" w:cs="Times New Roman"/>
          <w:sz w:val="24"/>
          <w:szCs w:val="24"/>
        </w:rPr>
        <w:t>Appendix E. Clinical Questions</w:t>
      </w:r>
    </w:p>
    <w:p w14:paraId="4B860110" w14:textId="77777777" w:rsidR="007D4CB3" w:rsidRPr="007D4CB3" w:rsidRDefault="007D4CB3" w:rsidP="007D4CB3">
      <w:pPr>
        <w:pStyle w:val="Heading1"/>
        <w:spacing w:before="0" w:after="0" w:line="480" w:lineRule="auto"/>
        <w:rPr>
          <w:rFonts w:ascii="Times New Roman" w:hAnsi="Times New Roman" w:cs="Times New Roman"/>
          <w:sz w:val="24"/>
          <w:szCs w:val="24"/>
        </w:rPr>
      </w:pPr>
      <w:r w:rsidRPr="007D4CB3">
        <w:rPr>
          <w:rFonts w:ascii="Times New Roman" w:hAnsi="Times New Roman" w:cs="Times New Roman"/>
          <w:sz w:val="24"/>
          <w:szCs w:val="24"/>
        </w:rPr>
        <w:t>Appendix F. Topics with Insufficient or Negative Evidence</w:t>
      </w:r>
    </w:p>
    <w:p w14:paraId="2BA1B3FD" w14:textId="77777777" w:rsidR="007D4CB3" w:rsidRPr="007D4CB3" w:rsidRDefault="007D4CB3" w:rsidP="007D4CB3">
      <w:pPr>
        <w:pStyle w:val="Heading1"/>
        <w:spacing w:before="0" w:after="0" w:line="480" w:lineRule="auto"/>
        <w:rPr>
          <w:rFonts w:ascii="Times New Roman" w:hAnsi="Times New Roman" w:cs="Times New Roman"/>
          <w:sz w:val="24"/>
          <w:szCs w:val="24"/>
        </w:rPr>
      </w:pPr>
      <w:r w:rsidRPr="007D4CB3">
        <w:rPr>
          <w:rFonts w:ascii="Times New Roman" w:hAnsi="Times New Roman" w:cs="Times New Roman"/>
          <w:sz w:val="24"/>
          <w:szCs w:val="24"/>
        </w:rPr>
        <w:t>Appendix G. Additional Resources</w:t>
      </w:r>
    </w:p>
    <w:p w14:paraId="3597BA33" w14:textId="77777777" w:rsidR="007D4CB3" w:rsidRPr="007D4CB3" w:rsidRDefault="007D4CB3" w:rsidP="007D4CB3">
      <w:pPr>
        <w:pStyle w:val="Heading1"/>
        <w:spacing w:before="0" w:after="0" w:line="480" w:lineRule="auto"/>
        <w:rPr>
          <w:rFonts w:ascii="Times New Roman" w:hAnsi="Times New Roman" w:cs="Times New Roman"/>
          <w:sz w:val="24"/>
          <w:szCs w:val="24"/>
        </w:rPr>
      </w:pPr>
      <w:r w:rsidRPr="007D4CB3">
        <w:rPr>
          <w:rFonts w:ascii="Times New Roman" w:hAnsi="Times New Roman" w:cs="Times New Roman"/>
          <w:sz w:val="24"/>
          <w:szCs w:val="24"/>
        </w:rPr>
        <w:t xml:space="preserve">Appendix H. </w:t>
      </w:r>
      <w:r w:rsidRPr="007D4CB3">
        <w:rPr>
          <w:rStyle w:val="Strong"/>
          <w:rFonts w:ascii="Times New Roman" w:hAnsi="Times New Roman" w:cs="Times New Roman"/>
          <w:b/>
          <w:bCs/>
          <w:sz w:val="24"/>
          <w:szCs w:val="24"/>
        </w:rPr>
        <w:t>Substance Use Disorder Biopsychosocial Assessment</w:t>
      </w:r>
    </w:p>
    <w:p w14:paraId="58975022" w14:textId="77777777" w:rsidR="007D4CB3" w:rsidRPr="007D4CB3" w:rsidRDefault="007D4CB3" w:rsidP="007D4CB3">
      <w:pPr>
        <w:pStyle w:val="Heading1"/>
        <w:spacing w:before="0" w:after="0" w:line="480" w:lineRule="auto"/>
        <w:rPr>
          <w:rStyle w:val="Strong"/>
          <w:rFonts w:ascii="Times New Roman" w:hAnsi="Times New Roman" w:cs="Times New Roman"/>
          <w:b/>
          <w:sz w:val="24"/>
          <w:szCs w:val="24"/>
        </w:rPr>
      </w:pPr>
      <w:r w:rsidRPr="007D4CB3">
        <w:rPr>
          <w:rFonts w:ascii="Times New Roman" w:hAnsi="Times New Roman" w:cs="Times New Roman"/>
          <w:sz w:val="24"/>
          <w:szCs w:val="24"/>
        </w:rPr>
        <w:t xml:space="preserve">Appendix I. </w:t>
      </w:r>
      <w:r w:rsidRPr="007D4CB3">
        <w:rPr>
          <w:rStyle w:val="Strong"/>
          <w:rFonts w:ascii="Times New Roman" w:hAnsi="Times New Roman" w:cs="Times New Roman"/>
          <w:b/>
          <w:sz w:val="24"/>
          <w:szCs w:val="24"/>
        </w:rPr>
        <w:t xml:space="preserve">Baseline </w:t>
      </w:r>
      <w:r w:rsidRPr="007D4CB3">
        <w:rPr>
          <w:rStyle w:val="Strong"/>
          <w:rFonts w:ascii="Times New Roman" w:hAnsi="Times New Roman" w:cs="Times New Roman"/>
          <w:b/>
          <w:bCs/>
          <w:sz w:val="24"/>
          <w:szCs w:val="24"/>
        </w:rPr>
        <w:t>Laboratory Testing</w:t>
      </w:r>
    </w:p>
    <w:p w14:paraId="10711752" w14:textId="77777777" w:rsidR="007D4CB3" w:rsidRPr="007D4CB3" w:rsidRDefault="007D4CB3" w:rsidP="007D4CB3">
      <w:pPr>
        <w:pStyle w:val="Heading1"/>
        <w:spacing w:before="0" w:after="0" w:line="480" w:lineRule="auto"/>
        <w:rPr>
          <w:rFonts w:ascii="Times New Roman" w:hAnsi="Times New Roman" w:cs="Times New Roman"/>
          <w:sz w:val="24"/>
          <w:szCs w:val="24"/>
        </w:rPr>
      </w:pPr>
      <w:r w:rsidRPr="007D4CB3">
        <w:rPr>
          <w:rFonts w:ascii="Times New Roman" w:hAnsi="Times New Roman" w:cs="Times New Roman"/>
          <w:sz w:val="24"/>
          <w:szCs w:val="24"/>
        </w:rPr>
        <w:t>Appendix J. Principles of Drug Testing During Withdrawal Management</w:t>
      </w:r>
    </w:p>
    <w:p w14:paraId="6C889D8C" w14:textId="77777777" w:rsidR="007D4CB3" w:rsidRPr="007D4CB3" w:rsidRDefault="007D4CB3" w:rsidP="007D4CB3">
      <w:pPr>
        <w:pStyle w:val="Heading1"/>
        <w:spacing w:before="0" w:after="0" w:line="480" w:lineRule="auto"/>
        <w:rPr>
          <w:rFonts w:ascii="Times New Roman" w:hAnsi="Times New Roman" w:cs="Times New Roman"/>
          <w:sz w:val="24"/>
          <w:szCs w:val="24"/>
        </w:rPr>
      </w:pPr>
      <w:r w:rsidRPr="007D4CB3">
        <w:rPr>
          <w:rFonts w:ascii="Times New Roman" w:hAnsi="Times New Roman" w:cs="Times New Roman"/>
          <w:sz w:val="24"/>
          <w:szCs w:val="24"/>
        </w:rPr>
        <w:t>Appendix K. Medication Dosing in Clinical Trials</w:t>
      </w:r>
    </w:p>
    <w:p w14:paraId="3634DE63" w14:textId="77777777" w:rsidR="007D4CB3" w:rsidRPr="007D4CB3" w:rsidRDefault="007D4CB3" w:rsidP="007D4CB3">
      <w:pPr>
        <w:pStyle w:val="Heading1"/>
        <w:spacing w:before="0" w:after="0" w:line="480" w:lineRule="auto"/>
        <w:rPr>
          <w:rFonts w:ascii="Times New Roman" w:hAnsi="Times New Roman" w:cs="Times New Roman"/>
          <w:sz w:val="24"/>
          <w:szCs w:val="24"/>
        </w:rPr>
      </w:pPr>
      <w:r w:rsidRPr="007D4CB3">
        <w:rPr>
          <w:rFonts w:ascii="Times New Roman" w:hAnsi="Times New Roman" w:cs="Times New Roman"/>
          <w:sz w:val="24"/>
          <w:szCs w:val="24"/>
        </w:rPr>
        <w:t>Appendix L. Acute Issues and Complications of Stimulant Intoxication and Withdrawal</w:t>
      </w:r>
    </w:p>
    <w:p w14:paraId="78218DA0" w14:textId="77777777" w:rsidR="0023226F" w:rsidRPr="007D4CB3" w:rsidRDefault="0023226F" w:rsidP="0023226F">
      <w:pPr>
        <w:pStyle w:val="Heading1"/>
        <w:spacing w:before="0" w:after="0" w:line="480" w:lineRule="auto"/>
        <w:rPr>
          <w:rFonts w:ascii="Times New Roman" w:hAnsi="Times New Roman" w:cs="Times New Roman"/>
          <w:sz w:val="24"/>
          <w:szCs w:val="24"/>
        </w:rPr>
      </w:pPr>
      <w:r w:rsidRPr="007D4CB3">
        <w:rPr>
          <w:rFonts w:ascii="Times New Roman" w:hAnsi="Times New Roman" w:cs="Times New Roman"/>
          <w:sz w:val="24"/>
          <w:szCs w:val="24"/>
        </w:rPr>
        <w:t xml:space="preserve">Appendix M. </w:t>
      </w:r>
      <w:r w:rsidRPr="007D4CB3">
        <w:rPr>
          <w:rStyle w:val="Strong"/>
          <w:rFonts w:ascii="Times New Roman" w:hAnsi="Times New Roman" w:cs="Times New Roman"/>
          <w:b/>
          <w:bCs/>
          <w:sz w:val="24"/>
          <w:szCs w:val="24"/>
        </w:rPr>
        <w:t xml:space="preserve">Non-acute Issues and Complications </w:t>
      </w:r>
      <w:r w:rsidRPr="007D4CB3">
        <w:rPr>
          <w:rFonts w:ascii="Times New Roman" w:hAnsi="Times New Roman" w:cs="Times New Roman"/>
          <w:sz w:val="24"/>
          <w:szCs w:val="24"/>
        </w:rPr>
        <w:t>of Stimulant Use</w:t>
      </w:r>
    </w:p>
    <w:p w14:paraId="409EBD78" w14:textId="77777777" w:rsidR="0023226F" w:rsidRPr="007D4CB3" w:rsidRDefault="0023226F" w:rsidP="0023226F">
      <w:pPr>
        <w:pStyle w:val="Heading1"/>
        <w:spacing w:before="0" w:after="0" w:line="480" w:lineRule="auto"/>
        <w:rPr>
          <w:rFonts w:ascii="Times New Roman" w:hAnsi="Times New Roman" w:cs="Times New Roman"/>
          <w:sz w:val="24"/>
          <w:szCs w:val="24"/>
        </w:rPr>
      </w:pPr>
      <w:r w:rsidRPr="007D4CB3">
        <w:rPr>
          <w:rFonts w:ascii="Times New Roman" w:hAnsi="Times New Roman" w:cs="Times New Roman"/>
          <w:sz w:val="24"/>
          <w:szCs w:val="24"/>
        </w:rPr>
        <w:t>Appendix N. Medications for Managing Intoxication</w:t>
      </w:r>
    </w:p>
    <w:p w14:paraId="53188674" w14:textId="77777777" w:rsidR="007D4CB3" w:rsidRPr="007D4CB3" w:rsidRDefault="007D4CB3" w:rsidP="007D4CB3"/>
    <w:p w14:paraId="440030D1" w14:textId="0169DAAC" w:rsidR="005D0FA3" w:rsidRPr="007D4CB3" w:rsidRDefault="005D0FA3" w:rsidP="007D4CB3">
      <w:pPr>
        <w:spacing w:before="0" w:after="0" w:line="480" w:lineRule="auto"/>
        <w:rPr>
          <w:rFonts w:ascii="Times New Roman" w:hAnsi="Times New Roman" w:cs="Times New Roman"/>
        </w:rPr>
      </w:pPr>
      <w:r w:rsidRPr="007D4CB3">
        <w:rPr>
          <w:rFonts w:ascii="Times New Roman" w:hAnsi="Times New Roman" w:cs="Times New Roman"/>
        </w:rPr>
        <w:br w:type="page"/>
      </w:r>
    </w:p>
    <w:p w14:paraId="53843CDC" w14:textId="3E26AA85" w:rsidR="005D3271" w:rsidRPr="007D4CB3" w:rsidRDefault="005D3271" w:rsidP="00FC7CE6">
      <w:pPr>
        <w:pStyle w:val="Heading1"/>
        <w:spacing w:before="0" w:after="0" w:line="360" w:lineRule="auto"/>
        <w:rPr>
          <w:rFonts w:ascii="Times New Roman" w:hAnsi="Times New Roman" w:cs="Times New Roman"/>
          <w:sz w:val="24"/>
          <w:szCs w:val="24"/>
        </w:rPr>
      </w:pPr>
      <w:bookmarkStart w:id="0" w:name="_Toc144381374"/>
      <w:r w:rsidRPr="007D4CB3">
        <w:rPr>
          <w:rFonts w:ascii="Times New Roman" w:hAnsi="Times New Roman" w:cs="Times New Roman"/>
          <w:sz w:val="24"/>
          <w:szCs w:val="24"/>
        </w:rPr>
        <w:lastRenderedPageBreak/>
        <w:t>Appendix A. Glossary of Terms</w:t>
      </w:r>
      <w:bookmarkEnd w:id="0"/>
    </w:p>
    <w:p w14:paraId="131FB60A" w14:textId="77777777" w:rsidR="005D3271" w:rsidRPr="007D4CB3" w:rsidRDefault="005D3271" w:rsidP="00FC7CE6">
      <w:pPr>
        <w:spacing w:before="0" w:after="0" w:line="360" w:lineRule="auto"/>
        <w:rPr>
          <w:rFonts w:ascii="Times New Roman" w:hAnsi="Times New Roman" w:cs="Times New Roman"/>
        </w:rPr>
      </w:pPr>
      <w:r w:rsidRPr="007D4CB3">
        <w:rPr>
          <w:rFonts w:ascii="Times New Roman" w:hAnsi="Times New Roman" w:cs="Times New Roman"/>
          <w:b/>
          <w:bCs/>
        </w:rPr>
        <w:t>addiction:</w:t>
      </w:r>
      <w:r w:rsidRPr="007D4CB3">
        <w:rPr>
          <w:rFonts w:ascii="Times New Roman" w:hAnsi="Times New Roman" w:cs="Times New Roman"/>
        </w:rPr>
        <w:t xml:space="preserve"> A treatable chronic medical disease involving complex interactions among brain circuits, genetics, the environment, and an individual’s life experiences. People with addiction use substances or engage in behaviors that become compulsive and often continue despite harmful consequences. Prevention efforts and treatment approaches for addiction are </w:t>
      </w:r>
      <w:proofErr w:type="gramStart"/>
      <w:r w:rsidRPr="007D4CB3">
        <w:rPr>
          <w:rFonts w:ascii="Times New Roman" w:hAnsi="Times New Roman" w:cs="Times New Roman"/>
        </w:rPr>
        <w:t>generally as</w:t>
      </w:r>
      <w:proofErr w:type="gramEnd"/>
      <w:r w:rsidRPr="007D4CB3">
        <w:rPr>
          <w:rFonts w:ascii="Times New Roman" w:hAnsi="Times New Roman" w:cs="Times New Roman"/>
        </w:rPr>
        <w:t xml:space="preserve"> successful as those for other chronic diseases.</w:t>
      </w:r>
    </w:p>
    <w:p w14:paraId="4297699C" w14:textId="03A98E9D" w:rsidR="005D3271" w:rsidRPr="007D4CB3" w:rsidRDefault="005D3271" w:rsidP="00FC7CE6">
      <w:pPr>
        <w:spacing w:before="0" w:after="0" w:line="360" w:lineRule="auto"/>
        <w:rPr>
          <w:rFonts w:ascii="Times New Roman" w:hAnsi="Times New Roman" w:cs="Times New Roman"/>
        </w:rPr>
      </w:pPr>
      <w:r w:rsidRPr="007D4CB3">
        <w:rPr>
          <w:rFonts w:ascii="Times New Roman" w:hAnsi="Times New Roman" w:cs="Times New Roman"/>
          <w:b/>
          <w:bCs/>
        </w:rPr>
        <w:t>addiction medicine:</w:t>
      </w:r>
      <w:r w:rsidRPr="007D4CB3">
        <w:rPr>
          <w:rFonts w:ascii="Times New Roman" w:hAnsi="Times New Roman" w:cs="Times New Roman"/>
        </w:rPr>
        <w:t xml:space="preserve"> A medical subspecialty concerned with the prevention, evaluation, diagnosis, treatment, and recovery of people with the disease of addiction and substance-related health conditions, as well as people who use substances—including nicotine, alcohol, prescription medications, and other licit and illicit drugs—in an unhealthy manner (see </w:t>
      </w:r>
      <w:r w:rsidRPr="007D4CB3">
        <w:rPr>
          <w:rFonts w:ascii="Times New Roman" w:hAnsi="Times New Roman" w:cs="Times New Roman"/>
          <w:b/>
          <w:bCs/>
        </w:rPr>
        <w:t>addiction</w:t>
      </w:r>
      <w:r w:rsidR="007650F6" w:rsidRPr="007D4CB3">
        <w:rPr>
          <w:rFonts w:ascii="Times New Roman" w:hAnsi="Times New Roman" w:cs="Times New Roman"/>
        </w:rPr>
        <w:t xml:space="preserve">, </w:t>
      </w:r>
      <w:r w:rsidR="007650F6" w:rsidRPr="007D4CB3">
        <w:rPr>
          <w:rFonts w:ascii="Times New Roman" w:hAnsi="Times New Roman" w:cs="Times New Roman"/>
          <w:b/>
          <w:bCs/>
        </w:rPr>
        <w:t>substance use disorder</w:t>
      </w:r>
      <w:r w:rsidRPr="007D4CB3">
        <w:rPr>
          <w:rFonts w:ascii="Times New Roman" w:hAnsi="Times New Roman" w:cs="Times New Roman"/>
        </w:rPr>
        <w:t xml:space="preserve">). Addiction medicine </w:t>
      </w:r>
      <w:proofErr w:type="gramStart"/>
      <w:r w:rsidRPr="007D4CB3">
        <w:rPr>
          <w:rFonts w:ascii="Times New Roman" w:hAnsi="Times New Roman" w:cs="Times New Roman"/>
        </w:rPr>
        <w:t>is recognized</w:t>
      </w:r>
      <w:proofErr w:type="gramEnd"/>
      <w:r w:rsidRPr="007D4CB3">
        <w:rPr>
          <w:rFonts w:ascii="Times New Roman" w:hAnsi="Times New Roman" w:cs="Times New Roman"/>
        </w:rPr>
        <w:t xml:space="preserve"> as a distinct medical subspecialty within preventive medicine by the American Board of Medical Specialties (ABMS</w:t>
      </w:r>
      <w:r w:rsidR="00E07C91" w:rsidRPr="007D4CB3">
        <w:rPr>
          <w:rFonts w:ascii="Times New Roman" w:hAnsi="Times New Roman" w:cs="Times New Roman"/>
        </w:rPr>
        <w:t xml:space="preserve">; see </w:t>
      </w:r>
      <w:r w:rsidR="00E07C91" w:rsidRPr="007D4CB3">
        <w:rPr>
          <w:rFonts w:ascii="Times New Roman" w:hAnsi="Times New Roman" w:cs="Times New Roman"/>
          <w:b/>
          <w:bCs/>
        </w:rPr>
        <w:t>addiction specialist physician</w:t>
      </w:r>
      <w:r w:rsidRPr="007D4CB3">
        <w:rPr>
          <w:rFonts w:ascii="Times New Roman" w:hAnsi="Times New Roman" w:cs="Times New Roman"/>
        </w:rPr>
        <w:t>).</w:t>
      </w:r>
    </w:p>
    <w:p w14:paraId="45BB668E" w14:textId="58DE18B0" w:rsidR="005D3271" w:rsidRPr="007D4CB3" w:rsidRDefault="005D3271" w:rsidP="00FC7CE6">
      <w:pPr>
        <w:spacing w:before="0" w:after="0" w:line="360" w:lineRule="auto"/>
        <w:rPr>
          <w:rFonts w:ascii="Times New Roman" w:hAnsi="Times New Roman" w:cs="Times New Roman"/>
        </w:rPr>
      </w:pPr>
      <w:r w:rsidRPr="007D4CB3">
        <w:rPr>
          <w:rFonts w:ascii="Times New Roman" w:hAnsi="Times New Roman" w:cs="Times New Roman"/>
          <w:b/>
          <w:bCs/>
        </w:rPr>
        <w:t>addiction medication:</w:t>
      </w:r>
      <w:r w:rsidRPr="007D4CB3">
        <w:rPr>
          <w:rFonts w:ascii="Times New Roman" w:hAnsi="Times New Roman" w:cs="Times New Roman"/>
        </w:rPr>
        <w:t xml:space="preserve"> Medications that are specifically indicated for and prescribed to treat substance use disorders (SUDs) as an initial lifesaving measure, motivational engagement strategy (</w:t>
      </w:r>
      <w:r w:rsidR="002928C5" w:rsidRPr="007D4CB3">
        <w:rPr>
          <w:rFonts w:ascii="Times New Roman" w:hAnsi="Times New Roman" w:cs="Times New Roman"/>
        </w:rPr>
        <w:t>i.e.</w:t>
      </w:r>
      <w:r w:rsidRPr="007D4CB3">
        <w:rPr>
          <w:rFonts w:ascii="Times New Roman" w:hAnsi="Times New Roman" w:cs="Times New Roman"/>
        </w:rPr>
        <w:t>, withdrawal management), and as part of a long-term treatment plan similar to medications used to treat other chronic diseases such as bipolar disorder or diabetes</w:t>
      </w:r>
      <w:r w:rsidR="00A07D90" w:rsidRPr="007D4CB3">
        <w:rPr>
          <w:rFonts w:ascii="Times New Roman" w:hAnsi="Times New Roman" w:cs="Times New Roman"/>
        </w:rPr>
        <w:t xml:space="preserve"> (see </w:t>
      </w:r>
      <w:r w:rsidR="00A07D90" w:rsidRPr="007D4CB3">
        <w:rPr>
          <w:rFonts w:ascii="Times New Roman" w:hAnsi="Times New Roman" w:cs="Times New Roman"/>
          <w:b/>
          <w:bCs/>
        </w:rPr>
        <w:t>substance use disorder</w:t>
      </w:r>
      <w:r w:rsidR="00A07D90" w:rsidRPr="007D4CB3">
        <w:rPr>
          <w:rFonts w:ascii="Times New Roman" w:hAnsi="Times New Roman" w:cs="Times New Roman"/>
        </w:rPr>
        <w:t>)</w:t>
      </w:r>
      <w:r w:rsidRPr="007D4CB3">
        <w:rPr>
          <w:rFonts w:ascii="Times New Roman" w:hAnsi="Times New Roman" w:cs="Times New Roman"/>
        </w:rPr>
        <w:t>.</w:t>
      </w:r>
    </w:p>
    <w:p w14:paraId="415A2A1B" w14:textId="0FACCD65" w:rsidR="005D3271" w:rsidRPr="007D4CB3" w:rsidRDefault="005D3271" w:rsidP="00FC7CE6">
      <w:pPr>
        <w:spacing w:before="0" w:after="0" w:line="360" w:lineRule="auto"/>
        <w:rPr>
          <w:rFonts w:ascii="Times New Roman" w:hAnsi="Times New Roman" w:cs="Times New Roman"/>
        </w:rPr>
      </w:pPr>
      <w:r w:rsidRPr="007D4CB3">
        <w:rPr>
          <w:rFonts w:ascii="Times New Roman" w:hAnsi="Times New Roman" w:cs="Times New Roman"/>
          <w:b/>
          <w:bCs/>
        </w:rPr>
        <w:t>addiction psychiatry:</w:t>
      </w:r>
      <w:r w:rsidRPr="007D4CB3">
        <w:rPr>
          <w:rFonts w:ascii="Times New Roman" w:hAnsi="Times New Roman" w:cs="Times New Roman"/>
        </w:rPr>
        <w:t xml:space="preserve"> A psychiatric subspecialty concerned with the evaluation and treatment of individuals with alcohol, drug, or other substance-related disorders and of individuals with co-occurring substance-related and other psychiatric disorders (see </w:t>
      </w:r>
      <w:r w:rsidR="00893119" w:rsidRPr="007D4CB3">
        <w:rPr>
          <w:rFonts w:ascii="Times New Roman" w:hAnsi="Times New Roman" w:cs="Times New Roman"/>
          <w:b/>
          <w:bCs/>
        </w:rPr>
        <w:t>addiction</w:t>
      </w:r>
      <w:r w:rsidR="00893119" w:rsidRPr="007D4CB3">
        <w:rPr>
          <w:rFonts w:ascii="Times New Roman" w:hAnsi="Times New Roman" w:cs="Times New Roman"/>
        </w:rPr>
        <w:t>,</w:t>
      </w:r>
      <w:r w:rsidRPr="007D4CB3">
        <w:rPr>
          <w:rFonts w:ascii="Times New Roman" w:hAnsi="Times New Roman" w:cs="Times New Roman"/>
        </w:rPr>
        <w:t xml:space="preserve"> </w:t>
      </w:r>
      <w:r w:rsidRPr="007D4CB3">
        <w:rPr>
          <w:rFonts w:ascii="Times New Roman" w:hAnsi="Times New Roman" w:cs="Times New Roman"/>
          <w:b/>
          <w:bCs/>
        </w:rPr>
        <w:t>substance use disorder</w:t>
      </w:r>
      <w:r w:rsidRPr="007D4CB3">
        <w:rPr>
          <w:rFonts w:ascii="Times New Roman" w:hAnsi="Times New Roman" w:cs="Times New Roman"/>
        </w:rPr>
        <w:t xml:space="preserve">). Addiction psychiatry is recognized as a distinct medical subspecialty within psychiatry by the </w:t>
      </w:r>
      <w:r w:rsidR="00515392" w:rsidRPr="007D4CB3">
        <w:rPr>
          <w:rFonts w:ascii="Times New Roman" w:hAnsi="Times New Roman" w:cs="Times New Roman"/>
        </w:rPr>
        <w:t>American Board of Medical Specialties (</w:t>
      </w:r>
      <w:r w:rsidRPr="007D4CB3">
        <w:rPr>
          <w:rFonts w:ascii="Times New Roman" w:hAnsi="Times New Roman" w:cs="Times New Roman"/>
        </w:rPr>
        <w:t>ABMS</w:t>
      </w:r>
      <w:r w:rsidR="00872E13" w:rsidRPr="007D4CB3">
        <w:rPr>
          <w:rFonts w:ascii="Times New Roman" w:hAnsi="Times New Roman" w:cs="Times New Roman"/>
        </w:rPr>
        <w:t>;</w:t>
      </w:r>
      <w:r w:rsidR="00893119" w:rsidRPr="007D4CB3">
        <w:rPr>
          <w:rFonts w:ascii="Times New Roman" w:hAnsi="Times New Roman" w:cs="Times New Roman"/>
        </w:rPr>
        <w:t xml:space="preserve"> see </w:t>
      </w:r>
      <w:r w:rsidR="00893119" w:rsidRPr="007D4CB3">
        <w:rPr>
          <w:rFonts w:ascii="Times New Roman" w:hAnsi="Times New Roman" w:cs="Times New Roman"/>
          <w:b/>
          <w:bCs/>
        </w:rPr>
        <w:t>addiction specialist physician</w:t>
      </w:r>
      <w:r w:rsidR="00893119" w:rsidRPr="007D4CB3">
        <w:rPr>
          <w:rFonts w:ascii="Times New Roman" w:hAnsi="Times New Roman" w:cs="Times New Roman"/>
        </w:rPr>
        <w:t>)</w:t>
      </w:r>
      <w:r w:rsidRPr="007D4CB3">
        <w:rPr>
          <w:rFonts w:ascii="Times New Roman" w:hAnsi="Times New Roman" w:cs="Times New Roman"/>
        </w:rPr>
        <w:t>.</w:t>
      </w:r>
      <w:r w:rsidRPr="007D4CB3">
        <w:rPr>
          <w:rFonts w:ascii="Times New Roman" w:hAnsi="Times New Roman" w:cs="Times New Roman"/>
        </w:rPr>
        <w:fldChar w:fldCharType="begin"/>
      </w:r>
      <w:r w:rsidR="00596A41" w:rsidRPr="007D4CB3">
        <w:rPr>
          <w:rFonts w:ascii="Times New Roman" w:hAnsi="Times New Roman" w:cs="Times New Roman"/>
        </w:rPr>
        <w:instrText xml:space="preserve"> ADDIN ZOTERO_ITEM CSL_CITATION {"citationID":"rc9Ety4J","properties":{"formattedCitation":"\\super 327\\nosupersub{}","plainCitation":"327","noteIndex":0},"citationItems":[{"id":6745,"uris":["http://zotero.org/groups/4862100/items/Q6AYN8Y8"],"itemData":{"id":6745,"type":"webpage","title":"Specialty and Subspecialty Certificates: American Board of Psychiatry and Neurology","URL":"https://www.abms.org/board/american-board-of-psychiatry-neurology/","author":[{"family":"American Board of Medical Specialties","given":""}],"accessed":{"date-parts":[["2023",7,14]]},"issued":{"date-parts":[["2023"]]}}}],"schema":"https://github.com/citation-style-language/schema/raw/master/csl-citation.json"} </w:instrText>
      </w:r>
      <w:r w:rsidRPr="007D4CB3">
        <w:rPr>
          <w:rFonts w:ascii="Times New Roman" w:hAnsi="Times New Roman" w:cs="Times New Roman"/>
        </w:rPr>
        <w:fldChar w:fldCharType="separate"/>
      </w:r>
      <w:r w:rsidR="00596A41" w:rsidRPr="007D4CB3">
        <w:rPr>
          <w:rFonts w:ascii="Times New Roman" w:hAnsi="Times New Roman" w:cs="Times New Roman"/>
          <w:vertAlign w:val="superscript"/>
        </w:rPr>
        <w:t>327</w:t>
      </w:r>
      <w:r w:rsidRPr="007D4CB3">
        <w:rPr>
          <w:rFonts w:ascii="Times New Roman" w:hAnsi="Times New Roman" w:cs="Times New Roman"/>
        </w:rPr>
        <w:fldChar w:fldCharType="end"/>
      </w:r>
    </w:p>
    <w:p w14:paraId="3B0E2374" w14:textId="10F74040" w:rsidR="005D3271" w:rsidRPr="007D4CB3" w:rsidRDefault="005D3271" w:rsidP="00FC7CE6">
      <w:pPr>
        <w:spacing w:before="0" w:after="0" w:line="360" w:lineRule="auto"/>
        <w:rPr>
          <w:rFonts w:ascii="Times New Roman" w:hAnsi="Times New Roman" w:cs="Times New Roman"/>
        </w:rPr>
      </w:pPr>
      <w:r w:rsidRPr="007D4CB3">
        <w:rPr>
          <w:rFonts w:ascii="Times New Roman" w:hAnsi="Times New Roman" w:cs="Times New Roman"/>
          <w:b/>
          <w:bCs/>
        </w:rPr>
        <w:t>addiction specialist physician:</w:t>
      </w:r>
      <w:r w:rsidRPr="007D4CB3">
        <w:rPr>
          <w:rFonts w:ascii="Times New Roman" w:hAnsi="Times New Roman" w:cs="Times New Roman"/>
        </w:rPr>
        <w:t xml:space="preserve"> A licensed physician who has specialty </w:t>
      </w:r>
      <w:r w:rsidR="0002618E" w:rsidRPr="007D4CB3">
        <w:rPr>
          <w:rFonts w:ascii="Times New Roman" w:hAnsi="Times New Roman" w:cs="Times New Roman"/>
        </w:rPr>
        <w:t xml:space="preserve">board </w:t>
      </w:r>
      <w:r w:rsidRPr="007D4CB3">
        <w:rPr>
          <w:rFonts w:ascii="Times New Roman" w:hAnsi="Times New Roman" w:cs="Times New Roman"/>
        </w:rPr>
        <w:t xml:space="preserve">certification in addiction medicine or addiction psychiatry (see </w:t>
      </w:r>
      <w:r w:rsidRPr="007D4CB3">
        <w:rPr>
          <w:rFonts w:ascii="Times New Roman" w:hAnsi="Times New Roman" w:cs="Times New Roman"/>
          <w:b/>
          <w:bCs/>
        </w:rPr>
        <w:t>addiction medicine</w:t>
      </w:r>
      <w:r w:rsidRPr="007D4CB3">
        <w:rPr>
          <w:rFonts w:ascii="Times New Roman" w:hAnsi="Times New Roman" w:cs="Times New Roman"/>
        </w:rPr>
        <w:t xml:space="preserve">, </w:t>
      </w:r>
      <w:r w:rsidRPr="007D4CB3">
        <w:rPr>
          <w:rFonts w:ascii="Times New Roman" w:hAnsi="Times New Roman" w:cs="Times New Roman"/>
          <w:b/>
          <w:bCs/>
        </w:rPr>
        <w:t>addiction psychiatry</w:t>
      </w:r>
      <w:r w:rsidRPr="007D4CB3">
        <w:rPr>
          <w:rFonts w:ascii="Times New Roman" w:hAnsi="Times New Roman" w:cs="Times New Roman"/>
        </w:rPr>
        <w:t>).</w:t>
      </w:r>
    </w:p>
    <w:p w14:paraId="565BFEA6" w14:textId="5384D4DF" w:rsidR="00546FBD" w:rsidRPr="007D4CB3" w:rsidRDefault="00546FBD" w:rsidP="00FC7CE6">
      <w:pPr>
        <w:spacing w:before="0" w:after="0" w:line="360" w:lineRule="auto"/>
        <w:rPr>
          <w:rFonts w:ascii="Times New Roman" w:hAnsi="Times New Roman" w:cs="Times New Roman"/>
        </w:rPr>
      </w:pPr>
      <w:r w:rsidRPr="007D4CB3">
        <w:rPr>
          <w:rFonts w:ascii="Times New Roman" w:hAnsi="Times New Roman" w:cs="Times New Roman"/>
          <w:b/>
          <w:bCs/>
        </w:rPr>
        <w:t>adolescent:</w:t>
      </w:r>
      <w:r w:rsidRPr="007D4CB3">
        <w:rPr>
          <w:rFonts w:ascii="Times New Roman" w:hAnsi="Times New Roman" w:cs="Times New Roman"/>
        </w:rPr>
        <w:t xml:space="preserve"> </w:t>
      </w:r>
      <w:r w:rsidR="00F00EEE" w:rsidRPr="007D4CB3">
        <w:rPr>
          <w:rFonts w:ascii="Times New Roman" w:hAnsi="Times New Roman" w:cs="Times New Roman"/>
        </w:rPr>
        <w:t xml:space="preserve">A person </w:t>
      </w:r>
      <w:r w:rsidR="00CE7927" w:rsidRPr="007D4CB3">
        <w:rPr>
          <w:rFonts w:ascii="Times New Roman" w:hAnsi="Times New Roman" w:cs="Times New Roman"/>
        </w:rPr>
        <w:t>who is</w:t>
      </w:r>
      <w:r w:rsidR="00D80E55" w:rsidRPr="007D4CB3">
        <w:rPr>
          <w:rFonts w:ascii="Times New Roman" w:hAnsi="Times New Roman" w:cs="Times New Roman"/>
        </w:rPr>
        <w:t xml:space="preserve"> </w:t>
      </w:r>
      <w:r w:rsidR="00CE7927" w:rsidRPr="007D4CB3">
        <w:rPr>
          <w:rFonts w:ascii="Times New Roman" w:hAnsi="Times New Roman" w:cs="Times New Roman"/>
        </w:rPr>
        <w:t>12 to 17 years of age.</w:t>
      </w:r>
    </w:p>
    <w:p w14:paraId="545937EE" w14:textId="7C6F5CBC" w:rsidR="00916974" w:rsidRPr="007D4CB3" w:rsidRDefault="00916974" w:rsidP="00FC7CE6">
      <w:pPr>
        <w:spacing w:before="0" w:after="0" w:line="360" w:lineRule="auto"/>
        <w:rPr>
          <w:rFonts w:ascii="Times New Roman" w:hAnsi="Times New Roman" w:cs="Times New Roman"/>
        </w:rPr>
      </w:pPr>
      <w:r w:rsidRPr="007D4CB3">
        <w:rPr>
          <w:rFonts w:ascii="Times New Roman" w:hAnsi="Times New Roman" w:cs="Times New Roman"/>
          <w:b/>
          <w:bCs/>
        </w:rPr>
        <w:t>cultural humility:</w:t>
      </w:r>
      <w:r w:rsidRPr="007D4CB3">
        <w:rPr>
          <w:rFonts w:ascii="Times New Roman" w:hAnsi="Times New Roman" w:cs="Times New Roman"/>
        </w:rPr>
        <w:t xml:space="preserve"> A process of entering a relationship with another person with the intention of honoring their beliefs, customs, and values. It entails an ongoing self-exploration and self-critique combined with a willingness to learn from others.</w:t>
      </w:r>
      <w:r w:rsidR="00953B1F" w:rsidRPr="007D4CB3">
        <w:rPr>
          <w:rFonts w:ascii="Times New Roman" w:hAnsi="Times New Roman" w:cs="Times New Roman"/>
        </w:rPr>
        <w:fldChar w:fldCharType="begin"/>
      </w:r>
      <w:r w:rsidR="00596A41" w:rsidRPr="007D4CB3">
        <w:rPr>
          <w:rFonts w:ascii="Times New Roman" w:hAnsi="Times New Roman" w:cs="Times New Roman"/>
        </w:rPr>
        <w:instrText xml:space="preserve"> ADDIN ZOTERO_ITEM CSL_CITATION {"citationID":"eKM9SjQh","properties":{"formattedCitation":"\\super 328\\nosupersub{}","plainCitation":"328","noteIndex":0},"citationItems":[{"id":6786,"uris":["http://zotero.org/groups/4862100/items/V4NIW87I"],"itemData":{"id":6786,"type":"article-journal","container-title":"Am Psychiatr Publ","DOI":"10.1176/appi.focus.20190041","ISSN":"1541-4094, 1541-4108","issue":"1","journalAbbreviation":"FOC","language":"en","page":"49-51","source":"DOI.org (Crossref)","title":"Practicing Cultural Competence and Cultural Humility in the Care of Diverse Patients","volume":"18","author":[{"family":"Stubbe","given":"Dorothy E."}],"issued":{"date-parts":[["2020",1]]}}}],"schema":"https://github.com/citation-style-language/schema/raw/master/csl-citation.json"} </w:instrText>
      </w:r>
      <w:r w:rsidR="00953B1F" w:rsidRPr="007D4CB3">
        <w:rPr>
          <w:rFonts w:ascii="Times New Roman" w:hAnsi="Times New Roman" w:cs="Times New Roman"/>
        </w:rPr>
        <w:fldChar w:fldCharType="separate"/>
      </w:r>
      <w:r w:rsidR="00596A41" w:rsidRPr="007D4CB3">
        <w:rPr>
          <w:rFonts w:ascii="Times New Roman" w:hAnsi="Times New Roman" w:cs="Times New Roman"/>
          <w:vertAlign w:val="superscript"/>
        </w:rPr>
        <w:t>328</w:t>
      </w:r>
      <w:r w:rsidR="00953B1F" w:rsidRPr="007D4CB3">
        <w:rPr>
          <w:rFonts w:ascii="Times New Roman" w:hAnsi="Times New Roman" w:cs="Times New Roman"/>
        </w:rPr>
        <w:fldChar w:fldCharType="end"/>
      </w:r>
      <w:r w:rsidRPr="007D4CB3">
        <w:rPr>
          <w:rFonts w:ascii="Times New Roman" w:hAnsi="Times New Roman" w:cs="Times New Roman"/>
        </w:rPr>
        <w:t xml:space="preserve"> One component of trauma-sensitive practices (TSP; see </w:t>
      </w:r>
      <w:r w:rsidRPr="007D4CB3">
        <w:rPr>
          <w:rFonts w:ascii="Times New Roman" w:hAnsi="Times New Roman" w:cs="Times New Roman"/>
          <w:b/>
          <w:bCs/>
        </w:rPr>
        <w:t>trauma-sensitive practices</w:t>
      </w:r>
      <w:r w:rsidRPr="007D4CB3">
        <w:rPr>
          <w:rFonts w:ascii="Times New Roman" w:hAnsi="Times New Roman" w:cs="Times New Roman"/>
        </w:rPr>
        <w:t>).</w:t>
      </w:r>
    </w:p>
    <w:p w14:paraId="2872E438" w14:textId="77777777" w:rsidR="005D3271" w:rsidRPr="007D4CB3" w:rsidRDefault="005D3271" w:rsidP="00FC7CE6">
      <w:pPr>
        <w:spacing w:before="0" w:after="0" w:line="360" w:lineRule="auto"/>
        <w:rPr>
          <w:rFonts w:ascii="Times New Roman" w:hAnsi="Times New Roman" w:cs="Times New Roman"/>
        </w:rPr>
      </w:pPr>
      <w:r w:rsidRPr="007D4CB3">
        <w:rPr>
          <w:rFonts w:ascii="Times New Roman" w:hAnsi="Times New Roman" w:cs="Times New Roman"/>
          <w:b/>
          <w:bCs/>
        </w:rPr>
        <w:lastRenderedPageBreak/>
        <w:t>drug testing:</w:t>
      </w:r>
      <w:r w:rsidRPr="007D4CB3">
        <w:rPr>
          <w:rFonts w:ascii="Times New Roman" w:hAnsi="Times New Roman" w:cs="Times New Roman"/>
        </w:rPr>
        <w:t xml:space="preserve"> The process of analyzing a biological specimen to check for the presence of chemicals that indicate exposure to selected substances.</w:t>
      </w:r>
    </w:p>
    <w:p w14:paraId="5AAA1255" w14:textId="77777777" w:rsidR="005D3271" w:rsidRPr="007D4CB3" w:rsidRDefault="005D3271" w:rsidP="00FC7CE6">
      <w:pPr>
        <w:spacing w:before="0" w:after="0" w:line="360" w:lineRule="auto"/>
        <w:rPr>
          <w:rFonts w:ascii="Times New Roman" w:hAnsi="Times New Roman" w:cs="Times New Roman"/>
        </w:rPr>
      </w:pPr>
      <w:r w:rsidRPr="007D4CB3">
        <w:rPr>
          <w:rFonts w:ascii="Times New Roman" w:hAnsi="Times New Roman" w:cs="Times New Roman"/>
          <w:b/>
          <w:bCs/>
        </w:rPr>
        <w:t>patient:</w:t>
      </w:r>
      <w:r w:rsidRPr="007D4CB3">
        <w:rPr>
          <w:rFonts w:ascii="Times New Roman" w:hAnsi="Times New Roman" w:cs="Times New Roman"/>
        </w:rPr>
        <w:t xml:space="preserve"> An individual receiving substance use disorder treatment. Interchangeable with client, which </w:t>
      </w:r>
      <w:proofErr w:type="gramStart"/>
      <w:r w:rsidRPr="007D4CB3">
        <w:rPr>
          <w:rFonts w:ascii="Times New Roman" w:hAnsi="Times New Roman" w:cs="Times New Roman"/>
        </w:rPr>
        <w:t>is used</w:t>
      </w:r>
      <w:proofErr w:type="gramEnd"/>
      <w:r w:rsidRPr="007D4CB3">
        <w:rPr>
          <w:rFonts w:ascii="Times New Roman" w:hAnsi="Times New Roman" w:cs="Times New Roman"/>
        </w:rPr>
        <w:t xml:space="preserve"> more commonly in nonmedical settings.</w:t>
      </w:r>
    </w:p>
    <w:p w14:paraId="498E267D" w14:textId="032D278C" w:rsidR="005D3271" w:rsidRPr="007D4CB3" w:rsidRDefault="005D3271" w:rsidP="00FC7CE6">
      <w:pPr>
        <w:spacing w:before="0" w:after="0" w:line="360" w:lineRule="auto"/>
        <w:rPr>
          <w:rFonts w:ascii="Times New Roman" w:hAnsi="Times New Roman" w:cs="Times New Roman"/>
        </w:rPr>
      </w:pPr>
      <w:r w:rsidRPr="007D4CB3">
        <w:rPr>
          <w:rFonts w:ascii="Times New Roman" w:hAnsi="Times New Roman" w:cs="Times New Roman"/>
          <w:b/>
          <w:bCs/>
        </w:rPr>
        <w:t>psychosocial services</w:t>
      </w:r>
      <w:r w:rsidRPr="007D4CB3">
        <w:rPr>
          <w:rFonts w:ascii="Times New Roman" w:hAnsi="Times New Roman" w:cs="Times New Roman"/>
        </w:rPr>
        <w:t xml:space="preserve"> (as treatment)</w:t>
      </w:r>
      <w:r w:rsidRPr="007D4CB3">
        <w:rPr>
          <w:rFonts w:ascii="Times New Roman" w:hAnsi="Times New Roman" w:cs="Times New Roman"/>
          <w:b/>
        </w:rPr>
        <w:t>:</w:t>
      </w:r>
      <w:r w:rsidRPr="007D4CB3">
        <w:rPr>
          <w:rFonts w:ascii="Times New Roman" w:hAnsi="Times New Roman" w:cs="Times New Roman"/>
        </w:rPr>
        <w:t xml:space="preserve"> Interventions that seek to enhance a patient’s social and mental functioning, including psychotherapy, counseling, contingency management</w:t>
      </w:r>
      <w:r w:rsidR="00BE4115" w:rsidRPr="007D4CB3">
        <w:rPr>
          <w:rFonts w:ascii="Times New Roman" w:hAnsi="Times New Roman" w:cs="Times New Roman"/>
        </w:rPr>
        <w:t xml:space="preserve"> (CM)</w:t>
      </w:r>
      <w:r w:rsidRPr="007D4CB3">
        <w:rPr>
          <w:rFonts w:ascii="Times New Roman" w:hAnsi="Times New Roman" w:cs="Times New Roman"/>
        </w:rPr>
        <w:t>, psychoeducation, and mental health services.</w:t>
      </w:r>
      <w:r w:rsidRPr="007D4CB3">
        <w:rPr>
          <w:rFonts w:ascii="Times New Roman" w:hAnsi="Times New Roman" w:cs="Times New Roman"/>
        </w:rPr>
        <w:fldChar w:fldCharType="begin"/>
      </w:r>
      <w:r w:rsidR="00596A41" w:rsidRPr="007D4CB3">
        <w:rPr>
          <w:rFonts w:ascii="Times New Roman" w:hAnsi="Times New Roman" w:cs="Times New Roman"/>
        </w:rPr>
        <w:instrText xml:space="preserve"> ADDIN ZOTERO_ITEM CSL_CITATION {"citationID":"eLVyuOnY","properties":{"formattedCitation":"\\super 329\\nosupersub{}","plainCitation":"329","noteIndex":0},"citationItems":[{"id":6746,"uris":["http://zotero.org/groups/4862100/items/S6PZQCDT"],"itemData":{"id":6746,"type":"document","publisher":"Substance Abuse and Mental Health Services Administration","title":"Medications for Opioid Use Disorder: For Healthcare and Addiction Professionals, Policymakers, Patients, and Families. Treatment Improvement Protocol (TIP) No. 63","URL":"https://store.samhsa.gov/sites/default/files/pep21-02-01-002.pdf","author":[{"family":"Substance Abuse and Mental Health Services Administration","given":""}],"accessed":{"date-parts":[["2023",3,3]]},"issued":{"date-parts":[["2021"]]}}}],"schema":"https://github.com/citation-style-language/schema/raw/master/csl-citation.json"} </w:instrText>
      </w:r>
      <w:r w:rsidRPr="007D4CB3">
        <w:rPr>
          <w:rFonts w:ascii="Times New Roman" w:hAnsi="Times New Roman" w:cs="Times New Roman"/>
        </w:rPr>
        <w:fldChar w:fldCharType="separate"/>
      </w:r>
      <w:r w:rsidR="00596A41" w:rsidRPr="007D4CB3">
        <w:rPr>
          <w:rFonts w:ascii="Times New Roman" w:hAnsi="Times New Roman" w:cs="Times New Roman"/>
          <w:vertAlign w:val="superscript"/>
        </w:rPr>
        <w:t>329</w:t>
      </w:r>
      <w:r w:rsidRPr="007D4CB3">
        <w:rPr>
          <w:rFonts w:ascii="Times New Roman" w:hAnsi="Times New Roman" w:cs="Times New Roman"/>
        </w:rPr>
        <w:fldChar w:fldCharType="end"/>
      </w:r>
    </w:p>
    <w:p w14:paraId="6D675A8E" w14:textId="0B5B7D40" w:rsidR="005D3271" w:rsidRPr="007D4CB3" w:rsidRDefault="005D3271" w:rsidP="00FC7CE6">
      <w:pPr>
        <w:spacing w:before="0" w:after="0" w:line="360" w:lineRule="auto"/>
        <w:rPr>
          <w:rFonts w:ascii="Times New Roman" w:hAnsi="Times New Roman" w:cs="Times New Roman"/>
        </w:rPr>
      </w:pPr>
      <w:r w:rsidRPr="007D4CB3">
        <w:rPr>
          <w:rFonts w:ascii="Times New Roman" w:hAnsi="Times New Roman" w:cs="Times New Roman"/>
          <w:b/>
          <w:bCs/>
        </w:rPr>
        <w:t>recovery:</w:t>
      </w:r>
      <w:r w:rsidRPr="007D4CB3">
        <w:rPr>
          <w:rFonts w:ascii="Times New Roman" w:hAnsi="Times New Roman" w:cs="Times New Roman"/>
        </w:rPr>
        <w:t xml:space="preserve"> A process of change through which individuals improve their health and wellness, live a self-directed life, and strive to reach their full potential.</w:t>
      </w:r>
      <w:r w:rsidRPr="007D4CB3">
        <w:rPr>
          <w:rFonts w:ascii="Times New Roman" w:hAnsi="Times New Roman" w:cs="Times New Roman"/>
        </w:rPr>
        <w:fldChar w:fldCharType="begin"/>
      </w:r>
      <w:r w:rsidR="00596A41" w:rsidRPr="007D4CB3">
        <w:rPr>
          <w:rFonts w:ascii="Times New Roman" w:hAnsi="Times New Roman" w:cs="Times New Roman"/>
        </w:rPr>
        <w:instrText xml:space="preserve"> ADDIN ZOTERO_ITEM CSL_CITATION {"citationID":"qmGW4jmR","properties":{"formattedCitation":"\\super 330\\nosupersub{}","plainCitation":"330","noteIndex":0},"citationItems":[{"id":6747,"uris":["http://zotero.org/groups/4862100/items/8IRNZDB5"],"itemData":{"id":6747,"type":"document","publisher":"Substance Abuse and Mental Health Services Administration","title":"SAMHSA’s Working Definition of Recovery. Publication No. PEP12-RECDEF.","URL":"https://store.samhsa.gov/product/SAMHSA-s-Working-Definition-of-Recovery/PEP12-RECDEF","author":[{"family":"Substance Abuse and Mental Health Services Administration","given":""}],"issued":{"date-parts":[["2012"]]}}}],"schema":"https://github.com/citation-style-language/schema/raw/master/csl-citation.json"} </w:instrText>
      </w:r>
      <w:r w:rsidRPr="007D4CB3">
        <w:rPr>
          <w:rFonts w:ascii="Times New Roman" w:hAnsi="Times New Roman" w:cs="Times New Roman"/>
        </w:rPr>
        <w:fldChar w:fldCharType="separate"/>
      </w:r>
      <w:r w:rsidR="00596A41" w:rsidRPr="007D4CB3">
        <w:rPr>
          <w:rFonts w:ascii="Times New Roman" w:hAnsi="Times New Roman" w:cs="Times New Roman"/>
          <w:vertAlign w:val="superscript"/>
        </w:rPr>
        <w:t>330</w:t>
      </w:r>
      <w:r w:rsidRPr="007D4CB3">
        <w:rPr>
          <w:rFonts w:ascii="Times New Roman" w:hAnsi="Times New Roman" w:cs="Times New Roman"/>
        </w:rPr>
        <w:fldChar w:fldCharType="end"/>
      </w:r>
    </w:p>
    <w:p w14:paraId="3109EEED" w14:textId="6413C45C" w:rsidR="005D3271" w:rsidRPr="007D4CB3" w:rsidRDefault="005D3271" w:rsidP="00FC7CE6">
      <w:pPr>
        <w:spacing w:before="0" w:after="0" w:line="360" w:lineRule="auto"/>
        <w:rPr>
          <w:rFonts w:ascii="Times New Roman" w:hAnsi="Times New Roman" w:cs="Times New Roman"/>
        </w:rPr>
      </w:pPr>
      <w:r w:rsidRPr="007D4CB3">
        <w:rPr>
          <w:rFonts w:ascii="Times New Roman" w:hAnsi="Times New Roman" w:cs="Times New Roman"/>
          <w:b/>
          <w:bCs/>
        </w:rPr>
        <w:t>recovery support services</w:t>
      </w:r>
      <w:r w:rsidR="006E7EFB" w:rsidRPr="007D4CB3">
        <w:rPr>
          <w:rFonts w:ascii="Times New Roman" w:hAnsi="Times New Roman" w:cs="Times New Roman"/>
          <w:b/>
          <w:bCs/>
        </w:rPr>
        <w:t xml:space="preserve"> (RSS)</w:t>
      </w:r>
      <w:r w:rsidRPr="007D4CB3">
        <w:rPr>
          <w:rFonts w:ascii="Times New Roman" w:hAnsi="Times New Roman" w:cs="Times New Roman"/>
          <w:b/>
          <w:bCs/>
        </w:rPr>
        <w:t>:</w:t>
      </w:r>
      <w:r w:rsidRPr="007D4CB3">
        <w:rPr>
          <w:rFonts w:ascii="Times New Roman" w:hAnsi="Times New Roman" w:cs="Times New Roman"/>
        </w:rPr>
        <w:t xml:space="preserve"> The collection of services that provide emotional and practical support for continuing recovery, as well as daily structure and rewarding alternatives to substance use (see </w:t>
      </w:r>
      <w:r w:rsidRPr="007D4CB3">
        <w:rPr>
          <w:rFonts w:ascii="Times New Roman" w:hAnsi="Times New Roman" w:cs="Times New Roman"/>
          <w:b/>
          <w:bCs/>
        </w:rPr>
        <w:t>recovery</w:t>
      </w:r>
      <w:r w:rsidRPr="007D4CB3">
        <w:rPr>
          <w:rFonts w:ascii="Times New Roman" w:hAnsi="Times New Roman" w:cs="Times New Roman"/>
        </w:rPr>
        <w:t>).</w:t>
      </w:r>
      <w:r w:rsidRPr="007D4CB3">
        <w:rPr>
          <w:rFonts w:ascii="Times New Roman" w:hAnsi="Times New Roman" w:cs="Times New Roman"/>
        </w:rPr>
        <w:fldChar w:fldCharType="begin"/>
      </w:r>
      <w:r w:rsidR="00596A41" w:rsidRPr="007D4CB3">
        <w:rPr>
          <w:rFonts w:ascii="Times New Roman" w:hAnsi="Times New Roman" w:cs="Times New Roman"/>
        </w:rPr>
        <w:instrText xml:space="preserve"> ADDIN ZOTERO_ITEM CSL_CITATION {"citationID":"TJ7jCGhQ","properties":{"formattedCitation":"\\super 331\\nosupersub{}","plainCitation":"331","noteIndex":0},"citationItems":[{"id":6748,"uris":["http://zotero.org/groups/4862100/items/ABWHQ3N2"],"itemData":{"id":6748,"type":"document","publisher":"US Department of Health and Human Services","title":"Facing Addiction in America: The Surgeon General’s Report on Alcohol, Drugs, and Health.","URL":"https://addiction.surgeongeneral.gov/sites/default/files/surgeon-generals-report.pdf","author":[{"family":"US Department of Health and Human Services","given":""}],"accessed":{"date-parts":[["2023",8,23]]},"issued":{"date-parts":[["2016"]]}}}],"schema":"https://github.com/citation-style-language/schema/raw/master/csl-citation.json"} </w:instrText>
      </w:r>
      <w:r w:rsidRPr="007D4CB3">
        <w:rPr>
          <w:rFonts w:ascii="Times New Roman" w:hAnsi="Times New Roman" w:cs="Times New Roman"/>
        </w:rPr>
        <w:fldChar w:fldCharType="separate"/>
      </w:r>
      <w:r w:rsidR="00596A41" w:rsidRPr="007D4CB3">
        <w:rPr>
          <w:rFonts w:ascii="Times New Roman" w:hAnsi="Times New Roman" w:cs="Times New Roman"/>
          <w:vertAlign w:val="superscript"/>
        </w:rPr>
        <w:t>331</w:t>
      </w:r>
      <w:r w:rsidRPr="007D4CB3">
        <w:rPr>
          <w:rFonts w:ascii="Times New Roman" w:hAnsi="Times New Roman" w:cs="Times New Roman"/>
        </w:rPr>
        <w:fldChar w:fldCharType="end"/>
      </w:r>
    </w:p>
    <w:p w14:paraId="651FBEF4" w14:textId="66024D5F" w:rsidR="005D3271" w:rsidRPr="007D4CB3" w:rsidRDefault="005D3271" w:rsidP="00FC7CE6">
      <w:pPr>
        <w:spacing w:before="0" w:after="0" w:line="360" w:lineRule="auto"/>
        <w:rPr>
          <w:rFonts w:ascii="Times New Roman" w:hAnsi="Times New Roman" w:cs="Times New Roman"/>
        </w:rPr>
      </w:pPr>
      <w:r w:rsidRPr="007D4CB3">
        <w:rPr>
          <w:rFonts w:ascii="Times New Roman" w:hAnsi="Times New Roman" w:cs="Times New Roman"/>
          <w:b/>
          <w:bCs/>
        </w:rPr>
        <w:t>recurrence:</w:t>
      </w:r>
      <w:r w:rsidRPr="007D4CB3">
        <w:rPr>
          <w:rFonts w:ascii="Times New Roman" w:hAnsi="Times New Roman" w:cs="Times New Roman"/>
        </w:rPr>
        <w:t xml:space="preserve"> A return of substance use disorder (SUD) symptoms, including substance use, after a period of remission from SUD (see </w:t>
      </w:r>
      <w:r w:rsidRPr="007D4CB3">
        <w:rPr>
          <w:rFonts w:ascii="Times New Roman" w:hAnsi="Times New Roman" w:cs="Times New Roman"/>
          <w:b/>
          <w:bCs/>
        </w:rPr>
        <w:t>recovery</w:t>
      </w:r>
      <w:r w:rsidR="00515392" w:rsidRPr="007D4CB3">
        <w:rPr>
          <w:rFonts w:ascii="Times New Roman" w:hAnsi="Times New Roman" w:cs="Times New Roman"/>
        </w:rPr>
        <w:t xml:space="preserve">, </w:t>
      </w:r>
      <w:r w:rsidR="00515392" w:rsidRPr="007D4CB3">
        <w:rPr>
          <w:rFonts w:ascii="Times New Roman" w:hAnsi="Times New Roman" w:cs="Times New Roman"/>
          <w:b/>
          <w:bCs/>
        </w:rPr>
        <w:t>substance use disorder</w:t>
      </w:r>
      <w:r w:rsidRPr="007D4CB3">
        <w:rPr>
          <w:rFonts w:ascii="Times New Roman" w:hAnsi="Times New Roman" w:cs="Times New Roman"/>
        </w:rPr>
        <w:t>).</w:t>
      </w:r>
      <w:r w:rsidRPr="007D4CB3">
        <w:rPr>
          <w:rFonts w:ascii="Times New Roman" w:hAnsi="Times New Roman" w:cs="Times New Roman"/>
        </w:rPr>
        <w:fldChar w:fldCharType="begin"/>
      </w:r>
      <w:r w:rsidR="00596A41" w:rsidRPr="007D4CB3">
        <w:rPr>
          <w:rFonts w:ascii="Times New Roman" w:hAnsi="Times New Roman" w:cs="Times New Roman"/>
        </w:rPr>
        <w:instrText xml:space="preserve"> ADDIN ZOTERO_ITEM CSL_CITATION {"citationID":"L6d71MMq","properties":{"formattedCitation":"\\super 329\\nosupersub{}","plainCitation":"329","noteIndex":0},"citationItems":[{"id":6746,"uris":["http://zotero.org/groups/4862100/items/S6PZQCDT"],"itemData":{"id":6746,"type":"document","publisher":"Substance Abuse and Mental Health Services Administration","title":"Medications for Opioid Use Disorder: For Healthcare and Addiction Professionals, Policymakers, Patients, and Families. Treatment Improvement Protocol (TIP) No. 63","URL":"https://store.samhsa.gov/sites/default/files/pep21-02-01-002.pdf","author":[{"family":"Substance Abuse and Mental Health Services Administration","given":""}],"accessed":{"date-parts":[["2023",3,3]]},"issued":{"date-parts":[["2021"]]}}}],"schema":"https://github.com/citation-style-language/schema/raw/master/csl-citation.json"} </w:instrText>
      </w:r>
      <w:r w:rsidRPr="007D4CB3">
        <w:rPr>
          <w:rFonts w:ascii="Times New Roman" w:hAnsi="Times New Roman" w:cs="Times New Roman"/>
        </w:rPr>
        <w:fldChar w:fldCharType="separate"/>
      </w:r>
      <w:r w:rsidR="00596A41" w:rsidRPr="007D4CB3">
        <w:rPr>
          <w:rFonts w:ascii="Times New Roman" w:hAnsi="Times New Roman" w:cs="Times New Roman"/>
          <w:vertAlign w:val="superscript"/>
        </w:rPr>
        <w:t>329</w:t>
      </w:r>
      <w:r w:rsidRPr="007D4CB3">
        <w:rPr>
          <w:rFonts w:ascii="Times New Roman" w:hAnsi="Times New Roman" w:cs="Times New Roman"/>
        </w:rPr>
        <w:fldChar w:fldCharType="end"/>
      </w:r>
    </w:p>
    <w:p w14:paraId="0DED9413" w14:textId="239C5F54" w:rsidR="005D3271" w:rsidRPr="007D4CB3" w:rsidRDefault="005D3271" w:rsidP="00FC7CE6">
      <w:pPr>
        <w:spacing w:before="0" w:after="0" w:line="360" w:lineRule="auto"/>
        <w:rPr>
          <w:rFonts w:ascii="Times New Roman" w:hAnsi="Times New Roman" w:cs="Times New Roman"/>
        </w:rPr>
      </w:pPr>
      <w:r w:rsidRPr="007D4CB3">
        <w:rPr>
          <w:rFonts w:ascii="Times New Roman" w:hAnsi="Times New Roman" w:cs="Times New Roman"/>
          <w:b/>
          <w:bCs/>
        </w:rPr>
        <w:t>social determinants of health</w:t>
      </w:r>
      <w:r w:rsidR="00515392" w:rsidRPr="007D4CB3">
        <w:rPr>
          <w:rFonts w:ascii="Times New Roman" w:hAnsi="Times New Roman" w:cs="Times New Roman"/>
          <w:b/>
          <w:bCs/>
        </w:rPr>
        <w:t xml:space="preserve"> (SDOH)</w:t>
      </w:r>
      <w:r w:rsidRPr="007D4CB3">
        <w:rPr>
          <w:rFonts w:ascii="Times New Roman" w:hAnsi="Times New Roman" w:cs="Times New Roman"/>
          <w:b/>
          <w:bCs/>
        </w:rPr>
        <w:t>:</w:t>
      </w:r>
      <w:r w:rsidRPr="007D4CB3">
        <w:rPr>
          <w:rFonts w:ascii="Times New Roman" w:hAnsi="Times New Roman" w:cs="Times New Roman"/>
        </w:rPr>
        <w:t xml:space="preserve"> The conditions in the environments where people are born, live, learn, work, play, worship, and age that affect a wide range of health, functioning, and quality-of-life outcomes and risks.</w:t>
      </w:r>
      <w:r w:rsidRPr="007D4CB3">
        <w:rPr>
          <w:rFonts w:ascii="Times New Roman" w:hAnsi="Times New Roman" w:cs="Times New Roman"/>
        </w:rPr>
        <w:fldChar w:fldCharType="begin"/>
      </w:r>
      <w:r w:rsidR="00596A41" w:rsidRPr="007D4CB3">
        <w:rPr>
          <w:rFonts w:ascii="Times New Roman" w:hAnsi="Times New Roman" w:cs="Times New Roman"/>
        </w:rPr>
        <w:instrText xml:space="preserve"> ADDIN ZOTERO_ITEM CSL_CITATION {"citationID":"5QTTF9BU","properties":{"formattedCitation":"\\super 332\\nosupersub{}","plainCitation":"332","noteIndex":0},"citationItems":[{"id":6749,"uris":["http://zotero.org/groups/4862100/items/GXGIBQYB"],"itemData":{"id":6749,"type":"webpage","title":"Social Determinants of Health","URL":"https://health.gov/healthypeople/priority-areas/social-determinants-health","author":[{"family":"US Department of Health and Human Services","given":""}],"accessed":{"date-parts":[["2023",8,23]]}}}],"schema":"https://github.com/citation-style-language/schema/raw/master/csl-citation.json"} </w:instrText>
      </w:r>
      <w:r w:rsidRPr="007D4CB3">
        <w:rPr>
          <w:rFonts w:ascii="Times New Roman" w:hAnsi="Times New Roman" w:cs="Times New Roman"/>
        </w:rPr>
        <w:fldChar w:fldCharType="separate"/>
      </w:r>
      <w:r w:rsidR="00596A41" w:rsidRPr="007D4CB3">
        <w:rPr>
          <w:rFonts w:ascii="Times New Roman" w:hAnsi="Times New Roman" w:cs="Times New Roman"/>
          <w:vertAlign w:val="superscript"/>
        </w:rPr>
        <w:t>332</w:t>
      </w:r>
      <w:r w:rsidRPr="007D4CB3">
        <w:rPr>
          <w:rFonts w:ascii="Times New Roman" w:hAnsi="Times New Roman" w:cs="Times New Roman"/>
        </w:rPr>
        <w:fldChar w:fldCharType="end"/>
      </w:r>
    </w:p>
    <w:p w14:paraId="6E5652EC" w14:textId="61FDA5FC" w:rsidR="005D3271" w:rsidRPr="007D4CB3" w:rsidRDefault="005D3271" w:rsidP="00FC7CE6">
      <w:pPr>
        <w:spacing w:before="0" w:after="0" w:line="360" w:lineRule="auto"/>
        <w:rPr>
          <w:rFonts w:ascii="Times New Roman" w:hAnsi="Times New Roman" w:cs="Times New Roman"/>
        </w:rPr>
      </w:pPr>
      <w:r w:rsidRPr="007D4CB3">
        <w:rPr>
          <w:rFonts w:ascii="Times New Roman" w:hAnsi="Times New Roman" w:cs="Times New Roman"/>
          <w:b/>
          <w:bCs/>
        </w:rPr>
        <w:t>substance use disorder (SUD):</w:t>
      </w:r>
      <w:r w:rsidRPr="007D4CB3">
        <w:rPr>
          <w:rFonts w:ascii="Times New Roman" w:hAnsi="Times New Roman" w:cs="Times New Roman"/>
        </w:rPr>
        <w:t xml:space="preserve"> A medical illness consisting of a cluster of cognitive, behavioral, and physiological symptoms caused by repeated misuse of a substance or substances. Characterized by clinically significant impairments in health, social function, and impaired control over substance use (see </w:t>
      </w:r>
      <w:r w:rsidRPr="007D4CB3">
        <w:rPr>
          <w:rFonts w:ascii="Times New Roman" w:hAnsi="Times New Roman" w:cs="Times New Roman"/>
          <w:b/>
          <w:bCs/>
        </w:rPr>
        <w:t>addiction</w:t>
      </w:r>
      <w:r w:rsidRPr="007D4CB3">
        <w:rPr>
          <w:rFonts w:ascii="Times New Roman" w:hAnsi="Times New Roman" w:cs="Times New Roman"/>
        </w:rPr>
        <w:t>).</w:t>
      </w:r>
      <w:r w:rsidRPr="007D4CB3">
        <w:rPr>
          <w:rFonts w:ascii="Times New Roman" w:hAnsi="Times New Roman" w:cs="Times New Roman"/>
        </w:rPr>
        <w:fldChar w:fldCharType="begin"/>
      </w:r>
      <w:r w:rsidR="00596A41" w:rsidRPr="007D4CB3">
        <w:rPr>
          <w:rFonts w:ascii="Times New Roman" w:hAnsi="Times New Roman" w:cs="Times New Roman"/>
        </w:rPr>
        <w:instrText xml:space="preserve"> ADDIN ZOTERO_ITEM CSL_CITATION {"citationID":"32PequlE","properties":{"formattedCitation":"\\super 331\\nosupersub{}","plainCitation":"331","noteIndex":0},"citationItems":[{"id":6748,"uris":["http://zotero.org/groups/4862100/items/ABWHQ3N2"],"itemData":{"id":6748,"type":"document","publisher":"US Department of Health and Human Services","title":"Facing Addiction in America: The Surgeon General’s Report on Alcohol, Drugs, and Health.","URL":"https://addiction.surgeongeneral.gov/sites/default/files/surgeon-generals-report.pdf","author":[{"family":"US Department of Health and Human Services","given":""}],"accessed":{"date-parts":[["2023",8,23]]},"issued":{"date-parts":[["2016"]]}}}],"schema":"https://github.com/citation-style-language/schema/raw/master/csl-citation.json"} </w:instrText>
      </w:r>
      <w:r w:rsidRPr="007D4CB3">
        <w:rPr>
          <w:rFonts w:ascii="Times New Roman" w:hAnsi="Times New Roman" w:cs="Times New Roman"/>
        </w:rPr>
        <w:fldChar w:fldCharType="separate"/>
      </w:r>
      <w:r w:rsidR="00596A41" w:rsidRPr="007D4CB3">
        <w:rPr>
          <w:rFonts w:ascii="Times New Roman" w:hAnsi="Times New Roman" w:cs="Times New Roman"/>
          <w:vertAlign w:val="superscript"/>
        </w:rPr>
        <w:t>331</w:t>
      </w:r>
      <w:r w:rsidRPr="007D4CB3">
        <w:rPr>
          <w:rFonts w:ascii="Times New Roman" w:hAnsi="Times New Roman" w:cs="Times New Roman"/>
        </w:rPr>
        <w:fldChar w:fldCharType="end"/>
      </w:r>
    </w:p>
    <w:p w14:paraId="00B82684" w14:textId="061A5C9E" w:rsidR="005D3271" w:rsidRPr="007D4CB3" w:rsidRDefault="005D3271" w:rsidP="00FC7CE6">
      <w:pPr>
        <w:spacing w:before="0" w:after="0" w:line="360" w:lineRule="auto"/>
        <w:rPr>
          <w:rFonts w:ascii="Times New Roman" w:hAnsi="Times New Roman" w:cs="Times New Roman"/>
        </w:rPr>
      </w:pPr>
      <w:r w:rsidRPr="007D4CB3">
        <w:rPr>
          <w:rFonts w:ascii="Times New Roman" w:hAnsi="Times New Roman" w:cs="Times New Roman"/>
          <w:b/>
          <w:bCs/>
        </w:rPr>
        <w:t>substance-induced disorders:</w:t>
      </w:r>
      <w:r w:rsidRPr="007D4CB3">
        <w:rPr>
          <w:rFonts w:ascii="Times New Roman" w:hAnsi="Times New Roman" w:cs="Times New Roman"/>
        </w:rPr>
        <w:t xml:space="preserve"> Illnesses or conditions that </w:t>
      </w:r>
      <w:proofErr w:type="gramStart"/>
      <w:r w:rsidRPr="007D4CB3">
        <w:rPr>
          <w:rFonts w:ascii="Times New Roman" w:hAnsi="Times New Roman" w:cs="Times New Roman"/>
        </w:rPr>
        <w:t>are directly caused</w:t>
      </w:r>
      <w:proofErr w:type="gramEnd"/>
      <w:r w:rsidRPr="007D4CB3">
        <w:rPr>
          <w:rFonts w:ascii="Times New Roman" w:hAnsi="Times New Roman" w:cs="Times New Roman"/>
        </w:rPr>
        <w:t xml:space="preserve"> by substance use. Distinct from independently co</w:t>
      </w:r>
      <w:r w:rsidR="006E7EFB" w:rsidRPr="007D4CB3">
        <w:rPr>
          <w:rFonts w:ascii="Times New Roman" w:hAnsi="Times New Roman" w:cs="Times New Roman"/>
        </w:rPr>
        <w:noBreakHyphen/>
      </w:r>
      <w:r w:rsidRPr="007D4CB3">
        <w:rPr>
          <w:rFonts w:ascii="Times New Roman" w:hAnsi="Times New Roman" w:cs="Times New Roman"/>
        </w:rPr>
        <w:t xml:space="preserve">occurring mental disorders in that all or most of the psychiatric signs and symptoms are the direct result of substance use (see </w:t>
      </w:r>
      <w:r w:rsidRPr="007D4CB3">
        <w:rPr>
          <w:rFonts w:ascii="Times New Roman" w:hAnsi="Times New Roman" w:cs="Times New Roman"/>
          <w:b/>
          <w:bCs/>
        </w:rPr>
        <w:t>substance use disorder</w:t>
      </w:r>
      <w:r w:rsidRPr="007D4CB3">
        <w:rPr>
          <w:rFonts w:ascii="Times New Roman" w:hAnsi="Times New Roman" w:cs="Times New Roman"/>
        </w:rPr>
        <w:t>).</w:t>
      </w:r>
      <w:r w:rsidRPr="007D4CB3">
        <w:rPr>
          <w:rFonts w:ascii="Times New Roman" w:hAnsi="Times New Roman" w:cs="Times New Roman"/>
        </w:rPr>
        <w:fldChar w:fldCharType="begin"/>
      </w:r>
      <w:r w:rsidR="00B678C8" w:rsidRPr="007D4CB3">
        <w:rPr>
          <w:rFonts w:ascii="Times New Roman" w:hAnsi="Times New Roman" w:cs="Times New Roman"/>
        </w:rPr>
        <w:instrText xml:space="preserve"> ADDIN ZOTERO_ITEM CSL_CITATION {"citationID":"cx9yDcXy","properties":{"formattedCitation":"\\super 18\\nosupersub{}","plainCitation":"18","noteIndex":0},"citationItems":[{"id":3086,"uris":["http://zotero.org/groups/4862100/items/2FA2YICB"],"itemData":{"id":3086,"type":"book","number-of-pages":"1120","publisher":"American Psychiatric Association","title":"Diagnostic and Statistical Manual of Mental Disorders, Fifth Edition, Text Revision","author":[{"family":"American Psychiatric Association","given":""}],"issued":{"date-parts":[["2022"]]}}}],"schema":"https://github.com/citation-style-language/schema/raw/master/csl-citation.json"} </w:instrText>
      </w:r>
      <w:r w:rsidRPr="007D4CB3">
        <w:rPr>
          <w:rFonts w:ascii="Times New Roman" w:hAnsi="Times New Roman" w:cs="Times New Roman"/>
        </w:rPr>
        <w:fldChar w:fldCharType="separate"/>
      </w:r>
      <w:r w:rsidR="00B678C8" w:rsidRPr="007D4CB3">
        <w:rPr>
          <w:rFonts w:ascii="Times New Roman" w:hAnsi="Times New Roman" w:cs="Times New Roman"/>
          <w:vertAlign w:val="superscript"/>
        </w:rPr>
        <w:t>18</w:t>
      </w:r>
      <w:r w:rsidRPr="007D4CB3">
        <w:rPr>
          <w:rFonts w:ascii="Times New Roman" w:hAnsi="Times New Roman" w:cs="Times New Roman"/>
        </w:rPr>
        <w:fldChar w:fldCharType="end"/>
      </w:r>
    </w:p>
    <w:p w14:paraId="33AA5651" w14:textId="33A3518E" w:rsidR="005D3271" w:rsidRPr="007D4CB3" w:rsidRDefault="005D3271" w:rsidP="00FC7CE6">
      <w:pPr>
        <w:spacing w:before="0" w:after="0" w:line="360" w:lineRule="auto"/>
        <w:rPr>
          <w:rFonts w:ascii="Times New Roman" w:hAnsi="Times New Roman" w:cs="Times New Roman"/>
        </w:rPr>
      </w:pPr>
      <w:r w:rsidRPr="007D4CB3">
        <w:rPr>
          <w:rFonts w:ascii="Times New Roman" w:hAnsi="Times New Roman" w:cs="Times New Roman"/>
          <w:b/>
          <w:bCs/>
        </w:rPr>
        <w:t>telehealth:</w:t>
      </w:r>
      <w:r w:rsidRPr="007D4CB3">
        <w:rPr>
          <w:rFonts w:ascii="Times New Roman" w:hAnsi="Times New Roman" w:cs="Times New Roman"/>
        </w:rPr>
        <w:t xml:space="preserve"> The use of electronic information and telecommunications technologies to support delivery of health care, health-related education, and other health-related services and functions, including but not limited to electronic health records, mobile applications, telemedicine, and web-based tools (see </w:t>
      </w:r>
      <w:r w:rsidRPr="007D4CB3">
        <w:rPr>
          <w:rFonts w:ascii="Times New Roman" w:hAnsi="Times New Roman" w:cs="Times New Roman"/>
          <w:b/>
          <w:bCs/>
        </w:rPr>
        <w:t>telemedicine</w:t>
      </w:r>
      <w:r w:rsidRPr="007D4CB3">
        <w:rPr>
          <w:rFonts w:ascii="Times New Roman" w:hAnsi="Times New Roman" w:cs="Times New Roman"/>
        </w:rPr>
        <w:t>).</w:t>
      </w:r>
      <w:r w:rsidRPr="007D4CB3">
        <w:rPr>
          <w:rFonts w:ascii="Times New Roman" w:hAnsi="Times New Roman" w:cs="Times New Roman"/>
        </w:rPr>
        <w:fldChar w:fldCharType="begin"/>
      </w:r>
      <w:r w:rsidR="00596A41" w:rsidRPr="007D4CB3">
        <w:rPr>
          <w:rFonts w:ascii="Times New Roman" w:hAnsi="Times New Roman" w:cs="Times New Roman"/>
        </w:rPr>
        <w:instrText xml:space="preserve"> ADDIN ZOTERO_ITEM CSL_CITATION {"citationID":"IG1cyLUb","properties":{"formattedCitation":"\\super 333\\nosupersub{}","plainCitation":"333","noteIndex":0},"citationItems":[{"id":6750,"uris":["http://zotero.org/groups/4862100/items/IC7XB7PR"],"itemData":{"id":6750,"type":"webpage","title":"Frequently Asked Questions","URL":"https://www.healthit.gov/faq/what-telehealth","author":[{"family":"HealthIT.gov","given":""}],"accessed":{"date-parts":[["2023",8,23]]}}}],"schema":"https://github.com/citation-style-language/schema/raw/master/csl-citation.json"} </w:instrText>
      </w:r>
      <w:r w:rsidRPr="007D4CB3">
        <w:rPr>
          <w:rFonts w:ascii="Times New Roman" w:hAnsi="Times New Roman" w:cs="Times New Roman"/>
        </w:rPr>
        <w:fldChar w:fldCharType="separate"/>
      </w:r>
      <w:r w:rsidR="00596A41" w:rsidRPr="007D4CB3">
        <w:rPr>
          <w:rFonts w:ascii="Times New Roman" w:hAnsi="Times New Roman" w:cs="Times New Roman"/>
          <w:vertAlign w:val="superscript"/>
        </w:rPr>
        <w:t>333</w:t>
      </w:r>
      <w:r w:rsidRPr="007D4CB3">
        <w:rPr>
          <w:rFonts w:ascii="Times New Roman" w:hAnsi="Times New Roman" w:cs="Times New Roman"/>
        </w:rPr>
        <w:fldChar w:fldCharType="end"/>
      </w:r>
    </w:p>
    <w:p w14:paraId="28BE3C64" w14:textId="06843CBC" w:rsidR="005D3271" w:rsidRPr="007D4CB3" w:rsidRDefault="005D3271" w:rsidP="00FC7CE6">
      <w:pPr>
        <w:spacing w:before="0" w:after="0" w:line="360" w:lineRule="auto"/>
        <w:rPr>
          <w:rFonts w:ascii="Times New Roman" w:hAnsi="Times New Roman" w:cs="Times New Roman"/>
        </w:rPr>
      </w:pPr>
      <w:r w:rsidRPr="007D4CB3">
        <w:rPr>
          <w:rFonts w:ascii="Times New Roman" w:hAnsi="Times New Roman" w:cs="Times New Roman"/>
          <w:b/>
          <w:bCs/>
        </w:rPr>
        <w:t>telemedicine:</w:t>
      </w:r>
      <w:r w:rsidRPr="007D4CB3">
        <w:rPr>
          <w:rFonts w:ascii="Times New Roman" w:hAnsi="Times New Roman" w:cs="Times New Roman"/>
        </w:rPr>
        <w:t xml:space="preserve"> Services that utilize telecommunication platforms to perform direct (</w:t>
      </w:r>
      <w:r w:rsidR="002928C5" w:rsidRPr="007D4CB3">
        <w:rPr>
          <w:rFonts w:ascii="Times New Roman" w:hAnsi="Times New Roman" w:cs="Times New Roman"/>
        </w:rPr>
        <w:t>i.e.</w:t>
      </w:r>
      <w:r w:rsidRPr="007D4CB3">
        <w:rPr>
          <w:rFonts w:ascii="Times New Roman" w:hAnsi="Times New Roman" w:cs="Times New Roman"/>
        </w:rPr>
        <w:t xml:space="preserve">, synchronous) patient services when healthcare providers are located at a distance from patients (see </w:t>
      </w:r>
      <w:r w:rsidRPr="007D4CB3">
        <w:rPr>
          <w:rFonts w:ascii="Times New Roman" w:hAnsi="Times New Roman" w:cs="Times New Roman"/>
          <w:b/>
          <w:bCs/>
        </w:rPr>
        <w:t>telehealth</w:t>
      </w:r>
      <w:r w:rsidRPr="007D4CB3">
        <w:rPr>
          <w:rFonts w:ascii="Times New Roman" w:hAnsi="Times New Roman" w:cs="Times New Roman"/>
        </w:rPr>
        <w:t>).</w:t>
      </w:r>
    </w:p>
    <w:p w14:paraId="251F9AF0" w14:textId="5E057979" w:rsidR="005D3271" w:rsidRPr="007D4CB3" w:rsidRDefault="005D3271" w:rsidP="00FC7CE6">
      <w:pPr>
        <w:spacing w:before="0" w:after="0" w:line="360" w:lineRule="auto"/>
        <w:rPr>
          <w:rFonts w:ascii="Times New Roman" w:hAnsi="Times New Roman" w:cs="Times New Roman"/>
        </w:rPr>
      </w:pPr>
      <w:r w:rsidRPr="007D4CB3">
        <w:rPr>
          <w:rFonts w:ascii="Times New Roman" w:hAnsi="Times New Roman" w:cs="Times New Roman"/>
          <w:b/>
          <w:bCs/>
        </w:rPr>
        <w:lastRenderedPageBreak/>
        <w:t>toxicology testing:</w:t>
      </w:r>
      <w:r w:rsidRPr="007D4CB3">
        <w:rPr>
          <w:rFonts w:ascii="Times New Roman" w:hAnsi="Times New Roman" w:cs="Times New Roman"/>
        </w:rPr>
        <w:t xml:space="preserve"> Also called toxicology screening, this term refers to the process of testing for the presence of toxins or poisons</w:t>
      </w:r>
      <w:r w:rsidR="00736D97" w:rsidRPr="007D4CB3">
        <w:rPr>
          <w:rFonts w:ascii="Times New Roman" w:hAnsi="Times New Roman" w:cs="Times New Roman"/>
        </w:rPr>
        <w:t xml:space="preserve"> (see </w:t>
      </w:r>
      <w:r w:rsidR="00736D97" w:rsidRPr="007D4CB3">
        <w:rPr>
          <w:rFonts w:ascii="Times New Roman" w:hAnsi="Times New Roman" w:cs="Times New Roman"/>
          <w:b/>
          <w:bCs/>
        </w:rPr>
        <w:t>drug testing</w:t>
      </w:r>
      <w:r w:rsidR="00736D97" w:rsidRPr="007D4CB3">
        <w:rPr>
          <w:rFonts w:ascii="Times New Roman" w:hAnsi="Times New Roman" w:cs="Times New Roman"/>
        </w:rPr>
        <w:t>)</w:t>
      </w:r>
      <w:r w:rsidRPr="007D4CB3">
        <w:rPr>
          <w:rFonts w:ascii="Times New Roman" w:hAnsi="Times New Roman" w:cs="Times New Roman"/>
        </w:rPr>
        <w:t>.</w:t>
      </w:r>
    </w:p>
    <w:p w14:paraId="4887B9C6" w14:textId="77777777" w:rsidR="005D3271" w:rsidRPr="007D4CB3" w:rsidRDefault="005D3271" w:rsidP="00FC7CE6">
      <w:pPr>
        <w:spacing w:before="0" w:after="0" w:line="360" w:lineRule="auto"/>
        <w:rPr>
          <w:rFonts w:ascii="Times New Roman" w:hAnsi="Times New Roman" w:cs="Times New Roman"/>
        </w:rPr>
      </w:pPr>
      <w:r w:rsidRPr="007D4CB3">
        <w:rPr>
          <w:rFonts w:ascii="Times New Roman" w:hAnsi="Times New Roman" w:cs="Times New Roman"/>
          <w:b/>
          <w:bCs/>
        </w:rPr>
        <w:t>trauma-informed care (TIC):</w:t>
      </w:r>
      <w:r w:rsidRPr="007D4CB3">
        <w:rPr>
          <w:rFonts w:ascii="Times New Roman" w:hAnsi="Times New Roman" w:cs="Times New Roman"/>
        </w:rPr>
        <w:t xml:space="preserve"> The process of engaging in trauma-based educational training, including gathering information on the </w:t>
      </w:r>
      <w:proofErr w:type="gramStart"/>
      <w:r w:rsidRPr="007D4CB3">
        <w:rPr>
          <w:rFonts w:ascii="Times New Roman" w:hAnsi="Times New Roman" w:cs="Times New Roman"/>
        </w:rPr>
        <w:t>various types</w:t>
      </w:r>
      <w:proofErr w:type="gramEnd"/>
      <w:r w:rsidRPr="007D4CB3">
        <w:rPr>
          <w:rFonts w:ascii="Times New Roman" w:hAnsi="Times New Roman" w:cs="Times New Roman"/>
        </w:rPr>
        <w:t xml:space="preserve"> of traumas, the physiological and emotional impact of surviving trauma, and healing modalities to prevent disruptive aftereffects.</w:t>
      </w:r>
    </w:p>
    <w:p w14:paraId="6389DD9F" w14:textId="77777777" w:rsidR="00FC208B" w:rsidRPr="007D4CB3" w:rsidRDefault="00FC208B" w:rsidP="00FC7CE6">
      <w:pPr>
        <w:spacing w:before="0" w:after="0" w:line="360" w:lineRule="auto"/>
        <w:rPr>
          <w:rFonts w:ascii="Times New Roman" w:hAnsi="Times New Roman" w:cs="Times New Roman"/>
        </w:rPr>
      </w:pPr>
      <w:r w:rsidRPr="007D4CB3">
        <w:rPr>
          <w:rFonts w:ascii="Times New Roman" w:hAnsi="Times New Roman" w:cs="Times New Roman"/>
          <w:b/>
          <w:bCs/>
        </w:rPr>
        <w:t>trauma-responsive care (TRC):</w:t>
      </w:r>
      <w:r w:rsidRPr="007D4CB3">
        <w:rPr>
          <w:rFonts w:ascii="Times New Roman" w:hAnsi="Times New Roman" w:cs="Times New Roman"/>
        </w:rPr>
        <w:t xml:space="preserve"> An ongoing process that furthers trauma-based education through information embodiment by asking treatment providers to understand and comprehend information through self-exploration, self-awareness, and reflective practices to develop a concrete understanding of their own emotional literacy and how this impacts the care that they provide. One component of trauma-sensitive practices (TSP; see </w:t>
      </w:r>
      <w:r w:rsidRPr="007D4CB3">
        <w:rPr>
          <w:rFonts w:ascii="Times New Roman" w:hAnsi="Times New Roman" w:cs="Times New Roman"/>
          <w:b/>
          <w:bCs/>
        </w:rPr>
        <w:t>trauma-sensitive practices</w:t>
      </w:r>
      <w:r w:rsidRPr="007D4CB3">
        <w:rPr>
          <w:rFonts w:ascii="Times New Roman" w:hAnsi="Times New Roman" w:cs="Times New Roman"/>
        </w:rPr>
        <w:t>).</w:t>
      </w:r>
    </w:p>
    <w:p w14:paraId="3B081552" w14:textId="77777777" w:rsidR="00FC208B" w:rsidRPr="007D4CB3" w:rsidRDefault="00FC208B" w:rsidP="00FC7CE6">
      <w:pPr>
        <w:spacing w:before="0" w:after="0" w:line="360" w:lineRule="auto"/>
        <w:rPr>
          <w:rFonts w:ascii="Times New Roman" w:hAnsi="Times New Roman" w:cs="Times New Roman"/>
        </w:rPr>
      </w:pPr>
      <w:r w:rsidRPr="007D4CB3">
        <w:rPr>
          <w:rFonts w:ascii="Times New Roman" w:hAnsi="Times New Roman" w:cs="Times New Roman"/>
          <w:b/>
          <w:bCs/>
        </w:rPr>
        <w:t>trauma-sensitive practices (TSP):</w:t>
      </w:r>
      <w:r w:rsidRPr="007D4CB3">
        <w:rPr>
          <w:rFonts w:ascii="Times New Roman" w:hAnsi="Times New Roman" w:cs="Times New Roman"/>
        </w:rPr>
        <w:t xml:space="preserve"> A system of care that facilitates opportunities that advance clinician knowledge, expand clinician attitudes, and offer therapeutic practices designed around each patient’s unique culture, life experiences, and present circumstances. Comprised of trauma-informed care (TIC), trauma-specific care (TSC), trauma-responsive care (TRC), and cultural humility (see </w:t>
      </w:r>
      <w:r w:rsidRPr="007D4CB3">
        <w:rPr>
          <w:rFonts w:ascii="Times New Roman" w:hAnsi="Times New Roman" w:cs="Times New Roman"/>
          <w:b/>
          <w:bCs/>
        </w:rPr>
        <w:t>cultural humility</w:t>
      </w:r>
      <w:r w:rsidRPr="007D4CB3">
        <w:rPr>
          <w:rFonts w:ascii="Times New Roman" w:hAnsi="Times New Roman" w:cs="Times New Roman"/>
        </w:rPr>
        <w:t xml:space="preserve">, </w:t>
      </w:r>
      <w:r w:rsidRPr="007D4CB3">
        <w:rPr>
          <w:rFonts w:ascii="Times New Roman" w:hAnsi="Times New Roman" w:cs="Times New Roman"/>
          <w:b/>
          <w:bCs/>
        </w:rPr>
        <w:t>trauma-informed care</w:t>
      </w:r>
      <w:r w:rsidRPr="007D4CB3">
        <w:rPr>
          <w:rFonts w:ascii="Times New Roman" w:hAnsi="Times New Roman" w:cs="Times New Roman"/>
        </w:rPr>
        <w:t xml:space="preserve">, </w:t>
      </w:r>
      <w:r w:rsidRPr="007D4CB3">
        <w:rPr>
          <w:rFonts w:ascii="Times New Roman" w:hAnsi="Times New Roman" w:cs="Times New Roman"/>
          <w:b/>
          <w:bCs/>
        </w:rPr>
        <w:t>trauma-responsive care</w:t>
      </w:r>
      <w:r w:rsidRPr="007D4CB3">
        <w:rPr>
          <w:rFonts w:ascii="Times New Roman" w:hAnsi="Times New Roman" w:cs="Times New Roman"/>
        </w:rPr>
        <w:t xml:space="preserve">, </w:t>
      </w:r>
      <w:r w:rsidRPr="007D4CB3">
        <w:rPr>
          <w:rFonts w:ascii="Times New Roman" w:hAnsi="Times New Roman" w:cs="Times New Roman"/>
          <w:b/>
          <w:bCs/>
        </w:rPr>
        <w:t>trauma-specific care</w:t>
      </w:r>
      <w:r w:rsidRPr="007D4CB3">
        <w:rPr>
          <w:rFonts w:ascii="Times New Roman" w:hAnsi="Times New Roman" w:cs="Times New Roman"/>
        </w:rPr>
        <w:t>)</w:t>
      </w:r>
    </w:p>
    <w:p w14:paraId="37802B7F" w14:textId="710C88AA" w:rsidR="00FC208B" w:rsidRPr="007D4CB3" w:rsidRDefault="00FC208B" w:rsidP="00FC7CE6">
      <w:pPr>
        <w:spacing w:before="0" w:after="0" w:line="360" w:lineRule="auto"/>
        <w:rPr>
          <w:rFonts w:ascii="Times New Roman" w:hAnsi="Times New Roman" w:cs="Times New Roman"/>
        </w:rPr>
      </w:pPr>
      <w:r w:rsidRPr="007D4CB3">
        <w:rPr>
          <w:rFonts w:ascii="Times New Roman" w:hAnsi="Times New Roman" w:cs="Times New Roman"/>
          <w:b/>
          <w:bCs/>
        </w:rPr>
        <w:t>trauma-specific care (TSC):</w:t>
      </w:r>
      <w:r w:rsidRPr="007D4CB3">
        <w:rPr>
          <w:rFonts w:ascii="Times New Roman" w:hAnsi="Times New Roman" w:cs="Times New Roman"/>
        </w:rPr>
        <w:t xml:space="preserve"> An ongoing process where treatment providers engage with trauma knowledge and information to impact, refine, and improve the ways in which healthcare services </w:t>
      </w:r>
      <w:proofErr w:type="gramStart"/>
      <w:r w:rsidRPr="007D4CB3">
        <w:rPr>
          <w:rFonts w:ascii="Times New Roman" w:hAnsi="Times New Roman" w:cs="Times New Roman"/>
        </w:rPr>
        <w:t>are provided</w:t>
      </w:r>
      <w:proofErr w:type="gramEnd"/>
      <w:r w:rsidRPr="007D4CB3">
        <w:rPr>
          <w:rFonts w:ascii="Times New Roman" w:hAnsi="Times New Roman" w:cs="Times New Roman"/>
        </w:rPr>
        <w:t xml:space="preserve"> to support better patient outcomes. One component of trauma-sensitive practices (TSP; see </w:t>
      </w:r>
      <w:r w:rsidRPr="007D4CB3">
        <w:rPr>
          <w:rFonts w:ascii="Times New Roman" w:hAnsi="Times New Roman" w:cs="Times New Roman"/>
          <w:b/>
          <w:bCs/>
        </w:rPr>
        <w:t>trauma-sensitive practices</w:t>
      </w:r>
      <w:r w:rsidRPr="007D4CB3">
        <w:rPr>
          <w:rFonts w:ascii="Times New Roman" w:hAnsi="Times New Roman" w:cs="Times New Roman"/>
        </w:rPr>
        <w:t>).</w:t>
      </w:r>
    </w:p>
    <w:p w14:paraId="19EEB530" w14:textId="75017423" w:rsidR="005D3271" w:rsidRPr="007D4CB3" w:rsidRDefault="005D3271" w:rsidP="00FC7CE6">
      <w:pPr>
        <w:spacing w:before="0" w:after="0" w:line="360" w:lineRule="auto"/>
        <w:rPr>
          <w:rFonts w:ascii="Times New Roman" w:hAnsi="Times New Roman" w:cs="Times New Roman"/>
        </w:rPr>
      </w:pPr>
      <w:r w:rsidRPr="007D4CB3">
        <w:rPr>
          <w:rFonts w:ascii="Times New Roman" w:hAnsi="Times New Roman" w:cs="Times New Roman"/>
          <w:b/>
          <w:bCs/>
        </w:rPr>
        <w:t>warm handoff:</w:t>
      </w:r>
      <w:r w:rsidRPr="007D4CB3">
        <w:rPr>
          <w:rFonts w:ascii="Times New Roman" w:hAnsi="Times New Roman" w:cs="Times New Roman"/>
        </w:rPr>
        <w:t xml:space="preserve"> A</w:t>
      </w:r>
      <w:r w:rsidRPr="007D4CB3" w:rsidDel="005E23E7">
        <w:rPr>
          <w:rFonts w:ascii="Times New Roman" w:hAnsi="Times New Roman" w:cs="Times New Roman"/>
        </w:rPr>
        <w:t xml:space="preserve"> </w:t>
      </w:r>
      <w:r w:rsidRPr="007D4CB3">
        <w:rPr>
          <w:rFonts w:ascii="Times New Roman" w:hAnsi="Times New Roman" w:cs="Times New Roman"/>
        </w:rPr>
        <w:t>care transition in which the referring clinician facilitates a direct (</w:t>
      </w:r>
      <w:r w:rsidR="002928C5" w:rsidRPr="007D4CB3">
        <w:rPr>
          <w:rFonts w:ascii="Times New Roman" w:hAnsi="Times New Roman" w:cs="Times New Roman"/>
        </w:rPr>
        <w:t>i.e.</w:t>
      </w:r>
      <w:r w:rsidRPr="007D4CB3">
        <w:rPr>
          <w:rFonts w:ascii="Times New Roman" w:hAnsi="Times New Roman" w:cs="Times New Roman"/>
        </w:rPr>
        <w:t>, face-to-face) introduction of the patient to the receiving clinician at their next level of care.</w:t>
      </w:r>
    </w:p>
    <w:p w14:paraId="58791485" w14:textId="21ECD240" w:rsidR="00CE7927" w:rsidRPr="007D4CB3" w:rsidRDefault="00CE7927" w:rsidP="00FC7CE6">
      <w:pPr>
        <w:spacing w:before="0" w:after="0" w:line="360" w:lineRule="auto"/>
        <w:rPr>
          <w:rFonts w:ascii="Times New Roman" w:hAnsi="Times New Roman" w:cs="Times New Roman"/>
        </w:rPr>
      </w:pPr>
      <w:r w:rsidRPr="007D4CB3">
        <w:rPr>
          <w:rFonts w:ascii="Times New Roman" w:hAnsi="Times New Roman" w:cs="Times New Roman"/>
          <w:b/>
          <w:bCs/>
        </w:rPr>
        <w:t>young adult:</w:t>
      </w:r>
      <w:r w:rsidRPr="007D4CB3">
        <w:rPr>
          <w:rFonts w:ascii="Times New Roman" w:hAnsi="Times New Roman" w:cs="Times New Roman"/>
        </w:rPr>
        <w:t xml:space="preserve"> A person who is 18 to 25 years of age.</w:t>
      </w:r>
    </w:p>
    <w:p w14:paraId="75A9C2E8" w14:textId="77777777" w:rsidR="005D3271" w:rsidRPr="007D4CB3" w:rsidRDefault="005D3271" w:rsidP="007D4CB3">
      <w:pPr>
        <w:spacing w:before="0" w:after="0" w:line="480" w:lineRule="auto"/>
        <w:rPr>
          <w:rFonts w:ascii="Times New Roman" w:hAnsi="Times New Roman" w:cs="Times New Roman"/>
        </w:rPr>
        <w:sectPr w:rsidR="005D3271" w:rsidRPr="007D4CB3" w:rsidSect="00E6227A">
          <w:headerReference w:type="default" r:id="rId11"/>
          <w:footerReference w:type="even" r:id="rId12"/>
          <w:footerReference w:type="default" r:id="rId13"/>
          <w:headerReference w:type="first" r:id="rId14"/>
          <w:footerReference w:type="first" r:id="rId15"/>
          <w:footnotePr>
            <w:numFmt w:val="chicago"/>
          </w:footnotePr>
          <w:type w:val="continuous"/>
          <w:pgSz w:w="12240" w:h="15840"/>
          <w:pgMar w:top="1440" w:right="1440" w:bottom="1440" w:left="1440" w:header="720" w:footer="720" w:gutter="0"/>
          <w:cols w:space="720"/>
          <w:docGrid w:linePitch="360"/>
        </w:sectPr>
      </w:pPr>
    </w:p>
    <w:p w14:paraId="0EA9D223" w14:textId="77777777" w:rsidR="008733C0" w:rsidRPr="007D4CB3" w:rsidRDefault="008733C0" w:rsidP="007D4CB3">
      <w:pPr>
        <w:spacing w:before="0" w:after="0" w:line="480" w:lineRule="auto"/>
        <w:ind w:left="360" w:firstLine="360"/>
        <w:rPr>
          <w:rFonts w:ascii="Times New Roman" w:hAnsi="Times New Roman" w:cs="Times New Roman"/>
          <w:b/>
          <w:bCs/>
        </w:rPr>
      </w:pPr>
      <w:bookmarkStart w:id="1" w:name="_Toc144381375"/>
      <w:r w:rsidRPr="007D4CB3">
        <w:rPr>
          <w:rFonts w:ascii="Times New Roman" w:hAnsi="Times New Roman" w:cs="Times New Roman"/>
        </w:rPr>
        <w:br w:type="page"/>
      </w:r>
    </w:p>
    <w:p w14:paraId="0CA741A2" w14:textId="6FF46A95" w:rsidR="005D3271" w:rsidRPr="007D4CB3" w:rsidRDefault="005D3271" w:rsidP="00FC7CE6">
      <w:pPr>
        <w:pStyle w:val="Heading1"/>
        <w:spacing w:before="0" w:after="0" w:line="360" w:lineRule="auto"/>
        <w:rPr>
          <w:rFonts w:ascii="Times New Roman" w:hAnsi="Times New Roman" w:cs="Times New Roman"/>
          <w:sz w:val="24"/>
          <w:szCs w:val="24"/>
        </w:rPr>
      </w:pPr>
      <w:r w:rsidRPr="007D4CB3">
        <w:rPr>
          <w:rFonts w:ascii="Times New Roman" w:hAnsi="Times New Roman" w:cs="Times New Roman"/>
          <w:sz w:val="24"/>
          <w:szCs w:val="24"/>
        </w:rPr>
        <w:lastRenderedPageBreak/>
        <w:t>Appendix B. Abbreviations and Acronyms</w:t>
      </w:r>
      <w:bookmarkEnd w:id="1"/>
    </w:p>
    <w:p w14:paraId="078DA75E"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AAAP</w:t>
      </w:r>
      <w:r w:rsidRPr="007D4CB3">
        <w:rPr>
          <w:rFonts w:ascii="Times New Roman" w:hAnsi="Times New Roman" w:cs="Times New Roman"/>
        </w:rPr>
        <w:tab/>
        <w:t>American Academy of Addiction Psychiatry</w:t>
      </w:r>
    </w:p>
    <w:p w14:paraId="76D6C6DB" w14:textId="0E6C2D24" w:rsidR="00E91436" w:rsidRPr="007D4CB3" w:rsidRDefault="00E91436"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AACAP</w:t>
      </w:r>
      <w:r w:rsidRPr="007D4CB3">
        <w:rPr>
          <w:rFonts w:ascii="Times New Roman" w:hAnsi="Times New Roman" w:cs="Times New Roman"/>
        </w:rPr>
        <w:tab/>
        <w:t>American Academy of Child and Adolescent Psychiatry</w:t>
      </w:r>
    </w:p>
    <w:p w14:paraId="0741E66F"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AAFP</w:t>
      </w:r>
      <w:r w:rsidRPr="007D4CB3">
        <w:rPr>
          <w:rFonts w:ascii="Times New Roman" w:hAnsi="Times New Roman" w:cs="Times New Roman"/>
        </w:rPr>
        <w:tab/>
        <w:t>American Association of Family Physicians</w:t>
      </w:r>
    </w:p>
    <w:p w14:paraId="0631DBA3"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AAP</w:t>
      </w:r>
      <w:r w:rsidRPr="007D4CB3">
        <w:rPr>
          <w:rFonts w:ascii="Times New Roman" w:hAnsi="Times New Roman" w:cs="Times New Roman"/>
        </w:rPr>
        <w:tab/>
        <w:t>American Academy of Pediatrics</w:t>
      </w:r>
    </w:p>
    <w:p w14:paraId="4CB405B3" w14:textId="7547D4F0" w:rsidR="00A75B99" w:rsidRPr="007D4CB3" w:rsidRDefault="00A75B99"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ABMS</w:t>
      </w:r>
      <w:r w:rsidRPr="007D4CB3">
        <w:rPr>
          <w:rFonts w:ascii="Times New Roman" w:hAnsi="Times New Roman" w:cs="Times New Roman"/>
        </w:rPr>
        <w:tab/>
        <w:t>American Board of Medical Specialties</w:t>
      </w:r>
    </w:p>
    <w:p w14:paraId="41C3AF3E"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ACE</w:t>
      </w:r>
      <w:r w:rsidRPr="007D4CB3">
        <w:rPr>
          <w:rFonts w:ascii="Times New Roman" w:hAnsi="Times New Roman" w:cs="Times New Roman"/>
        </w:rPr>
        <w:tab/>
        <w:t>adverse childhood event</w:t>
      </w:r>
    </w:p>
    <w:p w14:paraId="717872F4" w14:textId="2CCA7625" w:rsidR="007D670C" w:rsidRPr="007D4CB3" w:rsidRDefault="007D670C"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ACEP</w:t>
      </w:r>
      <w:r w:rsidRPr="007D4CB3">
        <w:rPr>
          <w:rFonts w:ascii="Times New Roman" w:hAnsi="Times New Roman" w:cs="Times New Roman"/>
        </w:rPr>
        <w:tab/>
        <w:t>American College of Emergency Physicians</w:t>
      </w:r>
    </w:p>
    <w:p w14:paraId="0B26ABC1"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ACLS</w:t>
      </w:r>
      <w:r w:rsidRPr="007D4CB3">
        <w:rPr>
          <w:rFonts w:ascii="Times New Roman" w:hAnsi="Times New Roman" w:cs="Times New Roman"/>
        </w:rPr>
        <w:tab/>
        <w:t>advanced cardiac life support</w:t>
      </w:r>
    </w:p>
    <w:p w14:paraId="6597B080"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A</w:t>
      </w:r>
      <w:r w:rsidRPr="007D4CB3">
        <w:rPr>
          <w:rFonts w:ascii="Times New Roman" w:hAnsi="Times New Roman" w:cs="Times New Roman"/>
        </w:rPr>
        <w:noBreakHyphen/>
        <w:t>CRA</w:t>
      </w:r>
      <w:r w:rsidRPr="007D4CB3">
        <w:rPr>
          <w:rFonts w:ascii="Times New Roman" w:hAnsi="Times New Roman" w:cs="Times New Roman"/>
        </w:rPr>
        <w:tab/>
        <w:t>adolescent community reinforcement approach</w:t>
      </w:r>
    </w:p>
    <w:p w14:paraId="075B10D8"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ACS</w:t>
      </w:r>
      <w:r w:rsidRPr="007D4CB3">
        <w:rPr>
          <w:rFonts w:ascii="Times New Roman" w:hAnsi="Times New Roman" w:cs="Times New Roman"/>
        </w:rPr>
        <w:tab/>
        <w:t>acute coronary syndrome</w:t>
      </w:r>
    </w:p>
    <w:p w14:paraId="4BA1E8FD"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ADHD</w:t>
      </w:r>
      <w:r w:rsidRPr="007D4CB3">
        <w:rPr>
          <w:rFonts w:ascii="Times New Roman" w:hAnsi="Times New Roman" w:cs="Times New Roman"/>
        </w:rPr>
        <w:tab/>
        <w:t>attention-deficit/hyperactivity disorder</w:t>
      </w:r>
    </w:p>
    <w:p w14:paraId="3EE4C348" w14:textId="71832C54" w:rsidR="003906FD" w:rsidRPr="007D4CB3" w:rsidRDefault="003906FD"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AMA</w:t>
      </w:r>
      <w:r w:rsidRPr="007D4CB3">
        <w:rPr>
          <w:rFonts w:ascii="Times New Roman" w:hAnsi="Times New Roman" w:cs="Times New Roman"/>
        </w:rPr>
        <w:tab/>
        <w:t>American Medical Association</w:t>
      </w:r>
    </w:p>
    <w:p w14:paraId="07277F9C"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APA</w:t>
      </w:r>
      <w:r w:rsidRPr="007D4CB3">
        <w:rPr>
          <w:rFonts w:ascii="Times New Roman" w:hAnsi="Times New Roman" w:cs="Times New Roman"/>
        </w:rPr>
        <w:tab/>
        <w:t>American Psychiatric Association</w:t>
      </w:r>
    </w:p>
    <w:p w14:paraId="11572864"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ASAM</w:t>
      </w:r>
      <w:r w:rsidRPr="007D4CB3">
        <w:rPr>
          <w:rFonts w:ascii="Times New Roman" w:hAnsi="Times New Roman" w:cs="Times New Roman"/>
        </w:rPr>
        <w:tab/>
        <w:t>American Society of Addiction Medicine</w:t>
      </w:r>
    </w:p>
    <w:p w14:paraId="57B537F4" w14:textId="6ED6DF8A"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ATS</w:t>
      </w:r>
      <w:r w:rsidRPr="007D4CB3">
        <w:rPr>
          <w:rFonts w:ascii="Times New Roman" w:hAnsi="Times New Roman" w:cs="Times New Roman"/>
        </w:rPr>
        <w:tab/>
        <w:t>amphetamine-type stimulant</w:t>
      </w:r>
    </w:p>
    <w:p w14:paraId="21763F37" w14:textId="510E2CCD" w:rsidR="009D2F6D" w:rsidRPr="007D4CB3" w:rsidRDefault="009D2F6D"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ATTC</w:t>
      </w:r>
      <w:r w:rsidRPr="007D4CB3">
        <w:rPr>
          <w:rFonts w:ascii="Times New Roman" w:hAnsi="Times New Roman" w:cs="Times New Roman"/>
        </w:rPr>
        <w:tab/>
        <w:t>Addiction Technology Transfer Center Network</w:t>
      </w:r>
    </w:p>
    <w:p w14:paraId="5E306B3F"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AUD</w:t>
      </w:r>
      <w:r w:rsidRPr="007D4CB3">
        <w:rPr>
          <w:rFonts w:ascii="Times New Roman" w:hAnsi="Times New Roman" w:cs="Times New Roman"/>
        </w:rPr>
        <w:tab/>
        <w:t>alcohol use disorder</w:t>
      </w:r>
    </w:p>
    <w:p w14:paraId="028F4767" w14:textId="2DD6CF68"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BCR</w:t>
      </w:r>
      <w:r w:rsidRPr="007D4CB3">
        <w:rPr>
          <w:rFonts w:ascii="Times New Roman" w:hAnsi="Times New Roman" w:cs="Times New Roman"/>
        </w:rPr>
        <w:tab/>
      </w:r>
      <w:r w:rsidR="009D2F6D" w:rsidRPr="007D4CB3">
        <w:rPr>
          <w:rFonts w:ascii="Times New Roman" w:hAnsi="Times New Roman" w:cs="Times New Roman"/>
        </w:rPr>
        <w:t>blood urea nitrogen</w:t>
      </w:r>
      <w:r w:rsidRPr="007D4CB3">
        <w:rPr>
          <w:rFonts w:ascii="Times New Roman" w:hAnsi="Times New Roman" w:cs="Times New Roman"/>
        </w:rPr>
        <w:t>/creatinine ratio</w:t>
      </w:r>
    </w:p>
    <w:p w14:paraId="4DB2E307"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BMI</w:t>
      </w:r>
      <w:r w:rsidRPr="007D4CB3">
        <w:rPr>
          <w:rFonts w:ascii="Times New Roman" w:hAnsi="Times New Roman" w:cs="Times New Roman"/>
        </w:rPr>
        <w:tab/>
        <w:t>body mass index</w:t>
      </w:r>
    </w:p>
    <w:p w14:paraId="62BC6E9E"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BUN</w:t>
      </w:r>
      <w:r w:rsidRPr="007D4CB3">
        <w:rPr>
          <w:rFonts w:ascii="Times New Roman" w:hAnsi="Times New Roman" w:cs="Times New Roman"/>
        </w:rPr>
        <w:tab/>
        <w:t>blood urea nitrogen</w:t>
      </w:r>
    </w:p>
    <w:p w14:paraId="4DE07EB4" w14:textId="518A08C8" w:rsidR="009F659A" w:rsidRPr="007D4CB3" w:rsidRDefault="009F659A"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BZD</w:t>
      </w:r>
      <w:r w:rsidRPr="007D4CB3">
        <w:rPr>
          <w:rFonts w:ascii="Times New Roman" w:hAnsi="Times New Roman" w:cs="Times New Roman"/>
        </w:rPr>
        <w:tab/>
        <w:t>benzodiazepine</w:t>
      </w:r>
    </w:p>
    <w:p w14:paraId="71EC8387"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CBC</w:t>
      </w:r>
      <w:r w:rsidRPr="007D4CB3">
        <w:rPr>
          <w:rFonts w:ascii="Times New Roman" w:hAnsi="Times New Roman" w:cs="Times New Roman"/>
        </w:rPr>
        <w:tab/>
        <w:t>complete blood count</w:t>
      </w:r>
    </w:p>
    <w:p w14:paraId="197ED3F9"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CBT</w:t>
      </w:r>
      <w:r w:rsidRPr="007D4CB3">
        <w:rPr>
          <w:rFonts w:ascii="Times New Roman" w:hAnsi="Times New Roman" w:cs="Times New Roman"/>
        </w:rPr>
        <w:tab/>
        <w:t>cognitive behavioral therapy</w:t>
      </w:r>
    </w:p>
    <w:p w14:paraId="3196A9BC"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CBT4CBT</w:t>
      </w:r>
      <w:r w:rsidRPr="007D4CB3">
        <w:rPr>
          <w:rFonts w:ascii="Times New Roman" w:hAnsi="Times New Roman" w:cs="Times New Roman"/>
        </w:rPr>
        <w:tab/>
        <w:t>Computer Based Training for Cognitive Behavioral Therapy</w:t>
      </w:r>
    </w:p>
    <w:p w14:paraId="7BFA6690"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CDC</w:t>
      </w:r>
      <w:r w:rsidRPr="007D4CB3">
        <w:rPr>
          <w:rFonts w:ascii="Times New Roman" w:hAnsi="Times New Roman" w:cs="Times New Roman"/>
        </w:rPr>
        <w:tab/>
        <w:t>US Centers for Disease Control and Prevention</w:t>
      </w:r>
    </w:p>
    <w:p w14:paraId="0372325C" w14:textId="33BF3728" w:rsidR="00651111" w:rsidRPr="007D4CB3" w:rsidRDefault="0065111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CDC</w:t>
      </w:r>
      <w:r w:rsidR="00F76F2C" w:rsidRPr="007D4CB3">
        <w:rPr>
          <w:rFonts w:ascii="Times New Roman" w:hAnsi="Times New Roman" w:cs="Times New Roman"/>
        </w:rPr>
        <w:t> </w:t>
      </w:r>
      <w:r w:rsidRPr="007D4CB3">
        <w:rPr>
          <w:rFonts w:ascii="Times New Roman" w:hAnsi="Times New Roman" w:cs="Times New Roman"/>
        </w:rPr>
        <w:t>WONDER</w:t>
      </w:r>
      <w:r w:rsidRPr="007D4CB3">
        <w:rPr>
          <w:rFonts w:ascii="Times New Roman" w:hAnsi="Times New Roman" w:cs="Times New Roman"/>
        </w:rPr>
        <w:tab/>
      </w:r>
      <w:r w:rsidR="000509C8" w:rsidRPr="007D4CB3">
        <w:rPr>
          <w:rFonts w:ascii="Times New Roman" w:hAnsi="Times New Roman" w:cs="Times New Roman"/>
        </w:rPr>
        <w:t>US Centers for Disease Control and Prevention Wide-ranging Online Data for Epidemiological Research</w:t>
      </w:r>
    </w:p>
    <w:p w14:paraId="157B3C0F" w14:textId="6802B228" w:rsidR="009A5D68" w:rsidRPr="007D4CB3" w:rsidRDefault="009A5D68"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CFR</w:t>
      </w:r>
      <w:r w:rsidRPr="007D4CB3">
        <w:rPr>
          <w:rFonts w:ascii="Times New Roman" w:hAnsi="Times New Roman" w:cs="Times New Roman"/>
        </w:rPr>
        <w:tab/>
        <w:t>US Code of Federal Regulations</w:t>
      </w:r>
    </w:p>
    <w:p w14:paraId="503D9746"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CGC</w:t>
      </w:r>
      <w:r w:rsidRPr="007D4CB3">
        <w:rPr>
          <w:rFonts w:ascii="Times New Roman" w:hAnsi="Times New Roman" w:cs="Times New Roman"/>
        </w:rPr>
        <w:tab/>
        <w:t>Clinical Guideline Committee</w:t>
      </w:r>
    </w:p>
    <w:p w14:paraId="65E14719"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CK</w:t>
      </w:r>
      <w:r w:rsidRPr="007D4CB3">
        <w:rPr>
          <w:rFonts w:ascii="Times New Roman" w:hAnsi="Times New Roman" w:cs="Times New Roman"/>
        </w:rPr>
        <w:tab/>
        <w:t>creatine kinase</w:t>
      </w:r>
    </w:p>
    <w:p w14:paraId="0E716ECA"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lastRenderedPageBreak/>
        <w:t>CLIA</w:t>
      </w:r>
      <w:r w:rsidRPr="007D4CB3">
        <w:rPr>
          <w:rFonts w:ascii="Times New Roman" w:hAnsi="Times New Roman" w:cs="Times New Roman"/>
        </w:rPr>
        <w:tab/>
        <w:t>Clinical Laboratory Improvement Amendments of 1988</w:t>
      </w:r>
    </w:p>
    <w:p w14:paraId="30B3F3A8"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CM</w:t>
      </w:r>
      <w:r w:rsidRPr="007D4CB3">
        <w:rPr>
          <w:rFonts w:ascii="Times New Roman" w:hAnsi="Times New Roman" w:cs="Times New Roman"/>
        </w:rPr>
        <w:tab/>
        <w:t>contingency management</w:t>
      </w:r>
    </w:p>
    <w:p w14:paraId="02973752"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CMP</w:t>
      </w:r>
      <w:r w:rsidRPr="007D4CB3">
        <w:rPr>
          <w:rFonts w:ascii="Times New Roman" w:hAnsi="Times New Roman" w:cs="Times New Roman"/>
        </w:rPr>
        <w:tab/>
        <w:t>comprehensive metabolic panel</w:t>
      </w:r>
    </w:p>
    <w:p w14:paraId="5AA862BE" w14:textId="5960CD91" w:rsidR="005E3D93" w:rsidRPr="007D4CB3" w:rsidRDefault="005E3D93"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CMS</w:t>
      </w:r>
      <w:r w:rsidRPr="007D4CB3">
        <w:rPr>
          <w:rFonts w:ascii="Times New Roman" w:hAnsi="Times New Roman" w:cs="Times New Roman"/>
        </w:rPr>
        <w:tab/>
        <w:t>Centers for Medicare &amp; Medicaid Services</w:t>
      </w:r>
    </w:p>
    <w:p w14:paraId="7E31FC9B"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COVID</w:t>
      </w:r>
      <w:r w:rsidRPr="007D4CB3">
        <w:rPr>
          <w:rFonts w:ascii="Times New Roman" w:hAnsi="Times New Roman" w:cs="Times New Roman"/>
        </w:rPr>
        <w:noBreakHyphen/>
      </w:r>
      <w:proofErr w:type="gramStart"/>
      <w:r w:rsidRPr="007D4CB3">
        <w:rPr>
          <w:rFonts w:ascii="Times New Roman" w:hAnsi="Times New Roman" w:cs="Times New Roman"/>
        </w:rPr>
        <w:t>19</w:t>
      </w:r>
      <w:proofErr w:type="gramEnd"/>
      <w:r w:rsidRPr="007D4CB3">
        <w:rPr>
          <w:rFonts w:ascii="Times New Roman" w:hAnsi="Times New Roman" w:cs="Times New Roman"/>
        </w:rPr>
        <w:tab/>
        <w:t>coronavirus disease 2019</w:t>
      </w:r>
    </w:p>
    <w:p w14:paraId="5EB4D2E0"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CPG</w:t>
      </w:r>
      <w:r w:rsidRPr="007D4CB3">
        <w:rPr>
          <w:rFonts w:ascii="Times New Roman" w:hAnsi="Times New Roman" w:cs="Times New Roman"/>
        </w:rPr>
        <w:tab/>
        <w:t>clinical practice guideline</w:t>
      </w:r>
    </w:p>
    <w:p w14:paraId="5A0AC300"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CPK</w:t>
      </w:r>
      <w:r w:rsidRPr="007D4CB3">
        <w:rPr>
          <w:rFonts w:ascii="Times New Roman" w:hAnsi="Times New Roman" w:cs="Times New Roman"/>
        </w:rPr>
        <w:tab/>
        <w:t>creatine phosphokinase</w:t>
      </w:r>
    </w:p>
    <w:p w14:paraId="69E7B8DB"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CRA</w:t>
      </w:r>
      <w:r w:rsidRPr="007D4CB3">
        <w:rPr>
          <w:rFonts w:ascii="Times New Roman" w:hAnsi="Times New Roman" w:cs="Times New Roman"/>
        </w:rPr>
        <w:tab/>
        <w:t>community reinforcement approach</w:t>
      </w:r>
    </w:p>
    <w:p w14:paraId="79AB8BF0"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CSSA</w:t>
      </w:r>
      <w:r w:rsidRPr="007D4CB3">
        <w:rPr>
          <w:rFonts w:ascii="Times New Roman" w:hAnsi="Times New Roman" w:cs="Times New Roman"/>
        </w:rPr>
        <w:tab/>
        <w:t>Cocaine Selective Severity Assessment</w:t>
      </w:r>
    </w:p>
    <w:p w14:paraId="64240B80" w14:textId="4D4F2C9E" w:rsidR="009F659A" w:rsidRPr="007D4CB3" w:rsidRDefault="009F659A"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C</w:t>
      </w:r>
      <w:r w:rsidRPr="007D4CB3">
        <w:rPr>
          <w:rFonts w:ascii="Times New Roman" w:hAnsi="Times New Roman" w:cs="Times New Roman"/>
        </w:rPr>
        <w:noBreakHyphen/>
        <w:t>SSRS</w:t>
      </w:r>
      <w:r w:rsidRPr="007D4CB3">
        <w:rPr>
          <w:rFonts w:ascii="Times New Roman" w:hAnsi="Times New Roman" w:cs="Times New Roman"/>
        </w:rPr>
        <w:tab/>
        <w:t>Columbia</w:t>
      </w:r>
      <w:r w:rsidR="00D07CE5" w:rsidRPr="007D4CB3">
        <w:rPr>
          <w:rFonts w:ascii="Times New Roman" w:hAnsi="Times New Roman" w:cs="Times New Roman"/>
        </w:rPr>
        <w:t>–</w:t>
      </w:r>
      <w:r w:rsidRPr="007D4CB3">
        <w:rPr>
          <w:rFonts w:ascii="Times New Roman" w:hAnsi="Times New Roman" w:cs="Times New Roman"/>
        </w:rPr>
        <w:t>Suicide Severity Rating Scale</w:t>
      </w:r>
    </w:p>
    <w:p w14:paraId="452462FC"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CT</w:t>
      </w:r>
      <w:r w:rsidRPr="007D4CB3">
        <w:rPr>
          <w:rFonts w:ascii="Times New Roman" w:hAnsi="Times New Roman" w:cs="Times New Roman"/>
        </w:rPr>
        <w:tab/>
        <w:t>computed tomography</w:t>
      </w:r>
    </w:p>
    <w:p w14:paraId="32874CB8" w14:textId="4E8FA1A8" w:rsidR="00266129" w:rsidRPr="007D4CB3" w:rsidRDefault="00266129"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d</w:t>
      </w:r>
      <w:r w:rsidRPr="007D4CB3">
        <w:rPr>
          <w:rFonts w:ascii="Times New Roman" w:hAnsi="Times New Roman" w:cs="Times New Roman"/>
        </w:rPr>
        <w:noBreakHyphen/>
        <w:t>AMP</w:t>
      </w:r>
      <w:r w:rsidRPr="007D4CB3">
        <w:rPr>
          <w:rFonts w:ascii="Times New Roman" w:hAnsi="Times New Roman" w:cs="Times New Roman"/>
        </w:rPr>
        <w:tab/>
        <w:t>dextroamphetamine</w:t>
      </w:r>
    </w:p>
    <w:p w14:paraId="1FF62D7F"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DEA</w:t>
      </w:r>
      <w:r w:rsidRPr="007D4CB3">
        <w:rPr>
          <w:rFonts w:ascii="Times New Roman" w:hAnsi="Times New Roman" w:cs="Times New Roman"/>
        </w:rPr>
        <w:tab/>
        <w:t>US Drug Enforcement Administration</w:t>
      </w:r>
    </w:p>
    <w:p w14:paraId="423C33B5"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i/>
          <w:iCs/>
        </w:rPr>
        <w:t>DSM</w:t>
      </w:r>
      <w:r w:rsidRPr="007D4CB3">
        <w:rPr>
          <w:rFonts w:ascii="Times New Roman" w:hAnsi="Times New Roman" w:cs="Times New Roman"/>
        </w:rPr>
        <w:tab/>
      </w:r>
      <w:r w:rsidRPr="007D4CB3">
        <w:rPr>
          <w:rFonts w:ascii="Times New Roman" w:hAnsi="Times New Roman" w:cs="Times New Roman"/>
          <w:i/>
          <w:iCs/>
        </w:rPr>
        <w:t>Diagnostic and Statistical Manual of Mental Disorders</w:t>
      </w:r>
    </w:p>
    <w:p w14:paraId="1A98870A"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i/>
          <w:iCs/>
        </w:rPr>
        <w:t>DSM</w:t>
      </w:r>
      <w:r w:rsidRPr="007D4CB3">
        <w:rPr>
          <w:rFonts w:ascii="Times New Roman" w:hAnsi="Times New Roman" w:cs="Times New Roman"/>
          <w:i/>
          <w:iCs/>
        </w:rPr>
        <w:noBreakHyphen/>
      </w:r>
      <w:proofErr w:type="gramStart"/>
      <w:r w:rsidRPr="007D4CB3">
        <w:rPr>
          <w:rFonts w:ascii="Times New Roman" w:hAnsi="Times New Roman" w:cs="Times New Roman"/>
          <w:i/>
          <w:iCs/>
        </w:rPr>
        <w:t>5</w:t>
      </w:r>
      <w:proofErr w:type="gramEnd"/>
      <w:r w:rsidRPr="007D4CB3">
        <w:rPr>
          <w:rFonts w:ascii="Times New Roman" w:hAnsi="Times New Roman" w:cs="Times New Roman"/>
          <w:i/>
          <w:iCs/>
        </w:rPr>
        <w:noBreakHyphen/>
        <w:t>TR</w:t>
      </w:r>
      <w:r w:rsidRPr="007D4CB3">
        <w:rPr>
          <w:rFonts w:ascii="Times New Roman" w:hAnsi="Times New Roman" w:cs="Times New Roman"/>
        </w:rPr>
        <w:tab/>
      </w:r>
      <w:r w:rsidRPr="007D4CB3">
        <w:rPr>
          <w:rFonts w:ascii="Times New Roman" w:hAnsi="Times New Roman" w:cs="Times New Roman"/>
          <w:i/>
          <w:iCs/>
        </w:rPr>
        <w:t>Diagnostic and Statistical Manual of Mental Disorders</w:t>
      </w:r>
      <w:r w:rsidRPr="007D4CB3">
        <w:rPr>
          <w:rFonts w:ascii="Times New Roman" w:hAnsi="Times New Roman" w:cs="Times New Roman"/>
        </w:rPr>
        <w:t>, Fifth Edition, Text Revision</w:t>
      </w:r>
    </w:p>
    <w:p w14:paraId="68814DC4"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EBI</w:t>
      </w:r>
      <w:r w:rsidRPr="007D4CB3">
        <w:rPr>
          <w:rFonts w:ascii="Times New Roman" w:hAnsi="Times New Roman" w:cs="Times New Roman"/>
        </w:rPr>
        <w:tab/>
        <w:t>evidence-based intervention</w:t>
      </w:r>
    </w:p>
    <w:p w14:paraId="43914ED1"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ECG</w:t>
      </w:r>
      <w:r w:rsidRPr="007D4CB3">
        <w:rPr>
          <w:rFonts w:ascii="Times New Roman" w:hAnsi="Times New Roman" w:cs="Times New Roman"/>
        </w:rPr>
        <w:tab/>
        <w:t>electrocardiogram</w:t>
      </w:r>
    </w:p>
    <w:p w14:paraId="38897002"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ED</w:t>
      </w:r>
      <w:r w:rsidRPr="007D4CB3">
        <w:rPr>
          <w:rFonts w:ascii="Times New Roman" w:hAnsi="Times New Roman" w:cs="Times New Roman"/>
        </w:rPr>
        <w:tab/>
        <w:t>emergency department</w:t>
      </w:r>
    </w:p>
    <w:p w14:paraId="0B9ACC87"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EEG</w:t>
      </w:r>
      <w:r w:rsidRPr="007D4CB3">
        <w:rPr>
          <w:rFonts w:ascii="Times New Roman" w:hAnsi="Times New Roman" w:cs="Times New Roman"/>
        </w:rPr>
        <w:tab/>
        <w:t>electroencephalogram</w:t>
      </w:r>
    </w:p>
    <w:p w14:paraId="4CA51BAD"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EtD</w:t>
      </w:r>
      <w:r w:rsidRPr="007D4CB3">
        <w:rPr>
          <w:rFonts w:ascii="Times New Roman" w:hAnsi="Times New Roman" w:cs="Times New Roman"/>
        </w:rPr>
        <w:tab/>
        <w:t>Evidence to Decision</w:t>
      </w:r>
    </w:p>
    <w:p w14:paraId="7523A45F"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FAVOR</w:t>
      </w:r>
      <w:r w:rsidRPr="007D4CB3">
        <w:rPr>
          <w:rFonts w:ascii="Times New Roman" w:hAnsi="Times New Roman" w:cs="Times New Roman"/>
        </w:rPr>
        <w:tab/>
        <w:t>Faces &amp; Voices of Recovery</w:t>
      </w:r>
    </w:p>
    <w:p w14:paraId="7365B942"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FDA</w:t>
      </w:r>
      <w:r w:rsidRPr="007D4CB3">
        <w:rPr>
          <w:rFonts w:ascii="Times New Roman" w:hAnsi="Times New Roman" w:cs="Times New Roman"/>
        </w:rPr>
        <w:tab/>
        <w:t>US Food and Drug Administration</w:t>
      </w:r>
    </w:p>
    <w:p w14:paraId="208116C9"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FTIR</w:t>
      </w:r>
      <w:r w:rsidRPr="007D4CB3">
        <w:rPr>
          <w:rFonts w:ascii="Times New Roman" w:hAnsi="Times New Roman" w:cs="Times New Roman"/>
        </w:rPr>
        <w:tab/>
        <w:t>Fourier-transform infrared spectroscopy</w:t>
      </w:r>
    </w:p>
    <w:p w14:paraId="1353CF99" w14:textId="32007BA5"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GABA</w:t>
      </w:r>
      <w:r w:rsidRPr="007D4CB3">
        <w:rPr>
          <w:rFonts w:ascii="Times New Roman" w:hAnsi="Times New Roman" w:cs="Times New Roman"/>
        </w:rPr>
        <w:tab/>
        <w:t>gamma</w:t>
      </w:r>
      <w:r w:rsidR="009C6733" w:rsidRPr="007D4CB3">
        <w:rPr>
          <w:rFonts w:ascii="Times New Roman" w:hAnsi="Times New Roman" w:cs="Times New Roman"/>
        </w:rPr>
        <w:t>-</w:t>
      </w:r>
      <w:r w:rsidRPr="007D4CB3">
        <w:rPr>
          <w:rFonts w:ascii="Times New Roman" w:hAnsi="Times New Roman" w:cs="Times New Roman"/>
        </w:rPr>
        <w:t>aminobutyric acid</w:t>
      </w:r>
    </w:p>
    <w:p w14:paraId="114FEB5D"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GABA</w:t>
      </w:r>
      <w:r w:rsidRPr="007D4CB3">
        <w:rPr>
          <w:rFonts w:ascii="Times New Roman" w:hAnsi="Times New Roman" w:cs="Times New Roman"/>
        </w:rPr>
        <w:noBreakHyphen/>
        <w:t>A</w:t>
      </w:r>
      <w:r w:rsidRPr="007D4CB3">
        <w:rPr>
          <w:rFonts w:ascii="Times New Roman" w:hAnsi="Times New Roman" w:cs="Times New Roman"/>
        </w:rPr>
        <w:tab/>
        <w:t>gamma-aminobutyric acid A</w:t>
      </w:r>
    </w:p>
    <w:p w14:paraId="42050CE7"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GRADE</w:t>
      </w:r>
      <w:r w:rsidRPr="007D4CB3">
        <w:rPr>
          <w:rFonts w:ascii="Times New Roman" w:hAnsi="Times New Roman" w:cs="Times New Roman"/>
        </w:rPr>
        <w:tab/>
        <w:t>Grading of Recommendations Assessment, Development, and Evaluation</w:t>
      </w:r>
    </w:p>
    <w:p w14:paraId="56CCC3A5"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HAV</w:t>
      </w:r>
      <w:r w:rsidRPr="007D4CB3">
        <w:rPr>
          <w:rFonts w:ascii="Times New Roman" w:hAnsi="Times New Roman" w:cs="Times New Roman"/>
        </w:rPr>
        <w:tab/>
        <w:t>hepatitis A virus</w:t>
      </w:r>
    </w:p>
    <w:p w14:paraId="087A86F5"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HBV</w:t>
      </w:r>
      <w:r w:rsidRPr="007D4CB3">
        <w:rPr>
          <w:rFonts w:ascii="Times New Roman" w:hAnsi="Times New Roman" w:cs="Times New Roman"/>
        </w:rPr>
        <w:tab/>
        <w:t>hepatitis B virus</w:t>
      </w:r>
    </w:p>
    <w:p w14:paraId="5F981BB3"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HCV</w:t>
      </w:r>
      <w:r w:rsidRPr="007D4CB3">
        <w:rPr>
          <w:rFonts w:ascii="Times New Roman" w:hAnsi="Times New Roman" w:cs="Times New Roman"/>
        </w:rPr>
        <w:tab/>
        <w:t>hepatitis C virus</w:t>
      </w:r>
    </w:p>
    <w:p w14:paraId="696B92CB"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HIV</w:t>
      </w:r>
      <w:r w:rsidRPr="007D4CB3">
        <w:rPr>
          <w:rFonts w:ascii="Times New Roman" w:hAnsi="Times New Roman" w:cs="Times New Roman"/>
        </w:rPr>
        <w:tab/>
        <w:t>human immunodeficiency virus</w:t>
      </w:r>
    </w:p>
    <w:p w14:paraId="54EF6C20" w14:textId="51A95BF6" w:rsidR="004317DD" w:rsidRPr="007D4CB3" w:rsidRDefault="004317DD"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lastRenderedPageBreak/>
        <w:t>HUD</w:t>
      </w:r>
      <w:r w:rsidRPr="007D4CB3">
        <w:rPr>
          <w:rFonts w:ascii="Times New Roman" w:hAnsi="Times New Roman" w:cs="Times New Roman"/>
        </w:rPr>
        <w:tab/>
        <w:t>US Department of Housing and Urban Development</w:t>
      </w:r>
    </w:p>
    <w:p w14:paraId="5EEB5DBF"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i/>
          <w:iCs/>
        </w:rPr>
        <w:t>ICD</w:t>
      </w:r>
      <w:r w:rsidRPr="007D4CB3">
        <w:rPr>
          <w:rFonts w:ascii="Times New Roman" w:hAnsi="Times New Roman" w:cs="Times New Roman"/>
          <w:i/>
          <w:iCs/>
        </w:rPr>
        <w:noBreakHyphen/>
        <w:t>10</w:t>
      </w:r>
      <w:r w:rsidRPr="007D4CB3">
        <w:rPr>
          <w:rFonts w:ascii="Times New Roman" w:hAnsi="Times New Roman" w:cs="Times New Roman"/>
          <w:i/>
          <w:iCs/>
        </w:rPr>
        <w:tab/>
        <w:t>International Classification of Diseases</w:t>
      </w:r>
      <w:r w:rsidRPr="007D4CB3">
        <w:rPr>
          <w:rFonts w:ascii="Times New Roman" w:hAnsi="Times New Roman" w:cs="Times New Roman"/>
        </w:rPr>
        <w:t>, 10th Revision</w:t>
      </w:r>
    </w:p>
    <w:p w14:paraId="067846BA"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IM</w:t>
      </w:r>
      <w:r w:rsidRPr="007D4CB3">
        <w:rPr>
          <w:rFonts w:ascii="Times New Roman" w:hAnsi="Times New Roman" w:cs="Times New Roman"/>
        </w:rPr>
        <w:tab/>
        <w:t>intramuscular</w:t>
      </w:r>
    </w:p>
    <w:p w14:paraId="16EC2FDB"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IPV</w:t>
      </w:r>
      <w:r w:rsidRPr="007D4CB3">
        <w:rPr>
          <w:rFonts w:ascii="Times New Roman" w:hAnsi="Times New Roman" w:cs="Times New Roman"/>
        </w:rPr>
        <w:tab/>
        <w:t>intimate partner violence</w:t>
      </w:r>
    </w:p>
    <w:p w14:paraId="7DF4A2E5"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IRETA</w:t>
      </w:r>
      <w:r w:rsidRPr="007D4CB3">
        <w:rPr>
          <w:rFonts w:ascii="Times New Roman" w:hAnsi="Times New Roman" w:cs="Times New Roman"/>
        </w:rPr>
        <w:tab/>
        <w:t>Institute for Research, Education and Training in Addictions</w:t>
      </w:r>
    </w:p>
    <w:p w14:paraId="2D1A3031"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IV</w:t>
      </w:r>
      <w:r w:rsidRPr="007D4CB3">
        <w:rPr>
          <w:rFonts w:ascii="Times New Roman" w:hAnsi="Times New Roman" w:cs="Times New Roman"/>
        </w:rPr>
        <w:tab/>
        <w:t>intravenous</w:t>
      </w:r>
    </w:p>
    <w:p w14:paraId="5601FEF0" w14:textId="1B172A0F" w:rsidR="00C92628" w:rsidRPr="007D4CB3" w:rsidRDefault="00C92628"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LDX</w:t>
      </w:r>
      <w:r w:rsidRPr="007D4CB3">
        <w:rPr>
          <w:rFonts w:ascii="Times New Roman" w:hAnsi="Times New Roman" w:cs="Times New Roman"/>
        </w:rPr>
        <w:tab/>
        <w:t>lisdexamfetamine</w:t>
      </w:r>
    </w:p>
    <w:p w14:paraId="60B78B29"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LFT</w:t>
      </w:r>
      <w:r w:rsidRPr="007D4CB3">
        <w:rPr>
          <w:rFonts w:ascii="Times New Roman" w:hAnsi="Times New Roman" w:cs="Times New Roman"/>
        </w:rPr>
        <w:tab/>
        <w:t>liver function test</w:t>
      </w:r>
    </w:p>
    <w:p w14:paraId="7C62890B"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MAS</w:t>
      </w:r>
      <w:r w:rsidRPr="007D4CB3">
        <w:rPr>
          <w:rFonts w:ascii="Times New Roman" w:hAnsi="Times New Roman" w:cs="Times New Roman"/>
        </w:rPr>
        <w:noBreakHyphen/>
        <w:t>ER</w:t>
      </w:r>
      <w:r w:rsidRPr="007D4CB3">
        <w:rPr>
          <w:rFonts w:ascii="Times New Roman" w:hAnsi="Times New Roman" w:cs="Times New Roman"/>
        </w:rPr>
        <w:tab/>
        <w:t>extended-release mixed amphetamine salts</w:t>
      </w:r>
    </w:p>
    <w:p w14:paraId="6B307370"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MATCH</w:t>
      </w:r>
      <w:r w:rsidRPr="007D4CB3">
        <w:rPr>
          <w:rFonts w:ascii="Times New Roman" w:hAnsi="Times New Roman" w:cs="Times New Roman"/>
        </w:rPr>
        <w:tab/>
        <w:t>Matching Alcoholism Treatments to Client Heterogeneity</w:t>
      </w:r>
    </w:p>
    <w:p w14:paraId="3CC9870C"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MDD</w:t>
      </w:r>
      <w:r w:rsidRPr="007D4CB3">
        <w:rPr>
          <w:rFonts w:ascii="Times New Roman" w:hAnsi="Times New Roman" w:cs="Times New Roman"/>
        </w:rPr>
        <w:tab/>
        <w:t>major depressive disorder</w:t>
      </w:r>
    </w:p>
    <w:p w14:paraId="1A4EBED7"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MDMA</w:t>
      </w:r>
      <w:r w:rsidRPr="007D4CB3">
        <w:rPr>
          <w:rFonts w:ascii="Times New Roman" w:hAnsi="Times New Roman" w:cs="Times New Roman"/>
        </w:rPr>
        <w:tab/>
        <w:t>3,4-methylenedioxymethamphetamine</w:t>
      </w:r>
    </w:p>
    <w:p w14:paraId="59FBEBA9"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MET</w:t>
      </w:r>
      <w:r w:rsidRPr="007D4CB3">
        <w:rPr>
          <w:rFonts w:ascii="Times New Roman" w:hAnsi="Times New Roman" w:cs="Times New Roman"/>
        </w:rPr>
        <w:tab/>
        <w:t>motivational enhancement therapy</w:t>
      </w:r>
    </w:p>
    <w:p w14:paraId="308C9D05"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MI</w:t>
      </w:r>
      <w:r w:rsidRPr="007D4CB3">
        <w:rPr>
          <w:rFonts w:ascii="Times New Roman" w:hAnsi="Times New Roman" w:cs="Times New Roman"/>
        </w:rPr>
        <w:tab/>
        <w:t>motivational interviewing</w:t>
      </w:r>
    </w:p>
    <w:p w14:paraId="1D708E81"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MI</w:t>
      </w:r>
      <w:r w:rsidRPr="007D4CB3">
        <w:rPr>
          <w:rFonts w:ascii="Times New Roman" w:hAnsi="Times New Roman" w:cs="Times New Roman"/>
        </w:rPr>
        <w:tab/>
        <w:t>myocardial infarction</w:t>
      </w:r>
    </w:p>
    <w:p w14:paraId="02179B7F"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MPH</w:t>
      </w:r>
      <w:r w:rsidRPr="007D4CB3">
        <w:rPr>
          <w:rFonts w:ascii="Times New Roman" w:hAnsi="Times New Roman" w:cs="Times New Roman"/>
        </w:rPr>
        <w:tab/>
        <w:t>methylphenidate</w:t>
      </w:r>
    </w:p>
    <w:p w14:paraId="5EB50631"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MSK</w:t>
      </w:r>
      <w:r w:rsidRPr="007D4CB3">
        <w:rPr>
          <w:rFonts w:ascii="Times New Roman" w:hAnsi="Times New Roman" w:cs="Times New Roman"/>
        </w:rPr>
        <w:tab/>
        <w:t>musculoskeletal</w:t>
      </w:r>
    </w:p>
    <w:p w14:paraId="61BB6256"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MSM</w:t>
      </w:r>
      <w:r w:rsidRPr="007D4CB3">
        <w:rPr>
          <w:rFonts w:ascii="Times New Roman" w:hAnsi="Times New Roman" w:cs="Times New Roman"/>
        </w:rPr>
        <w:tab/>
        <w:t>men who have sex with men</w:t>
      </w:r>
    </w:p>
    <w:p w14:paraId="0B4F4FF5" w14:textId="1658D217" w:rsidR="00E011C1" w:rsidRPr="007D4CB3" w:rsidRDefault="00E011C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NAM</w:t>
      </w:r>
      <w:r w:rsidRPr="007D4CB3">
        <w:rPr>
          <w:rFonts w:ascii="Times New Roman" w:hAnsi="Times New Roman" w:cs="Times New Roman"/>
        </w:rPr>
        <w:tab/>
        <w:t>National Academy of Medicine</w:t>
      </w:r>
    </w:p>
    <w:p w14:paraId="6CB87A98"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NIDA</w:t>
      </w:r>
      <w:r w:rsidRPr="007D4CB3">
        <w:rPr>
          <w:rFonts w:ascii="Times New Roman" w:hAnsi="Times New Roman" w:cs="Times New Roman"/>
        </w:rPr>
        <w:tab/>
        <w:t>National Institute on Drug Abuse</w:t>
      </w:r>
    </w:p>
    <w:p w14:paraId="7C4414FF"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NMDA</w:t>
      </w:r>
      <w:r w:rsidRPr="007D4CB3">
        <w:rPr>
          <w:rFonts w:ascii="Times New Roman" w:hAnsi="Times New Roman" w:cs="Times New Roman"/>
        </w:rPr>
        <w:tab/>
        <w:t>N-methyl-D-aspartate</w:t>
      </w:r>
    </w:p>
    <w:p w14:paraId="5AE67D89"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NMS</w:t>
      </w:r>
      <w:r w:rsidRPr="007D4CB3">
        <w:rPr>
          <w:rFonts w:ascii="Times New Roman" w:hAnsi="Times New Roman" w:cs="Times New Roman"/>
        </w:rPr>
        <w:tab/>
        <w:t>neuroleptic malignant syndrome</w:t>
      </w:r>
    </w:p>
    <w:p w14:paraId="4D0A68D0" w14:textId="78A5456A" w:rsidR="00B5044C" w:rsidRPr="007D4CB3" w:rsidRDefault="00B5044C"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NSDUH</w:t>
      </w:r>
      <w:r w:rsidRPr="007D4CB3">
        <w:rPr>
          <w:rFonts w:ascii="Times New Roman" w:hAnsi="Times New Roman" w:cs="Times New Roman"/>
        </w:rPr>
        <w:tab/>
        <w:t>National Survey on Drug Use and Health</w:t>
      </w:r>
    </w:p>
    <w:p w14:paraId="576AD732"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OCCS</w:t>
      </w:r>
      <w:r w:rsidRPr="007D4CB3">
        <w:rPr>
          <w:rFonts w:ascii="Times New Roman" w:hAnsi="Times New Roman" w:cs="Times New Roman"/>
        </w:rPr>
        <w:tab/>
        <w:t>Obsessive Compulsive Cocaine Scale</w:t>
      </w:r>
    </w:p>
    <w:p w14:paraId="38CE7E9E"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OIG</w:t>
      </w:r>
      <w:r w:rsidRPr="007D4CB3">
        <w:rPr>
          <w:rFonts w:ascii="Times New Roman" w:hAnsi="Times New Roman" w:cs="Times New Roman"/>
        </w:rPr>
        <w:tab/>
        <w:t>Office of the Inspector General</w:t>
      </w:r>
    </w:p>
    <w:p w14:paraId="0CF664E7" w14:textId="2D3DF3E9" w:rsidR="00FB166A" w:rsidRPr="007D4CB3" w:rsidRDefault="00FB166A"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OROS</w:t>
      </w:r>
      <w:r w:rsidRPr="007D4CB3">
        <w:rPr>
          <w:rFonts w:ascii="Times New Roman" w:hAnsi="Times New Roman" w:cs="Times New Roman"/>
        </w:rPr>
        <w:tab/>
        <w:t>osmotic-controlled release oral delivery system</w:t>
      </w:r>
    </w:p>
    <w:p w14:paraId="64DC4AFD" w14:textId="6868BB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OTC</w:t>
      </w:r>
      <w:r w:rsidRPr="007D4CB3">
        <w:rPr>
          <w:rFonts w:ascii="Times New Roman" w:hAnsi="Times New Roman" w:cs="Times New Roman"/>
        </w:rPr>
        <w:tab/>
      </w:r>
      <w:r w:rsidR="002928C5" w:rsidRPr="007D4CB3">
        <w:rPr>
          <w:rFonts w:ascii="Times New Roman" w:hAnsi="Times New Roman" w:cs="Times New Roman"/>
        </w:rPr>
        <w:t>over the counter</w:t>
      </w:r>
    </w:p>
    <w:p w14:paraId="7235B2B6"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OUD</w:t>
      </w:r>
      <w:r w:rsidRPr="007D4CB3">
        <w:rPr>
          <w:rFonts w:ascii="Times New Roman" w:hAnsi="Times New Roman" w:cs="Times New Roman"/>
        </w:rPr>
        <w:tab/>
        <w:t>opioid use disorder</w:t>
      </w:r>
    </w:p>
    <w:p w14:paraId="3919C4C8" w14:textId="016C7743" w:rsidR="00FB166A" w:rsidRPr="007D4CB3" w:rsidRDefault="00FB166A"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PBO</w:t>
      </w:r>
      <w:r w:rsidRPr="007D4CB3">
        <w:rPr>
          <w:rFonts w:ascii="Times New Roman" w:hAnsi="Times New Roman" w:cs="Times New Roman"/>
        </w:rPr>
        <w:tab/>
        <w:t>phenobarbital</w:t>
      </w:r>
    </w:p>
    <w:p w14:paraId="0D27FFC9"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PDMP</w:t>
      </w:r>
      <w:r w:rsidRPr="007D4CB3">
        <w:rPr>
          <w:rFonts w:ascii="Times New Roman" w:hAnsi="Times New Roman" w:cs="Times New Roman"/>
        </w:rPr>
        <w:tab/>
        <w:t>prescription drug monitoring program</w:t>
      </w:r>
    </w:p>
    <w:p w14:paraId="528C8B4C"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PEP</w:t>
      </w:r>
      <w:r w:rsidRPr="007D4CB3">
        <w:rPr>
          <w:rFonts w:ascii="Times New Roman" w:hAnsi="Times New Roman" w:cs="Times New Roman"/>
        </w:rPr>
        <w:tab/>
        <w:t>postexposure prophylaxis</w:t>
      </w:r>
    </w:p>
    <w:p w14:paraId="74C8D52C"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lastRenderedPageBreak/>
        <w:t>PrEP</w:t>
      </w:r>
      <w:r w:rsidRPr="007D4CB3">
        <w:rPr>
          <w:rFonts w:ascii="Times New Roman" w:hAnsi="Times New Roman" w:cs="Times New Roman"/>
        </w:rPr>
        <w:tab/>
        <w:t>preexposure prophylaxis</w:t>
      </w:r>
    </w:p>
    <w:p w14:paraId="57A6EEC5"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Project BETA</w:t>
      </w:r>
      <w:r w:rsidRPr="007D4CB3">
        <w:rPr>
          <w:rFonts w:ascii="Times New Roman" w:hAnsi="Times New Roman" w:cs="Times New Roman"/>
        </w:rPr>
        <w:tab/>
        <w:t>Best Practices in the Evaluation and Treatment of Agitation</w:t>
      </w:r>
    </w:p>
    <w:p w14:paraId="3A22EA16"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PSS</w:t>
      </w:r>
      <w:r w:rsidRPr="007D4CB3">
        <w:rPr>
          <w:rFonts w:ascii="Times New Roman" w:hAnsi="Times New Roman" w:cs="Times New Roman"/>
        </w:rPr>
        <w:tab/>
        <w:t>Poisoning Severity Score</w:t>
      </w:r>
    </w:p>
    <w:p w14:paraId="687B24C2"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PTSD</w:t>
      </w:r>
      <w:r w:rsidRPr="007D4CB3">
        <w:rPr>
          <w:rFonts w:ascii="Times New Roman" w:hAnsi="Times New Roman" w:cs="Times New Roman"/>
        </w:rPr>
        <w:tab/>
        <w:t>post-traumatic stress disorder</w:t>
      </w:r>
    </w:p>
    <w:p w14:paraId="573E0D5A"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QIC</w:t>
      </w:r>
      <w:r w:rsidRPr="007D4CB3">
        <w:rPr>
          <w:rFonts w:ascii="Times New Roman" w:hAnsi="Times New Roman" w:cs="Times New Roman"/>
        </w:rPr>
        <w:tab/>
        <w:t>ASAM’s Quality Improvement Council</w:t>
      </w:r>
    </w:p>
    <w:p w14:paraId="02931E99"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RCT</w:t>
      </w:r>
      <w:r w:rsidRPr="007D4CB3">
        <w:rPr>
          <w:rFonts w:ascii="Times New Roman" w:hAnsi="Times New Roman" w:cs="Times New Roman"/>
        </w:rPr>
        <w:tab/>
        <w:t>randomized controlled trial</w:t>
      </w:r>
    </w:p>
    <w:p w14:paraId="61099272"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RoB </w:t>
      </w:r>
      <w:proofErr w:type="gramStart"/>
      <w:r w:rsidRPr="007D4CB3">
        <w:rPr>
          <w:rFonts w:ascii="Times New Roman" w:hAnsi="Times New Roman" w:cs="Times New Roman"/>
        </w:rPr>
        <w:t>2</w:t>
      </w:r>
      <w:proofErr w:type="gramEnd"/>
      <w:r w:rsidRPr="007D4CB3">
        <w:rPr>
          <w:rFonts w:ascii="Times New Roman" w:hAnsi="Times New Roman" w:cs="Times New Roman"/>
        </w:rPr>
        <w:tab/>
        <w:t>revised Cochrane Risk of Bias tool</w:t>
      </w:r>
    </w:p>
    <w:p w14:paraId="47440877" w14:textId="14023011"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ROBINS</w:t>
      </w:r>
      <w:r w:rsidRPr="007D4CB3">
        <w:rPr>
          <w:rFonts w:ascii="Times New Roman" w:hAnsi="Times New Roman" w:cs="Times New Roman"/>
        </w:rPr>
        <w:noBreakHyphen/>
        <w:t>I</w:t>
      </w:r>
      <w:r w:rsidRPr="007D4CB3">
        <w:rPr>
          <w:rFonts w:ascii="Times New Roman" w:hAnsi="Times New Roman" w:cs="Times New Roman"/>
        </w:rPr>
        <w:tab/>
        <w:t>Cochrane Risk of Bias in Non-</w:t>
      </w:r>
      <w:r w:rsidR="00B453E7" w:rsidRPr="007D4CB3">
        <w:rPr>
          <w:rFonts w:ascii="Times New Roman" w:hAnsi="Times New Roman" w:cs="Times New Roman"/>
        </w:rPr>
        <w:t>randomized</w:t>
      </w:r>
      <w:r w:rsidRPr="007D4CB3">
        <w:rPr>
          <w:rFonts w:ascii="Times New Roman" w:hAnsi="Times New Roman" w:cs="Times New Roman"/>
        </w:rPr>
        <w:t xml:space="preserve"> Studies – of Interventions tool</w:t>
      </w:r>
    </w:p>
    <w:p w14:paraId="64F5B401" w14:textId="73C68292" w:rsidR="001D0B9F" w:rsidRPr="007D4CB3" w:rsidRDefault="001D0B9F"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RSS</w:t>
      </w:r>
      <w:r w:rsidRPr="007D4CB3">
        <w:rPr>
          <w:rFonts w:ascii="Times New Roman" w:hAnsi="Times New Roman" w:cs="Times New Roman"/>
        </w:rPr>
        <w:tab/>
        <w:t>recovery support services</w:t>
      </w:r>
    </w:p>
    <w:p w14:paraId="1805A10A"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SAMHSA</w:t>
      </w:r>
      <w:r w:rsidRPr="007D4CB3">
        <w:rPr>
          <w:rFonts w:ascii="Times New Roman" w:hAnsi="Times New Roman" w:cs="Times New Roman"/>
        </w:rPr>
        <w:tab/>
        <w:t>Substance Abuse and Mental Health Services Administration</w:t>
      </w:r>
    </w:p>
    <w:p w14:paraId="3D007CC4" w14:textId="57D5BEF7" w:rsidR="003037B6" w:rsidRPr="007D4CB3" w:rsidRDefault="003037B6"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SBIRT</w:t>
      </w:r>
      <w:r w:rsidRPr="007D4CB3">
        <w:rPr>
          <w:rFonts w:ascii="Times New Roman" w:hAnsi="Times New Roman" w:cs="Times New Roman"/>
        </w:rPr>
        <w:tab/>
        <w:t>screening, brief intervention, and referral to treatment</w:t>
      </w:r>
    </w:p>
    <w:p w14:paraId="2AFFAE03"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SCS</w:t>
      </w:r>
      <w:r w:rsidRPr="007D4CB3">
        <w:rPr>
          <w:rFonts w:ascii="Times New Roman" w:hAnsi="Times New Roman" w:cs="Times New Roman"/>
        </w:rPr>
        <w:tab/>
        <w:t>supervised consumption sites</w:t>
      </w:r>
    </w:p>
    <w:p w14:paraId="7978CDC0" w14:textId="1CDD9EB7" w:rsidR="001D0B9F" w:rsidRPr="007D4CB3" w:rsidRDefault="001D0B9F"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SDOH</w:t>
      </w:r>
      <w:r w:rsidRPr="007D4CB3">
        <w:rPr>
          <w:rFonts w:ascii="Times New Roman" w:hAnsi="Times New Roman" w:cs="Times New Roman"/>
        </w:rPr>
        <w:tab/>
        <w:t>social determinants of health</w:t>
      </w:r>
    </w:p>
    <w:p w14:paraId="2DC37777"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SGM</w:t>
      </w:r>
      <w:r w:rsidRPr="007D4CB3">
        <w:rPr>
          <w:rFonts w:ascii="Times New Roman" w:hAnsi="Times New Roman" w:cs="Times New Roman"/>
        </w:rPr>
        <w:tab/>
        <w:t>sexual and gender minorities</w:t>
      </w:r>
    </w:p>
    <w:p w14:paraId="3ECAE9EC"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SSP</w:t>
      </w:r>
      <w:r w:rsidRPr="007D4CB3">
        <w:rPr>
          <w:rFonts w:ascii="Times New Roman" w:hAnsi="Times New Roman" w:cs="Times New Roman"/>
        </w:rPr>
        <w:tab/>
        <w:t>syringe service program</w:t>
      </w:r>
    </w:p>
    <w:p w14:paraId="097CC679"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SSSA</w:t>
      </w:r>
      <w:r w:rsidRPr="007D4CB3">
        <w:rPr>
          <w:rFonts w:ascii="Times New Roman" w:hAnsi="Times New Roman" w:cs="Times New Roman"/>
        </w:rPr>
        <w:tab/>
        <w:t>Stimulant Selective Severity Assessment</w:t>
      </w:r>
    </w:p>
    <w:p w14:paraId="12D6CB3A"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STI</w:t>
      </w:r>
      <w:r w:rsidRPr="007D4CB3">
        <w:rPr>
          <w:rFonts w:ascii="Times New Roman" w:hAnsi="Times New Roman" w:cs="Times New Roman"/>
        </w:rPr>
        <w:tab/>
        <w:t>sexually transmitted infection</w:t>
      </w:r>
    </w:p>
    <w:p w14:paraId="553F3D8C"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StUD</w:t>
      </w:r>
      <w:r w:rsidRPr="007D4CB3">
        <w:rPr>
          <w:rFonts w:ascii="Times New Roman" w:hAnsi="Times New Roman" w:cs="Times New Roman"/>
        </w:rPr>
        <w:tab/>
        <w:t>stimulant use disorder</w:t>
      </w:r>
    </w:p>
    <w:p w14:paraId="7628F6A7"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SUD</w:t>
      </w:r>
      <w:r w:rsidRPr="007D4CB3">
        <w:rPr>
          <w:rFonts w:ascii="Times New Roman" w:hAnsi="Times New Roman" w:cs="Times New Roman"/>
        </w:rPr>
        <w:tab/>
        <w:t>substance use disorder</w:t>
      </w:r>
    </w:p>
    <w:p w14:paraId="1C8B59DC"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TB</w:t>
      </w:r>
      <w:r w:rsidRPr="007D4CB3">
        <w:rPr>
          <w:rFonts w:ascii="Times New Roman" w:hAnsi="Times New Roman" w:cs="Times New Roman"/>
        </w:rPr>
        <w:tab/>
        <w:t>tuberculosis</w:t>
      </w:r>
    </w:p>
    <w:p w14:paraId="290303B2"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TBI</w:t>
      </w:r>
      <w:r w:rsidRPr="007D4CB3">
        <w:rPr>
          <w:rFonts w:ascii="Times New Roman" w:hAnsi="Times New Roman" w:cs="Times New Roman"/>
        </w:rPr>
        <w:tab/>
        <w:t>traumatic brain injury</w:t>
      </w:r>
    </w:p>
    <w:p w14:paraId="73B19509"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TES</w:t>
      </w:r>
      <w:r w:rsidRPr="007D4CB3">
        <w:rPr>
          <w:rFonts w:ascii="Times New Roman" w:hAnsi="Times New Roman" w:cs="Times New Roman"/>
        </w:rPr>
        <w:tab/>
        <w:t>Therapeutic Education System</w:t>
      </w:r>
    </w:p>
    <w:p w14:paraId="7EAF5E25"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TIP</w:t>
      </w:r>
      <w:r w:rsidRPr="007D4CB3">
        <w:rPr>
          <w:rFonts w:ascii="Times New Roman" w:hAnsi="Times New Roman" w:cs="Times New Roman"/>
        </w:rPr>
        <w:tab/>
        <w:t>Treatment Improvement Protocol</w:t>
      </w:r>
    </w:p>
    <w:p w14:paraId="28BBB697"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TUD</w:t>
      </w:r>
      <w:r w:rsidRPr="007D4CB3">
        <w:rPr>
          <w:rFonts w:ascii="Times New Roman" w:hAnsi="Times New Roman" w:cs="Times New Roman"/>
        </w:rPr>
        <w:tab/>
        <w:t>tobacco use disorder</w:t>
      </w:r>
    </w:p>
    <w:p w14:paraId="44589027"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UNODC</w:t>
      </w:r>
      <w:r w:rsidRPr="007D4CB3">
        <w:rPr>
          <w:rFonts w:ascii="Times New Roman" w:hAnsi="Times New Roman" w:cs="Times New Roman"/>
        </w:rPr>
        <w:tab/>
        <w:t>United Nations Office on Drugs and Crime</w:t>
      </w:r>
    </w:p>
    <w:p w14:paraId="028E2BF0" w14:textId="382D970E" w:rsidR="00D62BC0" w:rsidRPr="007D4CB3" w:rsidRDefault="00D62BC0"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USC</w:t>
      </w:r>
      <w:r w:rsidRPr="007D4CB3">
        <w:rPr>
          <w:rFonts w:ascii="Times New Roman" w:hAnsi="Times New Roman" w:cs="Times New Roman"/>
        </w:rPr>
        <w:tab/>
        <w:t>Code of Laws of the United States of America</w:t>
      </w:r>
    </w:p>
    <w:p w14:paraId="149F0515"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USPSTF</w:t>
      </w:r>
      <w:r w:rsidRPr="007D4CB3">
        <w:rPr>
          <w:rFonts w:ascii="Times New Roman" w:hAnsi="Times New Roman" w:cs="Times New Roman"/>
        </w:rPr>
        <w:tab/>
        <w:t>US Preventive Services Task Force</w:t>
      </w:r>
    </w:p>
    <w:p w14:paraId="3392B319"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VA</w:t>
      </w:r>
      <w:r w:rsidRPr="007D4CB3">
        <w:rPr>
          <w:rFonts w:ascii="Times New Roman" w:hAnsi="Times New Roman" w:cs="Times New Roman"/>
        </w:rPr>
        <w:tab/>
        <w:t>US Department of Veterans Affairs</w:t>
      </w:r>
    </w:p>
    <w:p w14:paraId="1DED8FF7"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WHO</w:t>
      </w:r>
      <w:r w:rsidRPr="007D4CB3">
        <w:rPr>
          <w:rFonts w:ascii="Times New Roman" w:hAnsi="Times New Roman" w:cs="Times New Roman"/>
        </w:rPr>
        <w:tab/>
        <w:t>World Health Organization</w:t>
      </w:r>
    </w:p>
    <w:p w14:paraId="3DB8ADF4"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WIC</w:t>
      </w:r>
      <w:r w:rsidRPr="007D4CB3">
        <w:rPr>
          <w:rFonts w:ascii="Times New Roman" w:hAnsi="Times New Roman" w:cs="Times New Roman"/>
        </w:rPr>
        <w:tab/>
        <w:t>Special Supplemental Nutrition Program for Women, Infants, and Children</w:t>
      </w:r>
    </w:p>
    <w:p w14:paraId="70F63E75" w14:textId="77777777" w:rsidR="005D3271" w:rsidRPr="007D4CB3" w:rsidRDefault="005D3271" w:rsidP="00FC7CE6">
      <w:pPr>
        <w:tabs>
          <w:tab w:val="left" w:pos="1710"/>
        </w:tabs>
        <w:spacing w:before="0" w:after="0" w:line="360" w:lineRule="auto"/>
        <w:ind w:left="1710" w:hanging="1710"/>
        <w:rPr>
          <w:rFonts w:ascii="Times New Roman" w:hAnsi="Times New Roman" w:cs="Times New Roman"/>
        </w:rPr>
      </w:pPr>
      <w:r w:rsidRPr="007D4CB3">
        <w:rPr>
          <w:rFonts w:ascii="Times New Roman" w:hAnsi="Times New Roman" w:cs="Times New Roman"/>
        </w:rPr>
        <w:t>YPR</w:t>
      </w:r>
      <w:r w:rsidRPr="007D4CB3">
        <w:rPr>
          <w:rFonts w:ascii="Times New Roman" w:hAnsi="Times New Roman" w:cs="Times New Roman"/>
        </w:rPr>
        <w:tab/>
        <w:t>Young People in Recovery</w:t>
      </w:r>
    </w:p>
    <w:p w14:paraId="1A661BF9" w14:textId="77777777" w:rsidR="005D3271" w:rsidRPr="007D4CB3" w:rsidRDefault="005D3271" w:rsidP="00FC7CE6">
      <w:pPr>
        <w:tabs>
          <w:tab w:val="left" w:pos="1440"/>
        </w:tabs>
        <w:spacing w:before="0" w:after="0" w:line="360" w:lineRule="auto"/>
        <w:rPr>
          <w:rFonts w:ascii="Times New Roman" w:hAnsi="Times New Roman" w:cs="Times New Roman"/>
        </w:rPr>
        <w:sectPr w:rsidR="005D3271" w:rsidRPr="007D4CB3" w:rsidSect="00E6227A">
          <w:footnotePr>
            <w:numFmt w:val="chicago"/>
          </w:footnotePr>
          <w:type w:val="continuous"/>
          <w:pgSz w:w="12240" w:h="15840"/>
          <w:pgMar w:top="1440" w:right="1440" w:bottom="1440" w:left="1440" w:header="720" w:footer="720" w:gutter="0"/>
          <w:cols w:space="720"/>
          <w:docGrid w:linePitch="360"/>
        </w:sectPr>
      </w:pPr>
    </w:p>
    <w:p w14:paraId="3B6452B5" w14:textId="53FB2E20" w:rsidR="005D3271" w:rsidRPr="007D4CB3" w:rsidDel="009635B3" w:rsidRDefault="005D3271" w:rsidP="00FC7CE6">
      <w:pPr>
        <w:pStyle w:val="Heading1"/>
        <w:spacing w:before="0" w:after="0" w:line="360" w:lineRule="auto"/>
        <w:rPr>
          <w:rStyle w:val="Strong"/>
          <w:rFonts w:ascii="Times New Roman" w:hAnsi="Times New Roman" w:cs="Times New Roman"/>
          <w:b/>
          <w:sz w:val="24"/>
          <w:szCs w:val="24"/>
        </w:rPr>
      </w:pPr>
      <w:bookmarkStart w:id="2" w:name="_Toc144381376"/>
      <w:r w:rsidRPr="007D4CB3" w:rsidDel="009635B3">
        <w:rPr>
          <w:rStyle w:val="Strong"/>
          <w:rFonts w:ascii="Times New Roman" w:hAnsi="Times New Roman" w:cs="Times New Roman"/>
          <w:b/>
          <w:sz w:val="24"/>
          <w:szCs w:val="24"/>
        </w:rPr>
        <w:lastRenderedPageBreak/>
        <w:t xml:space="preserve">Appendix </w:t>
      </w:r>
      <w:r w:rsidR="001D766F" w:rsidRPr="007D4CB3">
        <w:rPr>
          <w:rStyle w:val="Strong"/>
          <w:rFonts w:ascii="Times New Roman" w:hAnsi="Times New Roman" w:cs="Times New Roman"/>
          <w:b/>
          <w:bCs/>
          <w:sz w:val="24"/>
          <w:szCs w:val="24"/>
        </w:rPr>
        <w:t>C</w:t>
      </w:r>
      <w:r w:rsidRPr="007D4CB3" w:rsidDel="009635B3">
        <w:rPr>
          <w:rStyle w:val="Strong"/>
          <w:rFonts w:ascii="Times New Roman" w:hAnsi="Times New Roman" w:cs="Times New Roman"/>
          <w:b/>
          <w:sz w:val="24"/>
          <w:szCs w:val="24"/>
        </w:rPr>
        <w:t xml:space="preserve">. Differential </w:t>
      </w:r>
      <w:r w:rsidRPr="007D4CB3" w:rsidDel="009635B3">
        <w:rPr>
          <w:rStyle w:val="Strong"/>
          <w:rFonts w:ascii="Times New Roman" w:hAnsi="Times New Roman" w:cs="Times New Roman"/>
          <w:b/>
          <w:bCs/>
          <w:sz w:val="24"/>
          <w:szCs w:val="24"/>
        </w:rPr>
        <w:t>Diagnosis</w:t>
      </w:r>
      <w:r w:rsidRPr="007D4CB3" w:rsidDel="009635B3">
        <w:rPr>
          <w:rStyle w:val="Strong"/>
          <w:rFonts w:ascii="Times New Roman" w:hAnsi="Times New Roman" w:cs="Times New Roman"/>
          <w:b/>
          <w:sz w:val="24"/>
          <w:szCs w:val="24"/>
        </w:rPr>
        <w:t xml:space="preserve"> for </w:t>
      </w:r>
      <w:r w:rsidRPr="007D4CB3" w:rsidDel="009635B3">
        <w:rPr>
          <w:rStyle w:val="Strong"/>
          <w:rFonts w:ascii="Times New Roman" w:hAnsi="Times New Roman" w:cs="Times New Roman"/>
          <w:b/>
          <w:bCs/>
          <w:sz w:val="24"/>
          <w:szCs w:val="24"/>
        </w:rPr>
        <w:t>Agitation</w:t>
      </w:r>
      <w:r w:rsidR="002B3222" w:rsidRPr="007D4CB3">
        <w:rPr>
          <w:rStyle w:val="Strong"/>
          <w:rFonts w:ascii="Times New Roman" w:hAnsi="Times New Roman" w:cs="Times New Roman"/>
          <w:b/>
          <w:bCs/>
          <w:sz w:val="24"/>
          <w:szCs w:val="24"/>
        </w:rPr>
        <w:t xml:space="preserve"> and </w:t>
      </w:r>
      <w:r w:rsidRPr="007D4CB3" w:rsidDel="009635B3">
        <w:rPr>
          <w:rStyle w:val="Strong"/>
          <w:rFonts w:ascii="Times New Roman" w:hAnsi="Times New Roman" w:cs="Times New Roman"/>
          <w:b/>
          <w:bCs/>
          <w:sz w:val="24"/>
          <w:szCs w:val="24"/>
        </w:rPr>
        <w:t>Psychosis</w:t>
      </w:r>
      <w:bookmarkEnd w:id="2"/>
    </w:p>
    <w:p w14:paraId="12C5B6C9" w14:textId="6FC257A3" w:rsidR="005D3271" w:rsidRPr="007D4CB3" w:rsidRDefault="005D3271" w:rsidP="00FC7CE6">
      <w:pPr>
        <w:spacing w:before="0" w:after="0" w:line="360" w:lineRule="auto"/>
        <w:rPr>
          <w:rFonts w:ascii="Times New Roman" w:hAnsi="Times New Roman" w:cs="Times New Roman"/>
        </w:rPr>
      </w:pPr>
      <w:r w:rsidRPr="007D4CB3">
        <w:rPr>
          <w:rFonts w:ascii="Times New Roman" w:hAnsi="Times New Roman" w:cs="Times New Roman"/>
        </w:rPr>
        <w:t xml:space="preserve">The </w:t>
      </w:r>
      <w:r w:rsidR="002B3222" w:rsidRPr="007D4CB3">
        <w:rPr>
          <w:rFonts w:ascii="Times New Roman" w:hAnsi="Times New Roman" w:cs="Times New Roman"/>
        </w:rPr>
        <w:t>d</w:t>
      </w:r>
      <w:r w:rsidRPr="007D4CB3">
        <w:rPr>
          <w:rFonts w:ascii="Times New Roman" w:hAnsi="Times New Roman" w:cs="Times New Roman"/>
        </w:rPr>
        <w:t xml:space="preserve">ifferential diagnosis for agitation and psychosis is </w:t>
      </w:r>
      <w:proofErr w:type="gramStart"/>
      <w:r w:rsidRPr="007D4CB3">
        <w:rPr>
          <w:rFonts w:ascii="Times New Roman" w:hAnsi="Times New Roman" w:cs="Times New Roman"/>
        </w:rPr>
        <w:t>very broad</w:t>
      </w:r>
      <w:proofErr w:type="gramEnd"/>
      <w:r w:rsidRPr="007D4CB3">
        <w:rPr>
          <w:rFonts w:ascii="Times New Roman" w:hAnsi="Times New Roman" w:cs="Times New Roman"/>
        </w:rPr>
        <w:t xml:space="preserve">. Comprehensive discussion of this topic </w:t>
      </w:r>
      <w:proofErr w:type="gramStart"/>
      <w:r w:rsidRPr="007D4CB3">
        <w:rPr>
          <w:rFonts w:ascii="Times New Roman" w:hAnsi="Times New Roman" w:cs="Times New Roman"/>
        </w:rPr>
        <w:t>is addressed</w:t>
      </w:r>
      <w:proofErr w:type="gramEnd"/>
      <w:r w:rsidRPr="007D4CB3">
        <w:rPr>
          <w:rFonts w:ascii="Times New Roman" w:hAnsi="Times New Roman" w:cs="Times New Roman"/>
        </w:rPr>
        <w:t xml:space="preserve"> </w:t>
      </w:r>
      <w:r w:rsidR="002D5195" w:rsidRPr="007D4CB3">
        <w:rPr>
          <w:rFonts w:ascii="Times New Roman" w:hAnsi="Times New Roman" w:cs="Times New Roman"/>
        </w:rPr>
        <w:t xml:space="preserve">well </w:t>
      </w:r>
      <w:r w:rsidRPr="007D4CB3">
        <w:rPr>
          <w:rFonts w:ascii="Times New Roman" w:hAnsi="Times New Roman" w:cs="Times New Roman"/>
        </w:rPr>
        <w:t xml:space="preserve">elsewhere. The following </w:t>
      </w:r>
      <w:r w:rsidR="002D5195" w:rsidRPr="007D4CB3">
        <w:rPr>
          <w:rFonts w:ascii="Times New Roman" w:hAnsi="Times New Roman" w:cs="Times New Roman"/>
        </w:rPr>
        <w:t>highlights</w:t>
      </w:r>
      <w:r w:rsidRPr="007D4CB3">
        <w:rPr>
          <w:rFonts w:ascii="Times New Roman" w:hAnsi="Times New Roman" w:cs="Times New Roman"/>
        </w:rPr>
        <w:t xml:space="preserve"> common conditions to consider in the differential diagnosis of agitation or psychosis in patients with stimulant intoxication and is not meant to be an exhaustive list. </w:t>
      </w:r>
      <w:r w:rsidR="00D3626E" w:rsidRPr="007D4CB3">
        <w:rPr>
          <w:rFonts w:ascii="Times New Roman" w:hAnsi="Times New Roman" w:cs="Times New Roman"/>
        </w:rPr>
        <w:t>ACEP’s</w:t>
      </w:r>
      <w:r w:rsidRPr="007D4CB3">
        <w:rPr>
          <w:rFonts w:ascii="Times New Roman" w:hAnsi="Times New Roman" w:cs="Times New Roman"/>
        </w:rPr>
        <w:t xml:space="preserve"> Project BETA provides a helpful </w:t>
      </w:r>
      <w:r w:rsidR="008402D8" w:rsidRPr="007D4CB3">
        <w:rPr>
          <w:rFonts w:ascii="Times New Roman" w:hAnsi="Times New Roman" w:cs="Times New Roman"/>
        </w:rPr>
        <w:t xml:space="preserve">and </w:t>
      </w:r>
      <w:r w:rsidRPr="007D4CB3">
        <w:rPr>
          <w:rFonts w:ascii="Times New Roman" w:hAnsi="Times New Roman" w:cs="Times New Roman"/>
        </w:rPr>
        <w:t>comprehensive resource.</w:t>
      </w:r>
    </w:p>
    <w:p w14:paraId="4601E601" w14:textId="77777777" w:rsidR="005D3271" w:rsidRPr="007D4CB3" w:rsidDel="009635B3" w:rsidRDefault="005D3271" w:rsidP="00FC7CE6">
      <w:pPr>
        <w:spacing w:before="0" w:after="0" w:line="360" w:lineRule="auto"/>
        <w:rPr>
          <w:rFonts w:ascii="Times New Roman" w:hAnsi="Times New Roman" w:cs="Times New Roman"/>
        </w:rPr>
      </w:pPr>
      <w:r w:rsidRPr="007D4CB3" w:rsidDel="009635B3">
        <w:rPr>
          <w:rFonts w:ascii="Times New Roman" w:hAnsi="Times New Roman" w:cs="Times New Roman"/>
        </w:rPr>
        <w:t>Indications to perform head CT include:</w:t>
      </w:r>
    </w:p>
    <w:p w14:paraId="51E19BEA" w14:textId="77777777" w:rsidR="005D3271" w:rsidRPr="007D4CB3" w:rsidDel="009635B3" w:rsidRDefault="005D3271" w:rsidP="00FC7CE6">
      <w:pPr>
        <w:pStyle w:val="StUDEtDbullets"/>
        <w:spacing w:before="0" w:after="0" w:line="360" w:lineRule="auto"/>
        <w:rPr>
          <w:rFonts w:ascii="Times New Roman" w:hAnsi="Times New Roman" w:cs="Times New Roman"/>
        </w:rPr>
      </w:pPr>
      <w:r w:rsidRPr="007D4CB3" w:rsidDel="009635B3">
        <w:rPr>
          <w:rFonts w:ascii="Times New Roman" w:hAnsi="Times New Roman" w:cs="Times New Roman"/>
        </w:rPr>
        <w:t>altered mental status;</w:t>
      </w:r>
    </w:p>
    <w:p w14:paraId="57273AE5" w14:textId="77777777" w:rsidR="005D3271" w:rsidRPr="007D4CB3" w:rsidDel="009635B3" w:rsidRDefault="005D3271" w:rsidP="00FC7CE6">
      <w:pPr>
        <w:pStyle w:val="StUDEtDbullets"/>
        <w:spacing w:before="0" w:after="0" w:line="360" w:lineRule="auto"/>
        <w:rPr>
          <w:rFonts w:ascii="Times New Roman" w:hAnsi="Times New Roman" w:cs="Times New Roman"/>
        </w:rPr>
      </w:pPr>
      <w:r w:rsidRPr="007D4CB3" w:rsidDel="009635B3">
        <w:rPr>
          <w:rFonts w:ascii="Times New Roman" w:hAnsi="Times New Roman" w:cs="Times New Roman"/>
        </w:rPr>
        <w:t>neurologic symptoms;</w:t>
      </w:r>
    </w:p>
    <w:p w14:paraId="170B49B2" w14:textId="00116F68" w:rsidR="005D3271" w:rsidRPr="007D4CB3" w:rsidDel="009635B3" w:rsidRDefault="005D3271" w:rsidP="00FC7CE6">
      <w:pPr>
        <w:pStyle w:val="StUDEtDbullets"/>
        <w:spacing w:before="0" w:after="0" w:line="360" w:lineRule="auto"/>
        <w:rPr>
          <w:rFonts w:ascii="Times New Roman" w:hAnsi="Times New Roman" w:cs="Times New Roman"/>
        </w:rPr>
      </w:pPr>
      <w:r w:rsidRPr="007D4CB3" w:rsidDel="009635B3">
        <w:rPr>
          <w:rFonts w:ascii="Times New Roman" w:hAnsi="Times New Roman" w:cs="Times New Roman"/>
        </w:rPr>
        <w:t>signs of physical trauma (</w:t>
      </w:r>
      <w:r w:rsidR="002928C5" w:rsidRPr="007D4CB3" w:rsidDel="009635B3">
        <w:rPr>
          <w:rFonts w:ascii="Times New Roman" w:hAnsi="Times New Roman" w:cs="Times New Roman"/>
        </w:rPr>
        <w:t>e.g.</w:t>
      </w:r>
      <w:r w:rsidRPr="007D4CB3" w:rsidDel="009635B3">
        <w:rPr>
          <w:rFonts w:ascii="Times New Roman" w:hAnsi="Times New Roman" w:cs="Times New Roman"/>
        </w:rPr>
        <w:t>, TBI);</w:t>
      </w:r>
    </w:p>
    <w:p w14:paraId="2716F7B9" w14:textId="7FAB1A9C" w:rsidR="005D3271" w:rsidRPr="007D4CB3" w:rsidDel="009635B3" w:rsidRDefault="000C3852"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f</w:t>
      </w:r>
      <w:r w:rsidR="005D3271" w:rsidRPr="007D4CB3">
        <w:rPr>
          <w:rFonts w:ascii="Times New Roman" w:hAnsi="Times New Roman" w:cs="Times New Roman"/>
        </w:rPr>
        <w:t xml:space="preserve">ound unconscious or comatose, which can be the result of trauma </w:t>
      </w:r>
      <w:r w:rsidR="005D3271" w:rsidRPr="007D4CB3" w:rsidDel="009635B3">
        <w:rPr>
          <w:rFonts w:ascii="Times New Roman" w:hAnsi="Times New Roman" w:cs="Times New Roman"/>
        </w:rPr>
        <w:t>or stroke, including stimulant-induced stroke; and</w:t>
      </w:r>
    </w:p>
    <w:p w14:paraId="372A47AE" w14:textId="77777777" w:rsidR="005D3271" w:rsidRPr="007D4CB3" w:rsidDel="009635B3" w:rsidRDefault="005D3271" w:rsidP="00FC7CE6">
      <w:pPr>
        <w:pStyle w:val="StUDEtDbullets"/>
        <w:spacing w:before="0" w:after="0" w:line="360" w:lineRule="auto"/>
        <w:rPr>
          <w:rFonts w:ascii="Times New Roman" w:hAnsi="Times New Roman" w:cs="Times New Roman"/>
        </w:rPr>
      </w:pPr>
      <w:r w:rsidRPr="007D4CB3" w:rsidDel="009635B3">
        <w:rPr>
          <w:rFonts w:ascii="Times New Roman" w:hAnsi="Times New Roman" w:cs="Times New Roman"/>
        </w:rPr>
        <w:t>anoxic injury.</w:t>
      </w:r>
    </w:p>
    <w:p w14:paraId="6C0C9F06" w14:textId="77777777" w:rsidR="005D3271" w:rsidRPr="007D4CB3" w:rsidDel="009635B3" w:rsidRDefault="005D3271" w:rsidP="00FC7CE6">
      <w:pPr>
        <w:spacing w:before="0" w:after="0" w:line="360" w:lineRule="auto"/>
        <w:rPr>
          <w:rFonts w:ascii="Times New Roman" w:hAnsi="Times New Roman" w:cs="Times New Roman"/>
        </w:rPr>
      </w:pPr>
      <w:r w:rsidRPr="007D4CB3" w:rsidDel="009635B3">
        <w:rPr>
          <w:rFonts w:ascii="Times New Roman" w:hAnsi="Times New Roman" w:cs="Times New Roman"/>
        </w:rPr>
        <w:t>Indications to perform lumbar puncture and blood tests for encephalitis include:</w:t>
      </w:r>
    </w:p>
    <w:p w14:paraId="3B3D8797" w14:textId="14222EF5" w:rsidR="005D3271" w:rsidRPr="007D4CB3" w:rsidDel="009635B3" w:rsidRDefault="005D3271"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unexplained fever,</w:t>
      </w:r>
      <w:r w:rsidR="008D5925" w:rsidRPr="007D4CB3">
        <w:rPr>
          <w:rFonts w:ascii="Times New Roman" w:hAnsi="Times New Roman" w:cs="Times New Roman"/>
        </w:rPr>
        <w:t xml:space="preserve"> and</w:t>
      </w:r>
    </w:p>
    <w:p w14:paraId="42878099" w14:textId="2D2B845C" w:rsidR="005D3271" w:rsidRPr="007D4CB3" w:rsidDel="009635B3" w:rsidRDefault="005D3271" w:rsidP="00FC7CE6">
      <w:pPr>
        <w:pStyle w:val="StUDEtDbullets"/>
        <w:spacing w:before="0" w:after="0" w:line="360" w:lineRule="auto"/>
        <w:rPr>
          <w:rFonts w:ascii="Times New Roman" w:hAnsi="Times New Roman" w:cs="Times New Roman"/>
        </w:rPr>
      </w:pPr>
      <w:r w:rsidRPr="007D4CB3" w:rsidDel="009635B3">
        <w:rPr>
          <w:rFonts w:ascii="Times New Roman" w:hAnsi="Times New Roman" w:cs="Times New Roman"/>
        </w:rPr>
        <w:t>meningeal signs and symptoms (</w:t>
      </w:r>
      <w:r w:rsidR="002928C5" w:rsidRPr="007D4CB3" w:rsidDel="009635B3">
        <w:rPr>
          <w:rFonts w:ascii="Times New Roman" w:hAnsi="Times New Roman" w:cs="Times New Roman"/>
        </w:rPr>
        <w:t>e.g.</w:t>
      </w:r>
      <w:r w:rsidRPr="007D4CB3" w:rsidDel="009635B3">
        <w:rPr>
          <w:rFonts w:ascii="Times New Roman" w:hAnsi="Times New Roman" w:cs="Times New Roman"/>
        </w:rPr>
        <w:t>, stiff neck, photophobia, back pain)</w:t>
      </w:r>
      <w:r w:rsidR="008D5925" w:rsidRPr="007D4CB3">
        <w:rPr>
          <w:rFonts w:ascii="Times New Roman" w:hAnsi="Times New Roman" w:cs="Times New Roman"/>
        </w:rPr>
        <w:t>.</w:t>
      </w:r>
    </w:p>
    <w:p w14:paraId="635D5821" w14:textId="3BFE547C" w:rsidR="005D3271" w:rsidRPr="007D4CB3" w:rsidDel="00565CE2" w:rsidRDefault="005D3271" w:rsidP="00FC7CE6">
      <w:pPr>
        <w:spacing w:before="0" w:after="0" w:line="360" w:lineRule="auto"/>
        <w:rPr>
          <w:rFonts w:ascii="Times New Roman" w:hAnsi="Times New Roman" w:cs="Times New Roman"/>
        </w:rPr>
      </w:pPr>
      <w:r w:rsidRPr="007D4CB3">
        <w:rPr>
          <w:rFonts w:ascii="Times New Roman" w:hAnsi="Times New Roman" w:cs="Times New Roman"/>
        </w:rPr>
        <w:t>I</w:t>
      </w:r>
      <w:r w:rsidRPr="007D4CB3" w:rsidDel="009635B3">
        <w:rPr>
          <w:rFonts w:ascii="Times New Roman" w:hAnsi="Times New Roman" w:cs="Times New Roman"/>
        </w:rPr>
        <w:t>ndications for EEG</w:t>
      </w:r>
      <w:r w:rsidR="009F6F88" w:rsidRPr="007D4CB3">
        <w:rPr>
          <w:rFonts w:ascii="Times New Roman" w:hAnsi="Times New Roman" w:cs="Times New Roman"/>
        </w:rPr>
        <w:t xml:space="preserve"> include</w:t>
      </w:r>
      <w:r w:rsidRPr="007D4CB3">
        <w:rPr>
          <w:rFonts w:ascii="Times New Roman" w:hAnsi="Times New Roman" w:cs="Times New Roman"/>
        </w:rPr>
        <w:t>:</w:t>
      </w:r>
    </w:p>
    <w:p w14:paraId="0F0ACF12" w14:textId="77777777" w:rsidR="005D3271" w:rsidRPr="007D4CB3" w:rsidDel="009635B3" w:rsidRDefault="005D3271" w:rsidP="00FC7CE6">
      <w:pPr>
        <w:pStyle w:val="StUDEtDbullets"/>
        <w:spacing w:before="0" w:after="0" w:line="360" w:lineRule="auto"/>
        <w:rPr>
          <w:rFonts w:ascii="Times New Roman" w:hAnsi="Times New Roman" w:cs="Times New Roman"/>
        </w:rPr>
      </w:pPr>
      <w:r w:rsidRPr="007D4CB3" w:rsidDel="009635B3">
        <w:rPr>
          <w:rFonts w:ascii="Times New Roman" w:hAnsi="Times New Roman" w:cs="Times New Roman"/>
        </w:rPr>
        <w:t>seizure not well explained,</w:t>
      </w:r>
    </w:p>
    <w:p w14:paraId="2CB69A4A" w14:textId="77777777" w:rsidR="005D3271" w:rsidRPr="007D4CB3" w:rsidDel="009635B3" w:rsidRDefault="005D3271" w:rsidP="00FC7CE6">
      <w:pPr>
        <w:pStyle w:val="StUDEtDbullets"/>
        <w:spacing w:before="0" w:after="0" w:line="360" w:lineRule="auto"/>
        <w:rPr>
          <w:rFonts w:ascii="Times New Roman" w:hAnsi="Times New Roman" w:cs="Times New Roman"/>
        </w:rPr>
      </w:pPr>
      <w:r w:rsidRPr="007D4CB3" w:rsidDel="009635B3">
        <w:rPr>
          <w:rFonts w:ascii="Times New Roman" w:hAnsi="Times New Roman" w:cs="Times New Roman"/>
        </w:rPr>
        <w:t>neurologic signs and symptoms not well explained, and</w:t>
      </w:r>
    </w:p>
    <w:p w14:paraId="7449DDEC" w14:textId="77777777" w:rsidR="005D3271" w:rsidRPr="007D4CB3" w:rsidDel="009635B3" w:rsidRDefault="005D3271" w:rsidP="00FC7CE6">
      <w:pPr>
        <w:pStyle w:val="StUDEtDbullets"/>
        <w:spacing w:before="0" w:after="0" w:line="360" w:lineRule="auto"/>
        <w:rPr>
          <w:rFonts w:ascii="Times New Roman" w:hAnsi="Times New Roman" w:cs="Times New Roman"/>
        </w:rPr>
      </w:pPr>
      <w:r w:rsidRPr="007D4CB3" w:rsidDel="009635B3">
        <w:rPr>
          <w:rFonts w:ascii="Times New Roman" w:hAnsi="Times New Roman" w:cs="Times New Roman"/>
        </w:rPr>
        <w:t>persistent encephalopathy.</w:t>
      </w:r>
    </w:p>
    <w:p w14:paraId="50D3AD28" w14:textId="19993338" w:rsidR="005D3271" w:rsidRPr="007D4CB3" w:rsidDel="009635B3" w:rsidRDefault="005D3271" w:rsidP="00FC7CE6">
      <w:pPr>
        <w:spacing w:before="0" w:after="0" w:line="360" w:lineRule="auto"/>
        <w:rPr>
          <w:rFonts w:ascii="Times New Roman" w:hAnsi="Times New Roman" w:cs="Times New Roman"/>
        </w:rPr>
      </w:pPr>
      <w:r w:rsidRPr="007D4CB3" w:rsidDel="009635B3">
        <w:rPr>
          <w:rFonts w:ascii="Times New Roman" w:hAnsi="Times New Roman" w:cs="Times New Roman"/>
        </w:rPr>
        <w:t>Additional causes of agitation</w:t>
      </w:r>
      <w:r w:rsidR="00DE3386" w:rsidRPr="007D4CB3">
        <w:rPr>
          <w:rFonts w:ascii="Times New Roman" w:hAnsi="Times New Roman" w:cs="Times New Roman"/>
        </w:rPr>
        <w:t xml:space="preserve"> and </w:t>
      </w:r>
      <w:r w:rsidRPr="007D4CB3" w:rsidDel="009635B3">
        <w:rPr>
          <w:rFonts w:ascii="Times New Roman" w:hAnsi="Times New Roman" w:cs="Times New Roman"/>
        </w:rPr>
        <w:t>psychosis include</w:t>
      </w:r>
      <w:r w:rsidRPr="007D4CB3">
        <w:rPr>
          <w:rFonts w:ascii="Times New Roman" w:hAnsi="Times New Roman" w:cs="Times New Roman"/>
        </w:rPr>
        <w:t xml:space="preserve"> (but </w:t>
      </w:r>
      <w:proofErr w:type="gramStart"/>
      <w:r w:rsidRPr="007D4CB3">
        <w:rPr>
          <w:rFonts w:ascii="Times New Roman" w:hAnsi="Times New Roman" w:cs="Times New Roman"/>
        </w:rPr>
        <w:t>are not limited</w:t>
      </w:r>
      <w:proofErr w:type="gramEnd"/>
      <w:r w:rsidRPr="007D4CB3">
        <w:rPr>
          <w:rFonts w:ascii="Times New Roman" w:hAnsi="Times New Roman" w:cs="Times New Roman"/>
        </w:rPr>
        <w:t xml:space="preserve"> to):</w:t>
      </w:r>
    </w:p>
    <w:p w14:paraId="63A6AC46" w14:textId="5C685B60" w:rsidR="005D3271" w:rsidRPr="007D4CB3" w:rsidDel="009635B3" w:rsidRDefault="005D3271" w:rsidP="00FC7CE6">
      <w:pPr>
        <w:pStyle w:val="StUDEtDbullets"/>
        <w:spacing w:before="0" w:after="0" w:line="360" w:lineRule="auto"/>
        <w:rPr>
          <w:rFonts w:ascii="Times New Roman" w:hAnsi="Times New Roman" w:cs="Times New Roman"/>
        </w:rPr>
      </w:pPr>
      <w:r w:rsidRPr="007D4CB3" w:rsidDel="009635B3">
        <w:rPr>
          <w:rFonts w:ascii="Times New Roman" w:hAnsi="Times New Roman" w:cs="Times New Roman"/>
        </w:rPr>
        <w:t>nutritional deficiencies (</w:t>
      </w:r>
      <w:r w:rsidR="002928C5" w:rsidRPr="007D4CB3" w:rsidDel="009635B3">
        <w:rPr>
          <w:rFonts w:ascii="Times New Roman" w:hAnsi="Times New Roman" w:cs="Times New Roman"/>
        </w:rPr>
        <w:t>e.g.</w:t>
      </w:r>
      <w:r w:rsidRPr="007D4CB3" w:rsidDel="009635B3">
        <w:rPr>
          <w:rFonts w:ascii="Times New Roman" w:hAnsi="Times New Roman" w:cs="Times New Roman"/>
        </w:rPr>
        <w:t>, Wernicke encephalopathy),</w:t>
      </w:r>
    </w:p>
    <w:p w14:paraId="0C2BE3FB" w14:textId="306A5260" w:rsidR="005D3271" w:rsidRPr="007D4CB3" w:rsidDel="009635B3" w:rsidRDefault="005D3271" w:rsidP="00FC7CE6">
      <w:pPr>
        <w:pStyle w:val="StUDEtDbullets"/>
        <w:spacing w:before="0" w:after="0" w:line="360" w:lineRule="auto"/>
        <w:rPr>
          <w:rFonts w:ascii="Times New Roman" w:hAnsi="Times New Roman" w:cs="Times New Roman"/>
        </w:rPr>
      </w:pPr>
      <w:r w:rsidRPr="007D4CB3" w:rsidDel="009635B3">
        <w:rPr>
          <w:rFonts w:ascii="Times New Roman" w:hAnsi="Times New Roman" w:cs="Times New Roman"/>
        </w:rPr>
        <w:t>neurologic disorders (</w:t>
      </w:r>
      <w:r w:rsidR="002928C5" w:rsidRPr="007D4CB3" w:rsidDel="009635B3">
        <w:rPr>
          <w:rFonts w:ascii="Times New Roman" w:hAnsi="Times New Roman" w:cs="Times New Roman"/>
        </w:rPr>
        <w:t>e.g.</w:t>
      </w:r>
      <w:r w:rsidRPr="007D4CB3" w:rsidDel="009635B3">
        <w:rPr>
          <w:rFonts w:ascii="Times New Roman" w:hAnsi="Times New Roman" w:cs="Times New Roman"/>
        </w:rPr>
        <w:t>, Parkinson’s disease, dementia),</w:t>
      </w:r>
    </w:p>
    <w:p w14:paraId="0AD5D2E7" w14:textId="77777777" w:rsidR="005D3271" w:rsidRPr="007D4CB3" w:rsidDel="009635B3" w:rsidRDefault="005D3271" w:rsidP="00FC7CE6">
      <w:pPr>
        <w:pStyle w:val="StUDEtDbullets"/>
        <w:spacing w:before="0" w:after="0" w:line="360" w:lineRule="auto"/>
        <w:rPr>
          <w:rFonts w:ascii="Times New Roman" w:hAnsi="Times New Roman" w:cs="Times New Roman"/>
        </w:rPr>
      </w:pPr>
      <w:r w:rsidRPr="007D4CB3" w:rsidDel="009635B3">
        <w:rPr>
          <w:rFonts w:ascii="Times New Roman" w:hAnsi="Times New Roman" w:cs="Times New Roman"/>
        </w:rPr>
        <w:t>brain tumors,</w:t>
      </w:r>
    </w:p>
    <w:p w14:paraId="48089CAB" w14:textId="77777777" w:rsidR="005D3271" w:rsidRPr="007D4CB3" w:rsidDel="009635B3" w:rsidRDefault="005D3271" w:rsidP="00FC7CE6">
      <w:pPr>
        <w:pStyle w:val="StUDEtDbullets"/>
        <w:spacing w:before="0" w:after="0" w:line="360" w:lineRule="auto"/>
        <w:rPr>
          <w:rFonts w:ascii="Times New Roman" w:hAnsi="Times New Roman" w:cs="Times New Roman"/>
        </w:rPr>
      </w:pPr>
      <w:r w:rsidRPr="007D4CB3" w:rsidDel="009635B3">
        <w:rPr>
          <w:rFonts w:ascii="Times New Roman" w:hAnsi="Times New Roman" w:cs="Times New Roman"/>
        </w:rPr>
        <w:t>infections,</w:t>
      </w:r>
    </w:p>
    <w:p w14:paraId="0D6F212B" w14:textId="77777777" w:rsidR="005D3271" w:rsidRPr="007D4CB3" w:rsidDel="009635B3" w:rsidRDefault="005D3271" w:rsidP="00FC7CE6">
      <w:pPr>
        <w:pStyle w:val="StUDEtDbullets"/>
        <w:spacing w:before="0" w:after="0" w:line="360" w:lineRule="auto"/>
        <w:rPr>
          <w:rFonts w:ascii="Times New Roman" w:hAnsi="Times New Roman" w:cs="Times New Roman"/>
        </w:rPr>
      </w:pPr>
      <w:r w:rsidRPr="007D4CB3" w:rsidDel="009635B3">
        <w:rPr>
          <w:rFonts w:ascii="Times New Roman" w:hAnsi="Times New Roman" w:cs="Times New Roman"/>
        </w:rPr>
        <w:t>endocrine dysfunction,</w:t>
      </w:r>
    </w:p>
    <w:p w14:paraId="7B582850" w14:textId="12118978" w:rsidR="005D3271" w:rsidRPr="007D4CB3" w:rsidDel="009635B3" w:rsidRDefault="005D3271" w:rsidP="00FC7CE6">
      <w:pPr>
        <w:pStyle w:val="StUDEtDbullets"/>
        <w:spacing w:before="0" w:after="0" w:line="360" w:lineRule="auto"/>
        <w:rPr>
          <w:rFonts w:ascii="Times New Roman" w:hAnsi="Times New Roman" w:cs="Times New Roman"/>
        </w:rPr>
      </w:pPr>
      <w:r w:rsidRPr="007D4CB3" w:rsidDel="009635B3">
        <w:rPr>
          <w:rFonts w:ascii="Times New Roman" w:hAnsi="Times New Roman" w:cs="Times New Roman"/>
        </w:rPr>
        <w:t>thyroid toxicity (</w:t>
      </w:r>
      <w:r w:rsidR="002928C5" w:rsidRPr="007D4CB3" w:rsidDel="009635B3">
        <w:rPr>
          <w:rFonts w:ascii="Times New Roman" w:hAnsi="Times New Roman" w:cs="Times New Roman"/>
        </w:rPr>
        <w:t>e.g.</w:t>
      </w:r>
      <w:r w:rsidRPr="007D4CB3" w:rsidDel="009635B3">
        <w:rPr>
          <w:rFonts w:ascii="Times New Roman" w:hAnsi="Times New Roman" w:cs="Times New Roman"/>
        </w:rPr>
        <w:t>, thyrotoxicosis),</w:t>
      </w:r>
    </w:p>
    <w:p w14:paraId="000F8006" w14:textId="561CE780" w:rsidR="005D3271" w:rsidRPr="007D4CB3" w:rsidDel="009635B3" w:rsidRDefault="005D3271" w:rsidP="00FC7CE6">
      <w:pPr>
        <w:pStyle w:val="StUDEtDbullets"/>
        <w:spacing w:before="0" w:after="0" w:line="360" w:lineRule="auto"/>
        <w:rPr>
          <w:rFonts w:ascii="Times New Roman" w:hAnsi="Times New Roman" w:cs="Times New Roman"/>
        </w:rPr>
      </w:pPr>
      <w:r w:rsidRPr="007D4CB3" w:rsidDel="009635B3">
        <w:rPr>
          <w:rFonts w:ascii="Times New Roman" w:hAnsi="Times New Roman" w:cs="Times New Roman"/>
        </w:rPr>
        <w:t>hormonal abnormalities (</w:t>
      </w:r>
      <w:r w:rsidR="002928C5" w:rsidRPr="007D4CB3" w:rsidDel="009635B3">
        <w:rPr>
          <w:rFonts w:ascii="Times New Roman" w:hAnsi="Times New Roman" w:cs="Times New Roman"/>
        </w:rPr>
        <w:t>e.g.</w:t>
      </w:r>
      <w:r w:rsidRPr="007D4CB3" w:rsidDel="009635B3">
        <w:rPr>
          <w:rFonts w:ascii="Times New Roman" w:hAnsi="Times New Roman" w:cs="Times New Roman"/>
        </w:rPr>
        <w:t>, steroid-induced psychosis),</w:t>
      </w:r>
    </w:p>
    <w:p w14:paraId="6DAF1C80" w14:textId="77777777" w:rsidR="005D3271" w:rsidRPr="007D4CB3" w:rsidDel="009635B3" w:rsidRDefault="005D3271" w:rsidP="00FC7CE6">
      <w:pPr>
        <w:pStyle w:val="StUDEtDbullets"/>
        <w:spacing w:before="0" w:after="0" w:line="360" w:lineRule="auto"/>
        <w:rPr>
          <w:rFonts w:ascii="Times New Roman" w:hAnsi="Times New Roman" w:cs="Times New Roman"/>
        </w:rPr>
      </w:pPr>
      <w:r w:rsidRPr="007D4CB3" w:rsidDel="009635B3">
        <w:rPr>
          <w:rFonts w:ascii="Times New Roman" w:hAnsi="Times New Roman" w:cs="Times New Roman"/>
        </w:rPr>
        <w:t>autoimmune diseases,</w:t>
      </w:r>
    </w:p>
    <w:p w14:paraId="71E54ECA" w14:textId="6080B817" w:rsidR="005D3271" w:rsidRPr="007D4CB3" w:rsidDel="009635B3" w:rsidRDefault="00A0030D"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N</w:t>
      </w:r>
      <w:r w:rsidRPr="007D4CB3">
        <w:rPr>
          <w:rFonts w:ascii="Times New Roman" w:hAnsi="Times New Roman" w:cs="Times New Roman"/>
        </w:rPr>
        <w:noBreakHyphen/>
        <w:t>methyl</w:t>
      </w:r>
      <w:r w:rsidRPr="007D4CB3">
        <w:rPr>
          <w:rFonts w:ascii="Times New Roman" w:hAnsi="Times New Roman" w:cs="Times New Roman"/>
        </w:rPr>
        <w:noBreakHyphen/>
        <w:t>D</w:t>
      </w:r>
      <w:r w:rsidRPr="007D4CB3">
        <w:rPr>
          <w:rFonts w:ascii="Times New Roman" w:hAnsi="Times New Roman" w:cs="Times New Roman"/>
        </w:rPr>
        <w:noBreakHyphen/>
        <w:t>aspartate (</w:t>
      </w:r>
      <w:r w:rsidR="005D3271" w:rsidRPr="007D4CB3" w:rsidDel="009635B3">
        <w:rPr>
          <w:rFonts w:ascii="Times New Roman" w:hAnsi="Times New Roman" w:cs="Times New Roman"/>
        </w:rPr>
        <w:t>NMDA</w:t>
      </w:r>
      <w:r w:rsidRPr="007D4CB3">
        <w:rPr>
          <w:rFonts w:ascii="Times New Roman" w:hAnsi="Times New Roman" w:cs="Times New Roman"/>
        </w:rPr>
        <w:t>)</w:t>
      </w:r>
      <w:r w:rsidR="005D3271" w:rsidRPr="007D4CB3" w:rsidDel="009635B3">
        <w:rPr>
          <w:rFonts w:ascii="Times New Roman" w:hAnsi="Times New Roman" w:cs="Times New Roman"/>
        </w:rPr>
        <w:t xml:space="preserve"> receptor encephalitis, and</w:t>
      </w:r>
    </w:p>
    <w:p w14:paraId="050C7F6A" w14:textId="77777777" w:rsidR="005D3271" w:rsidRPr="007D4CB3" w:rsidDel="009635B3" w:rsidRDefault="005D3271" w:rsidP="00FC7CE6">
      <w:pPr>
        <w:pStyle w:val="StUDEtDbullets"/>
        <w:spacing w:before="0" w:after="0" w:line="360" w:lineRule="auto"/>
        <w:rPr>
          <w:rFonts w:ascii="Times New Roman" w:hAnsi="Times New Roman" w:cs="Times New Roman"/>
        </w:rPr>
      </w:pPr>
      <w:r w:rsidRPr="007D4CB3" w:rsidDel="009635B3">
        <w:rPr>
          <w:rFonts w:ascii="Times New Roman" w:hAnsi="Times New Roman" w:cs="Times New Roman"/>
        </w:rPr>
        <w:lastRenderedPageBreak/>
        <w:t>medication reactions that cause neuropsychiatric symptoms.</w:t>
      </w:r>
    </w:p>
    <w:p w14:paraId="4B80CBDD" w14:textId="77777777" w:rsidR="005D3271" w:rsidRPr="007D4CB3" w:rsidRDefault="005D3271" w:rsidP="007D4CB3">
      <w:pPr>
        <w:spacing w:before="0" w:after="0" w:line="480" w:lineRule="auto"/>
        <w:rPr>
          <w:rFonts w:ascii="Times New Roman" w:hAnsi="Times New Roman" w:cs="Times New Roman"/>
        </w:rPr>
        <w:sectPr w:rsidR="005D3271" w:rsidRPr="007D4CB3" w:rsidSect="00E6227A">
          <w:footnotePr>
            <w:numFmt w:val="chicago"/>
          </w:footnotePr>
          <w:type w:val="continuous"/>
          <w:pgSz w:w="12240" w:h="15840"/>
          <w:pgMar w:top="1440" w:right="1440" w:bottom="1440" w:left="1440" w:header="720" w:footer="720" w:gutter="0"/>
          <w:cols w:space="720"/>
          <w:docGrid w:linePitch="360"/>
        </w:sectPr>
      </w:pPr>
    </w:p>
    <w:p w14:paraId="48FAD721" w14:textId="2A28499B" w:rsidR="005D3271" w:rsidRPr="007D4CB3" w:rsidRDefault="005D3271" w:rsidP="00FC7CE6">
      <w:pPr>
        <w:pStyle w:val="Heading1"/>
        <w:spacing w:before="0" w:after="0" w:line="240" w:lineRule="auto"/>
        <w:rPr>
          <w:rFonts w:ascii="Times New Roman" w:hAnsi="Times New Roman" w:cs="Times New Roman"/>
          <w:sz w:val="24"/>
          <w:szCs w:val="24"/>
        </w:rPr>
      </w:pPr>
      <w:bookmarkStart w:id="3" w:name="_Toc144381377"/>
      <w:r w:rsidRPr="007D4CB3">
        <w:rPr>
          <w:rFonts w:ascii="Times New Roman" w:hAnsi="Times New Roman" w:cs="Times New Roman"/>
          <w:sz w:val="24"/>
          <w:szCs w:val="24"/>
        </w:rPr>
        <w:lastRenderedPageBreak/>
        <w:t xml:space="preserve">Appendix </w:t>
      </w:r>
      <w:r w:rsidR="001D766F" w:rsidRPr="007D4CB3">
        <w:rPr>
          <w:rFonts w:ascii="Times New Roman" w:hAnsi="Times New Roman" w:cs="Times New Roman"/>
          <w:sz w:val="24"/>
          <w:szCs w:val="24"/>
        </w:rPr>
        <w:t>D</w:t>
      </w:r>
      <w:r w:rsidRPr="007D4CB3">
        <w:rPr>
          <w:rFonts w:ascii="Times New Roman" w:hAnsi="Times New Roman" w:cs="Times New Roman"/>
          <w:sz w:val="24"/>
          <w:szCs w:val="24"/>
        </w:rPr>
        <w:t xml:space="preserve">. </w:t>
      </w:r>
      <w:r w:rsidR="0079339F" w:rsidRPr="007D4CB3">
        <w:rPr>
          <w:rFonts w:ascii="Times New Roman" w:hAnsi="Times New Roman" w:cs="Times New Roman"/>
          <w:sz w:val="24"/>
          <w:szCs w:val="24"/>
        </w:rPr>
        <w:t xml:space="preserve">Disclosures </w:t>
      </w:r>
      <w:r w:rsidRPr="007D4CB3">
        <w:rPr>
          <w:rFonts w:ascii="Times New Roman" w:hAnsi="Times New Roman" w:cs="Times New Roman"/>
          <w:sz w:val="24"/>
          <w:szCs w:val="24"/>
        </w:rPr>
        <w:t>of Interest</w:t>
      </w:r>
      <w:bookmarkEnd w:id="3"/>
    </w:p>
    <w:p w14:paraId="6E3DEB7F" w14:textId="603D18BD" w:rsidR="00CA11A6" w:rsidRPr="007D4CB3" w:rsidRDefault="00CA11A6" w:rsidP="00FC7CE6">
      <w:pPr>
        <w:pStyle w:val="Heading2"/>
        <w:spacing w:before="0" w:after="0" w:line="240" w:lineRule="auto"/>
        <w:rPr>
          <w:rFonts w:ascii="Times New Roman" w:hAnsi="Times New Roman" w:cs="Times New Roman"/>
          <w:sz w:val="24"/>
        </w:rPr>
      </w:pPr>
      <w:bookmarkStart w:id="4" w:name="_Toc144381378"/>
      <w:r w:rsidRPr="007D4CB3">
        <w:rPr>
          <w:rFonts w:ascii="Times New Roman" w:hAnsi="Times New Roman" w:cs="Times New Roman"/>
          <w:sz w:val="24"/>
        </w:rPr>
        <w:t>Clinical Guideline Committee Members</w:t>
      </w:r>
      <w:bookmarkEnd w:id="4"/>
    </w:p>
    <w:tbl>
      <w:tblPr>
        <w:tblW w:w="12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1665"/>
        <w:gridCol w:w="1808"/>
        <w:gridCol w:w="1332"/>
        <w:gridCol w:w="2212"/>
        <w:gridCol w:w="2557"/>
        <w:gridCol w:w="1541"/>
      </w:tblGrid>
      <w:tr w:rsidR="009D5AC4" w:rsidRPr="007D4CB3" w14:paraId="45480385" w14:textId="77777777" w:rsidTr="6493A743">
        <w:trPr>
          <w:cantSplit/>
          <w:trHeight w:val="285"/>
          <w:tblHeader/>
        </w:trPr>
        <w:tc>
          <w:tcPr>
            <w:tcW w:w="1845" w:type="dxa"/>
            <w:tcBorders>
              <w:top w:val="single" w:sz="12" w:space="0" w:color="auto"/>
              <w:left w:val="nil"/>
              <w:bottom w:val="single" w:sz="12" w:space="0" w:color="auto"/>
              <w:right w:val="nil"/>
            </w:tcBorders>
            <w:shd w:val="clear" w:color="auto" w:fill="auto"/>
            <w:hideMark/>
          </w:tcPr>
          <w:p w14:paraId="33087379" w14:textId="5DC2DFCD" w:rsidR="009D5AC4" w:rsidRPr="007D4CB3" w:rsidRDefault="00E571A4" w:rsidP="00FC7CE6">
            <w:pPr>
              <w:spacing w:before="0" w:after="0" w:line="240" w:lineRule="auto"/>
              <w:textAlignment w:val="baseline"/>
              <w:rPr>
                <w:rFonts w:ascii="Times New Roman" w:eastAsia="Times New Roman" w:hAnsi="Times New Roman" w:cs="Times New Roman"/>
                <w:b/>
                <w:bCs/>
                <w:color w:val="231F20"/>
              </w:rPr>
            </w:pPr>
            <w:r w:rsidRPr="007D4CB3">
              <w:rPr>
                <w:rFonts w:ascii="Times New Roman" w:eastAsia="Times New Roman" w:hAnsi="Times New Roman" w:cs="Times New Roman"/>
                <w:b/>
                <w:bCs/>
                <w:color w:val="231F20"/>
              </w:rPr>
              <w:t xml:space="preserve">Clinical </w:t>
            </w:r>
            <w:r w:rsidR="009D5AC4" w:rsidRPr="007D4CB3">
              <w:rPr>
                <w:rFonts w:ascii="Times New Roman" w:eastAsia="Times New Roman" w:hAnsi="Times New Roman" w:cs="Times New Roman"/>
                <w:b/>
                <w:bCs/>
                <w:color w:val="231F20"/>
              </w:rPr>
              <w:t>Guideline Committee Member</w:t>
            </w:r>
          </w:p>
        </w:tc>
        <w:tc>
          <w:tcPr>
            <w:tcW w:w="1665" w:type="dxa"/>
            <w:tcBorders>
              <w:top w:val="single" w:sz="12" w:space="0" w:color="auto"/>
              <w:left w:val="nil"/>
              <w:bottom w:val="single" w:sz="12" w:space="0" w:color="auto"/>
              <w:right w:val="nil"/>
            </w:tcBorders>
            <w:shd w:val="clear" w:color="auto" w:fill="auto"/>
            <w:hideMark/>
          </w:tcPr>
          <w:p w14:paraId="6642B3CF" w14:textId="70CF48A2" w:rsidR="009D5AC4" w:rsidRPr="007D4CB3" w:rsidRDefault="009D5AC4" w:rsidP="00FC7CE6">
            <w:pPr>
              <w:spacing w:before="0" w:after="0" w:line="240" w:lineRule="auto"/>
              <w:textAlignment w:val="baseline"/>
              <w:rPr>
                <w:rFonts w:ascii="Times New Roman" w:eastAsia="Times New Roman" w:hAnsi="Times New Roman" w:cs="Times New Roman"/>
                <w:b/>
                <w:bCs/>
                <w:color w:val="231F20"/>
              </w:rPr>
            </w:pPr>
            <w:r w:rsidRPr="007D4CB3">
              <w:rPr>
                <w:rFonts w:ascii="Times New Roman" w:eastAsia="Times New Roman" w:hAnsi="Times New Roman" w:cs="Times New Roman"/>
                <w:b/>
                <w:bCs/>
                <w:color w:val="231F20"/>
              </w:rPr>
              <w:t>Employment</w:t>
            </w:r>
          </w:p>
        </w:tc>
        <w:tc>
          <w:tcPr>
            <w:tcW w:w="1808" w:type="dxa"/>
            <w:tcBorders>
              <w:top w:val="single" w:sz="12" w:space="0" w:color="auto"/>
              <w:left w:val="nil"/>
              <w:bottom w:val="single" w:sz="12" w:space="0" w:color="auto"/>
              <w:right w:val="nil"/>
            </w:tcBorders>
            <w:shd w:val="clear" w:color="auto" w:fill="auto"/>
            <w:hideMark/>
          </w:tcPr>
          <w:p w14:paraId="27F8F7A6" w14:textId="638E6168" w:rsidR="009D5AC4" w:rsidRPr="007D4CB3" w:rsidRDefault="009D5AC4" w:rsidP="00FC7CE6">
            <w:pPr>
              <w:spacing w:before="0" w:after="0" w:line="240" w:lineRule="auto"/>
              <w:textAlignment w:val="baseline"/>
              <w:rPr>
                <w:rFonts w:ascii="Times New Roman" w:eastAsia="Times New Roman" w:hAnsi="Times New Roman" w:cs="Times New Roman"/>
                <w:b/>
                <w:bCs/>
                <w:color w:val="231F20"/>
              </w:rPr>
            </w:pPr>
            <w:r w:rsidRPr="007D4CB3">
              <w:rPr>
                <w:rFonts w:ascii="Times New Roman" w:eastAsia="Times New Roman" w:hAnsi="Times New Roman" w:cs="Times New Roman"/>
                <w:b/>
                <w:bCs/>
                <w:color w:val="231F20"/>
              </w:rPr>
              <w:t>Consulting</w:t>
            </w:r>
          </w:p>
        </w:tc>
        <w:tc>
          <w:tcPr>
            <w:tcW w:w="1332" w:type="dxa"/>
            <w:tcBorders>
              <w:top w:val="single" w:sz="12" w:space="0" w:color="auto"/>
              <w:left w:val="nil"/>
              <w:bottom w:val="single" w:sz="12" w:space="0" w:color="auto"/>
              <w:right w:val="nil"/>
            </w:tcBorders>
            <w:shd w:val="clear" w:color="auto" w:fill="auto"/>
            <w:hideMark/>
          </w:tcPr>
          <w:p w14:paraId="154160EA" w14:textId="315E0AC5" w:rsidR="009D5AC4" w:rsidRPr="007D4CB3" w:rsidRDefault="009D5AC4" w:rsidP="00FC7CE6">
            <w:pPr>
              <w:spacing w:before="0" w:after="0" w:line="240" w:lineRule="auto"/>
              <w:textAlignment w:val="baseline"/>
              <w:rPr>
                <w:rFonts w:ascii="Times New Roman" w:eastAsia="Times New Roman" w:hAnsi="Times New Roman" w:cs="Times New Roman"/>
                <w:b/>
                <w:bCs/>
                <w:color w:val="231F20"/>
              </w:rPr>
            </w:pPr>
            <w:r w:rsidRPr="007D4CB3">
              <w:rPr>
                <w:rFonts w:ascii="Times New Roman" w:eastAsia="Times New Roman" w:hAnsi="Times New Roman" w:cs="Times New Roman"/>
                <w:b/>
                <w:bCs/>
                <w:color w:val="231F20"/>
              </w:rPr>
              <w:t>Research</w:t>
            </w:r>
          </w:p>
        </w:tc>
        <w:tc>
          <w:tcPr>
            <w:tcW w:w="2212" w:type="dxa"/>
            <w:tcBorders>
              <w:top w:val="single" w:sz="12" w:space="0" w:color="auto"/>
              <w:left w:val="nil"/>
              <w:bottom w:val="single" w:sz="12" w:space="0" w:color="auto"/>
              <w:right w:val="nil"/>
            </w:tcBorders>
            <w:shd w:val="clear" w:color="auto" w:fill="auto"/>
            <w:hideMark/>
          </w:tcPr>
          <w:p w14:paraId="082FC109" w14:textId="008C836D" w:rsidR="009D5AC4" w:rsidRPr="007D4CB3" w:rsidRDefault="009D5AC4" w:rsidP="00FC7CE6">
            <w:pPr>
              <w:spacing w:before="0" w:after="0" w:line="240" w:lineRule="auto"/>
              <w:textAlignment w:val="baseline"/>
              <w:rPr>
                <w:rFonts w:ascii="Times New Roman" w:eastAsia="Times New Roman" w:hAnsi="Times New Roman" w:cs="Times New Roman"/>
                <w:b/>
                <w:bCs/>
                <w:color w:val="231F20"/>
              </w:rPr>
            </w:pPr>
            <w:r w:rsidRPr="007D4CB3">
              <w:rPr>
                <w:rFonts w:ascii="Times New Roman" w:eastAsia="Times New Roman" w:hAnsi="Times New Roman" w:cs="Times New Roman"/>
                <w:b/>
                <w:bCs/>
                <w:color w:val="231F20"/>
              </w:rPr>
              <w:t>Investments and Proprietary Interests</w:t>
            </w:r>
          </w:p>
        </w:tc>
        <w:tc>
          <w:tcPr>
            <w:tcW w:w="2557" w:type="dxa"/>
            <w:tcBorders>
              <w:top w:val="single" w:sz="12" w:space="0" w:color="auto"/>
              <w:left w:val="nil"/>
              <w:bottom w:val="single" w:sz="12" w:space="0" w:color="auto"/>
              <w:right w:val="nil"/>
            </w:tcBorders>
            <w:shd w:val="clear" w:color="auto" w:fill="auto"/>
            <w:hideMark/>
          </w:tcPr>
          <w:p w14:paraId="2B0D2972" w14:textId="254CCAEB" w:rsidR="009D5AC4" w:rsidRPr="007D4CB3" w:rsidRDefault="009D5AC4" w:rsidP="00FC7CE6">
            <w:pPr>
              <w:spacing w:before="0" w:after="0" w:line="240" w:lineRule="auto"/>
              <w:textAlignment w:val="baseline"/>
              <w:rPr>
                <w:rFonts w:ascii="Times New Roman" w:eastAsia="Times New Roman" w:hAnsi="Times New Roman" w:cs="Times New Roman"/>
                <w:b/>
                <w:bCs/>
                <w:color w:val="231F20"/>
              </w:rPr>
            </w:pPr>
            <w:r w:rsidRPr="007D4CB3">
              <w:rPr>
                <w:rFonts w:ascii="Times New Roman" w:eastAsia="Times New Roman" w:hAnsi="Times New Roman" w:cs="Times New Roman"/>
                <w:b/>
                <w:bCs/>
                <w:color w:val="231F20"/>
              </w:rPr>
              <w:t>Healthcare-Related Organizations</w:t>
            </w:r>
          </w:p>
        </w:tc>
        <w:tc>
          <w:tcPr>
            <w:tcW w:w="1541" w:type="dxa"/>
            <w:tcBorders>
              <w:top w:val="single" w:sz="12" w:space="0" w:color="auto"/>
              <w:left w:val="nil"/>
              <w:bottom w:val="single" w:sz="12" w:space="0" w:color="auto"/>
              <w:right w:val="nil"/>
            </w:tcBorders>
            <w:shd w:val="clear" w:color="auto" w:fill="auto"/>
            <w:hideMark/>
          </w:tcPr>
          <w:p w14:paraId="0263AF48" w14:textId="0609A4AC" w:rsidR="009D5AC4" w:rsidRPr="007D4CB3" w:rsidRDefault="009D5AC4" w:rsidP="00FC7CE6">
            <w:pPr>
              <w:spacing w:before="0" w:after="0" w:line="240" w:lineRule="auto"/>
              <w:textAlignment w:val="baseline"/>
              <w:rPr>
                <w:rFonts w:ascii="Times New Roman" w:eastAsia="Times New Roman" w:hAnsi="Times New Roman" w:cs="Times New Roman"/>
                <w:b/>
                <w:bCs/>
                <w:color w:val="231F20"/>
              </w:rPr>
            </w:pPr>
            <w:r w:rsidRPr="007D4CB3">
              <w:rPr>
                <w:rFonts w:ascii="Times New Roman" w:eastAsia="Times New Roman" w:hAnsi="Times New Roman" w:cs="Times New Roman"/>
                <w:b/>
                <w:bCs/>
                <w:color w:val="231F20"/>
              </w:rPr>
              <w:t>Advocacy/</w:t>
            </w:r>
            <w:r w:rsidR="00E91947" w:rsidRPr="007D4CB3">
              <w:rPr>
                <w:rFonts w:ascii="Times New Roman" w:eastAsia="Times New Roman" w:hAnsi="Times New Roman" w:cs="Times New Roman"/>
                <w:b/>
                <w:bCs/>
                <w:color w:val="231F20"/>
              </w:rPr>
              <w:br/>
            </w:r>
            <w:r w:rsidRPr="007D4CB3">
              <w:rPr>
                <w:rFonts w:ascii="Times New Roman" w:eastAsia="Times New Roman" w:hAnsi="Times New Roman" w:cs="Times New Roman"/>
                <w:b/>
                <w:bCs/>
                <w:color w:val="231F20"/>
              </w:rPr>
              <w:t>Lobbying</w:t>
            </w:r>
          </w:p>
        </w:tc>
      </w:tr>
      <w:tr w:rsidR="009D5AC4" w:rsidRPr="007D4CB3" w14:paraId="5DC5EFE7" w14:textId="77777777" w:rsidTr="6493A743">
        <w:trPr>
          <w:cantSplit/>
          <w:trHeight w:val="285"/>
        </w:trPr>
        <w:tc>
          <w:tcPr>
            <w:tcW w:w="1845" w:type="dxa"/>
            <w:tcBorders>
              <w:top w:val="nil"/>
              <w:left w:val="nil"/>
              <w:bottom w:val="single" w:sz="6" w:space="0" w:color="auto"/>
              <w:right w:val="nil"/>
            </w:tcBorders>
            <w:shd w:val="clear" w:color="auto" w:fill="auto"/>
            <w:hideMark/>
          </w:tcPr>
          <w:p w14:paraId="76BBDF28"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Steven L. Baki, MD</w:t>
            </w:r>
          </w:p>
        </w:tc>
        <w:tc>
          <w:tcPr>
            <w:tcW w:w="1665" w:type="dxa"/>
            <w:tcBorders>
              <w:top w:val="nil"/>
              <w:left w:val="nil"/>
              <w:bottom w:val="single" w:sz="6" w:space="0" w:color="auto"/>
              <w:right w:val="nil"/>
            </w:tcBorders>
            <w:shd w:val="clear" w:color="auto" w:fill="auto"/>
            <w:hideMark/>
          </w:tcPr>
          <w:p w14:paraId="206CEA35"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Department of Veteran Affairs (Attending Physician); University of California San Francisco (Professor)</w:t>
            </w:r>
          </w:p>
        </w:tc>
        <w:tc>
          <w:tcPr>
            <w:tcW w:w="1808" w:type="dxa"/>
            <w:tcBorders>
              <w:top w:val="nil"/>
              <w:left w:val="nil"/>
              <w:bottom w:val="single" w:sz="6" w:space="0" w:color="auto"/>
              <w:right w:val="nil"/>
            </w:tcBorders>
            <w:shd w:val="clear" w:color="auto" w:fill="auto"/>
            <w:hideMark/>
          </w:tcPr>
          <w:p w14:paraId="0D61C3A8" w14:textId="6E321CD0"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32" w:type="dxa"/>
            <w:tcBorders>
              <w:top w:val="nil"/>
              <w:left w:val="nil"/>
              <w:bottom w:val="single" w:sz="6" w:space="0" w:color="auto"/>
              <w:right w:val="nil"/>
            </w:tcBorders>
            <w:shd w:val="clear" w:color="auto" w:fill="auto"/>
            <w:hideMark/>
          </w:tcPr>
          <w:p w14:paraId="7A9BB3AF" w14:textId="17AB4DBA"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212" w:type="dxa"/>
            <w:tcBorders>
              <w:top w:val="nil"/>
              <w:left w:val="nil"/>
              <w:bottom w:val="single" w:sz="6" w:space="0" w:color="auto"/>
              <w:right w:val="nil"/>
            </w:tcBorders>
            <w:shd w:val="clear" w:color="auto" w:fill="auto"/>
            <w:hideMark/>
          </w:tcPr>
          <w:p w14:paraId="42492E7F" w14:textId="61A83316"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57" w:type="dxa"/>
            <w:tcBorders>
              <w:top w:val="nil"/>
              <w:left w:val="nil"/>
              <w:bottom w:val="single" w:sz="6" w:space="0" w:color="auto"/>
              <w:right w:val="nil"/>
            </w:tcBorders>
            <w:shd w:val="clear" w:color="auto" w:fill="auto"/>
            <w:hideMark/>
          </w:tcPr>
          <w:p w14:paraId="0C898399" w14:textId="587B37CF"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541" w:type="dxa"/>
            <w:tcBorders>
              <w:top w:val="nil"/>
              <w:left w:val="nil"/>
              <w:bottom w:val="single" w:sz="6" w:space="0" w:color="auto"/>
              <w:right w:val="nil"/>
            </w:tcBorders>
            <w:shd w:val="clear" w:color="auto" w:fill="auto"/>
            <w:hideMark/>
          </w:tcPr>
          <w:p w14:paraId="128A46AC" w14:textId="32581CDB"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9D5AC4" w:rsidRPr="007D4CB3" w14:paraId="68365CB4" w14:textId="77777777" w:rsidTr="6493A743">
        <w:trPr>
          <w:cantSplit/>
          <w:trHeight w:val="285"/>
        </w:trPr>
        <w:tc>
          <w:tcPr>
            <w:tcW w:w="1845" w:type="dxa"/>
            <w:tcBorders>
              <w:top w:val="single" w:sz="6" w:space="0" w:color="auto"/>
              <w:left w:val="nil"/>
              <w:bottom w:val="single" w:sz="6" w:space="0" w:color="auto"/>
              <w:right w:val="nil"/>
            </w:tcBorders>
            <w:shd w:val="clear" w:color="auto" w:fill="auto"/>
            <w:hideMark/>
          </w:tcPr>
          <w:p w14:paraId="0D914C55"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Dan Ciccarone, MD, MPH</w:t>
            </w:r>
          </w:p>
        </w:tc>
        <w:tc>
          <w:tcPr>
            <w:tcW w:w="1665" w:type="dxa"/>
            <w:tcBorders>
              <w:top w:val="single" w:sz="6" w:space="0" w:color="auto"/>
              <w:left w:val="nil"/>
              <w:bottom w:val="single" w:sz="6" w:space="0" w:color="auto"/>
              <w:right w:val="nil"/>
            </w:tcBorders>
            <w:shd w:val="clear" w:color="auto" w:fill="auto"/>
            <w:hideMark/>
          </w:tcPr>
          <w:p w14:paraId="1A2A236F"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University of California San Francisco (Professor)</w:t>
            </w:r>
          </w:p>
        </w:tc>
        <w:tc>
          <w:tcPr>
            <w:tcW w:w="1808" w:type="dxa"/>
            <w:tcBorders>
              <w:top w:val="single" w:sz="6" w:space="0" w:color="auto"/>
              <w:left w:val="nil"/>
              <w:bottom w:val="single" w:sz="6" w:space="0" w:color="auto"/>
              <w:right w:val="nil"/>
            </w:tcBorders>
            <w:shd w:val="clear" w:color="auto" w:fill="auto"/>
            <w:hideMark/>
          </w:tcPr>
          <w:p w14:paraId="5D9E28E6"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 xml:space="preserve">Celero Systems (Scientific Advisory Board </w:t>
            </w:r>
            <w:bookmarkStart w:id="5" w:name="_Int_Tky9r9Lv"/>
            <w:r w:rsidRPr="007D4CB3">
              <w:rPr>
                <w:rFonts w:ascii="Times New Roman" w:eastAsia="Times New Roman" w:hAnsi="Times New Roman" w:cs="Times New Roman"/>
              </w:rPr>
              <w:t>Member)*</w:t>
            </w:r>
            <w:bookmarkEnd w:id="5"/>
            <w:r w:rsidRPr="007D4CB3">
              <w:rPr>
                <w:rFonts w:ascii="Times New Roman" w:eastAsia="Times New Roman" w:hAnsi="Times New Roman" w:cs="Times New Roman"/>
              </w:rPr>
              <w:t>*; Expert Witness**</w:t>
            </w:r>
          </w:p>
        </w:tc>
        <w:tc>
          <w:tcPr>
            <w:tcW w:w="1332" w:type="dxa"/>
            <w:tcBorders>
              <w:top w:val="single" w:sz="6" w:space="0" w:color="auto"/>
              <w:left w:val="nil"/>
              <w:bottom w:val="single" w:sz="6" w:space="0" w:color="auto"/>
              <w:right w:val="nil"/>
            </w:tcBorders>
            <w:shd w:val="clear" w:color="auto" w:fill="auto"/>
            <w:hideMark/>
          </w:tcPr>
          <w:p w14:paraId="1793D5A6" w14:textId="01E3638D"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212" w:type="dxa"/>
            <w:tcBorders>
              <w:top w:val="single" w:sz="6" w:space="0" w:color="auto"/>
              <w:left w:val="nil"/>
              <w:bottom w:val="single" w:sz="6" w:space="0" w:color="auto"/>
              <w:right w:val="nil"/>
            </w:tcBorders>
            <w:shd w:val="clear" w:color="auto" w:fill="auto"/>
            <w:hideMark/>
          </w:tcPr>
          <w:p w14:paraId="1D780FD5" w14:textId="352034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57" w:type="dxa"/>
            <w:tcBorders>
              <w:top w:val="single" w:sz="6" w:space="0" w:color="auto"/>
              <w:left w:val="nil"/>
              <w:bottom w:val="single" w:sz="6" w:space="0" w:color="auto"/>
              <w:right w:val="nil"/>
            </w:tcBorders>
            <w:shd w:val="clear" w:color="auto" w:fill="auto"/>
            <w:hideMark/>
          </w:tcPr>
          <w:p w14:paraId="22041FA5"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Remedy Alliance (Medical Director)</w:t>
            </w:r>
          </w:p>
        </w:tc>
        <w:tc>
          <w:tcPr>
            <w:tcW w:w="1541" w:type="dxa"/>
            <w:tcBorders>
              <w:top w:val="single" w:sz="6" w:space="0" w:color="auto"/>
              <w:left w:val="nil"/>
              <w:bottom w:val="single" w:sz="6" w:space="0" w:color="auto"/>
              <w:right w:val="nil"/>
            </w:tcBorders>
            <w:shd w:val="clear" w:color="auto" w:fill="auto"/>
            <w:hideMark/>
          </w:tcPr>
          <w:p w14:paraId="133EB870" w14:textId="6B22551F"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9D5AC4" w:rsidRPr="007D4CB3" w14:paraId="0E732688" w14:textId="77777777" w:rsidTr="6493A743">
        <w:trPr>
          <w:cantSplit/>
          <w:trHeight w:val="285"/>
        </w:trPr>
        <w:tc>
          <w:tcPr>
            <w:tcW w:w="1845" w:type="dxa"/>
            <w:tcBorders>
              <w:top w:val="single" w:sz="6" w:space="0" w:color="auto"/>
              <w:left w:val="nil"/>
              <w:bottom w:val="single" w:sz="6" w:space="0" w:color="auto"/>
              <w:right w:val="nil"/>
            </w:tcBorders>
            <w:shd w:val="clear" w:color="auto" w:fill="auto"/>
            <w:hideMark/>
          </w:tcPr>
          <w:p w14:paraId="088F5231"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Scott E. Hadland, MD, MPH, FASAM</w:t>
            </w:r>
          </w:p>
        </w:tc>
        <w:tc>
          <w:tcPr>
            <w:tcW w:w="1665" w:type="dxa"/>
            <w:tcBorders>
              <w:top w:val="single" w:sz="6" w:space="0" w:color="auto"/>
              <w:left w:val="nil"/>
              <w:bottom w:val="single" w:sz="6" w:space="0" w:color="auto"/>
              <w:right w:val="nil"/>
            </w:tcBorders>
            <w:shd w:val="clear" w:color="auto" w:fill="auto"/>
            <w:hideMark/>
          </w:tcPr>
          <w:p w14:paraId="7D50CB62"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Massachusetts General Hospital (Chief); Harvard Medical School (Associate Professor)</w:t>
            </w:r>
          </w:p>
        </w:tc>
        <w:tc>
          <w:tcPr>
            <w:tcW w:w="1808" w:type="dxa"/>
            <w:tcBorders>
              <w:top w:val="single" w:sz="6" w:space="0" w:color="auto"/>
              <w:left w:val="nil"/>
              <w:bottom w:val="single" w:sz="6" w:space="0" w:color="auto"/>
              <w:right w:val="nil"/>
            </w:tcBorders>
            <w:shd w:val="clear" w:color="auto" w:fill="auto"/>
            <w:hideMark/>
          </w:tcPr>
          <w:p w14:paraId="1F97678A" w14:textId="45091CF2"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32" w:type="dxa"/>
            <w:tcBorders>
              <w:top w:val="single" w:sz="6" w:space="0" w:color="auto"/>
              <w:left w:val="nil"/>
              <w:bottom w:val="single" w:sz="6" w:space="0" w:color="auto"/>
              <w:right w:val="nil"/>
            </w:tcBorders>
            <w:shd w:val="clear" w:color="auto" w:fill="auto"/>
            <w:hideMark/>
          </w:tcPr>
          <w:p w14:paraId="0E6BD335" w14:textId="5CD52D15"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212" w:type="dxa"/>
            <w:tcBorders>
              <w:top w:val="single" w:sz="6" w:space="0" w:color="auto"/>
              <w:left w:val="nil"/>
              <w:bottom w:val="single" w:sz="6" w:space="0" w:color="auto"/>
              <w:right w:val="nil"/>
            </w:tcBorders>
            <w:shd w:val="clear" w:color="auto" w:fill="auto"/>
            <w:hideMark/>
          </w:tcPr>
          <w:p w14:paraId="599242F6" w14:textId="0455C004"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57" w:type="dxa"/>
            <w:tcBorders>
              <w:top w:val="single" w:sz="6" w:space="0" w:color="auto"/>
              <w:left w:val="nil"/>
              <w:bottom w:val="single" w:sz="6" w:space="0" w:color="auto"/>
              <w:right w:val="nil"/>
            </w:tcBorders>
            <w:shd w:val="clear" w:color="auto" w:fill="auto"/>
            <w:hideMark/>
          </w:tcPr>
          <w:p w14:paraId="5B1FC5BC" w14:textId="1D698D2F"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American Academy of Pediatrics (Education)*</w:t>
            </w:r>
          </w:p>
        </w:tc>
        <w:tc>
          <w:tcPr>
            <w:tcW w:w="1541" w:type="dxa"/>
            <w:tcBorders>
              <w:top w:val="single" w:sz="6" w:space="0" w:color="auto"/>
              <w:left w:val="nil"/>
              <w:bottom w:val="single" w:sz="6" w:space="0" w:color="auto"/>
              <w:right w:val="nil"/>
            </w:tcBorders>
            <w:shd w:val="clear" w:color="auto" w:fill="auto"/>
            <w:hideMark/>
          </w:tcPr>
          <w:p w14:paraId="6CF1AC7D" w14:textId="4BB655D5"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9D5AC4" w:rsidRPr="007D4CB3" w14:paraId="3D21BEFE" w14:textId="77777777" w:rsidTr="6493A743">
        <w:trPr>
          <w:cantSplit/>
          <w:trHeight w:val="285"/>
        </w:trPr>
        <w:tc>
          <w:tcPr>
            <w:tcW w:w="1845" w:type="dxa"/>
            <w:tcBorders>
              <w:top w:val="single" w:sz="6" w:space="0" w:color="auto"/>
              <w:left w:val="nil"/>
              <w:bottom w:val="single" w:sz="6" w:space="0" w:color="auto"/>
              <w:right w:val="nil"/>
            </w:tcBorders>
            <w:shd w:val="clear" w:color="auto" w:fill="auto"/>
            <w:hideMark/>
          </w:tcPr>
          <w:p w14:paraId="7299F144" w14:textId="361EBEE5"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lastRenderedPageBreak/>
              <w:t xml:space="preserve">Brian Hurley, </w:t>
            </w:r>
            <w:r w:rsidR="26C442A6" w:rsidRPr="007D4CB3">
              <w:rPr>
                <w:rFonts w:ascii="Times New Roman" w:eastAsia="Times New Roman" w:hAnsi="Times New Roman" w:cs="Times New Roman"/>
              </w:rPr>
              <w:t>MBA, FAPA, DFASAM</w:t>
            </w:r>
          </w:p>
        </w:tc>
        <w:tc>
          <w:tcPr>
            <w:tcW w:w="1665" w:type="dxa"/>
            <w:tcBorders>
              <w:top w:val="single" w:sz="6" w:space="0" w:color="auto"/>
              <w:left w:val="nil"/>
              <w:bottom w:val="single" w:sz="6" w:space="0" w:color="auto"/>
              <w:right w:val="nil"/>
            </w:tcBorders>
            <w:shd w:val="clear" w:color="auto" w:fill="auto"/>
            <w:hideMark/>
          </w:tcPr>
          <w:p w14:paraId="16C9B0F2"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County of Los Angeles (Medical Director); Friends Research Institute (Senior Research Scientist); Cedar Sinai Health System (Contracted Psychiatrist); Private Practice</w:t>
            </w:r>
          </w:p>
        </w:tc>
        <w:tc>
          <w:tcPr>
            <w:tcW w:w="1808" w:type="dxa"/>
            <w:tcBorders>
              <w:top w:val="single" w:sz="6" w:space="0" w:color="auto"/>
              <w:left w:val="nil"/>
              <w:bottom w:val="single" w:sz="6" w:space="0" w:color="auto"/>
              <w:right w:val="nil"/>
            </w:tcBorders>
            <w:shd w:val="clear" w:color="auto" w:fill="auto"/>
            <w:hideMark/>
          </w:tcPr>
          <w:p w14:paraId="5295F57A"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Centers for Care Innovation for the American Psychiatric Association (Consulting)</w:t>
            </w:r>
          </w:p>
        </w:tc>
        <w:tc>
          <w:tcPr>
            <w:tcW w:w="1332" w:type="dxa"/>
            <w:tcBorders>
              <w:top w:val="single" w:sz="6" w:space="0" w:color="auto"/>
              <w:left w:val="nil"/>
              <w:bottom w:val="single" w:sz="6" w:space="0" w:color="auto"/>
              <w:right w:val="nil"/>
            </w:tcBorders>
            <w:shd w:val="clear" w:color="auto" w:fill="auto"/>
            <w:hideMark/>
          </w:tcPr>
          <w:p w14:paraId="5DF720AF" w14:textId="3A734DD9"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212" w:type="dxa"/>
            <w:tcBorders>
              <w:top w:val="single" w:sz="6" w:space="0" w:color="auto"/>
              <w:left w:val="nil"/>
              <w:bottom w:val="single" w:sz="6" w:space="0" w:color="auto"/>
              <w:right w:val="nil"/>
            </w:tcBorders>
            <w:shd w:val="clear" w:color="auto" w:fill="auto"/>
            <w:hideMark/>
          </w:tcPr>
          <w:p w14:paraId="6CADD1D5" w14:textId="67B51781"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57" w:type="dxa"/>
            <w:tcBorders>
              <w:top w:val="single" w:sz="6" w:space="0" w:color="auto"/>
              <w:left w:val="nil"/>
              <w:bottom w:val="single" w:sz="6" w:space="0" w:color="auto"/>
              <w:right w:val="nil"/>
            </w:tcBorders>
            <w:shd w:val="clear" w:color="auto" w:fill="auto"/>
            <w:hideMark/>
          </w:tcPr>
          <w:p w14:paraId="6357C6AC" w14:textId="5E5CF5C2"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541" w:type="dxa"/>
            <w:tcBorders>
              <w:top w:val="single" w:sz="6" w:space="0" w:color="auto"/>
              <w:left w:val="nil"/>
              <w:bottom w:val="single" w:sz="6" w:space="0" w:color="auto"/>
              <w:right w:val="nil"/>
            </w:tcBorders>
            <w:shd w:val="clear" w:color="auto" w:fill="auto"/>
            <w:hideMark/>
          </w:tcPr>
          <w:p w14:paraId="396D9CB6" w14:textId="5CE94309"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9D5AC4" w:rsidRPr="007D4CB3" w14:paraId="00C8767C" w14:textId="77777777" w:rsidTr="6493A743">
        <w:trPr>
          <w:cantSplit/>
          <w:trHeight w:val="285"/>
        </w:trPr>
        <w:tc>
          <w:tcPr>
            <w:tcW w:w="1845" w:type="dxa"/>
            <w:tcBorders>
              <w:top w:val="single" w:sz="6" w:space="0" w:color="auto"/>
              <w:left w:val="nil"/>
              <w:bottom w:val="single" w:sz="6" w:space="0" w:color="auto"/>
              <w:right w:val="nil"/>
            </w:tcBorders>
            <w:shd w:val="clear" w:color="auto" w:fill="auto"/>
            <w:hideMark/>
          </w:tcPr>
          <w:p w14:paraId="52A8FE0C"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Kimberly Kabernagel, DO, FASAM</w:t>
            </w:r>
          </w:p>
        </w:tc>
        <w:tc>
          <w:tcPr>
            <w:tcW w:w="1665" w:type="dxa"/>
            <w:tcBorders>
              <w:top w:val="single" w:sz="6" w:space="0" w:color="auto"/>
              <w:left w:val="nil"/>
              <w:bottom w:val="single" w:sz="6" w:space="0" w:color="auto"/>
              <w:right w:val="nil"/>
            </w:tcBorders>
            <w:shd w:val="clear" w:color="auto" w:fill="auto"/>
            <w:hideMark/>
          </w:tcPr>
          <w:p w14:paraId="38270227"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Geisinger Marworth (Medical Director)</w:t>
            </w:r>
          </w:p>
        </w:tc>
        <w:tc>
          <w:tcPr>
            <w:tcW w:w="1808" w:type="dxa"/>
            <w:tcBorders>
              <w:top w:val="single" w:sz="6" w:space="0" w:color="auto"/>
              <w:left w:val="nil"/>
              <w:bottom w:val="single" w:sz="6" w:space="0" w:color="auto"/>
              <w:right w:val="nil"/>
            </w:tcBorders>
            <w:shd w:val="clear" w:color="auto" w:fill="auto"/>
            <w:hideMark/>
          </w:tcPr>
          <w:p w14:paraId="4B8A6C4E" w14:textId="234ADA81"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32" w:type="dxa"/>
            <w:tcBorders>
              <w:top w:val="single" w:sz="6" w:space="0" w:color="auto"/>
              <w:left w:val="nil"/>
              <w:bottom w:val="single" w:sz="6" w:space="0" w:color="auto"/>
              <w:right w:val="nil"/>
            </w:tcBorders>
            <w:shd w:val="clear" w:color="auto" w:fill="auto"/>
            <w:hideMark/>
          </w:tcPr>
          <w:p w14:paraId="1869D9E2" w14:textId="552D1D2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212" w:type="dxa"/>
            <w:tcBorders>
              <w:top w:val="single" w:sz="6" w:space="0" w:color="auto"/>
              <w:left w:val="nil"/>
              <w:bottom w:val="single" w:sz="6" w:space="0" w:color="auto"/>
              <w:right w:val="nil"/>
            </w:tcBorders>
            <w:shd w:val="clear" w:color="auto" w:fill="auto"/>
            <w:hideMark/>
          </w:tcPr>
          <w:p w14:paraId="2FD87C02" w14:textId="15ACA72C"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57" w:type="dxa"/>
            <w:tcBorders>
              <w:top w:val="single" w:sz="6" w:space="0" w:color="auto"/>
              <w:left w:val="nil"/>
              <w:bottom w:val="single" w:sz="6" w:space="0" w:color="auto"/>
              <w:right w:val="nil"/>
            </w:tcBorders>
            <w:shd w:val="clear" w:color="auto" w:fill="auto"/>
            <w:hideMark/>
          </w:tcPr>
          <w:p w14:paraId="1F1A2874" w14:textId="0EA556BB"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541" w:type="dxa"/>
            <w:tcBorders>
              <w:top w:val="single" w:sz="6" w:space="0" w:color="auto"/>
              <w:left w:val="nil"/>
              <w:bottom w:val="single" w:sz="6" w:space="0" w:color="auto"/>
              <w:right w:val="nil"/>
            </w:tcBorders>
            <w:shd w:val="clear" w:color="auto" w:fill="auto"/>
            <w:hideMark/>
          </w:tcPr>
          <w:p w14:paraId="498EA7CE" w14:textId="14E1E77A"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9D5AC4" w:rsidRPr="007D4CB3" w14:paraId="6A07454D" w14:textId="77777777" w:rsidTr="6493A743">
        <w:trPr>
          <w:cantSplit/>
          <w:trHeight w:val="285"/>
        </w:trPr>
        <w:tc>
          <w:tcPr>
            <w:tcW w:w="1845" w:type="dxa"/>
            <w:tcBorders>
              <w:top w:val="single" w:sz="6" w:space="0" w:color="auto"/>
              <w:left w:val="nil"/>
              <w:bottom w:val="single" w:sz="6" w:space="0" w:color="auto"/>
              <w:right w:val="nil"/>
            </w:tcBorders>
            <w:shd w:val="clear" w:color="auto" w:fill="auto"/>
            <w:hideMark/>
          </w:tcPr>
          <w:p w14:paraId="25763510" w14:textId="53B8575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 xml:space="preserve">Frances </w:t>
            </w:r>
            <w:r w:rsidR="124481E8" w:rsidRPr="007D4CB3">
              <w:rPr>
                <w:rFonts w:ascii="Times New Roman" w:eastAsia="Times New Roman" w:hAnsi="Times New Roman" w:cs="Times New Roman"/>
              </w:rPr>
              <w:t xml:space="preserve">R. </w:t>
            </w:r>
            <w:r w:rsidRPr="007D4CB3">
              <w:rPr>
                <w:rFonts w:ascii="Times New Roman" w:eastAsia="Times New Roman" w:hAnsi="Times New Roman" w:cs="Times New Roman"/>
              </w:rPr>
              <w:t>Levin, MD</w:t>
            </w:r>
          </w:p>
        </w:tc>
        <w:tc>
          <w:tcPr>
            <w:tcW w:w="1665" w:type="dxa"/>
            <w:tcBorders>
              <w:top w:val="single" w:sz="6" w:space="0" w:color="auto"/>
              <w:left w:val="nil"/>
              <w:bottom w:val="single" w:sz="6" w:space="0" w:color="auto"/>
              <w:right w:val="nil"/>
            </w:tcBorders>
            <w:shd w:val="clear" w:color="auto" w:fill="auto"/>
            <w:hideMark/>
          </w:tcPr>
          <w:p w14:paraId="42DE5B43"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New York State Psychiatric Institute (Psychiatrist)</w:t>
            </w:r>
          </w:p>
        </w:tc>
        <w:tc>
          <w:tcPr>
            <w:tcW w:w="1808" w:type="dxa"/>
            <w:tcBorders>
              <w:top w:val="single" w:sz="6" w:space="0" w:color="auto"/>
              <w:left w:val="nil"/>
              <w:bottom w:val="single" w:sz="6" w:space="0" w:color="auto"/>
              <w:right w:val="nil"/>
            </w:tcBorders>
            <w:shd w:val="clear" w:color="auto" w:fill="auto"/>
            <w:hideMark/>
          </w:tcPr>
          <w:p w14:paraId="6760045F"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Major League Baseball (Consultant)*</w:t>
            </w:r>
          </w:p>
        </w:tc>
        <w:tc>
          <w:tcPr>
            <w:tcW w:w="1332" w:type="dxa"/>
            <w:tcBorders>
              <w:top w:val="single" w:sz="6" w:space="0" w:color="auto"/>
              <w:left w:val="nil"/>
              <w:bottom w:val="single" w:sz="6" w:space="0" w:color="auto"/>
              <w:right w:val="nil"/>
            </w:tcBorders>
            <w:shd w:val="clear" w:color="auto" w:fill="auto"/>
            <w:hideMark/>
          </w:tcPr>
          <w:p w14:paraId="6994AFBD"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Indivior; US World Meds; SAMHSA; NCATS; NIDA</w:t>
            </w:r>
          </w:p>
        </w:tc>
        <w:tc>
          <w:tcPr>
            <w:tcW w:w="2212" w:type="dxa"/>
            <w:tcBorders>
              <w:top w:val="single" w:sz="6" w:space="0" w:color="auto"/>
              <w:left w:val="nil"/>
              <w:bottom w:val="single" w:sz="6" w:space="0" w:color="auto"/>
              <w:right w:val="nil"/>
            </w:tcBorders>
            <w:shd w:val="clear" w:color="auto" w:fill="auto"/>
            <w:hideMark/>
          </w:tcPr>
          <w:p w14:paraId="0826CFD6" w14:textId="5ABAC220"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57" w:type="dxa"/>
            <w:tcBorders>
              <w:top w:val="single" w:sz="6" w:space="0" w:color="auto"/>
              <w:left w:val="nil"/>
              <w:bottom w:val="single" w:sz="6" w:space="0" w:color="auto"/>
              <w:right w:val="nil"/>
            </w:tcBorders>
            <w:shd w:val="clear" w:color="auto" w:fill="auto"/>
            <w:hideMark/>
          </w:tcPr>
          <w:p w14:paraId="540006FA"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541" w:type="dxa"/>
            <w:tcBorders>
              <w:top w:val="single" w:sz="6" w:space="0" w:color="auto"/>
              <w:left w:val="nil"/>
              <w:bottom w:val="single" w:sz="6" w:space="0" w:color="auto"/>
              <w:right w:val="nil"/>
            </w:tcBorders>
            <w:shd w:val="clear" w:color="auto" w:fill="auto"/>
            <w:hideMark/>
          </w:tcPr>
          <w:p w14:paraId="2018948A"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9D5AC4" w:rsidRPr="007D4CB3" w14:paraId="5D00C004" w14:textId="77777777" w:rsidTr="6493A743">
        <w:trPr>
          <w:cantSplit/>
          <w:trHeight w:val="285"/>
        </w:trPr>
        <w:tc>
          <w:tcPr>
            <w:tcW w:w="1845" w:type="dxa"/>
            <w:tcBorders>
              <w:top w:val="single" w:sz="6" w:space="0" w:color="auto"/>
              <w:left w:val="nil"/>
              <w:bottom w:val="single" w:sz="6" w:space="0" w:color="auto"/>
              <w:right w:val="nil"/>
            </w:tcBorders>
            <w:shd w:val="clear" w:color="auto" w:fill="auto"/>
            <w:hideMark/>
          </w:tcPr>
          <w:p w14:paraId="33FA8CA4"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James McKay, PhD</w:t>
            </w:r>
          </w:p>
        </w:tc>
        <w:tc>
          <w:tcPr>
            <w:tcW w:w="1665" w:type="dxa"/>
            <w:tcBorders>
              <w:top w:val="single" w:sz="6" w:space="0" w:color="auto"/>
              <w:left w:val="nil"/>
              <w:bottom w:val="single" w:sz="6" w:space="0" w:color="auto"/>
              <w:right w:val="nil"/>
            </w:tcBorders>
            <w:shd w:val="clear" w:color="auto" w:fill="auto"/>
            <w:hideMark/>
          </w:tcPr>
          <w:p w14:paraId="2DF2381C"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University of Pennsylvania (Professor)</w:t>
            </w:r>
          </w:p>
        </w:tc>
        <w:tc>
          <w:tcPr>
            <w:tcW w:w="1808" w:type="dxa"/>
            <w:tcBorders>
              <w:top w:val="single" w:sz="6" w:space="0" w:color="auto"/>
              <w:left w:val="nil"/>
              <w:bottom w:val="single" w:sz="6" w:space="0" w:color="auto"/>
              <w:right w:val="nil"/>
            </w:tcBorders>
            <w:shd w:val="clear" w:color="auto" w:fill="auto"/>
            <w:hideMark/>
          </w:tcPr>
          <w:p w14:paraId="405F5D6B" w14:textId="62686241"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32" w:type="dxa"/>
            <w:tcBorders>
              <w:top w:val="single" w:sz="6" w:space="0" w:color="auto"/>
              <w:left w:val="nil"/>
              <w:bottom w:val="single" w:sz="6" w:space="0" w:color="auto"/>
              <w:right w:val="nil"/>
            </w:tcBorders>
            <w:shd w:val="clear" w:color="auto" w:fill="auto"/>
            <w:hideMark/>
          </w:tcPr>
          <w:p w14:paraId="258FA425" w14:textId="06B2794A"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212" w:type="dxa"/>
            <w:tcBorders>
              <w:top w:val="single" w:sz="6" w:space="0" w:color="auto"/>
              <w:left w:val="nil"/>
              <w:bottom w:val="single" w:sz="6" w:space="0" w:color="auto"/>
              <w:right w:val="nil"/>
            </w:tcBorders>
            <w:shd w:val="clear" w:color="auto" w:fill="auto"/>
            <w:hideMark/>
          </w:tcPr>
          <w:p w14:paraId="1298E3DB" w14:textId="4F902A3C"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57" w:type="dxa"/>
            <w:tcBorders>
              <w:top w:val="single" w:sz="6" w:space="0" w:color="auto"/>
              <w:left w:val="nil"/>
              <w:bottom w:val="single" w:sz="6" w:space="0" w:color="auto"/>
              <w:right w:val="nil"/>
            </w:tcBorders>
            <w:shd w:val="clear" w:color="auto" w:fill="auto"/>
            <w:hideMark/>
          </w:tcPr>
          <w:p w14:paraId="0E69F5D2" w14:textId="1A9B7A1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541" w:type="dxa"/>
            <w:tcBorders>
              <w:top w:val="single" w:sz="6" w:space="0" w:color="auto"/>
              <w:left w:val="nil"/>
              <w:bottom w:val="single" w:sz="6" w:space="0" w:color="auto"/>
              <w:right w:val="nil"/>
            </w:tcBorders>
            <w:shd w:val="clear" w:color="auto" w:fill="auto"/>
            <w:hideMark/>
          </w:tcPr>
          <w:p w14:paraId="120821AE" w14:textId="7068F88E"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9D5AC4" w:rsidRPr="007D4CB3" w14:paraId="3937B47A" w14:textId="77777777" w:rsidTr="6493A743">
        <w:trPr>
          <w:cantSplit/>
          <w:trHeight w:val="285"/>
        </w:trPr>
        <w:tc>
          <w:tcPr>
            <w:tcW w:w="1845" w:type="dxa"/>
            <w:tcBorders>
              <w:top w:val="single" w:sz="6" w:space="0" w:color="auto"/>
              <w:left w:val="nil"/>
              <w:bottom w:val="single" w:sz="6" w:space="0" w:color="auto"/>
              <w:right w:val="nil"/>
            </w:tcBorders>
            <w:shd w:val="clear" w:color="auto" w:fill="auto"/>
            <w:hideMark/>
          </w:tcPr>
          <w:p w14:paraId="00D32EF3"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lastRenderedPageBreak/>
              <w:t>Larissa Mooney, MD</w:t>
            </w:r>
          </w:p>
        </w:tc>
        <w:tc>
          <w:tcPr>
            <w:tcW w:w="1665" w:type="dxa"/>
            <w:tcBorders>
              <w:top w:val="single" w:sz="6" w:space="0" w:color="auto"/>
              <w:left w:val="nil"/>
              <w:bottom w:val="single" w:sz="6" w:space="0" w:color="auto"/>
              <w:right w:val="nil"/>
            </w:tcBorders>
            <w:shd w:val="clear" w:color="auto" w:fill="auto"/>
            <w:hideMark/>
          </w:tcPr>
          <w:p w14:paraId="40BCDD6B"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University of California Los Angeles (Professor of Clinical Psychiatry)</w:t>
            </w:r>
          </w:p>
        </w:tc>
        <w:tc>
          <w:tcPr>
            <w:tcW w:w="1808" w:type="dxa"/>
            <w:tcBorders>
              <w:top w:val="single" w:sz="6" w:space="0" w:color="auto"/>
              <w:left w:val="nil"/>
              <w:bottom w:val="single" w:sz="6" w:space="0" w:color="auto"/>
              <w:right w:val="nil"/>
            </w:tcBorders>
            <w:shd w:val="clear" w:color="auto" w:fill="auto"/>
            <w:hideMark/>
          </w:tcPr>
          <w:p w14:paraId="65E6B3C4" w14:textId="498A367A"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Expert Witness**</w:t>
            </w:r>
          </w:p>
        </w:tc>
        <w:tc>
          <w:tcPr>
            <w:tcW w:w="1332" w:type="dxa"/>
            <w:tcBorders>
              <w:top w:val="single" w:sz="6" w:space="0" w:color="auto"/>
              <w:left w:val="nil"/>
              <w:bottom w:val="single" w:sz="6" w:space="0" w:color="auto"/>
              <w:right w:val="nil"/>
            </w:tcBorders>
            <w:shd w:val="clear" w:color="auto" w:fill="auto"/>
            <w:hideMark/>
          </w:tcPr>
          <w:p w14:paraId="2371A623" w14:textId="22B66169"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Aelis Farma**</w:t>
            </w:r>
          </w:p>
        </w:tc>
        <w:tc>
          <w:tcPr>
            <w:tcW w:w="2212" w:type="dxa"/>
            <w:tcBorders>
              <w:top w:val="single" w:sz="6" w:space="0" w:color="auto"/>
              <w:left w:val="nil"/>
              <w:bottom w:val="single" w:sz="6" w:space="0" w:color="auto"/>
              <w:right w:val="nil"/>
            </w:tcBorders>
            <w:shd w:val="clear" w:color="auto" w:fill="auto"/>
            <w:hideMark/>
          </w:tcPr>
          <w:p w14:paraId="59FF60A2" w14:textId="5237BFF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57" w:type="dxa"/>
            <w:tcBorders>
              <w:top w:val="single" w:sz="6" w:space="0" w:color="auto"/>
              <w:left w:val="nil"/>
              <w:bottom w:val="single" w:sz="6" w:space="0" w:color="auto"/>
              <w:right w:val="nil"/>
            </w:tcBorders>
            <w:shd w:val="clear" w:color="auto" w:fill="auto"/>
            <w:hideMark/>
          </w:tcPr>
          <w:p w14:paraId="352B117A"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American Academy of Addiction Psychiatry (President)</w:t>
            </w:r>
          </w:p>
        </w:tc>
        <w:tc>
          <w:tcPr>
            <w:tcW w:w="1541" w:type="dxa"/>
            <w:tcBorders>
              <w:top w:val="single" w:sz="6" w:space="0" w:color="auto"/>
              <w:left w:val="nil"/>
              <w:bottom w:val="single" w:sz="6" w:space="0" w:color="auto"/>
              <w:right w:val="nil"/>
            </w:tcBorders>
            <w:shd w:val="clear" w:color="auto" w:fill="auto"/>
            <w:hideMark/>
          </w:tcPr>
          <w:p w14:paraId="4AC66C5B" w14:textId="2F169B74"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9D5AC4" w:rsidRPr="007D4CB3" w14:paraId="7945FE84" w14:textId="77777777" w:rsidTr="6493A743">
        <w:trPr>
          <w:cantSplit/>
          <w:trHeight w:val="285"/>
        </w:trPr>
        <w:tc>
          <w:tcPr>
            <w:tcW w:w="1845" w:type="dxa"/>
            <w:tcBorders>
              <w:top w:val="single" w:sz="6" w:space="0" w:color="auto"/>
              <w:left w:val="nil"/>
              <w:bottom w:val="single" w:sz="6" w:space="0" w:color="auto"/>
              <w:right w:val="nil"/>
            </w:tcBorders>
            <w:shd w:val="clear" w:color="auto" w:fill="auto"/>
            <w:hideMark/>
          </w:tcPr>
          <w:p w14:paraId="291388DC"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Siddarth Puri, MD</w:t>
            </w:r>
          </w:p>
        </w:tc>
        <w:tc>
          <w:tcPr>
            <w:tcW w:w="1665" w:type="dxa"/>
            <w:tcBorders>
              <w:top w:val="single" w:sz="6" w:space="0" w:color="auto"/>
              <w:left w:val="nil"/>
              <w:bottom w:val="single" w:sz="6" w:space="0" w:color="auto"/>
              <w:right w:val="nil"/>
            </w:tcBorders>
            <w:shd w:val="clear" w:color="auto" w:fill="auto"/>
            <w:hideMark/>
          </w:tcPr>
          <w:p w14:paraId="6D761FE8"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Los Angeles County Department of Public Health (Associate Medical Director)</w:t>
            </w:r>
          </w:p>
        </w:tc>
        <w:tc>
          <w:tcPr>
            <w:tcW w:w="1808" w:type="dxa"/>
            <w:tcBorders>
              <w:top w:val="single" w:sz="6" w:space="0" w:color="auto"/>
              <w:left w:val="nil"/>
              <w:bottom w:val="single" w:sz="6" w:space="0" w:color="auto"/>
              <w:right w:val="nil"/>
            </w:tcBorders>
            <w:shd w:val="clear" w:color="auto" w:fill="auto"/>
            <w:hideMark/>
          </w:tcPr>
          <w:p w14:paraId="67B30C21"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Expert Witness**</w:t>
            </w:r>
          </w:p>
        </w:tc>
        <w:tc>
          <w:tcPr>
            <w:tcW w:w="1332" w:type="dxa"/>
            <w:tcBorders>
              <w:top w:val="single" w:sz="6" w:space="0" w:color="auto"/>
              <w:left w:val="nil"/>
              <w:bottom w:val="single" w:sz="6" w:space="0" w:color="auto"/>
              <w:right w:val="nil"/>
            </w:tcBorders>
            <w:shd w:val="clear" w:color="auto" w:fill="auto"/>
            <w:hideMark/>
          </w:tcPr>
          <w:p w14:paraId="5AE529C6" w14:textId="076C8CEF"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212" w:type="dxa"/>
            <w:tcBorders>
              <w:top w:val="single" w:sz="6" w:space="0" w:color="auto"/>
              <w:left w:val="nil"/>
              <w:bottom w:val="single" w:sz="6" w:space="0" w:color="auto"/>
              <w:right w:val="nil"/>
            </w:tcBorders>
            <w:shd w:val="clear" w:color="auto" w:fill="auto"/>
            <w:hideMark/>
          </w:tcPr>
          <w:p w14:paraId="24807E54" w14:textId="03FEAA8A"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57" w:type="dxa"/>
            <w:tcBorders>
              <w:top w:val="single" w:sz="6" w:space="0" w:color="auto"/>
              <w:left w:val="nil"/>
              <w:bottom w:val="single" w:sz="6" w:space="0" w:color="auto"/>
              <w:right w:val="nil"/>
            </w:tcBorders>
            <w:shd w:val="clear" w:color="auto" w:fill="auto"/>
            <w:hideMark/>
          </w:tcPr>
          <w:p w14:paraId="707B177B"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541" w:type="dxa"/>
            <w:tcBorders>
              <w:top w:val="single" w:sz="6" w:space="0" w:color="auto"/>
              <w:left w:val="nil"/>
              <w:bottom w:val="single" w:sz="6" w:space="0" w:color="auto"/>
              <w:right w:val="nil"/>
            </w:tcBorders>
            <w:shd w:val="clear" w:color="auto" w:fill="auto"/>
            <w:hideMark/>
          </w:tcPr>
          <w:p w14:paraId="3D40C803" w14:textId="7D5D261A"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9D5AC4" w:rsidRPr="007D4CB3" w14:paraId="570D0489" w14:textId="77777777" w:rsidTr="6493A743">
        <w:trPr>
          <w:cantSplit/>
          <w:trHeight w:val="285"/>
        </w:trPr>
        <w:tc>
          <w:tcPr>
            <w:tcW w:w="1845" w:type="dxa"/>
            <w:tcBorders>
              <w:top w:val="single" w:sz="6" w:space="0" w:color="auto"/>
              <w:left w:val="nil"/>
              <w:bottom w:val="single" w:sz="6" w:space="0" w:color="auto"/>
              <w:right w:val="nil"/>
            </w:tcBorders>
            <w:shd w:val="clear" w:color="auto" w:fill="auto"/>
          </w:tcPr>
          <w:p w14:paraId="0D420F95" w14:textId="0D95A27C"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 xml:space="preserve">Andrew </w:t>
            </w:r>
            <w:r w:rsidR="07EC87AD" w:rsidRPr="007D4CB3">
              <w:rPr>
                <w:rFonts w:ascii="Times New Roman" w:eastAsia="Times New Roman" w:hAnsi="Times New Roman" w:cs="Times New Roman"/>
              </w:rPr>
              <w:t xml:space="preserve">J. </w:t>
            </w:r>
            <w:r w:rsidRPr="007D4CB3">
              <w:rPr>
                <w:rFonts w:ascii="Times New Roman" w:eastAsia="Times New Roman" w:hAnsi="Times New Roman" w:cs="Times New Roman"/>
              </w:rPr>
              <w:t>Saxon, MD</w:t>
            </w:r>
            <w:r w:rsidR="742DC53F" w:rsidRPr="007D4CB3">
              <w:rPr>
                <w:rFonts w:ascii="Times New Roman" w:eastAsia="Times New Roman" w:hAnsi="Times New Roman" w:cs="Times New Roman"/>
              </w:rPr>
              <w:t>, FASAM</w:t>
            </w:r>
          </w:p>
        </w:tc>
        <w:tc>
          <w:tcPr>
            <w:tcW w:w="1665" w:type="dxa"/>
            <w:tcBorders>
              <w:top w:val="single" w:sz="6" w:space="0" w:color="auto"/>
              <w:left w:val="nil"/>
              <w:bottom w:val="single" w:sz="6" w:space="0" w:color="auto"/>
              <w:right w:val="nil"/>
            </w:tcBorders>
            <w:shd w:val="clear" w:color="auto" w:fill="auto"/>
          </w:tcPr>
          <w:p w14:paraId="3A5C83E5" w14:textId="7AF8711B"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VA Puget Sound Health Care System (Director)</w:t>
            </w:r>
          </w:p>
        </w:tc>
        <w:tc>
          <w:tcPr>
            <w:tcW w:w="1808" w:type="dxa"/>
            <w:tcBorders>
              <w:top w:val="single" w:sz="6" w:space="0" w:color="auto"/>
              <w:left w:val="nil"/>
              <w:bottom w:val="single" w:sz="6" w:space="0" w:color="auto"/>
              <w:right w:val="nil"/>
            </w:tcBorders>
            <w:shd w:val="clear" w:color="auto" w:fill="auto"/>
          </w:tcPr>
          <w:p w14:paraId="0A3CCDF3"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Expert Witness**</w:t>
            </w:r>
          </w:p>
        </w:tc>
        <w:tc>
          <w:tcPr>
            <w:tcW w:w="1332" w:type="dxa"/>
            <w:tcBorders>
              <w:top w:val="single" w:sz="6" w:space="0" w:color="auto"/>
              <w:left w:val="nil"/>
              <w:bottom w:val="single" w:sz="6" w:space="0" w:color="auto"/>
              <w:right w:val="nil"/>
            </w:tcBorders>
            <w:shd w:val="clear" w:color="auto" w:fill="auto"/>
          </w:tcPr>
          <w:p w14:paraId="59B58A04" w14:textId="4D301718"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212" w:type="dxa"/>
            <w:tcBorders>
              <w:top w:val="single" w:sz="6" w:space="0" w:color="auto"/>
              <w:left w:val="nil"/>
              <w:bottom w:val="single" w:sz="6" w:space="0" w:color="auto"/>
              <w:right w:val="nil"/>
            </w:tcBorders>
            <w:shd w:val="clear" w:color="auto" w:fill="auto"/>
          </w:tcPr>
          <w:p w14:paraId="247C91C6" w14:textId="631D1BA5"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57" w:type="dxa"/>
            <w:tcBorders>
              <w:top w:val="single" w:sz="6" w:space="0" w:color="auto"/>
              <w:left w:val="nil"/>
              <w:bottom w:val="single" w:sz="6" w:space="0" w:color="auto"/>
              <w:right w:val="nil"/>
            </w:tcBorders>
            <w:shd w:val="clear" w:color="auto" w:fill="auto"/>
          </w:tcPr>
          <w:p w14:paraId="59F115FF" w14:textId="2B59A4BA" w:rsidR="009D5AC4" w:rsidRPr="007D4CB3" w:rsidRDefault="005E40FB"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UpToDate</w:t>
            </w:r>
            <w:r w:rsidR="009D5AC4" w:rsidRPr="007D4CB3">
              <w:rPr>
                <w:rFonts w:ascii="Times New Roman" w:eastAsia="Times New Roman" w:hAnsi="Times New Roman" w:cs="Times New Roman"/>
              </w:rPr>
              <w:t xml:space="preserve"> Inc** (Section Editor)</w:t>
            </w:r>
          </w:p>
        </w:tc>
        <w:tc>
          <w:tcPr>
            <w:tcW w:w="1541" w:type="dxa"/>
            <w:tcBorders>
              <w:top w:val="single" w:sz="6" w:space="0" w:color="auto"/>
              <w:left w:val="nil"/>
              <w:bottom w:val="single" w:sz="6" w:space="0" w:color="auto"/>
              <w:right w:val="nil"/>
            </w:tcBorders>
            <w:shd w:val="clear" w:color="auto" w:fill="auto"/>
          </w:tcPr>
          <w:p w14:paraId="10E5B2E7" w14:textId="2A3722BC"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9D5AC4" w:rsidRPr="007D4CB3" w14:paraId="5EB4A5D1" w14:textId="77777777" w:rsidTr="6493A743">
        <w:trPr>
          <w:cantSplit/>
          <w:trHeight w:val="285"/>
        </w:trPr>
        <w:tc>
          <w:tcPr>
            <w:tcW w:w="1845" w:type="dxa"/>
            <w:tcBorders>
              <w:top w:val="single" w:sz="6" w:space="0" w:color="auto"/>
              <w:left w:val="nil"/>
              <w:bottom w:val="single" w:sz="6" w:space="0" w:color="auto"/>
              <w:right w:val="nil"/>
            </w:tcBorders>
            <w:shd w:val="clear" w:color="auto" w:fill="auto"/>
          </w:tcPr>
          <w:p w14:paraId="2973D396" w14:textId="12B456F3"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 xml:space="preserve">Kevin </w:t>
            </w:r>
            <w:r w:rsidR="2435AADF" w:rsidRPr="007D4CB3">
              <w:rPr>
                <w:rFonts w:ascii="Times New Roman" w:eastAsia="Times New Roman" w:hAnsi="Times New Roman" w:cs="Times New Roman"/>
              </w:rPr>
              <w:t xml:space="preserve">A. </w:t>
            </w:r>
            <w:r w:rsidRPr="007D4CB3">
              <w:rPr>
                <w:rFonts w:ascii="Times New Roman" w:eastAsia="Times New Roman" w:hAnsi="Times New Roman" w:cs="Times New Roman"/>
              </w:rPr>
              <w:t>Sevarino, MD</w:t>
            </w:r>
            <w:r w:rsidR="343CD8FE" w:rsidRPr="007D4CB3">
              <w:rPr>
                <w:rFonts w:ascii="Times New Roman" w:eastAsia="Times New Roman" w:hAnsi="Times New Roman" w:cs="Times New Roman"/>
              </w:rPr>
              <w:t>, PhD, FASAM</w:t>
            </w:r>
          </w:p>
        </w:tc>
        <w:tc>
          <w:tcPr>
            <w:tcW w:w="1665" w:type="dxa"/>
            <w:tcBorders>
              <w:top w:val="single" w:sz="6" w:space="0" w:color="auto"/>
              <w:left w:val="nil"/>
              <w:bottom w:val="single" w:sz="6" w:space="0" w:color="auto"/>
              <w:right w:val="nil"/>
            </w:tcBorders>
            <w:shd w:val="clear" w:color="auto" w:fill="auto"/>
          </w:tcPr>
          <w:p w14:paraId="5B88F6D6"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Rushford-Hartford Hospital (Psychiatrist)</w:t>
            </w:r>
          </w:p>
        </w:tc>
        <w:tc>
          <w:tcPr>
            <w:tcW w:w="1808" w:type="dxa"/>
            <w:tcBorders>
              <w:top w:val="single" w:sz="6" w:space="0" w:color="auto"/>
              <w:left w:val="nil"/>
              <w:bottom w:val="single" w:sz="6" w:space="0" w:color="auto"/>
              <w:right w:val="nil"/>
            </w:tcBorders>
            <w:shd w:val="clear" w:color="auto" w:fill="auto"/>
          </w:tcPr>
          <w:p w14:paraId="30724550" w14:textId="201E7BE9"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32" w:type="dxa"/>
            <w:tcBorders>
              <w:top w:val="single" w:sz="6" w:space="0" w:color="auto"/>
              <w:left w:val="nil"/>
              <w:bottom w:val="single" w:sz="6" w:space="0" w:color="auto"/>
              <w:right w:val="nil"/>
            </w:tcBorders>
            <w:shd w:val="clear" w:color="auto" w:fill="auto"/>
          </w:tcPr>
          <w:p w14:paraId="2AD9D22D" w14:textId="7A56A41F"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212" w:type="dxa"/>
            <w:tcBorders>
              <w:top w:val="single" w:sz="6" w:space="0" w:color="auto"/>
              <w:left w:val="nil"/>
              <w:bottom w:val="single" w:sz="6" w:space="0" w:color="auto"/>
              <w:right w:val="nil"/>
            </w:tcBorders>
            <w:shd w:val="clear" w:color="auto" w:fill="auto"/>
          </w:tcPr>
          <w:p w14:paraId="0160C019"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GlaxoSmithKline (Stockholder)*</w:t>
            </w:r>
          </w:p>
        </w:tc>
        <w:tc>
          <w:tcPr>
            <w:tcW w:w="2557" w:type="dxa"/>
            <w:tcBorders>
              <w:top w:val="single" w:sz="6" w:space="0" w:color="auto"/>
              <w:left w:val="nil"/>
              <w:bottom w:val="single" w:sz="6" w:space="0" w:color="auto"/>
              <w:right w:val="nil"/>
            </w:tcBorders>
            <w:shd w:val="clear" w:color="auto" w:fill="auto"/>
          </w:tcPr>
          <w:p w14:paraId="77B637F3" w14:textId="131C3D23" w:rsidR="009D5AC4" w:rsidRPr="007D4CB3" w:rsidRDefault="005E40FB"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UpToDate</w:t>
            </w:r>
            <w:r w:rsidR="009D5AC4" w:rsidRPr="007D4CB3">
              <w:rPr>
                <w:rFonts w:ascii="Times New Roman" w:eastAsia="Times New Roman" w:hAnsi="Times New Roman" w:cs="Times New Roman"/>
              </w:rPr>
              <w:t>* (Section Author)</w:t>
            </w:r>
          </w:p>
        </w:tc>
        <w:tc>
          <w:tcPr>
            <w:tcW w:w="1541" w:type="dxa"/>
            <w:tcBorders>
              <w:top w:val="single" w:sz="6" w:space="0" w:color="auto"/>
              <w:left w:val="nil"/>
              <w:bottom w:val="single" w:sz="6" w:space="0" w:color="auto"/>
              <w:right w:val="nil"/>
            </w:tcBorders>
            <w:shd w:val="clear" w:color="auto" w:fill="auto"/>
          </w:tcPr>
          <w:p w14:paraId="248D6050" w14:textId="4D327AAB"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9D5AC4" w:rsidRPr="007D4CB3" w14:paraId="1308063C" w14:textId="77777777" w:rsidTr="6493A743">
        <w:trPr>
          <w:cantSplit/>
          <w:trHeight w:val="285"/>
        </w:trPr>
        <w:tc>
          <w:tcPr>
            <w:tcW w:w="1845" w:type="dxa"/>
            <w:tcBorders>
              <w:top w:val="single" w:sz="6" w:space="0" w:color="auto"/>
              <w:left w:val="nil"/>
              <w:bottom w:val="single" w:sz="6" w:space="0" w:color="auto"/>
              <w:right w:val="nil"/>
            </w:tcBorders>
            <w:shd w:val="clear" w:color="auto" w:fill="auto"/>
          </w:tcPr>
          <w:p w14:paraId="534A2B13"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Kevin Simon, MD</w:t>
            </w:r>
          </w:p>
        </w:tc>
        <w:tc>
          <w:tcPr>
            <w:tcW w:w="1665" w:type="dxa"/>
            <w:tcBorders>
              <w:top w:val="single" w:sz="6" w:space="0" w:color="auto"/>
              <w:left w:val="nil"/>
              <w:bottom w:val="single" w:sz="6" w:space="0" w:color="auto"/>
              <w:right w:val="nil"/>
            </w:tcBorders>
            <w:shd w:val="clear" w:color="auto" w:fill="auto"/>
          </w:tcPr>
          <w:p w14:paraId="5F63642C"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Boston Children’s Hospital (Pediatric Addiction Medicine Psychiatrist)</w:t>
            </w:r>
          </w:p>
        </w:tc>
        <w:tc>
          <w:tcPr>
            <w:tcW w:w="1808" w:type="dxa"/>
            <w:tcBorders>
              <w:top w:val="single" w:sz="6" w:space="0" w:color="auto"/>
              <w:left w:val="nil"/>
              <w:bottom w:val="single" w:sz="6" w:space="0" w:color="auto"/>
              <w:right w:val="nil"/>
            </w:tcBorders>
            <w:shd w:val="clear" w:color="auto" w:fill="auto"/>
          </w:tcPr>
          <w:p w14:paraId="0306D7E3"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32" w:type="dxa"/>
            <w:tcBorders>
              <w:top w:val="single" w:sz="6" w:space="0" w:color="auto"/>
              <w:left w:val="nil"/>
              <w:bottom w:val="single" w:sz="6" w:space="0" w:color="auto"/>
              <w:right w:val="nil"/>
            </w:tcBorders>
            <w:shd w:val="clear" w:color="auto" w:fill="auto"/>
          </w:tcPr>
          <w:p w14:paraId="3894C228"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212" w:type="dxa"/>
            <w:tcBorders>
              <w:top w:val="single" w:sz="6" w:space="0" w:color="auto"/>
              <w:left w:val="nil"/>
              <w:bottom w:val="single" w:sz="6" w:space="0" w:color="auto"/>
              <w:right w:val="nil"/>
            </w:tcBorders>
            <w:shd w:val="clear" w:color="auto" w:fill="auto"/>
          </w:tcPr>
          <w:p w14:paraId="3DE95632"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 xml:space="preserve">None </w:t>
            </w:r>
          </w:p>
        </w:tc>
        <w:tc>
          <w:tcPr>
            <w:tcW w:w="2557" w:type="dxa"/>
            <w:tcBorders>
              <w:top w:val="single" w:sz="6" w:space="0" w:color="auto"/>
              <w:left w:val="nil"/>
              <w:bottom w:val="single" w:sz="6" w:space="0" w:color="auto"/>
              <w:right w:val="nil"/>
            </w:tcBorders>
            <w:shd w:val="clear" w:color="auto" w:fill="auto"/>
          </w:tcPr>
          <w:p w14:paraId="3B9C8897"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541" w:type="dxa"/>
            <w:tcBorders>
              <w:top w:val="single" w:sz="6" w:space="0" w:color="auto"/>
              <w:left w:val="nil"/>
              <w:bottom w:val="single" w:sz="6" w:space="0" w:color="auto"/>
              <w:right w:val="nil"/>
            </w:tcBorders>
            <w:shd w:val="clear" w:color="auto" w:fill="auto"/>
          </w:tcPr>
          <w:p w14:paraId="7F30ED2E"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9D5AC4" w:rsidRPr="007D4CB3" w14:paraId="5EE06072" w14:textId="77777777" w:rsidTr="6493A743">
        <w:trPr>
          <w:cantSplit/>
          <w:trHeight w:val="285"/>
        </w:trPr>
        <w:tc>
          <w:tcPr>
            <w:tcW w:w="1845" w:type="dxa"/>
            <w:tcBorders>
              <w:top w:val="single" w:sz="6" w:space="0" w:color="auto"/>
              <w:left w:val="nil"/>
              <w:bottom w:val="single" w:sz="6" w:space="0" w:color="auto"/>
              <w:right w:val="nil"/>
            </w:tcBorders>
            <w:shd w:val="clear" w:color="auto" w:fill="auto"/>
          </w:tcPr>
          <w:p w14:paraId="35E3DD7A"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lastRenderedPageBreak/>
              <w:t>Timothy J. Wiegand, MD, FACMT, FAACT, DFASAM</w:t>
            </w:r>
          </w:p>
        </w:tc>
        <w:tc>
          <w:tcPr>
            <w:tcW w:w="1665" w:type="dxa"/>
            <w:tcBorders>
              <w:top w:val="single" w:sz="6" w:space="0" w:color="auto"/>
              <w:left w:val="nil"/>
              <w:bottom w:val="single" w:sz="6" w:space="0" w:color="auto"/>
              <w:right w:val="nil"/>
            </w:tcBorders>
            <w:shd w:val="clear" w:color="auto" w:fill="auto"/>
          </w:tcPr>
          <w:p w14:paraId="01B45536" w14:textId="263E9808"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University of Rochester Medical Center (Director, Program Director)</w:t>
            </w:r>
          </w:p>
        </w:tc>
        <w:tc>
          <w:tcPr>
            <w:tcW w:w="1808" w:type="dxa"/>
            <w:tcBorders>
              <w:top w:val="single" w:sz="6" w:space="0" w:color="auto"/>
              <w:left w:val="nil"/>
              <w:bottom w:val="single" w:sz="6" w:space="0" w:color="auto"/>
              <w:right w:val="nil"/>
            </w:tcBorders>
            <w:shd w:val="clear" w:color="auto" w:fill="auto"/>
          </w:tcPr>
          <w:p w14:paraId="7E359B75"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32" w:type="dxa"/>
            <w:tcBorders>
              <w:top w:val="single" w:sz="6" w:space="0" w:color="auto"/>
              <w:left w:val="nil"/>
              <w:bottom w:val="single" w:sz="6" w:space="0" w:color="auto"/>
              <w:right w:val="nil"/>
            </w:tcBorders>
            <w:shd w:val="clear" w:color="auto" w:fill="auto"/>
          </w:tcPr>
          <w:p w14:paraId="6999C31A"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212" w:type="dxa"/>
            <w:tcBorders>
              <w:top w:val="single" w:sz="6" w:space="0" w:color="auto"/>
              <w:left w:val="nil"/>
              <w:bottom w:val="single" w:sz="6" w:space="0" w:color="auto"/>
              <w:right w:val="nil"/>
            </w:tcBorders>
            <w:shd w:val="clear" w:color="auto" w:fill="auto"/>
          </w:tcPr>
          <w:p w14:paraId="4ADEA711"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57" w:type="dxa"/>
            <w:tcBorders>
              <w:top w:val="single" w:sz="6" w:space="0" w:color="auto"/>
              <w:left w:val="nil"/>
              <w:bottom w:val="single" w:sz="6" w:space="0" w:color="auto"/>
              <w:right w:val="nil"/>
            </w:tcBorders>
            <w:shd w:val="clear" w:color="auto" w:fill="auto"/>
          </w:tcPr>
          <w:p w14:paraId="5ABC2339"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541" w:type="dxa"/>
            <w:tcBorders>
              <w:top w:val="single" w:sz="6" w:space="0" w:color="auto"/>
              <w:left w:val="nil"/>
              <w:bottom w:val="single" w:sz="6" w:space="0" w:color="auto"/>
              <w:right w:val="nil"/>
            </w:tcBorders>
            <w:shd w:val="clear" w:color="auto" w:fill="auto"/>
          </w:tcPr>
          <w:p w14:paraId="7EA018B2" w14:textId="77777777" w:rsidR="009D5AC4" w:rsidRPr="007D4CB3" w:rsidRDefault="009D5A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bl>
    <w:p w14:paraId="5A1BD6CB" w14:textId="5BDD8254" w:rsidR="005B45B3" w:rsidRPr="007D4CB3" w:rsidRDefault="009D5AC4" w:rsidP="00FC7CE6">
      <w:pPr>
        <w:spacing w:before="0" w:after="0" w:line="240" w:lineRule="auto"/>
        <w:rPr>
          <w:rFonts w:ascii="Times New Roman" w:hAnsi="Times New Roman" w:cs="Times New Roman"/>
        </w:rPr>
      </w:pPr>
      <w:r w:rsidRPr="007D4CB3">
        <w:rPr>
          <w:rStyle w:val="normaltextrun"/>
          <w:rFonts w:ascii="Times New Roman" w:hAnsi="Times New Roman" w:cs="Times New Roman"/>
          <w:color w:val="000000"/>
          <w:shd w:val="clear" w:color="auto" w:fill="FFFFFF"/>
        </w:rPr>
        <w:t xml:space="preserve">The above table presents relationships of the </w:t>
      </w:r>
      <w:r w:rsidR="00E571A4" w:rsidRPr="007D4CB3">
        <w:rPr>
          <w:rStyle w:val="normaltextrun"/>
          <w:rFonts w:ascii="Times New Roman" w:hAnsi="Times New Roman" w:cs="Times New Roman"/>
          <w:color w:val="000000"/>
          <w:shd w:val="clear" w:color="auto" w:fill="FFFFFF"/>
        </w:rPr>
        <w:t xml:space="preserve">Clinical </w:t>
      </w:r>
      <w:r w:rsidRPr="007D4CB3">
        <w:rPr>
          <w:rStyle w:val="normaltextrun"/>
          <w:rFonts w:ascii="Times New Roman" w:hAnsi="Times New Roman" w:cs="Times New Roman"/>
          <w:color w:val="000000"/>
          <w:shd w:val="clear" w:color="auto" w:fill="FFFFFF"/>
        </w:rPr>
        <w:t xml:space="preserve">Guideline Committee </w:t>
      </w:r>
      <w:r w:rsidR="00E571A4" w:rsidRPr="007D4CB3">
        <w:rPr>
          <w:rStyle w:val="normaltextrun"/>
          <w:rFonts w:ascii="Times New Roman" w:hAnsi="Times New Roman" w:cs="Times New Roman"/>
          <w:color w:val="000000"/>
          <w:shd w:val="clear" w:color="auto" w:fill="FFFFFF"/>
        </w:rPr>
        <w:t xml:space="preserve">(CGC) </w:t>
      </w:r>
      <w:r w:rsidRPr="007D4CB3">
        <w:rPr>
          <w:rStyle w:val="normaltextrun"/>
          <w:rFonts w:ascii="Times New Roman" w:hAnsi="Times New Roman" w:cs="Times New Roman"/>
          <w:color w:val="000000"/>
          <w:shd w:val="clear" w:color="auto" w:fill="FFFFFF"/>
        </w:rPr>
        <w:t>during the past 12</w:t>
      </w:r>
      <w:r w:rsidR="00E571A4" w:rsidRPr="007D4CB3">
        <w:rPr>
          <w:rStyle w:val="normaltextrun"/>
          <w:rFonts w:ascii="Times New Roman" w:hAnsi="Times New Roman" w:cs="Times New Roman"/>
          <w:color w:val="000000"/>
          <w:shd w:val="clear" w:color="auto" w:fill="FFFFFF"/>
        </w:rPr>
        <w:t> </w:t>
      </w:r>
      <w:r w:rsidRPr="007D4CB3">
        <w:rPr>
          <w:rStyle w:val="normaltextrun"/>
          <w:rFonts w:ascii="Times New Roman" w:hAnsi="Times New Roman" w:cs="Times New Roman"/>
          <w:color w:val="000000"/>
          <w:shd w:val="clear" w:color="auto" w:fill="FFFFFF"/>
        </w:rPr>
        <w:t xml:space="preserve">months with industry and other entities that were determined to be relevant to this document. These relationships are current as of the completion of this document and may not necessarily reflect relationships at the time of this document’s publication. A relationship or arrangement </w:t>
      </w:r>
      <w:proofErr w:type="gramStart"/>
      <w:r w:rsidRPr="007D4CB3">
        <w:rPr>
          <w:rStyle w:val="normaltextrun"/>
          <w:rFonts w:ascii="Times New Roman" w:hAnsi="Times New Roman" w:cs="Times New Roman"/>
          <w:color w:val="000000"/>
          <w:shd w:val="clear" w:color="auto" w:fill="FFFFFF"/>
        </w:rPr>
        <w:t>is considered to be</w:t>
      </w:r>
      <w:proofErr w:type="gramEnd"/>
      <w:r w:rsidRPr="007D4CB3">
        <w:rPr>
          <w:rStyle w:val="normaltextrun"/>
          <w:rFonts w:ascii="Times New Roman" w:hAnsi="Times New Roman" w:cs="Times New Roman"/>
          <w:color w:val="000000"/>
          <w:shd w:val="clear" w:color="auto" w:fill="FFFFFF"/>
        </w:rPr>
        <w:t xml:space="preserve"> </w:t>
      </w:r>
      <w:r w:rsidRPr="007D4CB3">
        <w:rPr>
          <w:rStyle w:val="normaltextrun"/>
          <w:rFonts w:ascii="Times New Roman" w:hAnsi="Times New Roman" w:cs="Times New Roman"/>
          <w:i/>
          <w:iCs/>
          <w:color w:val="000000"/>
          <w:shd w:val="clear" w:color="auto" w:fill="FFFFFF"/>
        </w:rPr>
        <w:t>significant</w:t>
      </w:r>
      <w:r w:rsidRPr="007D4CB3">
        <w:rPr>
          <w:rStyle w:val="normaltextrun"/>
          <w:rFonts w:ascii="Times New Roman" w:hAnsi="Times New Roman" w:cs="Times New Roman"/>
          <w:color w:val="000000"/>
          <w:shd w:val="clear" w:color="auto" w:fill="FFFFFF"/>
        </w:rPr>
        <w:t xml:space="preserve"> if the individual receives compensation which includes cash, shares, and/or anything else of value including direct ownership of shares, stock, stock options or other interest of 5% more of an entity or valued at $10</w:t>
      </w:r>
      <w:r w:rsidR="0079057E" w:rsidRPr="007D4CB3">
        <w:rPr>
          <w:rStyle w:val="normaltextrun"/>
          <w:rFonts w:ascii="Times New Roman" w:hAnsi="Times New Roman" w:cs="Times New Roman"/>
          <w:color w:val="000000"/>
          <w:spacing w:val="-6"/>
          <w:shd w:val="clear" w:color="auto" w:fill="FFFFFF"/>
        </w:rPr>
        <w:t xml:space="preserve"> </w:t>
      </w:r>
      <w:r w:rsidRPr="007D4CB3">
        <w:rPr>
          <w:rStyle w:val="normaltextrun"/>
          <w:rFonts w:ascii="Times New Roman" w:hAnsi="Times New Roman" w:cs="Times New Roman"/>
          <w:color w:val="000000"/>
          <w:shd w:val="clear" w:color="auto" w:fill="FFFFFF"/>
        </w:rPr>
        <w:t xml:space="preserve">000 or more (excluding mutual funds), whichever is greater. A relationship or arrangement </w:t>
      </w:r>
      <w:proofErr w:type="gramStart"/>
      <w:r w:rsidRPr="007D4CB3">
        <w:rPr>
          <w:rStyle w:val="normaltextrun"/>
          <w:rFonts w:ascii="Times New Roman" w:hAnsi="Times New Roman" w:cs="Times New Roman"/>
          <w:color w:val="000000"/>
          <w:shd w:val="clear" w:color="auto" w:fill="FFFFFF"/>
        </w:rPr>
        <w:t>is considered to be</w:t>
      </w:r>
      <w:proofErr w:type="gramEnd"/>
      <w:r w:rsidRPr="007D4CB3">
        <w:rPr>
          <w:rStyle w:val="normaltextrun"/>
          <w:rFonts w:ascii="Times New Roman" w:hAnsi="Times New Roman" w:cs="Times New Roman"/>
          <w:color w:val="000000"/>
          <w:shd w:val="clear" w:color="auto" w:fill="FFFFFF"/>
        </w:rPr>
        <w:t xml:space="preserve"> </w:t>
      </w:r>
      <w:r w:rsidRPr="007D4CB3">
        <w:rPr>
          <w:rStyle w:val="normaltextrun"/>
          <w:rFonts w:ascii="Times New Roman" w:hAnsi="Times New Roman" w:cs="Times New Roman"/>
          <w:i/>
          <w:iCs/>
          <w:color w:val="000000"/>
          <w:shd w:val="clear" w:color="auto" w:fill="FFFFFF"/>
        </w:rPr>
        <w:t>modest</w:t>
      </w:r>
      <w:r w:rsidRPr="007D4CB3">
        <w:rPr>
          <w:rStyle w:val="normaltextrun"/>
          <w:rFonts w:ascii="Times New Roman" w:hAnsi="Times New Roman" w:cs="Times New Roman"/>
          <w:color w:val="000000"/>
          <w:shd w:val="clear" w:color="auto" w:fill="FFFFFF"/>
        </w:rPr>
        <w:t xml:space="preserve"> if it is less than significant under the preceding definition. A relationship or arrangement </w:t>
      </w:r>
      <w:proofErr w:type="gramStart"/>
      <w:r w:rsidRPr="007D4CB3">
        <w:rPr>
          <w:rStyle w:val="normaltextrun"/>
          <w:rFonts w:ascii="Times New Roman" w:hAnsi="Times New Roman" w:cs="Times New Roman"/>
          <w:color w:val="000000"/>
          <w:shd w:val="clear" w:color="auto" w:fill="FFFFFF"/>
        </w:rPr>
        <w:t>is considered to be</w:t>
      </w:r>
      <w:proofErr w:type="gramEnd"/>
      <w:r w:rsidRPr="007D4CB3">
        <w:rPr>
          <w:rStyle w:val="normaltextrun"/>
          <w:rFonts w:ascii="Times New Roman" w:hAnsi="Times New Roman" w:cs="Times New Roman"/>
          <w:color w:val="000000"/>
          <w:shd w:val="clear" w:color="auto" w:fill="FFFFFF"/>
        </w:rPr>
        <w:t xml:space="preserve"> </w:t>
      </w:r>
      <w:r w:rsidRPr="007D4CB3">
        <w:rPr>
          <w:rStyle w:val="normaltextrun"/>
          <w:rFonts w:ascii="Times New Roman" w:hAnsi="Times New Roman" w:cs="Times New Roman"/>
          <w:i/>
          <w:iCs/>
          <w:color w:val="000000"/>
          <w:shd w:val="clear" w:color="auto" w:fill="FFFFFF"/>
        </w:rPr>
        <w:t>unpaid</w:t>
      </w:r>
      <w:r w:rsidRPr="007D4CB3">
        <w:rPr>
          <w:rStyle w:val="normaltextrun"/>
          <w:rFonts w:ascii="Times New Roman" w:hAnsi="Times New Roman" w:cs="Times New Roman"/>
          <w:color w:val="000000"/>
          <w:shd w:val="clear" w:color="auto" w:fill="FFFFFF"/>
        </w:rPr>
        <w:t xml:space="preserve"> if the individual does not receive monetary reimbursement. **Indicates </w:t>
      </w:r>
      <w:proofErr w:type="gramStart"/>
      <w:r w:rsidRPr="007D4CB3">
        <w:rPr>
          <w:rStyle w:val="normaltextrun"/>
          <w:rFonts w:ascii="Times New Roman" w:hAnsi="Times New Roman" w:cs="Times New Roman"/>
          <w:color w:val="000000"/>
          <w:shd w:val="clear" w:color="auto" w:fill="FFFFFF"/>
        </w:rPr>
        <w:t>significant relationship</w:t>
      </w:r>
      <w:proofErr w:type="gramEnd"/>
      <w:r w:rsidRPr="007D4CB3">
        <w:rPr>
          <w:rStyle w:val="normaltextrun"/>
          <w:rFonts w:ascii="Times New Roman" w:hAnsi="Times New Roman" w:cs="Times New Roman"/>
          <w:color w:val="000000"/>
          <w:shd w:val="clear" w:color="auto" w:fill="FFFFFF"/>
        </w:rPr>
        <w:t>. *Indicates modest relationship.</w:t>
      </w:r>
      <w:r w:rsidR="005B45B3" w:rsidRPr="007D4CB3">
        <w:rPr>
          <w:rFonts w:ascii="Times New Roman" w:hAnsi="Times New Roman" w:cs="Times New Roman"/>
        </w:rPr>
        <w:br w:type="page"/>
      </w:r>
    </w:p>
    <w:p w14:paraId="2EAFBD3F" w14:textId="23E1C1D2" w:rsidR="00CA11A6" w:rsidRPr="007D4CB3" w:rsidRDefault="00CA11A6" w:rsidP="00FC7CE6">
      <w:pPr>
        <w:pStyle w:val="Heading2"/>
        <w:spacing w:before="0" w:after="0" w:line="240" w:lineRule="auto"/>
        <w:rPr>
          <w:rFonts w:ascii="Times New Roman" w:hAnsi="Times New Roman" w:cs="Times New Roman"/>
          <w:sz w:val="24"/>
        </w:rPr>
      </w:pPr>
      <w:bookmarkStart w:id="6" w:name="_Toc144381379"/>
      <w:r w:rsidRPr="007D4CB3">
        <w:rPr>
          <w:rFonts w:ascii="Times New Roman" w:hAnsi="Times New Roman" w:cs="Times New Roman"/>
          <w:sz w:val="24"/>
        </w:rPr>
        <w:lastRenderedPageBreak/>
        <w:t>ASAM Quality Improvement Council Members</w:t>
      </w:r>
      <w:bookmarkEnd w:id="6"/>
    </w:p>
    <w:tbl>
      <w:tblPr>
        <w:tblW w:w="12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2"/>
        <w:gridCol w:w="1775"/>
        <w:gridCol w:w="1683"/>
        <w:gridCol w:w="1330"/>
        <w:gridCol w:w="2208"/>
        <w:gridCol w:w="2561"/>
        <w:gridCol w:w="1541"/>
      </w:tblGrid>
      <w:tr w:rsidR="00CA11A6" w:rsidRPr="007D4CB3" w14:paraId="14B800C7" w14:textId="77777777" w:rsidTr="6493A743">
        <w:trPr>
          <w:cantSplit/>
          <w:trHeight w:val="285"/>
          <w:tblHeader/>
        </w:trPr>
        <w:tc>
          <w:tcPr>
            <w:tcW w:w="1862" w:type="dxa"/>
            <w:tcBorders>
              <w:top w:val="single" w:sz="12" w:space="0" w:color="auto"/>
              <w:left w:val="nil"/>
              <w:bottom w:val="single" w:sz="12" w:space="0" w:color="auto"/>
              <w:right w:val="nil"/>
            </w:tcBorders>
            <w:shd w:val="clear" w:color="auto" w:fill="auto"/>
            <w:hideMark/>
          </w:tcPr>
          <w:p w14:paraId="3F38A806" w14:textId="4388C494" w:rsidR="00CA11A6" w:rsidRPr="007D4CB3" w:rsidRDefault="00CA11A6" w:rsidP="00FC7CE6">
            <w:pPr>
              <w:spacing w:before="0" w:after="0" w:line="240" w:lineRule="auto"/>
              <w:textAlignment w:val="baseline"/>
              <w:rPr>
                <w:rFonts w:ascii="Times New Roman" w:eastAsia="Times New Roman" w:hAnsi="Times New Roman" w:cs="Times New Roman"/>
                <w:b/>
                <w:bCs/>
                <w:color w:val="231F20"/>
              </w:rPr>
            </w:pPr>
            <w:r w:rsidRPr="007D4CB3">
              <w:rPr>
                <w:rFonts w:ascii="Times New Roman" w:eastAsia="Times New Roman" w:hAnsi="Times New Roman" w:cs="Times New Roman"/>
                <w:b/>
                <w:bCs/>
                <w:color w:val="231F20"/>
              </w:rPr>
              <w:t>Quality Improvement Council Member</w:t>
            </w:r>
          </w:p>
        </w:tc>
        <w:tc>
          <w:tcPr>
            <w:tcW w:w="1775" w:type="dxa"/>
            <w:tcBorders>
              <w:top w:val="single" w:sz="12" w:space="0" w:color="auto"/>
              <w:left w:val="nil"/>
              <w:bottom w:val="single" w:sz="12" w:space="0" w:color="auto"/>
              <w:right w:val="nil"/>
            </w:tcBorders>
            <w:shd w:val="clear" w:color="auto" w:fill="auto"/>
            <w:hideMark/>
          </w:tcPr>
          <w:p w14:paraId="7B92D02F" w14:textId="3C6CCDD2" w:rsidR="00CA11A6" w:rsidRPr="007D4CB3" w:rsidRDefault="00CA11A6" w:rsidP="00FC7CE6">
            <w:pPr>
              <w:spacing w:before="0" w:after="0" w:line="240" w:lineRule="auto"/>
              <w:textAlignment w:val="baseline"/>
              <w:rPr>
                <w:rFonts w:ascii="Times New Roman" w:eastAsia="Times New Roman" w:hAnsi="Times New Roman" w:cs="Times New Roman"/>
                <w:b/>
                <w:bCs/>
                <w:color w:val="231F20"/>
              </w:rPr>
            </w:pPr>
            <w:r w:rsidRPr="007D4CB3">
              <w:rPr>
                <w:rFonts w:ascii="Times New Roman" w:eastAsia="Times New Roman" w:hAnsi="Times New Roman" w:cs="Times New Roman"/>
                <w:b/>
                <w:bCs/>
                <w:color w:val="231F20"/>
              </w:rPr>
              <w:t>Salary</w:t>
            </w:r>
          </w:p>
        </w:tc>
        <w:tc>
          <w:tcPr>
            <w:tcW w:w="1683" w:type="dxa"/>
            <w:tcBorders>
              <w:top w:val="single" w:sz="12" w:space="0" w:color="auto"/>
              <w:left w:val="nil"/>
              <w:bottom w:val="single" w:sz="12" w:space="0" w:color="auto"/>
              <w:right w:val="nil"/>
            </w:tcBorders>
            <w:shd w:val="clear" w:color="auto" w:fill="auto"/>
            <w:hideMark/>
          </w:tcPr>
          <w:p w14:paraId="4A498B64" w14:textId="4E34D22D" w:rsidR="00CA11A6" w:rsidRPr="007D4CB3" w:rsidRDefault="00CA11A6" w:rsidP="00FC7CE6">
            <w:pPr>
              <w:spacing w:before="0" w:after="0" w:line="240" w:lineRule="auto"/>
              <w:textAlignment w:val="baseline"/>
              <w:rPr>
                <w:rFonts w:ascii="Times New Roman" w:eastAsia="Times New Roman" w:hAnsi="Times New Roman" w:cs="Times New Roman"/>
                <w:b/>
                <w:bCs/>
                <w:color w:val="231F20"/>
              </w:rPr>
            </w:pPr>
            <w:r w:rsidRPr="007D4CB3">
              <w:rPr>
                <w:rFonts w:ascii="Times New Roman" w:eastAsia="Times New Roman" w:hAnsi="Times New Roman" w:cs="Times New Roman"/>
                <w:b/>
                <w:bCs/>
                <w:color w:val="231F20"/>
              </w:rPr>
              <w:t>Consulting</w:t>
            </w:r>
          </w:p>
        </w:tc>
        <w:tc>
          <w:tcPr>
            <w:tcW w:w="1330" w:type="dxa"/>
            <w:tcBorders>
              <w:top w:val="single" w:sz="12" w:space="0" w:color="auto"/>
              <w:left w:val="nil"/>
              <w:bottom w:val="single" w:sz="12" w:space="0" w:color="auto"/>
              <w:right w:val="nil"/>
            </w:tcBorders>
            <w:shd w:val="clear" w:color="auto" w:fill="auto"/>
            <w:hideMark/>
          </w:tcPr>
          <w:p w14:paraId="02755FF6" w14:textId="3BF19B67" w:rsidR="00CA11A6" w:rsidRPr="007D4CB3" w:rsidRDefault="00CA11A6" w:rsidP="00FC7CE6">
            <w:pPr>
              <w:spacing w:before="0" w:after="0" w:line="240" w:lineRule="auto"/>
              <w:textAlignment w:val="baseline"/>
              <w:rPr>
                <w:rFonts w:ascii="Times New Roman" w:eastAsia="Times New Roman" w:hAnsi="Times New Roman" w:cs="Times New Roman"/>
                <w:b/>
                <w:bCs/>
                <w:color w:val="231F20"/>
              </w:rPr>
            </w:pPr>
            <w:r w:rsidRPr="007D4CB3">
              <w:rPr>
                <w:rFonts w:ascii="Times New Roman" w:eastAsia="Times New Roman" w:hAnsi="Times New Roman" w:cs="Times New Roman"/>
                <w:b/>
                <w:bCs/>
                <w:color w:val="231F20"/>
              </w:rPr>
              <w:t>Research</w:t>
            </w:r>
          </w:p>
        </w:tc>
        <w:tc>
          <w:tcPr>
            <w:tcW w:w="2208" w:type="dxa"/>
            <w:tcBorders>
              <w:top w:val="single" w:sz="12" w:space="0" w:color="auto"/>
              <w:left w:val="nil"/>
              <w:bottom w:val="single" w:sz="12" w:space="0" w:color="auto"/>
              <w:right w:val="nil"/>
            </w:tcBorders>
            <w:shd w:val="clear" w:color="auto" w:fill="auto"/>
            <w:hideMark/>
          </w:tcPr>
          <w:p w14:paraId="6BEF11AB" w14:textId="42E729C5" w:rsidR="00CA11A6" w:rsidRPr="007D4CB3" w:rsidRDefault="00CA11A6" w:rsidP="00FC7CE6">
            <w:pPr>
              <w:spacing w:before="0" w:after="0" w:line="240" w:lineRule="auto"/>
              <w:textAlignment w:val="baseline"/>
              <w:rPr>
                <w:rFonts w:ascii="Times New Roman" w:eastAsia="Times New Roman" w:hAnsi="Times New Roman" w:cs="Times New Roman"/>
                <w:b/>
                <w:bCs/>
                <w:color w:val="231F20"/>
              </w:rPr>
            </w:pPr>
            <w:r w:rsidRPr="007D4CB3">
              <w:rPr>
                <w:rFonts w:ascii="Times New Roman" w:eastAsia="Times New Roman" w:hAnsi="Times New Roman" w:cs="Times New Roman"/>
                <w:b/>
                <w:bCs/>
                <w:color w:val="231F20"/>
              </w:rPr>
              <w:t>Investments and Proprietary Interests</w:t>
            </w:r>
          </w:p>
        </w:tc>
        <w:tc>
          <w:tcPr>
            <w:tcW w:w="2561" w:type="dxa"/>
            <w:tcBorders>
              <w:top w:val="single" w:sz="12" w:space="0" w:color="auto"/>
              <w:left w:val="nil"/>
              <w:bottom w:val="single" w:sz="12" w:space="0" w:color="auto"/>
              <w:right w:val="nil"/>
            </w:tcBorders>
            <w:shd w:val="clear" w:color="auto" w:fill="auto"/>
            <w:hideMark/>
          </w:tcPr>
          <w:p w14:paraId="4D85BAE5" w14:textId="536D7BDE" w:rsidR="00CA11A6" w:rsidRPr="007D4CB3" w:rsidRDefault="00CA11A6" w:rsidP="00FC7CE6">
            <w:pPr>
              <w:spacing w:before="0" w:after="0" w:line="240" w:lineRule="auto"/>
              <w:textAlignment w:val="baseline"/>
              <w:rPr>
                <w:rFonts w:ascii="Times New Roman" w:eastAsia="Times New Roman" w:hAnsi="Times New Roman" w:cs="Times New Roman"/>
                <w:b/>
                <w:bCs/>
                <w:color w:val="231F20"/>
              </w:rPr>
            </w:pPr>
            <w:r w:rsidRPr="007D4CB3">
              <w:rPr>
                <w:rFonts w:ascii="Times New Roman" w:eastAsia="Times New Roman" w:hAnsi="Times New Roman" w:cs="Times New Roman"/>
                <w:b/>
                <w:bCs/>
                <w:color w:val="231F20"/>
              </w:rPr>
              <w:t>Healthcare-Related Organizations</w:t>
            </w:r>
          </w:p>
        </w:tc>
        <w:tc>
          <w:tcPr>
            <w:tcW w:w="1541" w:type="dxa"/>
            <w:tcBorders>
              <w:top w:val="single" w:sz="12" w:space="0" w:color="auto"/>
              <w:left w:val="nil"/>
              <w:bottom w:val="single" w:sz="12" w:space="0" w:color="auto"/>
              <w:right w:val="nil"/>
            </w:tcBorders>
            <w:shd w:val="clear" w:color="auto" w:fill="auto"/>
            <w:hideMark/>
          </w:tcPr>
          <w:p w14:paraId="582EC13C" w14:textId="477A84CB" w:rsidR="00CA11A6" w:rsidRPr="007D4CB3" w:rsidRDefault="00CA11A6" w:rsidP="00FC7CE6">
            <w:pPr>
              <w:spacing w:before="0" w:after="0" w:line="240" w:lineRule="auto"/>
              <w:textAlignment w:val="baseline"/>
              <w:rPr>
                <w:rFonts w:ascii="Times New Roman" w:eastAsia="Times New Roman" w:hAnsi="Times New Roman" w:cs="Times New Roman"/>
                <w:b/>
                <w:bCs/>
                <w:color w:val="231F20"/>
              </w:rPr>
            </w:pPr>
            <w:r w:rsidRPr="007D4CB3">
              <w:rPr>
                <w:rFonts w:ascii="Times New Roman" w:eastAsia="Times New Roman" w:hAnsi="Times New Roman" w:cs="Times New Roman"/>
                <w:b/>
                <w:bCs/>
                <w:color w:val="231F20"/>
              </w:rPr>
              <w:t>Advocacy/</w:t>
            </w:r>
            <w:r w:rsidR="006E096F" w:rsidRPr="007D4CB3">
              <w:rPr>
                <w:rFonts w:ascii="Times New Roman" w:eastAsia="Times New Roman" w:hAnsi="Times New Roman" w:cs="Times New Roman"/>
                <w:b/>
                <w:bCs/>
                <w:color w:val="231F20"/>
              </w:rPr>
              <w:br/>
            </w:r>
            <w:r w:rsidRPr="007D4CB3">
              <w:rPr>
                <w:rFonts w:ascii="Times New Roman" w:eastAsia="Times New Roman" w:hAnsi="Times New Roman" w:cs="Times New Roman"/>
                <w:b/>
                <w:bCs/>
                <w:color w:val="231F20"/>
              </w:rPr>
              <w:t>Lobbying</w:t>
            </w:r>
          </w:p>
        </w:tc>
      </w:tr>
      <w:tr w:rsidR="00CA11A6" w:rsidRPr="007D4CB3" w14:paraId="17463EFC" w14:textId="77777777" w:rsidTr="6493A743">
        <w:trPr>
          <w:cantSplit/>
          <w:trHeight w:val="285"/>
        </w:trPr>
        <w:tc>
          <w:tcPr>
            <w:tcW w:w="1862" w:type="dxa"/>
            <w:tcBorders>
              <w:top w:val="nil"/>
              <w:left w:val="nil"/>
              <w:bottom w:val="single" w:sz="6" w:space="0" w:color="auto"/>
              <w:right w:val="nil"/>
            </w:tcBorders>
            <w:shd w:val="clear" w:color="auto" w:fill="auto"/>
            <w:hideMark/>
          </w:tcPr>
          <w:p w14:paraId="72028DEF" w14:textId="133A91E8"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 xml:space="preserve">Itai Danovitch, MD, MBA, </w:t>
            </w:r>
            <w:r w:rsidR="47FC1C4D" w:rsidRPr="007D4CB3">
              <w:rPr>
                <w:rFonts w:ascii="Times New Roman" w:eastAsia="Times New Roman" w:hAnsi="Times New Roman" w:cs="Times New Roman"/>
              </w:rPr>
              <w:t>D</w:t>
            </w:r>
            <w:r w:rsidRPr="007D4CB3">
              <w:rPr>
                <w:rFonts w:ascii="Times New Roman" w:eastAsia="Times New Roman" w:hAnsi="Times New Roman" w:cs="Times New Roman"/>
              </w:rPr>
              <w:t>FAPA, DFASAM</w:t>
            </w:r>
          </w:p>
        </w:tc>
        <w:tc>
          <w:tcPr>
            <w:tcW w:w="1775" w:type="dxa"/>
            <w:tcBorders>
              <w:top w:val="nil"/>
              <w:left w:val="nil"/>
              <w:bottom w:val="single" w:sz="6" w:space="0" w:color="auto"/>
              <w:right w:val="nil"/>
            </w:tcBorders>
            <w:shd w:val="clear" w:color="auto" w:fill="auto"/>
            <w:hideMark/>
          </w:tcPr>
          <w:p w14:paraId="670BFA24" w14:textId="75985ECB" w:rsidR="00CA11A6" w:rsidRPr="007D4CB3" w:rsidRDefault="00B71918" w:rsidP="00FC7CE6">
            <w:pPr>
              <w:spacing w:before="0" w:after="0" w:line="240" w:lineRule="auto"/>
              <w:ind w:left="150" w:hanging="150"/>
              <w:rPr>
                <w:rFonts w:ascii="Times New Roman" w:hAnsi="Times New Roman" w:cs="Times New Roman"/>
              </w:rPr>
            </w:pPr>
            <w:r w:rsidRPr="007D4CB3">
              <w:rPr>
                <w:rFonts w:ascii="Times New Roman" w:eastAsia="Times New Roman" w:hAnsi="Times New Roman" w:cs="Times New Roman"/>
              </w:rPr>
              <w:t>Cedars-Sinai Medical Center (</w:t>
            </w:r>
            <w:proofErr w:type="gramStart"/>
            <w:r w:rsidR="00207316" w:rsidRPr="007D4CB3">
              <w:rPr>
                <w:rFonts w:ascii="Times New Roman" w:eastAsia="Times New Roman" w:hAnsi="Times New Roman" w:cs="Times New Roman"/>
              </w:rPr>
              <w:t>Chairman</w:t>
            </w:r>
            <w:proofErr w:type="gramEnd"/>
            <w:r w:rsidR="00207316" w:rsidRPr="007D4CB3">
              <w:rPr>
                <w:rFonts w:ascii="Times New Roman" w:eastAsia="Times New Roman" w:hAnsi="Times New Roman" w:cs="Times New Roman"/>
              </w:rPr>
              <w:t xml:space="preserve"> of the Department of Psychiatry and Behavioral Neurosciences)</w:t>
            </w:r>
          </w:p>
        </w:tc>
        <w:tc>
          <w:tcPr>
            <w:tcW w:w="1683" w:type="dxa"/>
            <w:tcBorders>
              <w:top w:val="nil"/>
              <w:left w:val="nil"/>
              <w:bottom w:val="single" w:sz="6" w:space="0" w:color="auto"/>
              <w:right w:val="nil"/>
            </w:tcBorders>
            <w:shd w:val="clear" w:color="auto" w:fill="auto"/>
            <w:hideMark/>
          </w:tcPr>
          <w:p w14:paraId="51881BB5" w14:textId="21C22EE4"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Expert Witness**</w:t>
            </w:r>
          </w:p>
        </w:tc>
        <w:tc>
          <w:tcPr>
            <w:tcW w:w="1330" w:type="dxa"/>
            <w:tcBorders>
              <w:top w:val="nil"/>
              <w:left w:val="nil"/>
              <w:bottom w:val="single" w:sz="6" w:space="0" w:color="auto"/>
              <w:right w:val="nil"/>
            </w:tcBorders>
            <w:shd w:val="clear" w:color="auto" w:fill="auto"/>
            <w:hideMark/>
          </w:tcPr>
          <w:p w14:paraId="6D9BC66B" w14:textId="1A2C8107"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bookmarkStart w:id="7" w:name="_Hlk143766377"/>
            <w:r w:rsidRPr="007D4CB3">
              <w:rPr>
                <w:rFonts w:ascii="Times New Roman" w:eastAsia="Times New Roman" w:hAnsi="Times New Roman" w:cs="Times New Roman"/>
              </w:rPr>
              <w:t>None</w:t>
            </w:r>
            <w:bookmarkEnd w:id="7"/>
          </w:p>
        </w:tc>
        <w:tc>
          <w:tcPr>
            <w:tcW w:w="2208" w:type="dxa"/>
            <w:tcBorders>
              <w:top w:val="nil"/>
              <w:left w:val="nil"/>
              <w:bottom w:val="single" w:sz="6" w:space="0" w:color="auto"/>
              <w:right w:val="nil"/>
            </w:tcBorders>
            <w:shd w:val="clear" w:color="auto" w:fill="auto"/>
            <w:hideMark/>
          </w:tcPr>
          <w:p w14:paraId="0C17E4A5" w14:textId="77777777"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Workit Health (Shareholder)*; Science 37 (Shareholder)**; Bexson Biomedical (Receives Equity Options)*</w:t>
            </w:r>
          </w:p>
        </w:tc>
        <w:tc>
          <w:tcPr>
            <w:tcW w:w="2561" w:type="dxa"/>
            <w:tcBorders>
              <w:top w:val="nil"/>
              <w:left w:val="nil"/>
              <w:bottom w:val="single" w:sz="6" w:space="0" w:color="auto"/>
              <w:right w:val="nil"/>
            </w:tcBorders>
            <w:shd w:val="clear" w:color="auto" w:fill="auto"/>
            <w:hideMark/>
          </w:tcPr>
          <w:p w14:paraId="0BAB4577" w14:textId="043A75D0"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Bexson Biomedical* (Board Member); California Mental Health Services (Commissioner)</w:t>
            </w:r>
          </w:p>
        </w:tc>
        <w:tc>
          <w:tcPr>
            <w:tcW w:w="1541" w:type="dxa"/>
            <w:tcBorders>
              <w:top w:val="nil"/>
              <w:left w:val="nil"/>
              <w:bottom w:val="single" w:sz="6" w:space="0" w:color="auto"/>
              <w:right w:val="nil"/>
            </w:tcBorders>
            <w:shd w:val="clear" w:color="auto" w:fill="auto"/>
            <w:hideMark/>
          </w:tcPr>
          <w:p w14:paraId="4494B08F" w14:textId="6FF8FC29"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CA11A6" w:rsidRPr="007D4CB3" w14:paraId="16BCB9F7" w14:textId="77777777" w:rsidTr="6493A743">
        <w:trPr>
          <w:cantSplit/>
          <w:trHeight w:val="285"/>
        </w:trPr>
        <w:tc>
          <w:tcPr>
            <w:tcW w:w="1862" w:type="dxa"/>
            <w:tcBorders>
              <w:top w:val="single" w:sz="6" w:space="0" w:color="auto"/>
              <w:left w:val="nil"/>
              <w:bottom w:val="single" w:sz="6" w:space="0" w:color="auto"/>
              <w:right w:val="nil"/>
            </w:tcBorders>
            <w:shd w:val="clear" w:color="auto" w:fill="auto"/>
            <w:hideMark/>
          </w:tcPr>
          <w:p w14:paraId="7CEB05A3" w14:textId="37D9EF0C"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Kenneth I. Freedman, MD,</w:t>
            </w:r>
            <w:r w:rsidR="15CD3E06" w:rsidRPr="007D4CB3">
              <w:rPr>
                <w:rFonts w:ascii="Times New Roman" w:eastAsia="Times New Roman" w:hAnsi="Times New Roman" w:cs="Times New Roman"/>
              </w:rPr>
              <w:t xml:space="preserve"> MS, </w:t>
            </w:r>
            <w:r w:rsidRPr="007D4CB3">
              <w:rPr>
                <w:rFonts w:ascii="Times New Roman" w:eastAsia="Times New Roman" w:hAnsi="Times New Roman" w:cs="Times New Roman"/>
              </w:rPr>
              <w:t>MBA,</w:t>
            </w:r>
            <w:r w:rsidR="58D005E1" w:rsidRPr="007D4CB3">
              <w:rPr>
                <w:rFonts w:ascii="Times New Roman" w:eastAsia="Times New Roman" w:hAnsi="Times New Roman" w:cs="Times New Roman"/>
              </w:rPr>
              <w:t xml:space="preserve"> FACP, AGAF,</w:t>
            </w:r>
            <w:r w:rsidRPr="007D4CB3">
              <w:rPr>
                <w:rFonts w:ascii="Times New Roman" w:eastAsia="Times New Roman" w:hAnsi="Times New Roman" w:cs="Times New Roman"/>
              </w:rPr>
              <w:t xml:space="preserve"> DFASAM</w:t>
            </w:r>
          </w:p>
        </w:tc>
        <w:tc>
          <w:tcPr>
            <w:tcW w:w="1775" w:type="dxa"/>
            <w:tcBorders>
              <w:top w:val="single" w:sz="6" w:space="0" w:color="auto"/>
              <w:left w:val="nil"/>
              <w:bottom w:val="single" w:sz="6" w:space="0" w:color="auto"/>
              <w:right w:val="nil"/>
            </w:tcBorders>
            <w:shd w:val="clear" w:color="auto" w:fill="auto"/>
            <w:hideMark/>
          </w:tcPr>
          <w:p w14:paraId="5F4431FA" w14:textId="77777777"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Aetna/CVS Health (Medical Director); The Recovery Research Network (Medical Director)</w:t>
            </w:r>
          </w:p>
        </w:tc>
        <w:tc>
          <w:tcPr>
            <w:tcW w:w="1683" w:type="dxa"/>
            <w:tcBorders>
              <w:top w:val="single" w:sz="6" w:space="0" w:color="auto"/>
              <w:left w:val="nil"/>
              <w:bottom w:val="single" w:sz="6" w:space="0" w:color="auto"/>
              <w:right w:val="nil"/>
            </w:tcBorders>
            <w:shd w:val="clear" w:color="auto" w:fill="auto"/>
            <w:hideMark/>
          </w:tcPr>
          <w:p w14:paraId="563E3616" w14:textId="4A23D354"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30" w:type="dxa"/>
            <w:tcBorders>
              <w:top w:val="single" w:sz="6" w:space="0" w:color="auto"/>
              <w:left w:val="nil"/>
              <w:bottom w:val="single" w:sz="6" w:space="0" w:color="auto"/>
              <w:right w:val="nil"/>
            </w:tcBorders>
            <w:shd w:val="clear" w:color="auto" w:fill="auto"/>
            <w:hideMark/>
          </w:tcPr>
          <w:p w14:paraId="2BADC3E8" w14:textId="6A8B3E1C"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208" w:type="dxa"/>
            <w:tcBorders>
              <w:top w:val="single" w:sz="6" w:space="0" w:color="auto"/>
              <w:left w:val="nil"/>
              <w:bottom w:val="single" w:sz="6" w:space="0" w:color="auto"/>
              <w:right w:val="nil"/>
            </w:tcBorders>
            <w:shd w:val="clear" w:color="auto" w:fill="auto"/>
            <w:hideMark/>
          </w:tcPr>
          <w:p w14:paraId="444173EC" w14:textId="3B2003E2"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61" w:type="dxa"/>
            <w:tcBorders>
              <w:top w:val="single" w:sz="6" w:space="0" w:color="auto"/>
              <w:left w:val="nil"/>
              <w:bottom w:val="single" w:sz="6" w:space="0" w:color="auto"/>
              <w:right w:val="nil"/>
            </w:tcBorders>
            <w:shd w:val="clear" w:color="auto" w:fill="auto"/>
            <w:hideMark/>
          </w:tcPr>
          <w:p w14:paraId="1E08FA01" w14:textId="440EF66A"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541" w:type="dxa"/>
            <w:tcBorders>
              <w:top w:val="single" w:sz="6" w:space="0" w:color="auto"/>
              <w:left w:val="nil"/>
              <w:bottom w:val="single" w:sz="6" w:space="0" w:color="auto"/>
              <w:right w:val="nil"/>
            </w:tcBorders>
            <w:shd w:val="clear" w:color="auto" w:fill="auto"/>
            <w:hideMark/>
          </w:tcPr>
          <w:p w14:paraId="596BC6F6" w14:textId="486DAFD8"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CA11A6" w:rsidRPr="007D4CB3" w14:paraId="0B4B72A6" w14:textId="77777777" w:rsidTr="6493A743">
        <w:trPr>
          <w:cantSplit/>
          <w:trHeight w:val="285"/>
        </w:trPr>
        <w:tc>
          <w:tcPr>
            <w:tcW w:w="1862" w:type="dxa"/>
            <w:tcBorders>
              <w:top w:val="single" w:sz="6" w:space="0" w:color="auto"/>
              <w:left w:val="nil"/>
              <w:bottom w:val="single" w:sz="6" w:space="0" w:color="auto"/>
              <w:right w:val="nil"/>
            </w:tcBorders>
            <w:shd w:val="clear" w:color="auto" w:fill="auto"/>
            <w:hideMark/>
          </w:tcPr>
          <w:p w14:paraId="6136F01A" w14:textId="5684FFF4"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 xml:space="preserve">Michael P. Frost, MD, </w:t>
            </w:r>
            <w:r w:rsidR="31B9D3BF" w:rsidRPr="007D4CB3">
              <w:rPr>
                <w:rFonts w:ascii="Times New Roman" w:eastAsia="Times New Roman" w:hAnsi="Times New Roman" w:cs="Times New Roman"/>
              </w:rPr>
              <w:t>FACP, DFASAM</w:t>
            </w:r>
          </w:p>
        </w:tc>
        <w:tc>
          <w:tcPr>
            <w:tcW w:w="1775" w:type="dxa"/>
            <w:tcBorders>
              <w:top w:val="single" w:sz="6" w:space="0" w:color="auto"/>
              <w:left w:val="nil"/>
              <w:bottom w:val="single" w:sz="6" w:space="0" w:color="auto"/>
              <w:right w:val="nil"/>
            </w:tcBorders>
            <w:shd w:val="clear" w:color="auto" w:fill="auto"/>
            <w:hideMark/>
          </w:tcPr>
          <w:p w14:paraId="13A5F834" w14:textId="77777777"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Wayspring (Chief Medical Officer); Frost Medical Group LLC (Owner)</w:t>
            </w:r>
          </w:p>
        </w:tc>
        <w:tc>
          <w:tcPr>
            <w:tcW w:w="1683" w:type="dxa"/>
            <w:tcBorders>
              <w:top w:val="single" w:sz="6" w:space="0" w:color="auto"/>
              <w:left w:val="nil"/>
              <w:bottom w:val="single" w:sz="6" w:space="0" w:color="auto"/>
              <w:right w:val="nil"/>
            </w:tcBorders>
            <w:shd w:val="clear" w:color="auto" w:fill="auto"/>
            <w:hideMark/>
          </w:tcPr>
          <w:p w14:paraId="612FA5CD" w14:textId="4708D38D"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30" w:type="dxa"/>
            <w:tcBorders>
              <w:top w:val="single" w:sz="6" w:space="0" w:color="auto"/>
              <w:left w:val="nil"/>
              <w:bottom w:val="single" w:sz="6" w:space="0" w:color="auto"/>
              <w:right w:val="nil"/>
            </w:tcBorders>
            <w:shd w:val="clear" w:color="auto" w:fill="auto"/>
            <w:hideMark/>
          </w:tcPr>
          <w:p w14:paraId="7BF88B2D" w14:textId="54241734"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208" w:type="dxa"/>
            <w:tcBorders>
              <w:top w:val="single" w:sz="6" w:space="0" w:color="auto"/>
              <w:left w:val="nil"/>
              <w:bottom w:val="single" w:sz="6" w:space="0" w:color="auto"/>
              <w:right w:val="nil"/>
            </w:tcBorders>
            <w:shd w:val="clear" w:color="auto" w:fill="auto"/>
            <w:hideMark/>
          </w:tcPr>
          <w:p w14:paraId="09003829" w14:textId="77777777"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Pocket Naloxone Corp (Shareholder)**</w:t>
            </w:r>
          </w:p>
        </w:tc>
        <w:tc>
          <w:tcPr>
            <w:tcW w:w="2561" w:type="dxa"/>
            <w:tcBorders>
              <w:top w:val="single" w:sz="6" w:space="0" w:color="auto"/>
              <w:left w:val="nil"/>
              <w:bottom w:val="single" w:sz="6" w:space="0" w:color="auto"/>
              <w:right w:val="nil"/>
            </w:tcBorders>
            <w:shd w:val="clear" w:color="auto" w:fill="auto"/>
            <w:hideMark/>
          </w:tcPr>
          <w:p w14:paraId="68772547" w14:textId="77777777"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Accord Healthcare UK* (Training Fees)</w:t>
            </w:r>
          </w:p>
        </w:tc>
        <w:tc>
          <w:tcPr>
            <w:tcW w:w="1541" w:type="dxa"/>
            <w:tcBorders>
              <w:top w:val="single" w:sz="6" w:space="0" w:color="auto"/>
              <w:left w:val="nil"/>
              <w:bottom w:val="single" w:sz="6" w:space="0" w:color="auto"/>
              <w:right w:val="nil"/>
            </w:tcBorders>
            <w:shd w:val="clear" w:color="auto" w:fill="auto"/>
            <w:hideMark/>
          </w:tcPr>
          <w:p w14:paraId="3DDE1153" w14:textId="233840AA"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CA11A6" w:rsidRPr="007D4CB3" w14:paraId="5028DA0B" w14:textId="77777777" w:rsidTr="6493A743">
        <w:trPr>
          <w:cantSplit/>
          <w:trHeight w:val="285"/>
        </w:trPr>
        <w:tc>
          <w:tcPr>
            <w:tcW w:w="1862" w:type="dxa"/>
            <w:tcBorders>
              <w:top w:val="single" w:sz="6" w:space="0" w:color="auto"/>
              <w:left w:val="nil"/>
              <w:bottom w:val="single" w:sz="6" w:space="0" w:color="auto"/>
              <w:right w:val="nil"/>
            </w:tcBorders>
            <w:shd w:val="clear" w:color="auto" w:fill="auto"/>
            <w:hideMark/>
          </w:tcPr>
          <w:p w14:paraId="687A0772" w14:textId="3FD9A7C4"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i/>
                <w:iCs/>
              </w:rPr>
            </w:pPr>
            <w:r w:rsidRPr="007D4CB3">
              <w:rPr>
                <w:rFonts w:ascii="Times New Roman" w:eastAsia="Times New Roman" w:hAnsi="Times New Roman" w:cs="Times New Roman"/>
              </w:rPr>
              <w:t>R. Jeffrey Goldsmith, MD, DLFAPA, DFASAM</w:t>
            </w:r>
          </w:p>
        </w:tc>
        <w:tc>
          <w:tcPr>
            <w:tcW w:w="1775" w:type="dxa"/>
            <w:tcBorders>
              <w:top w:val="single" w:sz="6" w:space="0" w:color="auto"/>
              <w:left w:val="nil"/>
              <w:bottom w:val="single" w:sz="6" w:space="0" w:color="auto"/>
              <w:right w:val="nil"/>
            </w:tcBorders>
            <w:shd w:val="clear" w:color="auto" w:fill="auto"/>
            <w:hideMark/>
          </w:tcPr>
          <w:p w14:paraId="2C7C82A6" w14:textId="3B516FD8" w:rsidR="00CA11A6" w:rsidRPr="007D4CB3" w:rsidRDefault="00CA11A6" w:rsidP="00FC7CE6">
            <w:pPr>
              <w:spacing w:before="0" w:after="0" w:line="240" w:lineRule="auto"/>
              <w:ind w:left="150" w:hanging="150"/>
              <w:rPr>
                <w:rFonts w:ascii="Times New Roman" w:hAnsi="Times New Roman" w:cs="Times New Roman"/>
              </w:rPr>
            </w:pPr>
            <w:r w:rsidRPr="007D4CB3">
              <w:rPr>
                <w:rFonts w:ascii="Times New Roman" w:eastAsia="Times New Roman" w:hAnsi="Times New Roman" w:cs="Times New Roman"/>
              </w:rPr>
              <w:t>None</w:t>
            </w:r>
          </w:p>
        </w:tc>
        <w:tc>
          <w:tcPr>
            <w:tcW w:w="1683" w:type="dxa"/>
            <w:tcBorders>
              <w:top w:val="single" w:sz="6" w:space="0" w:color="auto"/>
              <w:left w:val="nil"/>
              <w:bottom w:val="single" w:sz="6" w:space="0" w:color="auto"/>
              <w:right w:val="nil"/>
            </w:tcBorders>
            <w:shd w:val="clear" w:color="auto" w:fill="auto"/>
            <w:hideMark/>
          </w:tcPr>
          <w:p w14:paraId="3FACD2CD" w14:textId="19B5FE41"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30" w:type="dxa"/>
            <w:tcBorders>
              <w:top w:val="single" w:sz="6" w:space="0" w:color="auto"/>
              <w:left w:val="nil"/>
              <w:bottom w:val="single" w:sz="6" w:space="0" w:color="auto"/>
              <w:right w:val="nil"/>
            </w:tcBorders>
            <w:shd w:val="clear" w:color="auto" w:fill="auto"/>
            <w:hideMark/>
          </w:tcPr>
          <w:p w14:paraId="641FDAA9" w14:textId="6024ED22"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208" w:type="dxa"/>
            <w:tcBorders>
              <w:top w:val="single" w:sz="6" w:space="0" w:color="auto"/>
              <w:left w:val="nil"/>
              <w:bottom w:val="single" w:sz="6" w:space="0" w:color="auto"/>
              <w:right w:val="nil"/>
            </w:tcBorders>
            <w:shd w:val="clear" w:color="auto" w:fill="auto"/>
            <w:hideMark/>
          </w:tcPr>
          <w:p w14:paraId="35147D95" w14:textId="20DD9436"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Merck and Co (Stockholder)*; Pfizer Inc (Stockholder)*; Amgen Inc (Stockholder)*; Gilead Sciences Inc (Stockholder)*</w:t>
            </w:r>
          </w:p>
        </w:tc>
        <w:tc>
          <w:tcPr>
            <w:tcW w:w="2561" w:type="dxa"/>
            <w:tcBorders>
              <w:top w:val="single" w:sz="6" w:space="0" w:color="auto"/>
              <w:left w:val="nil"/>
              <w:bottom w:val="single" w:sz="6" w:space="0" w:color="auto"/>
              <w:right w:val="nil"/>
            </w:tcBorders>
            <w:shd w:val="clear" w:color="auto" w:fill="auto"/>
            <w:hideMark/>
          </w:tcPr>
          <w:p w14:paraId="6E227E17" w14:textId="2D0B0655"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541" w:type="dxa"/>
            <w:tcBorders>
              <w:top w:val="single" w:sz="6" w:space="0" w:color="auto"/>
              <w:left w:val="nil"/>
              <w:bottom w:val="single" w:sz="6" w:space="0" w:color="auto"/>
              <w:right w:val="nil"/>
            </w:tcBorders>
            <w:shd w:val="clear" w:color="auto" w:fill="auto"/>
            <w:hideMark/>
          </w:tcPr>
          <w:p w14:paraId="3C4C24B4" w14:textId="5776160F"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CA11A6" w:rsidRPr="007D4CB3" w14:paraId="26D50C0F" w14:textId="77777777" w:rsidTr="6493A743">
        <w:trPr>
          <w:cantSplit/>
          <w:trHeight w:val="285"/>
        </w:trPr>
        <w:tc>
          <w:tcPr>
            <w:tcW w:w="1862" w:type="dxa"/>
            <w:tcBorders>
              <w:top w:val="single" w:sz="6" w:space="0" w:color="auto"/>
              <w:left w:val="nil"/>
              <w:bottom w:val="single" w:sz="6" w:space="0" w:color="auto"/>
              <w:right w:val="nil"/>
            </w:tcBorders>
            <w:shd w:val="clear" w:color="auto" w:fill="auto"/>
            <w:hideMark/>
          </w:tcPr>
          <w:p w14:paraId="4A41AADE" w14:textId="77777777"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lastRenderedPageBreak/>
              <w:t>Margaret A. E. Jarvis, MD, DFASAM</w:t>
            </w:r>
          </w:p>
        </w:tc>
        <w:tc>
          <w:tcPr>
            <w:tcW w:w="1775" w:type="dxa"/>
            <w:tcBorders>
              <w:top w:val="single" w:sz="6" w:space="0" w:color="auto"/>
              <w:left w:val="nil"/>
              <w:bottom w:val="single" w:sz="6" w:space="0" w:color="auto"/>
              <w:right w:val="nil"/>
            </w:tcBorders>
            <w:shd w:val="clear" w:color="auto" w:fill="auto"/>
            <w:hideMark/>
          </w:tcPr>
          <w:p w14:paraId="5444DC71" w14:textId="3E408907"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Geisinger (Chief</w:t>
            </w:r>
            <w:r w:rsidR="006E37ED" w:rsidRPr="007D4CB3">
              <w:rPr>
                <w:rFonts w:ascii="Times New Roman" w:eastAsia="Times New Roman" w:hAnsi="Times New Roman" w:cs="Times New Roman"/>
              </w:rPr>
              <w:t>, Addiction Medicine Division</w:t>
            </w:r>
            <w:r w:rsidRPr="007D4CB3">
              <w:rPr>
                <w:rFonts w:ascii="Times New Roman" w:eastAsia="Times New Roman" w:hAnsi="Times New Roman" w:cs="Times New Roman"/>
              </w:rPr>
              <w:t>)</w:t>
            </w:r>
          </w:p>
        </w:tc>
        <w:tc>
          <w:tcPr>
            <w:tcW w:w="1683" w:type="dxa"/>
            <w:tcBorders>
              <w:top w:val="single" w:sz="6" w:space="0" w:color="auto"/>
              <w:left w:val="nil"/>
              <w:bottom w:val="single" w:sz="6" w:space="0" w:color="auto"/>
              <w:right w:val="nil"/>
            </w:tcBorders>
            <w:shd w:val="clear" w:color="auto" w:fill="auto"/>
            <w:hideMark/>
          </w:tcPr>
          <w:p w14:paraId="70C9B410" w14:textId="77777777"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Expert Witness**</w:t>
            </w:r>
          </w:p>
        </w:tc>
        <w:tc>
          <w:tcPr>
            <w:tcW w:w="1330" w:type="dxa"/>
            <w:tcBorders>
              <w:top w:val="single" w:sz="6" w:space="0" w:color="auto"/>
              <w:left w:val="nil"/>
              <w:bottom w:val="single" w:sz="6" w:space="0" w:color="auto"/>
              <w:right w:val="nil"/>
            </w:tcBorders>
            <w:shd w:val="clear" w:color="auto" w:fill="auto"/>
            <w:hideMark/>
          </w:tcPr>
          <w:p w14:paraId="050DC1ED" w14:textId="4750B03E"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208" w:type="dxa"/>
            <w:tcBorders>
              <w:top w:val="single" w:sz="6" w:space="0" w:color="auto"/>
              <w:left w:val="nil"/>
              <w:bottom w:val="single" w:sz="6" w:space="0" w:color="auto"/>
              <w:right w:val="nil"/>
            </w:tcBorders>
            <w:shd w:val="clear" w:color="auto" w:fill="auto"/>
            <w:hideMark/>
          </w:tcPr>
          <w:p w14:paraId="7BD55B2A" w14:textId="0355ECD9"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61" w:type="dxa"/>
            <w:tcBorders>
              <w:top w:val="single" w:sz="6" w:space="0" w:color="auto"/>
              <w:left w:val="nil"/>
              <w:bottom w:val="single" w:sz="6" w:space="0" w:color="auto"/>
              <w:right w:val="nil"/>
            </w:tcBorders>
            <w:shd w:val="clear" w:color="auto" w:fill="auto"/>
            <w:hideMark/>
          </w:tcPr>
          <w:p w14:paraId="431751B2" w14:textId="77777777"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American Board of Preventive Medicine (Exam Committee Member)</w:t>
            </w:r>
          </w:p>
        </w:tc>
        <w:tc>
          <w:tcPr>
            <w:tcW w:w="1541" w:type="dxa"/>
            <w:tcBorders>
              <w:top w:val="single" w:sz="6" w:space="0" w:color="auto"/>
              <w:left w:val="nil"/>
              <w:bottom w:val="single" w:sz="6" w:space="0" w:color="auto"/>
              <w:right w:val="nil"/>
            </w:tcBorders>
            <w:shd w:val="clear" w:color="auto" w:fill="auto"/>
            <w:hideMark/>
          </w:tcPr>
          <w:p w14:paraId="70A5E1D1" w14:textId="4576AC16"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CA11A6" w:rsidRPr="007D4CB3" w14:paraId="0F84AC51" w14:textId="77777777" w:rsidTr="6493A743">
        <w:trPr>
          <w:cantSplit/>
          <w:trHeight w:val="285"/>
        </w:trPr>
        <w:tc>
          <w:tcPr>
            <w:tcW w:w="1862" w:type="dxa"/>
            <w:tcBorders>
              <w:top w:val="single" w:sz="6" w:space="0" w:color="auto"/>
              <w:left w:val="nil"/>
              <w:bottom w:val="single" w:sz="6" w:space="0" w:color="auto"/>
              <w:right w:val="nil"/>
            </w:tcBorders>
            <w:shd w:val="clear" w:color="auto" w:fill="auto"/>
            <w:hideMark/>
          </w:tcPr>
          <w:p w14:paraId="563C5C1C" w14:textId="725F470B"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Navdeep Kang, PsyD</w:t>
            </w:r>
            <w:r w:rsidR="51C6F86D" w:rsidRPr="007D4CB3">
              <w:rPr>
                <w:rFonts w:ascii="Times New Roman" w:eastAsia="Times New Roman" w:hAnsi="Times New Roman" w:cs="Times New Roman"/>
              </w:rPr>
              <w:t>, HSP</w:t>
            </w:r>
          </w:p>
        </w:tc>
        <w:tc>
          <w:tcPr>
            <w:tcW w:w="1775" w:type="dxa"/>
            <w:tcBorders>
              <w:top w:val="single" w:sz="6" w:space="0" w:color="auto"/>
              <w:left w:val="nil"/>
              <w:bottom w:val="single" w:sz="6" w:space="0" w:color="auto"/>
              <w:right w:val="nil"/>
            </w:tcBorders>
            <w:shd w:val="clear" w:color="auto" w:fill="auto"/>
            <w:hideMark/>
          </w:tcPr>
          <w:p w14:paraId="64A69502" w14:textId="77777777"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Acadia Healthcare (Chief Quality Officer)</w:t>
            </w:r>
          </w:p>
        </w:tc>
        <w:tc>
          <w:tcPr>
            <w:tcW w:w="1683" w:type="dxa"/>
            <w:tcBorders>
              <w:top w:val="single" w:sz="6" w:space="0" w:color="auto"/>
              <w:left w:val="nil"/>
              <w:bottom w:val="single" w:sz="6" w:space="0" w:color="auto"/>
              <w:right w:val="nil"/>
            </w:tcBorders>
            <w:shd w:val="clear" w:color="auto" w:fill="auto"/>
            <w:hideMark/>
          </w:tcPr>
          <w:p w14:paraId="65AF4AB6" w14:textId="77777777"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Everest Health (Advisor)</w:t>
            </w:r>
          </w:p>
        </w:tc>
        <w:tc>
          <w:tcPr>
            <w:tcW w:w="1330" w:type="dxa"/>
            <w:tcBorders>
              <w:top w:val="single" w:sz="6" w:space="0" w:color="auto"/>
              <w:left w:val="nil"/>
              <w:bottom w:val="single" w:sz="6" w:space="0" w:color="auto"/>
              <w:right w:val="nil"/>
            </w:tcBorders>
            <w:shd w:val="clear" w:color="auto" w:fill="auto"/>
            <w:hideMark/>
          </w:tcPr>
          <w:p w14:paraId="10D211EB" w14:textId="2850582A"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208" w:type="dxa"/>
            <w:tcBorders>
              <w:top w:val="single" w:sz="6" w:space="0" w:color="auto"/>
              <w:left w:val="nil"/>
              <w:bottom w:val="single" w:sz="6" w:space="0" w:color="auto"/>
              <w:right w:val="nil"/>
            </w:tcBorders>
            <w:shd w:val="clear" w:color="auto" w:fill="auto"/>
            <w:hideMark/>
          </w:tcPr>
          <w:p w14:paraId="66062A21" w14:textId="77777777"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 xml:space="preserve">Brightview Health/Shore Capital Partners (Equity </w:t>
            </w:r>
            <w:bookmarkStart w:id="8" w:name="_Int_w6gUEFI8"/>
            <w:r w:rsidRPr="007D4CB3">
              <w:rPr>
                <w:rFonts w:ascii="Times New Roman" w:eastAsia="Times New Roman" w:hAnsi="Times New Roman" w:cs="Times New Roman"/>
              </w:rPr>
              <w:t>Shareholder)*</w:t>
            </w:r>
            <w:bookmarkEnd w:id="8"/>
            <w:r w:rsidRPr="007D4CB3">
              <w:rPr>
                <w:rFonts w:ascii="Times New Roman" w:eastAsia="Times New Roman" w:hAnsi="Times New Roman" w:cs="Times New Roman"/>
              </w:rPr>
              <w:t>*</w:t>
            </w:r>
          </w:p>
        </w:tc>
        <w:tc>
          <w:tcPr>
            <w:tcW w:w="2561" w:type="dxa"/>
            <w:tcBorders>
              <w:top w:val="single" w:sz="6" w:space="0" w:color="auto"/>
              <w:left w:val="nil"/>
              <w:bottom w:val="single" w:sz="6" w:space="0" w:color="auto"/>
              <w:right w:val="nil"/>
            </w:tcBorders>
            <w:shd w:val="clear" w:color="auto" w:fill="auto"/>
            <w:hideMark/>
          </w:tcPr>
          <w:p w14:paraId="158B11F4" w14:textId="77777777"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Talbert House (Board Member)</w:t>
            </w:r>
          </w:p>
        </w:tc>
        <w:tc>
          <w:tcPr>
            <w:tcW w:w="1541" w:type="dxa"/>
            <w:tcBorders>
              <w:top w:val="single" w:sz="6" w:space="0" w:color="auto"/>
              <w:left w:val="nil"/>
              <w:bottom w:val="single" w:sz="6" w:space="0" w:color="auto"/>
              <w:right w:val="nil"/>
            </w:tcBorders>
            <w:shd w:val="clear" w:color="auto" w:fill="auto"/>
            <w:hideMark/>
          </w:tcPr>
          <w:p w14:paraId="133C6894" w14:textId="14B84A78"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CA11A6" w:rsidRPr="007D4CB3" w14:paraId="6F80D7F0" w14:textId="77777777" w:rsidTr="6493A743">
        <w:trPr>
          <w:cantSplit/>
          <w:trHeight w:val="285"/>
        </w:trPr>
        <w:tc>
          <w:tcPr>
            <w:tcW w:w="1862" w:type="dxa"/>
            <w:tcBorders>
              <w:top w:val="single" w:sz="6" w:space="0" w:color="auto"/>
              <w:left w:val="nil"/>
              <w:bottom w:val="single" w:sz="6" w:space="0" w:color="auto"/>
              <w:right w:val="nil"/>
            </w:tcBorders>
            <w:shd w:val="clear" w:color="auto" w:fill="auto"/>
            <w:hideMark/>
          </w:tcPr>
          <w:p w14:paraId="6FD35BE4" w14:textId="7BF01894"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Tiffany Y. Lu, MD, MS</w:t>
            </w:r>
            <w:r w:rsidR="62EAAC67" w:rsidRPr="007D4CB3">
              <w:rPr>
                <w:rFonts w:ascii="Times New Roman" w:eastAsia="Times New Roman" w:hAnsi="Times New Roman" w:cs="Times New Roman"/>
              </w:rPr>
              <w:t>, FASAM</w:t>
            </w:r>
          </w:p>
        </w:tc>
        <w:tc>
          <w:tcPr>
            <w:tcW w:w="1775" w:type="dxa"/>
            <w:tcBorders>
              <w:top w:val="single" w:sz="6" w:space="0" w:color="auto"/>
              <w:left w:val="nil"/>
              <w:bottom w:val="single" w:sz="6" w:space="0" w:color="auto"/>
              <w:right w:val="nil"/>
            </w:tcBorders>
            <w:shd w:val="clear" w:color="auto" w:fill="auto"/>
            <w:hideMark/>
          </w:tcPr>
          <w:p w14:paraId="1A792A13" w14:textId="77777777" w:rsidR="00CA11A6" w:rsidRPr="007D4CB3" w:rsidRDefault="00CA11A6" w:rsidP="00FC7CE6">
            <w:pPr>
              <w:spacing w:before="0" w:after="0" w:line="24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Montefiore Medical Center (Staff Physician); ModMed EHR System (Spouse/Medical Director)</w:t>
            </w:r>
          </w:p>
        </w:tc>
        <w:tc>
          <w:tcPr>
            <w:tcW w:w="1683" w:type="dxa"/>
            <w:tcBorders>
              <w:top w:val="single" w:sz="6" w:space="0" w:color="auto"/>
              <w:left w:val="nil"/>
              <w:bottom w:val="single" w:sz="6" w:space="0" w:color="auto"/>
              <w:right w:val="nil"/>
            </w:tcBorders>
            <w:shd w:val="clear" w:color="auto" w:fill="auto"/>
            <w:hideMark/>
          </w:tcPr>
          <w:p w14:paraId="354FD246" w14:textId="60817CAA"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30" w:type="dxa"/>
            <w:tcBorders>
              <w:top w:val="single" w:sz="6" w:space="0" w:color="auto"/>
              <w:left w:val="nil"/>
              <w:bottom w:val="single" w:sz="6" w:space="0" w:color="auto"/>
              <w:right w:val="nil"/>
            </w:tcBorders>
            <w:shd w:val="clear" w:color="auto" w:fill="auto"/>
            <w:hideMark/>
          </w:tcPr>
          <w:p w14:paraId="5242AA2F" w14:textId="1D8DBC01"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208" w:type="dxa"/>
            <w:tcBorders>
              <w:top w:val="single" w:sz="6" w:space="0" w:color="auto"/>
              <w:left w:val="nil"/>
              <w:bottom w:val="single" w:sz="6" w:space="0" w:color="auto"/>
              <w:right w:val="nil"/>
            </w:tcBorders>
            <w:shd w:val="clear" w:color="auto" w:fill="auto"/>
            <w:hideMark/>
          </w:tcPr>
          <w:p w14:paraId="6287B659" w14:textId="0B22C629"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61" w:type="dxa"/>
            <w:tcBorders>
              <w:top w:val="single" w:sz="6" w:space="0" w:color="auto"/>
              <w:left w:val="nil"/>
              <w:bottom w:val="single" w:sz="6" w:space="0" w:color="auto"/>
              <w:right w:val="nil"/>
            </w:tcBorders>
            <w:shd w:val="clear" w:color="auto" w:fill="auto"/>
            <w:hideMark/>
          </w:tcPr>
          <w:p w14:paraId="0B6B560B" w14:textId="1A22F8B5"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541" w:type="dxa"/>
            <w:tcBorders>
              <w:top w:val="single" w:sz="6" w:space="0" w:color="auto"/>
              <w:left w:val="nil"/>
              <w:bottom w:val="single" w:sz="6" w:space="0" w:color="auto"/>
              <w:right w:val="nil"/>
            </w:tcBorders>
            <w:shd w:val="clear" w:color="auto" w:fill="auto"/>
            <w:hideMark/>
          </w:tcPr>
          <w:p w14:paraId="2FD09214" w14:textId="5B4E4977"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CA11A6" w:rsidRPr="007D4CB3" w14:paraId="541E60AF" w14:textId="77777777" w:rsidTr="6493A743">
        <w:trPr>
          <w:cantSplit/>
          <w:trHeight w:val="285"/>
        </w:trPr>
        <w:tc>
          <w:tcPr>
            <w:tcW w:w="1862" w:type="dxa"/>
            <w:tcBorders>
              <w:top w:val="single" w:sz="6" w:space="0" w:color="auto"/>
              <w:left w:val="nil"/>
              <w:bottom w:val="single" w:sz="6" w:space="0" w:color="auto"/>
              <w:right w:val="nil"/>
            </w:tcBorders>
            <w:shd w:val="clear" w:color="auto" w:fill="auto"/>
            <w:hideMark/>
          </w:tcPr>
          <w:p w14:paraId="3CE907C0" w14:textId="77777777"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Tami Mark, PhD, MBA</w:t>
            </w:r>
          </w:p>
        </w:tc>
        <w:tc>
          <w:tcPr>
            <w:tcW w:w="1775" w:type="dxa"/>
            <w:tcBorders>
              <w:top w:val="single" w:sz="6" w:space="0" w:color="auto"/>
              <w:left w:val="nil"/>
              <w:bottom w:val="single" w:sz="6" w:space="0" w:color="auto"/>
              <w:right w:val="nil"/>
            </w:tcBorders>
            <w:shd w:val="clear" w:color="auto" w:fill="auto"/>
            <w:hideMark/>
          </w:tcPr>
          <w:p w14:paraId="52DB2A70" w14:textId="71A1FD72" w:rsidR="00CA11A6" w:rsidRPr="007D4CB3" w:rsidRDefault="002F455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RTI International</w:t>
            </w:r>
            <w:r w:rsidR="00F54733" w:rsidRPr="007D4CB3">
              <w:rPr>
                <w:rFonts w:ascii="Times New Roman" w:eastAsia="Times New Roman" w:hAnsi="Times New Roman" w:cs="Times New Roman"/>
              </w:rPr>
              <w:t xml:space="preserve"> (Distinguished Fellow and Director of Behavioral Health Financing and </w:t>
            </w:r>
            <w:r w:rsidR="003F4794" w:rsidRPr="007D4CB3">
              <w:rPr>
                <w:rFonts w:ascii="Times New Roman" w:eastAsia="Times New Roman" w:hAnsi="Times New Roman" w:cs="Times New Roman"/>
              </w:rPr>
              <w:t>Quality Measurement)</w:t>
            </w:r>
          </w:p>
        </w:tc>
        <w:tc>
          <w:tcPr>
            <w:tcW w:w="1683" w:type="dxa"/>
            <w:tcBorders>
              <w:top w:val="single" w:sz="6" w:space="0" w:color="auto"/>
              <w:left w:val="nil"/>
              <w:bottom w:val="single" w:sz="6" w:space="0" w:color="auto"/>
              <w:right w:val="nil"/>
            </w:tcBorders>
            <w:shd w:val="clear" w:color="auto" w:fill="auto"/>
            <w:hideMark/>
          </w:tcPr>
          <w:p w14:paraId="3CF7F4C9" w14:textId="7FDA0474"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30" w:type="dxa"/>
            <w:tcBorders>
              <w:top w:val="single" w:sz="6" w:space="0" w:color="auto"/>
              <w:left w:val="nil"/>
              <w:bottom w:val="single" w:sz="6" w:space="0" w:color="auto"/>
              <w:right w:val="nil"/>
            </w:tcBorders>
            <w:shd w:val="clear" w:color="auto" w:fill="auto"/>
            <w:hideMark/>
          </w:tcPr>
          <w:p w14:paraId="0F76A4A8" w14:textId="77777777"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208" w:type="dxa"/>
            <w:tcBorders>
              <w:top w:val="single" w:sz="6" w:space="0" w:color="auto"/>
              <w:left w:val="nil"/>
              <w:bottom w:val="single" w:sz="6" w:space="0" w:color="auto"/>
              <w:right w:val="nil"/>
            </w:tcBorders>
            <w:shd w:val="clear" w:color="auto" w:fill="auto"/>
            <w:hideMark/>
          </w:tcPr>
          <w:p w14:paraId="55976825" w14:textId="70432804"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61" w:type="dxa"/>
            <w:tcBorders>
              <w:top w:val="single" w:sz="6" w:space="0" w:color="auto"/>
              <w:left w:val="nil"/>
              <w:bottom w:val="single" w:sz="6" w:space="0" w:color="auto"/>
              <w:right w:val="nil"/>
            </w:tcBorders>
            <w:shd w:val="clear" w:color="auto" w:fill="auto"/>
            <w:hideMark/>
          </w:tcPr>
          <w:p w14:paraId="2C83263D" w14:textId="489B7627"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541" w:type="dxa"/>
            <w:tcBorders>
              <w:top w:val="single" w:sz="6" w:space="0" w:color="auto"/>
              <w:left w:val="nil"/>
              <w:bottom w:val="single" w:sz="6" w:space="0" w:color="auto"/>
              <w:right w:val="nil"/>
            </w:tcBorders>
            <w:shd w:val="clear" w:color="auto" w:fill="auto"/>
            <w:hideMark/>
          </w:tcPr>
          <w:p w14:paraId="3E5EC0FC" w14:textId="77777777"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CA11A6" w:rsidRPr="007D4CB3" w14:paraId="185186CB" w14:textId="77777777" w:rsidTr="6493A743">
        <w:trPr>
          <w:cantSplit/>
          <w:trHeight w:val="285"/>
        </w:trPr>
        <w:tc>
          <w:tcPr>
            <w:tcW w:w="1862" w:type="dxa"/>
            <w:tcBorders>
              <w:top w:val="single" w:sz="6" w:space="0" w:color="auto"/>
              <w:left w:val="nil"/>
              <w:bottom w:val="single" w:sz="6" w:space="0" w:color="auto"/>
              <w:right w:val="nil"/>
            </w:tcBorders>
            <w:shd w:val="clear" w:color="auto" w:fill="auto"/>
            <w:hideMark/>
          </w:tcPr>
          <w:p w14:paraId="2C6FEAF3" w14:textId="77777777"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lastRenderedPageBreak/>
              <w:t>Stephen Martin, MD, FASAM</w:t>
            </w:r>
          </w:p>
        </w:tc>
        <w:tc>
          <w:tcPr>
            <w:tcW w:w="1775" w:type="dxa"/>
            <w:tcBorders>
              <w:top w:val="single" w:sz="6" w:space="0" w:color="auto"/>
              <w:left w:val="nil"/>
              <w:bottom w:val="single" w:sz="6" w:space="0" w:color="auto"/>
              <w:right w:val="nil"/>
            </w:tcBorders>
            <w:shd w:val="clear" w:color="auto" w:fill="auto"/>
            <w:hideMark/>
          </w:tcPr>
          <w:p w14:paraId="5C9529CB" w14:textId="77777777"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Boulder Care (Medical Director); Williamstown Recovery Operator (Medical Director)</w:t>
            </w:r>
          </w:p>
        </w:tc>
        <w:tc>
          <w:tcPr>
            <w:tcW w:w="1683" w:type="dxa"/>
            <w:tcBorders>
              <w:top w:val="single" w:sz="6" w:space="0" w:color="auto"/>
              <w:left w:val="nil"/>
              <w:bottom w:val="single" w:sz="6" w:space="0" w:color="auto"/>
              <w:right w:val="nil"/>
            </w:tcBorders>
            <w:shd w:val="clear" w:color="auto" w:fill="auto"/>
            <w:hideMark/>
          </w:tcPr>
          <w:p w14:paraId="61712F74" w14:textId="77777777"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30" w:type="dxa"/>
            <w:tcBorders>
              <w:top w:val="single" w:sz="6" w:space="0" w:color="auto"/>
              <w:left w:val="nil"/>
              <w:bottom w:val="single" w:sz="6" w:space="0" w:color="auto"/>
              <w:right w:val="nil"/>
            </w:tcBorders>
            <w:shd w:val="clear" w:color="auto" w:fill="auto"/>
            <w:hideMark/>
          </w:tcPr>
          <w:p w14:paraId="4E3665C2" w14:textId="01A861EF"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208" w:type="dxa"/>
            <w:tcBorders>
              <w:top w:val="single" w:sz="6" w:space="0" w:color="auto"/>
              <w:left w:val="nil"/>
              <w:bottom w:val="single" w:sz="6" w:space="0" w:color="auto"/>
              <w:right w:val="nil"/>
            </w:tcBorders>
            <w:shd w:val="clear" w:color="auto" w:fill="auto"/>
            <w:hideMark/>
          </w:tcPr>
          <w:p w14:paraId="17EA9D8B" w14:textId="1D67A2DD"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61" w:type="dxa"/>
            <w:tcBorders>
              <w:top w:val="single" w:sz="6" w:space="0" w:color="auto"/>
              <w:left w:val="nil"/>
              <w:bottom w:val="single" w:sz="6" w:space="0" w:color="auto"/>
              <w:right w:val="nil"/>
            </w:tcBorders>
            <w:shd w:val="clear" w:color="auto" w:fill="auto"/>
            <w:hideMark/>
          </w:tcPr>
          <w:p w14:paraId="1EAA9DB6" w14:textId="7A84EA6D"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541" w:type="dxa"/>
            <w:tcBorders>
              <w:top w:val="single" w:sz="6" w:space="0" w:color="auto"/>
              <w:left w:val="nil"/>
              <w:bottom w:val="single" w:sz="6" w:space="0" w:color="auto"/>
              <w:right w:val="nil"/>
            </w:tcBorders>
            <w:shd w:val="clear" w:color="auto" w:fill="auto"/>
            <w:hideMark/>
          </w:tcPr>
          <w:p w14:paraId="12711C26" w14:textId="6F921063"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CA11A6" w:rsidRPr="007D4CB3" w14:paraId="73263702" w14:textId="77777777" w:rsidTr="6493A743">
        <w:trPr>
          <w:cantSplit/>
          <w:trHeight w:val="285"/>
        </w:trPr>
        <w:tc>
          <w:tcPr>
            <w:tcW w:w="1862" w:type="dxa"/>
            <w:tcBorders>
              <w:top w:val="single" w:sz="6" w:space="0" w:color="auto"/>
              <w:left w:val="nil"/>
              <w:bottom w:val="single" w:sz="6" w:space="0" w:color="auto"/>
              <w:right w:val="nil"/>
            </w:tcBorders>
            <w:shd w:val="clear" w:color="auto" w:fill="auto"/>
          </w:tcPr>
          <w:p w14:paraId="0AACDAF0" w14:textId="2724515E"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 xml:space="preserve">Melissa B. Weimer, DO, MCR, </w:t>
            </w:r>
            <w:r w:rsidR="623917EA" w:rsidRPr="007D4CB3">
              <w:rPr>
                <w:rFonts w:ascii="Times New Roman" w:eastAsia="Times New Roman" w:hAnsi="Times New Roman" w:cs="Times New Roman"/>
              </w:rPr>
              <w:t>D</w:t>
            </w:r>
            <w:r w:rsidRPr="007D4CB3">
              <w:rPr>
                <w:rFonts w:ascii="Times New Roman" w:eastAsia="Times New Roman" w:hAnsi="Times New Roman" w:cs="Times New Roman"/>
              </w:rPr>
              <w:t>FASAM</w:t>
            </w:r>
          </w:p>
        </w:tc>
        <w:tc>
          <w:tcPr>
            <w:tcW w:w="1775" w:type="dxa"/>
            <w:tcBorders>
              <w:top w:val="single" w:sz="6" w:space="0" w:color="auto"/>
              <w:left w:val="nil"/>
              <w:bottom w:val="single" w:sz="6" w:space="0" w:color="auto"/>
              <w:right w:val="nil"/>
            </w:tcBorders>
            <w:shd w:val="clear" w:color="auto" w:fill="auto"/>
          </w:tcPr>
          <w:p w14:paraId="2457DDB7" w14:textId="77777777"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Yale School of Medicine (Associate Professor, Medical Director, Associate Program Director)</w:t>
            </w:r>
          </w:p>
        </w:tc>
        <w:tc>
          <w:tcPr>
            <w:tcW w:w="1683" w:type="dxa"/>
            <w:tcBorders>
              <w:top w:val="single" w:sz="6" w:space="0" w:color="auto"/>
              <w:left w:val="nil"/>
              <w:bottom w:val="single" w:sz="6" w:space="0" w:color="auto"/>
              <w:right w:val="nil"/>
            </w:tcBorders>
            <w:shd w:val="clear" w:color="auto" w:fill="auto"/>
          </w:tcPr>
          <w:p w14:paraId="59E1759E" w14:textId="77777777"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CVS Health (Consulting)*; Expert Medical Consulting for Legal Matters**</w:t>
            </w:r>
          </w:p>
        </w:tc>
        <w:tc>
          <w:tcPr>
            <w:tcW w:w="1330" w:type="dxa"/>
            <w:tcBorders>
              <w:top w:val="single" w:sz="6" w:space="0" w:color="auto"/>
              <w:left w:val="nil"/>
              <w:bottom w:val="single" w:sz="6" w:space="0" w:color="auto"/>
              <w:right w:val="nil"/>
            </w:tcBorders>
            <w:shd w:val="clear" w:color="auto" w:fill="auto"/>
          </w:tcPr>
          <w:p w14:paraId="396A1AD2" w14:textId="5B08D2D7"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208" w:type="dxa"/>
            <w:tcBorders>
              <w:top w:val="single" w:sz="6" w:space="0" w:color="auto"/>
              <w:left w:val="nil"/>
              <w:bottom w:val="single" w:sz="6" w:space="0" w:color="auto"/>
              <w:right w:val="nil"/>
            </w:tcBorders>
            <w:shd w:val="clear" w:color="auto" w:fill="auto"/>
          </w:tcPr>
          <w:p w14:paraId="3693BDC3" w14:textId="6FEB60A3"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Path CCM, Inc (Stockholder)</w:t>
            </w:r>
          </w:p>
        </w:tc>
        <w:tc>
          <w:tcPr>
            <w:tcW w:w="2561" w:type="dxa"/>
            <w:tcBorders>
              <w:top w:val="single" w:sz="6" w:space="0" w:color="auto"/>
              <w:left w:val="nil"/>
              <w:bottom w:val="single" w:sz="6" w:space="0" w:color="auto"/>
              <w:right w:val="nil"/>
            </w:tcBorders>
            <w:shd w:val="clear" w:color="auto" w:fill="auto"/>
          </w:tcPr>
          <w:p w14:paraId="5CE3A2A7" w14:textId="26EC8430"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541" w:type="dxa"/>
            <w:tcBorders>
              <w:top w:val="single" w:sz="6" w:space="0" w:color="auto"/>
              <w:left w:val="nil"/>
              <w:bottom w:val="single" w:sz="6" w:space="0" w:color="auto"/>
              <w:right w:val="nil"/>
            </w:tcBorders>
            <w:shd w:val="clear" w:color="auto" w:fill="auto"/>
          </w:tcPr>
          <w:p w14:paraId="23E3BF14" w14:textId="6485C90E" w:rsidR="00CA11A6" w:rsidRPr="007D4CB3" w:rsidRDefault="00CA11A6"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bl>
    <w:p w14:paraId="1A9CA567" w14:textId="441D11F5" w:rsidR="00CA11A6" w:rsidRPr="007D4CB3" w:rsidRDefault="00CA11A6" w:rsidP="00FC7CE6">
      <w:pPr>
        <w:spacing w:before="0" w:after="0" w:line="240" w:lineRule="auto"/>
        <w:rPr>
          <w:rFonts w:ascii="Times New Roman" w:hAnsi="Times New Roman" w:cs="Times New Roman"/>
        </w:rPr>
      </w:pPr>
      <w:r w:rsidRPr="007D4CB3">
        <w:rPr>
          <w:rStyle w:val="normaltextrun"/>
          <w:rFonts w:ascii="Times New Roman" w:hAnsi="Times New Roman" w:cs="Times New Roman"/>
          <w:color w:val="000000"/>
          <w:shd w:val="clear" w:color="auto" w:fill="FFFFFF"/>
        </w:rPr>
        <w:t>The above table presents relationships of ASAM’s Quality Improvement Council during the past 12</w:t>
      </w:r>
      <w:r w:rsidR="008615B5" w:rsidRPr="007D4CB3">
        <w:rPr>
          <w:rStyle w:val="normaltextrun"/>
          <w:rFonts w:ascii="Times New Roman" w:hAnsi="Times New Roman" w:cs="Times New Roman"/>
          <w:color w:val="000000"/>
          <w:shd w:val="clear" w:color="auto" w:fill="FFFFFF"/>
        </w:rPr>
        <w:t> </w:t>
      </w:r>
      <w:r w:rsidRPr="007D4CB3">
        <w:rPr>
          <w:rStyle w:val="normaltextrun"/>
          <w:rFonts w:ascii="Times New Roman" w:hAnsi="Times New Roman" w:cs="Times New Roman"/>
          <w:color w:val="000000"/>
          <w:shd w:val="clear" w:color="auto" w:fill="FFFFFF"/>
        </w:rPr>
        <w:t xml:space="preserve">months with industry and other entities that were determined to be relevant to this document. These relationships are current as of the completion of this document and may not necessarily reflect relationships at the time of this document’s publication. A relationship or arrangement </w:t>
      </w:r>
      <w:proofErr w:type="gramStart"/>
      <w:r w:rsidRPr="007D4CB3">
        <w:rPr>
          <w:rStyle w:val="normaltextrun"/>
          <w:rFonts w:ascii="Times New Roman" w:hAnsi="Times New Roman" w:cs="Times New Roman"/>
          <w:color w:val="000000"/>
          <w:shd w:val="clear" w:color="auto" w:fill="FFFFFF"/>
        </w:rPr>
        <w:t>is considered to be</w:t>
      </w:r>
      <w:proofErr w:type="gramEnd"/>
      <w:r w:rsidRPr="007D4CB3">
        <w:rPr>
          <w:rStyle w:val="normaltextrun"/>
          <w:rFonts w:ascii="Times New Roman" w:hAnsi="Times New Roman" w:cs="Times New Roman"/>
          <w:color w:val="000000"/>
          <w:shd w:val="clear" w:color="auto" w:fill="FFFFFF"/>
        </w:rPr>
        <w:t xml:space="preserve"> </w:t>
      </w:r>
      <w:r w:rsidRPr="007D4CB3">
        <w:rPr>
          <w:rStyle w:val="normaltextrun"/>
          <w:rFonts w:ascii="Times New Roman" w:hAnsi="Times New Roman" w:cs="Times New Roman"/>
          <w:i/>
          <w:iCs/>
          <w:color w:val="000000"/>
          <w:shd w:val="clear" w:color="auto" w:fill="FFFFFF"/>
        </w:rPr>
        <w:t>significant</w:t>
      </w:r>
      <w:r w:rsidRPr="007D4CB3">
        <w:rPr>
          <w:rStyle w:val="normaltextrun"/>
          <w:rFonts w:ascii="Times New Roman" w:hAnsi="Times New Roman" w:cs="Times New Roman"/>
          <w:color w:val="000000"/>
          <w:shd w:val="clear" w:color="auto" w:fill="FFFFFF"/>
        </w:rPr>
        <w:t xml:space="preserve"> if the individual receives compensation which includes cash, shares, and/or anything else of value including direct ownership of shares, stock, stock options or other interest of 5% more of an entity or valued at $10</w:t>
      </w:r>
      <w:r w:rsidR="008615B5" w:rsidRPr="007D4CB3">
        <w:rPr>
          <w:rStyle w:val="normaltextrun"/>
          <w:rFonts w:ascii="Times New Roman" w:hAnsi="Times New Roman" w:cs="Times New Roman"/>
          <w:color w:val="000000"/>
          <w:spacing w:val="-6"/>
          <w:shd w:val="clear" w:color="auto" w:fill="FFFFFF"/>
        </w:rPr>
        <w:t xml:space="preserve"> </w:t>
      </w:r>
      <w:r w:rsidRPr="007D4CB3">
        <w:rPr>
          <w:rStyle w:val="normaltextrun"/>
          <w:rFonts w:ascii="Times New Roman" w:hAnsi="Times New Roman" w:cs="Times New Roman"/>
          <w:color w:val="000000"/>
          <w:shd w:val="clear" w:color="auto" w:fill="FFFFFF"/>
        </w:rPr>
        <w:t xml:space="preserve">000 or more (excluding mutual funds), whichever is greater. A relationship or arrangement </w:t>
      </w:r>
      <w:proofErr w:type="gramStart"/>
      <w:r w:rsidRPr="007D4CB3">
        <w:rPr>
          <w:rStyle w:val="normaltextrun"/>
          <w:rFonts w:ascii="Times New Roman" w:hAnsi="Times New Roman" w:cs="Times New Roman"/>
          <w:color w:val="000000"/>
          <w:shd w:val="clear" w:color="auto" w:fill="FFFFFF"/>
        </w:rPr>
        <w:t>is considered to be</w:t>
      </w:r>
      <w:proofErr w:type="gramEnd"/>
      <w:r w:rsidRPr="007D4CB3">
        <w:rPr>
          <w:rStyle w:val="normaltextrun"/>
          <w:rFonts w:ascii="Times New Roman" w:hAnsi="Times New Roman" w:cs="Times New Roman"/>
          <w:color w:val="000000"/>
          <w:shd w:val="clear" w:color="auto" w:fill="FFFFFF"/>
        </w:rPr>
        <w:t xml:space="preserve"> </w:t>
      </w:r>
      <w:r w:rsidRPr="007D4CB3">
        <w:rPr>
          <w:rStyle w:val="normaltextrun"/>
          <w:rFonts w:ascii="Times New Roman" w:hAnsi="Times New Roman" w:cs="Times New Roman"/>
          <w:i/>
          <w:iCs/>
          <w:color w:val="000000"/>
          <w:shd w:val="clear" w:color="auto" w:fill="FFFFFF"/>
        </w:rPr>
        <w:t>modest</w:t>
      </w:r>
      <w:r w:rsidRPr="007D4CB3">
        <w:rPr>
          <w:rStyle w:val="normaltextrun"/>
          <w:rFonts w:ascii="Times New Roman" w:hAnsi="Times New Roman" w:cs="Times New Roman"/>
          <w:color w:val="000000"/>
          <w:shd w:val="clear" w:color="auto" w:fill="FFFFFF"/>
        </w:rPr>
        <w:t xml:space="preserve"> if it is less than significant under the preceding definition. A relationship or arrangement </w:t>
      </w:r>
      <w:proofErr w:type="gramStart"/>
      <w:r w:rsidRPr="007D4CB3">
        <w:rPr>
          <w:rStyle w:val="normaltextrun"/>
          <w:rFonts w:ascii="Times New Roman" w:hAnsi="Times New Roman" w:cs="Times New Roman"/>
          <w:color w:val="000000"/>
          <w:shd w:val="clear" w:color="auto" w:fill="FFFFFF"/>
        </w:rPr>
        <w:t>is considered to be</w:t>
      </w:r>
      <w:proofErr w:type="gramEnd"/>
      <w:r w:rsidRPr="007D4CB3">
        <w:rPr>
          <w:rStyle w:val="normaltextrun"/>
          <w:rFonts w:ascii="Times New Roman" w:hAnsi="Times New Roman" w:cs="Times New Roman"/>
          <w:color w:val="000000"/>
          <w:shd w:val="clear" w:color="auto" w:fill="FFFFFF"/>
        </w:rPr>
        <w:t xml:space="preserve"> </w:t>
      </w:r>
      <w:r w:rsidRPr="007D4CB3">
        <w:rPr>
          <w:rStyle w:val="normaltextrun"/>
          <w:rFonts w:ascii="Times New Roman" w:hAnsi="Times New Roman" w:cs="Times New Roman"/>
          <w:i/>
          <w:iCs/>
          <w:color w:val="000000"/>
          <w:shd w:val="clear" w:color="auto" w:fill="FFFFFF"/>
        </w:rPr>
        <w:t>unpaid</w:t>
      </w:r>
      <w:r w:rsidRPr="007D4CB3">
        <w:rPr>
          <w:rStyle w:val="normaltextrun"/>
          <w:rFonts w:ascii="Times New Roman" w:hAnsi="Times New Roman" w:cs="Times New Roman"/>
          <w:color w:val="000000"/>
          <w:shd w:val="clear" w:color="auto" w:fill="FFFFFF"/>
        </w:rPr>
        <w:t xml:space="preserve"> if the individual does not receive monetary reimbursement. **Indicates </w:t>
      </w:r>
      <w:proofErr w:type="gramStart"/>
      <w:r w:rsidRPr="007D4CB3">
        <w:rPr>
          <w:rStyle w:val="normaltextrun"/>
          <w:rFonts w:ascii="Times New Roman" w:hAnsi="Times New Roman" w:cs="Times New Roman"/>
          <w:color w:val="000000"/>
          <w:shd w:val="clear" w:color="auto" w:fill="FFFFFF"/>
        </w:rPr>
        <w:t>significant relationship</w:t>
      </w:r>
      <w:proofErr w:type="gramEnd"/>
      <w:r w:rsidRPr="007D4CB3">
        <w:rPr>
          <w:rStyle w:val="normaltextrun"/>
          <w:rFonts w:ascii="Times New Roman" w:hAnsi="Times New Roman" w:cs="Times New Roman"/>
          <w:color w:val="000000"/>
          <w:shd w:val="clear" w:color="auto" w:fill="FFFFFF"/>
        </w:rPr>
        <w:t>. *Indicates modest relationship.</w:t>
      </w:r>
      <w:r w:rsidRPr="007D4CB3">
        <w:rPr>
          <w:rFonts w:ascii="Times New Roman" w:hAnsi="Times New Roman" w:cs="Times New Roman"/>
        </w:rPr>
        <w:br w:type="page"/>
      </w:r>
    </w:p>
    <w:p w14:paraId="3BD50C1B" w14:textId="3B1E864C" w:rsidR="005D3271" w:rsidRPr="007D4CB3" w:rsidRDefault="00CA11A6" w:rsidP="00FC7CE6">
      <w:pPr>
        <w:pStyle w:val="Heading2"/>
        <w:spacing w:before="0" w:after="0" w:line="240" w:lineRule="auto"/>
        <w:rPr>
          <w:rFonts w:ascii="Times New Roman" w:hAnsi="Times New Roman" w:cs="Times New Roman"/>
          <w:sz w:val="24"/>
        </w:rPr>
      </w:pPr>
      <w:bookmarkStart w:id="9" w:name="_Toc144381380"/>
      <w:r w:rsidRPr="007D4CB3">
        <w:rPr>
          <w:rFonts w:ascii="Times New Roman" w:hAnsi="Times New Roman" w:cs="Times New Roman"/>
          <w:sz w:val="24"/>
        </w:rPr>
        <w:lastRenderedPageBreak/>
        <w:t>ASAM Board Members</w:t>
      </w:r>
      <w:bookmarkEnd w:id="9"/>
    </w:p>
    <w:tbl>
      <w:tblPr>
        <w:tblW w:w="12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7"/>
        <w:gridCol w:w="2177"/>
        <w:gridCol w:w="1664"/>
        <w:gridCol w:w="1279"/>
        <w:gridCol w:w="2001"/>
        <w:gridCol w:w="2438"/>
        <w:gridCol w:w="1474"/>
      </w:tblGrid>
      <w:tr w:rsidR="007B33AE" w:rsidRPr="007D4CB3" w14:paraId="23CF3DE2" w14:textId="77777777" w:rsidTr="6493A743">
        <w:trPr>
          <w:cantSplit/>
          <w:trHeight w:val="285"/>
          <w:tblHeader/>
        </w:trPr>
        <w:tc>
          <w:tcPr>
            <w:tcW w:w="2028" w:type="dxa"/>
            <w:tcBorders>
              <w:top w:val="single" w:sz="12" w:space="0" w:color="auto"/>
              <w:left w:val="nil"/>
              <w:bottom w:val="single" w:sz="12" w:space="0" w:color="auto"/>
              <w:right w:val="nil"/>
            </w:tcBorders>
            <w:shd w:val="clear" w:color="auto" w:fill="auto"/>
            <w:hideMark/>
          </w:tcPr>
          <w:p w14:paraId="1955BF1F" w14:textId="74FFF365" w:rsidR="007B33AE" w:rsidRPr="007D4CB3" w:rsidRDefault="007B33AE" w:rsidP="00FC7CE6">
            <w:pPr>
              <w:spacing w:before="0" w:after="0" w:line="240" w:lineRule="auto"/>
              <w:textAlignment w:val="baseline"/>
              <w:rPr>
                <w:rFonts w:ascii="Times New Roman" w:eastAsia="Times New Roman" w:hAnsi="Times New Roman" w:cs="Times New Roman"/>
                <w:b/>
                <w:bCs/>
                <w:color w:val="231F20"/>
              </w:rPr>
            </w:pPr>
            <w:r w:rsidRPr="007D4CB3">
              <w:rPr>
                <w:rFonts w:ascii="Times New Roman" w:eastAsia="Times New Roman" w:hAnsi="Times New Roman" w:cs="Times New Roman"/>
                <w:b/>
                <w:bCs/>
                <w:color w:val="231F20"/>
              </w:rPr>
              <w:t>ASAM Board Member</w:t>
            </w:r>
          </w:p>
        </w:tc>
        <w:tc>
          <w:tcPr>
            <w:tcW w:w="1946" w:type="dxa"/>
            <w:tcBorders>
              <w:top w:val="single" w:sz="12" w:space="0" w:color="auto"/>
              <w:left w:val="nil"/>
              <w:bottom w:val="single" w:sz="12" w:space="0" w:color="auto"/>
              <w:right w:val="nil"/>
            </w:tcBorders>
            <w:shd w:val="clear" w:color="auto" w:fill="auto"/>
            <w:hideMark/>
          </w:tcPr>
          <w:p w14:paraId="0991BBF7" w14:textId="35999A81" w:rsidR="007B33AE" w:rsidRPr="007D4CB3" w:rsidRDefault="007B33AE" w:rsidP="00FC7CE6">
            <w:pPr>
              <w:spacing w:before="0" w:after="0" w:line="240" w:lineRule="auto"/>
              <w:textAlignment w:val="baseline"/>
              <w:rPr>
                <w:rFonts w:ascii="Times New Roman" w:eastAsia="Times New Roman" w:hAnsi="Times New Roman" w:cs="Times New Roman"/>
                <w:b/>
                <w:bCs/>
                <w:color w:val="231F20"/>
              </w:rPr>
            </w:pPr>
            <w:r w:rsidRPr="007D4CB3">
              <w:rPr>
                <w:rFonts w:ascii="Times New Roman" w:eastAsia="Times New Roman" w:hAnsi="Times New Roman" w:cs="Times New Roman"/>
                <w:b/>
                <w:bCs/>
                <w:color w:val="231F20"/>
              </w:rPr>
              <w:t>Salary</w:t>
            </w:r>
          </w:p>
        </w:tc>
        <w:tc>
          <w:tcPr>
            <w:tcW w:w="1529" w:type="dxa"/>
            <w:tcBorders>
              <w:top w:val="single" w:sz="12" w:space="0" w:color="auto"/>
              <w:left w:val="nil"/>
              <w:bottom w:val="single" w:sz="12" w:space="0" w:color="auto"/>
              <w:right w:val="nil"/>
            </w:tcBorders>
            <w:shd w:val="clear" w:color="auto" w:fill="auto"/>
            <w:hideMark/>
          </w:tcPr>
          <w:p w14:paraId="36E4B2F2" w14:textId="2632BB5A" w:rsidR="007B33AE" w:rsidRPr="007D4CB3" w:rsidRDefault="007B33AE" w:rsidP="00FC7CE6">
            <w:pPr>
              <w:spacing w:before="0" w:after="0" w:line="240" w:lineRule="auto"/>
              <w:textAlignment w:val="baseline"/>
              <w:rPr>
                <w:rFonts w:ascii="Times New Roman" w:eastAsia="Times New Roman" w:hAnsi="Times New Roman" w:cs="Times New Roman"/>
                <w:b/>
                <w:bCs/>
                <w:color w:val="231F20"/>
              </w:rPr>
            </w:pPr>
            <w:r w:rsidRPr="007D4CB3">
              <w:rPr>
                <w:rFonts w:ascii="Times New Roman" w:eastAsia="Times New Roman" w:hAnsi="Times New Roman" w:cs="Times New Roman"/>
                <w:b/>
                <w:bCs/>
                <w:color w:val="231F20"/>
              </w:rPr>
              <w:t>Consulting</w:t>
            </w:r>
          </w:p>
        </w:tc>
        <w:tc>
          <w:tcPr>
            <w:tcW w:w="1320" w:type="dxa"/>
            <w:tcBorders>
              <w:top w:val="single" w:sz="12" w:space="0" w:color="auto"/>
              <w:left w:val="nil"/>
              <w:bottom w:val="single" w:sz="12" w:space="0" w:color="auto"/>
              <w:right w:val="nil"/>
            </w:tcBorders>
            <w:shd w:val="clear" w:color="auto" w:fill="auto"/>
            <w:hideMark/>
          </w:tcPr>
          <w:p w14:paraId="7EB1BAF0" w14:textId="1C06E539" w:rsidR="007B33AE" w:rsidRPr="007D4CB3" w:rsidRDefault="007B33AE" w:rsidP="00FC7CE6">
            <w:pPr>
              <w:spacing w:before="0" w:after="0" w:line="240" w:lineRule="auto"/>
              <w:textAlignment w:val="baseline"/>
              <w:rPr>
                <w:rFonts w:ascii="Times New Roman" w:eastAsia="Times New Roman" w:hAnsi="Times New Roman" w:cs="Times New Roman"/>
                <w:b/>
                <w:bCs/>
                <w:color w:val="231F20"/>
              </w:rPr>
            </w:pPr>
            <w:r w:rsidRPr="007D4CB3">
              <w:rPr>
                <w:rFonts w:ascii="Times New Roman" w:eastAsia="Times New Roman" w:hAnsi="Times New Roman" w:cs="Times New Roman"/>
                <w:b/>
                <w:bCs/>
                <w:color w:val="231F20"/>
              </w:rPr>
              <w:t>Research</w:t>
            </w:r>
          </w:p>
        </w:tc>
        <w:tc>
          <w:tcPr>
            <w:tcW w:w="2038" w:type="dxa"/>
            <w:tcBorders>
              <w:top w:val="single" w:sz="12" w:space="0" w:color="auto"/>
              <w:left w:val="nil"/>
              <w:bottom w:val="single" w:sz="12" w:space="0" w:color="auto"/>
              <w:right w:val="nil"/>
            </w:tcBorders>
            <w:shd w:val="clear" w:color="auto" w:fill="auto"/>
            <w:hideMark/>
          </w:tcPr>
          <w:p w14:paraId="035D7EE7" w14:textId="23B15D35" w:rsidR="007B33AE" w:rsidRPr="007D4CB3" w:rsidRDefault="007B33AE" w:rsidP="00FC7CE6">
            <w:pPr>
              <w:spacing w:before="0" w:after="0" w:line="240" w:lineRule="auto"/>
              <w:textAlignment w:val="baseline"/>
              <w:rPr>
                <w:rFonts w:ascii="Times New Roman" w:eastAsia="Times New Roman" w:hAnsi="Times New Roman" w:cs="Times New Roman"/>
                <w:b/>
                <w:bCs/>
                <w:color w:val="231F20"/>
              </w:rPr>
            </w:pPr>
            <w:r w:rsidRPr="007D4CB3">
              <w:rPr>
                <w:rFonts w:ascii="Times New Roman" w:eastAsia="Times New Roman" w:hAnsi="Times New Roman" w:cs="Times New Roman"/>
                <w:b/>
                <w:bCs/>
                <w:color w:val="231F20"/>
              </w:rPr>
              <w:t>Investments and Proprietary Interests</w:t>
            </w:r>
          </w:p>
        </w:tc>
        <w:tc>
          <w:tcPr>
            <w:tcW w:w="2558" w:type="dxa"/>
            <w:tcBorders>
              <w:top w:val="single" w:sz="12" w:space="0" w:color="auto"/>
              <w:left w:val="nil"/>
              <w:bottom w:val="single" w:sz="12" w:space="0" w:color="auto"/>
              <w:right w:val="nil"/>
            </w:tcBorders>
            <w:shd w:val="clear" w:color="auto" w:fill="auto"/>
            <w:hideMark/>
          </w:tcPr>
          <w:p w14:paraId="34DA252E" w14:textId="5F0AEB3E" w:rsidR="007B33AE" w:rsidRPr="007D4CB3" w:rsidRDefault="007B33AE" w:rsidP="00FC7CE6">
            <w:pPr>
              <w:spacing w:before="0" w:after="0" w:line="240" w:lineRule="auto"/>
              <w:textAlignment w:val="baseline"/>
              <w:rPr>
                <w:rFonts w:ascii="Times New Roman" w:eastAsia="Times New Roman" w:hAnsi="Times New Roman" w:cs="Times New Roman"/>
                <w:b/>
                <w:bCs/>
                <w:color w:val="231F20"/>
              </w:rPr>
            </w:pPr>
            <w:r w:rsidRPr="007D4CB3">
              <w:rPr>
                <w:rFonts w:ascii="Times New Roman" w:eastAsia="Times New Roman" w:hAnsi="Times New Roman" w:cs="Times New Roman"/>
                <w:b/>
                <w:bCs/>
                <w:color w:val="231F20"/>
              </w:rPr>
              <w:t>Healthcare-Related Organizations</w:t>
            </w:r>
          </w:p>
        </w:tc>
        <w:tc>
          <w:tcPr>
            <w:tcW w:w="1541" w:type="dxa"/>
            <w:tcBorders>
              <w:top w:val="single" w:sz="12" w:space="0" w:color="auto"/>
              <w:left w:val="nil"/>
              <w:bottom w:val="single" w:sz="12" w:space="0" w:color="auto"/>
              <w:right w:val="nil"/>
            </w:tcBorders>
            <w:shd w:val="clear" w:color="auto" w:fill="auto"/>
            <w:hideMark/>
          </w:tcPr>
          <w:p w14:paraId="084D980F" w14:textId="3CFB7F14" w:rsidR="007B33AE" w:rsidRPr="007D4CB3" w:rsidRDefault="007B33AE" w:rsidP="00FC7CE6">
            <w:pPr>
              <w:spacing w:before="0" w:after="0" w:line="240" w:lineRule="auto"/>
              <w:textAlignment w:val="baseline"/>
              <w:rPr>
                <w:rFonts w:ascii="Times New Roman" w:eastAsia="Times New Roman" w:hAnsi="Times New Roman" w:cs="Times New Roman"/>
                <w:b/>
                <w:bCs/>
                <w:color w:val="231F20"/>
              </w:rPr>
            </w:pPr>
            <w:r w:rsidRPr="007D4CB3">
              <w:rPr>
                <w:rFonts w:ascii="Times New Roman" w:eastAsia="Times New Roman" w:hAnsi="Times New Roman" w:cs="Times New Roman"/>
                <w:b/>
                <w:bCs/>
                <w:color w:val="231F20"/>
              </w:rPr>
              <w:t>Advocacy/</w:t>
            </w:r>
            <w:r w:rsidR="00B42E48" w:rsidRPr="007D4CB3">
              <w:rPr>
                <w:rFonts w:ascii="Times New Roman" w:eastAsia="Times New Roman" w:hAnsi="Times New Roman" w:cs="Times New Roman"/>
                <w:b/>
                <w:bCs/>
                <w:color w:val="231F20"/>
              </w:rPr>
              <w:br/>
            </w:r>
            <w:r w:rsidRPr="007D4CB3">
              <w:rPr>
                <w:rFonts w:ascii="Times New Roman" w:eastAsia="Times New Roman" w:hAnsi="Times New Roman" w:cs="Times New Roman"/>
                <w:b/>
                <w:bCs/>
                <w:color w:val="231F20"/>
              </w:rPr>
              <w:t>Lobbying</w:t>
            </w:r>
          </w:p>
        </w:tc>
      </w:tr>
      <w:tr w:rsidR="007B33AE" w:rsidRPr="007D4CB3" w14:paraId="72C0D653" w14:textId="77777777" w:rsidTr="6493A743">
        <w:trPr>
          <w:cantSplit/>
          <w:trHeight w:val="285"/>
        </w:trPr>
        <w:tc>
          <w:tcPr>
            <w:tcW w:w="2028" w:type="dxa"/>
            <w:tcBorders>
              <w:top w:val="nil"/>
              <w:left w:val="nil"/>
              <w:bottom w:val="single" w:sz="6" w:space="0" w:color="auto"/>
              <w:right w:val="nil"/>
            </w:tcBorders>
            <w:shd w:val="clear" w:color="auto" w:fill="auto"/>
            <w:hideMark/>
          </w:tcPr>
          <w:p w14:paraId="6085D70C"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Brian Hurley, MD, MBA, FAPA, DFASAM</w:t>
            </w:r>
          </w:p>
        </w:tc>
        <w:tc>
          <w:tcPr>
            <w:tcW w:w="1946" w:type="dxa"/>
            <w:tcBorders>
              <w:top w:val="nil"/>
              <w:left w:val="nil"/>
              <w:bottom w:val="single" w:sz="6" w:space="0" w:color="auto"/>
              <w:right w:val="nil"/>
            </w:tcBorders>
            <w:shd w:val="clear" w:color="auto" w:fill="auto"/>
            <w:hideMark/>
          </w:tcPr>
          <w:p w14:paraId="0997E04C" w14:textId="77777777" w:rsidR="007B33AE" w:rsidRPr="007D4CB3" w:rsidRDefault="007B33AE" w:rsidP="00FC7CE6">
            <w:pPr>
              <w:spacing w:before="0" w:after="0" w:line="240" w:lineRule="auto"/>
              <w:ind w:left="150" w:hanging="150"/>
              <w:rPr>
                <w:rFonts w:ascii="Times New Roman" w:eastAsia="Times New Roman" w:hAnsi="Times New Roman" w:cs="Times New Roman"/>
              </w:rPr>
            </w:pPr>
            <w:r w:rsidRPr="007D4CB3">
              <w:rPr>
                <w:rFonts w:ascii="Times New Roman" w:eastAsia="Times New Roman" w:hAnsi="Times New Roman" w:cs="Times New Roman"/>
              </w:rPr>
              <w:t>County of Los Angeles (Medical Director); Friends Research Institute (Senior Research Scientist); Cedar Sinai Health System (Contracted Psychiatrist); Private Practice</w:t>
            </w:r>
          </w:p>
        </w:tc>
        <w:tc>
          <w:tcPr>
            <w:tcW w:w="1529" w:type="dxa"/>
            <w:tcBorders>
              <w:top w:val="nil"/>
              <w:left w:val="nil"/>
              <w:bottom w:val="single" w:sz="6" w:space="0" w:color="auto"/>
              <w:right w:val="nil"/>
            </w:tcBorders>
            <w:shd w:val="clear" w:color="auto" w:fill="auto"/>
            <w:hideMark/>
          </w:tcPr>
          <w:p w14:paraId="22847D88" w14:textId="77777777" w:rsidR="007B33AE" w:rsidRPr="007D4CB3" w:rsidRDefault="007B33AE" w:rsidP="00FC7CE6">
            <w:pPr>
              <w:spacing w:before="0" w:after="0" w:line="240" w:lineRule="auto"/>
              <w:ind w:left="150" w:hanging="150"/>
              <w:rPr>
                <w:rFonts w:ascii="Times New Roman" w:eastAsia="Times New Roman" w:hAnsi="Times New Roman" w:cs="Times New Roman"/>
              </w:rPr>
            </w:pPr>
            <w:r w:rsidRPr="007D4CB3">
              <w:rPr>
                <w:rFonts w:ascii="Times New Roman" w:eastAsia="Times New Roman" w:hAnsi="Times New Roman" w:cs="Times New Roman"/>
              </w:rPr>
              <w:t>Centers for Care Innovation for the American Psychiatric Association (Consulting)</w:t>
            </w:r>
          </w:p>
        </w:tc>
        <w:tc>
          <w:tcPr>
            <w:tcW w:w="1320" w:type="dxa"/>
            <w:tcBorders>
              <w:top w:val="nil"/>
              <w:left w:val="nil"/>
              <w:bottom w:val="single" w:sz="6" w:space="0" w:color="auto"/>
              <w:right w:val="nil"/>
            </w:tcBorders>
            <w:shd w:val="clear" w:color="auto" w:fill="auto"/>
            <w:hideMark/>
          </w:tcPr>
          <w:p w14:paraId="4FD08D8B" w14:textId="1A54CE00"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038" w:type="dxa"/>
            <w:tcBorders>
              <w:top w:val="nil"/>
              <w:left w:val="nil"/>
              <w:bottom w:val="single" w:sz="6" w:space="0" w:color="auto"/>
              <w:right w:val="nil"/>
            </w:tcBorders>
            <w:shd w:val="clear" w:color="auto" w:fill="auto"/>
            <w:hideMark/>
          </w:tcPr>
          <w:p w14:paraId="0ED2DDBF" w14:textId="43D9B463"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58" w:type="dxa"/>
            <w:tcBorders>
              <w:top w:val="nil"/>
              <w:left w:val="nil"/>
              <w:bottom w:val="single" w:sz="6" w:space="0" w:color="auto"/>
              <w:right w:val="nil"/>
            </w:tcBorders>
            <w:shd w:val="clear" w:color="auto" w:fill="auto"/>
            <w:hideMark/>
          </w:tcPr>
          <w:p w14:paraId="4A91B078"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541" w:type="dxa"/>
            <w:tcBorders>
              <w:top w:val="nil"/>
              <w:left w:val="nil"/>
              <w:bottom w:val="single" w:sz="6" w:space="0" w:color="auto"/>
              <w:right w:val="nil"/>
            </w:tcBorders>
            <w:shd w:val="clear" w:color="auto" w:fill="auto"/>
            <w:hideMark/>
          </w:tcPr>
          <w:p w14:paraId="522BBB64" w14:textId="4FBA3C1A"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7B33AE" w:rsidRPr="007D4CB3" w14:paraId="7D71091E" w14:textId="77777777" w:rsidTr="6493A743">
        <w:trPr>
          <w:cantSplit/>
          <w:trHeight w:val="285"/>
        </w:trPr>
        <w:tc>
          <w:tcPr>
            <w:tcW w:w="2028" w:type="dxa"/>
            <w:tcBorders>
              <w:top w:val="single" w:sz="6" w:space="0" w:color="auto"/>
              <w:left w:val="nil"/>
              <w:bottom w:val="single" w:sz="6" w:space="0" w:color="auto"/>
              <w:right w:val="nil"/>
            </w:tcBorders>
            <w:shd w:val="clear" w:color="auto" w:fill="auto"/>
            <w:hideMark/>
          </w:tcPr>
          <w:p w14:paraId="6AEB16AD"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Stephen M. Taylor, MD, MPH, DFAPA, DFASAM</w:t>
            </w:r>
          </w:p>
        </w:tc>
        <w:tc>
          <w:tcPr>
            <w:tcW w:w="1946" w:type="dxa"/>
            <w:tcBorders>
              <w:top w:val="single" w:sz="6" w:space="0" w:color="auto"/>
              <w:left w:val="nil"/>
              <w:bottom w:val="single" w:sz="6" w:space="0" w:color="auto"/>
              <w:right w:val="nil"/>
            </w:tcBorders>
            <w:shd w:val="clear" w:color="auto" w:fill="auto"/>
            <w:hideMark/>
          </w:tcPr>
          <w:p w14:paraId="57D1D3AC"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Pathway Healthcare, LLC (Chief Medical Officer); National Basketball Association/National Basketball Players Association (Medical Director); Private Practice</w:t>
            </w:r>
          </w:p>
        </w:tc>
        <w:tc>
          <w:tcPr>
            <w:tcW w:w="1529" w:type="dxa"/>
            <w:tcBorders>
              <w:top w:val="single" w:sz="6" w:space="0" w:color="auto"/>
              <w:left w:val="nil"/>
              <w:bottom w:val="single" w:sz="6" w:space="0" w:color="auto"/>
              <w:right w:val="nil"/>
            </w:tcBorders>
            <w:shd w:val="clear" w:color="auto" w:fill="auto"/>
            <w:hideMark/>
          </w:tcPr>
          <w:p w14:paraId="27B24BD2"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Expert Witness</w:t>
            </w:r>
          </w:p>
        </w:tc>
        <w:tc>
          <w:tcPr>
            <w:tcW w:w="1320" w:type="dxa"/>
            <w:tcBorders>
              <w:top w:val="single" w:sz="6" w:space="0" w:color="auto"/>
              <w:left w:val="nil"/>
              <w:bottom w:val="single" w:sz="6" w:space="0" w:color="auto"/>
              <w:right w:val="nil"/>
            </w:tcBorders>
            <w:shd w:val="clear" w:color="auto" w:fill="auto"/>
            <w:hideMark/>
          </w:tcPr>
          <w:p w14:paraId="7E138510" w14:textId="3BA9EE34"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038" w:type="dxa"/>
            <w:tcBorders>
              <w:top w:val="single" w:sz="6" w:space="0" w:color="auto"/>
              <w:left w:val="nil"/>
              <w:bottom w:val="single" w:sz="6" w:space="0" w:color="auto"/>
              <w:right w:val="nil"/>
            </w:tcBorders>
            <w:shd w:val="clear" w:color="auto" w:fill="auto"/>
            <w:hideMark/>
          </w:tcPr>
          <w:p w14:paraId="4DE4A57B" w14:textId="16DCBB9E"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58" w:type="dxa"/>
            <w:tcBorders>
              <w:top w:val="single" w:sz="6" w:space="0" w:color="auto"/>
              <w:left w:val="nil"/>
              <w:bottom w:val="single" w:sz="6" w:space="0" w:color="auto"/>
              <w:right w:val="nil"/>
            </w:tcBorders>
            <w:shd w:val="clear" w:color="auto" w:fill="auto"/>
            <w:hideMark/>
          </w:tcPr>
          <w:p w14:paraId="57AD4476"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Medical Review Officer Certification Council (Board Member); Addiction Prevention Coalition (Board Member)</w:t>
            </w:r>
          </w:p>
        </w:tc>
        <w:tc>
          <w:tcPr>
            <w:tcW w:w="1541" w:type="dxa"/>
            <w:tcBorders>
              <w:top w:val="single" w:sz="6" w:space="0" w:color="auto"/>
              <w:left w:val="nil"/>
              <w:bottom w:val="single" w:sz="6" w:space="0" w:color="auto"/>
              <w:right w:val="nil"/>
            </w:tcBorders>
            <w:shd w:val="clear" w:color="auto" w:fill="auto"/>
            <w:hideMark/>
          </w:tcPr>
          <w:p w14:paraId="2D284879" w14:textId="7A9ECEFF" w:rsidR="007B33AE" w:rsidRPr="007D4CB3" w:rsidRDefault="007B33AE" w:rsidP="00FC7CE6">
            <w:pPr>
              <w:spacing w:before="0" w:after="0" w:line="24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7B33AE" w:rsidRPr="007D4CB3" w14:paraId="4BB29AE9" w14:textId="77777777" w:rsidTr="6493A743">
        <w:trPr>
          <w:cantSplit/>
          <w:trHeight w:val="285"/>
        </w:trPr>
        <w:tc>
          <w:tcPr>
            <w:tcW w:w="2028" w:type="dxa"/>
            <w:tcBorders>
              <w:top w:val="single" w:sz="6" w:space="0" w:color="auto"/>
              <w:left w:val="nil"/>
              <w:bottom w:val="single" w:sz="6" w:space="0" w:color="auto"/>
              <w:right w:val="nil"/>
            </w:tcBorders>
            <w:shd w:val="clear" w:color="auto" w:fill="auto"/>
            <w:hideMark/>
          </w:tcPr>
          <w:p w14:paraId="7477C8D2"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Aleksandra E. Zgierska, MD, PhD, DFASAM</w:t>
            </w:r>
          </w:p>
        </w:tc>
        <w:tc>
          <w:tcPr>
            <w:tcW w:w="1946" w:type="dxa"/>
            <w:tcBorders>
              <w:top w:val="single" w:sz="6" w:space="0" w:color="auto"/>
              <w:left w:val="nil"/>
              <w:bottom w:val="single" w:sz="6" w:space="0" w:color="auto"/>
              <w:right w:val="nil"/>
            </w:tcBorders>
            <w:shd w:val="clear" w:color="auto" w:fill="auto"/>
            <w:hideMark/>
          </w:tcPr>
          <w:p w14:paraId="3260031F"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Pennsylvania State University (Associate Director)</w:t>
            </w:r>
          </w:p>
        </w:tc>
        <w:tc>
          <w:tcPr>
            <w:tcW w:w="1529" w:type="dxa"/>
            <w:tcBorders>
              <w:top w:val="single" w:sz="6" w:space="0" w:color="auto"/>
              <w:left w:val="nil"/>
              <w:bottom w:val="single" w:sz="6" w:space="0" w:color="auto"/>
              <w:right w:val="nil"/>
            </w:tcBorders>
            <w:shd w:val="clear" w:color="auto" w:fill="auto"/>
            <w:hideMark/>
          </w:tcPr>
          <w:p w14:paraId="28648638" w14:textId="7925B275"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Pennsylvania Medicaid (Single-Time Advisor)*</w:t>
            </w:r>
          </w:p>
        </w:tc>
        <w:tc>
          <w:tcPr>
            <w:tcW w:w="1320" w:type="dxa"/>
            <w:tcBorders>
              <w:top w:val="single" w:sz="6" w:space="0" w:color="auto"/>
              <w:left w:val="nil"/>
              <w:bottom w:val="single" w:sz="6" w:space="0" w:color="auto"/>
              <w:right w:val="nil"/>
            </w:tcBorders>
            <w:shd w:val="clear" w:color="auto" w:fill="auto"/>
            <w:hideMark/>
          </w:tcPr>
          <w:p w14:paraId="337DD089" w14:textId="550CDEA0"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National Institutes of Health/</w:t>
            </w:r>
            <w:r w:rsidR="00B42E48" w:rsidRPr="007D4CB3">
              <w:rPr>
                <w:rFonts w:ascii="Times New Roman" w:eastAsia="Times New Roman" w:hAnsi="Times New Roman" w:cs="Times New Roman"/>
              </w:rPr>
              <w:br/>
            </w:r>
            <w:r w:rsidRPr="007D4CB3">
              <w:rPr>
                <w:rFonts w:ascii="Times New Roman" w:eastAsia="Times New Roman" w:hAnsi="Times New Roman" w:cs="Times New Roman"/>
              </w:rPr>
              <w:t>National Institute on Drug Abuse*</w:t>
            </w:r>
          </w:p>
        </w:tc>
        <w:tc>
          <w:tcPr>
            <w:tcW w:w="2038" w:type="dxa"/>
            <w:tcBorders>
              <w:top w:val="single" w:sz="6" w:space="0" w:color="auto"/>
              <w:left w:val="nil"/>
              <w:bottom w:val="single" w:sz="6" w:space="0" w:color="auto"/>
              <w:right w:val="nil"/>
            </w:tcBorders>
            <w:shd w:val="clear" w:color="auto" w:fill="auto"/>
            <w:hideMark/>
          </w:tcPr>
          <w:p w14:paraId="7CB5E877" w14:textId="7523C2D4"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58" w:type="dxa"/>
            <w:tcBorders>
              <w:top w:val="single" w:sz="6" w:space="0" w:color="auto"/>
              <w:left w:val="nil"/>
              <w:bottom w:val="single" w:sz="6" w:space="0" w:color="auto"/>
              <w:right w:val="nil"/>
            </w:tcBorders>
            <w:shd w:val="clear" w:color="auto" w:fill="auto"/>
            <w:hideMark/>
          </w:tcPr>
          <w:p w14:paraId="69A40F1F"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American Academy of Pain Medicine* (Substance Use Disorder Shared Interest Group Co-Chair)</w:t>
            </w:r>
          </w:p>
        </w:tc>
        <w:tc>
          <w:tcPr>
            <w:tcW w:w="1541" w:type="dxa"/>
            <w:tcBorders>
              <w:top w:val="single" w:sz="6" w:space="0" w:color="auto"/>
              <w:left w:val="nil"/>
              <w:bottom w:val="single" w:sz="6" w:space="0" w:color="auto"/>
              <w:right w:val="nil"/>
            </w:tcBorders>
            <w:shd w:val="clear" w:color="auto" w:fill="auto"/>
            <w:hideMark/>
          </w:tcPr>
          <w:p w14:paraId="55E4F5B2" w14:textId="4EB7F528"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7B33AE" w:rsidRPr="007D4CB3" w14:paraId="0C7C5232" w14:textId="77777777" w:rsidTr="6493A743">
        <w:trPr>
          <w:cantSplit/>
          <w:trHeight w:val="285"/>
        </w:trPr>
        <w:tc>
          <w:tcPr>
            <w:tcW w:w="2028" w:type="dxa"/>
            <w:tcBorders>
              <w:top w:val="single" w:sz="6" w:space="0" w:color="auto"/>
              <w:left w:val="nil"/>
              <w:bottom w:val="single" w:sz="6" w:space="0" w:color="auto"/>
              <w:right w:val="nil"/>
            </w:tcBorders>
            <w:shd w:val="clear" w:color="auto" w:fill="auto"/>
            <w:hideMark/>
          </w:tcPr>
          <w:p w14:paraId="1DEDB00B"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lastRenderedPageBreak/>
              <w:t>Anika Alvanzo, MD, MS, FACP, DFASAM</w:t>
            </w:r>
          </w:p>
        </w:tc>
        <w:tc>
          <w:tcPr>
            <w:tcW w:w="1946" w:type="dxa"/>
            <w:tcBorders>
              <w:top w:val="single" w:sz="6" w:space="0" w:color="auto"/>
              <w:left w:val="nil"/>
              <w:bottom w:val="single" w:sz="6" w:space="0" w:color="auto"/>
              <w:right w:val="nil"/>
            </w:tcBorders>
            <w:shd w:val="clear" w:color="auto" w:fill="auto"/>
            <w:hideMark/>
          </w:tcPr>
          <w:p w14:paraId="42874FD7" w14:textId="0DABA293"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Uzima Consulting Group, LLC (Managing Partner); Pyramid Healthcare, Inc (Regional Medical Director)</w:t>
            </w:r>
          </w:p>
        </w:tc>
        <w:tc>
          <w:tcPr>
            <w:tcW w:w="1529" w:type="dxa"/>
            <w:tcBorders>
              <w:top w:val="single" w:sz="6" w:space="0" w:color="auto"/>
              <w:left w:val="nil"/>
              <w:bottom w:val="single" w:sz="6" w:space="0" w:color="auto"/>
              <w:right w:val="nil"/>
            </w:tcBorders>
            <w:shd w:val="clear" w:color="auto" w:fill="auto"/>
            <w:hideMark/>
          </w:tcPr>
          <w:p w14:paraId="5C0ECDA3" w14:textId="2614ADFB"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Triple Track Treatment (Potential Consultant); Behavioral Administration, Maryland Department of Health (Consultant)*</w:t>
            </w:r>
          </w:p>
        </w:tc>
        <w:tc>
          <w:tcPr>
            <w:tcW w:w="1320" w:type="dxa"/>
            <w:tcBorders>
              <w:top w:val="single" w:sz="6" w:space="0" w:color="auto"/>
              <w:left w:val="nil"/>
              <w:bottom w:val="single" w:sz="6" w:space="0" w:color="auto"/>
              <w:right w:val="nil"/>
            </w:tcBorders>
            <w:shd w:val="clear" w:color="auto" w:fill="auto"/>
            <w:hideMark/>
          </w:tcPr>
          <w:p w14:paraId="3EF3BA96" w14:textId="755BE4A2"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038" w:type="dxa"/>
            <w:tcBorders>
              <w:top w:val="single" w:sz="6" w:space="0" w:color="auto"/>
              <w:left w:val="nil"/>
              <w:bottom w:val="single" w:sz="6" w:space="0" w:color="auto"/>
              <w:right w:val="nil"/>
            </w:tcBorders>
            <w:shd w:val="clear" w:color="auto" w:fill="auto"/>
            <w:hideMark/>
          </w:tcPr>
          <w:p w14:paraId="2749D433"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58" w:type="dxa"/>
            <w:tcBorders>
              <w:top w:val="single" w:sz="6" w:space="0" w:color="auto"/>
              <w:left w:val="nil"/>
              <w:bottom w:val="single" w:sz="6" w:space="0" w:color="auto"/>
              <w:right w:val="nil"/>
            </w:tcBorders>
            <w:shd w:val="clear" w:color="auto" w:fill="auto"/>
            <w:hideMark/>
          </w:tcPr>
          <w:p w14:paraId="565E7BD9" w14:textId="3737FA0E"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541" w:type="dxa"/>
            <w:tcBorders>
              <w:top w:val="single" w:sz="6" w:space="0" w:color="auto"/>
              <w:left w:val="nil"/>
              <w:bottom w:val="single" w:sz="6" w:space="0" w:color="auto"/>
              <w:right w:val="nil"/>
            </w:tcBorders>
            <w:shd w:val="clear" w:color="auto" w:fill="auto"/>
            <w:hideMark/>
          </w:tcPr>
          <w:p w14:paraId="01C20D13" w14:textId="4427F7B3"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D9643F" w:rsidRPr="007D4CB3" w14:paraId="71329290" w14:textId="77777777" w:rsidTr="6493A743">
        <w:trPr>
          <w:cantSplit/>
          <w:trHeight w:val="285"/>
        </w:trPr>
        <w:tc>
          <w:tcPr>
            <w:tcW w:w="2028" w:type="dxa"/>
            <w:tcBorders>
              <w:top w:val="single" w:sz="6" w:space="0" w:color="auto"/>
              <w:left w:val="nil"/>
              <w:bottom w:val="single" w:sz="6" w:space="0" w:color="auto"/>
              <w:right w:val="nil"/>
            </w:tcBorders>
            <w:shd w:val="clear" w:color="auto" w:fill="auto"/>
            <w:hideMark/>
          </w:tcPr>
          <w:p w14:paraId="1869F5CD" w14:textId="34FC2915" w:rsidR="00D9643F" w:rsidRPr="007D4CB3" w:rsidRDefault="1EF9D047"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 xml:space="preserve">Timothy </w:t>
            </w:r>
            <w:r w:rsidR="373137D4" w:rsidRPr="007D4CB3">
              <w:rPr>
                <w:rFonts w:ascii="Times New Roman" w:eastAsia="Times New Roman" w:hAnsi="Times New Roman" w:cs="Times New Roman"/>
              </w:rPr>
              <w:t xml:space="preserve">J. </w:t>
            </w:r>
            <w:r w:rsidRPr="007D4CB3">
              <w:rPr>
                <w:rFonts w:ascii="Times New Roman" w:eastAsia="Times New Roman" w:hAnsi="Times New Roman" w:cs="Times New Roman"/>
              </w:rPr>
              <w:t>Wiegand, MD, FACMT, FAACT, DFASAM</w:t>
            </w:r>
          </w:p>
        </w:tc>
        <w:tc>
          <w:tcPr>
            <w:tcW w:w="1946" w:type="dxa"/>
            <w:tcBorders>
              <w:top w:val="single" w:sz="6" w:space="0" w:color="auto"/>
              <w:left w:val="nil"/>
              <w:bottom w:val="single" w:sz="6" w:space="0" w:color="auto"/>
              <w:right w:val="nil"/>
            </w:tcBorders>
            <w:shd w:val="clear" w:color="auto" w:fill="auto"/>
            <w:hideMark/>
          </w:tcPr>
          <w:p w14:paraId="34077555" w14:textId="71221971" w:rsidR="00D9643F" w:rsidRPr="007D4CB3" w:rsidRDefault="00D9643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University of Rochester Medical Center (Director, Program Director)</w:t>
            </w:r>
          </w:p>
        </w:tc>
        <w:tc>
          <w:tcPr>
            <w:tcW w:w="1529" w:type="dxa"/>
            <w:tcBorders>
              <w:top w:val="single" w:sz="6" w:space="0" w:color="auto"/>
              <w:left w:val="nil"/>
              <w:bottom w:val="single" w:sz="6" w:space="0" w:color="auto"/>
              <w:right w:val="nil"/>
            </w:tcBorders>
            <w:shd w:val="clear" w:color="auto" w:fill="auto"/>
            <w:hideMark/>
          </w:tcPr>
          <w:p w14:paraId="1D2D0D7E" w14:textId="297DAE4B" w:rsidR="00D9643F" w:rsidRPr="007D4CB3" w:rsidRDefault="00D9643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20" w:type="dxa"/>
            <w:tcBorders>
              <w:top w:val="single" w:sz="6" w:space="0" w:color="auto"/>
              <w:left w:val="nil"/>
              <w:bottom w:val="single" w:sz="6" w:space="0" w:color="auto"/>
              <w:right w:val="nil"/>
            </w:tcBorders>
            <w:shd w:val="clear" w:color="auto" w:fill="auto"/>
            <w:hideMark/>
          </w:tcPr>
          <w:p w14:paraId="646B612B" w14:textId="12DA3A14" w:rsidR="00D9643F" w:rsidRPr="007D4CB3" w:rsidRDefault="00D9643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038" w:type="dxa"/>
            <w:tcBorders>
              <w:top w:val="single" w:sz="6" w:space="0" w:color="auto"/>
              <w:left w:val="nil"/>
              <w:bottom w:val="single" w:sz="6" w:space="0" w:color="auto"/>
              <w:right w:val="nil"/>
            </w:tcBorders>
            <w:shd w:val="clear" w:color="auto" w:fill="auto"/>
            <w:hideMark/>
          </w:tcPr>
          <w:p w14:paraId="067B8E45" w14:textId="5ED30E1F" w:rsidR="00D9643F" w:rsidRPr="007D4CB3" w:rsidRDefault="00D9643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58" w:type="dxa"/>
            <w:tcBorders>
              <w:top w:val="single" w:sz="6" w:space="0" w:color="auto"/>
              <w:left w:val="nil"/>
              <w:bottom w:val="single" w:sz="6" w:space="0" w:color="auto"/>
              <w:right w:val="nil"/>
            </w:tcBorders>
            <w:shd w:val="clear" w:color="auto" w:fill="auto"/>
            <w:hideMark/>
          </w:tcPr>
          <w:p w14:paraId="4D0DAE8E" w14:textId="585B6533" w:rsidR="00D9643F" w:rsidRPr="007D4CB3" w:rsidRDefault="00D9643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541" w:type="dxa"/>
            <w:tcBorders>
              <w:top w:val="single" w:sz="6" w:space="0" w:color="auto"/>
              <w:left w:val="nil"/>
              <w:bottom w:val="single" w:sz="6" w:space="0" w:color="auto"/>
              <w:right w:val="nil"/>
            </w:tcBorders>
            <w:shd w:val="clear" w:color="auto" w:fill="auto"/>
            <w:hideMark/>
          </w:tcPr>
          <w:p w14:paraId="20EE4DFC" w14:textId="053047BE" w:rsidR="00D9643F" w:rsidRPr="007D4CB3" w:rsidRDefault="00D9643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7B33AE" w:rsidRPr="007D4CB3" w14:paraId="1BD2226D" w14:textId="77777777" w:rsidTr="6493A743">
        <w:trPr>
          <w:cantSplit/>
          <w:trHeight w:val="285"/>
        </w:trPr>
        <w:tc>
          <w:tcPr>
            <w:tcW w:w="2028" w:type="dxa"/>
            <w:tcBorders>
              <w:top w:val="single" w:sz="6" w:space="0" w:color="auto"/>
              <w:left w:val="nil"/>
              <w:bottom w:val="single" w:sz="6" w:space="0" w:color="auto"/>
              <w:right w:val="nil"/>
            </w:tcBorders>
            <w:shd w:val="clear" w:color="auto" w:fill="auto"/>
            <w:hideMark/>
          </w:tcPr>
          <w:p w14:paraId="3C2D8C3C"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William F. Haning, III, MD, DLFAPA, DFASAM</w:t>
            </w:r>
          </w:p>
        </w:tc>
        <w:tc>
          <w:tcPr>
            <w:tcW w:w="1946" w:type="dxa"/>
            <w:tcBorders>
              <w:top w:val="single" w:sz="6" w:space="0" w:color="auto"/>
              <w:left w:val="nil"/>
              <w:bottom w:val="single" w:sz="6" w:space="0" w:color="auto"/>
              <w:right w:val="nil"/>
            </w:tcBorders>
            <w:shd w:val="clear" w:color="auto" w:fill="auto"/>
            <w:hideMark/>
          </w:tcPr>
          <w:p w14:paraId="3A699F42" w14:textId="1083805D"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r w:rsidR="00AA1B11" w:rsidRPr="007D4CB3">
              <w:rPr>
                <w:rFonts w:ascii="Times New Roman" w:eastAsia="Times New Roman" w:hAnsi="Times New Roman" w:cs="Times New Roman"/>
              </w:rPr>
              <w:t xml:space="preserve"> (retired)</w:t>
            </w:r>
          </w:p>
        </w:tc>
        <w:tc>
          <w:tcPr>
            <w:tcW w:w="1529" w:type="dxa"/>
            <w:tcBorders>
              <w:top w:val="single" w:sz="6" w:space="0" w:color="auto"/>
              <w:left w:val="nil"/>
              <w:bottom w:val="single" w:sz="6" w:space="0" w:color="auto"/>
              <w:right w:val="nil"/>
            </w:tcBorders>
            <w:shd w:val="clear" w:color="auto" w:fill="auto"/>
            <w:hideMark/>
          </w:tcPr>
          <w:p w14:paraId="010F6911" w14:textId="00B052EC"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20" w:type="dxa"/>
            <w:tcBorders>
              <w:top w:val="single" w:sz="6" w:space="0" w:color="auto"/>
              <w:left w:val="nil"/>
              <w:bottom w:val="single" w:sz="6" w:space="0" w:color="auto"/>
              <w:right w:val="nil"/>
            </w:tcBorders>
            <w:shd w:val="clear" w:color="auto" w:fill="auto"/>
            <w:hideMark/>
          </w:tcPr>
          <w:p w14:paraId="473E6C98" w14:textId="189519F2"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038" w:type="dxa"/>
            <w:tcBorders>
              <w:top w:val="single" w:sz="6" w:space="0" w:color="auto"/>
              <w:left w:val="nil"/>
              <w:bottom w:val="single" w:sz="6" w:space="0" w:color="auto"/>
              <w:right w:val="nil"/>
            </w:tcBorders>
            <w:shd w:val="clear" w:color="auto" w:fill="auto"/>
            <w:hideMark/>
          </w:tcPr>
          <w:p w14:paraId="40D8DEA2" w14:textId="6BDDB216"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58" w:type="dxa"/>
            <w:tcBorders>
              <w:top w:val="single" w:sz="6" w:space="0" w:color="auto"/>
              <w:left w:val="nil"/>
              <w:bottom w:val="single" w:sz="6" w:space="0" w:color="auto"/>
              <w:right w:val="nil"/>
            </w:tcBorders>
            <w:shd w:val="clear" w:color="auto" w:fill="auto"/>
            <w:hideMark/>
          </w:tcPr>
          <w:p w14:paraId="5AE1C2DE" w14:textId="2FFA79F3"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541" w:type="dxa"/>
            <w:tcBorders>
              <w:top w:val="single" w:sz="6" w:space="0" w:color="auto"/>
              <w:left w:val="nil"/>
              <w:bottom w:val="single" w:sz="6" w:space="0" w:color="auto"/>
              <w:right w:val="nil"/>
            </w:tcBorders>
            <w:shd w:val="clear" w:color="auto" w:fill="auto"/>
            <w:hideMark/>
          </w:tcPr>
          <w:p w14:paraId="21FDAC92" w14:textId="4C942CDA"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7B33AE" w:rsidRPr="007D4CB3" w14:paraId="23B5111F" w14:textId="77777777" w:rsidTr="6493A743">
        <w:trPr>
          <w:cantSplit/>
          <w:trHeight w:val="285"/>
        </w:trPr>
        <w:tc>
          <w:tcPr>
            <w:tcW w:w="2028" w:type="dxa"/>
            <w:tcBorders>
              <w:top w:val="single" w:sz="6" w:space="0" w:color="auto"/>
              <w:left w:val="nil"/>
              <w:bottom w:val="single" w:sz="6" w:space="0" w:color="auto"/>
              <w:right w:val="nil"/>
            </w:tcBorders>
            <w:shd w:val="clear" w:color="auto" w:fill="auto"/>
            <w:hideMark/>
          </w:tcPr>
          <w:p w14:paraId="677F6AB7"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Kelly S. Ramsey, MD, MPH, MA, FACP, DFASAM</w:t>
            </w:r>
          </w:p>
        </w:tc>
        <w:tc>
          <w:tcPr>
            <w:tcW w:w="1946" w:type="dxa"/>
            <w:tcBorders>
              <w:top w:val="single" w:sz="6" w:space="0" w:color="auto"/>
              <w:left w:val="nil"/>
              <w:bottom w:val="single" w:sz="6" w:space="0" w:color="auto"/>
              <w:right w:val="nil"/>
            </w:tcBorders>
            <w:shd w:val="clear" w:color="auto" w:fill="auto"/>
            <w:hideMark/>
          </w:tcPr>
          <w:p w14:paraId="1E2DD463" w14:textId="2CCF9E3A" w:rsidR="007B33AE" w:rsidRPr="007D4CB3" w:rsidRDefault="00E2224A"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Office of Addiction Services and Supports (OASAS)</w:t>
            </w:r>
          </w:p>
        </w:tc>
        <w:tc>
          <w:tcPr>
            <w:tcW w:w="1529" w:type="dxa"/>
            <w:tcBorders>
              <w:top w:val="single" w:sz="6" w:space="0" w:color="auto"/>
              <w:left w:val="nil"/>
              <w:bottom w:val="single" w:sz="6" w:space="0" w:color="auto"/>
              <w:right w:val="nil"/>
            </w:tcBorders>
            <w:shd w:val="clear" w:color="auto" w:fill="auto"/>
            <w:hideMark/>
          </w:tcPr>
          <w:p w14:paraId="5F398EA3" w14:textId="01614DD1"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20" w:type="dxa"/>
            <w:tcBorders>
              <w:top w:val="single" w:sz="6" w:space="0" w:color="auto"/>
              <w:left w:val="nil"/>
              <w:bottom w:val="single" w:sz="6" w:space="0" w:color="auto"/>
              <w:right w:val="nil"/>
            </w:tcBorders>
            <w:shd w:val="clear" w:color="auto" w:fill="auto"/>
            <w:hideMark/>
          </w:tcPr>
          <w:p w14:paraId="3E21F7A7" w14:textId="7568AFB3"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038" w:type="dxa"/>
            <w:tcBorders>
              <w:top w:val="single" w:sz="6" w:space="0" w:color="auto"/>
              <w:left w:val="nil"/>
              <w:bottom w:val="single" w:sz="6" w:space="0" w:color="auto"/>
              <w:right w:val="nil"/>
            </w:tcBorders>
            <w:shd w:val="clear" w:color="auto" w:fill="auto"/>
            <w:hideMark/>
          </w:tcPr>
          <w:p w14:paraId="3826A5D9" w14:textId="5D299518"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58" w:type="dxa"/>
            <w:tcBorders>
              <w:top w:val="single" w:sz="6" w:space="0" w:color="auto"/>
              <w:left w:val="nil"/>
              <w:bottom w:val="single" w:sz="6" w:space="0" w:color="auto"/>
              <w:right w:val="nil"/>
            </w:tcBorders>
            <w:shd w:val="clear" w:color="auto" w:fill="auto"/>
            <w:hideMark/>
          </w:tcPr>
          <w:p w14:paraId="3DB54A0D"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New York Society of Addiction Medicine (Board Member)</w:t>
            </w:r>
          </w:p>
        </w:tc>
        <w:tc>
          <w:tcPr>
            <w:tcW w:w="1541" w:type="dxa"/>
            <w:tcBorders>
              <w:top w:val="single" w:sz="6" w:space="0" w:color="auto"/>
              <w:left w:val="nil"/>
              <w:bottom w:val="single" w:sz="6" w:space="0" w:color="auto"/>
              <w:right w:val="nil"/>
            </w:tcBorders>
            <w:shd w:val="clear" w:color="auto" w:fill="auto"/>
            <w:hideMark/>
          </w:tcPr>
          <w:p w14:paraId="6EE6B4DA" w14:textId="7FCD4593"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7B33AE" w:rsidRPr="007D4CB3" w14:paraId="16CFB3BC" w14:textId="77777777" w:rsidTr="6493A743">
        <w:trPr>
          <w:cantSplit/>
          <w:trHeight w:val="285"/>
        </w:trPr>
        <w:tc>
          <w:tcPr>
            <w:tcW w:w="2028" w:type="dxa"/>
            <w:tcBorders>
              <w:top w:val="single" w:sz="6" w:space="0" w:color="auto"/>
              <w:left w:val="nil"/>
              <w:bottom w:val="single" w:sz="6" w:space="0" w:color="auto"/>
              <w:right w:val="nil"/>
            </w:tcBorders>
            <w:shd w:val="clear" w:color="auto" w:fill="auto"/>
            <w:hideMark/>
          </w:tcPr>
          <w:p w14:paraId="745EAAE6" w14:textId="56E9FF02"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 xml:space="preserve">Itai Danovitch, MD, MBA, </w:t>
            </w:r>
            <w:r w:rsidR="1C0BD9AA" w:rsidRPr="007D4CB3">
              <w:rPr>
                <w:rFonts w:ascii="Times New Roman" w:eastAsia="Times New Roman" w:hAnsi="Times New Roman" w:cs="Times New Roman"/>
              </w:rPr>
              <w:t>D</w:t>
            </w:r>
            <w:r w:rsidRPr="007D4CB3">
              <w:rPr>
                <w:rFonts w:ascii="Times New Roman" w:eastAsia="Times New Roman" w:hAnsi="Times New Roman" w:cs="Times New Roman"/>
              </w:rPr>
              <w:t>FAPA, DFASAM</w:t>
            </w:r>
          </w:p>
        </w:tc>
        <w:tc>
          <w:tcPr>
            <w:tcW w:w="1946" w:type="dxa"/>
            <w:tcBorders>
              <w:top w:val="single" w:sz="6" w:space="0" w:color="auto"/>
              <w:left w:val="nil"/>
              <w:bottom w:val="single" w:sz="6" w:space="0" w:color="auto"/>
              <w:right w:val="nil"/>
            </w:tcBorders>
            <w:shd w:val="clear" w:color="auto" w:fill="auto"/>
            <w:hideMark/>
          </w:tcPr>
          <w:p w14:paraId="6ECF352F" w14:textId="42284CD5" w:rsidR="007B33AE" w:rsidRPr="007D4CB3" w:rsidRDefault="00293BDC"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Cedars-Sinai Medical Center</w:t>
            </w:r>
          </w:p>
        </w:tc>
        <w:tc>
          <w:tcPr>
            <w:tcW w:w="1529" w:type="dxa"/>
            <w:tcBorders>
              <w:top w:val="single" w:sz="6" w:space="0" w:color="auto"/>
              <w:left w:val="nil"/>
              <w:bottom w:val="single" w:sz="6" w:space="0" w:color="auto"/>
              <w:right w:val="nil"/>
            </w:tcBorders>
            <w:shd w:val="clear" w:color="auto" w:fill="auto"/>
            <w:hideMark/>
          </w:tcPr>
          <w:p w14:paraId="1E384131"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Expert Witness**</w:t>
            </w:r>
          </w:p>
        </w:tc>
        <w:tc>
          <w:tcPr>
            <w:tcW w:w="1320" w:type="dxa"/>
            <w:tcBorders>
              <w:top w:val="single" w:sz="6" w:space="0" w:color="auto"/>
              <w:left w:val="nil"/>
              <w:bottom w:val="single" w:sz="6" w:space="0" w:color="auto"/>
              <w:right w:val="nil"/>
            </w:tcBorders>
            <w:shd w:val="clear" w:color="auto" w:fill="auto"/>
            <w:hideMark/>
          </w:tcPr>
          <w:p w14:paraId="6F29A4AD" w14:textId="28E010D0"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038" w:type="dxa"/>
            <w:tcBorders>
              <w:top w:val="single" w:sz="6" w:space="0" w:color="auto"/>
              <w:left w:val="nil"/>
              <w:bottom w:val="single" w:sz="6" w:space="0" w:color="auto"/>
              <w:right w:val="nil"/>
            </w:tcBorders>
            <w:shd w:val="clear" w:color="auto" w:fill="auto"/>
            <w:hideMark/>
          </w:tcPr>
          <w:p w14:paraId="2B9F83AD" w14:textId="77777777" w:rsidR="007B33AE" w:rsidRPr="007D4CB3" w:rsidRDefault="007B33AE" w:rsidP="00FC7CE6">
            <w:pPr>
              <w:spacing w:before="0" w:after="0" w:line="240" w:lineRule="auto"/>
              <w:ind w:left="150" w:hanging="150"/>
              <w:rPr>
                <w:rFonts w:ascii="Times New Roman" w:eastAsia="Times New Roman" w:hAnsi="Times New Roman" w:cs="Times New Roman"/>
              </w:rPr>
            </w:pPr>
            <w:r w:rsidRPr="007D4CB3">
              <w:rPr>
                <w:rFonts w:ascii="Times New Roman" w:eastAsia="Times New Roman" w:hAnsi="Times New Roman" w:cs="Times New Roman"/>
              </w:rPr>
              <w:t>Workit Health (Shareholder)*; Science 37 (Shareholder)**; Bexson Biomedical (Receives Equity Options)*</w:t>
            </w:r>
          </w:p>
        </w:tc>
        <w:tc>
          <w:tcPr>
            <w:tcW w:w="2558" w:type="dxa"/>
            <w:tcBorders>
              <w:top w:val="single" w:sz="6" w:space="0" w:color="auto"/>
              <w:left w:val="nil"/>
              <w:bottom w:val="single" w:sz="6" w:space="0" w:color="auto"/>
              <w:right w:val="nil"/>
            </w:tcBorders>
            <w:shd w:val="clear" w:color="auto" w:fill="auto"/>
            <w:hideMark/>
          </w:tcPr>
          <w:p w14:paraId="218B3D05" w14:textId="49C2A6CC" w:rsidR="007B33AE" w:rsidRPr="007D4CB3" w:rsidRDefault="007B33AE" w:rsidP="00FC7CE6">
            <w:pPr>
              <w:spacing w:before="0" w:after="0" w:line="240" w:lineRule="auto"/>
              <w:ind w:left="150" w:hanging="150"/>
              <w:rPr>
                <w:rFonts w:ascii="Times New Roman" w:eastAsia="Times New Roman" w:hAnsi="Times New Roman" w:cs="Times New Roman"/>
              </w:rPr>
            </w:pPr>
            <w:r w:rsidRPr="007D4CB3">
              <w:rPr>
                <w:rFonts w:ascii="Times New Roman" w:eastAsia="Times New Roman" w:hAnsi="Times New Roman" w:cs="Times New Roman"/>
              </w:rPr>
              <w:t>Bexson Biomedical* (Board Member); California Mental Health Services (Commissioner)</w:t>
            </w:r>
          </w:p>
        </w:tc>
        <w:tc>
          <w:tcPr>
            <w:tcW w:w="1541" w:type="dxa"/>
            <w:tcBorders>
              <w:top w:val="single" w:sz="6" w:space="0" w:color="auto"/>
              <w:left w:val="nil"/>
              <w:bottom w:val="single" w:sz="6" w:space="0" w:color="auto"/>
              <w:right w:val="nil"/>
            </w:tcBorders>
            <w:shd w:val="clear" w:color="auto" w:fill="auto"/>
            <w:hideMark/>
          </w:tcPr>
          <w:p w14:paraId="75B0B2FE" w14:textId="5570E800"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7B33AE" w:rsidRPr="007D4CB3" w14:paraId="4F1D4829" w14:textId="77777777" w:rsidTr="6493A743">
        <w:trPr>
          <w:cantSplit/>
          <w:trHeight w:val="285"/>
        </w:trPr>
        <w:tc>
          <w:tcPr>
            <w:tcW w:w="2028" w:type="dxa"/>
            <w:tcBorders>
              <w:top w:val="single" w:sz="6" w:space="0" w:color="auto"/>
              <w:left w:val="nil"/>
              <w:bottom w:val="single" w:sz="6" w:space="0" w:color="auto"/>
              <w:right w:val="nil"/>
            </w:tcBorders>
            <w:shd w:val="clear" w:color="auto" w:fill="auto"/>
            <w:hideMark/>
          </w:tcPr>
          <w:p w14:paraId="392EF7B5"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lastRenderedPageBreak/>
              <w:t>Audrey M. Kern, MD, DFASAM</w:t>
            </w:r>
          </w:p>
        </w:tc>
        <w:tc>
          <w:tcPr>
            <w:tcW w:w="1946" w:type="dxa"/>
            <w:tcBorders>
              <w:top w:val="single" w:sz="6" w:space="0" w:color="auto"/>
              <w:left w:val="nil"/>
              <w:bottom w:val="single" w:sz="6" w:space="0" w:color="auto"/>
              <w:right w:val="nil"/>
            </w:tcBorders>
            <w:shd w:val="clear" w:color="auto" w:fill="auto"/>
            <w:hideMark/>
          </w:tcPr>
          <w:p w14:paraId="59E1AE5F" w14:textId="19D7ECB2" w:rsidR="007B33AE" w:rsidRPr="007D4CB3" w:rsidRDefault="001A0947"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 xml:space="preserve">Pear Therapeutics, </w:t>
            </w:r>
            <w:r w:rsidR="00D110C6" w:rsidRPr="007D4CB3">
              <w:rPr>
                <w:rFonts w:ascii="Times New Roman" w:eastAsia="Times New Roman" w:hAnsi="Times New Roman" w:cs="Times New Roman"/>
              </w:rPr>
              <w:t>Sobriety Centers of New Hampshire</w:t>
            </w:r>
          </w:p>
        </w:tc>
        <w:tc>
          <w:tcPr>
            <w:tcW w:w="1529" w:type="dxa"/>
            <w:tcBorders>
              <w:top w:val="single" w:sz="6" w:space="0" w:color="auto"/>
              <w:left w:val="nil"/>
              <w:bottom w:val="single" w:sz="6" w:space="0" w:color="auto"/>
              <w:right w:val="nil"/>
            </w:tcBorders>
            <w:shd w:val="clear" w:color="auto" w:fill="auto"/>
            <w:hideMark/>
          </w:tcPr>
          <w:p w14:paraId="41EB67A0"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20" w:type="dxa"/>
            <w:tcBorders>
              <w:top w:val="single" w:sz="6" w:space="0" w:color="auto"/>
              <w:left w:val="nil"/>
              <w:bottom w:val="single" w:sz="6" w:space="0" w:color="auto"/>
              <w:right w:val="nil"/>
            </w:tcBorders>
            <w:shd w:val="clear" w:color="auto" w:fill="auto"/>
            <w:hideMark/>
          </w:tcPr>
          <w:p w14:paraId="7EF33B4A" w14:textId="7EB80932"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038" w:type="dxa"/>
            <w:tcBorders>
              <w:top w:val="single" w:sz="6" w:space="0" w:color="auto"/>
              <w:left w:val="nil"/>
              <w:bottom w:val="single" w:sz="6" w:space="0" w:color="auto"/>
              <w:right w:val="nil"/>
            </w:tcBorders>
            <w:shd w:val="clear" w:color="auto" w:fill="auto"/>
            <w:hideMark/>
          </w:tcPr>
          <w:p w14:paraId="543681BD" w14:textId="4FBA4BFF"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58" w:type="dxa"/>
            <w:tcBorders>
              <w:top w:val="single" w:sz="6" w:space="0" w:color="auto"/>
              <w:left w:val="nil"/>
              <w:bottom w:val="single" w:sz="6" w:space="0" w:color="auto"/>
              <w:right w:val="nil"/>
            </w:tcBorders>
            <w:shd w:val="clear" w:color="auto" w:fill="auto"/>
            <w:hideMark/>
          </w:tcPr>
          <w:p w14:paraId="4A1C133D"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New Hampshire Healthy Families* (Board Member)</w:t>
            </w:r>
          </w:p>
        </w:tc>
        <w:tc>
          <w:tcPr>
            <w:tcW w:w="1541" w:type="dxa"/>
            <w:tcBorders>
              <w:top w:val="single" w:sz="6" w:space="0" w:color="auto"/>
              <w:left w:val="nil"/>
              <w:bottom w:val="single" w:sz="6" w:space="0" w:color="auto"/>
              <w:right w:val="nil"/>
            </w:tcBorders>
            <w:shd w:val="clear" w:color="auto" w:fill="auto"/>
            <w:hideMark/>
          </w:tcPr>
          <w:p w14:paraId="321AF45C" w14:textId="3D9B2F9F"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7B33AE" w:rsidRPr="007D4CB3" w14:paraId="3B6EE7FD" w14:textId="77777777" w:rsidTr="6493A743">
        <w:trPr>
          <w:cantSplit/>
          <w:trHeight w:val="285"/>
        </w:trPr>
        <w:tc>
          <w:tcPr>
            <w:tcW w:w="2028" w:type="dxa"/>
            <w:tcBorders>
              <w:top w:val="single" w:sz="6" w:space="0" w:color="auto"/>
              <w:left w:val="nil"/>
              <w:bottom w:val="single" w:sz="6" w:space="0" w:color="auto"/>
              <w:right w:val="nil"/>
            </w:tcBorders>
            <w:shd w:val="clear" w:color="auto" w:fill="auto"/>
          </w:tcPr>
          <w:p w14:paraId="31662576"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Shawn Ryan, MD, MBA, FASAM</w:t>
            </w:r>
          </w:p>
        </w:tc>
        <w:tc>
          <w:tcPr>
            <w:tcW w:w="1946" w:type="dxa"/>
            <w:tcBorders>
              <w:top w:val="single" w:sz="6" w:space="0" w:color="auto"/>
              <w:left w:val="nil"/>
              <w:bottom w:val="single" w:sz="6" w:space="0" w:color="auto"/>
              <w:right w:val="nil"/>
            </w:tcBorders>
            <w:shd w:val="clear" w:color="auto" w:fill="auto"/>
          </w:tcPr>
          <w:p w14:paraId="36B7EE2B" w14:textId="6AE7CDE1" w:rsidR="007B33AE" w:rsidRPr="007D4CB3" w:rsidRDefault="00C740AC"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BrightView</w:t>
            </w:r>
            <w:r w:rsidR="007B33AE" w:rsidRPr="007D4CB3">
              <w:rPr>
                <w:rFonts w:ascii="Times New Roman" w:eastAsia="Times New Roman" w:hAnsi="Times New Roman" w:cs="Times New Roman"/>
              </w:rPr>
              <w:t xml:space="preserve"> Health (Owner)</w:t>
            </w:r>
          </w:p>
        </w:tc>
        <w:tc>
          <w:tcPr>
            <w:tcW w:w="1529" w:type="dxa"/>
            <w:tcBorders>
              <w:top w:val="single" w:sz="6" w:space="0" w:color="auto"/>
              <w:left w:val="nil"/>
              <w:bottom w:val="single" w:sz="6" w:space="0" w:color="auto"/>
              <w:right w:val="nil"/>
            </w:tcBorders>
            <w:shd w:val="clear" w:color="auto" w:fill="auto"/>
          </w:tcPr>
          <w:p w14:paraId="4938BA57"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Dynamicare (Advisor)</w:t>
            </w:r>
          </w:p>
        </w:tc>
        <w:tc>
          <w:tcPr>
            <w:tcW w:w="1320" w:type="dxa"/>
            <w:tcBorders>
              <w:top w:val="single" w:sz="6" w:space="0" w:color="auto"/>
              <w:left w:val="nil"/>
              <w:bottom w:val="single" w:sz="6" w:space="0" w:color="auto"/>
              <w:right w:val="nil"/>
            </w:tcBorders>
            <w:shd w:val="clear" w:color="auto" w:fill="auto"/>
          </w:tcPr>
          <w:p w14:paraId="205189D4" w14:textId="33126A6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038" w:type="dxa"/>
            <w:tcBorders>
              <w:top w:val="single" w:sz="6" w:space="0" w:color="auto"/>
              <w:left w:val="nil"/>
              <w:bottom w:val="single" w:sz="6" w:space="0" w:color="auto"/>
              <w:right w:val="nil"/>
            </w:tcBorders>
            <w:shd w:val="clear" w:color="auto" w:fill="auto"/>
          </w:tcPr>
          <w:p w14:paraId="5E5D6FA4" w14:textId="1FA03A48"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Dynamicare (Shareholder)</w:t>
            </w:r>
          </w:p>
        </w:tc>
        <w:tc>
          <w:tcPr>
            <w:tcW w:w="2558" w:type="dxa"/>
            <w:tcBorders>
              <w:top w:val="single" w:sz="6" w:space="0" w:color="auto"/>
              <w:left w:val="nil"/>
              <w:bottom w:val="single" w:sz="6" w:space="0" w:color="auto"/>
              <w:right w:val="nil"/>
            </w:tcBorders>
            <w:shd w:val="clear" w:color="auto" w:fill="auto"/>
          </w:tcPr>
          <w:p w14:paraId="4190CE0E" w14:textId="7554A339"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541" w:type="dxa"/>
            <w:tcBorders>
              <w:top w:val="single" w:sz="6" w:space="0" w:color="auto"/>
              <w:left w:val="nil"/>
              <w:bottom w:val="single" w:sz="6" w:space="0" w:color="auto"/>
              <w:right w:val="nil"/>
            </w:tcBorders>
            <w:shd w:val="clear" w:color="auto" w:fill="auto"/>
          </w:tcPr>
          <w:p w14:paraId="6B3DC301" w14:textId="644BF3ED"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7B33AE" w:rsidRPr="007D4CB3" w14:paraId="7C0725A7" w14:textId="77777777" w:rsidTr="6493A743">
        <w:trPr>
          <w:cantSplit/>
          <w:trHeight w:val="285"/>
        </w:trPr>
        <w:tc>
          <w:tcPr>
            <w:tcW w:w="2028" w:type="dxa"/>
            <w:tcBorders>
              <w:top w:val="single" w:sz="6" w:space="0" w:color="auto"/>
              <w:left w:val="nil"/>
              <w:bottom w:val="single" w:sz="6" w:space="0" w:color="auto"/>
              <w:right w:val="nil"/>
            </w:tcBorders>
            <w:shd w:val="clear" w:color="auto" w:fill="auto"/>
          </w:tcPr>
          <w:p w14:paraId="5304F53A" w14:textId="77777777" w:rsidR="00E1317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 xml:space="preserve">Megan Buresh, MD, </w:t>
            </w:r>
          </w:p>
          <w:p w14:paraId="28C69AAC" w14:textId="720F60E4"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DFASAM</w:t>
            </w:r>
          </w:p>
        </w:tc>
        <w:tc>
          <w:tcPr>
            <w:tcW w:w="1946" w:type="dxa"/>
            <w:tcBorders>
              <w:top w:val="single" w:sz="6" w:space="0" w:color="auto"/>
              <w:left w:val="nil"/>
              <w:bottom w:val="single" w:sz="6" w:space="0" w:color="auto"/>
              <w:right w:val="nil"/>
            </w:tcBorders>
            <w:shd w:val="clear" w:color="auto" w:fill="auto"/>
          </w:tcPr>
          <w:p w14:paraId="66287014"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Johns Hopkins School of Medicine (Assistant Professor); Behavioral Health Leadership Institute (Lead Physician)</w:t>
            </w:r>
          </w:p>
        </w:tc>
        <w:tc>
          <w:tcPr>
            <w:tcW w:w="1529" w:type="dxa"/>
            <w:tcBorders>
              <w:top w:val="single" w:sz="6" w:space="0" w:color="auto"/>
              <w:left w:val="nil"/>
              <w:bottom w:val="single" w:sz="6" w:space="0" w:color="auto"/>
              <w:right w:val="nil"/>
            </w:tcBorders>
            <w:shd w:val="clear" w:color="auto" w:fill="auto"/>
          </w:tcPr>
          <w:p w14:paraId="3860A6ED"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20" w:type="dxa"/>
            <w:tcBorders>
              <w:top w:val="single" w:sz="6" w:space="0" w:color="auto"/>
              <w:left w:val="nil"/>
              <w:bottom w:val="single" w:sz="6" w:space="0" w:color="auto"/>
              <w:right w:val="nil"/>
            </w:tcBorders>
            <w:shd w:val="clear" w:color="auto" w:fill="auto"/>
          </w:tcPr>
          <w:p w14:paraId="6EF0AF02" w14:textId="3052E0B4"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National Institutes on Drug Abuse*</w:t>
            </w:r>
          </w:p>
        </w:tc>
        <w:tc>
          <w:tcPr>
            <w:tcW w:w="2038" w:type="dxa"/>
            <w:tcBorders>
              <w:top w:val="single" w:sz="6" w:space="0" w:color="auto"/>
              <w:left w:val="nil"/>
              <w:bottom w:val="single" w:sz="6" w:space="0" w:color="auto"/>
              <w:right w:val="nil"/>
            </w:tcBorders>
            <w:shd w:val="clear" w:color="auto" w:fill="auto"/>
          </w:tcPr>
          <w:p w14:paraId="2276C28F"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58" w:type="dxa"/>
            <w:tcBorders>
              <w:top w:val="single" w:sz="6" w:space="0" w:color="auto"/>
              <w:left w:val="nil"/>
              <w:bottom w:val="single" w:sz="6" w:space="0" w:color="auto"/>
              <w:right w:val="nil"/>
            </w:tcBorders>
            <w:shd w:val="clear" w:color="auto" w:fill="auto"/>
          </w:tcPr>
          <w:p w14:paraId="4112B1E7"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Association of Medical Education and Research in Substance Abuse (2023-2024 Conference Planning Co-Chair); American Journal of Medicine Open* (Associate Editor)</w:t>
            </w:r>
          </w:p>
        </w:tc>
        <w:tc>
          <w:tcPr>
            <w:tcW w:w="1541" w:type="dxa"/>
            <w:tcBorders>
              <w:top w:val="single" w:sz="6" w:space="0" w:color="auto"/>
              <w:left w:val="nil"/>
              <w:bottom w:val="single" w:sz="6" w:space="0" w:color="auto"/>
              <w:right w:val="nil"/>
            </w:tcBorders>
            <w:shd w:val="clear" w:color="auto" w:fill="auto"/>
          </w:tcPr>
          <w:p w14:paraId="053FCF7A"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7B33AE" w:rsidRPr="007D4CB3" w14:paraId="4C44897B" w14:textId="77777777" w:rsidTr="6493A743">
        <w:trPr>
          <w:cantSplit/>
          <w:trHeight w:val="285"/>
        </w:trPr>
        <w:tc>
          <w:tcPr>
            <w:tcW w:w="2028" w:type="dxa"/>
            <w:tcBorders>
              <w:top w:val="single" w:sz="6" w:space="0" w:color="auto"/>
              <w:left w:val="nil"/>
              <w:bottom w:val="single" w:sz="6" w:space="0" w:color="auto"/>
              <w:right w:val="nil"/>
            </w:tcBorders>
            <w:shd w:val="clear" w:color="auto" w:fill="auto"/>
          </w:tcPr>
          <w:p w14:paraId="393C698F"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Emily Brunner, MD, DFASAM</w:t>
            </w:r>
          </w:p>
        </w:tc>
        <w:tc>
          <w:tcPr>
            <w:tcW w:w="1946" w:type="dxa"/>
            <w:tcBorders>
              <w:top w:val="single" w:sz="6" w:space="0" w:color="auto"/>
              <w:left w:val="nil"/>
              <w:bottom w:val="single" w:sz="6" w:space="0" w:color="auto"/>
              <w:right w:val="nil"/>
            </w:tcBorders>
            <w:shd w:val="clear" w:color="auto" w:fill="auto"/>
          </w:tcPr>
          <w:p w14:paraId="5DAA7062" w14:textId="69B8657C" w:rsidR="007B33AE" w:rsidRPr="007D4CB3" w:rsidRDefault="009E0018"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Hazelden Betty Ford Foundation, Gateway Recovery Center</w:t>
            </w:r>
          </w:p>
        </w:tc>
        <w:tc>
          <w:tcPr>
            <w:tcW w:w="1529" w:type="dxa"/>
            <w:tcBorders>
              <w:top w:val="single" w:sz="6" w:space="0" w:color="auto"/>
              <w:left w:val="nil"/>
              <w:bottom w:val="single" w:sz="6" w:space="0" w:color="auto"/>
              <w:right w:val="nil"/>
            </w:tcBorders>
            <w:shd w:val="clear" w:color="auto" w:fill="auto"/>
          </w:tcPr>
          <w:p w14:paraId="6EA64CD8" w14:textId="03FCB6E8"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20" w:type="dxa"/>
            <w:tcBorders>
              <w:top w:val="single" w:sz="6" w:space="0" w:color="auto"/>
              <w:left w:val="nil"/>
              <w:bottom w:val="single" w:sz="6" w:space="0" w:color="auto"/>
              <w:right w:val="nil"/>
            </w:tcBorders>
            <w:shd w:val="clear" w:color="auto" w:fill="auto"/>
          </w:tcPr>
          <w:p w14:paraId="7CDEF439" w14:textId="1A16EAEA"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038" w:type="dxa"/>
            <w:tcBorders>
              <w:top w:val="single" w:sz="6" w:space="0" w:color="auto"/>
              <w:left w:val="nil"/>
              <w:bottom w:val="single" w:sz="6" w:space="0" w:color="auto"/>
              <w:right w:val="nil"/>
            </w:tcBorders>
            <w:shd w:val="clear" w:color="auto" w:fill="auto"/>
          </w:tcPr>
          <w:p w14:paraId="104C355B" w14:textId="24F9C6C0"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58" w:type="dxa"/>
            <w:tcBorders>
              <w:top w:val="single" w:sz="6" w:space="0" w:color="auto"/>
              <w:left w:val="nil"/>
              <w:bottom w:val="single" w:sz="6" w:space="0" w:color="auto"/>
              <w:right w:val="nil"/>
            </w:tcBorders>
            <w:shd w:val="clear" w:color="auto" w:fill="auto"/>
          </w:tcPr>
          <w:p w14:paraId="56A7A745" w14:textId="5EA3BA9F"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541" w:type="dxa"/>
            <w:tcBorders>
              <w:top w:val="single" w:sz="6" w:space="0" w:color="auto"/>
              <w:left w:val="nil"/>
              <w:bottom w:val="single" w:sz="6" w:space="0" w:color="auto"/>
              <w:right w:val="nil"/>
            </w:tcBorders>
            <w:shd w:val="clear" w:color="auto" w:fill="auto"/>
          </w:tcPr>
          <w:p w14:paraId="78C8D948" w14:textId="0EC1580A"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7B33AE" w:rsidRPr="007D4CB3" w14:paraId="688AB30D" w14:textId="77777777" w:rsidTr="6493A743">
        <w:trPr>
          <w:cantSplit/>
          <w:trHeight w:val="285"/>
        </w:trPr>
        <w:tc>
          <w:tcPr>
            <w:tcW w:w="2028" w:type="dxa"/>
            <w:tcBorders>
              <w:top w:val="single" w:sz="6" w:space="0" w:color="auto"/>
              <w:left w:val="nil"/>
              <w:bottom w:val="single" w:sz="6" w:space="0" w:color="auto"/>
              <w:right w:val="nil"/>
            </w:tcBorders>
            <w:shd w:val="clear" w:color="auto" w:fill="auto"/>
          </w:tcPr>
          <w:p w14:paraId="7C5B03EE" w14:textId="7009E221"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Christina E. Jones, MD</w:t>
            </w:r>
            <w:r w:rsidR="6E62ADB2" w:rsidRPr="007D4CB3">
              <w:rPr>
                <w:rFonts w:ascii="Times New Roman" w:eastAsia="Times New Roman" w:hAnsi="Times New Roman" w:cs="Times New Roman"/>
              </w:rPr>
              <w:t>, FASAM</w:t>
            </w:r>
          </w:p>
        </w:tc>
        <w:tc>
          <w:tcPr>
            <w:tcW w:w="1946" w:type="dxa"/>
            <w:tcBorders>
              <w:top w:val="single" w:sz="6" w:space="0" w:color="auto"/>
              <w:left w:val="nil"/>
              <w:bottom w:val="single" w:sz="6" w:space="0" w:color="auto"/>
              <w:right w:val="nil"/>
            </w:tcBorders>
            <w:shd w:val="clear" w:color="auto" w:fill="auto"/>
          </w:tcPr>
          <w:p w14:paraId="4AB2AFE8"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Teleleaf, LLC (Provider)</w:t>
            </w:r>
          </w:p>
        </w:tc>
        <w:tc>
          <w:tcPr>
            <w:tcW w:w="1529" w:type="dxa"/>
            <w:tcBorders>
              <w:top w:val="single" w:sz="6" w:space="0" w:color="auto"/>
              <w:left w:val="nil"/>
              <w:bottom w:val="single" w:sz="6" w:space="0" w:color="auto"/>
              <w:right w:val="nil"/>
            </w:tcBorders>
            <w:shd w:val="clear" w:color="auto" w:fill="auto"/>
          </w:tcPr>
          <w:p w14:paraId="4413273B" w14:textId="7B304ED1"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20" w:type="dxa"/>
            <w:tcBorders>
              <w:top w:val="single" w:sz="6" w:space="0" w:color="auto"/>
              <w:left w:val="nil"/>
              <w:bottom w:val="single" w:sz="6" w:space="0" w:color="auto"/>
              <w:right w:val="nil"/>
            </w:tcBorders>
            <w:shd w:val="clear" w:color="auto" w:fill="auto"/>
          </w:tcPr>
          <w:p w14:paraId="2DD4D502" w14:textId="1F627588"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038" w:type="dxa"/>
            <w:tcBorders>
              <w:top w:val="single" w:sz="6" w:space="0" w:color="auto"/>
              <w:left w:val="nil"/>
              <w:bottom w:val="single" w:sz="6" w:space="0" w:color="auto"/>
              <w:right w:val="nil"/>
            </w:tcBorders>
            <w:shd w:val="clear" w:color="auto" w:fill="auto"/>
          </w:tcPr>
          <w:p w14:paraId="58FC67A5" w14:textId="6C6DF3D6"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58" w:type="dxa"/>
            <w:tcBorders>
              <w:top w:val="single" w:sz="6" w:space="0" w:color="auto"/>
              <w:left w:val="nil"/>
              <w:bottom w:val="single" w:sz="6" w:space="0" w:color="auto"/>
              <w:right w:val="nil"/>
            </w:tcBorders>
            <w:shd w:val="clear" w:color="auto" w:fill="auto"/>
          </w:tcPr>
          <w:p w14:paraId="66210E70" w14:textId="05797289"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541" w:type="dxa"/>
            <w:tcBorders>
              <w:top w:val="single" w:sz="6" w:space="0" w:color="auto"/>
              <w:left w:val="nil"/>
              <w:bottom w:val="single" w:sz="6" w:space="0" w:color="auto"/>
              <w:right w:val="nil"/>
            </w:tcBorders>
            <w:shd w:val="clear" w:color="auto" w:fill="auto"/>
          </w:tcPr>
          <w:p w14:paraId="1D33D54D" w14:textId="2B87F36F"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7B33AE" w:rsidRPr="007D4CB3" w14:paraId="51AF4D27" w14:textId="77777777" w:rsidTr="6493A743">
        <w:trPr>
          <w:cantSplit/>
          <w:trHeight w:val="285"/>
        </w:trPr>
        <w:tc>
          <w:tcPr>
            <w:tcW w:w="2028" w:type="dxa"/>
            <w:tcBorders>
              <w:top w:val="single" w:sz="6" w:space="0" w:color="auto"/>
              <w:left w:val="nil"/>
              <w:bottom w:val="single" w:sz="6" w:space="0" w:color="auto"/>
              <w:right w:val="nil"/>
            </w:tcBorders>
            <w:shd w:val="clear" w:color="auto" w:fill="auto"/>
          </w:tcPr>
          <w:p w14:paraId="2C03EFE3"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Teresa Jackson, MD, DFASAM</w:t>
            </w:r>
          </w:p>
        </w:tc>
        <w:tc>
          <w:tcPr>
            <w:tcW w:w="1946" w:type="dxa"/>
            <w:tcBorders>
              <w:top w:val="single" w:sz="6" w:space="0" w:color="auto"/>
              <w:left w:val="nil"/>
              <w:bottom w:val="single" w:sz="6" w:space="0" w:color="auto"/>
              <w:right w:val="nil"/>
            </w:tcBorders>
            <w:shd w:val="clear" w:color="auto" w:fill="auto"/>
          </w:tcPr>
          <w:p w14:paraId="2E169C1A"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Lakeside Milam Recovery Centers (Medical Director)</w:t>
            </w:r>
          </w:p>
        </w:tc>
        <w:tc>
          <w:tcPr>
            <w:tcW w:w="1529" w:type="dxa"/>
            <w:tcBorders>
              <w:top w:val="single" w:sz="6" w:space="0" w:color="auto"/>
              <w:left w:val="nil"/>
              <w:bottom w:val="single" w:sz="6" w:space="0" w:color="auto"/>
              <w:right w:val="nil"/>
            </w:tcBorders>
            <w:shd w:val="clear" w:color="auto" w:fill="auto"/>
          </w:tcPr>
          <w:p w14:paraId="346F539C" w14:textId="29255ED6"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20" w:type="dxa"/>
            <w:tcBorders>
              <w:top w:val="single" w:sz="6" w:space="0" w:color="auto"/>
              <w:left w:val="nil"/>
              <w:bottom w:val="single" w:sz="6" w:space="0" w:color="auto"/>
              <w:right w:val="nil"/>
            </w:tcBorders>
            <w:shd w:val="clear" w:color="auto" w:fill="auto"/>
          </w:tcPr>
          <w:p w14:paraId="2DE74A0F" w14:textId="3CDC409D"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038" w:type="dxa"/>
            <w:tcBorders>
              <w:top w:val="single" w:sz="6" w:space="0" w:color="auto"/>
              <w:left w:val="nil"/>
              <w:bottom w:val="single" w:sz="6" w:space="0" w:color="auto"/>
              <w:right w:val="nil"/>
            </w:tcBorders>
            <w:shd w:val="clear" w:color="auto" w:fill="auto"/>
          </w:tcPr>
          <w:p w14:paraId="1D10F8BE" w14:textId="397C173E"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58" w:type="dxa"/>
            <w:tcBorders>
              <w:top w:val="single" w:sz="6" w:space="0" w:color="auto"/>
              <w:left w:val="nil"/>
              <w:bottom w:val="single" w:sz="6" w:space="0" w:color="auto"/>
              <w:right w:val="nil"/>
            </w:tcBorders>
            <w:shd w:val="clear" w:color="auto" w:fill="auto"/>
          </w:tcPr>
          <w:p w14:paraId="2F235BF4"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 xml:space="preserve">National Association of Addiction Treatment Providers (Clinical and Reimbursement Committee Member) </w:t>
            </w:r>
          </w:p>
        </w:tc>
        <w:tc>
          <w:tcPr>
            <w:tcW w:w="1541" w:type="dxa"/>
            <w:tcBorders>
              <w:top w:val="single" w:sz="6" w:space="0" w:color="auto"/>
              <w:left w:val="nil"/>
              <w:bottom w:val="single" w:sz="6" w:space="0" w:color="auto"/>
              <w:right w:val="nil"/>
            </w:tcBorders>
            <w:shd w:val="clear" w:color="auto" w:fill="auto"/>
          </w:tcPr>
          <w:p w14:paraId="7A8B6BB1" w14:textId="27C965C9"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7B33AE" w:rsidRPr="007D4CB3" w14:paraId="5C07102E" w14:textId="77777777" w:rsidTr="6493A743">
        <w:trPr>
          <w:cantSplit/>
          <w:trHeight w:val="285"/>
        </w:trPr>
        <w:tc>
          <w:tcPr>
            <w:tcW w:w="2028" w:type="dxa"/>
            <w:tcBorders>
              <w:top w:val="single" w:sz="6" w:space="0" w:color="auto"/>
              <w:left w:val="nil"/>
              <w:bottom w:val="single" w:sz="6" w:space="0" w:color="auto"/>
              <w:right w:val="nil"/>
            </w:tcBorders>
            <w:shd w:val="clear" w:color="auto" w:fill="auto"/>
          </w:tcPr>
          <w:p w14:paraId="4D2FA1B7"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Keyghobad Farid Araki, MD, FRCPC, ABAM, FASAM</w:t>
            </w:r>
          </w:p>
        </w:tc>
        <w:tc>
          <w:tcPr>
            <w:tcW w:w="1946" w:type="dxa"/>
            <w:tcBorders>
              <w:top w:val="single" w:sz="6" w:space="0" w:color="auto"/>
              <w:left w:val="nil"/>
              <w:bottom w:val="single" w:sz="6" w:space="0" w:color="auto"/>
              <w:right w:val="nil"/>
            </w:tcBorders>
            <w:shd w:val="clear" w:color="auto" w:fill="auto"/>
          </w:tcPr>
          <w:p w14:paraId="375BCD70" w14:textId="633205FD" w:rsidR="007B33AE" w:rsidRPr="007D4CB3" w:rsidRDefault="00263EC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 xml:space="preserve">Centre for Addiction and Mental Health </w:t>
            </w:r>
            <w:r w:rsidR="00AA1B11" w:rsidRPr="007D4CB3">
              <w:rPr>
                <w:rFonts w:ascii="Times New Roman" w:eastAsia="Times New Roman" w:hAnsi="Times New Roman" w:cs="Times New Roman"/>
              </w:rPr>
              <w:t>(Psychiatrist and Addiction Specialist)</w:t>
            </w:r>
          </w:p>
        </w:tc>
        <w:tc>
          <w:tcPr>
            <w:tcW w:w="1529" w:type="dxa"/>
            <w:tcBorders>
              <w:top w:val="single" w:sz="6" w:space="0" w:color="auto"/>
              <w:left w:val="nil"/>
              <w:bottom w:val="single" w:sz="6" w:space="0" w:color="auto"/>
              <w:right w:val="nil"/>
            </w:tcBorders>
            <w:shd w:val="clear" w:color="auto" w:fill="auto"/>
          </w:tcPr>
          <w:p w14:paraId="57E50100" w14:textId="6376AEA9"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20" w:type="dxa"/>
            <w:tcBorders>
              <w:top w:val="single" w:sz="6" w:space="0" w:color="auto"/>
              <w:left w:val="nil"/>
              <w:bottom w:val="single" w:sz="6" w:space="0" w:color="auto"/>
              <w:right w:val="nil"/>
            </w:tcBorders>
            <w:shd w:val="clear" w:color="auto" w:fill="auto"/>
          </w:tcPr>
          <w:p w14:paraId="07644980" w14:textId="2C7396E5"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038" w:type="dxa"/>
            <w:tcBorders>
              <w:top w:val="single" w:sz="6" w:space="0" w:color="auto"/>
              <w:left w:val="nil"/>
              <w:bottom w:val="single" w:sz="6" w:space="0" w:color="auto"/>
              <w:right w:val="nil"/>
            </w:tcBorders>
            <w:shd w:val="clear" w:color="auto" w:fill="auto"/>
          </w:tcPr>
          <w:p w14:paraId="2D646794" w14:textId="18AF610F"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58" w:type="dxa"/>
            <w:tcBorders>
              <w:top w:val="single" w:sz="6" w:space="0" w:color="auto"/>
              <w:left w:val="nil"/>
              <w:bottom w:val="single" w:sz="6" w:space="0" w:color="auto"/>
              <w:right w:val="nil"/>
            </w:tcBorders>
            <w:shd w:val="clear" w:color="auto" w:fill="auto"/>
          </w:tcPr>
          <w:p w14:paraId="7FE65574" w14:textId="19AD3A42"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541" w:type="dxa"/>
            <w:tcBorders>
              <w:top w:val="single" w:sz="6" w:space="0" w:color="auto"/>
              <w:left w:val="nil"/>
              <w:bottom w:val="single" w:sz="6" w:space="0" w:color="auto"/>
              <w:right w:val="nil"/>
            </w:tcBorders>
            <w:shd w:val="clear" w:color="auto" w:fill="auto"/>
          </w:tcPr>
          <w:p w14:paraId="4269484A" w14:textId="1274E556"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7B33AE" w:rsidRPr="007D4CB3" w14:paraId="715013D1" w14:textId="77777777" w:rsidTr="6493A743">
        <w:trPr>
          <w:cantSplit/>
          <w:trHeight w:val="285"/>
        </w:trPr>
        <w:tc>
          <w:tcPr>
            <w:tcW w:w="2028" w:type="dxa"/>
            <w:tcBorders>
              <w:top w:val="single" w:sz="6" w:space="0" w:color="auto"/>
              <w:left w:val="nil"/>
              <w:bottom w:val="single" w:sz="6" w:space="0" w:color="auto"/>
              <w:right w:val="nil"/>
            </w:tcBorders>
            <w:shd w:val="clear" w:color="auto" w:fill="auto"/>
          </w:tcPr>
          <w:p w14:paraId="160491A0"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lastRenderedPageBreak/>
              <w:t>James P. Murphy, MD, DFASAM</w:t>
            </w:r>
          </w:p>
        </w:tc>
        <w:tc>
          <w:tcPr>
            <w:tcW w:w="1946" w:type="dxa"/>
            <w:tcBorders>
              <w:top w:val="single" w:sz="6" w:space="0" w:color="auto"/>
              <w:left w:val="nil"/>
              <w:bottom w:val="single" w:sz="6" w:space="0" w:color="auto"/>
              <w:right w:val="nil"/>
            </w:tcBorders>
            <w:shd w:val="clear" w:color="auto" w:fill="auto"/>
          </w:tcPr>
          <w:p w14:paraId="48536398"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Kentucky Harm Reduction Coalition (Co-Director); Private Practice</w:t>
            </w:r>
          </w:p>
        </w:tc>
        <w:tc>
          <w:tcPr>
            <w:tcW w:w="1529" w:type="dxa"/>
            <w:tcBorders>
              <w:top w:val="single" w:sz="6" w:space="0" w:color="auto"/>
              <w:left w:val="nil"/>
              <w:bottom w:val="single" w:sz="6" w:space="0" w:color="auto"/>
              <w:right w:val="nil"/>
            </w:tcBorders>
            <w:shd w:val="clear" w:color="auto" w:fill="auto"/>
          </w:tcPr>
          <w:p w14:paraId="42208819" w14:textId="08D94F28"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20" w:type="dxa"/>
            <w:tcBorders>
              <w:top w:val="single" w:sz="6" w:space="0" w:color="auto"/>
              <w:left w:val="nil"/>
              <w:bottom w:val="single" w:sz="6" w:space="0" w:color="auto"/>
              <w:right w:val="nil"/>
            </w:tcBorders>
            <w:shd w:val="clear" w:color="auto" w:fill="auto"/>
          </w:tcPr>
          <w:p w14:paraId="751204AA" w14:textId="41A03F4D"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038" w:type="dxa"/>
            <w:tcBorders>
              <w:top w:val="single" w:sz="6" w:space="0" w:color="auto"/>
              <w:left w:val="nil"/>
              <w:bottom w:val="single" w:sz="6" w:space="0" w:color="auto"/>
              <w:right w:val="nil"/>
            </w:tcBorders>
            <w:shd w:val="clear" w:color="auto" w:fill="auto"/>
          </w:tcPr>
          <w:p w14:paraId="4F49E8F0" w14:textId="419C6873"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58" w:type="dxa"/>
            <w:tcBorders>
              <w:top w:val="single" w:sz="6" w:space="0" w:color="auto"/>
              <w:left w:val="nil"/>
              <w:bottom w:val="single" w:sz="6" w:space="0" w:color="auto"/>
              <w:right w:val="nil"/>
            </w:tcBorders>
            <w:shd w:val="clear" w:color="auto" w:fill="auto"/>
          </w:tcPr>
          <w:p w14:paraId="617A30B4" w14:textId="4F1DE19F"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541" w:type="dxa"/>
            <w:tcBorders>
              <w:top w:val="single" w:sz="6" w:space="0" w:color="auto"/>
              <w:left w:val="nil"/>
              <w:bottom w:val="single" w:sz="6" w:space="0" w:color="auto"/>
              <w:right w:val="nil"/>
            </w:tcBorders>
            <w:shd w:val="clear" w:color="auto" w:fill="auto"/>
          </w:tcPr>
          <w:p w14:paraId="27AB4A5A" w14:textId="732EC4EF"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7B33AE" w:rsidRPr="007D4CB3" w14:paraId="014F61DB" w14:textId="77777777" w:rsidTr="6493A743">
        <w:trPr>
          <w:cantSplit/>
          <w:trHeight w:val="285"/>
        </w:trPr>
        <w:tc>
          <w:tcPr>
            <w:tcW w:w="2028" w:type="dxa"/>
            <w:tcBorders>
              <w:top w:val="single" w:sz="6" w:space="0" w:color="auto"/>
              <w:left w:val="nil"/>
              <w:bottom w:val="single" w:sz="6" w:space="0" w:color="auto"/>
              <w:right w:val="nil"/>
            </w:tcBorders>
            <w:shd w:val="clear" w:color="auto" w:fill="auto"/>
          </w:tcPr>
          <w:p w14:paraId="281530D0"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Alta DeRoo, MD, MBA, FACOG, DFASAM</w:t>
            </w:r>
          </w:p>
        </w:tc>
        <w:tc>
          <w:tcPr>
            <w:tcW w:w="1946" w:type="dxa"/>
            <w:tcBorders>
              <w:top w:val="single" w:sz="6" w:space="0" w:color="auto"/>
              <w:left w:val="nil"/>
              <w:bottom w:val="single" w:sz="6" w:space="0" w:color="auto"/>
              <w:right w:val="nil"/>
            </w:tcBorders>
            <w:shd w:val="clear" w:color="auto" w:fill="auto"/>
          </w:tcPr>
          <w:p w14:paraId="4FFE6704" w14:textId="01AFA542" w:rsidR="007B33AE" w:rsidRPr="007D4CB3" w:rsidRDefault="0021552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Hazelden Betty Ford Foundation (Chief Medical Officer)</w:t>
            </w:r>
          </w:p>
        </w:tc>
        <w:tc>
          <w:tcPr>
            <w:tcW w:w="1529" w:type="dxa"/>
            <w:tcBorders>
              <w:top w:val="single" w:sz="6" w:space="0" w:color="auto"/>
              <w:left w:val="nil"/>
              <w:bottom w:val="single" w:sz="6" w:space="0" w:color="auto"/>
              <w:right w:val="nil"/>
            </w:tcBorders>
            <w:shd w:val="clear" w:color="auto" w:fill="auto"/>
          </w:tcPr>
          <w:p w14:paraId="6DC2DAEB" w14:textId="3D1A051E"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20" w:type="dxa"/>
            <w:tcBorders>
              <w:top w:val="single" w:sz="6" w:space="0" w:color="auto"/>
              <w:left w:val="nil"/>
              <w:bottom w:val="single" w:sz="6" w:space="0" w:color="auto"/>
              <w:right w:val="nil"/>
            </w:tcBorders>
            <w:shd w:val="clear" w:color="auto" w:fill="auto"/>
          </w:tcPr>
          <w:p w14:paraId="67555ABC" w14:textId="1ED39D4A"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038" w:type="dxa"/>
            <w:tcBorders>
              <w:top w:val="single" w:sz="6" w:space="0" w:color="auto"/>
              <w:left w:val="nil"/>
              <w:bottom w:val="single" w:sz="6" w:space="0" w:color="auto"/>
              <w:right w:val="nil"/>
            </w:tcBorders>
            <w:shd w:val="clear" w:color="auto" w:fill="auto"/>
          </w:tcPr>
          <w:p w14:paraId="5086D7C1" w14:textId="0B71F670"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58" w:type="dxa"/>
            <w:tcBorders>
              <w:top w:val="single" w:sz="6" w:space="0" w:color="auto"/>
              <w:left w:val="nil"/>
              <w:bottom w:val="single" w:sz="6" w:space="0" w:color="auto"/>
              <w:right w:val="nil"/>
            </w:tcBorders>
            <w:shd w:val="clear" w:color="auto" w:fill="auto"/>
          </w:tcPr>
          <w:p w14:paraId="600FF1CF" w14:textId="283DC85B"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541" w:type="dxa"/>
            <w:tcBorders>
              <w:top w:val="single" w:sz="6" w:space="0" w:color="auto"/>
              <w:left w:val="nil"/>
              <w:bottom w:val="single" w:sz="6" w:space="0" w:color="auto"/>
              <w:right w:val="nil"/>
            </w:tcBorders>
            <w:shd w:val="clear" w:color="auto" w:fill="auto"/>
          </w:tcPr>
          <w:p w14:paraId="5EBC8536" w14:textId="1BF70944"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7B33AE" w:rsidRPr="007D4CB3" w14:paraId="7D601C12" w14:textId="77777777" w:rsidTr="6493A743">
        <w:trPr>
          <w:cantSplit/>
          <w:trHeight w:val="285"/>
        </w:trPr>
        <w:tc>
          <w:tcPr>
            <w:tcW w:w="2028" w:type="dxa"/>
            <w:tcBorders>
              <w:top w:val="single" w:sz="6" w:space="0" w:color="auto"/>
              <w:left w:val="nil"/>
              <w:bottom w:val="single" w:sz="6" w:space="0" w:color="auto"/>
              <w:right w:val="nil"/>
            </w:tcBorders>
            <w:shd w:val="clear" w:color="auto" w:fill="auto"/>
          </w:tcPr>
          <w:p w14:paraId="5D69BDFD"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Marla D. Kushner, DO, FACOFP, FAOAAM, FSAHM, DFASAM</w:t>
            </w:r>
          </w:p>
        </w:tc>
        <w:tc>
          <w:tcPr>
            <w:tcW w:w="1946" w:type="dxa"/>
            <w:tcBorders>
              <w:top w:val="single" w:sz="6" w:space="0" w:color="auto"/>
              <w:left w:val="nil"/>
              <w:bottom w:val="single" w:sz="6" w:space="0" w:color="auto"/>
              <w:right w:val="nil"/>
            </w:tcBorders>
            <w:shd w:val="clear" w:color="auto" w:fill="auto"/>
          </w:tcPr>
          <w:p w14:paraId="3CAA6BED" w14:textId="66BE3D02" w:rsidR="007B33AE" w:rsidRPr="007D4CB3" w:rsidRDefault="00202885"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Bicycle Health (Regional Medical Director)</w:t>
            </w:r>
          </w:p>
        </w:tc>
        <w:tc>
          <w:tcPr>
            <w:tcW w:w="1529" w:type="dxa"/>
            <w:tcBorders>
              <w:top w:val="single" w:sz="6" w:space="0" w:color="auto"/>
              <w:left w:val="nil"/>
              <w:bottom w:val="single" w:sz="6" w:space="0" w:color="auto"/>
              <w:right w:val="nil"/>
            </w:tcBorders>
            <w:shd w:val="clear" w:color="auto" w:fill="auto"/>
          </w:tcPr>
          <w:p w14:paraId="70FB404E" w14:textId="06A30999"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20" w:type="dxa"/>
            <w:tcBorders>
              <w:top w:val="single" w:sz="6" w:space="0" w:color="auto"/>
              <w:left w:val="nil"/>
              <w:bottom w:val="single" w:sz="6" w:space="0" w:color="auto"/>
              <w:right w:val="nil"/>
            </w:tcBorders>
            <w:shd w:val="clear" w:color="auto" w:fill="auto"/>
          </w:tcPr>
          <w:p w14:paraId="71DEEF09" w14:textId="264335C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038" w:type="dxa"/>
            <w:tcBorders>
              <w:top w:val="single" w:sz="6" w:space="0" w:color="auto"/>
              <w:left w:val="nil"/>
              <w:bottom w:val="single" w:sz="6" w:space="0" w:color="auto"/>
              <w:right w:val="nil"/>
            </w:tcBorders>
            <w:shd w:val="clear" w:color="auto" w:fill="auto"/>
          </w:tcPr>
          <w:p w14:paraId="10853278" w14:textId="57D6821C"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58" w:type="dxa"/>
            <w:tcBorders>
              <w:top w:val="single" w:sz="6" w:space="0" w:color="auto"/>
              <w:left w:val="nil"/>
              <w:bottom w:val="single" w:sz="6" w:space="0" w:color="auto"/>
              <w:right w:val="nil"/>
            </w:tcBorders>
            <w:shd w:val="clear" w:color="auto" w:fill="auto"/>
          </w:tcPr>
          <w:p w14:paraId="60EDE55B" w14:textId="67C4D836"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American Osteopathic Academy of Addiction Medicine*</w:t>
            </w:r>
          </w:p>
        </w:tc>
        <w:tc>
          <w:tcPr>
            <w:tcW w:w="1541" w:type="dxa"/>
            <w:tcBorders>
              <w:top w:val="single" w:sz="6" w:space="0" w:color="auto"/>
              <w:left w:val="nil"/>
              <w:bottom w:val="single" w:sz="6" w:space="0" w:color="auto"/>
              <w:right w:val="nil"/>
            </w:tcBorders>
            <w:shd w:val="clear" w:color="auto" w:fill="auto"/>
          </w:tcPr>
          <w:p w14:paraId="2184C401" w14:textId="79BBD971"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7B33AE" w:rsidRPr="007D4CB3" w14:paraId="0938B123" w14:textId="77777777" w:rsidTr="6493A743">
        <w:trPr>
          <w:cantSplit/>
          <w:trHeight w:val="285"/>
        </w:trPr>
        <w:tc>
          <w:tcPr>
            <w:tcW w:w="2028" w:type="dxa"/>
            <w:tcBorders>
              <w:top w:val="single" w:sz="6" w:space="0" w:color="auto"/>
              <w:left w:val="nil"/>
              <w:bottom w:val="single" w:sz="6" w:space="0" w:color="auto"/>
              <w:right w:val="nil"/>
            </w:tcBorders>
            <w:shd w:val="clear" w:color="auto" w:fill="auto"/>
          </w:tcPr>
          <w:p w14:paraId="6B21EA34"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Lori D. Karan, MD, FACP, DFASAM</w:t>
            </w:r>
          </w:p>
        </w:tc>
        <w:tc>
          <w:tcPr>
            <w:tcW w:w="1946" w:type="dxa"/>
            <w:tcBorders>
              <w:top w:val="single" w:sz="6" w:space="0" w:color="auto"/>
              <w:left w:val="nil"/>
              <w:bottom w:val="single" w:sz="6" w:space="0" w:color="auto"/>
              <w:right w:val="nil"/>
            </w:tcBorders>
            <w:shd w:val="clear" w:color="auto" w:fill="auto"/>
          </w:tcPr>
          <w:p w14:paraId="0F22BCE9"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Loma Linda University Medical School (Director, Professor); VA Loma Linda Healthcare System (Employee)</w:t>
            </w:r>
          </w:p>
        </w:tc>
        <w:tc>
          <w:tcPr>
            <w:tcW w:w="1529" w:type="dxa"/>
            <w:tcBorders>
              <w:top w:val="single" w:sz="6" w:space="0" w:color="auto"/>
              <w:left w:val="nil"/>
              <w:bottom w:val="single" w:sz="6" w:space="0" w:color="auto"/>
              <w:right w:val="nil"/>
            </w:tcBorders>
            <w:shd w:val="clear" w:color="auto" w:fill="auto"/>
          </w:tcPr>
          <w:p w14:paraId="42B5FF66"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Expert Witness*; John A. Burns School of Medicine (Presenter)</w:t>
            </w:r>
          </w:p>
        </w:tc>
        <w:tc>
          <w:tcPr>
            <w:tcW w:w="1320" w:type="dxa"/>
            <w:tcBorders>
              <w:top w:val="single" w:sz="6" w:space="0" w:color="auto"/>
              <w:left w:val="nil"/>
              <w:bottom w:val="single" w:sz="6" w:space="0" w:color="auto"/>
              <w:right w:val="nil"/>
            </w:tcBorders>
            <w:shd w:val="clear" w:color="auto" w:fill="auto"/>
          </w:tcPr>
          <w:p w14:paraId="5B13D434" w14:textId="2A4098CC"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038" w:type="dxa"/>
            <w:tcBorders>
              <w:top w:val="single" w:sz="6" w:space="0" w:color="auto"/>
              <w:left w:val="nil"/>
              <w:bottom w:val="single" w:sz="6" w:space="0" w:color="auto"/>
              <w:right w:val="nil"/>
            </w:tcBorders>
            <w:shd w:val="clear" w:color="auto" w:fill="auto"/>
          </w:tcPr>
          <w:p w14:paraId="22C0BB2A" w14:textId="537D8DB1"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58" w:type="dxa"/>
            <w:tcBorders>
              <w:top w:val="single" w:sz="6" w:space="0" w:color="auto"/>
              <w:left w:val="nil"/>
              <w:bottom w:val="single" w:sz="6" w:space="0" w:color="auto"/>
              <w:right w:val="nil"/>
            </w:tcBorders>
            <w:shd w:val="clear" w:color="auto" w:fill="auto"/>
          </w:tcPr>
          <w:p w14:paraId="56D8FFCA"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American College of Addiction Medicine (Immediate Past President)</w:t>
            </w:r>
          </w:p>
        </w:tc>
        <w:tc>
          <w:tcPr>
            <w:tcW w:w="1541" w:type="dxa"/>
            <w:tcBorders>
              <w:top w:val="single" w:sz="6" w:space="0" w:color="auto"/>
              <w:left w:val="nil"/>
              <w:bottom w:val="single" w:sz="6" w:space="0" w:color="auto"/>
              <w:right w:val="nil"/>
            </w:tcBorders>
            <w:shd w:val="clear" w:color="auto" w:fill="auto"/>
          </w:tcPr>
          <w:p w14:paraId="5DD9D7CD" w14:textId="412E8EC2"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7B33AE" w:rsidRPr="007D4CB3" w14:paraId="583D0B80" w14:textId="77777777" w:rsidTr="6493A743">
        <w:trPr>
          <w:cantSplit/>
          <w:trHeight w:val="285"/>
        </w:trPr>
        <w:tc>
          <w:tcPr>
            <w:tcW w:w="2028" w:type="dxa"/>
            <w:tcBorders>
              <w:top w:val="single" w:sz="6" w:space="0" w:color="auto"/>
              <w:left w:val="nil"/>
              <w:bottom w:val="single" w:sz="6" w:space="0" w:color="auto"/>
              <w:right w:val="nil"/>
            </w:tcBorders>
            <w:shd w:val="clear" w:color="auto" w:fill="auto"/>
          </w:tcPr>
          <w:p w14:paraId="5EF04123"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Nicole Labor, DO, FASAM</w:t>
            </w:r>
          </w:p>
        </w:tc>
        <w:tc>
          <w:tcPr>
            <w:tcW w:w="1946" w:type="dxa"/>
            <w:tcBorders>
              <w:top w:val="single" w:sz="6" w:space="0" w:color="auto"/>
              <w:left w:val="nil"/>
              <w:bottom w:val="single" w:sz="6" w:space="0" w:color="auto"/>
              <w:right w:val="nil"/>
            </w:tcBorders>
            <w:shd w:val="clear" w:color="auto" w:fill="auto"/>
          </w:tcPr>
          <w:p w14:paraId="41FFC91C" w14:textId="46E7727B" w:rsidR="007B33AE" w:rsidRPr="007D4CB3" w:rsidRDefault="001F6DFC"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 xml:space="preserve">Esper Treatment Center; </w:t>
            </w:r>
            <w:r w:rsidR="00520BE1" w:rsidRPr="007D4CB3">
              <w:rPr>
                <w:rFonts w:ascii="Times New Roman" w:eastAsia="Times New Roman" w:hAnsi="Times New Roman" w:cs="Times New Roman"/>
              </w:rPr>
              <w:t>IBH Addiction Recovery</w:t>
            </w:r>
            <w:r w:rsidRPr="007D4CB3">
              <w:rPr>
                <w:rFonts w:ascii="Times New Roman" w:eastAsia="Times New Roman" w:hAnsi="Times New Roman" w:cs="Times New Roman"/>
              </w:rPr>
              <w:t>; One-Eighty (Medical Dire</w:t>
            </w:r>
            <w:r w:rsidR="004B2F06" w:rsidRPr="007D4CB3">
              <w:rPr>
                <w:rFonts w:ascii="Times New Roman" w:eastAsia="Times New Roman" w:hAnsi="Times New Roman" w:cs="Times New Roman"/>
              </w:rPr>
              <w:t>ctor)</w:t>
            </w:r>
          </w:p>
        </w:tc>
        <w:tc>
          <w:tcPr>
            <w:tcW w:w="1529" w:type="dxa"/>
            <w:tcBorders>
              <w:top w:val="single" w:sz="6" w:space="0" w:color="auto"/>
              <w:left w:val="nil"/>
              <w:bottom w:val="single" w:sz="6" w:space="0" w:color="auto"/>
              <w:right w:val="nil"/>
            </w:tcBorders>
            <w:shd w:val="clear" w:color="auto" w:fill="auto"/>
          </w:tcPr>
          <w:p w14:paraId="0CD31882"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20" w:type="dxa"/>
            <w:tcBorders>
              <w:top w:val="single" w:sz="6" w:space="0" w:color="auto"/>
              <w:left w:val="nil"/>
              <w:bottom w:val="single" w:sz="6" w:space="0" w:color="auto"/>
              <w:right w:val="nil"/>
            </w:tcBorders>
            <w:shd w:val="clear" w:color="auto" w:fill="auto"/>
          </w:tcPr>
          <w:p w14:paraId="195FE4D5"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038" w:type="dxa"/>
            <w:tcBorders>
              <w:top w:val="single" w:sz="6" w:space="0" w:color="auto"/>
              <w:left w:val="nil"/>
              <w:bottom w:val="single" w:sz="6" w:space="0" w:color="auto"/>
              <w:right w:val="nil"/>
            </w:tcBorders>
            <w:shd w:val="clear" w:color="auto" w:fill="auto"/>
          </w:tcPr>
          <w:p w14:paraId="0EDA7C4D"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58" w:type="dxa"/>
            <w:tcBorders>
              <w:top w:val="single" w:sz="6" w:space="0" w:color="auto"/>
              <w:left w:val="nil"/>
              <w:bottom w:val="single" w:sz="6" w:space="0" w:color="auto"/>
              <w:right w:val="nil"/>
            </w:tcBorders>
            <w:shd w:val="clear" w:color="auto" w:fill="auto"/>
          </w:tcPr>
          <w:p w14:paraId="6EDF3CEF"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541" w:type="dxa"/>
            <w:tcBorders>
              <w:top w:val="single" w:sz="6" w:space="0" w:color="auto"/>
              <w:left w:val="nil"/>
              <w:bottom w:val="single" w:sz="6" w:space="0" w:color="auto"/>
              <w:right w:val="nil"/>
            </w:tcBorders>
            <w:shd w:val="clear" w:color="auto" w:fill="auto"/>
          </w:tcPr>
          <w:p w14:paraId="0531880D"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7B33AE" w:rsidRPr="007D4CB3" w14:paraId="7CA33D8E" w14:textId="77777777" w:rsidTr="6493A743">
        <w:trPr>
          <w:cantSplit/>
          <w:trHeight w:val="285"/>
        </w:trPr>
        <w:tc>
          <w:tcPr>
            <w:tcW w:w="2028" w:type="dxa"/>
            <w:tcBorders>
              <w:top w:val="single" w:sz="6" w:space="0" w:color="auto"/>
              <w:left w:val="nil"/>
              <w:bottom w:val="single" w:sz="6" w:space="0" w:color="auto"/>
              <w:right w:val="nil"/>
            </w:tcBorders>
            <w:shd w:val="clear" w:color="auto" w:fill="auto"/>
          </w:tcPr>
          <w:p w14:paraId="38EF10DB"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Surita Rao, MD, FASAM</w:t>
            </w:r>
          </w:p>
        </w:tc>
        <w:tc>
          <w:tcPr>
            <w:tcW w:w="1946" w:type="dxa"/>
            <w:tcBorders>
              <w:top w:val="single" w:sz="6" w:space="0" w:color="auto"/>
              <w:left w:val="nil"/>
              <w:bottom w:val="single" w:sz="6" w:space="0" w:color="auto"/>
              <w:right w:val="nil"/>
            </w:tcBorders>
            <w:shd w:val="clear" w:color="auto" w:fill="auto"/>
          </w:tcPr>
          <w:p w14:paraId="466675DA" w14:textId="0BE10DC1" w:rsidR="007B33AE" w:rsidRPr="007D4CB3" w:rsidRDefault="009637A9"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University of Connecticut Medical School (Associate Professor)</w:t>
            </w:r>
          </w:p>
        </w:tc>
        <w:tc>
          <w:tcPr>
            <w:tcW w:w="1529" w:type="dxa"/>
            <w:tcBorders>
              <w:top w:val="single" w:sz="6" w:space="0" w:color="auto"/>
              <w:left w:val="nil"/>
              <w:bottom w:val="single" w:sz="6" w:space="0" w:color="auto"/>
              <w:right w:val="nil"/>
            </w:tcBorders>
            <w:shd w:val="clear" w:color="auto" w:fill="auto"/>
          </w:tcPr>
          <w:p w14:paraId="63C4134B"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20" w:type="dxa"/>
            <w:tcBorders>
              <w:top w:val="single" w:sz="6" w:space="0" w:color="auto"/>
              <w:left w:val="nil"/>
              <w:bottom w:val="single" w:sz="6" w:space="0" w:color="auto"/>
              <w:right w:val="nil"/>
            </w:tcBorders>
            <w:shd w:val="clear" w:color="auto" w:fill="auto"/>
          </w:tcPr>
          <w:p w14:paraId="7425220C"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038" w:type="dxa"/>
            <w:tcBorders>
              <w:top w:val="single" w:sz="6" w:space="0" w:color="auto"/>
              <w:left w:val="nil"/>
              <w:bottom w:val="single" w:sz="6" w:space="0" w:color="auto"/>
              <w:right w:val="nil"/>
            </w:tcBorders>
            <w:shd w:val="clear" w:color="auto" w:fill="auto"/>
          </w:tcPr>
          <w:p w14:paraId="4F982596"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58" w:type="dxa"/>
            <w:tcBorders>
              <w:top w:val="single" w:sz="6" w:space="0" w:color="auto"/>
              <w:left w:val="nil"/>
              <w:bottom w:val="single" w:sz="6" w:space="0" w:color="auto"/>
              <w:right w:val="nil"/>
            </w:tcBorders>
            <w:shd w:val="clear" w:color="auto" w:fill="auto"/>
          </w:tcPr>
          <w:p w14:paraId="1AE6D5D1"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541" w:type="dxa"/>
            <w:tcBorders>
              <w:top w:val="single" w:sz="6" w:space="0" w:color="auto"/>
              <w:left w:val="nil"/>
              <w:bottom w:val="single" w:sz="6" w:space="0" w:color="auto"/>
              <w:right w:val="nil"/>
            </w:tcBorders>
            <w:shd w:val="clear" w:color="auto" w:fill="auto"/>
          </w:tcPr>
          <w:p w14:paraId="24A5831A"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7B33AE" w:rsidRPr="007D4CB3" w14:paraId="1D7415CB" w14:textId="77777777" w:rsidTr="6493A743">
        <w:trPr>
          <w:cantSplit/>
          <w:trHeight w:val="285"/>
        </w:trPr>
        <w:tc>
          <w:tcPr>
            <w:tcW w:w="2028" w:type="dxa"/>
            <w:tcBorders>
              <w:top w:val="single" w:sz="6" w:space="0" w:color="auto"/>
              <w:left w:val="nil"/>
              <w:bottom w:val="single" w:sz="6" w:space="0" w:color="auto"/>
              <w:right w:val="nil"/>
            </w:tcBorders>
            <w:shd w:val="clear" w:color="auto" w:fill="auto"/>
          </w:tcPr>
          <w:p w14:paraId="1D7D6ADF"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lastRenderedPageBreak/>
              <w:t>Michael F. Weaver, MD, DFASAM</w:t>
            </w:r>
          </w:p>
        </w:tc>
        <w:tc>
          <w:tcPr>
            <w:tcW w:w="1946" w:type="dxa"/>
            <w:tcBorders>
              <w:top w:val="single" w:sz="6" w:space="0" w:color="auto"/>
              <w:left w:val="nil"/>
              <w:bottom w:val="single" w:sz="6" w:space="0" w:color="auto"/>
              <w:right w:val="nil"/>
            </w:tcBorders>
            <w:shd w:val="clear" w:color="auto" w:fill="auto"/>
          </w:tcPr>
          <w:p w14:paraId="6F79B145"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University of Texas Health Science Center at Houston (Professor, Director)</w:t>
            </w:r>
          </w:p>
        </w:tc>
        <w:tc>
          <w:tcPr>
            <w:tcW w:w="1529" w:type="dxa"/>
            <w:tcBorders>
              <w:top w:val="single" w:sz="6" w:space="0" w:color="auto"/>
              <w:left w:val="nil"/>
              <w:bottom w:val="single" w:sz="6" w:space="0" w:color="auto"/>
              <w:right w:val="nil"/>
            </w:tcBorders>
            <w:shd w:val="clear" w:color="auto" w:fill="auto"/>
          </w:tcPr>
          <w:p w14:paraId="2A92901D"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20" w:type="dxa"/>
            <w:tcBorders>
              <w:top w:val="single" w:sz="6" w:space="0" w:color="auto"/>
              <w:left w:val="nil"/>
              <w:bottom w:val="single" w:sz="6" w:space="0" w:color="auto"/>
              <w:right w:val="nil"/>
            </w:tcBorders>
            <w:shd w:val="clear" w:color="auto" w:fill="auto"/>
          </w:tcPr>
          <w:p w14:paraId="53AF7FAD"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038" w:type="dxa"/>
            <w:tcBorders>
              <w:top w:val="single" w:sz="6" w:space="0" w:color="auto"/>
              <w:left w:val="nil"/>
              <w:bottom w:val="single" w:sz="6" w:space="0" w:color="auto"/>
              <w:right w:val="nil"/>
            </w:tcBorders>
            <w:shd w:val="clear" w:color="auto" w:fill="auto"/>
          </w:tcPr>
          <w:p w14:paraId="0EC1F335"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58" w:type="dxa"/>
            <w:tcBorders>
              <w:top w:val="single" w:sz="6" w:space="0" w:color="auto"/>
              <w:left w:val="nil"/>
              <w:bottom w:val="single" w:sz="6" w:space="0" w:color="auto"/>
              <w:right w:val="nil"/>
            </w:tcBorders>
            <w:shd w:val="clear" w:color="auto" w:fill="auto"/>
          </w:tcPr>
          <w:p w14:paraId="419BE62F"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American Board of Preventive Medicine (Board Member)</w:t>
            </w:r>
          </w:p>
        </w:tc>
        <w:tc>
          <w:tcPr>
            <w:tcW w:w="1541" w:type="dxa"/>
            <w:tcBorders>
              <w:top w:val="single" w:sz="6" w:space="0" w:color="auto"/>
              <w:left w:val="nil"/>
              <w:bottom w:val="single" w:sz="6" w:space="0" w:color="auto"/>
              <w:right w:val="nil"/>
            </w:tcBorders>
            <w:shd w:val="clear" w:color="auto" w:fill="auto"/>
          </w:tcPr>
          <w:p w14:paraId="14DA802E"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7B33AE" w:rsidRPr="007D4CB3" w14:paraId="158CA0F4" w14:textId="77777777" w:rsidTr="6493A743">
        <w:trPr>
          <w:cantSplit/>
          <w:trHeight w:val="285"/>
        </w:trPr>
        <w:tc>
          <w:tcPr>
            <w:tcW w:w="2028" w:type="dxa"/>
            <w:tcBorders>
              <w:top w:val="single" w:sz="6" w:space="0" w:color="auto"/>
              <w:left w:val="nil"/>
              <w:bottom w:val="single" w:sz="6" w:space="0" w:color="auto"/>
              <w:right w:val="nil"/>
            </w:tcBorders>
            <w:shd w:val="clear" w:color="auto" w:fill="auto"/>
          </w:tcPr>
          <w:p w14:paraId="0974BF40"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Michael Fingerhood, MD, FACP, DFASAM</w:t>
            </w:r>
          </w:p>
        </w:tc>
        <w:tc>
          <w:tcPr>
            <w:tcW w:w="1946" w:type="dxa"/>
            <w:tcBorders>
              <w:top w:val="single" w:sz="6" w:space="0" w:color="auto"/>
              <w:left w:val="nil"/>
              <w:bottom w:val="single" w:sz="6" w:space="0" w:color="auto"/>
              <w:right w:val="nil"/>
            </w:tcBorders>
            <w:shd w:val="clear" w:color="auto" w:fill="auto"/>
          </w:tcPr>
          <w:p w14:paraId="5ED9BE0F" w14:textId="52E5751F" w:rsidR="007B33AE" w:rsidRPr="007D4CB3" w:rsidRDefault="00154368"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Johns Hopkins University (Associate Professor); Johns Hopkins Bayview Medical Center (</w:t>
            </w:r>
            <w:r w:rsidR="00545BCD" w:rsidRPr="007D4CB3">
              <w:rPr>
                <w:rFonts w:ascii="Times New Roman" w:eastAsia="Times New Roman" w:hAnsi="Times New Roman" w:cs="Times New Roman"/>
              </w:rPr>
              <w:t>Chief of the Division of Addiction Medicine)</w:t>
            </w:r>
          </w:p>
        </w:tc>
        <w:tc>
          <w:tcPr>
            <w:tcW w:w="1529" w:type="dxa"/>
            <w:tcBorders>
              <w:top w:val="single" w:sz="6" w:space="0" w:color="auto"/>
              <w:left w:val="nil"/>
              <w:bottom w:val="single" w:sz="6" w:space="0" w:color="auto"/>
              <w:right w:val="nil"/>
            </w:tcBorders>
            <w:shd w:val="clear" w:color="auto" w:fill="auto"/>
          </w:tcPr>
          <w:p w14:paraId="625D2E0C"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20" w:type="dxa"/>
            <w:tcBorders>
              <w:top w:val="single" w:sz="6" w:space="0" w:color="auto"/>
              <w:left w:val="nil"/>
              <w:bottom w:val="single" w:sz="6" w:space="0" w:color="auto"/>
              <w:right w:val="nil"/>
            </w:tcBorders>
            <w:shd w:val="clear" w:color="auto" w:fill="auto"/>
          </w:tcPr>
          <w:p w14:paraId="2BBC7214"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038" w:type="dxa"/>
            <w:tcBorders>
              <w:top w:val="single" w:sz="6" w:space="0" w:color="auto"/>
              <w:left w:val="nil"/>
              <w:bottom w:val="single" w:sz="6" w:space="0" w:color="auto"/>
              <w:right w:val="nil"/>
            </w:tcBorders>
            <w:shd w:val="clear" w:color="auto" w:fill="auto"/>
          </w:tcPr>
          <w:p w14:paraId="77713C6F"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58" w:type="dxa"/>
            <w:tcBorders>
              <w:top w:val="single" w:sz="6" w:space="0" w:color="auto"/>
              <w:left w:val="nil"/>
              <w:bottom w:val="single" w:sz="6" w:space="0" w:color="auto"/>
              <w:right w:val="nil"/>
            </w:tcBorders>
            <w:shd w:val="clear" w:color="auto" w:fill="auto"/>
          </w:tcPr>
          <w:p w14:paraId="4E285FFD"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American Academy of HIV Medicine (Board Member)</w:t>
            </w:r>
          </w:p>
        </w:tc>
        <w:tc>
          <w:tcPr>
            <w:tcW w:w="1541" w:type="dxa"/>
            <w:tcBorders>
              <w:top w:val="single" w:sz="6" w:space="0" w:color="auto"/>
              <w:left w:val="nil"/>
              <w:bottom w:val="single" w:sz="6" w:space="0" w:color="auto"/>
              <w:right w:val="nil"/>
            </w:tcBorders>
            <w:shd w:val="clear" w:color="auto" w:fill="auto"/>
          </w:tcPr>
          <w:p w14:paraId="7DF75BE0"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7B33AE" w:rsidRPr="007D4CB3" w14:paraId="662A4610" w14:textId="77777777" w:rsidTr="6493A743">
        <w:trPr>
          <w:cantSplit/>
          <w:trHeight w:val="285"/>
        </w:trPr>
        <w:tc>
          <w:tcPr>
            <w:tcW w:w="2028" w:type="dxa"/>
            <w:tcBorders>
              <w:top w:val="single" w:sz="6" w:space="0" w:color="auto"/>
              <w:left w:val="nil"/>
              <w:bottom w:val="single" w:sz="6" w:space="0" w:color="auto"/>
              <w:right w:val="nil"/>
            </w:tcBorders>
            <w:shd w:val="clear" w:color="auto" w:fill="auto"/>
          </w:tcPr>
          <w:p w14:paraId="4F077ECA"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Kenneth I. Freedman, MD, MS, MBA, FACP, AGAF, DFASAM</w:t>
            </w:r>
          </w:p>
        </w:tc>
        <w:tc>
          <w:tcPr>
            <w:tcW w:w="1946" w:type="dxa"/>
            <w:tcBorders>
              <w:top w:val="single" w:sz="6" w:space="0" w:color="auto"/>
              <w:left w:val="nil"/>
              <w:bottom w:val="single" w:sz="6" w:space="0" w:color="auto"/>
              <w:right w:val="nil"/>
            </w:tcBorders>
            <w:shd w:val="clear" w:color="auto" w:fill="auto"/>
          </w:tcPr>
          <w:p w14:paraId="6D97F687"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Aetna/CVS Health (Medical Director); The Recovery Research Network (Medical Director)</w:t>
            </w:r>
          </w:p>
        </w:tc>
        <w:tc>
          <w:tcPr>
            <w:tcW w:w="1529" w:type="dxa"/>
            <w:tcBorders>
              <w:top w:val="single" w:sz="6" w:space="0" w:color="auto"/>
              <w:left w:val="nil"/>
              <w:bottom w:val="single" w:sz="6" w:space="0" w:color="auto"/>
              <w:right w:val="nil"/>
            </w:tcBorders>
            <w:shd w:val="clear" w:color="auto" w:fill="auto"/>
          </w:tcPr>
          <w:p w14:paraId="79D98F80"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20" w:type="dxa"/>
            <w:tcBorders>
              <w:top w:val="single" w:sz="6" w:space="0" w:color="auto"/>
              <w:left w:val="nil"/>
              <w:bottom w:val="single" w:sz="6" w:space="0" w:color="auto"/>
              <w:right w:val="nil"/>
            </w:tcBorders>
            <w:shd w:val="clear" w:color="auto" w:fill="auto"/>
          </w:tcPr>
          <w:p w14:paraId="2A632873"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038" w:type="dxa"/>
            <w:tcBorders>
              <w:top w:val="single" w:sz="6" w:space="0" w:color="auto"/>
              <w:left w:val="nil"/>
              <w:bottom w:val="single" w:sz="6" w:space="0" w:color="auto"/>
              <w:right w:val="nil"/>
            </w:tcBorders>
            <w:shd w:val="clear" w:color="auto" w:fill="auto"/>
          </w:tcPr>
          <w:p w14:paraId="39137C80"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58" w:type="dxa"/>
            <w:tcBorders>
              <w:top w:val="single" w:sz="6" w:space="0" w:color="auto"/>
              <w:left w:val="nil"/>
              <w:bottom w:val="single" w:sz="6" w:space="0" w:color="auto"/>
              <w:right w:val="nil"/>
            </w:tcBorders>
            <w:shd w:val="clear" w:color="auto" w:fill="auto"/>
          </w:tcPr>
          <w:p w14:paraId="3B9C013C" w14:textId="4468BD89"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541" w:type="dxa"/>
            <w:tcBorders>
              <w:top w:val="single" w:sz="6" w:space="0" w:color="auto"/>
              <w:left w:val="nil"/>
              <w:bottom w:val="single" w:sz="6" w:space="0" w:color="auto"/>
              <w:right w:val="nil"/>
            </w:tcBorders>
            <w:shd w:val="clear" w:color="auto" w:fill="auto"/>
          </w:tcPr>
          <w:p w14:paraId="6AE82041"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7B33AE" w:rsidRPr="007D4CB3" w14:paraId="56646E9D" w14:textId="77777777" w:rsidTr="6493A743">
        <w:trPr>
          <w:cantSplit/>
          <w:trHeight w:val="285"/>
        </w:trPr>
        <w:tc>
          <w:tcPr>
            <w:tcW w:w="2028" w:type="dxa"/>
            <w:tcBorders>
              <w:top w:val="single" w:sz="6" w:space="0" w:color="auto"/>
              <w:left w:val="nil"/>
              <w:bottom w:val="single" w:sz="6" w:space="0" w:color="auto"/>
              <w:right w:val="nil"/>
            </w:tcBorders>
            <w:shd w:val="clear" w:color="auto" w:fill="auto"/>
          </w:tcPr>
          <w:p w14:paraId="7ECEB5BE"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Margaret A. E. Jarvis, MD, DFASAM</w:t>
            </w:r>
          </w:p>
        </w:tc>
        <w:tc>
          <w:tcPr>
            <w:tcW w:w="1946" w:type="dxa"/>
            <w:tcBorders>
              <w:top w:val="single" w:sz="6" w:space="0" w:color="auto"/>
              <w:left w:val="nil"/>
              <w:bottom w:val="single" w:sz="6" w:space="0" w:color="auto"/>
              <w:right w:val="nil"/>
            </w:tcBorders>
            <w:shd w:val="clear" w:color="auto" w:fill="auto"/>
          </w:tcPr>
          <w:p w14:paraId="5B1F235F" w14:textId="370DC991" w:rsidR="007B33AE" w:rsidRPr="007D4CB3" w:rsidRDefault="007B33AE" w:rsidP="00FC7CE6">
            <w:pPr>
              <w:spacing w:before="0" w:after="0" w:line="240" w:lineRule="auto"/>
              <w:ind w:left="150" w:hanging="150"/>
              <w:rPr>
                <w:rFonts w:ascii="Times New Roman" w:eastAsia="Times New Roman" w:hAnsi="Times New Roman" w:cs="Times New Roman"/>
              </w:rPr>
            </w:pPr>
            <w:r w:rsidRPr="007D4CB3">
              <w:rPr>
                <w:rFonts w:ascii="Times New Roman" w:eastAsia="Times New Roman" w:hAnsi="Times New Roman" w:cs="Times New Roman"/>
              </w:rPr>
              <w:t>Geisinger (Chief</w:t>
            </w:r>
            <w:r w:rsidR="00CB2851" w:rsidRPr="007D4CB3">
              <w:rPr>
                <w:rFonts w:ascii="Times New Roman" w:eastAsia="Times New Roman" w:hAnsi="Times New Roman" w:cs="Times New Roman"/>
              </w:rPr>
              <w:t xml:space="preserve"> of Addiction Medicine Division</w:t>
            </w:r>
            <w:r w:rsidRPr="007D4CB3">
              <w:rPr>
                <w:rFonts w:ascii="Times New Roman" w:eastAsia="Times New Roman" w:hAnsi="Times New Roman" w:cs="Times New Roman"/>
              </w:rPr>
              <w:t>)</w:t>
            </w:r>
          </w:p>
        </w:tc>
        <w:tc>
          <w:tcPr>
            <w:tcW w:w="1529" w:type="dxa"/>
            <w:tcBorders>
              <w:top w:val="single" w:sz="6" w:space="0" w:color="auto"/>
              <w:left w:val="nil"/>
              <w:bottom w:val="single" w:sz="6" w:space="0" w:color="auto"/>
              <w:right w:val="nil"/>
            </w:tcBorders>
            <w:shd w:val="clear" w:color="auto" w:fill="auto"/>
          </w:tcPr>
          <w:p w14:paraId="549CDC56" w14:textId="77777777" w:rsidR="007B33AE" w:rsidRPr="007D4CB3" w:rsidRDefault="007B33AE" w:rsidP="00FC7CE6">
            <w:pPr>
              <w:spacing w:before="0" w:after="0" w:line="240" w:lineRule="auto"/>
              <w:ind w:left="150" w:hanging="150"/>
              <w:rPr>
                <w:rFonts w:ascii="Times New Roman" w:eastAsia="Times New Roman" w:hAnsi="Times New Roman" w:cs="Times New Roman"/>
              </w:rPr>
            </w:pPr>
            <w:r w:rsidRPr="007D4CB3">
              <w:rPr>
                <w:rFonts w:ascii="Times New Roman" w:eastAsia="Times New Roman" w:hAnsi="Times New Roman" w:cs="Times New Roman"/>
              </w:rPr>
              <w:t>Expert Witness**</w:t>
            </w:r>
          </w:p>
        </w:tc>
        <w:tc>
          <w:tcPr>
            <w:tcW w:w="1320" w:type="dxa"/>
            <w:tcBorders>
              <w:top w:val="single" w:sz="6" w:space="0" w:color="auto"/>
              <w:left w:val="nil"/>
              <w:bottom w:val="single" w:sz="6" w:space="0" w:color="auto"/>
              <w:right w:val="nil"/>
            </w:tcBorders>
            <w:shd w:val="clear" w:color="auto" w:fill="auto"/>
          </w:tcPr>
          <w:p w14:paraId="20BDAD81" w14:textId="7304DDA1" w:rsidR="007B33AE" w:rsidRPr="007D4CB3" w:rsidRDefault="007B33AE" w:rsidP="00FC7CE6">
            <w:pPr>
              <w:spacing w:before="0" w:after="0" w:line="240" w:lineRule="auto"/>
              <w:ind w:left="150" w:hanging="150"/>
              <w:rPr>
                <w:rFonts w:ascii="Times New Roman" w:eastAsia="Times New Roman" w:hAnsi="Times New Roman" w:cs="Times New Roman"/>
              </w:rPr>
            </w:pPr>
            <w:r w:rsidRPr="007D4CB3">
              <w:rPr>
                <w:rFonts w:ascii="Times New Roman" w:eastAsia="Times New Roman" w:hAnsi="Times New Roman" w:cs="Times New Roman"/>
              </w:rPr>
              <w:t>None</w:t>
            </w:r>
          </w:p>
        </w:tc>
        <w:tc>
          <w:tcPr>
            <w:tcW w:w="2038" w:type="dxa"/>
            <w:tcBorders>
              <w:top w:val="single" w:sz="6" w:space="0" w:color="auto"/>
              <w:left w:val="nil"/>
              <w:bottom w:val="single" w:sz="6" w:space="0" w:color="auto"/>
              <w:right w:val="nil"/>
            </w:tcBorders>
            <w:shd w:val="clear" w:color="auto" w:fill="auto"/>
          </w:tcPr>
          <w:p w14:paraId="27B5F4AC" w14:textId="69C941C8" w:rsidR="007B33AE" w:rsidRPr="007D4CB3" w:rsidRDefault="007B33AE" w:rsidP="00FC7CE6">
            <w:pPr>
              <w:spacing w:before="0" w:after="0" w:line="240" w:lineRule="auto"/>
              <w:ind w:left="150" w:hanging="150"/>
              <w:rPr>
                <w:rFonts w:ascii="Times New Roman" w:eastAsia="Times New Roman" w:hAnsi="Times New Roman" w:cs="Times New Roman"/>
              </w:rPr>
            </w:pPr>
            <w:r w:rsidRPr="007D4CB3">
              <w:rPr>
                <w:rFonts w:ascii="Times New Roman" w:eastAsia="Times New Roman" w:hAnsi="Times New Roman" w:cs="Times New Roman"/>
              </w:rPr>
              <w:t>None</w:t>
            </w:r>
          </w:p>
        </w:tc>
        <w:tc>
          <w:tcPr>
            <w:tcW w:w="2558" w:type="dxa"/>
            <w:tcBorders>
              <w:top w:val="single" w:sz="6" w:space="0" w:color="auto"/>
              <w:left w:val="nil"/>
              <w:bottom w:val="single" w:sz="6" w:space="0" w:color="auto"/>
              <w:right w:val="nil"/>
            </w:tcBorders>
            <w:shd w:val="clear" w:color="auto" w:fill="auto"/>
          </w:tcPr>
          <w:p w14:paraId="0A7836EA" w14:textId="77777777" w:rsidR="007B33AE" w:rsidRPr="007D4CB3" w:rsidRDefault="007B33AE" w:rsidP="00FC7CE6">
            <w:pPr>
              <w:spacing w:before="0" w:after="0" w:line="240" w:lineRule="auto"/>
              <w:ind w:left="150" w:hanging="150"/>
              <w:rPr>
                <w:rFonts w:ascii="Times New Roman" w:eastAsia="Times New Roman" w:hAnsi="Times New Roman" w:cs="Times New Roman"/>
              </w:rPr>
            </w:pPr>
            <w:r w:rsidRPr="007D4CB3">
              <w:rPr>
                <w:rFonts w:ascii="Times New Roman" w:eastAsia="Times New Roman" w:hAnsi="Times New Roman" w:cs="Times New Roman"/>
              </w:rPr>
              <w:t>American Board of Preventive Medicine (Exam Committee Member)</w:t>
            </w:r>
          </w:p>
        </w:tc>
        <w:tc>
          <w:tcPr>
            <w:tcW w:w="1541" w:type="dxa"/>
            <w:tcBorders>
              <w:top w:val="single" w:sz="6" w:space="0" w:color="auto"/>
              <w:left w:val="nil"/>
              <w:bottom w:val="single" w:sz="6" w:space="0" w:color="auto"/>
              <w:right w:val="nil"/>
            </w:tcBorders>
            <w:shd w:val="clear" w:color="auto" w:fill="auto"/>
          </w:tcPr>
          <w:p w14:paraId="40DF6CF9"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7B33AE" w:rsidRPr="007D4CB3" w14:paraId="3C7947AC" w14:textId="77777777" w:rsidTr="6493A743">
        <w:trPr>
          <w:cantSplit/>
          <w:trHeight w:val="285"/>
        </w:trPr>
        <w:tc>
          <w:tcPr>
            <w:tcW w:w="2028" w:type="dxa"/>
            <w:tcBorders>
              <w:top w:val="single" w:sz="6" w:space="0" w:color="auto"/>
              <w:left w:val="nil"/>
              <w:bottom w:val="single" w:sz="6" w:space="0" w:color="auto"/>
              <w:right w:val="nil"/>
            </w:tcBorders>
            <w:shd w:val="clear" w:color="auto" w:fill="auto"/>
          </w:tcPr>
          <w:p w14:paraId="65F454ED" w14:textId="77777777" w:rsidR="007B33AE" w:rsidRPr="007D4CB3" w:rsidRDefault="007B33AE" w:rsidP="00FC7CE6">
            <w:pPr>
              <w:spacing w:before="0" w:after="0" w:line="24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Nicholas Athanasiou, MD, MBA, DFASAM</w:t>
            </w:r>
          </w:p>
        </w:tc>
        <w:tc>
          <w:tcPr>
            <w:tcW w:w="1946" w:type="dxa"/>
            <w:tcBorders>
              <w:top w:val="single" w:sz="6" w:space="0" w:color="auto"/>
              <w:left w:val="nil"/>
              <w:bottom w:val="single" w:sz="6" w:space="0" w:color="auto"/>
              <w:right w:val="nil"/>
            </w:tcBorders>
            <w:shd w:val="clear" w:color="auto" w:fill="auto"/>
          </w:tcPr>
          <w:p w14:paraId="696AE468"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Los Angeles County Department of Mental Health (Provider); Private Practice</w:t>
            </w:r>
          </w:p>
        </w:tc>
        <w:tc>
          <w:tcPr>
            <w:tcW w:w="1529" w:type="dxa"/>
            <w:tcBorders>
              <w:top w:val="single" w:sz="6" w:space="0" w:color="auto"/>
              <w:left w:val="nil"/>
              <w:bottom w:val="single" w:sz="6" w:space="0" w:color="auto"/>
              <w:right w:val="nil"/>
            </w:tcBorders>
            <w:shd w:val="clear" w:color="auto" w:fill="auto"/>
          </w:tcPr>
          <w:p w14:paraId="44C96197"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20" w:type="dxa"/>
            <w:tcBorders>
              <w:top w:val="single" w:sz="6" w:space="0" w:color="auto"/>
              <w:left w:val="nil"/>
              <w:bottom w:val="single" w:sz="6" w:space="0" w:color="auto"/>
              <w:right w:val="nil"/>
            </w:tcBorders>
            <w:shd w:val="clear" w:color="auto" w:fill="auto"/>
          </w:tcPr>
          <w:p w14:paraId="7CB1C8B3"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038" w:type="dxa"/>
            <w:tcBorders>
              <w:top w:val="single" w:sz="6" w:space="0" w:color="auto"/>
              <w:left w:val="nil"/>
              <w:bottom w:val="single" w:sz="6" w:space="0" w:color="auto"/>
              <w:right w:val="nil"/>
            </w:tcBorders>
            <w:shd w:val="clear" w:color="auto" w:fill="auto"/>
          </w:tcPr>
          <w:p w14:paraId="4B6D7BFB"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58" w:type="dxa"/>
            <w:tcBorders>
              <w:top w:val="single" w:sz="6" w:space="0" w:color="auto"/>
              <w:left w:val="nil"/>
              <w:bottom w:val="single" w:sz="6" w:space="0" w:color="auto"/>
              <w:right w:val="nil"/>
            </w:tcBorders>
            <w:shd w:val="clear" w:color="auto" w:fill="auto"/>
          </w:tcPr>
          <w:p w14:paraId="423A16E3"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American Board of Psychiatry and Neurology (Past Addiction Psychiatry Committee Member)</w:t>
            </w:r>
          </w:p>
        </w:tc>
        <w:tc>
          <w:tcPr>
            <w:tcW w:w="1541" w:type="dxa"/>
            <w:tcBorders>
              <w:top w:val="single" w:sz="6" w:space="0" w:color="auto"/>
              <w:left w:val="nil"/>
              <w:bottom w:val="single" w:sz="6" w:space="0" w:color="auto"/>
              <w:right w:val="nil"/>
            </w:tcBorders>
            <w:shd w:val="clear" w:color="auto" w:fill="auto"/>
          </w:tcPr>
          <w:p w14:paraId="498CDFFA"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7B33AE" w:rsidRPr="007D4CB3" w14:paraId="27A339EE" w14:textId="77777777" w:rsidTr="6493A743">
        <w:trPr>
          <w:cantSplit/>
          <w:trHeight w:val="285"/>
        </w:trPr>
        <w:tc>
          <w:tcPr>
            <w:tcW w:w="2028" w:type="dxa"/>
            <w:tcBorders>
              <w:top w:val="single" w:sz="6" w:space="0" w:color="auto"/>
              <w:left w:val="nil"/>
              <w:bottom w:val="single" w:sz="6" w:space="0" w:color="auto"/>
              <w:right w:val="nil"/>
            </w:tcBorders>
            <w:shd w:val="clear" w:color="auto" w:fill="auto"/>
          </w:tcPr>
          <w:p w14:paraId="13BF60C3" w14:textId="7927AB9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lastRenderedPageBreak/>
              <w:t>Cara A. Poland, MD, M</w:t>
            </w:r>
            <w:r w:rsidR="5C656A7B" w:rsidRPr="007D4CB3">
              <w:rPr>
                <w:rFonts w:ascii="Times New Roman" w:eastAsia="Times New Roman" w:hAnsi="Times New Roman" w:cs="Times New Roman"/>
              </w:rPr>
              <w:t>E</w:t>
            </w:r>
            <w:r w:rsidRPr="007D4CB3">
              <w:rPr>
                <w:rFonts w:ascii="Times New Roman" w:eastAsia="Times New Roman" w:hAnsi="Times New Roman" w:cs="Times New Roman"/>
              </w:rPr>
              <w:t>d, FACP, DFASAM</w:t>
            </w:r>
          </w:p>
        </w:tc>
        <w:tc>
          <w:tcPr>
            <w:tcW w:w="1946" w:type="dxa"/>
            <w:tcBorders>
              <w:top w:val="single" w:sz="6" w:space="0" w:color="auto"/>
              <w:left w:val="nil"/>
              <w:bottom w:val="single" w:sz="6" w:space="0" w:color="auto"/>
              <w:right w:val="nil"/>
            </w:tcBorders>
            <w:shd w:val="clear" w:color="auto" w:fill="auto"/>
          </w:tcPr>
          <w:p w14:paraId="2FEFD30F" w14:textId="7C737155" w:rsidR="007B33AE" w:rsidRPr="007D4CB3" w:rsidRDefault="00E74588"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Michigan State University</w:t>
            </w:r>
            <w:r w:rsidR="00E767FA" w:rsidRPr="007D4CB3">
              <w:rPr>
                <w:rFonts w:ascii="Times New Roman" w:eastAsia="Times New Roman" w:hAnsi="Times New Roman" w:cs="Times New Roman"/>
              </w:rPr>
              <w:t xml:space="preserve"> Department of Obstetrics and Gynecology (Faculty)</w:t>
            </w:r>
          </w:p>
        </w:tc>
        <w:tc>
          <w:tcPr>
            <w:tcW w:w="1529" w:type="dxa"/>
            <w:tcBorders>
              <w:top w:val="single" w:sz="6" w:space="0" w:color="auto"/>
              <w:left w:val="nil"/>
              <w:bottom w:val="single" w:sz="6" w:space="0" w:color="auto"/>
              <w:right w:val="nil"/>
            </w:tcBorders>
            <w:shd w:val="clear" w:color="auto" w:fill="auto"/>
          </w:tcPr>
          <w:p w14:paraId="1E80C576"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20" w:type="dxa"/>
            <w:tcBorders>
              <w:top w:val="single" w:sz="6" w:space="0" w:color="auto"/>
              <w:left w:val="nil"/>
              <w:bottom w:val="single" w:sz="6" w:space="0" w:color="auto"/>
              <w:right w:val="nil"/>
            </w:tcBorders>
            <w:shd w:val="clear" w:color="auto" w:fill="auto"/>
          </w:tcPr>
          <w:p w14:paraId="4D23FFA1"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038" w:type="dxa"/>
            <w:tcBorders>
              <w:top w:val="single" w:sz="6" w:space="0" w:color="auto"/>
              <w:left w:val="nil"/>
              <w:bottom w:val="single" w:sz="6" w:space="0" w:color="auto"/>
              <w:right w:val="nil"/>
            </w:tcBorders>
            <w:shd w:val="clear" w:color="auto" w:fill="auto"/>
          </w:tcPr>
          <w:p w14:paraId="7912B36E"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558" w:type="dxa"/>
            <w:tcBorders>
              <w:top w:val="single" w:sz="6" w:space="0" w:color="auto"/>
              <w:left w:val="nil"/>
              <w:bottom w:val="single" w:sz="6" w:space="0" w:color="auto"/>
              <w:right w:val="nil"/>
            </w:tcBorders>
            <w:shd w:val="clear" w:color="auto" w:fill="auto"/>
          </w:tcPr>
          <w:p w14:paraId="5D7A6B09"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541" w:type="dxa"/>
            <w:tcBorders>
              <w:top w:val="single" w:sz="6" w:space="0" w:color="auto"/>
              <w:left w:val="nil"/>
              <w:bottom w:val="single" w:sz="6" w:space="0" w:color="auto"/>
              <w:right w:val="nil"/>
            </w:tcBorders>
            <w:shd w:val="clear" w:color="auto" w:fill="auto"/>
          </w:tcPr>
          <w:p w14:paraId="3C691DA6" w14:textId="77777777" w:rsidR="007B33AE" w:rsidRPr="007D4CB3" w:rsidRDefault="007B33AE"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bl>
    <w:p w14:paraId="733C2D15" w14:textId="5F697FDC" w:rsidR="00254947" w:rsidRPr="007D4CB3" w:rsidRDefault="007B33AE" w:rsidP="00FC7CE6">
      <w:pPr>
        <w:spacing w:before="0" w:after="0" w:line="240" w:lineRule="auto"/>
        <w:rPr>
          <w:rFonts w:ascii="Times New Roman" w:hAnsi="Times New Roman" w:cs="Times New Roman"/>
        </w:rPr>
      </w:pPr>
      <w:r w:rsidRPr="007D4CB3">
        <w:rPr>
          <w:rStyle w:val="normaltextrun"/>
          <w:rFonts w:ascii="Times New Roman" w:hAnsi="Times New Roman" w:cs="Times New Roman"/>
          <w:color w:val="000000"/>
          <w:shd w:val="clear" w:color="auto" w:fill="FFFFFF"/>
        </w:rPr>
        <w:t>The above table presents relationships of ASAM’s Board of Directors during the past 12</w:t>
      </w:r>
      <w:r w:rsidR="00803F1C" w:rsidRPr="007D4CB3">
        <w:rPr>
          <w:rStyle w:val="normaltextrun"/>
          <w:rFonts w:ascii="Times New Roman" w:hAnsi="Times New Roman" w:cs="Times New Roman"/>
          <w:color w:val="000000"/>
          <w:shd w:val="clear" w:color="auto" w:fill="FFFFFF"/>
        </w:rPr>
        <w:t> </w:t>
      </w:r>
      <w:r w:rsidRPr="007D4CB3">
        <w:rPr>
          <w:rStyle w:val="normaltextrun"/>
          <w:rFonts w:ascii="Times New Roman" w:hAnsi="Times New Roman" w:cs="Times New Roman"/>
          <w:color w:val="000000"/>
          <w:shd w:val="clear" w:color="auto" w:fill="FFFFFF"/>
        </w:rPr>
        <w:t>months with industry and other entities that were determined to be relevant to this document. These relationships are current as of the completion of this document and may not necessarily reflect relationships at the time of this document’s publication.</w:t>
      </w:r>
      <w:r w:rsidR="00254947" w:rsidRPr="007D4CB3">
        <w:rPr>
          <w:rFonts w:ascii="Times New Roman" w:hAnsi="Times New Roman" w:cs="Times New Roman"/>
        </w:rPr>
        <w:br w:type="page"/>
      </w:r>
    </w:p>
    <w:p w14:paraId="7C92768B" w14:textId="4CF2CE04" w:rsidR="00CA11A6" w:rsidRPr="007D4CB3" w:rsidRDefault="00254947" w:rsidP="00FC7CE6">
      <w:pPr>
        <w:pStyle w:val="Heading2"/>
        <w:spacing w:before="0" w:after="0" w:line="240" w:lineRule="auto"/>
        <w:rPr>
          <w:rFonts w:ascii="Times New Roman" w:hAnsi="Times New Roman" w:cs="Times New Roman"/>
          <w:sz w:val="24"/>
        </w:rPr>
      </w:pPr>
      <w:bookmarkStart w:id="10" w:name="_Toc144381381"/>
      <w:r w:rsidRPr="007D4CB3">
        <w:rPr>
          <w:rFonts w:ascii="Times New Roman" w:hAnsi="Times New Roman" w:cs="Times New Roman"/>
          <w:sz w:val="24"/>
        </w:rPr>
        <w:lastRenderedPageBreak/>
        <w:t>AAAP Executive Committee</w:t>
      </w:r>
      <w:bookmarkEnd w:id="10"/>
    </w:p>
    <w:tbl>
      <w:tblPr>
        <w:tblW w:w="12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0"/>
        <w:gridCol w:w="1837"/>
        <w:gridCol w:w="1723"/>
        <w:gridCol w:w="1343"/>
        <w:gridCol w:w="2241"/>
        <w:gridCol w:w="2591"/>
        <w:gridCol w:w="1345"/>
      </w:tblGrid>
      <w:tr w:rsidR="00656C18" w:rsidRPr="007D4CB3" w14:paraId="16A0B6CC" w14:textId="77777777" w:rsidTr="0477D20A">
        <w:trPr>
          <w:cantSplit/>
          <w:trHeight w:val="285"/>
          <w:tblHeader/>
        </w:trPr>
        <w:tc>
          <w:tcPr>
            <w:tcW w:w="1890" w:type="dxa"/>
            <w:tcBorders>
              <w:top w:val="single" w:sz="12" w:space="0" w:color="auto"/>
              <w:left w:val="nil"/>
              <w:bottom w:val="single" w:sz="12" w:space="0" w:color="auto"/>
              <w:right w:val="nil"/>
            </w:tcBorders>
            <w:shd w:val="clear" w:color="auto" w:fill="auto"/>
            <w:hideMark/>
          </w:tcPr>
          <w:p w14:paraId="6580905D" w14:textId="2EBDC318" w:rsidR="00656C18" w:rsidRPr="007D4CB3" w:rsidRDefault="00656C18" w:rsidP="00FC7CE6">
            <w:pPr>
              <w:spacing w:before="0" w:after="0" w:line="240" w:lineRule="auto"/>
              <w:textAlignment w:val="baseline"/>
              <w:rPr>
                <w:rFonts w:ascii="Times New Roman" w:eastAsia="Times New Roman" w:hAnsi="Times New Roman" w:cs="Times New Roman"/>
                <w:b/>
                <w:bCs/>
                <w:color w:val="231F20"/>
              </w:rPr>
            </w:pPr>
            <w:r w:rsidRPr="007D4CB3">
              <w:rPr>
                <w:rFonts w:ascii="Times New Roman" w:eastAsia="Times New Roman" w:hAnsi="Times New Roman" w:cs="Times New Roman"/>
                <w:b/>
                <w:bCs/>
                <w:color w:val="231F20"/>
              </w:rPr>
              <w:t>AAAP Executive Committee</w:t>
            </w:r>
          </w:p>
        </w:tc>
        <w:tc>
          <w:tcPr>
            <w:tcW w:w="1800" w:type="dxa"/>
            <w:tcBorders>
              <w:top w:val="single" w:sz="12" w:space="0" w:color="auto"/>
              <w:left w:val="nil"/>
              <w:bottom w:val="single" w:sz="12" w:space="0" w:color="auto"/>
              <w:right w:val="nil"/>
            </w:tcBorders>
            <w:shd w:val="clear" w:color="auto" w:fill="auto"/>
            <w:hideMark/>
          </w:tcPr>
          <w:p w14:paraId="102F3008" w14:textId="10B3454D" w:rsidR="00656C18" w:rsidRPr="007D4CB3" w:rsidRDefault="00656C18" w:rsidP="00FC7CE6">
            <w:pPr>
              <w:spacing w:before="0" w:after="0" w:line="240" w:lineRule="auto"/>
              <w:textAlignment w:val="baseline"/>
              <w:rPr>
                <w:rFonts w:ascii="Times New Roman" w:eastAsia="Times New Roman" w:hAnsi="Times New Roman" w:cs="Times New Roman"/>
                <w:b/>
                <w:bCs/>
                <w:color w:val="231F20"/>
              </w:rPr>
            </w:pPr>
            <w:r w:rsidRPr="007D4CB3">
              <w:rPr>
                <w:rFonts w:ascii="Times New Roman" w:eastAsia="Times New Roman" w:hAnsi="Times New Roman" w:cs="Times New Roman"/>
                <w:b/>
                <w:bCs/>
                <w:color w:val="231F20"/>
              </w:rPr>
              <w:t>Salary</w:t>
            </w:r>
          </w:p>
        </w:tc>
        <w:tc>
          <w:tcPr>
            <w:tcW w:w="1710" w:type="dxa"/>
            <w:tcBorders>
              <w:top w:val="single" w:sz="12" w:space="0" w:color="auto"/>
              <w:left w:val="nil"/>
              <w:bottom w:val="single" w:sz="12" w:space="0" w:color="auto"/>
              <w:right w:val="nil"/>
            </w:tcBorders>
            <w:shd w:val="clear" w:color="auto" w:fill="auto"/>
            <w:hideMark/>
          </w:tcPr>
          <w:p w14:paraId="18A3C833" w14:textId="2632BB5A" w:rsidR="0477D20A" w:rsidRPr="007D4CB3" w:rsidRDefault="0477D20A" w:rsidP="00FC7CE6">
            <w:pPr>
              <w:spacing w:before="0" w:after="0" w:line="240" w:lineRule="auto"/>
              <w:rPr>
                <w:rFonts w:ascii="Times New Roman" w:eastAsia="Times New Roman" w:hAnsi="Times New Roman" w:cs="Times New Roman"/>
                <w:b/>
                <w:bCs/>
                <w:color w:val="231F20"/>
              </w:rPr>
            </w:pPr>
            <w:r w:rsidRPr="007D4CB3">
              <w:rPr>
                <w:rFonts w:ascii="Times New Roman" w:eastAsia="Times New Roman" w:hAnsi="Times New Roman" w:cs="Times New Roman"/>
                <w:b/>
                <w:bCs/>
                <w:color w:val="231F20"/>
              </w:rPr>
              <w:t>Consulting</w:t>
            </w:r>
          </w:p>
        </w:tc>
        <w:tc>
          <w:tcPr>
            <w:tcW w:w="1350" w:type="dxa"/>
            <w:tcBorders>
              <w:top w:val="single" w:sz="12" w:space="0" w:color="auto"/>
              <w:left w:val="nil"/>
              <w:bottom w:val="single" w:sz="12" w:space="0" w:color="auto"/>
              <w:right w:val="nil"/>
            </w:tcBorders>
            <w:shd w:val="clear" w:color="auto" w:fill="auto"/>
            <w:hideMark/>
          </w:tcPr>
          <w:p w14:paraId="2FA03882" w14:textId="1C06E539" w:rsidR="0477D20A" w:rsidRPr="007D4CB3" w:rsidRDefault="0477D20A" w:rsidP="00FC7CE6">
            <w:pPr>
              <w:spacing w:before="0" w:after="0" w:line="240" w:lineRule="auto"/>
              <w:rPr>
                <w:rFonts w:ascii="Times New Roman" w:eastAsia="Times New Roman" w:hAnsi="Times New Roman" w:cs="Times New Roman"/>
                <w:b/>
                <w:bCs/>
                <w:color w:val="231F20"/>
              </w:rPr>
            </w:pPr>
            <w:r w:rsidRPr="007D4CB3">
              <w:rPr>
                <w:rFonts w:ascii="Times New Roman" w:eastAsia="Times New Roman" w:hAnsi="Times New Roman" w:cs="Times New Roman"/>
                <w:b/>
                <w:bCs/>
                <w:color w:val="231F20"/>
              </w:rPr>
              <w:t>Research</w:t>
            </w:r>
          </w:p>
        </w:tc>
        <w:tc>
          <w:tcPr>
            <w:tcW w:w="2250" w:type="dxa"/>
            <w:tcBorders>
              <w:top w:val="single" w:sz="12" w:space="0" w:color="auto"/>
              <w:left w:val="nil"/>
              <w:bottom w:val="single" w:sz="12" w:space="0" w:color="auto"/>
              <w:right w:val="nil"/>
            </w:tcBorders>
            <w:shd w:val="clear" w:color="auto" w:fill="auto"/>
            <w:hideMark/>
          </w:tcPr>
          <w:p w14:paraId="54EFC6E3" w14:textId="23B15D35" w:rsidR="0477D20A" w:rsidRPr="007D4CB3" w:rsidRDefault="0477D20A" w:rsidP="00FC7CE6">
            <w:pPr>
              <w:spacing w:before="0" w:after="0" w:line="240" w:lineRule="auto"/>
              <w:rPr>
                <w:rFonts w:ascii="Times New Roman" w:eastAsia="Times New Roman" w:hAnsi="Times New Roman" w:cs="Times New Roman"/>
                <w:b/>
                <w:bCs/>
                <w:color w:val="231F20"/>
              </w:rPr>
            </w:pPr>
            <w:r w:rsidRPr="007D4CB3">
              <w:rPr>
                <w:rFonts w:ascii="Times New Roman" w:eastAsia="Times New Roman" w:hAnsi="Times New Roman" w:cs="Times New Roman"/>
                <w:b/>
                <w:bCs/>
                <w:color w:val="231F20"/>
              </w:rPr>
              <w:t>Investments and Proprietary Interests</w:t>
            </w:r>
          </w:p>
        </w:tc>
        <w:tc>
          <w:tcPr>
            <w:tcW w:w="2610" w:type="dxa"/>
            <w:tcBorders>
              <w:top w:val="single" w:sz="12" w:space="0" w:color="auto"/>
              <w:left w:val="nil"/>
              <w:bottom w:val="single" w:sz="12" w:space="0" w:color="auto"/>
              <w:right w:val="nil"/>
            </w:tcBorders>
            <w:shd w:val="clear" w:color="auto" w:fill="auto"/>
            <w:hideMark/>
          </w:tcPr>
          <w:p w14:paraId="7D6CDF81" w14:textId="5F0AEB3E" w:rsidR="0477D20A" w:rsidRPr="007D4CB3" w:rsidRDefault="0477D20A" w:rsidP="00FC7CE6">
            <w:pPr>
              <w:spacing w:before="0" w:after="0" w:line="240" w:lineRule="auto"/>
              <w:rPr>
                <w:rFonts w:ascii="Times New Roman" w:eastAsia="Times New Roman" w:hAnsi="Times New Roman" w:cs="Times New Roman"/>
                <w:b/>
                <w:bCs/>
                <w:color w:val="231F20"/>
              </w:rPr>
            </w:pPr>
            <w:r w:rsidRPr="007D4CB3">
              <w:rPr>
                <w:rFonts w:ascii="Times New Roman" w:eastAsia="Times New Roman" w:hAnsi="Times New Roman" w:cs="Times New Roman"/>
                <w:b/>
                <w:bCs/>
                <w:color w:val="231F20"/>
              </w:rPr>
              <w:t>Healthcare-Related Organizations</w:t>
            </w:r>
          </w:p>
        </w:tc>
        <w:tc>
          <w:tcPr>
            <w:tcW w:w="1350" w:type="dxa"/>
            <w:tcBorders>
              <w:top w:val="single" w:sz="12" w:space="0" w:color="auto"/>
              <w:left w:val="nil"/>
              <w:bottom w:val="single" w:sz="12" w:space="0" w:color="auto"/>
              <w:right w:val="nil"/>
            </w:tcBorders>
            <w:shd w:val="clear" w:color="auto" w:fill="auto"/>
            <w:hideMark/>
          </w:tcPr>
          <w:p w14:paraId="4076D415" w14:textId="3CFB7F14" w:rsidR="0477D20A" w:rsidRPr="007D4CB3" w:rsidRDefault="0477D20A" w:rsidP="00FC7CE6">
            <w:pPr>
              <w:spacing w:before="0" w:after="0" w:line="240" w:lineRule="auto"/>
              <w:rPr>
                <w:rFonts w:ascii="Times New Roman" w:eastAsia="Times New Roman" w:hAnsi="Times New Roman" w:cs="Times New Roman"/>
                <w:b/>
                <w:bCs/>
                <w:color w:val="231F20"/>
              </w:rPr>
            </w:pPr>
            <w:r w:rsidRPr="007D4CB3">
              <w:rPr>
                <w:rFonts w:ascii="Times New Roman" w:eastAsia="Times New Roman" w:hAnsi="Times New Roman" w:cs="Times New Roman"/>
                <w:b/>
                <w:bCs/>
                <w:color w:val="231F20"/>
              </w:rPr>
              <w:t>Advocacy/</w:t>
            </w:r>
            <w:r w:rsidRPr="007D4CB3">
              <w:rPr>
                <w:rFonts w:ascii="Times New Roman" w:hAnsi="Times New Roman" w:cs="Times New Roman"/>
              </w:rPr>
              <w:br/>
            </w:r>
            <w:r w:rsidRPr="007D4CB3">
              <w:rPr>
                <w:rFonts w:ascii="Times New Roman" w:eastAsia="Times New Roman" w:hAnsi="Times New Roman" w:cs="Times New Roman"/>
                <w:b/>
                <w:bCs/>
                <w:color w:val="231F20"/>
              </w:rPr>
              <w:t>Lobbying</w:t>
            </w:r>
          </w:p>
        </w:tc>
      </w:tr>
      <w:tr w:rsidR="003B524F" w:rsidRPr="007D4CB3" w14:paraId="740D1CF7" w14:textId="77777777" w:rsidTr="0477D20A">
        <w:trPr>
          <w:cantSplit/>
          <w:trHeight w:val="285"/>
        </w:trPr>
        <w:tc>
          <w:tcPr>
            <w:tcW w:w="1890" w:type="dxa"/>
            <w:tcBorders>
              <w:top w:val="nil"/>
              <w:left w:val="nil"/>
              <w:bottom w:val="single" w:sz="6" w:space="0" w:color="auto"/>
              <w:right w:val="nil"/>
            </w:tcBorders>
            <w:shd w:val="clear" w:color="auto" w:fill="auto"/>
            <w:hideMark/>
          </w:tcPr>
          <w:p w14:paraId="2E917352" w14:textId="77777777" w:rsidR="003B524F" w:rsidRPr="007D4CB3" w:rsidRDefault="003B524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Karen Drexler, MD</w:t>
            </w:r>
          </w:p>
        </w:tc>
        <w:tc>
          <w:tcPr>
            <w:tcW w:w="1800" w:type="dxa"/>
            <w:tcBorders>
              <w:top w:val="nil"/>
              <w:left w:val="nil"/>
              <w:bottom w:val="single" w:sz="6" w:space="0" w:color="auto"/>
              <w:right w:val="nil"/>
            </w:tcBorders>
            <w:shd w:val="clear" w:color="auto" w:fill="auto"/>
            <w:hideMark/>
          </w:tcPr>
          <w:p w14:paraId="1D01E802" w14:textId="47E0F587" w:rsidR="003B524F" w:rsidRPr="007D4CB3" w:rsidRDefault="0477D20A"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American Academy of Addiction Psychiatry (Medical Director)</w:t>
            </w:r>
          </w:p>
        </w:tc>
        <w:tc>
          <w:tcPr>
            <w:tcW w:w="1710" w:type="dxa"/>
            <w:tcBorders>
              <w:top w:val="nil"/>
              <w:left w:val="nil"/>
              <w:bottom w:val="single" w:sz="6" w:space="0" w:color="auto"/>
              <w:right w:val="nil"/>
            </w:tcBorders>
            <w:shd w:val="clear" w:color="auto" w:fill="auto"/>
            <w:hideMark/>
          </w:tcPr>
          <w:p w14:paraId="6D2E58AF" w14:textId="5A62DC0C" w:rsidR="003B524F" w:rsidRPr="007D4CB3" w:rsidRDefault="003B524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50" w:type="dxa"/>
            <w:tcBorders>
              <w:top w:val="nil"/>
              <w:left w:val="nil"/>
              <w:bottom w:val="single" w:sz="6" w:space="0" w:color="auto"/>
              <w:right w:val="nil"/>
            </w:tcBorders>
            <w:shd w:val="clear" w:color="auto" w:fill="auto"/>
            <w:hideMark/>
          </w:tcPr>
          <w:p w14:paraId="260D281D" w14:textId="1E113A95" w:rsidR="003B524F" w:rsidRPr="007D4CB3" w:rsidRDefault="003B524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250" w:type="dxa"/>
            <w:tcBorders>
              <w:top w:val="nil"/>
              <w:left w:val="nil"/>
              <w:bottom w:val="single" w:sz="6" w:space="0" w:color="auto"/>
              <w:right w:val="nil"/>
            </w:tcBorders>
            <w:shd w:val="clear" w:color="auto" w:fill="auto"/>
            <w:hideMark/>
          </w:tcPr>
          <w:p w14:paraId="61C8A1CC" w14:textId="47CE76AF" w:rsidR="003B524F" w:rsidRPr="007D4CB3" w:rsidRDefault="003B524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610" w:type="dxa"/>
            <w:tcBorders>
              <w:top w:val="nil"/>
              <w:left w:val="nil"/>
              <w:bottom w:val="single" w:sz="6" w:space="0" w:color="auto"/>
              <w:right w:val="nil"/>
            </w:tcBorders>
            <w:shd w:val="clear" w:color="auto" w:fill="auto"/>
            <w:hideMark/>
          </w:tcPr>
          <w:p w14:paraId="68F3F0F7" w14:textId="2349C8CE" w:rsidR="003B524F" w:rsidRPr="007D4CB3" w:rsidRDefault="002117F7"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50" w:type="dxa"/>
            <w:tcBorders>
              <w:top w:val="nil"/>
              <w:left w:val="nil"/>
              <w:bottom w:val="single" w:sz="6" w:space="0" w:color="auto"/>
              <w:right w:val="nil"/>
            </w:tcBorders>
            <w:shd w:val="clear" w:color="auto" w:fill="auto"/>
            <w:hideMark/>
          </w:tcPr>
          <w:p w14:paraId="7170161C" w14:textId="5D85B86F" w:rsidR="003B524F" w:rsidRPr="007D4CB3" w:rsidRDefault="003B524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3B524F" w:rsidRPr="007D4CB3" w14:paraId="54EBDA85" w14:textId="77777777" w:rsidTr="0477D20A">
        <w:trPr>
          <w:cantSplit/>
          <w:trHeight w:val="285"/>
        </w:trPr>
        <w:tc>
          <w:tcPr>
            <w:tcW w:w="1890" w:type="dxa"/>
            <w:tcBorders>
              <w:top w:val="single" w:sz="6" w:space="0" w:color="auto"/>
              <w:left w:val="nil"/>
              <w:bottom w:val="single" w:sz="6" w:space="0" w:color="auto"/>
              <w:right w:val="nil"/>
            </w:tcBorders>
            <w:shd w:val="clear" w:color="auto" w:fill="auto"/>
            <w:hideMark/>
          </w:tcPr>
          <w:p w14:paraId="361D260B" w14:textId="77777777" w:rsidR="003B524F" w:rsidRPr="007D4CB3" w:rsidRDefault="003B524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Tim Fong, MD</w:t>
            </w:r>
          </w:p>
        </w:tc>
        <w:tc>
          <w:tcPr>
            <w:tcW w:w="1800" w:type="dxa"/>
            <w:tcBorders>
              <w:top w:val="single" w:sz="6" w:space="0" w:color="auto"/>
              <w:left w:val="nil"/>
              <w:bottom w:val="single" w:sz="6" w:space="0" w:color="auto"/>
              <w:right w:val="nil"/>
            </w:tcBorders>
            <w:shd w:val="clear" w:color="auto" w:fill="auto"/>
            <w:hideMark/>
          </w:tcPr>
          <w:p w14:paraId="174946A5" w14:textId="4056E3E1" w:rsidR="003B524F" w:rsidRPr="007D4CB3" w:rsidRDefault="003B524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University of California Los Angeles (Clinical Professor of Psychiatry)</w:t>
            </w:r>
          </w:p>
        </w:tc>
        <w:tc>
          <w:tcPr>
            <w:tcW w:w="1710" w:type="dxa"/>
            <w:tcBorders>
              <w:top w:val="single" w:sz="6" w:space="0" w:color="auto"/>
              <w:left w:val="nil"/>
              <w:bottom w:val="single" w:sz="6" w:space="0" w:color="auto"/>
              <w:right w:val="nil"/>
            </w:tcBorders>
            <w:shd w:val="clear" w:color="auto" w:fill="auto"/>
            <w:hideMark/>
          </w:tcPr>
          <w:p w14:paraId="7127E8D4" w14:textId="2754DB0D" w:rsidR="003B524F" w:rsidRPr="007D4CB3" w:rsidRDefault="003B524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50" w:type="dxa"/>
            <w:tcBorders>
              <w:top w:val="single" w:sz="6" w:space="0" w:color="auto"/>
              <w:left w:val="nil"/>
              <w:bottom w:val="single" w:sz="6" w:space="0" w:color="auto"/>
              <w:right w:val="nil"/>
            </w:tcBorders>
            <w:shd w:val="clear" w:color="auto" w:fill="auto"/>
            <w:hideMark/>
          </w:tcPr>
          <w:p w14:paraId="231BF265" w14:textId="0D8F78F3" w:rsidR="003B524F" w:rsidRPr="007D4CB3" w:rsidRDefault="003B524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250" w:type="dxa"/>
            <w:tcBorders>
              <w:top w:val="single" w:sz="6" w:space="0" w:color="auto"/>
              <w:left w:val="nil"/>
              <w:bottom w:val="single" w:sz="6" w:space="0" w:color="auto"/>
              <w:right w:val="nil"/>
            </w:tcBorders>
            <w:shd w:val="clear" w:color="auto" w:fill="auto"/>
            <w:hideMark/>
          </w:tcPr>
          <w:p w14:paraId="022EDD65" w14:textId="2E45EAD4" w:rsidR="003B524F" w:rsidRPr="007D4CB3" w:rsidRDefault="003B524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610" w:type="dxa"/>
            <w:tcBorders>
              <w:top w:val="single" w:sz="6" w:space="0" w:color="auto"/>
              <w:left w:val="nil"/>
              <w:bottom w:val="single" w:sz="6" w:space="0" w:color="auto"/>
              <w:right w:val="nil"/>
            </w:tcBorders>
            <w:shd w:val="clear" w:color="auto" w:fill="auto"/>
            <w:hideMark/>
          </w:tcPr>
          <w:p w14:paraId="5AF010DB" w14:textId="7CE9A406" w:rsidR="003B524F" w:rsidRPr="007D4CB3" w:rsidRDefault="003B524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50" w:type="dxa"/>
            <w:tcBorders>
              <w:top w:val="single" w:sz="6" w:space="0" w:color="auto"/>
              <w:left w:val="nil"/>
              <w:bottom w:val="single" w:sz="6" w:space="0" w:color="auto"/>
              <w:right w:val="nil"/>
            </w:tcBorders>
            <w:shd w:val="clear" w:color="auto" w:fill="auto"/>
            <w:hideMark/>
          </w:tcPr>
          <w:p w14:paraId="46C37EFF" w14:textId="33221AE7" w:rsidR="003B524F" w:rsidRPr="007D4CB3" w:rsidRDefault="003B524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9C45E4" w:rsidRPr="007D4CB3" w14:paraId="1C54F38C" w14:textId="77777777" w:rsidTr="0477D20A">
        <w:trPr>
          <w:cantSplit/>
          <w:trHeight w:val="285"/>
        </w:trPr>
        <w:tc>
          <w:tcPr>
            <w:tcW w:w="1890" w:type="dxa"/>
            <w:tcBorders>
              <w:top w:val="single" w:sz="6" w:space="0" w:color="auto"/>
              <w:left w:val="nil"/>
              <w:bottom w:val="single" w:sz="6" w:space="0" w:color="auto"/>
              <w:right w:val="nil"/>
            </w:tcBorders>
            <w:shd w:val="clear" w:color="auto" w:fill="auto"/>
            <w:hideMark/>
          </w:tcPr>
          <w:p w14:paraId="772B1101" w14:textId="77777777" w:rsidR="009C45E4" w:rsidRPr="007D4CB3" w:rsidRDefault="009C45E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Kevin Gray, MD</w:t>
            </w:r>
          </w:p>
        </w:tc>
        <w:tc>
          <w:tcPr>
            <w:tcW w:w="1800" w:type="dxa"/>
            <w:tcBorders>
              <w:top w:val="single" w:sz="6" w:space="0" w:color="auto"/>
              <w:left w:val="nil"/>
              <w:bottom w:val="single" w:sz="6" w:space="0" w:color="auto"/>
              <w:right w:val="nil"/>
            </w:tcBorders>
            <w:shd w:val="clear" w:color="auto" w:fill="auto"/>
            <w:hideMark/>
          </w:tcPr>
          <w:p w14:paraId="4A385AC2" w14:textId="6071165D" w:rsidR="009C45E4" w:rsidRPr="007D4CB3" w:rsidRDefault="009C45E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Medical University of South Carolina (</w:t>
            </w:r>
            <w:r w:rsidRPr="007D4CB3">
              <w:rPr>
                <w:rFonts w:ascii="Times New Roman" w:eastAsia="Times New Roman" w:hAnsi="Times New Roman" w:cs="Times New Roman"/>
                <w:color w:val="000000" w:themeColor="text1"/>
              </w:rPr>
              <w:t>Professor and Director of Addiction Sciences)</w:t>
            </w:r>
          </w:p>
        </w:tc>
        <w:tc>
          <w:tcPr>
            <w:tcW w:w="1710" w:type="dxa"/>
            <w:tcBorders>
              <w:top w:val="single" w:sz="6" w:space="0" w:color="auto"/>
              <w:left w:val="nil"/>
              <w:bottom w:val="single" w:sz="6" w:space="0" w:color="auto"/>
              <w:right w:val="nil"/>
            </w:tcBorders>
            <w:shd w:val="clear" w:color="auto" w:fill="auto"/>
            <w:hideMark/>
          </w:tcPr>
          <w:p w14:paraId="6EFEA701" w14:textId="6863976F" w:rsidR="009C45E4" w:rsidRPr="007D4CB3" w:rsidRDefault="009C45E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Jazz Pharmaceuticals (Consulting)</w:t>
            </w:r>
          </w:p>
        </w:tc>
        <w:tc>
          <w:tcPr>
            <w:tcW w:w="1350" w:type="dxa"/>
            <w:tcBorders>
              <w:top w:val="single" w:sz="6" w:space="0" w:color="auto"/>
              <w:left w:val="nil"/>
              <w:bottom w:val="single" w:sz="6" w:space="0" w:color="auto"/>
              <w:right w:val="nil"/>
            </w:tcBorders>
            <w:shd w:val="clear" w:color="auto" w:fill="auto"/>
            <w:hideMark/>
          </w:tcPr>
          <w:p w14:paraId="3A59CC19" w14:textId="7ED18A67" w:rsidR="009C45E4" w:rsidRPr="007D4CB3" w:rsidRDefault="009C45E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Aelis Farma</w:t>
            </w:r>
          </w:p>
        </w:tc>
        <w:tc>
          <w:tcPr>
            <w:tcW w:w="2250" w:type="dxa"/>
            <w:tcBorders>
              <w:top w:val="single" w:sz="6" w:space="0" w:color="auto"/>
              <w:left w:val="nil"/>
              <w:bottom w:val="single" w:sz="6" w:space="0" w:color="auto"/>
              <w:right w:val="nil"/>
            </w:tcBorders>
            <w:shd w:val="clear" w:color="auto" w:fill="auto"/>
            <w:hideMark/>
          </w:tcPr>
          <w:p w14:paraId="21F7A2F1" w14:textId="3D132ABE" w:rsidR="009C45E4" w:rsidRPr="007D4CB3" w:rsidRDefault="009C45E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610" w:type="dxa"/>
            <w:tcBorders>
              <w:top w:val="single" w:sz="6" w:space="0" w:color="auto"/>
              <w:left w:val="nil"/>
              <w:bottom w:val="single" w:sz="6" w:space="0" w:color="auto"/>
              <w:right w:val="nil"/>
            </w:tcBorders>
            <w:shd w:val="clear" w:color="auto" w:fill="auto"/>
            <w:hideMark/>
          </w:tcPr>
          <w:p w14:paraId="3432B272" w14:textId="394FE019" w:rsidR="009C45E4" w:rsidRPr="007D4CB3" w:rsidRDefault="009C45E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50" w:type="dxa"/>
            <w:tcBorders>
              <w:top w:val="single" w:sz="6" w:space="0" w:color="auto"/>
              <w:left w:val="nil"/>
              <w:bottom w:val="single" w:sz="6" w:space="0" w:color="auto"/>
              <w:right w:val="nil"/>
            </w:tcBorders>
            <w:shd w:val="clear" w:color="auto" w:fill="auto"/>
            <w:hideMark/>
          </w:tcPr>
          <w:p w14:paraId="17F4906A" w14:textId="4C7BB957" w:rsidR="009C45E4" w:rsidRPr="007D4CB3" w:rsidRDefault="009C45E4"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3B524F" w:rsidRPr="007D4CB3" w14:paraId="783E61A2" w14:textId="77777777" w:rsidTr="0477D20A">
        <w:trPr>
          <w:cantSplit/>
          <w:trHeight w:val="285"/>
        </w:trPr>
        <w:tc>
          <w:tcPr>
            <w:tcW w:w="1890" w:type="dxa"/>
            <w:tcBorders>
              <w:top w:val="single" w:sz="6" w:space="0" w:color="auto"/>
              <w:left w:val="nil"/>
              <w:bottom w:val="single" w:sz="6" w:space="0" w:color="auto"/>
              <w:right w:val="nil"/>
            </w:tcBorders>
            <w:shd w:val="clear" w:color="auto" w:fill="auto"/>
            <w:hideMark/>
          </w:tcPr>
          <w:p w14:paraId="02100ED1" w14:textId="77777777" w:rsidR="003B524F" w:rsidRPr="007D4CB3" w:rsidRDefault="003B524F" w:rsidP="00FC7CE6">
            <w:pPr>
              <w:spacing w:before="0" w:after="0" w:line="240" w:lineRule="auto"/>
              <w:ind w:left="150" w:hanging="150"/>
              <w:textAlignment w:val="baseline"/>
              <w:rPr>
                <w:rFonts w:ascii="Times New Roman" w:eastAsia="Times New Roman" w:hAnsi="Times New Roman" w:cs="Times New Roman"/>
                <w:i/>
                <w:iCs/>
              </w:rPr>
            </w:pPr>
            <w:r w:rsidRPr="007D4CB3">
              <w:rPr>
                <w:rFonts w:ascii="Times New Roman" w:eastAsia="Times New Roman" w:hAnsi="Times New Roman" w:cs="Times New Roman"/>
              </w:rPr>
              <w:t>Shelly F. Greenfield, MD, MPH</w:t>
            </w:r>
          </w:p>
        </w:tc>
        <w:tc>
          <w:tcPr>
            <w:tcW w:w="1800" w:type="dxa"/>
            <w:tcBorders>
              <w:top w:val="single" w:sz="6" w:space="0" w:color="auto"/>
              <w:left w:val="nil"/>
              <w:bottom w:val="single" w:sz="6" w:space="0" w:color="auto"/>
              <w:right w:val="nil"/>
            </w:tcBorders>
            <w:shd w:val="clear" w:color="auto" w:fill="auto"/>
            <w:hideMark/>
          </w:tcPr>
          <w:p w14:paraId="3D1509F2" w14:textId="6D73CFA4" w:rsidR="003B524F" w:rsidRPr="007D4CB3" w:rsidRDefault="003B524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Harvard Medical School (Professor of Psychiatry)</w:t>
            </w:r>
          </w:p>
        </w:tc>
        <w:tc>
          <w:tcPr>
            <w:tcW w:w="1710" w:type="dxa"/>
            <w:tcBorders>
              <w:top w:val="single" w:sz="6" w:space="0" w:color="auto"/>
              <w:left w:val="nil"/>
              <w:bottom w:val="single" w:sz="6" w:space="0" w:color="auto"/>
              <w:right w:val="nil"/>
            </w:tcBorders>
            <w:shd w:val="clear" w:color="auto" w:fill="auto"/>
            <w:hideMark/>
          </w:tcPr>
          <w:p w14:paraId="6B2B4E39" w14:textId="08D2D312" w:rsidR="003B524F" w:rsidRPr="007D4CB3" w:rsidRDefault="003B524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50" w:type="dxa"/>
            <w:tcBorders>
              <w:top w:val="single" w:sz="6" w:space="0" w:color="auto"/>
              <w:left w:val="nil"/>
              <w:bottom w:val="single" w:sz="6" w:space="0" w:color="auto"/>
              <w:right w:val="nil"/>
            </w:tcBorders>
            <w:shd w:val="clear" w:color="auto" w:fill="auto"/>
            <w:hideMark/>
          </w:tcPr>
          <w:p w14:paraId="7764D238" w14:textId="0B9247D4" w:rsidR="003B524F" w:rsidRPr="007D4CB3" w:rsidRDefault="003B524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250" w:type="dxa"/>
            <w:tcBorders>
              <w:top w:val="single" w:sz="6" w:space="0" w:color="auto"/>
              <w:left w:val="nil"/>
              <w:bottom w:val="single" w:sz="6" w:space="0" w:color="auto"/>
              <w:right w:val="nil"/>
            </w:tcBorders>
            <w:shd w:val="clear" w:color="auto" w:fill="auto"/>
            <w:hideMark/>
          </w:tcPr>
          <w:p w14:paraId="71E1B5BD" w14:textId="27B8E65A" w:rsidR="003B524F" w:rsidRPr="007D4CB3" w:rsidRDefault="002117F7"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610" w:type="dxa"/>
            <w:tcBorders>
              <w:top w:val="single" w:sz="6" w:space="0" w:color="auto"/>
              <w:left w:val="nil"/>
              <w:bottom w:val="single" w:sz="6" w:space="0" w:color="auto"/>
              <w:right w:val="nil"/>
            </w:tcBorders>
            <w:shd w:val="clear" w:color="auto" w:fill="auto"/>
            <w:hideMark/>
          </w:tcPr>
          <w:p w14:paraId="7B05F630" w14:textId="10E2331E" w:rsidR="003B524F" w:rsidRPr="007D4CB3" w:rsidRDefault="003B524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50" w:type="dxa"/>
            <w:tcBorders>
              <w:top w:val="single" w:sz="6" w:space="0" w:color="auto"/>
              <w:left w:val="nil"/>
              <w:bottom w:val="single" w:sz="6" w:space="0" w:color="auto"/>
              <w:right w:val="nil"/>
            </w:tcBorders>
            <w:shd w:val="clear" w:color="auto" w:fill="auto"/>
            <w:hideMark/>
          </w:tcPr>
          <w:p w14:paraId="2EC28A3F" w14:textId="5E1B9B22" w:rsidR="003B524F" w:rsidRPr="007D4CB3" w:rsidRDefault="003B524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3B524F" w:rsidRPr="007D4CB3" w14:paraId="6C28BBA1" w14:textId="77777777" w:rsidTr="0477D20A">
        <w:trPr>
          <w:cantSplit/>
          <w:trHeight w:val="285"/>
        </w:trPr>
        <w:tc>
          <w:tcPr>
            <w:tcW w:w="1890" w:type="dxa"/>
            <w:tcBorders>
              <w:top w:val="single" w:sz="6" w:space="0" w:color="auto"/>
              <w:left w:val="nil"/>
              <w:bottom w:val="single" w:sz="6" w:space="0" w:color="auto"/>
              <w:right w:val="nil"/>
            </w:tcBorders>
            <w:shd w:val="clear" w:color="auto" w:fill="auto"/>
            <w:hideMark/>
          </w:tcPr>
          <w:p w14:paraId="0C348063" w14:textId="77777777" w:rsidR="003B524F" w:rsidRPr="007D4CB3" w:rsidRDefault="003B524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John Mariani, MD</w:t>
            </w:r>
          </w:p>
        </w:tc>
        <w:tc>
          <w:tcPr>
            <w:tcW w:w="1800" w:type="dxa"/>
            <w:tcBorders>
              <w:top w:val="single" w:sz="6" w:space="0" w:color="auto"/>
              <w:left w:val="nil"/>
              <w:bottom w:val="single" w:sz="6" w:space="0" w:color="auto"/>
              <w:right w:val="nil"/>
            </w:tcBorders>
            <w:shd w:val="clear" w:color="auto" w:fill="auto"/>
            <w:hideMark/>
          </w:tcPr>
          <w:p w14:paraId="552E053E" w14:textId="0EF1A8F6" w:rsidR="003B524F" w:rsidRPr="007D4CB3" w:rsidRDefault="003B524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Columbia University, New York State Psychiatric Institute (Directors of STARS)</w:t>
            </w:r>
          </w:p>
        </w:tc>
        <w:tc>
          <w:tcPr>
            <w:tcW w:w="1710" w:type="dxa"/>
            <w:tcBorders>
              <w:top w:val="single" w:sz="6" w:space="0" w:color="auto"/>
              <w:left w:val="nil"/>
              <w:bottom w:val="single" w:sz="6" w:space="0" w:color="auto"/>
              <w:right w:val="nil"/>
            </w:tcBorders>
            <w:shd w:val="clear" w:color="auto" w:fill="auto"/>
            <w:hideMark/>
          </w:tcPr>
          <w:p w14:paraId="618C0CF7" w14:textId="322B7F6B" w:rsidR="003B524F" w:rsidRPr="007D4CB3" w:rsidRDefault="003B524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50" w:type="dxa"/>
            <w:tcBorders>
              <w:top w:val="single" w:sz="6" w:space="0" w:color="auto"/>
              <w:left w:val="nil"/>
              <w:bottom w:val="single" w:sz="6" w:space="0" w:color="auto"/>
              <w:right w:val="nil"/>
            </w:tcBorders>
            <w:shd w:val="clear" w:color="auto" w:fill="auto"/>
            <w:hideMark/>
          </w:tcPr>
          <w:p w14:paraId="54DA39B8" w14:textId="78326BC5" w:rsidR="003B524F" w:rsidRPr="007D4CB3" w:rsidRDefault="003B524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250" w:type="dxa"/>
            <w:tcBorders>
              <w:top w:val="single" w:sz="6" w:space="0" w:color="auto"/>
              <w:left w:val="nil"/>
              <w:bottom w:val="single" w:sz="6" w:space="0" w:color="auto"/>
              <w:right w:val="nil"/>
            </w:tcBorders>
            <w:shd w:val="clear" w:color="auto" w:fill="auto"/>
            <w:hideMark/>
          </w:tcPr>
          <w:p w14:paraId="52E52774" w14:textId="6FE06A25" w:rsidR="003B524F" w:rsidRPr="007D4CB3" w:rsidRDefault="003B524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610" w:type="dxa"/>
            <w:tcBorders>
              <w:top w:val="single" w:sz="6" w:space="0" w:color="auto"/>
              <w:left w:val="nil"/>
              <w:bottom w:val="single" w:sz="6" w:space="0" w:color="auto"/>
              <w:right w:val="nil"/>
            </w:tcBorders>
            <w:shd w:val="clear" w:color="auto" w:fill="auto"/>
            <w:hideMark/>
          </w:tcPr>
          <w:p w14:paraId="3C275E4A" w14:textId="337A909A" w:rsidR="003B524F" w:rsidRPr="007D4CB3" w:rsidRDefault="003B524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50" w:type="dxa"/>
            <w:tcBorders>
              <w:top w:val="single" w:sz="6" w:space="0" w:color="auto"/>
              <w:left w:val="nil"/>
              <w:bottom w:val="single" w:sz="6" w:space="0" w:color="auto"/>
              <w:right w:val="nil"/>
            </w:tcBorders>
            <w:shd w:val="clear" w:color="auto" w:fill="auto"/>
            <w:hideMark/>
          </w:tcPr>
          <w:p w14:paraId="4D590BDB" w14:textId="0AEE504C" w:rsidR="003B524F" w:rsidRPr="007D4CB3" w:rsidRDefault="003B524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5B348F" w:rsidRPr="007D4CB3" w14:paraId="0D578E5A" w14:textId="77777777" w:rsidTr="0477D20A">
        <w:trPr>
          <w:cantSplit/>
          <w:trHeight w:val="285"/>
        </w:trPr>
        <w:tc>
          <w:tcPr>
            <w:tcW w:w="1890" w:type="dxa"/>
            <w:tcBorders>
              <w:top w:val="single" w:sz="6" w:space="0" w:color="auto"/>
              <w:left w:val="nil"/>
              <w:bottom w:val="single" w:sz="6" w:space="0" w:color="auto"/>
              <w:right w:val="nil"/>
            </w:tcBorders>
            <w:shd w:val="clear" w:color="auto" w:fill="auto"/>
            <w:hideMark/>
          </w:tcPr>
          <w:p w14:paraId="71B2FEFB" w14:textId="77777777" w:rsidR="005B348F" w:rsidRPr="007D4CB3" w:rsidRDefault="005B348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lastRenderedPageBreak/>
              <w:t>Larissa Mooney, MD</w:t>
            </w:r>
          </w:p>
        </w:tc>
        <w:tc>
          <w:tcPr>
            <w:tcW w:w="1800" w:type="dxa"/>
            <w:tcBorders>
              <w:top w:val="single" w:sz="6" w:space="0" w:color="auto"/>
              <w:left w:val="nil"/>
              <w:bottom w:val="single" w:sz="6" w:space="0" w:color="auto"/>
              <w:right w:val="nil"/>
            </w:tcBorders>
            <w:shd w:val="clear" w:color="auto" w:fill="auto"/>
            <w:hideMark/>
          </w:tcPr>
          <w:p w14:paraId="7AECC7CF" w14:textId="67EBABDF" w:rsidR="005B348F" w:rsidRPr="007D4CB3" w:rsidRDefault="005B348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University of California Los Angeles (Professor of Clinical Psychiatry)</w:t>
            </w:r>
          </w:p>
        </w:tc>
        <w:tc>
          <w:tcPr>
            <w:tcW w:w="1710" w:type="dxa"/>
            <w:tcBorders>
              <w:top w:val="single" w:sz="6" w:space="0" w:color="auto"/>
              <w:left w:val="nil"/>
              <w:bottom w:val="single" w:sz="6" w:space="0" w:color="auto"/>
              <w:right w:val="nil"/>
            </w:tcBorders>
            <w:shd w:val="clear" w:color="auto" w:fill="auto"/>
            <w:hideMark/>
          </w:tcPr>
          <w:p w14:paraId="6FC56688" w14:textId="77777777" w:rsidR="005B348F" w:rsidRPr="007D4CB3" w:rsidRDefault="005B348F" w:rsidP="00FC7CE6">
            <w:pPr>
              <w:spacing w:before="0" w:after="0" w:line="240" w:lineRule="auto"/>
              <w:ind w:left="150" w:hanging="150"/>
              <w:rPr>
                <w:rFonts w:ascii="Times New Roman" w:eastAsia="Times New Roman" w:hAnsi="Times New Roman" w:cs="Times New Roman"/>
              </w:rPr>
            </w:pPr>
            <w:r w:rsidRPr="007D4CB3">
              <w:rPr>
                <w:rFonts w:ascii="Times New Roman" w:eastAsia="Times New Roman" w:hAnsi="Times New Roman" w:cs="Times New Roman"/>
              </w:rPr>
              <w:t>Expert Witness</w:t>
            </w:r>
          </w:p>
          <w:p w14:paraId="68BA4E4D" w14:textId="0DA78C7E" w:rsidR="005B348F" w:rsidRPr="007D4CB3" w:rsidRDefault="005B348F" w:rsidP="00FC7CE6">
            <w:pPr>
              <w:spacing w:before="0" w:after="0" w:line="240" w:lineRule="auto"/>
              <w:ind w:left="150" w:hanging="150"/>
              <w:textAlignment w:val="baseline"/>
              <w:rPr>
                <w:rFonts w:ascii="Times New Roman" w:eastAsia="Times New Roman" w:hAnsi="Times New Roman" w:cs="Times New Roman"/>
              </w:rPr>
            </w:pPr>
          </w:p>
        </w:tc>
        <w:tc>
          <w:tcPr>
            <w:tcW w:w="1350" w:type="dxa"/>
            <w:tcBorders>
              <w:top w:val="single" w:sz="6" w:space="0" w:color="auto"/>
              <w:left w:val="nil"/>
              <w:bottom w:val="single" w:sz="6" w:space="0" w:color="auto"/>
              <w:right w:val="nil"/>
            </w:tcBorders>
            <w:shd w:val="clear" w:color="auto" w:fill="auto"/>
            <w:hideMark/>
          </w:tcPr>
          <w:p w14:paraId="4E5AD4C9" w14:textId="01E191D7" w:rsidR="005B348F" w:rsidRPr="007D4CB3" w:rsidRDefault="005B348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Aelis Farma</w:t>
            </w:r>
          </w:p>
        </w:tc>
        <w:tc>
          <w:tcPr>
            <w:tcW w:w="2250" w:type="dxa"/>
            <w:tcBorders>
              <w:top w:val="single" w:sz="6" w:space="0" w:color="auto"/>
              <w:left w:val="nil"/>
              <w:bottom w:val="single" w:sz="6" w:space="0" w:color="auto"/>
              <w:right w:val="nil"/>
            </w:tcBorders>
            <w:shd w:val="clear" w:color="auto" w:fill="auto"/>
            <w:hideMark/>
          </w:tcPr>
          <w:p w14:paraId="0DA203AE" w14:textId="5384B712" w:rsidR="005B348F" w:rsidRPr="007D4CB3" w:rsidRDefault="005B348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 </w:t>
            </w:r>
          </w:p>
        </w:tc>
        <w:tc>
          <w:tcPr>
            <w:tcW w:w="2610" w:type="dxa"/>
            <w:tcBorders>
              <w:top w:val="single" w:sz="6" w:space="0" w:color="auto"/>
              <w:left w:val="nil"/>
              <w:bottom w:val="single" w:sz="6" w:space="0" w:color="auto"/>
              <w:right w:val="nil"/>
            </w:tcBorders>
            <w:shd w:val="clear" w:color="auto" w:fill="auto"/>
            <w:hideMark/>
          </w:tcPr>
          <w:p w14:paraId="1B73E9D4" w14:textId="55F4A49E" w:rsidR="005B348F" w:rsidRPr="007D4CB3" w:rsidRDefault="005B348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American Academy of Addiction Psychiatry (President)</w:t>
            </w:r>
          </w:p>
        </w:tc>
        <w:tc>
          <w:tcPr>
            <w:tcW w:w="1350" w:type="dxa"/>
            <w:tcBorders>
              <w:top w:val="single" w:sz="6" w:space="0" w:color="auto"/>
              <w:left w:val="nil"/>
              <w:bottom w:val="single" w:sz="6" w:space="0" w:color="auto"/>
              <w:right w:val="nil"/>
            </w:tcBorders>
            <w:shd w:val="clear" w:color="auto" w:fill="auto"/>
            <w:hideMark/>
          </w:tcPr>
          <w:p w14:paraId="590F4A85" w14:textId="77777777" w:rsidR="005B348F" w:rsidRPr="007D4CB3" w:rsidRDefault="005B348F" w:rsidP="00FC7CE6">
            <w:pPr>
              <w:spacing w:before="0" w:after="0" w:line="240" w:lineRule="auto"/>
              <w:ind w:left="150" w:hanging="150"/>
              <w:rPr>
                <w:rFonts w:ascii="Times New Roman" w:eastAsia="Times New Roman" w:hAnsi="Times New Roman" w:cs="Times New Roman"/>
              </w:rPr>
            </w:pPr>
            <w:r w:rsidRPr="007D4CB3">
              <w:rPr>
                <w:rFonts w:ascii="Times New Roman" w:eastAsia="Times New Roman" w:hAnsi="Times New Roman" w:cs="Times New Roman"/>
              </w:rPr>
              <w:t>None </w:t>
            </w:r>
          </w:p>
          <w:p w14:paraId="48DE25A9" w14:textId="255C17F1" w:rsidR="005B348F" w:rsidRPr="007D4CB3" w:rsidRDefault="005B348F" w:rsidP="00FC7CE6">
            <w:pPr>
              <w:spacing w:before="0" w:after="0" w:line="240" w:lineRule="auto"/>
              <w:ind w:left="150" w:hanging="150"/>
              <w:textAlignment w:val="baseline"/>
              <w:rPr>
                <w:rFonts w:ascii="Times New Roman" w:eastAsia="Times New Roman" w:hAnsi="Times New Roman" w:cs="Times New Roman"/>
              </w:rPr>
            </w:pPr>
          </w:p>
        </w:tc>
      </w:tr>
      <w:tr w:rsidR="005B348F" w:rsidRPr="007D4CB3" w14:paraId="21FBDDED" w14:textId="77777777" w:rsidTr="0477D20A">
        <w:trPr>
          <w:cantSplit/>
          <w:trHeight w:val="285"/>
        </w:trPr>
        <w:tc>
          <w:tcPr>
            <w:tcW w:w="1890" w:type="dxa"/>
            <w:tcBorders>
              <w:top w:val="single" w:sz="6" w:space="0" w:color="auto"/>
              <w:left w:val="nil"/>
              <w:bottom w:val="single" w:sz="6" w:space="0" w:color="auto"/>
              <w:right w:val="nil"/>
            </w:tcBorders>
            <w:shd w:val="clear" w:color="auto" w:fill="auto"/>
            <w:hideMark/>
          </w:tcPr>
          <w:p w14:paraId="72FCD0E2" w14:textId="77777777" w:rsidR="005B348F" w:rsidRPr="007D4CB3" w:rsidRDefault="005B348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Rebecca Payne, MD</w:t>
            </w:r>
          </w:p>
        </w:tc>
        <w:tc>
          <w:tcPr>
            <w:tcW w:w="1800" w:type="dxa"/>
            <w:tcBorders>
              <w:top w:val="single" w:sz="6" w:space="0" w:color="auto"/>
              <w:left w:val="nil"/>
              <w:bottom w:val="single" w:sz="6" w:space="0" w:color="auto"/>
              <w:right w:val="nil"/>
            </w:tcBorders>
            <w:shd w:val="clear" w:color="auto" w:fill="auto"/>
            <w:hideMark/>
          </w:tcPr>
          <w:p w14:paraId="67E66529" w14:textId="572D874A" w:rsidR="005B348F" w:rsidRPr="007D4CB3" w:rsidRDefault="005B348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University of South Carolina (Assistant professor of Neuropsychiatry and Behavioral Science)</w:t>
            </w:r>
          </w:p>
        </w:tc>
        <w:tc>
          <w:tcPr>
            <w:tcW w:w="1710" w:type="dxa"/>
            <w:tcBorders>
              <w:top w:val="single" w:sz="6" w:space="0" w:color="auto"/>
              <w:left w:val="nil"/>
              <w:bottom w:val="single" w:sz="6" w:space="0" w:color="auto"/>
              <w:right w:val="nil"/>
            </w:tcBorders>
            <w:shd w:val="clear" w:color="auto" w:fill="auto"/>
            <w:hideMark/>
          </w:tcPr>
          <w:p w14:paraId="0CC3C7DD" w14:textId="1D0F1BE5" w:rsidR="005B348F" w:rsidRPr="007D4CB3" w:rsidRDefault="005B348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50" w:type="dxa"/>
            <w:tcBorders>
              <w:top w:val="single" w:sz="6" w:space="0" w:color="auto"/>
              <w:left w:val="nil"/>
              <w:bottom w:val="single" w:sz="6" w:space="0" w:color="auto"/>
              <w:right w:val="nil"/>
            </w:tcBorders>
            <w:shd w:val="clear" w:color="auto" w:fill="auto"/>
            <w:hideMark/>
          </w:tcPr>
          <w:p w14:paraId="4DD72753" w14:textId="1E85EDEF" w:rsidR="005B348F" w:rsidRPr="007D4CB3" w:rsidRDefault="005B348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250" w:type="dxa"/>
            <w:tcBorders>
              <w:top w:val="single" w:sz="6" w:space="0" w:color="auto"/>
              <w:left w:val="nil"/>
              <w:bottom w:val="single" w:sz="6" w:space="0" w:color="auto"/>
              <w:right w:val="nil"/>
            </w:tcBorders>
            <w:shd w:val="clear" w:color="auto" w:fill="auto"/>
            <w:hideMark/>
          </w:tcPr>
          <w:p w14:paraId="520C8447" w14:textId="73774D58" w:rsidR="005B348F" w:rsidRPr="007D4CB3" w:rsidRDefault="005B348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610" w:type="dxa"/>
            <w:tcBorders>
              <w:top w:val="single" w:sz="6" w:space="0" w:color="auto"/>
              <w:left w:val="nil"/>
              <w:bottom w:val="single" w:sz="6" w:space="0" w:color="auto"/>
              <w:right w:val="nil"/>
            </w:tcBorders>
            <w:shd w:val="clear" w:color="auto" w:fill="auto"/>
            <w:hideMark/>
          </w:tcPr>
          <w:p w14:paraId="453B6B90" w14:textId="13B8CE76" w:rsidR="005B348F" w:rsidRPr="007D4CB3" w:rsidRDefault="005B348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50" w:type="dxa"/>
            <w:tcBorders>
              <w:top w:val="single" w:sz="6" w:space="0" w:color="auto"/>
              <w:left w:val="nil"/>
              <w:bottom w:val="single" w:sz="6" w:space="0" w:color="auto"/>
              <w:right w:val="nil"/>
            </w:tcBorders>
            <w:shd w:val="clear" w:color="auto" w:fill="auto"/>
            <w:hideMark/>
          </w:tcPr>
          <w:p w14:paraId="139A5000" w14:textId="5F954C90" w:rsidR="005B348F" w:rsidRPr="007D4CB3" w:rsidRDefault="005B348F"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r w:rsidR="00EE0141" w:rsidRPr="007D4CB3" w14:paraId="0DD282CA" w14:textId="77777777" w:rsidTr="0477D20A">
        <w:trPr>
          <w:cantSplit/>
          <w:trHeight w:val="285"/>
        </w:trPr>
        <w:tc>
          <w:tcPr>
            <w:tcW w:w="1890" w:type="dxa"/>
            <w:tcBorders>
              <w:top w:val="single" w:sz="6" w:space="0" w:color="auto"/>
              <w:left w:val="nil"/>
              <w:bottom w:val="single" w:sz="6" w:space="0" w:color="auto"/>
              <w:right w:val="nil"/>
            </w:tcBorders>
            <w:shd w:val="clear" w:color="auto" w:fill="auto"/>
            <w:hideMark/>
          </w:tcPr>
          <w:p w14:paraId="567DA357" w14:textId="77777777" w:rsidR="00EE0141" w:rsidRPr="007D4CB3" w:rsidRDefault="00EE0141"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Kevin Sevarino, MD, PhD</w:t>
            </w:r>
          </w:p>
        </w:tc>
        <w:tc>
          <w:tcPr>
            <w:tcW w:w="1800" w:type="dxa"/>
            <w:tcBorders>
              <w:top w:val="single" w:sz="6" w:space="0" w:color="auto"/>
              <w:left w:val="nil"/>
              <w:bottom w:val="single" w:sz="6" w:space="0" w:color="auto"/>
              <w:right w:val="nil"/>
            </w:tcBorders>
            <w:shd w:val="clear" w:color="auto" w:fill="auto"/>
            <w:hideMark/>
          </w:tcPr>
          <w:p w14:paraId="2CF01D12" w14:textId="08AC16B3" w:rsidR="00EE0141" w:rsidRPr="007D4CB3" w:rsidRDefault="00EE0141"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Rushford-Hartford Hospital (Psychiatrist)</w:t>
            </w:r>
          </w:p>
        </w:tc>
        <w:tc>
          <w:tcPr>
            <w:tcW w:w="1710" w:type="dxa"/>
            <w:tcBorders>
              <w:top w:val="single" w:sz="6" w:space="0" w:color="auto"/>
              <w:left w:val="nil"/>
              <w:bottom w:val="single" w:sz="6" w:space="0" w:color="auto"/>
              <w:right w:val="nil"/>
            </w:tcBorders>
            <w:shd w:val="clear" w:color="auto" w:fill="auto"/>
            <w:hideMark/>
          </w:tcPr>
          <w:p w14:paraId="1297F490" w14:textId="6C1EE476" w:rsidR="00EE0141" w:rsidRPr="007D4CB3" w:rsidRDefault="00EE0141"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 </w:t>
            </w:r>
          </w:p>
        </w:tc>
        <w:tc>
          <w:tcPr>
            <w:tcW w:w="1350" w:type="dxa"/>
            <w:tcBorders>
              <w:top w:val="single" w:sz="6" w:space="0" w:color="auto"/>
              <w:left w:val="nil"/>
              <w:bottom w:val="single" w:sz="6" w:space="0" w:color="auto"/>
              <w:right w:val="nil"/>
            </w:tcBorders>
            <w:shd w:val="clear" w:color="auto" w:fill="auto"/>
            <w:hideMark/>
          </w:tcPr>
          <w:p w14:paraId="6A8DF48D" w14:textId="4EB63E76" w:rsidR="00EE0141" w:rsidRPr="007D4CB3" w:rsidRDefault="00EE0141" w:rsidP="00FC7CE6">
            <w:pPr>
              <w:spacing w:before="0" w:after="0" w:line="24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None </w:t>
            </w:r>
          </w:p>
        </w:tc>
        <w:tc>
          <w:tcPr>
            <w:tcW w:w="2250" w:type="dxa"/>
            <w:tcBorders>
              <w:top w:val="single" w:sz="6" w:space="0" w:color="auto"/>
              <w:left w:val="nil"/>
              <w:bottom w:val="single" w:sz="6" w:space="0" w:color="auto"/>
              <w:right w:val="nil"/>
            </w:tcBorders>
            <w:shd w:val="clear" w:color="auto" w:fill="auto"/>
            <w:hideMark/>
          </w:tcPr>
          <w:p w14:paraId="62EBC6EC" w14:textId="1A8AED90" w:rsidR="00EE0141" w:rsidRPr="007D4CB3" w:rsidRDefault="00EE0141"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GlaxoSmithKline (Stockholder)</w:t>
            </w:r>
          </w:p>
        </w:tc>
        <w:tc>
          <w:tcPr>
            <w:tcW w:w="2610" w:type="dxa"/>
            <w:tcBorders>
              <w:top w:val="single" w:sz="6" w:space="0" w:color="auto"/>
              <w:left w:val="nil"/>
              <w:bottom w:val="single" w:sz="6" w:space="0" w:color="auto"/>
              <w:right w:val="nil"/>
            </w:tcBorders>
            <w:shd w:val="clear" w:color="auto" w:fill="auto"/>
            <w:hideMark/>
          </w:tcPr>
          <w:p w14:paraId="0A3B35B0" w14:textId="4B1B95B0" w:rsidR="00EE0141" w:rsidRPr="007D4CB3" w:rsidRDefault="00EE0141"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UptoDate* (Section Author)</w:t>
            </w:r>
          </w:p>
        </w:tc>
        <w:tc>
          <w:tcPr>
            <w:tcW w:w="1350" w:type="dxa"/>
            <w:tcBorders>
              <w:top w:val="single" w:sz="6" w:space="0" w:color="auto"/>
              <w:left w:val="nil"/>
              <w:bottom w:val="single" w:sz="6" w:space="0" w:color="auto"/>
              <w:right w:val="nil"/>
            </w:tcBorders>
            <w:shd w:val="clear" w:color="auto" w:fill="auto"/>
            <w:hideMark/>
          </w:tcPr>
          <w:p w14:paraId="1C874E46" w14:textId="4D1BC3DC" w:rsidR="00EE0141" w:rsidRPr="007D4CB3" w:rsidRDefault="00EE0141"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 </w:t>
            </w:r>
          </w:p>
        </w:tc>
      </w:tr>
      <w:tr w:rsidR="00EE0141" w:rsidRPr="007D4CB3" w14:paraId="44A4B05F" w14:textId="77777777" w:rsidTr="0477D20A">
        <w:trPr>
          <w:cantSplit/>
          <w:trHeight w:val="285"/>
        </w:trPr>
        <w:tc>
          <w:tcPr>
            <w:tcW w:w="1890" w:type="dxa"/>
            <w:tcBorders>
              <w:top w:val="single" w:sz="6" w:space="0" w:color="auto"/>
              <w:left w:val="nil"/>
              <w:bottom w:val="single" w:sz="6" w:space="0" w:color="auto"/>
              <w:right w:val="nil"/>
            </w:tcBorders>
            <w:shd w:val="clear" w:color="auto" w:fill="auto"/>
          </w:tcPr>
          <w:p w14:paraId="2B8C52FE" w14:textId="216B38FC" w:rsidR="00EE0141" w:rsidRPr="007D4CB3" w:rsidRDefault="00EE0141"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Carol Weiss</w:t>
            </w:r>
            <w:r w:rsidR="0031376E" w:rsidRPr="007D4CB3">
              <w:rPr>
                <w:rFonts w:ascii="Times New Roman" w:eastAsia="Times New Roman" w:hAnsi="Times New Roman" w:cs="Times New Roman"/>
              </w:rPr>
              <w:t>, MD</w:t>
            </w:r>
          </w:p>
        </w:tc>
        <w:tc>
          <w:tcPr>
            <w:tcW w:w="1800" w:type="dxa"/>
            <w:tcBorders>
              <w:top w:val="single" w:sz="6" w:space="0" w:color="auto"/>
              <w:left w:val="nil"/>
              <w:bottom w:val="single" w:sz="6" w:space="0" w:color="auto"/>
              <w:right w:val="nil"/>
            </w:tcBorders>
            <w:shd w:val="clear" w:color="auto" w:fill="auto"/>
          </w:tcPr>
          <w:p w14:paraId="4158A128" w14:textId="7D0F187B" w:rsidR="00EE0141" w:rsidRPr="007D4CB3" w:rsidRDefault="00EE0141"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Weill Cornel Medical College (Clinical Associate Professor of Psychiatry)</w:t>
            </w:r>
          </w:p>
        </w:tc>
        <w:tc>
          <w:tcPr>
            <w:tcW w:w="1710" w:type="dxa"/>
            <w:tcBorders>
              <w:top w:val="single" w:sz="6" w:space="0" w:color="auto"/>
              <w:left w:val="nil"/>
              <w:bottom w:val="single" w:sz="6" w:space="0" w:color="auto"/>
              <w:right w:val="nil"/>
            </w:tcBorders>
            <w:shd w:val="clear" w:color="auto" w:fill="auto"/>
          </w:tcPr>
          <w:p w14:paraId="002B4EEE" w14:textId="473DEC15" w:rsidR="00EE0141" w:rsidRPr="007D4CB3" w:rsidRDefault="00EE0141"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50" w:type="dxa"/>
            <w:tcBorders>
              <w:top w:val="single" w:sz="6" w:space="0" w:color="auto"/>
              <w:left w:val="nil"/>
              <w:bottom w:val="single" w:sz="6" w:space="0" w:color="auto"/>
              <w:right w:val="nil"/>
            </w:tcBorders>
            <w:shd w:val="clear" w:color="auto" w:fill="auto"/>
          </w:tcPr>
          <w:p w14:paraId="187FBA4F" w14:textId="0C40A9A5" w:rsidR="00EE0141" w:rsidRPr="007D4CB3" w:rsidRDefault="00EE0141"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250" w:type="dxa"/>
            <w:tcBorders>
              <w:top w:val="single" w:sz="6" w:space="0" w:color="auto"/>
              <w:left w:val="nil"/>
              <w:bottom w:val="single" w:sz="6" w:space="0" w:color="auto"/>
              <w:right w:val="nil"/>
            </w:tcBorders>
            <w:shd w:val="clear" w:color="auto" w:fill="auto"/>
          </w:tcPr>
          <w:p w14:paraId="771B24DD" w14:textId="7B69C224" w:rsidR="00EE0141" w:rsidRPr="007D4CB3" w:rsidRDefault="00EE0141"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2610" w:type="dxa"/>
            <w:tcBorders>
              <w:top w:val="single" w:sz="6" w:space="0" w:color="auto"/>
              <w:left w:val="nil"/>
              <w:bottom w:val="single" w:sz="6" w:space="0" w:color="auto"/>
              <w:right w:val="nil"/>
            </w:tcBorders>
            <w:shd w:val="clear" w:color="auto" w:fill="auto"/>
          </w:tcPr>
          <w:p w14:paraId="67623B62" w14:textId="363F4511" w:rsidR="00EE0141" w:rsidRPr="007D4CB3" w:rsidRDefault="00EE0141"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c>
          <w:tcPr>
            <w:tcW w:w="1350" w:type="dxa"/>
            <w:tcBorders>
              <w:top w:val="single" w:sz="6" w:space="0" w:color="auto"/>
              <w:left w:val="nil"/>
              <w:bottom w:val="single" w:sz="6" w:space="0" w:color="auto"/>
              <w:right w:val="nil"/>
            </w:tcBorders>
            <w:shd w:val="clear" w:color="auto" w:fill="auto"/>
          </w:tcPr>
          <w:p w14:paraId="3E8D0FD2" w14:textId="34497DFC" w:rsidR="00EE0141" w:rsidRPr="007D4CB3" w:rsidRDefault="00EE0141" w:rsidP="00FC7CE6">
            <w:pPr>
              <w:spacing w:before="0" w:after="0" w:line="240" w:lineRule="auto"/>
              <w:ind w:left="150" w:hanging="150"/>
              <w:textAlignment w:val="baseline"/>
              <w:rPr>
                <w:rFonts w:ascii="Times New Roman" w:eastAsia="Times New Roman" w:hAnsi="Times New Roman" w:cs="Times New Roman"/>
              </w:rPr>
            </w:pPr>
            <w:r w:rsidRPr="007D4CB3">
              <w:rPr>
                <w:rFonts w:ascii="Times New Roman" w:eastAsia="Times New Roman" w:hAnsi="Times New Roman" w:cs="Times New Roman"/>
              </w:rPr>
              <w:t>None</w:t>
            </w:r>
          </w:p>
        </w:tc>
      </w:tr>
    </w:tbl>
    <w:p w14:paraId="790C005C" w14:textId="0343D317" w:rsidR="005D3271" w:rsidRPr="007D4CB3" w:rsidRDefault="00656C18" w:rsidP="00FC7CE6">
      <w:pPr>
        <w:spacing w:before="0" w:after="0" w:line="240" w:lineRule="auto"/>
        <w:rPr>
          <w:rFonts w:ascii="Times New Roman" w:hAnsi="Times New Roman" w:cs="Times New Roman"/>
        </w:rPr>
      </w:pPr>
      <w:r w:rsidRPr="007D4CB3">
        <w:rPr>
          <w:rStyle w:val="normaltextrun"/>
          <w:rFonts w:ascii="Times New Roman" w:hAnsi="Times New Roman" w:cs="Times New Roman"/>
          <w:color w:val="000000"/>
          <w:shd w:val="clear" w:color="auto" w:fill="FFFFFF"/>
        </w:rPr>
        <w:t>The above table presents relationships of AAAP’s Executive Committee members during the past 12</w:t>
      </w:r>
      <w:r w:rsidR="00660938" w:rsidRPr="007D4CB3">
        <w:rPr>
          <w:rStyle w:val="normaltextrun"/>
          <w:rFonts w:ascii="Times New Roman" w:hAnsi="Times New Roman" w:cs="Times New Roman"/>
          <w:color w:val="000000"/>
          <w:shd w:val="clear" w:color="auto" w:fill="FFFFFF"/>
        </w:rPr>
        <w:t> </w:t>
      </w:r>
      <w:r w:rsidRPr="007D4CB3">
        <w:rPr>
          <w:rStyle w:val="normaltextrun"/>
          <w:rFonts w:ascii="Times New Roman" w:hAnsi="Times New Roman" w:cs="Times New Roman"/>
          <w:color w:val="000000"/>
          <w:shd w:val="clear" w:color="auto" w:fill="FFFFFF"/>
        </w:rPr>
        <w:t xml:space="preserve">months with industry and other entities that were determined to be relevant to this document. These relationships are current as of the completion of this document and may not necessarily reflect relationships at the time of this document’s publication. </w:t>
      </w:r>
    </w:p>
    <w:p w14:paraId="5C76C8B9" w14:textId="77777777" w:rsidR="005D3271" w:rsidRPr="007D4CB3" w:rsidRDefault="005D3271" w:rsidP="007D4CB3">
      <w:pPr>
        <w:spacing w:before="0" w:after="0" w:line="480" w:lineRule="auto"/>
        <w:rPr>
          <w:rFonts w:ascii="Times New Roman" w:hAnsi="Times New Roman" w:cs="Times New Roman"/>
        </w:rPr>
        <w:sectPr w:rsidR="005D3271" w:rsidRPr="007D4CB3" w:rsidSect="00E6227A">
          <w:footnotePr>
            <w:numFmt w:val="chicago"/>
          </w:footnotePr>
          <w:type w:val="continuous"/>
          <w:pgSz w:w="15840" w:h="12240" w:orient="landscape"/>
          <w:pgMar w:top="1440" w:right="1440" w:bottom="1440" w:left="1440" w:header="720" w:footer="720" w:gutter="0"/>
          <w:cols w:space="720"/>
          <w:docGrid w:linePitch="360"/>
        </w:sectPr>
      </w:pPr>
    </w:p>
    <w:p w14:paraId="2F04DDB0" w14:textId="58C41422" w:rsidR="005D3271" w:rsidRPr="007D4CB3" w:rsidRDefault="005D3271" w:rsidP="00FC7CE6">
      <w:pPr>
        <w:pStyle w:val="Heading1"/>
        <w:spacing w:before="0" w:after="0" w:line="360" w:lineRule="auto"/>
        <w:rPr>
          <w:rFonts w:ascii="Times New Roman" w:hAnsi="Times New Roman" w:cs="Times New Roman"/>
          <w:sz w:val="24"/>
          <w:szCs w:val="24"/>
        </w:rPr>
      </w:pPr>
      <w:bookmarkStart w:id="11" w:name="_Toc144381382"/>
      <w:r w:rsidRPr="007D4CB3">
        <w:rPr>
          <w:rFonts w:ascii="Times New Roman" w:hAnsi="Times New Roman" w:cs="Times New Roman"/>
          <w:sz w:val="24"/>
          <w:szCs w:val="24"/>
        </w:rPr>
        <w:lastRenderedPageBreak/>
        <w:t xml:space="preserve">Appendix </w:t>
      </w:r>
      <w:r w:rsidR="001D766F" w:rsidRPr="007D4CB3">
        <w:rPr>
          <w:rFonts w:ascii="Times New Roman" w:hAnsi="Times New Roman" w:cs="Times New Roman"/>
          <w:sz w:val="24"/>
          <w:szCs w:val="24"/>
        </w:rPr>
        <w:t>E</w:t>
      </w:r>
      <w:r w:rsidRPr="007D4CB3">
        <w:rPr>
          <w:rFonts w:ascii="Times New Roman" w:hAnsi="Times New Roman" w:cs="Times New Roman"/>
          <w:sz w:val="24"/>
          <w:szCs w:val="24"/>
        </w:rPr>
        <w:t>. Clinical Questions</w:t>
      </w:r>
      <w:bookmarkEnd w:id="11"/>
    </w:p>
    <w:p w14:paraId="2CE8D196" w14:textId="33CA25B8" w:rsidR="004015CE" w:rsidRPr="007D4CB3" w:rsidRDefault="007C7F96" w:rsidP="00FC7CE6">
      <w:pPr>
        <w:spacing w:before="0" w:after="0" w:line="360" w:lineRule="auto"/>
        <w:rPr>
          <w:rFonts w:ascii="Times New Roman" w:hAnsi="Times New Roman" w:cs="Times New Roman"/>
        </w:rPr>
      </w:pPr>
      <w:r w:rsidRPr="007D4CB3">
        <w:rPr>
          <w:rFonts w:ascii="Times New Roman" w:hAnsi="Times New Roman" w:cs="Times New Roman"/>
        </w:rPr>
        <w:t xml:space="preserve">This appendix presents the clinical questions </w:t>
      </w:r>
      <w:r w:rsidR="006062AC" w:rsidRPr="007D4CB3">
        <w:rPr>
          <w:rFonts w:ascii="Times New Roman" w:hAnsi="Times New Roman" w:cs="Times New Roman"/>
        </w:rPr>
        <w:t>posed for each topic as outlined in the supplementary EtD document.</w:t>
      </w:r>
      <w:r w:rsidR="002247F2" w:rsidRPr="007D4CB3">
        <w:rPr>
          <w:rFonts w:ascii="Times New Roman" w:hAnsi="Times New Roman" w:cs="Times New Roman"/>
        </w:rPr>
        <w:t xml:space="preserve"> </w:t>
      </w:r>
      <w:r w:rsidR="00EB5DB9" w:rsidRPr="007D4CB3">
        <w:rPr>
          <w:rFonts w:ascii="Times New Roman" w:hAnsi="Times New Roman" w:cs="Times New Roman"/>
        </w:rPr>
        <w:t xml:space="preserve">If a clinical question resulted in a recommendation based </w:t>
      </w:r>
      <w:r w:rsidR="0059421C" w:rsidRPr="007D4CB3">
        <w:rPr>
          <w:rFonts w:ascii="Times New Roman" w:hAnsi="Times New Roman" w:cs="Times New Roman"/>
        </w:rPr>
        <w:t>only</w:t>
      </w:r>
      <w:r w:rsidR="00EB5DB9" w:rsidRPr="007D4CB3">
        <w:rPr>
          <w:rFonts w:ascii="Times New Roman" w:hAnsi="Times New Roman" w:cs="Times New Roman"/>
        </w:rPr>
        <w:t xml:space="preserve"> on clinical consensus, </w:t>
      </w:r>
      <w:r w:rsidR="0059421C" w:rsidRPr="007D4CB3">
        <w:rPr>
          <w:rFonts w:ascii="Times New Roman" w:hAnsi="Times New Roman" w:cs="Times New Roman"/>
        </w:rPr>
        <w:t xml:space="preserve">there is </w:t>
      </w:r>
      <w:r w:rsidR="00EB5414" w:rsidRPr="007D4CB3">
        <w:rPr>
          <w:rFonts w:ascii="Times New Roman" w:hAnsi="Times New Roman" w:cs="Times New Roman"/>
        </w:rPr>
        <w:t xml:space="preserve">no </w:t>
      </w:r>
      <w:r w:rsidR="0059421C" w:rsidRPr="007D4CB3">
        <w:rPr>
          <w:rFonts w:ascii="Times New Roman" w:hAnsi="Times New Roman" w:cs="Times New Roman"/>
        </w:rPr>
        <w:t>corresponding</w:t>
      </w:r>
      <w:r w:rsidR="00457630" w:rsidRPr="007D4CB3">
        <w:rPr>
          <w:rFonts w:ascii="Times New Roman" w:hAnsi="Times New Roman" w:cs="Times New Roman"/>
        </w:rPr>
        <w:t xml:space="preserve"> table in the EtD document</w:t>
      </w:r>
      <w:r w:rsidR="00EB5414" w:rsidRPr="007D4CB3">
        <w:rPr>
          <w:rFonts w:ascii="Times New Roman" w:hAnsi="Times New Roman" w:cs="Times New Roman"/>
        </w:rPr>
        <w:t>.</w:t>
      </w:r>
    </w:p>
    <w:p w14:paraId="68B96D6B" w14:textId="4CD20F1B" w:rsidR="005D3271" w:rsidRPr="007D4CB3" w:rsidRDefault="005D3271" w:rsidP="00FC7CE6">
      <w:pPr>
        <w:pStyle w:val="Heading2"/>
        <w:spacing w:before="0" w:after="0" w:line="360" w:lineRule="auto"/>
        <w:rPr>
          <w:rFonts w:ascii="Times New Roman" w:hAnsi="Times New Roman" w:cs="Times New Roman"/>
          <w:sz w:val="24"/>
        </w:rPr>
      </w:pPr>
      <w:bookmarkStart w:id="12" w:name="_Toc144381383"/>
      <w:r w:rsidRPr="007D4CB3">
        <w:rPr>
          <w:rFonts w:ascii="Times New Roman" w:hAnsi="Times New Roman" w:cs="Times New Roman"/>
          <w:sz w:val="24"/>
        </w:rPr>
        <w:t>Treatment of Stimulant Use Disorder</w:t>
      </w:r>
      <w:bookmarkEnd w:id="12"/>
    </w:p>
    <w:p w14:paraId="0CF5E807" w14:textId="77777777" w:rsidR="00675980" w:rsidRPr="007D4CB3" w:rsidRDefault="00675980" w:rsidP="00FC7CE6">
      <w:pPr>
        <w:pStyle w:val="Heading3-backmatter"/>
        <w:spacing w:before="0" w:after="0" w:line="360" w:lineRule="auto"/>
        <w:rPr>
          <w:rFonts w:ascii="Times New Roman" w:hAnsi="Times New Roman" w:cs="Times New Roman"/>
          <w:sz w:val="24"/>
        </w:rPr>
      </w:pPr>
      <w:r w:rsidRPr="007D4CB3">
        <w:rPr>
          <w:rFonts w:ascii="Times New Roman" w:hAnsi="Times New Roman" w:cs="Times New Roman"/>
          <w:sz w:val="24"/>
        </w:rPr>
        <w:t>Assessment</w:t>
      </w:r>
    </w:p>
    <w:p w14:paraId="50D31D86" w14:textId="47C7D089" w:rsidR="00675980" w:rsidRPr="007D4CB3" w:rsidRDefault="00675980" w:rsidP="00FC7CE6">
      <w:pPr>
        <w:pStyle w:val="StUDRecs"/>
        <w:numPr>
          <w:ilvl w:val="0"/>
          <w:numId w:val="52"/>
        </w:numPr>
        <w:spacing w:before="0" w:after="0" w:line="360" w:lineRule="auto"/>
        <w:rPr>
          <w:rFonts w:ascii="Times New Roman" w:hAnsi="Times New Roman" w:cs="Times New Roman"/>
        </w:rPr>
      </w:pPr>
      <w:r w:rsidRPr="007D4CB3">
        <w:rPr>
          <w:rFonts w:ascii="Times New Roman" w:hAnsi="Times New Roman" w:cs="Times New Roman"/>
        </w:rPr>
        <w:t>Initial assessment:</w:t>
      </w:r>
    </w:p>
    <w:p w14:paraId="4E20745F" w14:textId="77777777" w:rsidR="00675980" w:rsidRPr="007D4CB3" w:rsidRDefault="00675980" w:rsidP="00FC7CE6">
      <w:pPr>
        <w:pStyle w:val="StUDRecs"/>
        <w:numPr>
          <w:ilvl w:val="1"/>
          <w:numId w:val="52"/>
        </w:numPr>
        <w:spacing w:before="0" w:after="0" w:line="360" w:lineRule="auto"/>
        <w:rPr>
          <w:rFonts w:ascii="Times New Roman" w:hAnsi="Times New Roman" w:cs="Times New Roman"/>
        </w:rPr>
      </w:pPr>
      <w:r w:rsidRPr="007D4CB3">
        <w:rPr>
          <w:rFonts w:ascii="Times New Roman" w:hAnsi="Times New Roman" w:cs="Times New Roman"/>
        </w:rPr>
        <w:t xml:space="preserve">What components should </w:t>
      </w:r>
      <w:proofErr w:type="gramStart"/>
      <w:r w:rsidRPr="007D4CB3">
        <w:rPr>
          <w:rFonts w:ascii="Times New Roman" w:hAnsi="Times New Roman" w:cs="Times New Roman"/>
        </w:rPr>
        <w:t>be included</w:t>
      </w:r>
      <w:proofErr w:type="gramEnd"/>
      <w:r w:rsidRPr="007D4CB3">
        <w:rPr>
          <w:rFonts w:ascii="Times New Roman" w:hAnsi="Times New Roman" w:cs="Times New Roman"/>
        </w:rPr>
        <w:t xml:space="preserve"> in the initial assessment for patients presenting with StUD?</w:t>
      </w:r>
    </w:p>
    <w:p w14:paraId="4E1D406B" w14:textId="5797EEE9" w:rsidR="00675980" w:rsidRPr="007D4CB3" w:rsidRDefault="00675980"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Comprehensive assessment:</w:t>
      </w:r>
    </w:p>
    <w:p w14:paraId="533D35E4" w14:textId="77777777" w:rsidR="00675980" w:rsidRPr="007D4CB3" w:rsidRDefault="00675980"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What components should </w:t>
      </w:r>
      <w:proofErr w:type="gramStart"/>
      <w:r w:rsidRPr="007D4CB3">
        <w:rPr>
          <w:rFonts w:ascii="Times New Roman" w:hAnsi="Times New Roman" w:cs="Times New Roman"/>
        </w:rPr>
        <w:t>be included</w:t>
      </w:r>
      <w:proofErr w:type="gramEnd"/>
      <w:r w:rsidRPr="007D4CB3">
        <w:rPr>
          <w:rFonts w:ascii="Times New Roman" w:hAnsi="Times New Roman" w:cs="Times New Roman"/>
        </w:rPr>
        <w:t xml:space="preserve"> in the comprehensive assessment for patients with StUD?</w:t>
      </w:r>
    </w:p>
    <w:p w14:paraId="6E4950AE" w14:textId="7AB543FF" w:rsidR="00675980" w:rsidRPr="007D4CB3" w:rsidRDefault="00675980"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Baseline laboratory testing:</w:t>
      </w:r>
    </w:p>
    <w:p w14:paraId="0DA90FC9" w14:textId="77777777" w:rsidR="00675980" w:rsidRPr="007D4CB3" w:rsidRDefault="00675980"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Should baseline laboratory testing </w:t>
      </w:r>
      <w:proofErr w:type="gramStart"/>
      <w:r w:rsidRPr="007D4CB3">
        <w:rPr>
          <w:rFonts w:ascii="Times New Roman" w:hAnsi="Times New Roman" w:cs="Times New Roman"/>
        </w:rPr>
        <w:t>be conducted</w:t>
      </w:r>
      <w:proofErr w:type="gramEnd"/>
      <w:r w:rsidRPr="007D4CB3">
        <w:rPr>
          <w:rFonts w:ascii="Times New Roman" w:hAnsi="Times New Roman" w:cs="Times New Roman"/>
        </w:rPr>
        <w:t xml:space="preserve"> for all patients with StUD or based on clinical assessment of risk factors?</w:t>
      </w:r>
    </w:p>
    <w:p w14:paraId="29CF4D24" w14:textId="77777777" w:rsidR="00675980" w:rsidRPr="007D4CB3" w:rsidRDefault="00675980"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What is the effect of conducting baseline laboratory testing when assessing patients with StUD?</w:t>
      </w:r>
    </w:p>
    <w:p w14:paraId="10CF1D9F" w14:textId="77777777" w:rsidR="00675980" w:rsidRPr="007D4CB3" w:rsidRDefault="00675980"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What contextual factors and implementation strategies may influence the effects of baseline laboratory testing?</w:t>
      </w:r>
    </w:p>
    <w:p w14:paraId="74B0116F" w14:textId="77777777" w:rsidR="00675980" w:rsidRPr="007D4CB3" w:rsidRDefault="00675980"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What are the most impactful and appropriate baseline laboratory tests to conduct when assessing patients who misuse use stimulants?</w:t>
      </w:r>
    </w:p>
    <w:p w14:paraId="2199C3C4" w14:textId="16FE884C" w:rsidR="00675980" w:rsidRPr="007D4CB3" w:rsidRDefault="00675980"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Cardiac evaluation:</w:t>
      </w:r>
    </w:p>
    <w:p w14:paraId="22F7F42C" w14:textId="77777777" w:rsidR="00675980" w:rsidRPr="007D4CB3" w:rsidRDefault="00675980"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Should clinicians routinely request or refer patients for a cardiac evaluation or ECG?</w:t>
      </w:r>
    </w:p>
    <w:p w14:paraId="1D5EF7C8" w14:textId="77777777" w:rsidR="00675980" w:rsidRPr="007D4CB3" w:rsidRDefault="00675980" w:rsidP="00FC7CE6">
      <w:pPr>
        <w:pStyle w:val="StUDRecs"/>
        <w:numPr>
          <w:ilvl w:val="2"/>
          <w:numId w:val="1"/>
        </w:numPr>
        <w:spacing w:before="0" w:after="0" w:line="360" w:lineRule="auto"/>
        <w:rPr>
          <w:rFonts w:ascii="Times New Roman" w:hAnsi="Times New Roman" w:cs="Times New Roman"/>
        </w:rPr>
      </w:pPr>
      <w:r w:rsidRPr="007D4CB3">
        <w:rPr>
          <w:rFonts w:ascii="Times New Roman" w:hAnsi="Times New Roman" w:cs="Times New Roman"/>
        </w:rPr>
        <w:t>Patients with stimulant intoxication or withdrawal</w:t>
      </w:r>
    </w:p>
    <w:p w14:paraId="5F54652F" w14:textId="77777777" w:rsidR="00675980" w:rsidRPr="007D4CB3" w:rsidRDefault="00675980" w:rsidP="00FC7CE6">
      <w:pPr>
        <w:pStyle w:val="StUDRecs"/>
        <w:numPr>
          <w:ilvl w:val="2"/>
          <w:numId w:val="1"/>
        </w:numPr>
        <w:spacing w:before="0" w:after="0" w:line="360" w:lineRule="auto"/>
        <w:rPr>
          <w:rFonts w:ascii="Times New Roman" w:hAnsi="Times New Roman" w:cs="Times New Roman"/>
        </w:rPr>
      </w:pPr>
      <w:r w:rsidRPr="007D4CB3">
        <w:rPr>
          <w:rFonts w:ascii="Times New Roman" w:hAnsi="Times New Roman" w:cs="Times New Roman"/>
        </w:rPr>
        <w:t>Patients with StUD</w:t>
      </w:r>
    </w:p>
    <w:p w14:paraId="43BA9863" w14:textId="77777777" w:rsidR="00675980" w:rsidRPr="007D4CB3" w:rsidRDefault="00675980"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What is the effect of routine screening for cardiac disorders in patients with StUD?</w:t>
      </w:r>
    </w:p>
    <w:p w14:paraId="6874DF69" w14:textId="77777777" w:rsidR="00675980" w:rsidRPr="007D4CB3" w:rsidRDefault="00675980"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What contextual factors and implementation strategies may influence the effects of screening for cardiac disorders?</w:t>
      </w:r>
    </w:p>
    <w:p w14:paraId="66ABA9FE" w14:textId="77777777" w:rsidR="00675980" w:rsidRPr="007D4CB3" w:rsidRDefault="00675980"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Is there a subpopulation that would particularly benefit from routine ECG?</w:t>
      </w:r>
    </w:p>
    <w:p w14:paraId="62A54FDC" w14:textId="3DBF8C6C" w:rsidR="00675980" w:rsidRPr="007D4CB3" w:rsidRDefault="00675980"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Renal evaluation:</w:t>
      </w:r>
    </w:p>
    <w:p w14:paraId="7AF59BE9" w14:textId="77777777" w:rsidR="00675980" w:rsidRPr="007D4CB3" w:rsidRDefault="00675980"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lastRenderedPageBreak/>
        <w:t>For patients diagnosed with stimulant intoxication or withdrawal, should clinicians routinely request or refer patients for an evaluation of renal function?</w:t>
      </w:r>
    </w:p>
    <w:p w14:paraId="3B6B368D" w14:textId="77777777" w:rsidR="00675980" w:rsidRPr="007D4CB3" w:rsidRDefault="00675980"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color w:val="000000"/>
        </w:rPr>
        <w:t>For patients diagnosed with StUD, should clinicians routinely request or refer patients for an evaluation of renal function?</w:t>
      </w:r>
    </w:p>
    <w:p w14:paraId="1B189146" w14:textId="77777777" w:rsidR="00675980" w:rsidRPr="007D4CB3" w:rsidRDefault="00675980"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color w:val="000000"/>
        </w:rPr>
        <w:t>Is there a subpopulation who would benefit from an evaluation of renal function?</w:t>
      </w:r>
    </w:p>
    <w:p w14:paraId="372B8D9D" w14:textId="77777777" w:rsidR="005D3271" w:rsidRPr="007D4CB3" w:rsidRDefault="005D3271" w:rsidP="00FC7CE6">
      <w:pPr>
        <w:pStyle w:val="Heading3-backmatter"/>
        <w:spacing w:before="0" w:after="0" w:line="360" w:lineRule="auto"/>
        <w:rPr>
          <w:rFonts w:ascii="Times New Roman" w:hAnsi="Times New Roman" w:cs="Times New Roman"/>
          <w:sz w:val="24"/>
        </w:rPr>
      </w:pPr>
      <w:r w:rsidRPr="007D4CB3">
        <w:rPr>
          <w:rFonts w:ascii="Times New Roman" w:hAnsi="Times New Roman" w:cs="Times New Roman"/>
          <w:sz w:val="24"/>
        </w:rPr>
        <w:t>Behavioral Treatment</w:t>
      </w:r>
    </w:p>
    <w:p w14:paraId="1CE48918" w14:textId="215771AE" w:rsidR="005D3271" w:rsidRPr="007D4CB3" w:rsidRDefault="005D3271" w:rsidP="00FC7CE6">
      <w:pPr>
        <w:pStyle w:val="StUDRecs"/>
        <w:numPr>
          <w:ilvl w:val="0"/>
          <w:numId w:val="53"/>
        </w:numPr>
        <w:spacing w:before="0" w:after="0" w:line="360" w:lineRule="auto"/>
        <w:rPr>
          <w:rFonts w:ascii="Times New Roman" w:hAnsi="Times New Roman" w:cs="Times New Roman"/>
        </w:rPr>
      </w:pPr>
      <w:r w:rsidRPr="007D4CB3">
        <w:rPr>
          <w:rFonts w:ascii="Times New Roman" w:hAnsi="Times New Roman" w:cs="Times New Roman"/>
        </w:rPr>
        <w:t xml:space="preserve">Contingency </w:t>
      </w:r>
      <w:r w:rsidR="0058472E" w:rsidRPr="007D4CB3">
        <w:rPr>
          <w:rFonts w:ascii="Times New Roman" w:hAnsi="Times New Roman" w:cs="Times New Roman"/>
        </w:rPr>
        <w:t>M</w:t>
      </w:r>
      <w:r w:rsidRPr="007D4CB3">
        <w:rPr>
          <w:rFonts w:ascii="Times New Roman" w:hAnsi="Times New Roman" w:cs="Times New Roman"/>
        </w:rPr>
        <w:t>anagement</w:t>
      </w:r>
      <w:r w:rsidR="00764D37" w:rsidRPr="007D4CB3">
        <w:rPr>
          <w:rFonts w:ascii="Times New Roman" w:hAnsi="Times New Roman" w:cs="Times New Roman"/>
        </w:rPr>
        <w:t xml:space="preserve"> (Table </w:t>
      </w:r>
      <w:r w:rsidR="002C75DF" w:rsidRPr="007D4CB3">
        <w:rPr>
          <w:rFonts w:ascii="Times New Roman" w:hAnsi="Times New Roman" w:cs="Times New Roman"/>
        </w:rPr>
        <w:t>1</w:t>
      </w:r>
      <w:r w:rsidR="00764D37" w:rsidRPr="007D4CB3">
        <w:rPr>
          <w:rFonts w:ascii="Times New Roman" w:hAnsi="Times New Roman" w:cs="Times New Roman"/>
        </w:rPr>
        <w:t>)</w:t>
      </w:r>
      <w:r w:rsidR="00B533C3" w:rsidRPr="007D4CB3">
        <w:rPr>
          <w:rFonts w:ascii="Times New Roman" w:hAnsi="Times New Roman" w:cs="Times New Roman"/>
        </w:rPr>
        <w:t>:</w:t>
      </w:r>
    </w:p>
    <w:p w14:paraId="066C1505" w14:textId="7C34076D"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Is </w:t>
      </w:r>
      <w:r w:rsidR="00B533C3" w:rsidRPr="007D4CB3">
        <w:rPr>
          <w:rFonts w:ascii="Times New Roman" w:hAnsi="Times New Roman" w:cs="Times New Roman"/>
        </w:rPr>
        <w:t>CM</w:t>
      </w:r>
      <w:r w:rsidRPr="007D4CB3">
        <w:rPr>
          <w:rFonts w:ascii="Times New Roman" w:hAnsi="Times New Roman" w:cs="Times New Roman"/>
        </w:rPr>
        <w:t xml:space="preserve"> an effective and appropriate treatment for StUD?</w:t>
      </w:r>
    </w:p>
    <w:p w14:paraId="7B6F163D" w14:textId="0BEFC9A6"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Does the addition of another treatment to CM improve outcomes for StUD?</w:t>
      </w:r>
    </w:p>
    <w:p w14:paraId="6FB50F8E" w14:textId="3857F4A9"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What contextual factors and implementation strategies may influence the effects of CM?</w:t>
      </w:r>
    </w:p>
    <w:p w14:paraId="10229BEC" w14:textId="55377078"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 xml:space="preserve">Community </w:t>
      </w:r>
      <w:r w:rsidR="0058472E" w:rsidRPr="007D4CB3">
        <w:rPr>
          <w:rFonts w:ascii="Times New Roman" w:hAnsi="Times New Roman" w:cs="Times New Roman"/>
        </w:rPr>
        <w:t>Reinforcement Approach</w:t>
      </w:r>
      <w:r w:rsidR="00764D37" w:rsidRPr="007D4CB3">
        <w:rPr>
          <w:rFonts w:ascii="Times New Roman" w:hAnsi="Times New Roman" w:cs="Times New Roman"/>
        </w:rPr>
        <w:t xml:space="preserve"> (Table </w:t>
      </w:r>
      <w:r w:rsidR="002C75DF" w:rsidRPr="007D4CB3">
        <w:rPr>
          <w:rFonts w:ascii="Times New Roman" w:hAnsi="Times New Roman" w:cs="Times New Roman"/>
        </w:rPr>
        <w:t>2</w:t>
      </w:r>
      <w:r w:rsidR="00764D37" w:rsidRPr="007D4CB3">
        <w:rPr>
          <w:rFonts w:ascii="Times New Roman" w:hAnsi="Times New Roman" w:cs="Times New Roman"/>
        </w:rPr>
        <w:t>)</w:t>
      </w:r>
      <w:r w:rsidR="00002536" w:rsidRPr="007D4CB3">
        <w:rPr>
          <w:rFonts w:ascii="Times New Roman" w:hAnsi="Times New Roman" w:cs="Times New Roman"/>
        </w:rPr>
        <w:t>:</w:t>
      </w:r>
    </w:p>
    <w:p w14:paraId="1AC45E6A" w14:textId="5D3A7911"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Is CRA (with or without background treatment) </w:t>
      </w:r>
      <w:r w:rsidRPr="007D4CB3">
        <w:rPr>
          <w:rFonts w:ascii="Times New Roman" w:hAnsi="Times New Roman" w:cs="Times New Roman"/>
          <w:shd w:val="clear" w:color="auto" w:fill="FFFFFF"/>
        </w:rPr>
        <w:t xml:space="preserve">an effective and appropriate treatment for </w:t>
      </w:r>
      <w:r w:rsidRPr="007D4CB3">
        <w:rPr>
          <w:rFonts w:ascii="Times New Roman" w:hAnsi="Times New Roman" w:cs="Times New Roman"/>
        </w:rPr>
        <w:t>StUD</w:t>
      </w:r>
      <w:r w:rsidRPr="007D4CB3">
        <w:rPr>
          <w:rFonts w:ascii="Times New Roman" w:hAnsi="Times New Roman" w:cs="Times New Roman"/>
          <w:shd w:val="clear" w:color="auto" w:fill="FFFFFF"/>
        </w:rPr>
        <w:t>?</w:t>
      </w:r>
    </w:p>
    <w:p w14:paraId="7A66CC64" w14:textId="5D2FA88E"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Is CRA more effective than other behavioral treatments for StUD?</w:t>
      </w:r>
    </w:p>
    <w:p w14:paraId="54BC07E5" w14:textId="5E1B65CA"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Does adding </w:t>
      </w:r>
      <w:r w:rsidR="00B57772" w:rsidRPr="007D4CB3">
        <w:rPr>
          <w:rFonts w:ascii="Times New Roman" w:hAnsi="Times New Roman" w:cs="Times New Roman"/>
        </w:rPr>
        <w:t>CM</w:t>
      </w:r>
      <w:r w:rsidRPr="007D4CB3">
        <w:rPr>
          <w:rFonts w:ascii="Times New Roman" w:hAnsi="Times New Roman" w:cs="Times New Roman"/>
        </w:rPr>
        <w:t xml:space="preserve"> </w:t>
      </w:r>
      <w:r w:rsidR="004A2934" w:rsidRPr="007D4CB3">
        <w:rPr>
          <w:rFonts w:ascii="Times New Roman" w:hAnsi="Times New Roman" w:cs="Times New Roman"/>
        </w:rPr>
        <w:t>to CRA</w:t>
      </w:r>
      <w:r w:rsidRPr="007D4CB3">
        <w:rPr>
          <w:rFonts w:ascii="Times New Roman" w:hAnsi="Times New Roman" w:cs="Times New Roman"/>
        </w:rPr>
        <w:t xml:space="preserve"> improve outcomes for StUD?</w:t>
      </w:r>
    </w:p>
    <w:p w14:paraId="4C87C7DD" w14:textId="17E89EB9"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What additional considerations and implementation strategies may influence the effects of CRA?</w:t>
      </w:r>
    </w:p>
    <w:p w14:paraId="100B43CD" w14:textId="147EC8F4"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 xml:space="preserve">Cognitive </w:t>
      </w:r>
      <w:r w:rsidR="0058472E" w:rsidRPr="007D4CB3">
        <w:rPr>
          <w:rFonts w:ascii="Times New Roman" w:hAnsi="Times New Roman" w:cs="Times New Roman"/>
        </w:rPr>
        <w:t>Behavioral Therapy</w:t>
      </w:r>
      <w:r w:rsidR="00764D37" w:rsidRPr="007D4CB3">
        <w:rPr>
          <w:rFonts w:ascii="Times New Roman" w:hAnsi="Times New Roman" w:cs="Times New Roman"/>
        </w:rPr>
        <w:t xml:space="preserve"> (Table </w:t>
      </w:r>
      <w:r w:rsidR="002C75DF" w:rsidRPr="007D4CB3">
        <w:rPr>
          <w:rFonts w:ascii="Times New Roman" w:hAnsi="Times New Roman" w:cs="Times New Roman"/>
        </w:rPr>
        <w:t>3</w:t>
      </w:r>
      <w:r w:rsidR="00764D37" w:rsidRPr="007D4CB3">
        <w:rPr>
          <w:rFonts w:ascii="Times New Roman" w:hAnsi="Times New Roman" w:cs="Times New Roman"/>
        </w:rPr>
        <w:t>)</w:t>
      </w:r>
      <w:r w:rsidR="004A2934" w:rsidRPr="007D4CB3">
        <w:rPr>
          <w:rFonts w:ascii="Times New Roman" w:hAnsi="Times New Roman" w:cs="Times New Roman"/>
        </w:rPr>
        <w:t>:</w:t>
      </w:r>
    </w:p>
    <w:p w14:paraId="1B34D323" w14:textId="57E86DC0"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Is CBT (with or without background treatment) </w:t>
      </w:r>
      <w:r w:rsidRPr="007D4CB3">
        <w:rPr>
          <w:rFonts w:ascii="Times New Roman" w:hAnsi="Times New Roman" w:cs="Times New Roman"/>
          <w:shd w:val="clear" w:color="auto" w:fill="FFFFFF"/>
        </w:rPr>
        <w:t>effective at reducing stimulant use</w:t>
      </w:r>
      <w:r w:rsidRPr="007D4CB3">
        <w:rPr>
          <w:rFonts w:ascii="Times New Roman" w:hAnsi="Times New Roman" w:cs="Times New Roman"/>
        </w:rPr>
        <w:t xml:space="preserve"> and </w:t>
      </w:r>
      <w:r w:rsidRPr="007D4CB3">
        <w:rPr>
          <w:rFonts w:ascii="Times New Roman" w:hAnsi="Times New Roman" w:cs="Times New Roman"/>
          <w:shd w:val="clear" w:color="auto" w:fill="FFFFFF"/>
        </w:rPr>
        <w:t>increasing treatment retention</w:t>
      </w:r>
      <w:r w:rsidRPr="007D4CB3">
        <w:rPr>
          <w:rFonts w:ascii="Times New Roman" w:hAnsi="Times New Roman" w:cs="Times New Roman"/>
        </w:rPr>
        <w:t xml:space="preserve"> in </w:t>
      </w:r>
      <w:r w:rsidRPr="007D4CB3">
        <w:rPr>
          <w:rFonts w:ascii="Times New Roman" w:hAnsi="Times New Roman" w:cs="Times New Roman"/>
          <w:shd w:val="clear" w:color="auto" w:fill="FFFFFF"/>
        </w:rPr>
        <w:t xml:space="preserve">patients in treatment for </w:t>
      </w:r>
      <w:r w:rsidR="004A2934" w:rsidRPr="007D4CB3">
        <w:rPr>
          <w:rFonts w:ascii="Times New Roman" w:hAnsi="Times New Roman" w:cs="Times New Roman"/>
          <w:shd w:val="clear" w:color="auto" w:fill="FFFFFF"/>
        </w:rPr>
        <w:t>StUD</w:t>
      </w:r>
      <w:r w:rsidRPr="007D4CB3">
        <w:rPr>
          <w:rFonts w:ascii="Times New Roman" w:hAnsi="Times New Roman" w:cs="Times New Roman"/>
          <w:shd w:val="clear" w:color="auto" w:fill="FFFFFF"/>
        </w:rPr>
        <w:t>?</w:t>
      </w:r>
    </w:p>
    <w:p w14:paraId="54949A04" w14:textId="1C47F730"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Is CBT more effective than other behavioral treatments for </w:t>
      </w:r>
      <w:r w:rsidR="004A2934" w:rsidRPr="007D4CB3">
        <w:rPr>
          <w:rFonts w:ascii="Times New Roman" w:hAnsi="Times New Roman" w:cs="Times New Roman"/>
        </w:rPr>
        <w:t>StUD</w:t>
      </w:r>
      <w:r w:rsidRPr="007D4CB3">
        <w:rPr>
          <w:rFonts w:ascii="Times New Roman" w:hAnsi="Times New Roman" w:cs="Times New Roman"/>
        </w:rPr>
        <w:t>?</w:t>
      </w:r>
    </w:p>
    <w:p w14:paraId="63E55D0C" w14:textId="339A0C8F"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Does adding </w:t>
      </w:r>
      <w:r w:rsidR="004A2934" w:rsidRPr="007D4CB3">
        <w:rPr>
          <w:rFonts w:ascii="Times New Roman" w:hAnsi="Times New Roman" w:cs="Times New Roman"/>
        </w:rPr>
        <w:t>CM to CBT</w:t>
      </w:r>
      <w:r w:rsidRPr="007D4CB3">
        <w:rPr>
          <w:rFonts w:ascii="Times New Roman" w:hAnsi="Times New Roman" w:cs="Times New Roman"/>
        </w:rPr>
        <w:t xml:space="preserve"> improve outcomes for StUD?</w:t>
      </w:r>
    </w:p>
    <w:p w14:paraId="712F8E24" w14:textId="06869AB2" w:rsidR="00FD36FE"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What additional considerations and implementation strategies may influence the effects of CBT?</w:t>
      </w:r>
    </w:p>
    <w:p w14:paraId="486CF3CA" w14:textId="7CDD8D04" w:rsidR="005D3271" w:rsidRPr="007D4CB3" w:rsidRDefault="005D3271" w:rsidP="00FC7CE6">
      <w:pPr>
        <w:pStyle w:val="StUDRecs"/>
        <w:keepNext/>
        <w:spacing w:before="0" w:after="0" w:line="360" w:lineRule="auto"/>
        <w:rPr>
          <w:rFonts w:ascii="Times New Roman" w:hAnsi="Times New Roman" w:cs="Times New Roman"/>
        </w:rPr>
      </w:pPr>
      <w:r w:rsidRPr="007D4CB3">
        <w:rPr>
          <w:rFonts w:ascii="Times New Roman" w:hAnsi="Times New Roman" w:cs="Times New Roman"/>
        </w:rPr>
        <w:t>Matrix Model</w:t>
      </w:r>
      <w:r w:rsidR="00764D37" w:rsidRPr="007D4CB3">
        <w:rPr>
          <w:rFonts w:ascii="Times New Roman" w:hAnsi="Times New Roman" w:cs="Times New Roman"/>
        </w:rPr>
        <w:t xml:space="preserve"> (Table </w:t>
      </w:r>
      <w:r w:rsidR="002C75DF" w:rsidRPr="007D4CB3">
        <w:rPr>
          <w:rFonts w:ascii="Times New Roman" w:hAnsi="Times New Roman" w:cs="Times New Roman"/>
        </w:rPr>
        <w:t>4</w:t>
      </w:r>
      <w:r w:rsidR="00764D37" w:rsidRPr="007D4CB3">
        <w:rPr>
          <w:rFonts w:ascii="Times New Roman" w:hAnsi="Times New Roman" w:cs="Times New Roman"/>
        </w:rPr>
        <w:t>)</w:t>
      </w:r>
      <w:r w:rsidR="004A2934" w:rsidRPr="007D4CB3">
        <w:rPr>
          <w:rFonts w:ascii="Times New Roman" w:hAnsi="Times New Roman" w:cs="Times New Roman"/>
        </w:rPr>
        <w:t>:</w:t>
      </w:r>
    </w:p>
    <w:p w14:paraId="16D157D7" w14:textId="37E095ED"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Is </w:t>
      </w:r>
      <w:r w:rsidR="00534F1A" w:rsidRPr="007D4CB3">
        <w:rPr>
          <w:rFonts w:ascii="Times New Roman" w:hAnsi="Times New Roman" w:cs="Times New Roman"/>
        </w:rPr>
        <w:t>the</w:t>
      </w:r>
      <w:r w:rsidRPr="007D4CB3">
        <w:rPr>
          <w:rFonts w:ascii="Times New Roman" w:hAnsi="Times New Roman" w:cs="Times New Roman"/>
        </w:rPr>
        <w:t xml:space="preserve"> Matrix Model an effective and appropriate treatment for </w:t>
      </w:r>
      <w:r w:rsidRPr="007D4CB3">
        <w:rPr>
          <w:rFonts w:ascii="Times New Roman" w:hAnsi="Times New Roman" w:cs="Times New Roman"/>
          <w:color w:val="000000"/>
        </w:rPr>
        <w:t>StUD</w:t>
      </w:r>
      <w:r w:rsidRPr="007D4CB3">
        <w:rPr>
          <w:rFonts w:ascii="Times New Roman" w:hAnsi="Times New Roman" w:cs="Times New Roman"/>
        </w:rPr>
        <w:t>?</w:t>
      </w:r>
    </w:p>
    <w:p w14:paraId="78238335" w14:textId="3DE485FB"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color w:val="000000"/>
        </w:rPr>
        <w:t xml:space="preserve">Is </w:t>
      </w:r>
      <w:r w:rsidR="00534F1A" w:rsidRPr="007D4CB3">
        <w:rPr>
          <w:rFonts w:ascii="Times New Roman" w:hAnsi="Times New Roman" w:cs="Times New Roman"/>
          <w:color w:val="000000"/>
        </w:rPr>
        <w:t>the</w:t>
      </w:r>
      <w:r w:rsidRPr="007D4CB3">
        <w:rPr>
          <w:rFonts w:ascii="Times New Roman" w:hAnsi="Times New Roman" w:cs="Times New Roman"/>
          <w:color w:val="000000"/>
        </w:rPr>
        <w:t xml:space="preserve"> </w:t>
      </w:r>
      <w:r w:rsidRPr="007D4CB3">
        <w:rPr>
          <w:rFonts w:ascii="Times New Roman" w:hAnsi="Times New Roman" w:cs="Times New Roman"/>
        </w:rPr>
        <w:t xml:space="preserve">Matrix Model </w:t>
      </w:r>
      <w:r w:rsidRPr="007D4CB3">
        <w:rPr>
          <w:rFonts w:ascii="Times New Roman" w:hAnsi="Times New Roman" w:cs="Times New Roman"/>
          <w:color w:val="000000"/>
        </w:rPr>
        <w:t>more effective than other behavioral treatments for StUD?</w:t>
      </w:r>
    </w:p>
    <w:p w14:paraId="056D79A0" w14:textId="02F4C2B5"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color w:val="000000"/>
        </w:rPr>
        <w:t xml:space="preserve">Does adding </w:t>
      </w:r>
      <w:r w:rsidR="00534F1A" w:rsidRPr="007D4CB3">
        <w:rPr>
          <w:rFonts w:ascii="Times New Roman" w:hAnsi="Times New Roman" w:cs="Times New Roman"/>
          <w:color w:val="000000"/>
        </w:rPr>
        <w:t>CM to the Matrix Model</w:t>
      </w:r>
      <w:r w:rsidRPr="007D4CB3">
        <w:rPr>
          <w:rFonts w:ascii="Times New Roman" w:hAnsi="Times New Roman" w:cs="Times New Roman"/>
          <w:color w:val="000000"/>
        </w:rPr>
        <w:t xml:space="preserve"> improve outcomes for StUD?</w:t>
      </w:r>
    </w:p>
    <w:p w14:paraId="53DF9BDB" w14:textId="02DE490A"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color w:val="000000"/>
        </w:rPr>
        <w:t xml:space="preserve">What additional considerations and implementation strategies may influence the effects of </w:t>
      </w:r>
      <w:r w:rsidR="008F715B" w:rsidRPr="007D4CB3">
        <w:rPr>
          <w:rFonts w:ascii="Times New Roman" w:hAnsi="Times New Roman" w:cs="Times New Roman"/>
          <w:color w:val="000000"/>
        </w:rPr>
        <w:t xml:space="preserve">the </w:t>
      </w:r>
      <w:r w:rsidRPr="007D4CB3">
        <w:rPr>
          <w:rFonts w:ascii="Times New Roman" w:hAnsi="Times New Roman" w:cs="Times New Roman"/>
          <w:color w:val="000000"/>
        </w:rPr>
        <w:t>Matrix Model?</w:t>
      </w:r>
    </w:p>
    <w:p w14:paraId="446B0B42" w14:textId="77777777" w:rsidR="005D3271" w:rsidRPr="007D4CB3" w:rsidRDefault="005D3271" w:rsidP="00FC7CE6">
      <w:pPr>
        <w:pStyle w:val="Heading3-backmatter"/>
        <w:spacing w:before="0" w:after="0" w:line="360" w:lineRule="auto"/>
        <w:rPr>
          <w:rFonts w:ascii="Times New Roman" w:hAnsi="Times New Roman" w:cs="Times New Roman"/>
          <w:sz w:val="24"/>
        </w:rPr>
      </w:pPr>
      <w:r w:rsidRPr="007D4CB3">
        <w:rPr>
          <w:rFonts w:ascii="Times New Roman" w:hAnsi="Times New Roman" w:cs="Times New Roman"/>
          <w:sz w:val="24"/>
        </w:rPr>
        <w:lastRenderedPageBreak/>
        <w:t>Technology-Based Interventions</w:t>
      </w:r>
    </w:p>
    <w:p w14:paraId="599BAFA1" w14:textId="29477995" w:rsidR="005D3271" w:rsidRPr="007D4CB3" w:rsidRDefault="005D3271" w:rsidP="00FC7CE6">
      <w:pPr>
        <w:pStyle w:val="StUDRecs"/>
        <w:numPr>
          <w:ilvl w:val="0"/>
          <w:numId w:val="54"/>
        </w:numPr>
        <w:spacing w:before="0" w:after="0" w:line="360" w:lineRule="auto"/>
        <w:rPr>
          <w:rFonts w:ascii="Times New Roman" w:hAnsi="Times New Roman" w:cs="Times New Roman"/>
        </w:rPr>
      </w:pPr>
      <w:r w:rsidRPr="007D4CB3">
        <w:rPr>
          <w:rFonts w:ascii="Times New Roman" w:hAnsi="Times New Roman" w:cs="Times New Roman"/>
        </w:rPr>
        <w:t>Computer-</w:t>
      </w:r>
      <w:r w:rsidR="0058472E" w:rsidRPr="007D4CB3">
        <w:rPr>
          <w:rFonts w:ascii="Times New Roman" w:hAnsi="Times New Roman" w:cs="Times New Roman"/>
        </w:rPr>
        <w:t>Delivered Treatment</w:t>
      </w:r>
      <w:r w:rsidR="00764D37" w:rsidRPr="007D4CB3">
        <w:rPr>
          <w:rFonts w:ascii="Times New Roman" w:hAnsi="Times New Roman" w:cs="Times New Roman"/>
        </w:rPr>
        <w:t xml:space="preserve"> (Table </w:t>
      </w:r>
      <w:r w:rsidR="002C75DF" w:rsidRPr="007D4CB3">
        <w:rPr>
          <w:rFonts w:ascii="Times New Roman" w:hAnsi="Times New Roman" w:cs="Times New Roman"/>
        </w:rPr>
        <w:t>5</w:t>
      </w:r>
      <w:r w:rsidR="00764D37" w:rsidRPr="007D4CB3">
        <w:rPr>
          <w:rFonts w:ascii="Times New Roman" w:hAnsi="Times New Roman" w:cs="Times New Roman"/>
        </w:rPr>
        <w:t>):</w:t>
      </w:r>
    </w:p>
    <w:p w14:paraId="44AD865C" w14:textId="35254BD5"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What is the effect of computer-delivered treatment for </w:t>
      </w:r>
      <w:r w:rsidR="00764D37" w:rsidRPr="007D4CB3">
        <w:rPr>
          <w:rFonts w:ascii="Times New Roman" w:hAnsi="Times New Roman" w:cs="Times New Roman"/>
        </w:rPr>
        <w:t>StUD</w:t>
      </w:r>
      <w:r w:rsidRPr="007D4CB3">
        <w:rPr>
          <w:rFonts w:ascii="Times New Roman" w:hAnsi="Times New Roman" w:cs="Times New Roman"/>
        </w:rPr>
        <w:t>?</w:t>
      </w:r>
    </w:p>
    <w:p w14:paraId="50084D37" w14:textId="14884651"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What contextual factors and implementation strategies may influence the effects of computer-delivered treatment?</w:t>
      </w:r>
    </w:p>
    <w:p w14:paraId="69870FFE" w14:textId="383D8EA2"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Telehealth</w:t>
      </w:r>
      <w:r w:rsidR="00764D37" w:rsidRPr="007D4CB3">
        <w:rPr>
          <w:rFonts w:ascii="Times New Roman" w:hAnsi="Times New Roman" w:cs="Times New Roman"/>
        </w:rPr>
        <w:t xml:space="preserve"> (Table </w:t>
      </w:r>
      <w:r w:rsidR="002C75DF" w:rsidRPr="007D4CB3">
        <w:rPr>
          <w:rFonts w:ascii="Times New Roman" w:hAnsi="Times New Roman" w:cs="Times New Roman"/>
        </w:rPr>
        <w:t>6</w:t>
      </w:r>
      <w:r w:rsidR="00764D37" w:rsidRPr="007D4CB3">
        <w:rPr>
          <w:rFonts w:ascii="Times New Roman" w:hAnsi="Times New Roman" w:cs="Times New Roman"/>
        </w:rPr>
        <w:t>):</w:t>
      </w:r>
    </w:p>
    <w:p w14:paraId="7D7D7B61" w14:textId="72DB00D8"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What is the effect of telehealth-delivered treatment for </w:t>
      </w:r>
      <w:r w:rsidR="00764D37" w:rsidRPr="007D4CB3">
        <w:rPr>
          <w:rFonts w:ascii="Times New Roman" w:hAnsi="Times New Roman" w:cs="Times New Roman"/>
        </w:rPr>
        <w:t>StUD</w:t>
      </w:r>
      <w:r w:rsidRPr="007D4CB3">
        <w:rPr>
          <w:rFonts w:ascii="Times New Roman" w:hAnsi="Times New Roman" w:cs="Times New Roman"/>
        </w:rPr>
        <w:t>?</w:t>
      </w:r>
    </w:p>
    <w:p w14:paraId="51F33EF5" w14:textId="0245C71D"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What contextual factors and implementation strategies may influence the effects of telehealth-delivered treatment?</w:t>
      </w:r>
    </w:p>
    <w:p w14:paraId="7BC32D9E" w14:textId="77777777" w:rsidR="005D3271" w:rsidRPr="007D4CB3" w:rsidRDefault="005D3271" w:rsidP="00FC7CE6">
      <w:pPr>
        <w:pStyle w:val="Heading3-backmatter"/>
        <w:spacing w:before="0" w:after="0" w:line="360" w:lineRule="auto"/>
        <w:rPr>
          <w:rFonts w:ascii="Times New Roman" w:hAnsi="Times New Roman" w:cs="Times New Roman"/>
          <w:sz w:val="24"/>
        </w:rPr>
      </w:pPr>
      <w:r w:rsidRPr="007D4CB3">
        <w:rPr>
          <w:rFonts w:ascii="Times New Roman" w:hAnsi="Times New Roman" w:cs="Times New Roman"/>
          <w:sz w:val="24"/>
        </w:rPr>
        <w:t>Pharmacotherapy</w:t>
      </w:r>
    </w:p>
    <w:p w14:paraId="09BA06D4" w14:textId="0CB6F9FB" w:rsidR="005D3271" w:rsidRPr="007D4CB3" w:rsidRDefault="005D3271" w:rsidP="00FC7CE6">
      <w:pPr>
        <w:pStyle w:val="StUDRecs"/>
        <w:numPr>
          <w:ilvl w:val="0"/>
          <w:numId w:val="55"/>
        </w:numPr>
        <w:spacing w:before="0" w:after="0" w:line="360" w:lineRule="auto"/>
        <w:rPr>
          <w:rFonts w:ascii="Times New Roman" w:hAnsi="Times New Roman" w:cs="Times New Roman"/>
        </w:rPr>
      </w:pPr>
      <w:r w:rsidRPr="007D4CB3">
        <w:rPr>
          <w:rFonts w:ascii="Times New Roman" w:hAnsi="Times New Roman" w:cs="Times New Roman"/>
        </w:rPr>
        <w:t xml:space="preserve">Bupropion for </w:t>
      </w:r>
      <w:r w:rsidR="0058472E" w:rsidRPr="007D4CB3">
        <w:rPr>
          <w:rFonts w:ascii="Times New Roman" w:hAnsi="Times New Roman" w:cs="Times New Roman"/>
        </w:rPr>
        <w:t>Cocaine Use Disorder</w:t>
      </w:r>
      <w:r w:rsidR="00CC72F4" w:rsidRPr="007D4CB3">
        <w:rPr>
          <w:rFonts w:ascii="Times New Roman" w:hAnsi="Times New Roman" w:cs="Times New Roman"/>
        </w:rPr>
        <w:t xml:space="preserve"> (Table </w:t>
      </w:r>
      <w:r w:rsidR="002C75DF" w:rsidRPr="007D4CB3">
        <w:rPr>
          <w:rFonts w:ascii="Times New Roman" w:hAnsi="Times New Roman" w:cs="Times New Roman"/>
        </w:rPr>
        <w:t>7</w:t>
      </w:r>
      <w:r w:rsidR="00CC72F4" w:rsidRPr="007D4CB3">
        <w:rPr>
          <w:rFonts w:ascii="Times New Roman" w:hAnsi="Times New Roman" w:cs="Times New Roman"/>
        </w:rPr>
        <w:t>):</w:t>
      </w:r>
    </w:p>
    <w:p w14:paraId="40A4B361" w14:textId="4A73648E"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Is bupropion safe and effective at reducing stimulant use and increasing treatment retention in patients with cocaine use disorder?</w:t>
      </w:r>
    </w:p>
    <w:p w14:paraId="1C8428D6" w14:textId="19C32EC0" w:rsidR="00146433" w:rsidRPr="007D4CB3" w:rsidRDefault="00146433"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 xml:space="preserve">Topiramate for </w:t>
      </w:r>
      <w:r w:rsidR="0058472E" w:rsidRPr="007D4CB3">
        <w:rPr>
          <w:rFonts w:ascii="Times New Roman" w:hAnsi="Times New Roman" w:cs="Times New Roman"/>
        </w:rPr>
        <w:t>Cocaine Use Disorder</w:t>
      </w:r>
      <w:r w:rsidRPr="007D4CB3">
        <w:rPr>
          <w:rFonts w:ascii="Times New Roman" w:hAnsi="Times New Roman" w:cs="Times New Roman"/>
        </w:rPr>
        <w:t xml:space="preserve"> (Table </w:t>
      </w:r>
      <w:r w:rsidR="002C75DF" w:rsidRPr="007D4CB3">
        <w:rPr>
          <w:rFonts w:ascii="Times New Roman" w:hAnsi="Times New Roman" w:cs="Times New Roman"/>
        </w:rPr>
        <w:t>8</w:t>
      </w:r>
      <w:r w:rsidRPr="007D4CB3">
        <w:rPr>
          <w:rFonts w:ascii="Times New Roman" w:hAnsi="Times New Roman" w:cs="Times New Roman"/>
        </w:rPr>
        <w:t>):</w:t>
      </w:r>
    </w:p>
    <w:p w14:paraId="151F534A" w14:textId="77777777" w:rsidR="00146433" w:rsidRPr="007D4CB3" w:rsidRDefault="00146433"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Is topiramate safe and effective at reducing stimulant use and increasing treatment retention in patients with cocaine use disorder?</w:t>
      </w:r>
    </w:p>
    <w:p w14:paraId="05EE6C32" w14:textId="084C08D7" w:rsidR="00BE13E5" w:rsidRPr="007D4CB3" w:rsidRDefault="00BE13E5"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 xml:space="preserve">Bupropion for </w:t>
      </w:r>
      <w:r w:rsidR="0058472E" w:rsidRPr="007D4CB3">
        <w:rPr>
          <w:rFonts w:ascii="Times New Roman" w:hAnsi="Times New Roman" w:cs="Times New Roman"/>
        </w:rPr>
        <w:t>Amphetamine-Type Stimulant Use Disorder</w:t>
      </w:r>
      <w:r w:rsidRPr="007D4CB3">
        <w:rPr>
          <w:rFonts w:ascii="Times New Roman" w:hAnsi="Times New Roman" w:cs="Times New Roman"/>
        </w:rPr>
        <w:t xml:space="preserve"> (Table </w:t>
      </w:r>
      <w:r w:rsidR="00461F23" w:rsidRPr="007D4CB3">
        <w:rPr>
          <w:rFonts w:ascii="Times New Roman" w:hAnsi="Times New Roman" w:cs="Times New Roman"/>
        </w:rPr>
        <w:t>9</w:t>
      </w:r>
      <w:r w:rsidRPr="007D4CB3">
        <w:rPr>
          <w:rFonts w:ascii="Times New Roman" w:hAnsi="Times New Roman" w:cs="Times New Roman"/>
        </w:rPr>
        <w:t>):</w:t>
      </w:r>
    </w:p>
    <w:p w14:paraId="26B96A92" w14:textId="42B2FB26" w:rsidR="00BE13E5" w:rsidRPr="007D4CB3" w:rsidRDefault="00BE13E5"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Is bupropion safe and effective at reducing stimulant use and increasing treatment retention in patients with ATS</w:t>
      </w:r>
      <w:r w:rsidRPr="007D4CB3" w:rsidDel="00BE13E5">
        <w:rPr>
          <w:rFonts w:ascii="Times New Roman" w:hAnsi="Times New Roman" w:cs="Times New Roman"/>
        </w:rPr>
        <w:t xml:space="preserve"> use disorder</w:t>
      </w:r>
      <w:r w:rsidRPr="007D4CB3">
        <w:rPr>
          <w:rFonts w:ascii="Times New Roman" w:hAnsi="Times New Roman" w:cs="Times New Roman"/>
        </w:rPr>
        <w:t>?</w:t>
      </w:r>
    </w:p>
    <w:p w14:paraId="323A238E" w14:textId="3F879AE6" w:rsidR="00BE13E5" w:rsidRPr="007D4CB3" w:rsidRDefault="00BE13E5"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 xml:space="preserve">Bupropion + Naltrexone for </w:t>
      </w:r>
      <w:r w:rsidR="0058472E" w:rsidRPr="007D4CB3">
        <w:rPr>
          <w:rFonts w:ascii="Times New Roman" w:hAnsi="Times New Roman" w:cs="Times New Roman"/>
        </w:rPr>
        <w:t>Amphetamine-Type Stimulant Use Disorder</w:t>
      </w:r>
      <w:r w:rsidRPr="007D4CB3">
        <w:rPr>
          <w:rFonts w:ascii="Times New Roman" w:hAnsi="Times New Roman" w:cs="Times New Roman"/>
        </w:rPr>
        <w:t xml:space="preserve"> (Table 1</w:t>
      </w:r>
      <w:r w:rsidR="00461F23" w:rsidRPr="007D4CB3">
        <w:rPr>
          <w:rFonts w:ascii="Times New Roman" w:hAnsi="Times New Roman" w:cs="Times New Roman"/>
        </w:rPr>
        <w:t>0</w:t>
      </w:r>
      <w:r w:rsidRPr="007D4CB3">
        <w:rPr>
          <w:rFonts w:ascii="Times New Roman" w:hAnsi="Times New Roman" w:cs="Times New Roman"/>
        </w:rPr>
        <w:t>):</w:t>
      </w:r>
    </w:p>
    <w:p w14:paraId="7B72C11E" w14:textId="52045BC1" w:rsidR="00BE13E5" w:rsidRPr="007D4CB3" w:rsidRDefault="00BE13E5"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shd w:val="clear" w:color="auto" w:fill="FFFFFF"/>
        </w:rPr>
        <w:t xml:space="preserve">Is the combination pharmacotherapy of bupropion and naltrexone safe and effective at reducing stimulant use and increasing treatment retention in patients with </w:t>
      </w:r>
      <w:r w:rsidR="00632C4E" w:rsidRPr="007D4CB3">
        <w:rPr>
          <w:rFonts w:ascii="Times New Roman" w:hAnsi="Times New Roman" w:cs="Times New Roman"/>
        </w:rPr>
        <w:t>ATS</w:t>
      </w:r>
      <w:r w:rsidRPr="007D4CB3" w:rsidDel="00BE13E5">
        <w:rPr>
          <w:rFonts w:ascii="Times New Roman" w:hAnsi="Times New Roman" w:cs="Times New Roman"/>
        </w:rPr>
        <w:t xml:space="preserve"> use disorder</w:t>
      </w:r>
      <w:r w:rsidRPr="007D4CB3">
        <w:rPr>
          <w:rFonts w:ascii="Times New Roman" w:hAnsi="Times New Roman" w:cs="Times New Roman"/>
        </w:rPr>
        <w:t>?</w:t>
      </w:r>
    </w:p>
    <w:p w14:paraId="7C67A77D" w14:textId="77777777" w:rsidR="00BE13E5" w:rsidRPr="007D4CB3" w:rsidRDefault="00BE13E5"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What contextual factors and implementation strategies may influence the effects of </w:t>
      </w:r>
      <w:r w:rsidRPr="007D4CB3">
        <w:rPr>
          <w:rFonts w:ascii="Times New Roman" w:hAnsi="Times New Roman" w:cs="Times New Roman"/>
          <w:shd w:val="clear" w:color="auto" w:fill="FFFFFF"/>
        </w:rPr>
        <w:t>bupropion + naltrexone</w:t>
      </w:r>
      <w:r w:rsidRPr="007D4CB3">
        <w:rPr>
          <w:rFonts w:ascii="Times New Roman" w:hAnsi="Times New Roman" w:cs="Times New Roman"/>
        </w:rPr>
        <w:t>?</w:t>
      </w:r>
    </w:p>
    <w:p w14:paraId="2F914F89" w14:textId="769BD91C" w:rsidR="00BE13E5" w:rsidRPr="007D4CB3" w:rsidRDefault="00BE13E5"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 xml:space="preserve">Topiramate for </w:t>
      </w:r>
      <w:r w:rsidR="00541FEC" w:rsidRPr="007D4CB3">
        <w:rPr>
          <w:rFonts w:ascii="Times New Roman" w:hAnsi="Times New Roman" w:cs="Times New Roman"/>
        </w:rPr>
        <w:t>Amphetamine-Type Stimulant</w:t>
      </w:r>
      <w:r w:rsidRPr="007D4CB3">
        <w:rPr>
          <w:rFonts w:ascii="Times New Roman" w:hAnsi="Times New Roman" w:cs="Times New Roman"/>
        </w:rPr>
        <w:t xml:space="preserve"> </w:t>
      </w:r>
      <w:r w:rsidR="0058472E" w:rsidRPr="007D4CB3">
        <w:rPr>
          <w:rFonts w:ascii="Times New Roman" w:hAnsi="Times New Roman" w:cs="Times New Roman"/>
        </w:rPr>
        <w:t>Use Di</w:t>
      </w:r>
      <w:r w:rsidRPr="007D4CB3">
        <w:rPr>
          <w:rFonts w:ascii="Times New Roman" w:hAnsi="Times New Roman" w:cs="Times New Roman"/>
        </w:rPr>
        <w:t>sorder (Table </w:t>
      </w:r>
      <w:r w:rsidR="00C259B9" w:rsidRPr="007D4CB3">
        <w:rPr>
          <w:rFonts w:ascii="Times New Roman" w:hAnsi="Times New Roman" w:cs="Times New Roman"/>
        </w:rPr>
        <w:t>1</w:t>
      </w:r>
      <w:r w:rsidR="00461F23" w:rsidRPr="007D4CB3">
        <w:rPr>
          <w:rFonts w:ascii="Times New Roman" w:hAnsi="Times New Roman" w:cs="Times New Roman"/>
        </w:rPr>
        <w:t>1</w:t>
      </w:r>
      <w:r w:rsidR="00C259B9" w:rsidRPr="007D4CB3">
        <w:rPr>
          <w:rFonts w:ascii="Times New Roman" w:hAnsi="Times New Roman" w:cs="Times New Roman"/>
        </w:rPr>
        <w:t>):</w:t>
      </w:r>
    </w:p>
    <w:p w14:paraId="74A50E9D" w14:textId="59D361E8" w:rsidR="00BE13E5" w:rsidRPr="007D4CB3" w:rsidRDefault="00BE13E5"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Is topiramate safe and effective at reducing stimulant use and increasing treatment retention in patients with </w:t>
      </w:r>
      <w:r w:rsidR="00632C4E" w:rsidRPr="007D4CB3">
        <w:rPr>
          <w:rFonts w:ascii="Times New Roman" w:hAnsi="Times New Roman" w:cs="Times New Roman"/>
        </w:rPr>
        <w:t>ATS</w:t>
      </w:r>
      <w:r w:rsidRPr="007D4CB3">
        <w:rPr>
          <w:rFonts w:ascii="Times New Roman" w:hAnsi="Times New Roman" w:cs="Times New Roman"/>
        </w:rPr>
        <w:t xml:space="preserve"> use disorder?</w:t>
      </w:r>
    </w:p>
    <w:p w14:paraId="7B2E80B0" w14:textId="28F5D395" w:rsidR="00BE13E5" w:rsidRPr="007D4CB3" w:rsidRDefault="00BE13E5"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 xml:space="preserve">Mirtazapine for </w:t>
      </w:r>
      <w:r w:rsidR="0058472E" w:rsidRPr="007D4CB3">
        <w:rPr>
          <w:rFonts w:ascii="Times New Roman" w:hAnsi="Times New Roman" w:cs="Times New Roman"/>
        </w:rPr>
        <w:t>Amphetamine-Type Stimulant Use Disorder</w:t>
      </w:r>
      <w:r w:rsidR="006C6E14" w:rsidRPr="007D4CB3">
        <w:rPr>
          <w:rFonts w:ascii="Times New Roman" w:hAnsi="Times New Roman" w:cs="Times New Roman"/>
        </w:rPr>
        <w:t xml:space="preserve"> (Table 1</w:t>
      </w:r>
      <w:r w:rsidR="00461F23" w:rsidRPr="007D4CB3">
        <w:rPr>
          <w:rFonts w:ascii="Times New Roman" w:hAnsi="Times New Roman" w:cs="Times New Roman"/>
        </w:rPr>
        <w:t>2</w:t>
      </w:r>
      <w:r w:rsidR="006C6E14" w:rsidRPr="007D4CB3">
        <w:rPr>
          <w:rFonts w:ascii="Times New Roman" w:hAnsi="Times New Roman" w:cs="Times New Roman"/>
        </w:rPr>
        <w:t>):</w:t>
      </w:r>
    </w:p>
    <w:p w14:paraId="420BD041" w14:textId="0DD237D8" w:rsidR="00BE13E5" w:rsidRPr="007D4CB3" w:rsidRDefault="00BE13E5"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Is mirtazapine a safe and effective treatment for </w:t>
      </w:r>
      <w:r w:rsidR="00632C4E" w:rsidRPr="007D4CB3">
        <w:rPr>
          <w:rFonts w:ascii="Times New Roman" w:hAnsi="Times New Roman" w:cs="Times New Roman"/>
        </w:rPr>
        <w:t>ATS</w:t>
      </w:r>
      <w:r w:rsidRPr="007D4CB3">
        <w:rPr>
          <w:rFonts w:ascii="Times New Roman" w:hAnsi="Times New Roman" w:cs="Times New Roman"/>
        </w:rPr>
        <w:t xml:space="preserve"> use disorder?</w:t>
      </w:r>
    </w:p>
    <w:p w14:paraId="09826B34" w14:textId="398BD06D"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 xml:space="preserve">Modafinil for </w:t>
      </w:r>
      <w:r w:rsidR="0058472E" w:rsidRPr="007D4CB3">
        <w:rPr>
          <w:rFonts w:ascii="Times New Roman" w:hAnsi="Times New Roman" w:cs="Times New Roman"/>
        </w:rPr>
        <w:t>Cocaine Use Disorder</w:t>
      </w:r>
      <w:r w:rsidR="006C6E14" w:rsidRPr="007D4CB3">
        <w:rPr>
          <w:rFonts w:ascii="Times New Roman" w:hAnsi="Times New Roman" w:cs="Times New Roman"/>
        </w:rPr>
        <w:t xml:space="preserve"> (Table 1</w:t>
      </w:r>
      <w:r w:rsidR="00461F23" w:rsidRPr="007D4CB3">
        <w:rPr>
          <w:rFonts w:ascii="Times New Roman" w:hAnsi="Times New Roman" w:cs="Times New Roman"/>
        </w:rPr>
        <w:t>3</w:t>
      </w:r>
      <w:r w:rsidR="006C6E14" w:rsidRPr="007D4CB3">
        <w:rPr>
          <w:rFonts w:ascii="Times New Roman" w:hAnsi="Times New Roman" w:cs="Times New Roman"/>
        </w:rPr>
        <w:t>):</w:t>
      </w:r>
    </w:p>
    <w:p w14:paraId="6B5770FF" w14:textId="720F1079"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lastRenderedPageBreak/>
        <w:t>Is modafinil a safe and effective treatment for patients with cocaine use disorder?</w:t>
      </w:r>
    </w:p>
    <w:p w14:paraId="6C67938F" w14:textId="48486048"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 xml:space="preserve">Topiramate </w:t>
      </w:r>
      <w:r w:rsidR="0058472E" w:rsidRPr="007D4CB3">
        <w:rPr>
          <w:rFonts w:ascii="Times New Roman" w:hAnsi="Times New Roman" w:cs="Times New Roman"/>
        </w:rPr>
        <w:t xml:space="preserve">+ Extended-Release Mixed Amphetamine Salts for Cocaine Use Disorder </w:t>
      </w:r>
      <w:r w:rsidR="006C6E14" w:rsidRPr="007D4CB3">
        <w:rPr>
          <w:rFonts w:ascii="Times New Roman" w:hAnsi="Times New Roman" w:cs="Times New Roman"/>
        </w:rPr>
        <w:t>(Table 1</w:t>
      </w:r>
      <w:r w:rsidR="00461F23" w:rsidRPr="007D4CB3">
        <w:rPr>
          <w:rFonts w:ascii="Times New Roman" w:hAnsi="Times New Roman" w:cs="Times New Roman"/>
        </w:rPr>
        <w:t>4</w:t>
      </w:r>
      <w:r w:rsidR="006C6E14" w:rsidRPr="007D4CB3">
        <w:rPr>
          <w:rFonts w:ascii="Times New Roman" w:hAnsi="Times New Roman" w:cs="Times New Roman"/>
        </w:rPr>
        <w:t>):</w:t>
      </w:r>
    </w:p>
    <w:p w14:paraId="5C94C544" w14:textId="7750BACE"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Is the combination pharmacotherapy of topiramate </w:t>
      </w:r>
      <w:r w:rsidR="006C6E14" w:rsidRPr="007D4CB3">
        <w:rPr>
          <w:rFonts w:ascii="Times New Roman" w:hAnsi="Times New Roman" w:cs="Times New Roman"/>
        </w:rPr>
        <w:t>and MAS</w:t>
      </w:r>
      <w:r w:rsidR="006C6E14" w:rsidRPr="007D4CB3">
        <w:rPr>
          <w:rFonts w:ascii="Times New Roman" w:hAnsi="Times New Roman" w:cs="Times New Roman"/>
        </w:rPr>
        <w:noBreakHyphen/>
        <w:t xml:space="preserve">ER </w:t>
      </w:r>
      <w:r w:rsidRPr="007D4CB3">
        <w:rPr>
          <w:rFonts w:ascii="Times New Roman" w:hAnsi="Times New Roman" w:cs="Times New Roman"/>
        </w:rPr>
        <w:t>safe and effective treatment for patients with cocaine use disorder?</w:t>
      </w:r>
    </w:p>
    <w:p w14:paraId="5260A655" w14:textId="6F1B7049"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What contextual factors and implementation strategies may influence the effects of </w:t>
      </w:r>
      <w:r w:rsidR="00D146B8" w:rsidRPr="007D4CB3">
        <w:rPr>
          <w:rFonts w:ascii="Times New Roman" w:hAnsi="Times New Roman" w:cs="Times New Roman"/>
        </w:rPr>
        <w:t xml:space="preserve">topiramate + </w:t>
      </w:r>
      <w:r w:rsidRPr="007D4CB3">
        <w:rPr>
          <w:rFonts w:ascii="Times New Roman" w:hAnsi="Times New Roman" w:cs="Times New Roman"/>
        </w:rPr>
        <w:t>MAS-ER?</w:t>
      </w:r>
    </w:p>
    <w:p w14:paraId="60D9E28B" w14:textId="1BA28F50"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 xml:space="preserve">Psychostimulant </w:t>
      </w:r>
      <w:r w:rsidR="0058472E" w:rsidRPr="007D4CB3">
        <w:rPr>
          <w:rFonts w:ascii="Times New Roman" w:hAnsi="Times New Roman" w:cs="Times New Roman"/>
        </w:rPr>
        <w:t>Amphetamines for Cocaine Use Disorder</w:t>
      </w:r>
      <w:r w:rsidR="00D146B8" w:rsidRPr="007D4CB3">
        <w:rPr>
          <w:rFonts w:ascii="Times New Roman" w:hAnsi="Times New Roman" w:cs="Times New Roman"/>
        </w:rPr>
        <w:t xml:space="preserve"> (Table </w:t>
      </w:r>
      <w:r w:rsidR="00461F23" w:rsidRPr="007D4CB3">
        <w:rPr>
          <w:rFonts w:ascii="Times New Roman" w:hAnsi="Times New Roman" w:cs="Times New Roman"/>
        </w:rPr>
        <w:t>15</w:t>
      </w:r>
      <w:r w:rsidR="00D146B8" w:rsidRPr="007D4CB3">
        <w:rPr>
          <w:rFonts w:ascii="Times New Roman" w:hAnsi="Times New Roman" w:cs="Times New Roman"/>
        </w:rPr>
        <w:t>):</w:t>
      </w:r>
    </w:p>
    <w:p w14:paraId="21D4DC45" w14:textId="3D24234D"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Are long-acting amphetamine formulations of prescription psychostimulants safe and effective at reducing stimulant use and increasing treatment retention in patients with cocaine use disorder?</w:t>
      </w:r>
    </w:p>
    <w:p w14:paraId="2A8D40AB" w14:textId="4660ABC8"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 xml:space="preserve">Psychostimulant </w:t>
      </w:r>
      <w:r w:rsidR="0058472E" w:rsidRPr="007D4CB3">
        <w:rPr>
          <w:rFonts w:ascii="Times New Roman" w:hAnsi="Times New Roman" w:cs="Times New Roman"/>
        </w:rPr>
        <w:t xml:space="preserve">Methylphenidate for Amphetamine-Type Stimulant Use Disorder </w:t>
      </w:r>
      <w:r w:rsidR="00F774F2" w:rsidRPr="007D4CB3">
        <w:rPr>
          <w:rFonts w:ascii="Times New Roman" w:hAnsi="Times New Roman" w:cs="Times New Roman"/>
        </w:rPr>
        <w:t>(Table 1</w:t>
      </w:r>
      <w:r w:rsidR="00461F23" w:rsidRPr="007D4CB3">
        <w:rPr>
          <w:rFonts w:ascii="Times New Roman" w:hAnsi="Times New Roman" w:cs="Times New Roman"/>
        </w:rPr>
        <w:t>6</w:t>
      </w:r>
      <w:r w:rsidR="00F774F2" w:rsidRPr="007D4CB3">
        <w:rPr>
          <w:rFonts w:ascii="Times New Roman" w:hAnsi="Times New Roman" w:cs="Times New Roman"/>
        </w:rPr>
        <w:t>):</w:t>
      </w:r>
    </w:p>
    <w:p w14:paraId="07F6ADFA" w14:textId="38F760F8"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Are long-acting </w:t>
      </w:r>
      <w:r w:rsidR="00F774F2" w:rsidRPr="007D4CB3">
        <w:rPr>
          <w:rFonts w:ascii="Times New Roman" w:hAnsi="Times New Roman" w:cs="Times New Roman"/>
        </w:rPr>
        <w:t>MPH</w:t>
      </w:r>
      <w:r w:rsidRPr="007D4CB3">
        <w:rPr>
          <w:rFonts w:ascii="Times New Roman" w:hAnsi="Times New Roman" w:cs="Times New Roman"/>
        </w:rPr>
        <w:t xml:space="preserve"> formulations or prescription psychostimulants safe and effective at reducing stimulant use and increasing treatment retention in patients with </w:t>
      </w:r>
      <w:r w:rsidR="00632C4E" w:rsidRPr="007D4CB3">
        <w:rPr>
          <w:rFonts w:ascii="Times New Roman" w:hAnsi="Times New Roman" w:cs="Times New Roman"/>
        </w:rPr>
        <w:t>ATS</w:t>
      </w:r>
      <w:r w:rsidRPr="007D4CB3">
        <w:rPr>
          <w:rFonts w:ascii="Times New Roman" w:hAnsi="Times New Roman" w:cs="Times New Roman"/>
        </w:rPr>
        <w:t xml:space="preserve"> use disorder?</w:t>
      </w:r>
    </w:p>
    <w:p w14:paraId="1D7CF8BC" w14:textId="12262CAC" w:rsidR="005D3271" w:rsidRPr="007D4CB3" w:rsidRDefault="005D3271" w:rsidP="00FC7CE6">
      <w:pPr>
        <w:pStyle w:val="Heading3-backmatter"/>
        <w:spacing w:before="0" w:after="0" w:line="360" w:lineRule="auto"/>
        <w:rPr>
          <w:rFonts w:ascii="Times New Roman" w:hAnsi="Times New Roman" w:cs="Times New Roman"/>
          <w:sz w:val="24"/>
        </w:rPr>
      </w:pPr>
      <w:r w:rsidRPr="007D4CB3">
        <w:rPr>
          <w:rFonts w:ascii="Times New Roman" w:hAnsi="Times New Roman" w:cs="Times New Roman"/>
          <w:sz w:val="24"/>
        </w:rPr>
        <w:t>Co-</w:t>
      </w:r>
      <w:r w:rsidR="00385DDF" w:rsidRPr="007D4CB3">
        <w:rPr>
          <w:rFonts w:ascii="Times New Roman" w:hAnsi="Times New Roman" w:cs="Times New Roman"/>
          <w:sz w:val="24"/>
        </w:rPr>
        <w:t>occu</w:t>
      </w:r>
      <w:r w:rsidRPr="007D4CB3">
        <w:rPr>
          <w:rFonts w:ascii="Times New Roman" w:hAnsi="Times New Roman" w:cs="Times New Roman"/>
          <w:sz w:val="24"/>
        </w:rPr>
        <w:t>rring Disorders</w:t>
      </w:r>
    </w:p>
    <w:p w14:paraId="5E5EFE84" w14:textId="1E02B2E2" w:rsidR="005D3271" w:rsidRPr="007D4CB3" w:rsidRDefault="005D3271" w:rsidP="00FC7CE6">
      <w:pPr>
        <w:pStyle w:val="StUDRecs"/>
        <w:numPr>
          <w:ilvl w:val="0"/>
          <w:numId w:val="56"/>
        </w:numPr>
        <w:spacing w:before="0" w:after="0" w:line="360" w:lineRule="auto"/>
        <w:rPr>
          <w:rFonts w:ascii="Times New Roman" w:hAnsi="Times New Roman" w:cs="Times New Roman"/>
        </w:rPr>
      </w:pPr>
      <w:r w:rsidRPr="007D4CB3">
        <w:rPr>
          <w:rFonts w:ascii="Times New Roman" w:hAnsi="Times New Roman" w:cs="Times New Roman"/>
        </w:rPr>
        <w:t xml:space="preserve">Integrated </w:t>
      </w:r>
      <w:r w:rsidR="0058472E" w:rsidRPr="007D4CB3">
        <w:rPr>
          <w:rFonts w:ascii="Times New Roman" w:hAnsi="Times New Roman" w:cs="Times New Roman"/>
        </w:rPr>
        <w:t>Care</w:t>
      </w:r>
      <w:r w:rsidR="0006577A" w:rsidRPr="007D4CB3">
        <w:rPr>
          <w:rFonts w:ascii="Times New Roman" w:hAnsi="Times New Roman" w:cs="Times New Roman"/>
        </w:rPr>
        <w:t xml:space="preserve"> (Table </w:t>
      </w:r>
      <w:r w:rsidR="00461F23" w:rsidRPr="007D4CB3">
        <w:rPr>
          <w:rFonts w:ascii="Times New Roman" w:hAnsi="Times New Roman" w:cs="Times New Roman"/>
        </w:rPr>
        <w:t>17</w:t>
      </w:r>
      <w:r w:rsidR="0006577A" w:rsidRPr="007D4CB3">
        <w:rPr>
          <w:rFonts w:ascii="Times New Roman" w:hAnsi="Times New Roman" w:cs="Times New Roman"/>
        </w:rPr>
        <w:t>):</w:t>
      </w:r>
    </w:p>
    <w:p w14:paraId="7D56ECF5" w14:textId="742940D3"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What are the most effective and appropriate behavioral interventions for the treatment of </w:t>
      </w:r>
      <w:r w:rsidR="0006577A" w:rsidRPr="007D4CB3">
        <w:rPr>
          <w:rFonts w:ascii="Times New Roman" w:hAnsi="Times New Roman" w:cs="Times New Roman"/>
        </w:rPr>
        <w:t>StUD</w:t>
      </w:r>
      <w:r w:rsidRPr="007D4CB3">
        <w:rPr>
          <w:rFonts w:ascii="Times New Roman" w:hAnsi="Times New Roman" w:cs="Times New Roman"/>
        </w:rPr>
        <w:t xml:space="preserve"> in patients with co</w:t>
      </w:r>
      <w:r w:rsidR="0006577A" w:rsidRPr="007D4CB3">
        <w:rPr>
          <w:rFonts w:ascii="Times New Roman" w:hAnsi="Times New Roman" w:cs="Times New Roman"/>
        </w:rPr>
        <w:noBreakHyphen/>
      </w:r>
      <w:r w:rsidRPr="007D4CB3">
        <w:rPr>
          <w:rFonts w:ascii="Times New Roman" w:hAnsi="Times New Roman" w:cs="Times New Roman"/>
        </w:rPr>
        <w:t>occurring psychiatric disorders?</w:t>
      </w:r>
    </w:p>
    <w:p w14:paraId="0ACD7F7F" w14:textId="77777777"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What contextual factors and implementation strategies may influence the effects of </w:t>
      </w:r>
      <w:r w:rsidRPr="007D4CB3">
        <w:rPr>
          <w:rFonts w:ascii="Times New Roman" w:eastAsia="Calibri" w:hAnsi="Times New Roman" w:cs="Times New Roman"/>
        </w:rPr>
        <w:t>behavioral interventions</w:t>
      </w:r>
      <w:r w:rsidRPr="007D4CB3">
        <w:rPr>
          <w:rFonts w:ascii="Times New Roman" w:hAnsi="Times New Roman" w:cs="Times New Roman"/>
        </w:rPr>
        <w:t>?</w:t>
      </w:r>
    </w:p>
    <w:p w14:paraId="08A0F4CC" w14:textId="303DBE1F" w:rsidR="005D3271" w:rsidRPr="007D4CB3" w:rsidRDefault="005D3271" w:rsidP="00FC7CE6">
      <w:pPr>
        <w:pStyle w:val="StUDRecs"/>
        <w:keepNext/>
        <w:spacing w:before="0" w:after="0" w:line="360" w:lineRule="auto"/>
        <w:rPr>
          <w:rFonts w:ascii="Times New Roman" w:hAnsi="Times New Roman" w:cs="Times New Roman"/>
        </w:rPr>
      </w:pPr>
      <w:r w:rsidRPr="007D4CB3">
        <w:rPr>
          <w:rFonts w:ascii="Times New Roman" w:hAnsi="Times New Roman" w:cs="Times New Roman"/>
        </w:rPr>
        <w:t>Psychosis</w:t>
      </w:r>
      <w:r w:rsidR="0006577A" w:rsidRPr="007D4CB3">
        <w:rPr>
          <w:rFonts w:ascii="Times New Roman" w:hAnsi="Times New Roman" w:cs="Times New Roman"/>
        </w:rPr>
        <w:t xml:space="preserve"> (Table </w:t>
      </w:r>
      <w:r w:rsidR="00461F23" w:rsidRPr="007D4CB3">
        <w:rPr>
          <w:rFonts w:ascii="Times New Roman" w:hAnsi="Times New Roman" w:cs="Times New Roman"/>
        </w:rPr>
        <w:t>18</w:t>
      </w:r>
      <w:r w:rsidR="0006577A" w:rsidRPr="007D4CB3">
        <w:rPr>
          <w:rFonts w:ascii="Times New Roman" w:hAnsi="Times New Roman" w:cs="Times New Roman"/>
        </w:rPr>
        <w:t>):</w:t>
      </w:r>
    </w:p>
    <w:p w14:paraId="21DBD86E" w14:textId="6DA8C2E7"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Should clinicians use pharmacotherapy to treat psychosis or mania if it is unclear whether the condition is preexisting or stimulant-induced?</w:t>
      </w:r>
    </w:p>
    <w:p w14:paraId="0A0AAEC9" w14:textId="77777777"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What contextual factors and implementation strategies may influence the </w:t>
      </w:r>
      <w:r w:rsidRPr="007D4CB3">
        <w:rPr>
          <w:rStyle w:val="normaltextrun"/>
          <w:rFonts w:ascii="Times New Roman" w:hAnsi="Times New Roman" w:cs="Times New Roman"/>
        </w:rPr>
        <w:t>decision to use pharmacotherapy</w:t>
      </w:r>
      <w:r w:rsidRPr="007D4CB3">
        <w:rPr>
          <w:rFonts w:ascii="Times New Roman" w:hAnsi="Times New Roman" w:cs="Times New Roman"/>
        </w:rPr>
        <w:t>?</w:t>
      </w:r>
    </w:p>
    <w:p w14:paraId="56DFF8AF" w14:textId="7E4A199E"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What are the most effective and appropriate interventions for treating psychosis in patients with </w:t>
      </w:r>
      <w:r w:rsidR="00BD5CC8" w:rsidRPr="007D4CB3">
        <w:rPr>
          <w:rFonts w:ascii="Times New Roman" w:hAnsi="Times New Roman" w:cs="Times New Roman"/>
        </w:rPr>
        <w:t>StUD</w:t>
      </w:r>
      <w:r w:rsidRPr="007D4CB3">
        <w:rPr>
          <w:rFonts w:ascii="Times New Roman" w:hAnsi="Times New Roman" w:cs="Times New Roman"/>
        </w:rPr>
        <w:t>?</w:t>
      </w:r>
    </w:p>
    <w:p w14:paraId="69543D18" w14:textId="3D5452AA"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 xml:space="preserve">Psychosis </w:t>
      </w:r>
      <w:r w:rsidR="00BD5CC8" w:rsidRPr="007D4CB3">
        <w:rPr>
          <w:rFonts w:ascii="Times New Roman" w:hAnsi="Times New Roman" w:cs="Times New Roman"/>
        </w:rPr>
        <w:t>t</w:t>
      </w:r>
      <w:r w:rsidRPr="007D4CB3">
        <w:rPr>
          <w:rFonts w:ascii="Times New Roman" w:hAnsi="Times New Roman" w:cs="Times New Roman"/>
        </w:rPr>
        <w:t>aper</w:t>
      </w:r>
      <w:r w:rsidR="00BD5CC8" w:rsidRPr="007D4CB3">
        <w:rPr>
          <w:rFonts w:ascii="Times New Roman" w:hAnsi="Times New Roman" w:cs="Times New Roman"/>
        </w:rPr>
        <w:t xml:space="preserve"> (Table </w:t>
      </w:r>
      <w:r w:rsidR="00461F23" w:rsidRPr="007D4CB3">
        <w:rPr>
          <w:rFonts w:ascii="Times New Roman" w:hAnsi="Times New Roman" w:cs="Times New Roman"/>
        </w:rPr>
        <w:t>19</w:t>
      </w:r>
      <w:r w:rsidR="00BD5CC8" w:rsidRPr="007D4CB3">
        <w:rPr>
          <w:rFonts w:ascii="Times New Roman" w:hAnsi="Times New Roman" w:cs="Times New Roman"/>
        </w:rPr>
        <w:t>):</w:t>
      </w:r>
    </w:p>
    <w:p w14:paraId="5FB8B4A8" w14:textId="77777777"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lastRenderedPageBreak/>
        <w:t xml:space="preserve">What is the optimal duration of antipsychotic treatment for persons who </w:t>
      </w:r>
      <w:proofErr w:type="gramStart"/>
      <w:r w:rsidRPr="007D4CB3">
        <w:rPr>
          <w:rFonts w:ascii="Times New Roman" w:hAnsi="Times New Roman" w:cs="Times New Roman"/>
        </w:rPr>
        <w:t>are presumed</w:t>
      </w:r>
      <w:proofErr w:type="gramEnd"/>
      <w:r w:rsidRPr="007D4CB3">
        <w:rPr>
          <w:rFonts w:ascii="Times New Roman" w:hAnsi="Times New Roman" w:cs="Times New Roman"/>
        </w:rPr>
        <w:t xml:space="preserve"> to be experiencing stimulant-induced psychosis or mania?</w:t>
      </w:r>
    </w:p>
    <w:p w14:paraId="4BF7834C" w14:textId="77777777"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What is the clinical effectiveness of different antipsychotic tapering strategies?</w:t>
      </w:r>
    </w:p>
    <w:p w14:paraId="7174D485" w14:textId="7A535E16"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 xml:space="preserve">Other </w:t>
      </w:r>
      <w:r w:rsidR="0058472E" w:rsidRPr="007D4CB3">
        <w:rPr>
          <w:rFonts w:ascii="Times New Roman" w:hAnsi="Times New Roman" w:cs="Times New Roman"/>
        </w:rPr>
        <w:t>Symptoms</w:t>
      </w:r>
      <w:r w:rsidR="005D00ED" w:rsidRPr="007D4CB3">
        <w:rPr>
          <w:rFonts w:ascii="Times New Roman" w:hAnsi="Times New Roman" w:cs="Times New Roman"/>
        </w:rPr>
        <w:t xml:space="preserve"> (Table 2</w:t>
      </w:r>
      <w:r w:rsidR="00461F23" w:rsidRPr="007D4CB3">
        <w:rPr>
          <w:rFonts w:ascii="Times New Roman" w:hAnsi="Times New Roman" w:cs="Times New Roman"/>
        </w:rPr>
        <w:t>0</w:t>
      </w:r>
      <w:r w:rsidR="005D00ED" w:rsidRPr="007D4CB3">
        <w:rPr>
          <w:rFonts w:ascii="Times New Roman" w:hAnsi="Times New Roman" w:cs="Times New Roman"/>
        </w:rPr>
        <w:t>):</w:t>
      </w:r>
    </w:p>
    <w:p w14:paraId="2A09F152" w14:textId="7C0CE659"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Should clinicians use pharmacotherapy to treat depression, anxiety, insomnia, and/or attentional problems in patients with </w:t>
      </w:r>
      <w:r w:rsidR="005D00ED" w:rsidRPr="007D4CB3">
        <w:rPr>
          <w:rFonts w:ascii="Times New Roman" w:hAnsi="Times New Roman" w:cs="Times New Roman"/>
        </w:rPr>
        <w:t>StUD</w:t>
      </w:r>
      <w:r w:rsidRPr="007D4CB3">
        <w:rPr>
          <w:rFonts w:ascii="Times New Roman" w:hAnsi="Times New Roman" w:cs="Times New Roman"/>
        </w:rPr>
        <w:t xml:space="preserve"> </w:t>
      </w:r>
      <w:r w:rsidRPr="007D4CB3">
        <w:rPr>
          <w:rFonts w:ascii="Times New Roman" w:eastAsia="Calibri" w:hAnsi="Times New Roman" w:cs="Times New Roman"/>
        </w:rPr>
        <w:t>if it is unclear whether the condition is preexisting or stimulant-induced</w:t>
      </w:r>
      <w:r w:rsidRPr="007D4CB3">
        <w:rPr>
          <w:rFonts w:ascii="Times New Roman" w:hAnsi="Times New Roman" w:cs="Times New Roman"/>
        </w:rPr>
        <w:t>?</w:t>
      </w:r>
    </w:p>
    <w:p w14:paraId="5A7BAC22" w14:textId="77777777"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What contextual factors and implementation strategies may influence the decision to use pharmacotherapy?</w:t>
      </w:r>
    </w:p>
    <w:p w14:paraId="558769EB" w14:textId="15EDD94C"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What are the most effective and appropriate pharmacotherapies for treating depression, anxiety, insomnia, and/or attentional problems in patients with </w:t>
      </w:r>
      <w:r w:rsidR="00F80FD0" w:rsidRPr="007D4CB3">
        <w:rPr>
          <w:rFonts w:ascii="Times New Roman" w:hAnsi="Times New Roman" w:cs="Times New Roman"/>
        </w:rPr>
        <w:t>StUD</w:t>
      </w:r>
      <w:r w:rsidRPr="007D4CB3">
        <w:rPr>
          <w:rFonts w:ascii="Times New Roman" w:hAnsi="Times New Roman" w:cs="Times New Roman"/>
        </w:rPr>
        <w:t>?</w:t>
      </w:r>
    </w:p>
    <w:p w14:paraId="7ED9B478" w14:textId="41E6F33A" w:rsidR="00F20E6D" w:rsidRPr="007D4CB3" w:rsidRDefault="00F20E6D"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Preexisting diagnosis:</w:t>
      </w:r>
    </w:p>
    <w:p w14:paraId="00ED50E4" w14:textId="1823FD51" w:rsidR="00F20E6D" w:rsidRPr="007D4CB3" w:rsidRDefault="00F20E6D"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Should patients change or discontinue treatment for a co</w:t>
      </w:r>
      <w:r w:rsidRPr="007D4CB3">
        <w:rPr>
          <w:rFonts w:ascii="Times New Roman" w:hAnsi="Times New Roman" w:cs="Times New Roman"/>
        </w:rPr>
        <w:noBreakHyphen/>
        <w:t>occurring disorder when initiating treatment for StUD?</w:t>
      </w:r>
    </w:p>
    <w:p w14:paraId="5D744FB4" w14:textId="63CC2091" w:rsidR="00F20E6D" w:rsidRPr="007D4CB3" w:rsidRDefault="00F20E6D" w:rsidP="00FC7CE6">
      <w:pPr>
        <w:pStyle w:val="StUDRecs"/>
        <w:numPr>
          <w:ilvl w:val="1"/>
          <w:numId w:val="1"/>
        </w:numPr>
        <w:spacing w:before="0" w:after="0" w:line="360" w:lineRule="auto"/>
        <w:rPr>
          <w:rStyle w:val="normaltextrun"/>
          <w:rFonts w:ascii="Times New Roman" w:hAnsi="Times New Roman" w:cs="Times New Roman"/>
        </w:rPr>
      </w:pPr>
      <w:r w:rsidRPr="007D4CB3">
        <w:rPr>
          <w:rFonts w:ascii="Times New Roman" w:hAnsi="Times New Roman" w:cs="Times New Roman"/>
        </w:rPr>
        <w:t xml:space="preserve">What contextual factors and implementation strategies may influence the </w:t>
      </w:r>
      <w:r w:rsidRPr="007D4CB3">
        <w:rPr>
          <w:rStyle w:val="normaltextrun"/>
          <w:rFonts w:ascii="Times New Roman" w:hAnsi="Times New Roman" w:cs="Times New Roman"/>
        </w:rPr>
        <w:t>decision to modify the existing treatment plan?</w:t>
      </w:r>
    </w:p>
    <w:p w14:paraId="6E0B07AB" w14:textId="62EDDB5C" w:rsidR="005D3271" w:rsidRPr="007D4CB3" w:rsidRDefault="006C54B4"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Attention-</w:t>
      </w:r>
      <w:r w:rsidR="0058472E" w:rsidRPr="007D4CB3">
        <w:rPr>
          <w:rFonts w:ascii="Times New Roman" w:hAnsi="Times New Roman" w:cs="Times New Roman"/>
        </w:rPr>
        <w:t>Deficit/H</w:t>
      </w:r>
      <w:r w:rsidRPr="007D4CB3">
        <w:rPr>
          <w:rFonts w:ascii="Times New Roman" w:hAnsi="Times New Roman" w:cs="Times New Roman"/>
        </w:rPr>
        <w:t xml:space="preserve">yperactivity </w:t>
      </w:r>
      <w:r w:rsidR="0058472E" w:rsidRPr="007D4CB3">
        <w:rPr>
          <w:rFonts w:ascii="Times New Roman" w:hAnsi="Times New Roman" w:cs="Times New Roman"/>
        </w:rPr>
        <w:t>Disorder</w:t>
      </w:r>
      <w:r w:rsidRPr="007D4CB3">
        <w:rPr>
          <w:rFonts w:ascii="Times New Roman" w:hAnsi="Times New Roman" w:cs="Times New Roman"/>
        </w:rPr>
        <w:t xml:space="preserve"> (Table 2</w:t>
      </w:r>
      <w:r w:rsidR="00461F23" w:rsidRPr="007D4CB3">
        <w:rPr>
          <w:rFonts w:ascii="Times New Roman" w:hAnsi="Times New Roman" w:cs="Times New Roman"/>
        </w:rPr>
        <w:t>1</w:t>
      </w:r>
      <w:r w:rsidRPr="007D4CB3">
        <w:rPr>
          <w:rFonts w:ascii="Times New Roman" w:hAnsi="Times New Roman" w:cs="Times New Roman"/>
        </w:rPr>
        <w:t>):</w:t>
      </w:r>
    </w:p>
    <w:p w14:paraId="38320EB4" w14:textId="6661790D"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What are the most effective and appropriate interventions to treat ADHD in patients with </w:t>
      </w:r>
      <w:r w:rsidR="006C54B4" w:rsidRPr="007D4CB3">
        <w:rPr>
          <w:rFonts w:ascii="Times New Roman" w:hAnsi="Times New Roman" w:cs="Times New Roman"/>
        </w:rPr>
        <w:t>StUD</w:t>
      </w:r>
      <w:r w:rsidRPr="007D4CB3">
        <w:rPr>
          <w:rFonts w:ascii="Times New Roman" w:hAnsi="Times New Roman" w:cs="Times New Roman"/>
        </w:rPr>
        <w:t>?</w:t>
      </w:r>
    </w:p>
    <w:p w14:paraId="736AD24C" w14:textId="2A3485E3"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Are stimulant medications safe and effective to treat ADHD in patients with </w:t>
      </w:r>
      <w:r w:rsidR="006C54B4" w:rsidRPr="007D4CB3">
        <w:rPr>
          <w:rFonts w:ascii="Times New Roman" w:hAnsi="Times New Roman" w:cs="Times New Roman"/>
        </w:rPr>
        <w:t>StUD</w:t>
      </w:r>
      <w:r w:rsidRPr="007D4CB3">
        <w:rPr>
          <w:rFonts w:ascii="Times New Roman" w:hAnsi="Times New Roman" w:cs="Times New Roman"/>
        </w:rPr>
        <w:t>?</w:t>
      </w:r>
    </w:p>
    <w:p w14:paraId="6412B5AD" w14:textId="77777777"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color w:val="000000" w:themeColor="text1"/>
        </w:rPr>
        <w:t>What contextual factors and implementation strategies may influence the safety and effectiveness of ADHD treatment?</w:t>
      </w:r>
    </w:p>
    <w:p w14:paraId="065289B9" w14:textId="7BF58914" w:rsidR="00291D86" w:rsidRPr="007D4CB3" w:rsidRDefault="00291D86" w:rsidP="00FC7CE6">
      <w:pPr>
        <w:pStyle w:val="StUDRecs"/>
        <w:keepNext/>
        <w:spacing w:before="0" w:after="0" w:line="360" w:lineRule="auto"/>
        <w:rPr>
          <w:rFonts w:ascii="Times New Roman" w:hAnsi="Times New Roman" w:cs="Times New Roman"/>
        </w:rPr>
      </w:pPr>
      <w:r w:rsidRPr="007D4CB3">
        <w:rPr>
          <w:rFonts w:ascii="Times New Roman" w:hAnsi="Times New Roman" w:cs="Times New Roman"/>
        </w:rPr>
        <w:t>Prevention of prescription stimulant misuse:</w:t>
      </w:r>
    </w:p>
    <w:p w14:paraId="277A3009" w14:textId="77777777" w:rsidR="00291D86" w:rsidRPr="007D4CB3" w:rsidRDefault="00291D86"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When prescribing stimulant medications to a patient with co</w:t>
      </w:r>
      <w:r w:rsidRPr="007D4CB3">
        <w:rPr>
          <w:rFonts w:ascii="Times New Roman" w:hAnsi="Times New Roman" w:cs="Times New Roman"/>
        </w:rPr>
        <w:noBreakHyphen/>
        <w:t>occurring StUD and ADHD, what implementation strategies may influence the effect and appropriateness of treatment?</w:t>
      </w:r>
    </w:p>
    <w:p w14:paraId="15919B18" w14:textId="26776BE9" w:rsidR="00291D86" w:rsidRPr="007D4CB3" w:rsidRDefault="00291D86"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Prevention of prescription stimulant misuse in adolescents and young adults:</w:t>
      </w:r>
    </w:p>
    <w:p w14:paraId="0DF7A8AF" w14:textId="77777777" w:rsidR="00291D86" w:rsidRPr="007D4CB3" w:rsidRDefault="00291D86"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When prescribing stimulant medications to an adolescent or young adult patient with co</w:t>
      </w:r>
      <w:r w:rsidRPr="007D4CB3">
        <w:rPr>
          <w:rFonts w:ascii="Times New Roman" w:hAnsi="Times New Roman" w:cs="Times New Roman"/>
        </w:rPr>
        <w:noBreakHyphen/>
        <w:t>occurring StUD and ADHD, what implementation strategies may influence the effect and appropriateness of treatment?</w:t>
      </w:r>
    </w:p>
    <w:p w14:paraId="5F9D0FBE" w14:textId="77777777" w:rsidR="005D3271" w:rsidRPr="007D4CB3" w:rsidRDefault="005D3271" w:rsidP="00FC7CE6">
      <w:pPr>
        <w:pStyle w:val="Heading3-backmatter"/>
        <w:spacing w:before="0" w:after="0" w:line="360" w:lineRule="auto"/>
        <w:rPr>
          <w:rFonts w:ascii="Times New Roman" w:hAnsi="Times New Roman" w:cs="Times New Roman"/>
          <w:sz w:val="24"/>
        </w:rPr>
      </w:pPr>
      <w:r w:rsidRPr="007D4CB3">
        <w:rPr>
          <w:rFonts w:ascii="Times New Roman" w:hAnsi="Times New Roman" w:cs="Times New Roman"/>
          <w:sz w:val="24"/>
        </w:rPr>
        <w:lastRenderedPageBreak/>
        <w:t>Adolescents and Young Adults</w:t>
      </w:r>
    </w:p>
    <w:p w14:paraId="1E041189" w14:textId="0980260A" w:rsidR="00411C8F" w:rsidRPr="007D4CB3" w:rsidRDefault="00411C8F" w:rsidP="00FC7CE6">
      <w:pPr>
        <w:pStyle w:val="StUDRecs"/>
        <w:numPr>
          <w:ilvl w:val="0"/>
          <w:numId w:val="57"/>
        </w:numPr>
        <w:spacing w:before="0" w:after="0" w:line="360" w:lineRule="auto"/>
        <w:rPr>
          <w:rFonts w:ascii="Times New Roman" w:hAnsi="Times New Roman" w:cs="Times New Roman"/>
        </w:rPr>
      </w:pPr>
      <w:r w:rsidRPr="007D4CB3">
        <w:rPr>
          <w:rFonts w:ascii="Times New Roman" w:hAnsi="Times New Roman" w:cs="Times New Roman"/>
        </w:rPr>
        <w:t>Toxicology:</w:t>
      </w:r>
    </w:p>
    <w:p w14:paraId="1D217296" w14:textId="77777777" w:rsidR="00411C8F" w:rsidRPr="007D4CB3" w:rsidRDefault="00411C8F"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What is the most effective and appropriate use of toxicology testing for the treatment of StUD, stimulant intoxication, and stimulant withdrawal in adolescent and young adult patients?</w:t>
      </w:r>
    </w:p>
    <w:p w14:paraId="2735B8B7" w14:textId="77777777" w:rsidR="00411C8F" w:rsidRPr="007D4CB3" w:rsidRDefault="00411C8F"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What contextual factors and implementation strategies may influence the effects of toxicology testing?</w:t>
      </w:r>
    </w:p>
    <w:p w14:paraId="52FBFE40" w14:textId="7B6C9C25" w:rsidR="00411C8F" w:rsidRPr="007D4CB3" w:rsidRDefault="00411C8F"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Screening</w:t>
      </w:r>
      <w:r w:rsidRPr="007D4CB3" w:rsidDel="00DA3CC9">
        <w:rPr>
          <w:rFonts w:ascii="Times New Roman" w:hAnsi="Times New Roman" w:cs="Times New Roman"/>
        </w:rPr>
        <w:t xml:space="preserve"> </w:t>
      </w:r>
      <w:r w:rsidRPr="007D4CB3">
        <w:rPr>
          <w:rFonts w:ascii="Times New Roman" w:hAnsi="Times New Roman" w:cs="Times New Roman"/>
        </w:rPr>
        <w:t>– other:</w:t>
      </w:r>
    </w:p>
    <w:p w14:paraId="2855B8D0" w14:textId="77777777" w:rsidR="00411C8F" w:rsidRPr="007D4CB3" w:rsidRDefault="00411C8F"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What is the effect of screening for other co</w:t>
      </w:r>
      <w:r w:rsidRPr="007D4CB3">
        <w:rPr>
          <w:rFonts w:ascii="Times New Roman" w:hAnsi="Times New Roman" w:cs="Times New Roman"/>
        </w:rPr>
        <w:noBreakHyphen/>
        <w:t>occurring conditions when assessing adolescent and young adult patients for StUD?</w:t>
      </w:r>
    </w:p>
    <w:p w14:paraId="7B9FDC0D" w14:textId="77777777" w:rsidR="00411C8F" w:rsidRPr="007D4CB3" w:rsidRDefault="00411C8F" w:rsidP="00FC7CE6">
      <w:pPr>
        <w:pStyle w:val="StUDRecs"/>
        <w:numPr>
          <w:ilvl w:val="2"/>
          <w:numId w:val="1"/>
        </w:numPr>
        <w:spacing w:before="0" w:after="0" w:line="360" w:lineRule="auto"/>
        <w:rPr>
          <w:rFonts w:ascii="Times New Roman" w:hAnsi="Times New Roman" w:cs="Times New Roman"/>
        </w:rPr>
      </w:pPr>
      <w:r w:rsidRPr="007D4CB3">
        <w:rPr>
          <w:rFonts w:ascii="Times New Roman" w:hAnsi="Times New Roman" w:cs="Times New Roman"/>
        </w:rPr>
        <w:t>StUD outcomes</w:t>
      </w:r>
    </w:p>
    <w:p w14:paraId="3EC9CC6B" w14:textId="77777777" w:rsidR="00411C8F" w:rsidRPr="007D4CB3" w:rsidRDefault="00411C8F" w:rsidP="00FC7CE6">
      <w:pPr>
        <w:pStyle w:val="StUDRecs"/>
        <w:numPr>
          <w:ilvl w:val="2"/>
          <w:numId w:val="1"/>
        </w:numPr>
        <w:spacing w:before="0" w:after="0" w:line="360" w:lineRule="auto"/>
        <w:rPr>
          <w:rFonts w:ascii="Times New Roman" w:hAnsi="Times New Roman" w:cs="Times New Roman"/>
        </w:rPr>
      </w:pPr>
      <w:r w:rsidRPr="007D4CB3">
        <w:rPr>
          <w:rFonts w:ascii="Times New Roman" w:hAnsi="Times New Roman" w:cs="Times New Roman"/>
        </w:rPr>
        <w:t>Other outcomes</w:t>
      </w:r>
    </w:p>
    <w:p w14:paraId="5EB3FBB6" w14:textId="77777777" w:rsidR="00411C8F" w:rsidRPr="007D4CB3" w:rsidRDefault="00411C8F"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What contextual factors and implementation strategies may influence the effects of screening for other co</w:t>
      </w:r>
      <w:r w:rsidRPr="007D4CB3">
        <w:rPr>
          <w:rFonts w:ascii="Times New Roman" w:hAnsi="Times New Roman" w:cs="Times New Roman"/>
        </w:rPr>
        <w:noBreakHyphen/>
        <w:t>occurring conditions?</w:t>
      </w:r>
    </w:p>
    <w:p w14:paraId="39CC62F6" w14:textId="29DC6E63" w:rsidR="00411C8F" w:rsidRPr="007D4CB3" w:rsidRDefault="00411C8F"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Specific support:</w:t>
      </w:r>
    </w:p>
    <w:p w14:paraId="70FD5C25" w14:textId="77777777" w:rsidR="00411C8F" w:rsidRPr="007D4CB3" w:rsidRDefault="00411C8F" w:rsidP="00FC7CE6">
      <w:pPr>
        <w:pStyle w:val="StUDRecs"/>
        <w:numPr>
          <w:ilvl w:val="1"/>
          <w:numId w:val="1"/>
        </w:numPr>
        <w:spacing w:before="0" w:after="0" w:line="360" w:lineRule="auto"/>
        <w:rPr>
          <w:rFonts w:ascii="Times New Roman" w:eastAsia="Calibri" w:hAnsi="Times New Roman" w:cs="Times New Roman"/>
          <w:color w:val="000000" w:themeColor="text1"/>
        </w:rPr>
      </w:pPr>
      <w:r w:rsidRPr="007D4CB3">
        <w:rPr>
          <w:rFonts w:ascii="Times New Roman" w:hAnsi="Times New Roman" w:cs="Times New Roman"/>
        </w:rPr>
        <w:t xml:space="preserve">Should adolescent patients </w:t>
      </w:r>
      <w:proofErr w:type="gramStart"/>
      <w:r w:rsidRPr="007D4CB3">
        <w:rPr>
          <w:rFonts w:ascii="Times New Roman" w:hAnsi="Times New Roman" w:cs="Times New Roman"/>
        </w:rPr>
        <w:t>be referred</w:t>
      </w:r>
      <w:proofErr w:type="gramEnd"/>
      <w:r w:rsidRPr="007D4CB3">
        <w:rPr>
          <w:rFonts w:ascii="Times New Roman" w:hAnsi="Times New Roman" w:cs="Times New Roman"/>
        </w:rPr>
        <w:t xml:space="preserve"> to adolescent-specific support services or are adult services effective and appropriate?</w:t>
      </w:r>
    </w:p>
    <w:p w14:paraId="42C4DD0B" w14:textId="77777777" w:rsidR="00411C8F" w:rsidRPr="007D4CB3" w:rsidRDefault="00411C8F" w:rsidP="00FC7CE6">
      <w:pPr>
        <w:pStyle w:val="StUDRecs"/>
        <w:numPr>
          <w:ilvl w:val="1"/>
          <w:numId w:val="1"/>
        </w:numPr>
        <w:spacing w:before="0" w:after="0" w:line="360" w:lineRule="auto"/>
        <w:rPr>
          <w:rFonts w:ascii="Times New Roman" w:eastAsia="Calibri" w:hAnsi="Times New Roman" w:cs="Times New Roman"/>
        </w:rPr>
      </w:pPr>
      <w:r w:rsidRPr="007D4CB3">
        <w:rPr>
          <w:rFonts w:ascii="Times New Roman" w:hAnsi="Times New Roman" w:cs="Times New Roman"/>
        </w:rPr>
        <w:t>Do young adult-specific social supports services exist?</w:t>
      </w:r>
    </w:p>
    <w:p w14:paraId="1560D487" w14:textId="77777777" w:rsidR="00411C8F" w:rsidRPr="007D4CB3" w:rsidRDefault="00411C8F"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What contextual factors and implementation strategies may influence the effectiveness of a support service referral?</w:t>
      </w:r>
    </w:p>
    <w:p w14:paraId="1A38D832" w14:textId="7DE8C4F7"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 xml:space="preserve">Contingency </w:t>
      </w:r>
      <w:r w:rsidR="0058472E" w:rsidRPr="007D4CB3">
        <w:rPr>
          <w:rFonts w:ascii="Times New Roman" w:hAnsi="Times New Roman" w:cs="Times New Roman"/>
        </w:rPr>
        <w:t>M</w:t>
      </w:r>
      <w:r w:rsidRPr="007D4CB3">
        <w:rPr>
          <w:rFonts w:ascii="Times New Roman" w:hAnsi="Times New Roman" w:cs="Times New Roman"/>
        </w:rPr>
        <w:t>anagement</w:t>
      </w:r>
      <w:r w:rsidR="00D63406" w:rsidRPr="007D4CB3">
        <w:rPr>
          <w:rFonts w:ascii="Times New Roman" w:hAnsi="Times New Roman" w:cs="Times New Roman"/>
        </w:rPr>
        <w:t xml:space="preserve"> (Table </w:t>
      </w:r>
      <w:r w:rsidR="00D70547" w:rsidRPr="007D4CB3">
        <w:rPr>
          <w:rFonts w:ascii="Times New Roman" w:hAnsi="Times New Roman" w:cs="Times New Roman"/>
        </w:rPr>
        <w:t>22</w:t>
      </w:r>
      <w:r w:rsidR="00D63406" w:rsidRPr="007D4CB3">
        <w:rPr>
          <w:rFonts w:ascii="Times New Roman" w:hAnsi="Times New Roman" w:cs="Times New Roman"/>
        </w:rPr>
        <w:t>):</w:t>
      </w:r>
    </w:p>
    <w:p w14:paraId="11CAA42C" w14:textId="771EBED6"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Is CM for patients with </w:t>
      </w:r>
      <w:r w:rsidR="00997676" w:rsidRPr="007D4CB3">
        <w:rPr>
          <w:rFonts w:ascii="Times New Roman" w:hAnsi="Times New Roman" w:cs="Times New Roman"/>
        </w:rPr>
        <w:t>StUD</w:t>
      </w:r>
      <w:r w:rsidRPr="007D4CB3">
        <w:rPr>
          <w:rFonts w:ascii="Times New Roman" w:hAnsi="Times New Roman" w:cs="Times New Roman"/>
        </w:rPr>
        <w:t xml:space="preserve"> as effective and appropriate </w:t>
      </w:r>
      <w:r w:rsidR="00997676" w:rsidRPr="007D4CB3">
        <w:rPr>
          <w:rFonts w:ascii="Times New Roman" w:hAnsi="Times New Roman" w:cs="Times New Roman"/>
        </w:rPr>
        <w:t xml:space="preserve">for </w:t>
      </w:r>
      <w:r w:rsidRPr="007D4CB3">
        <w:rPr>
          <w:rFonts w:ascii="Times New Roman" w:hAnsi="Times New Roman" w:cs="Times New Roman"/>
        </w:rPr>
        <w:t>adolescents and young adults as it is for adults?</w:t>
      </w:r>
    </w:p>
    <w:p w14:paraId="2608F3B1" w14:textId="77777777"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What contextual factors and implementation strategies may influence the effects of CM for adolescents and young adults?</w:t>
      </w:r>
    </w:p>
    <w:p w14:paraId="4079A09F" w14:textId="77777777"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What modifications should </w:t>
      </w:r>
      <w:proofErr w:type="gramStart"/>
      <w:r w:rsidRPr="007D4CB3">
        <w:rPr>
          <w:rFonts w:ascii="Times New Roman" w:hAnsi="Times New Roman" w:cs="Times New Roman"/>
        </w:rPr>
        <w:t>be made</w:t>
      </w:r>
      <w:proofErr w:type="gramEnd"/>
      <w:r w:rsidRPr="007D4CB3">
        <w:rPr>
          <w:rFonts w:ascii="Times New Roman" w:hAnsi="Times New Roman" w:cs="Times New Roman"/>
        </w:rPr>
        <w:t xml:space="preserve"> so that CM is delivered in a developmentally appropriate manner?</w:t>
      </w:r>
    </w:p>
    <w:p w14:paraId="1513CD01" w14:textId="129D9841"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 xml:space="preserve">Other </w:t>
      </w:r>
      <w:r w:rsidR="0058472E" w:rsidRPr="007D4CB3">
        <w:rPr>
          <w:rFonts w:ascii="Times New Roman" w:hAnsi="Times New Roman" w:cs="Times New Roman"/>
        </w:rPr>
        <w:t>P</w:t>
      </w:r>
      <w:r w:rsidRPr="007D4CB3">
        <w:rPr>
          <w:rFonts w:ascii="Times New Roman" w:hAnsi="Times New Roman" w:cs="Times New Roman"/>
        </w:rPr>
        <w:t>sychotherapy</w:t>
      </w:r>
      <w:r w:rsidR="007416FD" w:rsidRPr="007D4CB3">
        <w:rPr>
          <w:rFonts w:ascii="Times New Roman" w:hAnsi="Times New Roman" w:cs="Times New Roman"/>
        </w:rPr>
        <w:t xml:space="preserve"> (Table </w:t>
      </w:r>
      <w:r w:rsidR="00D70547" w:rsidRPr="007D4CB3">
        <w:rPr>
          <w:rFonts w:ascii="Times New Roman" w:hAnsi="Times New Roman" w:cs="Times New Roman"/>
        </w:rPr>
        <w:t>2</w:t>
      </w:r>
      <w:r w:rsidR="007416FD" w:rsidRPr="007D4CB3">
        <w:rPr>
          <w:rFonts w:ascii="Times New Roman" w:hAnsi="Times New Roman" w:cs="Times New Roman"/>
        </w:rPr>
        <w:t>3):</w:t>
      </w:r>
    </w:p>
    <w:p w14:paraId="33AC5FA7" w14:textId="0570ECA1"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What are the most effective and appropriate psychotherapy interventions for the treatment of </w:t>
      </w:r>
      <w:r w:rsidR="007416FD" w:rsidRPr="007D4CB3">
        <w:rPr>
          <w:rFonts w:ascii="Times New Roman" w:hAnsi="Times New Roman" w:cs="Times New Roman"/>
        </w:rPr>
        <w:t>StUD</w:t>
      </w:r>
      <w:r w:rsidRPr="007D4CB3">
        <w:rPr>
          <w:rFonts w:ascii="Times New Roman" w:hAnsi="Times New Roman" w:cs="Times New Roman"/>
        </w:rPr>
        <w:t xml:space="preserve"> in adolescent and young adult patients?</w:t>
      </w:r>
    </w:p>
    <w:p w14:paraId="76DE5DA9" w14:textId="77777777"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lastRenderedPageBreak/>
        <w:t>What contextual factors and implementation strategies may influence the effects of psychotherapy interventions?</w:t>
      </w:r>
    </w:p>
    <w:p w14:paraId="4BBC0DFC" w14:textId="7DB5BD6A"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 xml:space="preserve">Family </w:t>
      </w:r>
      <w:r w:rsidR="0058472E" w:rsidRPr="007D4CB3">
        <w:rPr>
          <w:rFonts w:ascii="Times New Roman" w:hAnsi="Times New Roman" w:cs="Times New Roman"/>
        </w:rPr>
        <w:t>T</w:t>
      </w:r>
      <w:r w:rsidRPr="007D4CB3">
        <w:rPr>
          <w:rFonts w:ascii="Times New Roman" w:hAnsi="Times New Roman" w:cs="Times New Roman"/>
        </w:rPr>
        <w:t>herapy</w:t>
      </w:r>
      <w:r w:rsidR="007416FD" w:rsidRPr="007D4CB3">
        <w:rPr>
          <w:rFonts w:ascii="Times New Roman" w:hAnsi="Times New Roman" w:cs="Times New Roman"/>
        </w:rPr>
        <w:t xml:space="preserve"> (Table </w:t>
      </w:r>
      <w:r w:rsidR="00D70547" w:rsidRPr="007D4CB3">
        <w:rPr>
          <w:rFonts w:ascii="Times New Roman" w:hAnsi="Times New Roman" w:cs="Times New Roman"/>
        </w:rPr>
        <w:t>24</w:t>
      </w:r>
      <w:r w:rsidR="007416FD" w:rsidRPr="007D4CB3">
        <w:rPr>
          <w:rFonts w:ascii="Times New Roman" w:hAnsi="Times New Roman" w:cs="Times New Roman"/>
        </w:rPr>
        <w:t>):</w:t>
      </w:r>
    </w:p>
    <w:p w14:paraId="0871647A" w14:textId="28EECFB4"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Is </w:t>
      </w:r>
      <w:r w:rsidR="007416FD" w:rsidRPr="007D4CB3">
        <w:rPr>
          <w:rFonts w:ascii="Times New Roman" w:hAnsi="Times New Roman" w:cs="Times New Roman"/>
        </w:rPr>
        <w:t>f</w:t>
      </w:r>
      <w:r w:rsidRPr="007D4CB3">
        <w:rPr>
          <w:rFonts w:ascii="Times New Roman" w:hAnsi="Times New Roman" w:cs="Times New Roman"/>
        </w:rPr>
        <w:t xml:space="preserve">amily </w:t>
      </w:r>
      <w:r w:rsidR="007416FD" w:rsidRPr="007D4CB3">
        <w:rPr>
          <w:rFonts w:ascii="Times New Roman" w:hAnsi="Times New Roman" w:cs="Times New Roman"/>
        </w:rPr>
        <w:t>t</w:t>
      </w:r>
      <w:r w:rsidRPr="007D4CB3">
        <w:rPr>
          <w:rFonts w:ascii="Times New Roman" w:hAnsi="Times New Roman" w:cs="Times New Roman"/>
        </w:rPr>
        <w:t xml:space="preserve">herapy effective in treating adolescents and young adults with </w:t>
      </w:r>
      <w:r w:rsidR="009E3263" w:rsidRPr="007D4CB3">
        <w:rPr>
          <w:rFonts w:ascii="Times New Roman" w:hAnsi="Times New Roman" w:cs="Times New Roman"/>
        </w:rPr>
        <w:t>StUD</w:t>
      </w:r>
      <w:r w:rsidRPr="007D4CB3">
        <w:rPr>
          <w:rFonts w:ascii="Times New Roman" w:hAnsi="Times New Roman" w:cs="Times New Roman"/>
        </w:rPr>
        <w:t>?</w:t>
      </w:r>
    </w:p>
    <w:p w14:paraId="01284D54" w14:textId="750FD07E"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What contextual factors and implementation strategies may influence the effects of </w:t>
      </w:r>
      <w:r w:rsidR="009E3263" w:rsidRPr="007D4CB3">
        <w:rPr>
          <w:rFonts w:ascii="Times New Roman" w:hAnsi="Times New Roman" w:cs="Times New Roman"/>
        </w:rPr>
        <w:t>f</w:t>
      </w:r>
      <w:r w:rsidRPr="007D4CB3">
        <w:rPr>
          <w:rFonts w:ascii="Times New Roman" w:hAnsi="Times New Roman" w:cs="Times New Roman"/>
        </w:rPr>
        <w:t xml:space="preserve">amily </w:t>
      </w:r>
      <w:r w:rsidR="009E3263" w:rsidRPr="007D4CB3">
        <w:rPr>
          <w:rFonts w:ascii="Times New Roman" w:hAnsi="Times New Roman" w:cs="Times New Roman"/>
        </w:rPr>
        <w:t>t</w:t>
      </w:r>
      <w:r w:rsidRPr="007D4CB3">
        <w:rPr>
          <w:rFonts w:ascii="Times New Roman" w:hAnsi="Times New Roman" w:cs="Times New Roman"/>
        </w:rPr>
        <w:t>herapy?</w:t>
      </w:r>
    </w:p>
    <w:p w14:paraId="022B3B0E" w14:textId="16CC69E1"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 xml:space="preserve">Specific </w:t>
      </w:r>
      <w:r w:rsidR="0058472E" w:rsidRPr="007D4CB3">
        <w:rPr>
          <w:rFonts w:ascii="Times New Roman" w:hAnsi="Times New Roman" w:cs="Times New Roman"/>
        </w:rPr>
        <w:t>T</w:t>
      </w:r>
      <w:r w:rsidRPr="007D4CB3">
        <w:rPr>
          <w:rFonts w:ascii="Times New Roman" w:hAnsi="Times New Roman" w:cs="Times New Roman"/>
        </w:rPr>
        <w:t>reatment</w:t>
      </w:r>
      <w:r w:rsidR="009E3263" w:rsidRPr="007D4CB3">
        <w:rPr>
          <w:rFonts w:ascii="Times New Roman" w:hAnsi="Times New Roman" w:cs="Times New Roman"/>
        </w:rPr>
        <w:t xml:space="preserve"> (Table </w:t>
      </w:r>
      <w:r w:rsidR="00D70547" w:rsidRPr="007D4CB3">
        <w:rPr>
          <w:rFonts w:ascii="Times New Roman" w:hAnsi="Times New Roman" w:cs="Times New Roman"/>
        </w:rPr>
        <w:t>25</w:t>
      </w:r>
      <w:r w:rsidR="009E3263" w:rsidRPr="007D4CB3">
        <w:rPr>
          <w:rFonts w:ascii="Times New Roman" w:hAnsi="Times New Roman" w:cs="Times New Roman"/>
        </w:rPr>
        <w:t>):</w:t>
      </w:r>
    </w:p>
    <w:p w14:paraId="4F8529A8" w14:textId="0F79D28F"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Are adolescent-specific behavioral treatment models (</w:t>
      </w:r>
      <w:r w:rsidR="002928C5" w:rsidRPr="007D4CB3">
        <w:rPr>
          <w:rFonts w:ascii="Times New Roman" w:hAnsi="Times New Roman" w:cs="Times New Roman"/>
        </w:rPr>
        <w:t>e.g.</w:t>
      </w:r>
      <w:r w:rsidRPr="007D4CB3">
        <w:rPr>
          <w:rFonts w:ascii="Times New Roman" w:hAnsi="Times New Roman" w:cs="Times New Roman"/>
        </w:rPr>
        <w:t>,</w:t>
      </w:r>
      <w:r w:rsidR="00266589" w:rsidRPr="007D4CB3">
        <w:rPr>
          <w:rFonts w:ascii="Times New Roman" w:hAnsi="Times New Roman" w:cs="Times New Roman"/>
        </w:rPr>
        <w:t> </w:t>
      </w:r>
      <w:r w:rsidRPr="007D4CB3">
        <w:rPr>
          <w:rFonts w:ascii="Times New Roman" w:hAnsi="Times New Roman" w:cs="Times New Roman"/>
        </w:rPr>
        <w:t>A-CRA) effective and appropriate treatment for StUD in adolescents and young adults?</w:t>
      </w:r>
    </w:p>
    <w:p w14:paraId="429BDF64" w14:textId="43AF6A93"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Should adolescents </w:t>
      </w:r>
      <w:proofErr w:type="gramStart"/>
      <w:r w:rsidRPr="007D4CB3">
        <w:rPr>
          <w:rFonts w:ascii="Times New Roman" w:hAnsi="Times New Roman" w:cs="Times New Roman"/>
        </w:rPr>
        <w:t>be referred</w:t>
      </w:r>
      <w:proofErr w:type="gramEnd"/>
      <w:r w:rsidRPr="007D4CB3">
        <w:rPr>
          <w:rFonts w:ascii="Times New Roman" w:hAnsi="Times New Roman" w:cs="Times New Roman"/>
        </w:rPr>
        <w:t xml:space="preserve"> to adolescent-specific behavioral treatment models (</w:t>
      </w:r>
      <w:r w:rsidR="002928C5" w:rsidRPr="007D4CB3">
        <w:rPr>
          <w:rFonts w:ascii="Times New Roman" w:hAnsi="Times New Roman" w:cs="Times New Roman"/>
        </w:rPr>
        <w:t>e.g.</w:t>
      </w:r>
      <w:r w:rsidRPr="007D4CB3">
        <w:rPr>
          <w:rFonts w:ascii="Times New Roman" w:hAnsi="Times New Roman" w:cs="Times New Roman"/>
        </w:rPr>
        <w:t>,</w:t>
      </w:r>
      <w:r w:rsidR="00266589" w:rsidRPr="007D4CB3">
        <w:rPr>
          <w:rFonts w:ascii="Times New Roman" w:hAnsi="Times New Roman" w:cs="Times New Roman"/>
        </w:rPr>
        <w:t> </w:t>
      </w:r>
      <w:r w:rsidRPr="007D4CB3">
        <w:rPr>
          <w:rFonts w:ascii="Times New Roman" w:hAnsi="Times New Roman" w:cs="Times New Roman"/>
        </w:rPr>
        <w:t>A-CRA) or are adult treatment models effective and appropriate?</w:t>
      </w:r>
    </w:p>
    <w:p w14:paraId="70D5EA40" w14:textId="77777777"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What modifications should </w:t>
      </w:r>
      <w:proofErr w:type="gramStart"/>
      <w:r w:rsidRPr="007D4CB3">
        <w:rPr>
          <w:rFonts w:ascii="Times New Roman" w:hAnsi="Times New Roman" w:cs="Times New Roman"/>
        </w:rPr>
        <w:t>be made</w:t>
      </w:r>
      <w:proofErr w:type="gramEnd"/>
      <w:r w:rsidRPr="007D4CB3">
        <w:rPr>
          <w:rFonts w:ascii="Times New Roman" w:hAnsi="Times New Roman" w:cs="Times New Roman"/>
        </w:rPr>
        <w:t xml:space="preserve"> so that behavioral treatment is delivered in a developmentally appropriate manner?</w:t>
      </w:r>
    </w:p>
    <w:p w14:paraId="59887ACE" w14:textId="7D5CCC13"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 xml:space="preserve">Group </w:t>
      </w:r>
      <w:r w:rsidR="0058472E" w:rsidRPr="007D4CB3">
        <w:rPr>
          <w:rFonts w:ascii="Times New Roman" w:hAnsi="Times New Roman" w:cs="Times New Roman"/>
        </w:rPr>
        <w:t>T</w:t>
      </w:r>
      <w:r w:rsidRPr="007D4CB3">
        <w:rPr>
          <w:rFonts w:ascii="Times New Roman" w:hAnsi="Times New Roman" w:cs="Times New Roman"/>
        </w:rPr>
        <w:t>reatment</w:t>
      </w:r>
      <w:r w:rsidR="009E3263" w:rsidRPr="007D4CB3">
        <w:rPr>
          <w:rFonts w:ascii="Times New Roman" w:hAnsi="Times New Roman" w:cs="Times New Roman"/>
        </w:rPr>
        <w:t xml:space="preserve"> (Table </w:t>
      </w:r>
      <w:r w:rsidR="00D70547" w:rsidRPr="007D4CB3">
        <w:rPr>
          <w:rFonts w:ascii="Times New Roman" w:hAnsi="Times New Roman" w:cs="Times New Roman"/>
        </w:rPr>
        <w:t>26</w:t>
      </w:r>
      <w:r w:rsidR="009E3263" w:rsidRPr="007D4CB3">
        <w:rPr>
          <w:rFonts w:ascii="Times New Roman" w:hAnsi="Times New Roman" w:cs="Times New Roman"/>
        </w:rPr>
        <w:t>):</w:t>
      </w:r>
    </w:p>
    <w:p w14:paraId="63DC1DDB" w14:textId="77777777"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Are there modifications that should </w:t>
      </w:r>
      <w:proofErr w:type="gramStart"/>
      <w:r w:rsidRPr="007D4CB3">
        <w:rPr>
          <w:rFonts w:ascii="Times New Roman" w:hAnsi="Times New Roman" w:cs="Times New Roman"/>
        </w:rPr>
        <w:t>be made</w:t>
      </w:r>
      <w:proofErr w:type="gramEnd"/>
      <w:r w:rsidRPr="007D4CB3">
        <w:rPr>
          <w:rFonts w:ascii="Times New Roman" w:hAnsi="Times New Roman" w:cs="Times New Roman"/>
        </w:rPr>
        <w:t xml:space="preserve"> to behavioral treatment so that it is delivered in a developmentally appropriate manner to adolescent and young adult patients?</w:t>
      </w:r>
    </w:p>
    <w:p w14:paraId="0E723F6A" w14:textId="356ECCFF"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Should adolescents and young adult</w:t>
      </w:r>
      <w:r w:rsidR="00187097" w:rsidRPr="007D4CB3">
        <w:rPr>
          <w:rFonts w:ascii="Times New Roman" w:hAnsi="Times New Roman" w:cs="Times New Roman"/>
        </w:rPr>
        <w:t>s</w:t>
      </w:r>
      <w:r w:rsidRPr="007D4CB3">
        <w:rPr>
          <w:rFonts w:ascii="Times New Roman" w:hAnsi="Times New Roman" w:cs="Times New Roman"/>
        </w:rPr>
        <w:t xml:space="preserve"> who use stimulants </w:t>
      </w:r>
      <w:proofErr w:type="gramStart"/>
      <w:r w:rsidRPr="007D4CB3">
        <w:rPr>
          <w:rFonts w:ascii="Times New Roman" w:hAnsi="Times New Roman" w:cs="Times New Roman"/>
        </w:rPr>
        <w:t>be referred</w:t>
      </w:r>
      <w:proofErr w:type="gramEnd"/>
      <w:r w:rsidRPr="007D4CB3">
        <w:rPr>
          <w:rFonts w:ascii="Times New Roman" w:hAnsi="Times New Roman" w:cs="Times New Roman"/>
        </w:rPr>
        <w:t xml:space="preserve"> to adolescent</w:t>
      </w:r>
      <w:r w:rsidR="00187097" w:rsidRPr="007D4CB3">
        <w:rPr>
          <w:rFonts w:ascii="Times New Roman" w:hAnsi="Times New Roman" w:cs="Times New Roman"/>
        </w:rPr>
        <w:t>- and</w:t>
      </w:r>
      <w:r w:rsidR="00FF1EA0" w:rsidRPr="007D4CB3">
        <w:rPr>
          <w:rFonts w:ascii="Times New Roman" w:hAnsi="Times New Roman" w:cs="Times New Roman"/>
        </w:rPr>
        <w:t xml:space="preserve"> young adult</w:t>
      </w:r>
      <w:r w:rsidRPr="007D4CB3">
        <w:rPr>
          <w:rFonts w:ascii="Times New Roman" w:hAnsi="Times New Roman" w:cs="Times New Roman"/>
        </w:rPr>
        <w:t>-specific group-based treatment or is adult group-based treatment as effective and appropriate?</w:t>
      </w:r>
    </w:p>
    <w:p w14:paraId="4FF78BB7" w14:textId="13F6E994"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Pharmacotherapy</w:t>
      </w:r>
      <w:r w:rsidR="00FF1EA0" w:rsidRPr="007D4CB3">
        <w:rPr>
          <w:rFonts w:ascii="Times New Roman" w:hAnsi="Times New Roman" w:cs="Times New Roman"/>
        </w:rPr>
        <w:t xml:space="preserve"> (Table </w:t>
      </w:r>
      <w:r w:rsidR="00D70547" w:rsidRPr="007D4CB3">
        <w:rPr>
          <w:rFonts w:ascii="Times New Roman" w:hAnsi="Times New Roman" w:cs="Times New Roman"/>
        </w:rPr>
        <w:t>27</w:t>
      </w:r>
      <w:r w:rsidR="00FF1EA0" w:rsidRPr="007D4CB3">
        <w:rPr>
          <w:rFonts w:ascii="Times New Roman" w:hAnsi="Times New Roman" w:cs="Times New Roman"/>
        </w:rPr>
        <w:t>):</w:t>
      </w:r>
    </w:p>
    <w:p w14:paraId="66B7CCE3" w14:textId="76BB273A"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What are the most effective and appropriate pharmacotherapies for the treatment of </w:t>
      </w:r>
      <w:r w:rsidR="00FF1EA0" w:rsidRPr="007D4CB3">
        <w:rPr>
          <w:rFonts w:ascii="Times New Roman" w:hAnsi="Times New Roman" w:cs="Times New Roman"/>
        </w:rPr>
        <w:t>StUD</w:t>
      </w:r>
      <w:r w:rsidRPr="007D4CB3">
        <w:rPr>
          <w:rFonts w:ascii="Times New Roman" w:hAnsi="Times New Roman" w:cs="Times New Roman"/>
        </w:rPr>
        <w:t xml:space="preserve"> in adolescent and young adult patients?</w:t>
      </w:r>
    </w:p>
    <w:p w14:paraId="343BFF66" w14:textId="77777777"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What contextual factors and implementation strategies may influence the effects of pharmacotherapy?</w:t>
      </w:r>
    </w:p>
    <w:p w14:paraId="0879BA83" w14:textId="3F72EB9A" w:rsidR="006D0E3E" w:rsidRPr="007D4CB3" w:rsidRDefault="006D0E3E"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Home drug testing:</w:t>
      </w:r>
    </w:p>
    <w:p w14:paraId="40F4EC16" w14:textId="77777777" w:rsidR="006D0E3E" w:rsidRPr="007D4CB3" w:rsidRDefault="006D0E3E"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What are the potential benefits and harms of home drug testing?</w:t>
      </w:r>
    </w:p>
    <w:p w14:paraId="0F11E030" w14:textId="4B2F96AD" w:rsidR="006D0E3E" w:rsidRPr="007D4CB3" w:rsidRDefault="006D0E3E"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Family involvement:</w:t>
      </w:r>
    </w:p>
    <w:p w14:paraId="3BD23CE6" w14:textId="77777777" w:rsidR="006D0E3E" w:rsidRPr="007D4CB3" w:rsidRDefault="006D0E3E" w:rsidP="00FC7CE6">
      <w:pPr>
        <w:pStyle w:val="StUDRecs"/>
        <w:numPr>
          <w:ilvl w:val="1"/>
          <w:numId w:val="20"/>
        </w:numPr>
        <w:spacing w:before="0" w:after="0" w:line="360" w:lineRule="auto"/>
        <w:rPr>
          <w:rFonts w:ascii="Times New Roman" w:hAnsi="Times New Roman" w:cs="Times New Roman"/>
        </w:rPr>
      </w:pPr>
      <w:r w:rsidRPr="007D4CB3">
        <w:rPr>
          <w:rFonts w:ascii="Times New Roman" w:hAnsi="Times New Roman" w:cs="Times New Roman"/>
        </w:rPr>
        <w:t xml:space="preserve">Are there modifications that should </w:t>
      </w:r>
      <w:proofErr w:type="gramStart"/>
      <w:r w:rsidRPr="007D4CB3">
        <w:rPr>
          <w:rFonts w:ascii="Times New Roman" w:hAnsi="Times New Roman" w:cs="Times New Roman"/>
        </w:rPr>
        <w:t>be made</w:t>
      </w:r>
      <w:proofErr w:type="gramEnd"/>
      <w:r w:rsidRPr="007D4CB3">
        <w:rPr>
          <w:rFonts w:ascii="Times New Roman" w:hAnsi="Times New Roman" w:cs="Times New Roman"/>
        </w:rPr>
        <w:t xml:space="preserve"> to behavioral treatment so that it is delivered in a developmentally appropriate manner to adolescent and young adult patients?</w:t>
      </w:r>
    </w:p>
    <w:p w14:paraId="0B770485" w14:textId="77777777" w:rsidR="006D0E3E" w:rsidRPr="007D4CB3" w:rsidRDefault="006D0E3E" w:rsidP="00FC7CE6">
      <w:pPr>
        <w:pStyle w:val="StUDRecs"/>
        <w:numPr>
          <w:ilvl w:val="1"/>
          <w:numId w:val="20"/>
        </w:numPr>
        <w:spacing w:before="0" w:after="0" w:line="360" w:lineRule="auto"/>
        <w:rPr>
          <w:rFonts w:ascii="Times New Roman" w:hAnsi="Times New Roman" w:cs="Times New Roman"/>
        </w:rPr>
      </w:pPr>
      <w:r w:rsidRPr="007D4CB3">
        <w:rPr>
          <w:rFonts w:ascii="Times New Roman" w:hAnsi="Times New Roman" w:cs="Times New Roman"/>
        </w:rPr>
        <w:lastRenderedPageBreak/>
        <w:t>Is family involvement in the treatment of StUD in adolescent and young adult patients effective and appropriate?</w:t>
      </w:r>
    </w:p>
    <w:p w14:paraId="6FF5284C" w14:textId="1032517B" w:rsidR="006D0E3E" w:rsidRPr="007D4CB3" w:rsidRDefault="006D0E3E"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Minor consent:</w:t>
      </w:r>
    </w:p>
    <w:p w14:paraId="2B17DE7A" w14:textId="77777777" w:rsidR="006D0E3E" w:rsidRPr="007D4CB3" w:rsidRDefault="006D0E3E"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What considerations should </w:t>
      </w:r>
      <w:proofErr w:type="gramStart"/>
      <w:r w:rsidRPr="007D4CB3">
        <w:rPr>
          <w:rFonts w:ascii="Times New Roman" w:hAnsi="Times New Roman" w:cs="Times New Roman"/>
        </w:rPr>
        <w:t>be included</w:t>
      </w:r>
      <w:proofErr w:type="gramEnd"/>
      <w:r w:rsidRPr="007D4CB3">
        <w:rPr>
          <w:rFonts w:ascii="Times New Roman" w:hAnsi="Times New Roman" w:cs="Times New Roman"/>
        </w:rPr>
        <w:t xml:space="preserve"> regarding consent for treatment for minor patients?</w:t>
      </w:r>
    </w:p>
    <w:p w14:paraId="68633491" w14:textId="77777777" w:rsidR="005D3271" w:rsidRPr="007D4CB3" w:rsidRDefault="005D3271" w:rsidP="00FC7CE6">
      <w:pPr>
        <w:pStyle w:val="Heading3-backmatter"/>
        <w:spacing w:before="0" w:after="0" w:line="360" w:lineRule="auto"/>
        <w:rPr>
          <w:rFonts w:ascii="Times New Roman" w:hAnsi="Times New Roman" w:cs="Times New Roman"/>
          <w:sz w:val="24"/>
        </w:rPr>
      </w:pPr>
      <w:r w:rsidRPr="007D4CB3">
        <w:rPr>
          <w:rFonts w:ascii="Times New Roman" w:hAnsi="Times New Roman" w:cs="Times New Roman"/>
          <w:sz w:val="24"/>
        </w:rPr>
        <w:t>Pregnant and Postpartum Patients</w:t>
      </w:r>
    </w:p>
    <w:p w14:paraId="40E48DF2" w14:textId="7D39C52A" w:rsidR="005D3271" w:rsidRPr="007D4CB3" w:rsidRDefault="005D3271" w:rsidP="00FC7CE6">
      <w:pPr>
        <w:pStyle w:val="StUDRecs"/>
        <w:numPr>
          <w:ilvl w:val="0"/>
          <w:numId w:val="58"/>
        </w:numPr>
        <w:spacing w:before="0" w:after="0" w:line="360" w:lineRule="auto"/>
        <w:rPr>
          <w:rFonts w:ascii="Times New Roman" w:hAnsi="Times New Roman" w:cs="Times New Roman"/>
        </w:rPr>
      </w:pPr>
      <w:r w:rsidRPr="007D4CB3">
        <w:rPr>
          <w:rFonts w:ascii="Times New Roman" w:hAnsi="Times New Roman" w:cs="Times New Roman"/>
        </w:rPr>
        <w:t xml:space="preserve">Prenatal </w:t>
      </w:r>
      <w:r w:rsidR="009348EF" w:rsidRPr="007D4CB3">
        <w:rPr>
          <w:rFonts w:ascii="Times New Roman" w:hAnsi="Times New Roman" w:cs="Times New Roman"/>
        </w:rPr>
        <w:t>Care Referral</w:t>
      </w:r>
      <w:r w:rsidR="00FF1EA0" w:rsidRPr="007D4CB3">
        <w:rPr>
          <w:rFonts w:ascii="Times New Roman" w:hAnsi="Times New Roman" w:cs="Times New Roman"/>
        </w:rPr>
        <w:t xml:space="preserve"> (Table 2</w:t>
      </w:r>
      <w:r w:rsidR="00192647" w:rsidRPr="007D4CB3">
        <w:rPr>
          <w:rFonts w:ascii="Times New Roman" w:hAnsi="Times New Roman" w:cs="Times New Roman"/>
        </w:rPr>
        <w:t>8</w:t>
      </w:r>
      <w:r w:rsidR="00FF1EA0" w:rsidRPr="007D4CB3">
        <w:rPr>
          <w:rFonts w:ascii="Times New Roman" w:hAnsi="Times New Roman" w:cs="Times New Roman"/>
        </w:rPr>
        <w:t>):</w:t>
      </w:r>
    </w:p>
    <w:p w14:paraId="1B264CA4" w14:textId="1538C5EF"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What additional consideration</w:t>
      </w:r>
      <w:r w:rsidR="008B62A0" w:rsidRPr="007D4CB3">
        <w:rPr>
          <w:rFonts w:ascii="Times New Roman" w:hAnsi="Times New Roman" w:cs="Times New Roman"/>
        </w:rPr>
        <w:t>s</w:t>
      </w:r>
      <w:r w:rsidRPr="007D4CB3">
        <w:rPr>
          <w:rFonts w:ascii="Times New Roman" w:hAnsi="Times New Roman" w:cs="Times New Roman"/>
        </w:rPr>
        <w:t xml:space="preserve"> should clinicians have when evaluating </w:t>
      </w:r>
      <w:r w:rsidR="00FF1EA0" w:rsidRPr="007D4CB3">
        <w:rPr>
          <w:rFonts w:ascii="Times New Roman" w:hAnsi="Times New Roman" w:cs="Times New Roman"/>
        </w:rPr>
        <w:t>StUD</w:t>
      </w:r>
      <w:r w:rsidRPr="007D4CB3">
        <w:rPr>
          <w:rFonts w:ascii="Times New Roman" w:hAnsi="Times New Roman" w:cs="Times New Roman"/>
        </w:rPr>
        <w:t xml:space="preserve"> in persons who are pregnant?</w:t>
      </w:r>
    </w:p>
    <w:p w14:paraId="2756ED3F" w14:textId="45F330BB"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What additional considerations should </w:t>
      </w:r>
      <w:proofErr w:type="gramStart"/>
      <w:r w:rsidRPr="007D4CB3">
        <w:rPr>
          <w:rFonts w:ascii="Times New Roman" w:hAnsi="Times New Roman" w:cs="Times New Roman"/>
        </w:rPr>
        <w:t>be includ</w:t>
      </w:r>
      <w:r w:rsidR="00380921" w:rsidRPr="007D4CB3">
        <w:rPr>
          <w:rFonts w:ascii="Times New Roman" w:hAnsi="Times New Roman" w:cs="Times New Roman"/>
        </w:rPr>
        <w:t>ed</w:t>
      </w:r>
      <w:proofErr w:type="gramEnd"/>
      <w:r w:rsidRPr="007D4CB3">
        <w:rPr>
          <w:rFonts w:ascii="Times New Roman" w:hAnsi="Times New Roman" w:cs="Times New Roman"/>
        </w:rPr>
        <w:t xml:space="preserve"> when establishing a treatment plan for </w:t>
      </w:r>
      <w:r w:rsidR="00380921" w:rsidRPr="007D4CB3">
        <w:rPr>
          <w:rFonts w:ascii="Times New Roman" w:hAnsi="Times New Roman" w:cs="Times New Roman"/>
        </w:rPr>
        <w:t>StUD</w:t>
      </w:r>
      <w:r w:rsidRPr="007D4CB3">
        <w:rPr>
          <w:rFonts w:ascii="Times New Roman" w:hAnsi="Times New Roman" w:cs="Times New Roman"/>
        </w:rPr>
        <w:t xml:space="preserve"> in persons who are pregnant?</w:t>
      </w:r>
    </w:p>
    <w:p w14:paraId="4CD8502B" w14:textId="4B481714"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 xml:space="preserve">Screen </w:t>
      </w:r>
      <w:r w:rsidR="009348EF" w:rsidRPr="007D4CB3">
        <w:rPr>
          <w:rFonts w:ascii="Times New Roman" w:hAnsi="Times New Roman" w:cs="Times New Roman"/>
        </w:rPr>
        <w:t>S</w:t>
      </w:r>
      <w:r w:rsidRPr="007D4CB3">
        <w:rPr>
          <w:rFonts w:ascii="Times New Roman" w:hAnsi="Times New Roman" w:cs="Times New Roman"/>
        </w:rPr>
        <w:t xml:space="preserve">ocial </w:t>
      </w:r>
      <w:r w:rsidR="009348EF" w:rsidRPr="007D4CB3">
        <w:rPr>
          <w:rFonts w:ascii="Times New Roman" w:hAnsi="Times New Roman" w:cs="Times New Roman"/>
        </w:rPr>
        <w:t>S</w:t>
      </w:r>
      <w:r w:rsidRPr="007D4CB3">
        <w:rPr>
          <w:rFonts w:ascii="Times New Roman" w:hAnsi="Times New Roman" w:cs="Times New Roman"/>
        </w:rPr>
        <w:t xml:space="preserve">ervices </w:t>
      </w:r>
      <w:r w:rsidR="00E101F9" w:rsidRPr="007D4CB3">
        <w:rPr>
          <w:rFonts w:ascii="Times New Roman" w:hAnsi="Times New Roman" w:cs="Times New Roman"/>
        </w:rPr>
        <w:t>–</w:t>
      </w:r>
      <w:r w:rsidRPr="007D4CB3">
        <w:rPr>
          <w:rFonts w:ascii="Times New Roman" w:hAnsi="Times New Roman" w:cs="Times New Roman"/>
        </w:rPr>
        <w:t xml:space="preserve"> </w:t>
      </w:r>
      <w:r w:rsidR="009348EF" w:rsidRPr="007D4CB3">
        <w:rPr>
          <w:rFonts w:ascii="Times New Roman" w:hAnsi="Times New Roman" w:cs="Times New Roman"/>
        </w:rPr>
        <w:t>P</w:t>
      </w:r>
      <w:r w:rsidRPr="007D4CB3">
        <w:rPr>
          <w:rFonts w:ascii="Times New Roman" w:hAnsi="Times New Roman" w:cs="Times New Roman"/>
        </w:rPr>
        <w:t xml:space="preserve">regnancy and </w:t>
      </w:r>
      <w:r w:rsidR="009348EF" w:rsidRPr="007D4CB3">
        <w:rPr>
          <w:rFonts w:ascii="Times New Roman" w:hAnsi="Times New Roman" w:cs="Times New Roman"/>
        </w:rPr>
        <w:t>P</w:t>
      </w:r>
      <w:r w:rsidRPr="007D4CB3">
        <w:rPr>
          <w:rFonts w:ascii="Times New Roman" w:hAnsi="Times New Roman" w:cs="Times New Roman"/>
        </w:rPr>
        <w:t>ostpartum</w:t>
      </w:r>
      <w:r w:rsidR="00E101F9" w:rsidRPr="007D4CB3">
        <w:rPr>
          <w:rFonts w:ascii="Times New Roman" w:hAnsi="Times New Roman" w:cs="Times New Roman"/>
        </w:rPr>
        <w:t xml:space="preserve"> (Table </w:t>
      </w:r>
      <w:r w:rsidR="002811F5" w:rsidRPr="007D4CB3">
        <w:rPr>
          <w:rFonts w:ascii="Times New Roman" w:hAnsi="Times New Roman" w:cs="Times New Roman"/>
        </w:rPr>
        <w:t>29</w:t>
      </w:r>
      <w:r w:rsidR="00E101F9" w:rsidRPr="007D4CB3">
        <w:rPr>
          <w:rFonts w:ascii="Times New Roman" w:hAnsi="Times New Roman" w:cs="Times New Roman"/>
        </w:rPr>
        <w:t>):</w:t>
      </w:r>
    </w:p>
    <w:p w14:paraId="21886A00" w14:textId="3DF1AB6C"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Are there additional social service needs that should </w:t>
      </w:r>
      <w:proofErr w:type="gramStart"/>
      <w:r w:rsidRPr="007D4CB3">
        <w:rPr>
          <w:rFonts w:ascii="Times New Roman" w:hAnsi="Times New Roman" w:cs="Times New Roman"/>
        </w:rPr>
        <w:t>be addressed</w:t>
      </w:r>
      <w:proofErr w:type="gramEnd"/>
      <w:r w:rsidRPr="007D4CB3">
        <w:rPr>
          <w:rFonts w:ascii="Times New Roman" w:hAnsi="Times New Roman" w:cs="Times New Roman"/>
        </w:rPr>
        <w:t xml:space="preserve"> when assessing persons who are pregnant or is the standard assessment for StUD appropriate and effective?</w:t>
      </w:r>
    </w:p>
    <w:p w14:paraId="09573674" w14:textId="5FD04588"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 xml:space="preserve">Screen </w:t>
      </w:r>
      <w:r w:rsidR="009348EF" w:rsidRPr="007D4CB3">
        <w:rPr>
          <w:rFonts w:ascii="Times New Roman" w:hAnsi="Times New Roman" w:cs="Times New Roman"/>
        </w:rPr>
        <w:t>F</w:t>
      </w:r>
      <w:r w:rsidRPr="007D4CB3">
        <w:rPr>
          <w:rFonts w:ascii="Times New Roman" w:hAnsi="Times New Roman" w:cs="Times New Roman"/>
        </w:rPr>
        <w:t xml:space="preserve">actors </w:t>
      </w:r>
      <w:r w:rsidR="009348EF" w:rsidRPr="007D4CB3">
        <w:rPr>
          <w:rFonts w:ascii="Times New Roman" w:hAnsi="Times New Roman" w:cs="Times New Roman"/>
        </w:rPr>
        <w:t>P</w:t>
      </w:r>
      <w:r w:rsidRPr="007D4CB3">
        <w:rPr>
          <w:rFonts w:ascii="Times New Roman" w:hAnsi="Times New Roman" w:cs="Times New Roman"/>
        </w:rPr>
        <w:t>regnancy</w:t>
      </w:r>
      <w:r w:rsidR="00D55A86" w:rsidRPr="007D4CB3">
        <w:rPr>
          <w:rFonts w:ascii="Times New Roman" w:hAnsi="Times New Roman" w:cs="Times New Roman"/>
        </w:rPr>
        <w:t xml:space="preserve"> (Table </w:t>
      </w:r>
      <w:r w:rsidR="002811F5" w:rsidRPr="007D4CB3">
        <w:rPr>
          <w:rFonts w:ascii="Times New Roman" w:hAnsi="Times New Roman" w:cs="Times New Roman"/>
        </w:rPr>
        <w:t>30</w:t>
      </w:r>
      <w:r w:rsidR="00D55A86" w:rsidRPr="007D4CB3">
        <w:rPr>
          <w:rFonts w:ascii="Times New Roman" w:hAnsi="Times New Roman" w:cs="Times New Roman"/>
        </w:rPr>
        <w:t>):</w:t>
      </w:r>
    </w:p>
    <w:p w14:paraId="71D0B94F" w14:textId="537B58E0"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Are there additional health conditions that should </w:t>
      </w:r>
      <w:proofErr w:type="gramStart"/>
      <w:r w:rsidRPr="007D4CB3">
        <w:rPr>
          <w:rFonts w:ascii="Times New Roman" w:hAnsi="Times New Roman" w:cs="Times New Roman"/>
        </w:rPr>
        <w:t>be evaluated</w:t>
      </w:r>
      <w:proofErr w:type="gramEnd"/>
      <w:r w:rsidRPr="007D4CB3">
        <w:rPr>
          <w:rFonts w:ascii="Times New Roman" w:hAnsi="Times New Roman" w:cs="Times New Roman"/>
        </w:rPr>
        <w:t xml:space="preserve"> in persons who are pregnant or is the standard assessment for StUD appropriate and effective?</w:t>
      </w:r>
    </w:p>
    <w:p w14:paraId="6F61FC3D" w14:textId="48C811B5"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 xml:space="preserve">Toxicology – </w:t>
      </w:r>
      <w:r w:rsidR="00D55A86" w:rsidRPr="007D4CB3">
        <w:rPr>
          <w:rFonts w:ascii="Times New Roman" w:hAnsi="Times New Roman" w:cs="Times New Roman"/>
        </w:rPr>
        <w:t>p</w:t>
      </w:r>
      <w:r w:rsidRPr="007D4CB3">
        <w:rPr>
          <w:rFonts w:ascii="Times New Roman" w:hAnsi="Times New Roman" w:cs="Times New Roman"/>
        </w:rPr>
        <w:t xml:space="preserve">regnancy and </w:t>
      </w:r>
      <w:r w:rsidR="00D55A86" w:rsidRPr="007D4CB3">
        <w:rPr>
          <w:rFonts w:ascii="Times New Roman" w:hAnsi="Times New Roman" w:cs="Times New Roman"/>
        </w:rPr>
        <w:t>p</w:t>
      </w:r>
      <w:r w:rsidRPr="007D4CB3">
        <w:rPr>
          <w:rFonts w:ascii="Times New Roman" w:hAnsi="Times New Roman" w:cs="Times New Roman"/>
        </w:rPr>
        <w:t>ostpartum</w:t>
      </w:r>
      <w:r w:rsidR="00D55A86" w:rsidRPr="007D4CB3">
        <w:rPr>
          <w:rFonts w:ascii="Times New Roman" w:hAnsi="Times New Roman" w:cs="Times New Roman"/>
        </w:rPr>
        <w:t>:</w:t>
      </w:r>
    </w:p>
    <w:p w14:paraId="1D16A9C5" w14:textId="62985064"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Are there additional considerations when conducting toxicology testing in persons who are pregnant or are standard considerations for StUD appropriate and effective?</w:t>
      </w:r>
    </w:p>
    <w:p w14:paraId="097BBCEB" w14:textId="7CB6C5F6"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 xml:space="preserve">Pharmacotherapy – </w:t>
      </w:r>
      <w:r w:rsidR="009348EF" w:rsidRPr="007D4CB3">
        <w:rPr>
          <w:rFonts w:ascii="Times New Roman" w:hAnsi="Times New Roman" w:cs="Times New Roman"/>
        </w:rPr>
        <w:t>Pregnancy and Postpartum</w:t>
      </w:r>
      <w:r w:rsidR="00D55A86" w:rsidRPr="007D4CB3">
        <w:rPr>
          <w:rFonts w:ascii="Times New Roman" w:hAnsi="Times New Roman" w:cs="Times New Roman"/>
        </w:rPr>
        <w:t xml:space="preserve"> (Table </w:t>
      </w:r>
      <w:r w:rsidR="002811F5" w:rsidRPr="007D4CB3">
        <w:rPr>
          <w:rFonts w:ascii="Times New Roman" w:hAnsi="Times New Roman" w:cs="Times New Roman"/>
        </w:rPr>
        <w:t>31</w:t>
      </w:r>
      <w:r w:rsidR="00D55A86" w:rsidRPr="007D4CB3">
        <w:rPr>
          <w:rFonts w:ascii="Times New Roman" w:hAnsi="Times New Roman" w:cs="Times New Roman"/>
        </w:rPr>
        <w:t>):</w:t>
      </w:r>
    </w:p>
    <w:p w14:paraId="6B0B2862" w14:textId="0859483A"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What additional consideration</w:t>
      </w:r>
      <w:r w:rsidR="008B62A0" w:rsidRPr="007D4CB3">
        <w:rPr>
          <w:rFonts w:ascii="Times New Roman" w:hAnsi="Times New Roman" w:cs="Times New Roman"/>
        </w:rPr>
        <w:t>s</w:t>
      </w:r>
      <w:r w:rsidRPr="007D4CB3">
        <w:rPr>
          <w:rFonts w:ascii="Times New Roman" w:hAnsi="Times New Roman" w:cs="Times New Roman"/>
        </w:rPr>
        <w:t xml:space="preserve"> should </w:t>
      </w:r>
      <w:proofErr w:type="gramStart"/>
      <w:r w:rsidRPr="007D4CB3">
        <w:rPr>
          <w:rFonts w:ascii="Times New Roman" w:hAnsi="Times New Roman" w:cs="Times New Roman"/>
        </w:rPr>
        <w:t>be included</w:t>
      </w:r>
      <w:proofErr w:type="gramEnd"/>
      <w:r w:rsidRPr="007D4CB3">
        <w:rPr>
          <w:rFonts w:ascii="Times New Roman" w:hAnsi="Times New Roman" w:cs="Times New Roman"/>
        </w:rPr>
        <w:t xml:space="preserve"> when considering pharmacotherapy for </w:t>
      </w:r>
      <w:r w:rsidR="008B62A0" w:rsidRPr="007D4CB3">
        <w:rPr>
          <w:rFonts w:ascii="Times New Roman" w:hAnsi="Times New Roman" w:cs="Times New Roman"/>
        </w:rPr>
        <w:t xml:space="preserve">StUD, </w:t>
      </w:r>
      <w:r w:rsidRPr="007D4CB3">
        <w:rPr>
          <w:rFonts w:ascii="Times New Roman" w:hAnsi="Times New Roman" w:cs="Times New Roman"/>
        </w:rPr>
        <w:t xml:space="preserve">stimulant intoxication, </w:t>
      </w:r>
      <w:r w:rsidR="008B62A0" w:rsidRPr="007D4CB3">
        <w:rPr>
          <w:rFonts w:ascii="Times New Roman" w:hAnsi="Times New Roman" w:cs="Times New Roman"/>
        </w:rPr>
        <w:t xml:space="preserve">or stimulant </w:t>
      </w:r>
      <w:r w:rsidRPr="007D4CB3">
        <w:rPr>
          <w:rFonts w:ascii="Times New Roman" w:hAnsi="Times New Roman" w:cs="Times New Roman"/>
        </w:rPr>
        <w:t>withdrawal in persons who are pregnant or breastfeeding?</w:t>
      </w:r>
    </w:p>
    <w:p w14:paraId="26192D77" w14:textId="2E94E722"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 xml:space="preserve">Psychosocial </w:t>
      </w:r>
      <w:r w:rsidR="008B62A0" w:rsidRPr="007D4CB3">
        <w:rPr>
          <w:rFonts w:ascii="Times New Roman" w:hAnsi="Times New Roman" w:cs="Times New Roman"/>
        </w:rPr>
        <w:t>a</w:t>
      </w:r>
      <w:r w:rsidRPr="007D4CB3">
        <w:rPr>
          <w:rFonts w:ascii="Times New Roman" w:hAnsi="Times New Roman" w:cs="Times New Roman"/>
        </w:rPr>
        <w:t xml:space="preserve">dditions – </w:t>
      </w:r>
      <w:r w:rsidR="008B62A0" w:rsidRPr="007D4CB3">
        <w:rPr>
          <w:rFonts w:ascii="Times New Roman" w:hAnsi="Times New Roman" w:cs="Times New Roman"/>
        </w:rPr>
        <w:t>p</w:t>
      </w:r>
      <w:r w:rsidRPr="007D4CB3">
        <w:rPr>
          <w:rFonts w:ascii="Times New Roman" w:hAnsi="Times New Roman" w:cs="Times New Roman"/>
        </w:rPr>
        <w:t xml:space="preserve">regnancy and </w:t>
      </w:r>
      <w:r w:rsidR="008B62A0" w:rsidRPr="007D4CB3">
        <w:rPr>
          <w:rFonts w:ascii="Times New Roman" w:hAnsi="Times New Roman" w:cs="Times New Roman"/>
        </w:rPr>
        <w:t>p</w:t>
      </w:r>
      <w:r w:rsidRPr="007D4CB3">
        <w:rPr>
          <w:rFonts w:ascii="Times New Roman" w:hAnsi="Times New Roman" w:cs="Times New Roman"/>
        </w:rPr>
        <w:t>ostpartum</w:t>
      </w:r>
      <w:r w:rsidR="008B62A0" w:rsidRPr="007D4CB3">
        <w:rPr>
          <w:rFonts w:ascii="Times New Roman" w:hAnsi="Times New Roman" w:cs="Times New Roman"/>
        </w:rPr>
        <w:t>:</w:t>
      </w:r>
    </w:p>
    <w:p w14:paraId="2EF1FD6E" w14:textId="63E15BFE"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Are there additional treatment needs that should </w:t>
      </w:r>
      <w:proofErr w:type="gramStart"/>
      <w:r w:rsidRPr="007D4CB3">
        <w:rPr>
          <w:rFonts w:ascii="Times New Roman" w:hAnsi="Times New Roman" w:cs="Times New Roman"/>
        </w:rPr>
        <w:t>be addressed</w:t>
      </w:r>
      <w:proofErr w:type="gramEnd"/>
      <w:r w:rsidRPr="007D4CB3">
        <w:rPr>
          <w:rFonts w:ascii="Times New Roman" w:hAnsi="Times New Roman" w:cs="Times New Roman"/>
        </w:rPr>
        <w:t xml:space="preserve"> with pregnant patients or is standard treatment for StUD appropriate and effective?</w:t>
      </w:r>
    </w:p>
    <w:p w14:paraId="14943E94" w14:textId="71FCD4DF"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 xml:space="preserve">Prenatal </w:t>
      </w:r>
      <w:r w:rsidR="009348EF" w:rsidRPr="007D4CB3">
        <w:rPr>
          <w:rFonts w:ascii="Times New Roman" w:hAnsi="Times New Roman" w:cs="Times New Roman"/>
        </w:rPr>
        <w:t>Care Incentives</w:t>
      </w:r>
      <w:r w:rsidR="008B62A0" w:rsidRPr="007D4CB3">
        <w:rPr>
          <w:rFonts w:ascii="Times New Roman" w:hAnsi="Times New Roman" w:cs="Times New Roman"/>
        </w:rPr>
        <w:t xml:space="preserve"> (Table </w:t>
      </w:r>
      <w:r w:rsidR="00F74533" w:rsidRPr="007D4CB3">
        <w:rPr>
          <w:rFonts w:ascii="Times New Roman" w:hAnsi="Times New Roman" w:cs="Times New Roman"/>
        </w:rPr>
        <w:t>32</w:t>
      </w:r>
      <w:r w:rsidR="008B62A0" w:rsidRPr="007D4CB3">
        <w:rPr>
          <w:rFonts w:ascii="Times New Roman" w:hAnsi="Times New Roman" w:cs="Times New Roman"/>
        </w:rPr>
        <w:t>):</w:t>
      </w:r>
    </w:p>
    <w:p w14:paraId="16317089" w14:textId="77777777"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What are the most effective and appropriate interventions for increasing prenatal care access and attendance in patients </w:t>
      </w:r>
      <w:proofErr w:type="gramStart"/>
      <w:r w:rsidRPr="007D4CB3">
        <w:rPr>
          <w:rFonts w:ascii="Times New Roman" w:hAnsi="Times New Roman" w:cs="Times New Roman"/>
        </w:rPr>
        <w:t>being treated</w:t>
      </w:r>
      <w:proofErr w:type="gramEnd"/>
      <w:r w:rsidRPr="007D4CB3">
        <w:rPr>
          <w:rFonts w:ascii="Times New Roman" w:hAnsi="Times New Roman" w:cs="Times New Roman"/>
        </w:rPr>
        <w:t xml:space="preserve"> for StUD?</w:t>
      </w:r>
    </w:p>
    <w:p w14:paraId="01B6F72A" w14:textId="016DB26C"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lastRenderedPageBreak/>
        <w:t xml:space="preserve">Postpartum </w:t>
      </w:r>
      <w:r w:rsidR="009348EF" w:rsidRPr="007D4CB3">
        <w:rPr>
          <w:rFonts w:ascii="Times New Roman" w:hAnsi="Times New Roman" w:cs="Times New Roman"/>
        </w:rPr>
        <w:t>C</w:t>
      </w:r>
      <w:r w:rsidRPr="007D4CB3">
        <w:rPr>
          <w:rFonts w:ascii="Times New Roman" w:hAnsi="Times New Roman" w:cs="Times New Roman"/>
        </w:rPr>
        <w:t>are</w:t>
      </w:r>
      <w:r w:rsidR="00EF618A" w:rsidRPr="007D4CB3">
        <w:rPr>
          <w:rFonts w:ascii="Times New Roman" w:hAnsi="Times New Roman" w:cs="Times New Roman"/>
        </w:rPr>
        <w:t xml:space="preserve"> (Table </w:t>
      </w:r>
      <w:r w:rsidR="00F74533" w:rsidRPr="007D4CB3">
        <w:rPr>
          <w:rFonts w:ascii="Times New Roman" w:hAnsi="Times New Roman" w:cs="Times New Roman"/>
        </w:rPr>
        <w:t>33</w:t>
      </w:r>
      <w:r w:rsidR="00EF618A" w:rsidRPr="007D4CB3">
        <w:rPr>
          <w:rFonts w:ascii="Times New Roman" w:hAnsi="Times New Roman" w:cs="Times New Roman"/>
        </w:rPr>
        <w:t>):</w:t>
      </w:r>
    </w:p>
    <w:p w14:paraId="76DD88F4" w14:textId="0646212F"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Are there additional treatment needs for patients with </w:t>
      </w:r>
      <w:r w:rsidR="00EF618A" w:rsidRPr="007D4CB3">
        <w:rPr>
          <w:rFonts w:ascii="Times New Roman" w:hAnsi="Times New Roman" w:cs="Times New Roman"/>
        </w:rPr>
        <w:t>StUD</w:t>
      </w:r>
      <w:r w:rsidRPr="007D4CB3">
        <w:rPr>
          <w:rFonts w:ascii="Times New Roman" w:hAnsi="Times New Roman" w:cs="Times New Roman"/>
        </w:rPr>
        <w:t xml:space="preserve"> in the postpartum period?</w:t>
      </w:r>
      <w:r w:rsidR="001E3D77" w:rsidRPr="007D4CB3">
        <w:rPr>
          <w:rFonts w:ascii="Times New Roman" w:hAnsi="Times New Roman" w:cs="Times New Roman"/>
        </w:rPr>
        <w:t xml:space="preserve"> </w:t>
      </w:r>
      <w:r w:rsidRPr="007D4CB3">
        <w:rPr>
          <w:rFonts w:ascii="Times New Roman" w:hAnsi="Times New Roman" w:cs="Times New Roman"/>
        </w:rPr>
        <w:t>For patients with any level of stimulant use?</w:t>
      </w:r>
    </w:p>
    <w:p w14:paraId="2BDBF313" w14:textId="2A0D1927"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Breastfeeding</w:t>
      </w:r>
      <w:r w:rsidR="001E3D77" w:rsidRPr="007D4CB3">
        <w:rPr>
          <w:rFonts w:ascii="Times New Roman" w:hAnsi="Times New Roman" w:cs="Times New Roman"/>
        </w:rPr>
        <w:t xml:space="preserve"> (Table </w:t>
      </w:r>
      <w:r w:rsidR="00F74533" w:rsidRPr="007D4CB3">
        <w:rPr>
          <w:rFonts w:ascii="Times New Roman" w:hAnsi="Times New Roman" w:cs="Times New Roman"/>
        </w:rPr>
        <w:t>34</w:t>
      </w:r>
      <w:r w:rsidR="001E3D77" w:rsidRPr="007D4CB3">
        <w:rPr>
          <w:rFonts w:ascii="Times New Roman" w:hAnsi="Times New Roman" w:cs="Times New Roman"/>
        </w:rPr>
        <w:t>):</w:t>
      </w:r>
    </w:p>
    <w:p w14:paraId="3008F240" w14:textId="33A0EE5E" w:rsidR="005D3271" w:rsidRPr="007D4CB3" w:rsidRDefault="005D3271" w:rsidP="00FC7CE6">
      <w:pPr>
        <w:pStyle w:val="StUDRecs"/>
        <w:numPr>
          <w:ilvl w:val="1"/>
          <w:numId w:val="1"/>
        </w:numPr>
        <w:spacing w:before="0" w:after="0" w:line="360" w:lineRule="auto"/>
        <w:rPr>
          <w:rFonts w:ascii="Times New Roman" w:eastAsia="Calibri" w:hAnsi="Times New Roman" w:cs="Times New Roman"/>
        </w:rPr>
      </w:pPr>
      <w:r w:rsidRPr="007D4CB3">
        <w:rPr>
          <w:rFonts w:ascii="Times New Roman" w:hAnsi="Times New Roman" w:cs="Times New Roman"/>
        </w:rPr>
        <w:t xml:space="preserve">Should patients with </w:t>
      </w:r>
      <w:r w:rsidR="001E3D77" w:rsidRPr="007D4CB3">
        <w:rPr>
          <w:rFonts w:ascii="Times New Roman" w:hAnsi="Times New Roman" w:cs="Times New Roman"/>
        </w:rPr>
        <w:t>StUD</w:t>
      </w:r>
      <w:r w:rsidRPr="007D4CB3">
        <w:rPr>
          <w:rFonts w:ascii="Times New Roman" w:hAnsi="Times New Roman" w:cs="Times New Roman"/>
        </w:rPr>
        <w:t xml:space="preserve"> breastfeed?</w:t>
      </w:r>
    </w:p>
    <w:p w14:paraId="62424CA0" w14:textId="77777777" w:rsidR="005D3271" w:rsidRPr="007D4CB3" w:rsidRDefault="005D3271" w:rsidP="00FC7CE6">
      <w:pPr>
        <w:pStyle w:val="StUDRecs"/>
        <w:numPr>
          <w:ilvl w:val="1"/>
          <w:numId w:val="1"/>
        </w:numPr>
        <w:spacing w:before="0" w:after="0" w:line="360" w:lineRule="auto"/>
        <w:rPr>
          <w:rFonts w:ascii="Times New Roman" w:eastAsia="Calibri" w:hAnsi="Times New Roman" w:cs="Times New Roman"/>
        </w:rPr>
      </w:pPr>
      <w:r w:rsidRPr="007D4CB3">
        <w:rPr>
          <w:rFonts w:ascii="Times New Roman" w:hAnsi="Times New Roman" w:cs="Times New Roman"/>
        </w:rPr>
        <w:t>When can a patient who uses stimulants safely breastfeed?</w:t>
      </w:r>
    </w:p>
    <w:p w14:paraId="24828BFD" w14:textId="3FE55D12"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Can clinicians increase the rate of safe breastfeeding in patients with a </w:t>
      </w:r>
      <w:r w:rsidR="001E3D77" w:rsidRPr="007D4CB3">
        <w:rPr>
          <w:rFonts w:ascii="Times New Roman" w:hAnsi="Times New Roman" w:cs="Times New Roman"/>
        </w:rPr>
        <w:t>StUD</w:t>
      </w:r>
      <w:r w:rsidRPr="007D4CB3">
        <w:rPr>
          <w:rFonts w:ascii="Times New Roman" w:hAnsi="Times New Roman" w:cs="Times New Roman"/>
        </w:rPr>
        <w:t>? With any stimulant use?</w:t>
      </w:r>
    </w:p>
    <w:p w14:paraId="3F413809" w14:textId="17A964A5" w:rsidR="005D3271" w:rsidRPr="007D4CB3" w:rsidRDefault="005D3271" w:rsidP="00FC7CE6">
      <w:pPr>
        <w:pStyle w:val="Heading3-backmatter"/>
        <w:spacing w:before="0" w:after="0" w:line="360" w:lineRule="auto"/>
        <w:rPr>
          <w:rFonts w:ascii="Times New Roman" w:hAnsi="Times New Roman" w:cs="Times New Roman"/>
          <w:sz w:val="24"/>
        </w:rPr>
      </w:pPr>
      <w:r w:rsidRPr="007D4CB3">
        <w:rPr>
          <w:rFonts w:ascii="Times New Roman" w:hAnsi="Times New Roman" w:cs="Times New Roman"/>
          <w:sz w:val="24"/>
        </w:rPr>
        <w:t>Additional Population</w:t>
      </w:r>
      <w:r w:rsidR="005F38CF" w:rsidRPr="007D4CB3">
        <w:rPr>
          <w:rFonts w:ascii="Times New Roman" w:hAnsi="Times New Roman" w:cs="Times New Roman"/>
          <w:sz w:val="24"/>
        </w:rPr>
        <w:t>-Specific Considerations</w:t>
      </w:r>
    </w:p>
    <w:p w14:paraId="440F83EA" w14:textId="29CA83A6" w:rsidR="005D3271" w:rsidRPr="007D4CB3" w:rsidRDefault="005D3271" w:rsidP="00FC7CE6">
      <w:pPr>
        <w:pStyle w:val="StUDRecs"/>
        <w:numPr>
          <w:ilvl w:val="0"/>
          <w:numId w:val="59"/>
        </w:numPr>
        <w:spacing w:before="0" w:after="0" w:line="360" w:lineRule="auto"/>
        <w:rPr>
          <w:rFonts w:ascii="Times New Roman" w:hAnsi="Times New Roman" w:cs="Times New Roman"/>
        </w:rPr>
      </w:pPr>
      <w:r w:rsidRPr="007D4CB3">
        <w:rPr>
          <w:rFonts w:ascii="Times New Roman" w:hAnsi="Times New Roman" w:cs="Times New Roman"/>
        </w:rPr>
        <w:t xml:space="preserve">Sexual and </w:t>
      </w:r>
      <w:r w:rsidR="00AC5B04" w:rsidRPr="007D4CB3">
        <w:rPr>
          <w:rFonts w:ascii="Times New Roman" w:hAnsi="Times New Roman" w:cs="Times New Roman"/>
        </w:rPr>
        <w:t>G</w:t>
      </w:r>
      <w:r w:rsidRPr="007D4CB3">
        <w:rPr>
          <w:rFonts w:ascii="Times New Roman" w:hAnsi="Times New Roman" w:cs="Times New Roman"/>
        </w:rPr>
        <w:t xml:space="preserve">ender </w:t>
      </w:r>
      <w:r w:rsidR="00AC5B04" w:rsidRPr="007D4CB3">
        <w:rPr>
          <w:rFonts w:ascii="Times New Roman" w:hAnsi="Times New Roman" w:cs="Times New Roman"/>
        </w:rPr>
        <w:t>M</w:t>
      </w:r>
      <w:r w:rsidRPr="007D4CB3">
        <w:rPr>
          <w:rFonts w:ascii="Times New Roman" w:hAnsi="Times New Roman" w:cs="Times New Roman"/>
        </w:rPr>
        <w:t>inoriti</w:t>
      </w:r>
      <w:r w:rsidR="00FF73E2" w:rsidRPr="007D4CB3">
        <w:rPr>
          <w:rFonts w:ascii="Times New Roman" w:hAnsi="Times New Roman" w:cs="Times New Roman"/>
        </w:rPr>
        <w:t xml:space="preserve">zed </w:t>
      </w:r>
      <w:r w:rsidR="00320E1F" w:rsidRPr="007D4CB3">
        <w:rPr>
          <w:rFonts w:ascii="Times New Roman" w:hAnsi="Times New Roman" w:cs="Times New Roman"/>
        </w:rPr>
        <w:t>individuals</w:t>
      </w:r>
      <w:r w:rsidR="001E3D77" w:rsidRPr="007D4CB3">
        <w:rPr>
          <w:rFonts w:ascii="Times New Roman" w:hAnsi="Times New Roman" w:cs="Times New Roman"/>
        </w:rPr>
        <w:t xml:space="preserve"> (Table</w:t>
      </w:r>
      <w:r w:rsidR="00946EDD" w:rsidRPr="007D4CB3">
        <w:rPr>
          <w:rFonts w:ascii="Times New Roman" w:hAnsi="Times New Roman" w:cs="Times New Roman"/>
        </w:rPr>
        <w:t xml:space="preserve"> 35</w:t>
      </w:r>
      <w:r w:rsidR="001E3D77" w:rsidRPr="007D4CB3">
        <w:rPr>
          <w:rFonts w:ascii="Times New Roman" w:hAnsi="Times New Roman" w:cs="Times New Roman"/>
        </w:rPr>
        <w:t>):</w:t>
      </w:r>
    </w:p>
    <w:p w14:paraId="22448F43" w14:textId="52D83D2C"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What are the most effective and appropriate interventions for the treatment of StUD in </w:t>
      </w:r>
      <w:r w:rsidR="001E3D77" w:rsidRPr="007D4CB3">
        <w:rPr>
          <w:rFonts w:ascii="Times New Roman" w:hAnsi="Times New Roman" w:cs="Times New Roman"/>
        </w:rPr>
        <w:t>SGM</w:t>
      </w:r>
      <w:r w:rsidRPr="007D4CB3">
        <w:rPr>
          <w:rFonts w:ascii="Times New Roman" w:hAnsi="Times New Roman" w:cs="Times New Roman"/>
        </w:rPr>
        <w:t xml:space="preserve"> patients?</w:t>
      </w:r>
    </w:p>
    <w:p w14:paraId="3B38BC5B" w14:textId="20492263"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Should </w:t>
      </w:r>
      <w:r w:rsidR="001E3D77" w:rsidRPr="007D4CB3">
        <w:rPr>
          <w:rFonts w:ascii="Times New Roman" w:hAnsi="Times New Roman" w:cs="Times New Roman"/>
        </w:rPr>
        <w:t>SGM</w:t>
      </w:r>
      <w:r w:rsidRPr="007D4CB3">
        <w:rPr>
          <w:rFonts w:ascii="Times New Roman" w:hAnsi="Times New Roman" w:cs="Times New Roman"/>
        </w:rPr>
        <w:t xml:space="preserve"> patients with StUD </w:t>
      </w:r>
      <w:proofErr w:type="gramStart"/>
      <w:r w:rsidRPr="007D4CB3">
        <w:rPr>
          <w:rFonts w:ascii="Times New Roman" w:hAnsi="Times New Roman" w:cs="Times New Roman"/>
        </w:rPr>
        <w:t>be referred</w:t>
      </w:r>
      <w:proofErr w:type="gramEnd"/>
      <w:r w:rsidRPr="007D4CB3">
        <w:rPr>
          <w:rFonts w:ascii="Times New Roman" w:hAnsi="Times New Roman" w:cs="Times New Roman"/>
        </w:rPr>
        <w:t xml:space="preserve"> to </w:t>
      </w:r>
      <w:r w:rsidR="001E3D77" w:rsidRPr="007D4CB3">
        <w:rPr>
          <w:rFonts w:ascii="Times New Roman" w:hAnsi="Times New Roman" w:cs="Times New Roman"/>
        </w:rPr>
        <w:t>SGM</w:t>
      </w:r>
      <w:r w:rsidR="00764134" w:rsidRPr="007D4CB3">
        <w:rPr>
          <w:rFonts w:ascii="Times New Roman" w:hAnsi="Times New Roman" w:cs="Times New Roman"/>
        </w:rPr>
        <w:t>-</w:t>
      </w:r>
      <w:r w:rsidRPr="007D4CB3">
        <w:rPr>
          <w:rFonts w:ascii="Times New Roman" w:hAnsi="Times New Roman" w:cs="Times New Roman"/>
        </w:rPr>
        <w:t>focused programs?</w:t>
      </w:r>
    </w:p>
    <w:p w14:paraId="0A9EBFAF" w14:textId="3A08D461"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What additional consideration should clinicians have when evaluating and treating </w:t>
      </w:r>
      <w:r w:rsidR="00764134" w:rsidRPr="007D4CB3">
        <w:rPr>
          <w:rFonts w:ascii="Times New Roman" w:hAnsi="Times New Roman" w:cs="Times New Roman"/>
        </w:rPr>
        <w:t>StUD</w:t>
      </w:r>
      <w:r w:rsidRPr="007D4CB3">
        <w:rPr>
          <w:rFonts w:ascii="Times New Roman" w:hAnsi="Times New Roman" w:cs="Times New Roman"/>
        </w:rPr>
        <w:t xml:space="preserve"> in </w:t>
      </w:r>
      <w:r w:rsidR="00764134" w:rsidRPr="007D4CB3">
        <w:rPr>
          <w:rFonts w:ascii="Times New Roman" w:hAnsi="Times New Roman" w:cs="Times New Roman"/>
        </w:rPr>
        <w:t>SGM patients</w:t>
      </w:r>
      <w:r w:rsidRPr="007D4CB3">
        <w:rPr>
          <w:rFonts w:ascii="Times New Roman" w:hAnsi="Times New Roman" w:cs="Times New Roman"/>
        </w:rPr>
        <w:t>?</w:t>
      </w:r>
    </w:p>
    <w:p w14:paraId="072C6123" w14:textId="7E38B649"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Disability</w:t>
      </w:r>
      <w:r w:rsidR="00764134" w:rsidRPr="007D4CB3">
        <w:rPr>
          <w:rFonts w:ascii="Times New Roman" w:hAnsi="Times New Roman" w:cs="Times New Roman"/>
        </w:rPr>
        <w:t>:</w:t>
      </w:r>
    </w:p>
    <w:p w14:paraId="4C9736E8" w14:textId="77777777"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What are the most effective and appropriate interventions for the treatment of StUD in patients with disabilities?</w:t>
      </w:r>
    </w:p>
    <w:p w14:paraId="60224F27" w14:textId="2AB15949"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What additional consideration</w:t>
      </w:r>
      <w:r w:rsidR="00764134" w:rsidRPr="007D4CB3">
        <w:rPr>
          <w:rFonts w:ascii="Times New Roman" w:hAnsi="Times New Roman" w:cs="Times New Roman"/>
        </w:rPr>
        <w:t>s</w:t>
      </w:r>
      <w:r w:rsidRPr="007D4CB3">
        <w:rPr>
          <w:rFonts w:ascii="Times New Roman" w:hAnsi="Times New Roman" w:cs="Times New Roman"/>
        </w:rPr>
        <w:t xml:space="preserve"> should clinicians have when evaluating and treating </w:t>
      </w:r>
      <w:r w:rsidR="00764134" w:rsidRPr="007D4CB3">
        <w:rPr>
          <w:rFonts w:ascii="Times New Roman" w:hAnsi="Times New Roman" w:cs="Times New Roman"/>
        </w:rPr>
        <w:t>StUD</w:t>
      </w:r>
      <w:r w:rsidRPr="007D4CB3">
        <w:rPr>
          <w:rFonts w:ascii="Times New Roman" w:hAnsi="Times New Roman" w:cs="Times New Roman"/>
        </w:rPr>
        <w:t xml:space="preserve"> in persons with disabilities?</w:t>
      </w:r>
    </w:p>
    <w:p w14:paraId="1F436216" w14:textId="67DABFC2"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Criminal/</w:t>
      </w:r>
      <w:r w:rsidR="00CA2126" w:rsidRPr="007D4CB3">
        <w:rPr>
          <w:rFonts w:ascii="Times New Roman" w:hAnsi="Times New Roman" w:cs="Times New Roman"/>
        </w:rPr>
        <w:t>l</w:t>
      </w:r>
      <w:r w:rsidRPr="007D4CB3">
        <w:rPr>
          <w:rFonts w:ascii="Times New Roman" w:hAnsi="Times New Roman" w:cs="Times New Roman"/>
        </w:rPr>
        <w:t xml:space="preserve">egal </w:t>
      </w:r>
      <w:r w:rsidR="00CA2126" w:rsidRPr="007D4CB3">
        <w:rPr>
          <w:rFonts w:ascii="Times New Roman" w:hAnsi="Times New Roman" w:cs="Times New Roman"/>
        </w:rPr>
        <w:t>s</w:t>
      </w:r>
      <w:r w:rsidRPr="007D4CB3">
        <w:rPr>
          <w:rFonts w:ascii="Times New Roman" w:hAnsi="Times New Roman" w:cs="Times New Roman"/>
        </w:rPr>
        <w:t>ystem</w:t>
      </w:r>
      <w:r w:rsidR="00CA2126" w:rsidRPr="007D4CB3">
        <w:rPr>
          <w:rFonts w:ascii="Times New Roman" w:hAnsi="Times New Roman" w:cs="Times New Roman"/>
        </w:rPr>
        <w:t>:</w:t>
      </w:r>
    </w:p>
    <w:p w14:paraId="7716B470" w14:textId="4EE529BE"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What are the most effective and appropriate interventions for the treatment of StUD in patients </w:t>
      </w:r>
      <w:r w:rsidR="002668E0" w:rsidRPr="007D4CB3">
        <w:rPr>
          <w:rFonts w:ascii="Times New Roman" w:hAnsi="Times New Roman" w:cs="Times New Roman"/>
        </w:rPr>
        <w:t>with</w:t>
      </w:r>
      <w:r w:rsidRPr="007D4CB3">
        <w:rPr>
          <w:rFonts w:ascii="Times New Roman" w:hAnsi="Times New Roman" w:cs="Times New Roman"/>
        </w:rPr>
        <w:t xml:space="preserve"> criminal/legal system</w:t>
      </w:r>
      <w:r w:rsidR="002668E0" w:rsidRPr="007D4CB3">
        <w:rPr>
          <w:rFonts w:ascii="Times New Roman" w:hAnsi="Times New Roman" w:cs="Times New Roman"/>
        </w:rPr>
        <w:t xml:space="preserve"> involvement</w:t>
      </w:r>
      <w:r w:rsidRPr="007D4CB3">
        <w:rPr>
          <w:rFonts w:ascii="Times New Roman" w:hAnsi="Times New Roman" w:cs="Times New Roman"/>
        </w:rPr>
        <w:t>?</w:t>
      </w:r>
    </w:p>
    <w:p w14:paraId="3D1533B5" w14:textId="572F612F"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What additional consideration</w:t>
      </w:r>
      <w:r w:rsidR="0088270C" w:rsidRPr="007D4CB3">
        <w:rPr>
          <w:rFonts w:ascii="Times New Roman" w:hAnsi="Times New Roman" w:cs="Times New Roman"/>
        </w:rPr>
        <w:t>s</w:t>
      </w:r>
      <w:r w:rsidRPr="007D4CB3">
        <w:rPr>
          <w:rFonts w:ascii="Times New Roman" w:hAnsi="Times New Roman" w:cs="Times New Roman"/>
        </w:rPr>
        <w:t xml:space="preserve"> should clinicians have when evaluating and treating </w:t>
      </w:r>
      <w:r w:rsidR="0088270C" w:rsidRPr="007D4CB3">
        <w:rPr>
          <w:rFonts w:ascii="Times New Roman" w:hAnsi="Times New Roman" w:cs="Times New Roman"/>
        </w:rPr>
        <w:t>StUD</w:t>
      </w:r>
      <w:r w:rsidRPr="007D4CB3">
        <w:rPr>
          <w:rFonts w:ascii="Times New Roman" w:hAnsi="Times New Roman" w:cs="Times New Roman"/>
        </w:rPr>
        <w:t xml:space="preserve"> in patients </w:t>
      </w:r>
      <w:r w:rsidR="002668E0" w:rsidRPr="007D4CB3">
        <w:rPr>
          <w:rFonts w:ascii="Times New Roman" w:hAnsi="Times New Roman" w:cs="Times New Roman"/>
        </w:rPr>
        <w:t>with</w:t>
      </w:r>
      <w:r w:rsidRPr="007D4CB3">
        <w:rPr>
          <w:rFonts w:ascii="Times New Roman" w:hAnsi="Times New Roman" w:cs="Times New Roman"/>
        </w:rPr>
        <w:t xml:space="preserve"> criminal/legal system</w:t>
      </w:r>
      <w:r w:rsidR="002668E0" w:rsidRPr="007D4CB3">
        <w:rPr>
          <w:rFonts w:ascii="Times New Roman" w:hAnsi="Times New Roman" w:cs="Times New Roman"/>
        </w:rPr>
        <w:t xml:space="preserve"> involvement</w:t>
      </w:r>
      <w:r w:rsidRPr="007D4CB3">
        <w:rPr>
          <w:rFonts w:ascii="Times New Roman" w:hAnsi="Times New Roman" w:cs="Times New Roman"/>
        </w:rPr>
        <w:t>?</w:t>
      </w:r>
    </w:p>
    <w:p w14:paraId="716D8CE1" w14:textId="38F07084"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Homelessness/</w:t>
      </w:r>
      <w:r w:rsidR="0088270C" w:rsidRPr="007D4CB3">
        <w:rPr>
          <w:rFonts w:ascii="Times New Roman" w:hAnsi="Times New Roman" w:cs="Times New Roman"/>
        </w:rPr>
        <w:t>u</w:t>
      </w:r>
      <w:r w:rsidRPr="007D4CB3">
        <w:rPr>
          <w:rFonts w:ascii="Times New Roman" w:hAnsi="Times New Roman" w:cs="Times New Roman"/>
        </w:rPr>
        <w:t xml:space="preserve">nstable </w:t>
      </w:r>
      <w:r w:rsidR="0088270C" w:rsidRPr="007D4CB3">
        <w:rPr>
          <w:rFonts w:ascii="Times New Roman" w:hAnsi="Times New Roman" w:cs="Times New Roman"/>
        </w:rPr>
        <w:t>h</w:t>
      </w:r>
      <w:r w:rsidRPr="007D4CB3">
        <w:rPr>
          <w:rFonts w:ascii="Times New Roman" w:hAnsi="Times New Roman" w:cs="Times New Roman"/>
        </w:rPr>
        <w:t>ousing</w:t>
      </w:r>
      <w:r w:rsidR="0088270C" w:rsidRPr="007D4CB3">
        <w:rPr>
          <w:rFonts w:ascii="Times New Roman" w:hAnsi="Times New Roman" w:cs="Times New Roman"/>
        </w:rPr>
        <w:t>:</w:t>
      </w:r>
    </w:p>
    <w:p w14:paraId="12C283AF" w14:textId="5ED4E932"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What are the most effective and appropriate interventions for the treatment of StUD in patients with unstable housing or </w:t>
      </w:r>
      <w:r w:rsidR="0088270C" w:rsidRPr="007D4CB3">
        <w:rPr>
          <w:rFonts w:ascii="Times New Roman" w:hAnsi="Times New Roman" w:cs="Times New Roman"/>
        </w:rPr>
        <w:t xml:space="preserve">who are </w:t>
      </w:r>
      <w:r w:rsidRPr="007D4CB3">
        <w:rPr>
          <w:rFonts w:ascii="Times New Roman" w:hAnsi="Times New Roman" w:cs="Times New Roman"/>
        </w:rPr>
        <w:t>experiencing homelessness?</w:t>
      </w:r>
    </w:p>
    <w:p w14:paraId="4B429270" w14:textId="1E61DA7C"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Should patients with unstable housing or </w:t>
      </w:r>
      <w:r w:rsidR="0088270C" w:rsidRPr="007D4CB3">
        <w:rPr>
          <w:rFonts w:ascii="Times New Roman" w:hAnsi="Times New Roman" w:cs="Times New Roman"/>
        </w:rPr>
        <w:t xml:space="preserve">who are </w:t>
      </w:r>
      <w:r w:rsidRPr="007D4CB3">
        <w:rPr>
          <w:rFonts w:ascii="Times New Roman" w:hAnsi="Times New Roman" w:cs="Times New Roman"/>
        </w:rPr>
        <w:t xml:space="preserve">experiencing homelessness </w:t>
      </w:r>
      <w:proofErr w:type="gramStart"/>
      <w:r w:rsidRPr="007D4CB3">
        <w:rPr>
          <w:rFonts w:ascii="Times New Roman" w:hAnsi="Times New Roman" w:cs="Times New Roman"/>
        </w:rPr>
        <w:t>be referred</w:t>
      </w:r>
      <w:proofErr w:type="gramEnd"/>
      <w:r w:rsidRPr="007D4CB3">
        <w:rPr>
          <w:rFonts w:ascii="Times New Roman" w:hAnsi="Times New Roman" w:cs="Times New Roman"/>
        </w:rPr>
        <w:t xml:space="preserve"> specialized StUD programs or is general StUD treatment effective and appropriate?</w:t>
      </w:r>
    </w:p>
    <w:p w14:paraId="53F89F90" w14:textId="6B2A0D61"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lastRenderedPageBreak/>
        <w:t>What additional consideration</w:t>
      </w:r>
      <w:r w:rsidR="0088270C" w:rsidRPr="007D4CB3">
        <w:rPr>
          <w:rFonts w:ascii="Times New Roman" w:hAnsi="Times New Roman" w:cs="Times New Roman"/>
        </w:rPr>
        <w:t>s</w:t>
      </w:r>
      <w:r w:rsidRPr="007D4CB3">
        <w:rPr>
          <w:rFonts w:ascii="Times New Roman" w:hAnsi="Times New Roman" w:cs="Times New Roman"/>
        </w:rPr>
        <w:t xml:space="preserve"> should clinicians have when evaluating and treating </w:t>
      </w:r>
      <w:r w:rsidR="00F57780" w:rsidRPr="007D4CB3">
        <w:rPr>
          <w:rFonts w:ascii="Times New Roman" w:hAnsi="Times New Roman" w:cs="Times New Roman"/>
        </w:rPr>
        <w:t>StUD</w:t>
      </w:r>
      <w:r w:rsidRPr="007D4CB3">
        <w:rPr>
          <w:rFonts w:ascii="Times New Roman" w:hAnsi="Times New Roman" w:cs="Times New Roman"/>
        </w:rPr>
        <w:t xml:space="preserve"> in persons with unstable housing or </w:t>
      </w:r>
      <w:r w:rsidR="005C5901" w:rsidRPr="007D4CB3">
        <w:rPr>
          <w:rFonts w:ascii="Times New Roman" w:hAnsi="Times New Roman" w:cs="Times New Roman"/>
        </w:rPr>
        <w:t xml:space="preserve">who are </w:t>
      </w:r>
      <w:r w:rsidRPr="007D4CB3">
        <w:rPr>
          <w:rFonts w:ascii="Times New Roman" w:hAnsi="Times New Roman" w:cs="Times New Roman"/>
        </w:rPr>
        <w:t>experiencing homelessness?</w:t>
      </w:r>
    </w:p>
    <w:p w14:paraId="040E3F18" w14:textId="77777777" w:rsidR="005D3271" w:rsidRPr="007D4CB3" w:rsidRDefault="005D3271" w:rsidP="00FC7CE6">
      <w:pPr>
        <w:pStyle w:val="Heading2"/>
        <w:spacing w:before="0" w:after="0" w:line="360" w:lineRule="auto"/>
        <w:rPr>
          <w:rFonts w:ascii="Times New Roman" w:hAnsi="Times New Roman" w:cs="Times New Roman"/>
          <w:sz w:val="24"/>
        </w:rPr>
      </w:pPr>
      <w:bookmarkStart w:id="13" w:name="_Toc144381384"/>
      <w:r w:rsidRPr="007D4CB3">
        <w:rPr>
          <w:rFonts w:ascii="Times New Roman" w:hAnsi="Times New Roman" w:cs="Times New Roman"/>
          <w:sz w:val="24"/>
        </w:rPr>
        <w:t>Stimulant Intoxication and Withdrawal</w:t>
      </w:r>
      <w:bookmarkEnd w:id="13"/>
    </w:p>
    <w:p w14:paraId="31971EC9" w14:textId="763389B3" w:rsidR="005D3271" w:rsidRPr="007D4CB3" w:rsidRDefault="005D3271" w:rsidP="00FC7CE6">
      <w:pPr>
        <w:pStyle w:val="Heading3-backmatter"/>
        <w:spacing w:before="0" w:after="0" w:line="360" w:lineRule="auto"/>
        <w:rPr>
          <w:rFonts w:ascii="Times New Roman" w:hAnsi="Times New Roman" w:cs="Times New Roman"/>
          <w:sz w:val="24"/>
        </w:rPr>
      </w:pPr>
      <w:r w:rsidRPr="007D4CB3">
        <w:rPr>
          <w:rFonts w:ascii="Times New Roman" w:hAnsi="Times New Roman" w:cs="Times New Roman"/>
          <w:sz w:val="24"/>
        </w:rPr>
        <w:t>Assessment and Diagnosis</w:t>
      </w:r>
    </w:p>
    <w:p w14:paraId="0D84DF29" w14:textId="102AA5E4" w:rsidR="005D3271" w:rsidRPr="007D4CB3" w:rsidRDefault="005D3271" w:rsidP="00FC7CE6">
      <w:pPr>
        <w:pStyle w:val="StUDRecs"/>
        <w:numPr>
          <w:ilvl w:val="0"/>
          <w:numId w:val="71"/>
        </w:numPr>
        <w:spacing w:before="0" w:after="0" w:line="360" w:lineRule="auto"/>
        <w:rPr>
          <w:rFonts w:ascii="Times New Roman" w:hAnsi="Times New Roman" w:cs="Times New Roman"/>
        </w:rPr>
      </w:pPr>
      <w:r w:rsidRPr="007D4CB3">
        <w:rPr>
          <w:rFonts w:ascii="Times New Roman" w:hAnsi="Times New Roman" w:cs="Times New Roman"/>
        </w:rPr>
        <w:t xml:space="preserve">Initial </w:t>
      </w:r>
      <w:r w:rsidR="005C5901" w:rsidRPr="007D4CB3">
        <w:rPr>
          <w:rFonts w:ascii="Times New Roman" w:hAnsi="Times New Roman" w:cs="Times New Roman"/>
        </w:rPr>
        <w:t>a</w:t>
      </w:r>
      <w:r w:rsidRPr="007D4CB3">
        <w:rPr>
          <w:rFonts w:ascii="Times New Roman" w:hAnsi="Times New Roman" w:cs="Times New Roman"/>
        </w:rPr>
        <w:t xml:space="preserve">ssessment – </w:t>
      </w:r>
      <w:r w:rsidR="005C5901" w:rsidRPr="007D4CB3">
        <w:rPr>
          <w:rFonts w:ascii="Times New Roman" w:hAnsi="Times New Roman" w:cs="Times New Roman"/>
        </w:rPr>
        <w:t>i</w:t>
      </w:r>
      <w:r w:rsidRPr="007D4CB3">
        <w:rPr>
          <w:rFonts w:ascii="Times New Roman" w:hAnsi="Times New Roman" w:cs="Times New Roman"/>
        </w:rPr>
        <w:t xml:space="preserve">ntoxication and </w:t>
      </w:r>
      <w:r w:rsidR="005C5901" w:rsidRPr="007D4CB3">
        <w:rPr>
          <w:rFonts w:ascii="Times New Roman" w:hAnsi="Times New Roman" w:cs="Times New Roman"/>
        </w:rPr>
        <w:t>w</w:t>
      </w:r>
      <w:r w:rsidRPr="007D4CB3">
        <w:rPr>
          <w:rFonts w:ascii="Times New Roman" w:hAnsi="Times New Roman" w:cs="Times New Roman"/>
        </w:rPr>
        <w:t>ithdrawal</w:t>
      </w:r>
      <w:r w:rsidR="005C5901" w:rsidRPr="007D4CB3">
        <w:rPr>
          <w:rFonts w:ascii="Times New Roman" w:hAnsi="Times New Roman" w:cs="Times New Roman"/>
        </w:rPr>
        <w:t>:</w:t>
      </w:r>
    </w:p>
    <w:p w14:paraId="3D71EF14" w14:textId="629C4071"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For patients with </w:t>
      </w:r>
      <w:r w:rsidRPr="007D4CB3">
        <w:rPr>
          <w:rStyle w:val="normaltextrun"/>
          <w:rFonts w:ascii="Times New Roman" w:hAnsi="Times New Roman" w:cs="Times New Roman"/>
        </w:rPr>
        <w:t>suspected stimulant intoxication or withdrawal</w:t>
      </w:r>
      <w:r w:rsidRPr="007D4CB3">
        <w:rPr>
          <w:rFonts w:ascii="Times New Roman" w:hAnsi="Times New Roman" w:cs="Times New Roman"/>
        </w:rPr>
        <w:t xml:space="preserve">, should an initial </w:t>
      </w:r>
      <w:r w:rsidRPr="007D4CB3">
        <w:rPr>
          <w:rStyle w:val="normaltextrun"/>
          <w:rFonts w:ascii="Times New Roman" w:hAnsi="Times New Roman" w:cs="Times New Roman"/>
        </w:rPr>
        <w:t xml:space="preserve">assessment for </w:t>
      </w:r>
      <w:r w:rsidRPr="007D4CB3">
        <w:rPr>
          <w:rFonts w:ascii="Times New Roman" w:hAnsi="Times New Roman" w:cs="Times New Roman"/>
        </w:rPr>
        <w:t>acute issues and complications</w:t>
      </w:r>
      <w:r w:rsidRPr="007D4CB3">
        <w:rPr>
          <w:rStyle w:val="normaltextrun"/>
          <w:rFonts w:ascii="Times New Roman" w:hAnsi="Times New Roman" w:cs="Times New Roman"/>
        </w:rPr>
        <w:t xml:space="preserve"> related to stimulant intoxication and withdrawal </w:t>
      </w:r>
      <w:r w:rsidRPr="007D4CB3">
        <w:rPr>
          <w:rFonts w:ascii="Times New Roman" w:hAnsi="Times New Roman" w:cs="Times New Roman"/>
        </w:rPr>
        <w:t>be part of routine assessment or only as needed?</w:t>
      </w:r>
    </w:p>
    <w:p w14:paraId="56ED9B2B" w14:textId="053EC6EE"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eastAsia="Calibri" w:hAnsi="Times New Roman" w:cs="Times New Roman"/>
          <w:color w:val="000000" w:themeColor="text1"/>
        </w:rPr>
        <w:t>What is the appropriate medical workup when evaluating a patient with suspected stimulant intoxication or withdrawal?</w:t>
      </w:r>
    </w:p>
    <w:p w14:paraId="7466B6B5" w14:textId="7D0212FD"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 xml:space="preserve">Comprehensive </w:t>
      </w:r>
      <w:r w:rsidR="00312AB3" w:rsidRPr="007D4CB3">
        <w:rPr>
          <w:rFonts w:ascii="Times New Roman" w:hAnsi="Times New Roman" w:cs="Times New Roman"/>
        </w:rPr>
        <w:t>a</w:t>
      </w:r>
      <w:r w:rsidRPr="007D4CB3">
        <w:rPr>
          <w:rFonts w:ascii="Times New Roman" w:hAnsi="Times New Roman" w:cs="Times New Roman"/>
        </w:rPr>
        <w:t xml:space="preserve">ssessment – </w:t>
      </w:r>
      <w:r w:rsidR="00312AB3" w:rsidRPr="007D4CB3">
        <w:rPr>
          <w:rFonts w:ascii="Times New Roman" w:hAnsi="Times New Roman" w:cs="Times New Roman"/>
        </w:rPr>
        <w:t>i</w:t>
      </w:r>
      <w:r w:rsidRPr="007D4CB3">
        <w:rPr>
          <w:rFonts w:ascii="Times New Roman" w:hAnsi="Times New Roman" w:cs="Times New Roman"/>
        </w:rPr>
        <w:t xml:space="preserve">ntoxication and </w:t>
      </w:r>
      <w:r w:rsidR="00312AB3" w:rsidRPr="007D4CB3">
        <w:rPr>
          <w:rFonts w:ascii="Times New Roman" w:hAnsi="Times New Roman" w:cs="Times New Roman"/>
        </w:rPr>
        <w:t>w</w:t>
      </w:r>
      <w:r w:rsidRPr="007D4CB3">
        <w:rPr>
          <w:rFonts w:ascii="Times New Roman" w:hAnsi="Times New Roman" w:cs="Times New Roman"/>
        </w:rPr>
        <w:t>ithdrawal</w:t>
      </w:r>
      <w:r w:rsidR="00312AB3" w:rsidRPr="007D4CB3">
        <w:rPr>
          <w:rFonts w:ascii="Times New Roman" w:hAnsi="Times New Roman" w:cs="Times New Roman"/>
        </w:rPr>
        <w:t>:</w:t>
      </w:r>
    </w:p>
    <w:p w14:paraId="237C21C9" w14:textId="76E52579"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For patients with a diagnosis of stimulant intoxication or withdrawal, should comprehensive assessment for acute issues and complications related to stimulant intoxication and withdrawal be part of routine assessment or only as needed?</w:t>
      </w:r>
    </w:p>
    <w:p w14:paraId="6C28E260" w14:textId="32FA5C7A"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What is the appropriate medical workup when evaluating a patient with stimulant intoxication or withdrawal?</w:t>
      </w:r>
    </w:p>
    <w:p w14:paraId="77816C37" w14:textId="0EE40C73"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Should lab</w:t>
      </w:r>
      <w:r w:rsidR="00F32690" w:rsidRPr="007D4CB3">
        <w:rPr>
          <w:rFonts w:ascii="Times New Roman" w:hAnsi="Times New Roman" w:cs="Times New Roman"/>
        </w:rPr>
        <w:t>oratory testing</w:t>
      </w:r>
      <w:r w:rsidRPr="007D4CB3">
        <w:rPr>
          <w:rFonts w:ascii="Times New Roman" w:hAnsi="Times New Roman" w:cs="Times New Roman"/>
        </w:rPr>
        <w:t xml:space="preserve"> </w:t>
      </w:r>
      <w:proofErr w:type="gramStart"/>
      <w:r w:rsidRPr="007D4CB3">
        <w:rPr>
          <w:rFonts w:ascii="Times New Roman" w:hAnsi="Times New Roman" w:cs="Times New Roman"/>
        </w:rPr>
        <w:t>be ordered</w:t>
      </w:r>
      <w:proofErr w:type="gramEnd"/>
      <w:r w:rsidRPr="007D4CB3">
        <w:rPr>
          <w:rFonts w:ascii="Times New Roman" w:hAnsi="Times New Roman" w:cs="Times New Roman"/>
        </w:rPr>
        <w:t xml:space="preserve"> (or a referral for testing be provided) routinely or as needed according to clinical judgment </w:t>
      </w:r>
      <w:r w:rsidR="002F6CB3" w:rsidRPr="007D4CB3">
        <w:rPr>
          <w:rFonts w:ascii="Times New Roman" w:hAnsi="Times New Roman" w:cs="Times New Roman"/>
        </w:rPr>
        <w:t>and</w:t>
      </w:r>
      <w:r w:rsidRPr="007D4CB3">
        <w:rPr>
          <w:rFonts w:ascii="Times New Roman" w:hAnsi="Times New Roman" w:cs="Times New Roman"/>
        </w:rPr>
        <w:t xml:space="preserve"> based on symptomatology and presence of risk factors?</w:t>
      </w:r>
    </w:p>
    <w:p w14:paraId="3B217730" w14:textId="3AB5B562"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 xml:space="preserve">Baseline </w:t>
      </w:r>
      <w:r w:rsidR="002F6CB3" w:rsidRPr="007D4CB3">
        <w:rPr>
          <w:rFonts w:ascii="Times New Roman" w:hAnsi="Times New Roman" w:cs="Times New Roman"/>
        </w:rPr>
        <w:t>l</w:t>
      </w:r>
      <w:r w:rsidRPr="007D4CB3">
        <w:rPr>
          <w:rFonts w:ascii="Times New Roman" w:hAnsi="Times New Roman" w:cs="Times New Roman"/>
        </w:rPr>
        <w:t>ab</w:t>
      </w:r>
      <w:r w:rsidR="002F6CB3" w:rsidRPr="007D4CB3">
        <w:rPr>
          <w:rFonts w:ascii="Times New Roman" w:hAnsi="Times New Roman" w:cs="Times New Roman"/>
        </w:rPr>
        <w:t>oratory testing</w:t>
      </w:r>
      <w:r w:rsidRPr="007D4CB3">
        <w:rPr>
          <w:rFonts w:ascii="Times New Roman" w:hAnsi="Times New Roman" w:cs="Times New Roman"/>
        </w:rPr>
        <w:t xml:space="preserve"> – </w:t>
      </w:r>
      <w:r w:rsidR="002F6CB3" w:rsidRPr="007D4CB3">
        <w:rPr>
          <w:rFonts w:ascii="Times New Roman" w:hAnsi="Times New Roman" w:cs="Times New Roman"/>
        </w:rPr>
        <w:t>i</w:t>
      </w:r>
      <w:r w:rsidRPr="007D4CB3">
        <w:rPr>
          <w:rFonts w:ascii="Times New Roman" w:hAnsi="Times New Roman" w:cs="Times New Roman"/>
        </w:rPr>
        <w:t xml:space="preserve">ntoxication and </w:t>
      </w:r>
      <w:r w:rsidR="002F6CB3" w:rsidRPr="007D4CB3">
        <w:rPr>
          <w:rFonts w:ascii="Times New Roman" w:hAnsi="Times New Roman" w:cs="Times New Roman"/>
        </w:rPr>
        <w:t>w</w:t>
      </w:r>
      <w:r w:rsidRPr="007D4CB3">
        <w:rPr>
          <w:rFonts w:ascii="Times New Roman" w:hAnsi="Times New Roman" w:cs="Times New Roman"/>
        </w:rPr>
        <w:t>ithdrawal</w:t>
      </w:r>
      <w:r w:rsidR="002F6CB3" w:rsidRPr="007D4CB3">
        <w:rPr>
          <w:rFonts w:ascii="Times New Roman" w:hAnsi="Times New Roman" w:cs="Times New Roman"/>
        </w:rPr>
        <w:t>:</w:t>
      </w:r>
    </w:p>
    <w:p w14:paraId="0DE633FF" w14:textId="40FB1831"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Should laboratory testing </w:t>
      </w:r>
      <w:proofErr w:type="gramStart"/>
      <w:r w:rsidRPr="007D4CB3">
        <w:rPr>
          <w:rFonts w:ascii="Times New Roman" w:hAnsi="Times New Roman" w:cs="Times New Roman"/>
        </w:rPr>
        <w:t xml:space="preserve">be </w:t>
      </w:r>
      <w:r w:rsidR="00D90674" w:rsidRPr="007D4CB3">
        <w:rPr>
          <w:rFonts w:ascii="Times New Roman" w:hAnsi="Times New Roman" w:cs="Times New Roman"/>
        </w:rPr>
        <w:t>ordered</w:t>
      </w:r>
      <w:proofErr w:type="gramEnd"/>
      <w:r w:rsidRPr="007D4CB3">
        <w:rPr>
          <w:rFonts w:ascii="Times New Roman" w:hAnsi="Times New Roman" w:cs="Times New Roman"/>
        </w:rPr>
        <w:t xml:space="preserve"> (or a referral for testing be provided) for all patients with stimulant intoxication or withdrawal or based on clinical assessment of risk factors?</w:t>
      </w:r>
    </w:p>
    <w:p w14:paraId="53658305" w14:textId="1B9405E5"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What is the effect of conducting baseline laboratory testing when assessing patients</w:t>
      </w:r>
      <w:r w:rsidR="006B1CEF" w:rsidRPr="007D4CB3">
        <w:rPr>
          <w:rFonts w:ascii="Times New Roman" w:hAnsi="Times New Roman" w:cs="Times New Roman"/>
        </w:rPr>
        <w:t>?</w:t>
      </w:r>
    </w:p>
    <w:p w14:paraId="7860384C" w14:textId="7BD7E1C5"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What contextual factors and implementation strategies may influence the effects of baseline laboratory testing?</w:t>
      </w:r>
    </w:p>
    <w:p w14:paraId="1E5CA184" w14:textId="5BCF953F"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What are the most appropriate baseline laboratory tests to conduct when assessing patients who use stimulants</w:t>
      </w:r>
      <w:r w:rsidR="006B1CEF" w:rsidRPr="007D4CB3">
        <w:rPr>
          <w:rFonts w:ascii="Times New Roman" w:hAnsi="Times New Roman" w:cs="Times New Roman"/>
        </w:rPr>
        <w:t>?</w:t>
      </w:r>
    </w:p>
    <w:p w14:paraId="62ACF9A0" w14:textId="5BF06D92"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 xml:space="preserve">Intoxication </w:t>
      </w:r>
      <w:r w:rsidR="006B1CEF" w:rsidRPr="007D4CB3">
        <w:rPr>
          <w:rFonts w:ascii="Times New Roman" w:hAnsi="Times New Roman" w:cs="Times New Roman"/>
        </w:rPr>
        <w:t>t</w:t>
      </w:r>
      <w:r w:rsidRPr="007D4CB3">
        <w:rPr>
          <w:rFonts w:ascii="Times New Roman" w:hAnsi="Times New Roman" w:cs="Times New Roman"/>
        </w:rPr>
        <w:t>oxicology</w:t>
      </w:r>
      <w:r w:rsidR="006B1CEF" w:rsidRPr="007D4CB3">
        <w:rPr>
          <w:rFonts w:ascii="Times New Roman" w:hAnsi="Times New Roman" w:cs="Times New Roman"/>
        </w:rPr>
        <w:t>:</w:t>
      </w:r>
    </w:p>
    <w:p w14:paraId="20F16391" w14:textId="59202AE0" w:rsidR="005D3271" w:rsidRPr="007D4CB3" w:rsidRDefault="005D3271" w:rsidP="00FC7CE6">
      <w:pPr>
        <w:pStyle w:val="StUDRecs"/>
        <w:numPr>
          <w:ilvl w:val="1"/>
          <w:numId w:val="1"/>
        </w:numPr>
        <w:spacing w:before="0" w:after="0" w:line="360" w:lineRule="auto"/>
        <w:rPr>
          <w:rFonts w:ascii="Times New Roman" w:eastAsia="Calibri" w:hAnsi="Times New Roman" w:cs="Times New Roman"/>
        </w:rPr>
      </w:pPr>
      <w:r w:rsidRPr="007D4CB3">
        <w:rPr>
          <w:rFonts w:ascii="Times New Roman" w:hAnsi="Times New Roman" w:cs="Times New Roman"/>
        </w:rPr>
        <w:t>For patients with suspected stimulant intoxication or withdrawal, should toxicology testing for stimulants be a routine part of diagnostics?</w:t>
      </w:r>
    </w:p>
    <w:p w14:paraId="67856F7D" w14:textId="0990AAC5" w:rsidR="005D3271" w:rsidRPr="007D4CB3" w:rsidRDefault="005D3271" w:rsidP="00FC7CE6">
      <w:pPr>
        <w:pStyle w:val="StUDRecs"/>
        <w:numPr>
          <w:ilvl w:val="2"/>
          <w:numId w:val="1"/>
        </w:numPr>
        <w:spacing w:before="0" w:after="0" w:line="360" w:lineRule="auto"/>
        <w:rPr>
          <w:rFonts w:ascii="Times New Roman" w:eastAsia="Calibri" w:hAnsi="Times New Roman" w:cs="Times New Roman"/>
        </w:rPr>
      </w:pPr>
      <w:r w:rsidRPr="007D4CB3">
        <w:rPr>
          <w:rFonts w:ascii="Times New Roman" w:hAnsi="Times New Roman" w:cs="Times New Roman"/>
        </w:rPr>
        <w:lastRenderedPageBreak/>
        <w:t xml:space="preserve">Does this depend on </w:t>
      </w:r>
      <w:r w:rsidR="006B1CEF" w:rsidRPr="007D4CB3">
        <w:rPr>
          <w:rFonts w:ascii="Times New Roman" w:hAnsi="Times New Roman" w:cs="Times New Roman"/>
        </w:rPr>
        <w:t xml:space="preserve">the </w:t>
      </w:r>
      <w:r w:rsidRPr="007D4CB3">
        <w:rPr>
          <w:rFonts w:ascii="Times New Roman" w:hAnsi="Times New Roman" w:cs="Times New Roman"/>
        </w:rPr>
        <w:t>setting</w:t>
      </w:r>
      <w:r w:rsidRPr="007D4CB3">
        <w:rPr>
          <w:rFonts w:ascii="Times New Roman" w:eastAsia="Calibri" w:hAnsi="Times New Roman" w:cs="Times New Roman"/>
        </w:rPr>
        <w:t>?</w:t>
      </w:r>
    </w:p>
    <w:p w14:paraId="051308FF" w14:textId="63268FD9"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If toxicology testing </w:t>
      </w:r>
      <w:proofErr w:type="gramStart"/>
      <w:r w:rsidRPr="007D4CB3">
        <w:rPr>
          <w:rFonts w:ascii="Times New Roman" w:hAnsi="Times New Roman" w:cs="Times New Roman"/>
        </w:rPr>
        <w:t>is done</w:t>
      </w:r>
      <w:proofErr w:type="gramEnd"/>
      <w:r w:rsidRPr="007D4CB3">
        <w:rPr>
          <w:rFonts w:ascii="Times New Roman" w:hAnsi="Times New Roman" w:cs="Times New Roman"/>
        </w:rPr>
        <w:t xml:space="preserve"> as needed, what are the indications?</w:t>
      </w:r>
    </w:p>
    <w:p w14:paraId="464CD868" w14:textId="1E2662BF"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 xml:space="preserve">Intoxication </w:t>
      </w:r>
      <w:r w:rsidR="001915E1" w:rsidRPr="007D4CB3">
        <w:rPr>
          <w:rFonts w:ascii="Times New Roman" w:hAnsi="Times New Roman" w:cs="Times New Roman"/>
        </w:rPr>
        <w:t>s</w:t>
      </w:r>
      <w:r w:rsidRPr="007D4CB3">
        <w:rPr>
          <w:rFonts w:ascii="Times New Roman" w:hAnsi="Times New Roman" w:cs="Times New Roman"/>
        </w:rPr>
        <w:t>etting</w:t>
      </w:r>
      <w:r w:rsidR="001915E1" w:rsidRPr="007D4CB3">
        <w:rPr>
          <w:rFonts w:ascii="Times New Roman" w:hAnsi="Times New Roman" w:cs="Times New Roman"/>
        </w:rPr>
        <w:t>:</w:t>
      </w:r>
    </w:p>
    <w:p w14:paraId="0D16E959" w14:textId="5AB23588"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In what setting should patients with stimulant intoxication and withdrawal </w:t>
      </w:r>
      <w:proofErr w:type="gramStart"/>
      <w:r w:rsidRPr="007D4CB3">
        <w:rPr>
          <w:rFonts w:ascii="Times New Roman" w:hAnsi="Times New Roman" w:cs="Times New Roman"/>
        </w:rPr>
        <w:t>be managed</w:t>
      </w:r>
      <w:proofErr w:type="gramEnd"/>
      <w:r w:rsidRPr="007D4CB3">
        <w:rPr>
          <w:rFonts w:ascii="Times New Roman" w:hAnsi="Times New Roman" w:cs="Times New Roman"/>
        </w:rPr>
        <w:t>?</w:t>
      </w:r>
    </w:p>
    <w:p w14:paraId="4302AD76" w14:textId="39855002"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Can suspected stimulant intoxication </w:t>
      </w:r>
      <w:proofErr w:type="gramStart"/>
      <w:r w:rsidRPr="007D4CB3">
        <w:rPr>
          <w:rFonts w:ascii="Times New Roman" w:hAnsi="Times New Roman" w:cs="Times New Roman"/>
        </w:rPr>
        <w:t>be managed</w:t>
      </w:r>
      <w:proofErr w:type="gramEnd"/>
      <w:r w:rsidRPr="007D4CB3">
        <w:rPr>
          <w:rFonts w:ascii="Times New Roman" w:hAnsi="Times New Roman" w:cs="Times New Roman"/>
        </w:rPr>
        <w:t xml:space="preserve"> safely in </w:t>
      </w:r>
      <w:r w:rsidRPr="007D4CB3">
        <w:rPr>
          <w:rFonts w:ascii="Times New Roman" w:hAnsi="Times New Roman" w:cs="Times New Roman"/>
          <w:u w:val="single"/>
        </w:rPr>
        <w:t>lower acuity clinical setting</w:t>
      </w:r>
      <w:r w:rsidR="001C4CD3" w:rsidRPr="007D4CB3">
        <w:rPr>
          <w:rFonts w:ascii="Times New Roman" w:hAnsi="Times New Roman" w:cs="Times New Roman"/>
          <w:u w:val="single"/>
        </w:rPr>
        <w:t>s</w:t>
      </w:r>
      <w:r w:rsidRPr="007D4CB3">
        <w:rPr>
          <w:rFonts w:ascii="Times New Roman" w:hAnsi="Times New Roman" w:cs="Times New Roman"/>
          <w:u w:val="single"/>
        </w:rPr>
        <w:t>?</w:t>
      </w:r>
    </w:p>
    <w:p w14:paraId="58C54F33" w14:textId="20A649B5" w:rsidR="005D3271" w:rsidRPr="007D4CB3" w:rsidRDefault="005D3271" w:rsidP="00FC7CE6">
      <w:pPr>
        <w:pStyle w:val="StUDRecs"/>
        <w:numPr>
          <w:ilvl w:val="1"/>
          <w:numId w:val="1"/>
        </w:numPr>
        <w:spacing w:before="0" w:after="0" w:line="360" w:lineRule="auto"/>
        <w:rPr>
          <w:rFonts w:ascii="Times New Roman" w:hAnsi="Times New Roman" w:cs="Times New Roman"/>
        </w:rPr>
      </w:pPr>
      <w:r w:rsidRPr="007D4CB3">
        <w:rPr>
          <w:rFonts w:ascii="Times New Roman" w:hAnsi="Times New Roman" w:cs="Times New Roman"/>
        </w:rPr>
        <w:t xml:space="preserve">Which patients with stimulant intoxication </w:t>
      </w:r>
      <w:proofErr w:type="gramStart"/>
      <w:r w:rsidRPr="007D4CB3">
        <w:rPr>
          <w:rFonts w:ascii="Times New Roman" w:hAnsi="Times New Roman" w:cs="Times New Roman"/>
        </w:rPr>
        <w:t>be managed</w:t>
      </w:r>
      <w:proofErr w:type="gramEnd"/>
      <w:r w:rsidRPr="007D4CB3">
        <w:rPr>
          <w:rFonts w:ascii="Times New Roman" w:hAnsi="Times New Roman" w:cs="Times New Roman"/>
        </w:rPr>
        <w:t xml:space="preserve"> safely in </w:t>
      </w:r>
      <w:r w:rsidRPr="007D4CB3">
        <w:rPr>
          <w:rFonts w:ascii="Times New Roman" w:hAnsi="Times New Roman" w:cs="Times New Roman"/>
          <w:u w:val="single"/>
        </w:rPr>
        <w:t>lower acuity clinical setting</w:t>
      </w:r>
      <w:r w:rsidR="0030476A" w:rsidRPr="007D4CB3">
        <w:rPr>
          <w:rFonts w:ascii="Times New Roman" w:hAnsi="Times New Roman" w:cs="Times New Roman"/>
          <w:u w:val="single"/>
        </w:rPr>
        <w:t>s</w:t>
      </w:r>
      <w:r w:rsidRPr="007D4CB3">
        <w:rPr>
          <w:rFonts w:ascii="Times New Roman" w:hAnsi="Times New Roman" w:cs="Times New Roman"/>
          <w:u w:val="single"/>
        </w:rPr>
        <w:t>?</w:t>
      </w:r>
    </w:p>
    <w:p w14:paraId="247C2E5F" w14:textId="77777777" w:rsidR="005D3271" w:rsidRPr="007D4CB3" w:rsidRDefault="005D3271" w:rsidP="00FC7CE6">
      <w:pPr>
        <w:pStyle w:val="Heading3-backmatter"/>
        <w:spacing w:before="0" w:after="0" w:line="360" w:lineRule="auto"/>
        <w:rPr>
          <w:rFonts w:ascii="Times New Roman" w:hAnsi="Times New Roman" w:cs="Times New Roman"/>
          <w:sz w:val="24"/>
        </w:rPr>
      </w:pPr>
      <w:r w:rsidRPr="007D4CB3">
        <w:rPr>
          <w:rFonts w:ascii="Times New Roman" w:hAnsi="Times New Roman" w:cs="Times New Roman"/>
          <w:sz w:val="24"/>
        </w:rPr>
        <w:t>Managing Stimulant Intoxication and Withdrawal</w:t>
      </w:r>
    </w:p>
    <w:p w14:paraId="4B0BB9FE" w14:textId="66AE6D4F" w:rsidR="005D3271" w:rsidRPr="007D4CB3" w:rsidRDefault="005D3271" w:rsidP="00FC7CE6">
      <w:pPr>
        <w:pStyle w:val="StUDRecs"/>
        <w:numPr>
          <w:ilvl w:val="0"/>
          <w:numId w:val="60"/>
        </w:numPr>
        <w:spacing w:before="0" w:after="0" w:line="360" w:lineRule="auto"/>
        <w:rPr>
          <w:rFonts w:ascii="Times New Roman" w:hAnsi="Times New Roman" w:cs="Times New Roman"/>
        </w:rPr>
      </w:pPr>
      <w:r w:rsidRPr="007D4CB3">
        <w:rPr>
          <w:rFonts w:ascii="Times New Roman" w:hAnsi="Times New Roman" w:cs="Times New Roman"/>
        </w:rPr>
        <w:t>Agitation</w:t>
      </w:r>
      <w:r w:rsidR="00A622FF" w:rsidRPr="007D4CB3">
        <w:rPr>
          <w:rFonts w:ascii="Times New Roman" w:hAnsi="Times New Roman" w:cs="Times New Roman"/>
        </w:rPr>
        <w:t>–p</w:t>
      </w:r>
      <w:r w:rsidRPr="007D4CB3">
        <w:rPr>
          <w:rFonts w:ascii="Times New Roman" w:hAnsi="Times New Roman" w:cs="Times New Roman"/>
        </w:rPr>
        <w:t xml:space="preserve">sychosis </w:t>
      </w:r>
      <w:r w:rsidR="00A622FF" w:rsidRPr="007D4CB3">
        <w:rPr>
          <w:rFonts w:ascii="Times New Roman" w:hAnsi="Times New Roman" w:cs="Times New Roman"/>
        </w:rPr>
        <w:t>d</w:t>
      </w:r>
      <w:r w:rsidRPr="007D4CB3">
        <w:rPr>
          <w:rFonts w:ascii="Times New Roman" w:hAnsi="Times New Roman" w:cs="Times New Roman"/>
        </w:rPr>
        <w:t>ifferential</w:t>
      </w:r>
      <w:r w:rsidR="00A622FF" w:rsidRPr="007D4CB3">
        <w:rPr>
          <w:rFonts w:ascii="Times New Roman" w:hAnsi="Times New Roman" w:cs="Times New Roman"/>
        </w:rPr>
        <w:t xml:space="preserve"> diagnosis:</w:t>
      </w:r>
    </w:p>
    <w:p w14:paraId="1BEB2A0E" w14:textId="1FBC0EB0" w:rsidR="005D3271" w:rsidRPr="007D4CB3" w:rsidRDefault="005D3271" w:rsidP="00FC7CE6">
      <w:pPr>
        <w:pStyle w:val="StUDRecs"/>
        <w:numPr>
          <w:ilvl w:val="0"/>
          <w:numId w:val="60"/>
        </w:numPr>
        <w:spacing w:before="0" w:after="0" w:line="360" w:lineRule="auto"/>
        <w:rPr>
          <w:rFonts w:ascii="Times New Roman" w:hAnsi="Times New Roman" w:cs="Times New Roman"/>
        </w:rPr>
      </w:pPr>
      <w:r w:rsidRPr="007D4CB3">
        <w:rPr>
          <w:rFonts w:ascii="Times New Roman" w:hAnsi="Times New Roman" w:cs="Times New Roman"/>
        </w:rPr>
        <w:t>What are indications of different or additional causes of agitation</w:t>
      </w:r>
      <w:r w:rsidR="00F82153" w:rsidRPr="007D4CB3">
        <w:rPr>
          <w:rFonts w:ascii="Times New Roman" w:hAnsi="Times New Roman" w:cs="Times New Roman"/>
        </w:rPr>
        <w:t xml:space="preserve"> and </w:t>
      </w:r>
      <w:r w:rsidRPr="007D4CB3">
        <w:rPr>
          <w:rFonts w:ascii="Times New Roman" w:hAnsi="Times New Roman" w:cs="Times New Roman"/>
        </w:rPr>
        <w:t>psychosis?</w:t>
      </w:r>
    </w:p>
    <w:p w14:paraId="27B91A54" w14:textId="4FA6977F" w:rsidR="005D3271" w:rsidRPr="007D4CB3" w:rsidRDefault="005D3271" w:rsidP="00FC7CE6">
      <w:pPr>
        <w:pStyle w:val="StUDRecs"/>
        <w:numPr>
          <w:ilvl w:val="0"/>
          <w:numId w:val="60"/>
        </w:numPr>
        <w:spacing w:before="0" w:after="0" w:line="360" w:lineRule="auto"/>
        <w:rPr>
          <w:rFonts w:ascii="Times New Roman" w:hAnsi="Times New Roman" w:cs="Times New Roman"/>
          <w:u w:val="single"/>
        </w:rPr>
      </w:pPr>
      <w:r w:rsidRPr="007D4CB3">
        <w:rPr>
          <w:rFonts w:ascii="Times New Roman" w:hAnsi="Times New Roman" w:cs="Times New Roman"/>
        </w:rPr>
        <w:t>Agitation</w:t>
      </w:r>
      <w:r w:rsidR="00624E10" w:rsidRPr="007D4CB3">
        <w:rPr>
          <w:rFonts w:ascii="Times New Roman" w:hAnsi="Times New Roman" w:cs="Times New Roman"/>
        </w:rPr>
        <w:t>–p</w:t>
      </w:r>
      <w:r w:rsidRPr="007D4CB3">
        <w:rPr>
          <w:rFonts w:ascii="Times New Roman" w:hAnsi="Times New Roman" w:cs="Times New Roman"/>
        </w:rPr>
        <w:t xml:space="preserve">sychosis </w:t>
      </w:r>
      <w:r w:rsidR="00624E10" w:rsidRPr="007D4CB3">
        <w:rPr>
          <w:rFonts w:ascii="Times New Roman" w:hAnsi="Times New Roman" w:cs="Times New Roman"/>
        </w:rPr>
        <w:t>d</w:t>
      </w:r>
      <w:r w:rsidRPr="007D4CB3">
        <w:rPr>
          <w:rFonts w:ascii="Times New Roman" w:hAnsi="Times New Roman" w:cs="Times New Roman"/>
        </w:rPr>
        <w:t>e-</w:t>
      </w:r>
      <w:r w:rsidR="00624E10" w:rsidRPr="007D4CB3">
        <w:rPr>
          <w:rFonts w:ascii="Times New Roman" w:hAnsi="Times New Roman" w:cs="Times New Roman"/>
        </w:rPr>
        <w:t>e</w:t>
      </w:r>
      <w:r w:rsidRPr="007D4CB3">
        <w:rPr>
          <w:rFonts w:ascii="Times New Roman" w:hAnsi="Times New Roman" w:cs="Times New Roman"/>
        </w:rPr>
        <w:t>scalation</w:t>
      </w:r>
      <w:r w:rsidR="00624E10" w:rsidRPr="007D4CB3">
        <w:rPr>
          <w:rFonts w:ascii="Times New Roman" w:hAnsi="Times New Roman" w:cs="Times New Roman"/>
        </w:rPr>
        <w:t>:</w:t>
      </w:r>
    </w:p>
    <w:p w14:paraId="0333C7AF" w14:textId="769603ED" w:rsidR="005D3271" w:rsidRPr="007D4CB3" w:rsidRDefault="005D3271" w:rsidP="00FC7CE6">
      <w:pPr>
        <w:pStyle w:val="StUDRecs"/>
        <w:numPr>
          <w:ilvl w:val="0"/>
          <w:numId w:val="60"/>
        </w:numPr>
        <w:spacing w:before="0" w:after="0" w:line="360" w:lineRule="auto"/>
        <w:rPr>
          <w:rFonts w:ascii="Times New Roman" w:hAnsi="Times New Roman" w:cs="Times New Roman"/>
        </w:rPr>
      </w:pPr>
      <w:r w:rsidRPr="007D4CB3">
        <w:rPr>
          <w:rFonts w:ascii="Times New Roman" w:hAnsi="Times New Roman" w:cs="Times New Roman"/>
        </w:rPr>
        <w:t>What is the effectiveness of de-escalation techniques for managing stimulant-induced aggression, agitation, or toxic psychosis?</w:t>
      </w:r>
    </w:p>
    <w:p w14:paraId="74803CC4" w14:textId="5AB3BC1E" w:rsidR="005D3271" w:rsidRPr="007D4CB3" w:rsidRDefault="005D3271" w:rsidP="00FC7CE6">
      <w:pPr>
        <w:pStyle w:val="StUDRecs"/>
        <w:numPr>
          <w:ilvl w:val="0"/>
          <w:numId w:val="60"/>
        </w:numPr>
        <w:spacing w:before="0" w:after="0" w:line="360" w:lineRule="auto"/>
        <w:rPr>
          <w:rFonts w:ascii="Times New Roman" w:hAnsi="Times New Roman" w:cs="Times New Roman"/>
        </w:rPr>
      </w:pPr>
      <w:r w:rsidRPr="007D4CB3">
        <w:rPr>
          <w:rFonts w:ascii="Times New Roman" w:hAnsi="Times New Roman" w:cs="Times New Roman"/>
        </w:rPr>
        <w:t xml:space="preserve">Agitation </w:t>
      </w:r>
      <w:r w:rsidR="002C4FC8" w:rsidRPr="007D4CB3">
        <w:rPr>
          <w:rFonts w:ascii="Times New Roman" w:hAnsi="Times New Roman" w:cs="Times New Roman"/>
        </w:rPr>
        <w:t>M</w:t>
      </w:r>
      <w:r w:rsidRPr="007D4CB3">
        <w:rPr>
          <w:rFonts w:ascii="Times New Roman" w:hAnsi="Times New Roman" w:cs="Times New Roman"/>
        </w:rPr>
        <w:t>edication</w:t>
      </w:r>
      <w:r w:rsidR="00D573AA" w:rsidRPr="007D4CB3">
        <w:rPr>
          <w:rFonts w:ascii="Times New Roman" w:hAnsi="Times New Roman" w:cs="Times New Roman"/>
        </w:rPr>
        <w:t xml:space="preserve"> (Table </w:t>
      </w:r>
      <w:r w:rsidR="002B2FBA" w:rsidRPr="007D4CB3">
        <w:rPr>
          <w:rFonts w:ascii="Times New Roman" w:hAnsi="Times New Roman" w:cs="Times New Roman"/>
        </w:rPr>
        <w:t>3</w:t>
      </w:r>
      <w:r w:rsidR="00D573AA" w:rsidRPr="007D4CB3">
        <w:rPr>
          <w:rFonts w:ascii="Times New Roman" w:hAnsi="Times New Roman" w:cs="Times New Roman"/>
        </w:rPr>
        <w:t>6):</w:t>
      </w:r>
    </w:p>
    <w:p w14:paraId="76A8343F" w14:textId="24D932F6" w:rsidR="005D3271" w:rsidRPr="007D4CB3" w:rsidRDefault="005D3271" w:rsidP="00FC7CE6">
      <w:pPr>
        <w:pStyle w:val="StUDRecs"/>
        <w:numPr>
          <w:ilvl w:val="1"/>
          <w:numId w:val="60"/>
        </w:numPr>
        <w:spacing w:before="0" w:after="0" w:line="360" w:lineRule="auto"/>
        <w:rPr>
          <w:rFonts w:ascii="Times New Roman" w:hAnsi="Times New Roman" w:cs="Times New Roman"/>
        </w:rPr>
      </w:pPr>
      <w:r w:rsidRPr="007D4CB3">
        <w:rPr>
          <w:rFonts w:ascii="Times New Roman" w:hAnsi="Times New Roman" w:cs="Times New Roman"/>
        </w:rPr>
        <w:t>What are the most effective and appropriate interventions for the treatment of agitation in patients</w:t>
      </w:r>
      <w:r w:rsidR="00112B4C" w:rsidRPr="007D4CB3">
        <w:rPr>
          <w:rFonts w:ascii="Times New Roman" w:hAnsi="Times New Roman" w:cs="Times New Roman"/>
        </w:rPr>
        <w:t xml:space="preserve"> </w:t>
      </w:r>
      <w:r w:rsidR="00145CF7" w:rsidRPr="007D4CB3">
        <w:rPr>
          <w:rFonts w:ascii="Times New Roman" w:hAnsi="Times New Roman" w:cs="Times New Roman"/>
        </w:rPr>
        <w:t>experiencing</w:t>
      </w:r>
      <w:r w:rsidR="00112B4C" w:rsidRPr="007D4CB3">
        <w:rPr>
          <w:rFonts w:ascii="Times New Roman" w:hAnsi="Times New Roman" w:cs="Times New Roman"/>
        </w:rPr>
        <w:t xml:space="preserve"> stimulant intoxication</w:t>
      </w:r>
      <w:r w:rsidRPr="007D4CB3">
        <w:rPr>
          <w:rFonts w:ascii="Times New Roman" w:hAnsi="Times New Roman" w:cs="Times New Roman"/>
        </w:rPr>
        <w:t>?</w:t>
      </w:r>
    </w:p>
    <w:p w14:paraId="2DE94E32" w14:textId="39C14A83" w:rsidR="005D3271" w:rsidRPr="007D4CB3" w:rsidRDefault="005D3271" w:rsidP="00FC7CE6">
      <w:pPr>
        <w:pStyle w:val="StUDRecs"/>
        <w:numPr>
          <w:ilvl w:val="1"/>
          <w:numId w:val="60"/>
        </w:numPr>
        <w:spacing w:before="0" w:after="0" w:line="360" w:lineRule="auto"/>
        <w:rPr>
          <w:rFonts w:ascii="Times New Roman" w:hAnsi="Times New Roman" w:cs="Times New Roman"/>
        </w:rPr>
      </w:pPr>
      <w:r w:rsidRPr="007D4CB3">
        <w:rPr>
          <w:rFonts w:ascii="Times New Roman" w:hAnsi="Times New Roman" w:cs="Times New Roman"/>
        </w:rPr>
        <w:t>What contextual factors and implementation strategies may influence the effects of the intervention for agitation?</w:t>
      </w:r>
    </w:p>
    <w:p w14:paraId="6A69B0FF" w14:textId="585B8C31" w:rsidR="005D3271" w:rsidRPr="007D4CB3" w:rsidRDefault="005D3271" w:rsidP="00FC7CE6">
      <w:pPr>
        <w:pStyle w:val="StUDRecs"/>
        <w:numPr>
          <w:ilvl w:val="0"/>
          <w:numId w:val="60"/>
        </w:numPr>
        <w:spacing w:before="0" w:after="0" w:line="360" w:lineRule="auto"/>
        <w:rPr>
          <w:rFonts w:ascii="Times New Roman" w:hAnsi="Times New Roman" w:cs="Times New Roman"/>
        </w:rPr>
      </w:pPr>
      <w:r w:rsidRPr="007D4CB3">
        <w:rPr>
          <w:rFonts w:ascii="Times New Roman" w:hAnsi="Times New Roman" w:cs="Times New Roman"/>
        </w:rPr>
        <w:t xml:space="preserve">Psychosis </w:t>
      </w:r>
      <w:r w:rsidR="002C4FC8" w:rsidRPr="007D4CB3">
        <w:rPr>
          <w:rFonts w:ascii="Times New Roman" w:hAnsi="Times New Roman" w:cs="Times New Roman"/>
        </w:rPr>
        <w:t>M</w:t>
      </w:r>
      <w:r w:rsidRPr="007D4CB3">
        <w:rPr>
          <w:rFonts w:ascii="Times New Roman" w:hAnsi="Times New Roman" w:cs="Times New Roman"/>
        </w:rPr>
        <w:t>edication</w:t>
      </w:r>
      <w:r w:rsidR="00551CE6" w:rsidRPr="007D4CB3">
        <w:rPr>
          <w:rFonts w:ascii="Times New Roman" w:hAnsi="Times New Roman" w:cs="Times New Roman"/>
        </w:rPr>
        <w:t xml:space="preserve"> (Table </w:t>
      </w:r>
      <w:r w:rsidR="002C4FC8" w:rsidRPr="007D4CB3">
        <w:rPr>
          <w:rFonts w:ascii="Times New Roman" w:hAnsi="Times New Roman" w:cs="Times New Roman"/>
        </w:rPr>
        <w:t>37</w:t>
      </w:r>
      <w:r w:rsidR="00551CE6" w:rsidRPr="007D4CB3">
        <w:rPr>
          <w:rFonts w:ascii="Times New Roman" w:hAnsi="Times New Roman" w:cs="Times New Roman"/>
        </w:rPr>
        <w:t>):</w:t>
      </w:r>
    </w:p>
    <w:p w14:paraId="73B828DC" w14:textId="06DF612F" w:rsidR="005D3271" w:rsidRPr="007D4CB3" w:rsidRDefault="005D3271" w:rsidP="00FC7CE6">
      <w:pPr>
        <w:pStyle w:val="StUDRecs"/>
        <w:numPr>
          <w:ilvl w:val="1"/>
          <w:numId w:val="60"/>
        </w:numPr>
        <w:spacing w:before="0" w:after="0" w:line="360" w:lineRule="auto"/>
        <w:rPr>
          <w:rFonts w:ascii="Times New Roman" w:hAnsi="Times New Roman" w:cs="Times New Roman"/>
        </w:rPr>
      </w:pPr>
      <w:r w:rsidRPr="007D4CB3">
        <w:rPr>
          <w:rFonts w:ascii="Times New Roman" w:hAnsi="Times New Roman" w:cs="Times New Roman"/>
        </w:rPr>
        <w:t>What are the most effective and appropriate interventions for the treatment of psychosis in patients</w:t>
      </w:r>
      <w:r w:rsidR="00551CE6" w:rsidRPr="007D4CB3">
        <w:rPr>
          <w:rFonts w:ascii="Times New Roman" w:hAnsi="Times New Roman" w:cs="Times New Roman"/>
        </w:rPr>
        <w:t xml:space="preserve"> </w:t>
      </w:r>
      <w:r w:rsidR="00145CF7" w:rsidRPr="007D4CB3">
        <w:rPr>
          <w:rFonts w:ascii="Times New Roman" w:hAnsi="Times New Roman" w:cs="Times New Roman"/>
        </w:rPr>
        <w:t>experiencing</w:t>
      </w:r>
      <w:r w:rsidR="00551CE6" w:rsidRPr="007D4CB3">
        <w:rPr>
          <w:rFonts w:ascii="Times New Roman" w:hAnsi="Times New Roman" w:cs="Times New Roman"/>
        </w:rPr>
        <w:t xml:space="preserve"> stimulant intoxication</w:t>
      </w:r>
      <w:r w:rsidRPr="007D4CB3">
        <w:rPr>
          <w:rFonts w:ascii="Times New Roman" w:hAnsi="Times New Roman" w:cs="Times New Roman"/>
        </w:rPr>
        <w:t>?</w:t>
      </w:r>
    </w:p>
    <w:p w14:paraId="7B047448" w14:textId="77777777" w:rsidR="005D3271" w:rsidRPr="007D4CB3" w:rsidRDefault="005D3271" w:rsidP="00FC7CE6">
      <w:pPr>
        <w:pStyle w:val="StUDRecs"/>
        <w:numPr>
          <w:ilvl w:val="1"/>
          <w:numId w:val="60"/>
        </w:numPr>
        <w:spacing w:before="0" w:after="0" w:line="360" w:lineRule="auto"/>
        <w:rPr>
          <w:rFonts w:ascii="Times New Roman" w:hAnsi="Times New Roman" w:cs="Times New Roman"/>
        </w:rPr>
      </w:pPr>
      <w:r w:rsidRPr="007D4CB3">
        <w:rPr>
          <w:rFonts w:ascii="Times New Roman" w:hAnsi="Times New Roman" w:cs="Times New Roman"/>
        </w:rPr>
        <w:t>Should clinicians treat stimulant-induced psychotic symptoms with antipsychotics?</w:t>
      </w:r>
    </w:p>
    <w:p w14:paraId="74EDF1CD" w14:textId="6FD26422" w:rsidR="005D3271" w:rsidRPr="007D4CB3" w:rsidRDefault="005D3271" w:rsidP="00FC7CE6">
      <w:pPr>
        <w:pStyle w:val="StUDRecs"/>
        <w:numPr>
          <w:ilvl w:val="0"/>
          <w:numId w:val="60"/>
        </w:numPr>
        <w:spacing w:before="0" w:after="0" w:line="360" w:lineRule="auto"/>
        <w:rPr>
          <w:rFonts w:ascii="Times New Roman" w:hAnsi="Times New Roman" w:cs="Times New Roman"/>
        </w:rPr>
      </w:pPr>
      <w:r w:rsidRPr="007D4CB3">
        <w:rPr>
          <w:rFonts w:ascii="Times New Roman" w:hAnsi="Times New Roman" w:cs="Times New Roman"/>
        </w:rPr>
        <w:t>Agitation</w:t>
      </w:r>
      <w:r w:rsidR="00551CE6" w:rsidRPr="007D4CB3">
        <w:rPr>
          <w:rFonts w:ascii="Times New Roman" w:hAnsi="Times New Roman" w:cs="Times New Roman"/>
        </w:rPr>
        <w:t>–p</w:t>
      </w:r>
      <w:r w:rsidRPr="007D4CB3">
        <w:rPr>
          <w:rFonts w:ascii="Times New Roman" w:hAnsi="Times New Roman" w:cs="Times New Roman"/>
        </w:rPr>
        <w:t xml:space="preserve">sychosis </w:t>
      </w:r>
      <w:r w:rsidR="00551CE6" w:rsidRPr="007D4CB3">
        <w:rPr>
          <w:rFonts w:ascii="Times New Roman" w:hAnsi="Times New Roman" w:cs="Times New Roman"/>
        </w:rPr>
        <w:t>e</w:t>
      </w:r>
      <w:r w:rsidRPr="007D4CB3">
        <w:rPr>
          <w:rFonts w:ascii="Times New Roman" w:hAnsi="Times New Roman" w:cs="Times New Roman"/>
        </w:rPr>
        <w:t>valuation</w:t>
      </w:r>
      <w:r w:rsidR="00551CE6" w:rsidRPr="007D4CB3">
        <w:rPr>
          <w:rFonts w:ascii="Times New Roman" w:hAnsi="Times New Roman" w:cs="Times New Roman"/>
        </w:rPr>
        <w:t>:</w:t>
      </w:r>
    </w:p>
    <w:p w14:paraId="67624B38" w14:textId="3E6B3F9F" w:rsidR="005D3271" w:rsidRPr="007D4CB3" w:rsidRDefault="005D3271" w:rsidP="00FC7CE6">
      <w:pPr>
        <w:pStyle w:val="StUDRecs"/>
        <w:numPr>
          <w:ilvl w:val="1"/>
          <w:numId w:val="60"/>
        </w:numPr>
        <w:spacing w:before="0" w:after="0" w:line="360" w:lineRule="auto"/>
        <w:rPr>
          <w:rFonts w:ascii="Times New Roman" w:hAnsi="Times New Roman" w:cs="Times New Roman"/>
        </w:rPr>
      </w:pPr>
      <w:r w:rsidRPr="007D4CB3">
        <w:rPr>
          <w:rFonts w:ascii="Times New Roman" w:hAnsi="Times New Roman" w:cs="Times New Roman"/>
        </w:rPr>
        <w:t xml:space="preserve">What are </w:t>
      </w:r>
      <w:r w:rsidR="00551CE6" w:rsidRPr="007D4CB3">
        <w:rPr>
          <w:rFonts w:ascii="Times New Roman" w:hAnsi="Times New Roman" w:cs="Times New Roman"/>
        </w:rPr>
        <w:t xml:space="preserve">the </w:t>
      </w:r>
      <w:r w:rsidRPr="007D4CB3">
        <w:rPr>
          <w:rFonts w:ascii="Times New Roman" w:hAnsi="Times New Roman" w:cs="Times New Roman"/>
        </w:rPr>
        <w:t>indications for an immediate need for acute care management in a hospital or E</w:t>
      </w:r>
      <w:r w:rsidR="003F161C" w:rsidRPr="007D4CB3">
        <w:rPr>
          <w:rFonts w:ascii="Times New Roman" w:hAnsi="Times New Roman" w:cs="Times New Roman"/>
        </w:rPr>
        <w:t>D</w:t>
      </w:r>
      <w:r w:rsidRPr="007D4CB3">
        <w:rPr>
          <w:rFonts w:ascii="Times New Roman" w:hAnsi="Times New Roman" w:cs="Times New Roman"/>
        </w:rPr>
        <w:t>?</w:t>
      </w:r>
    </w:p>
    <w:p w14:paraId="02B5AA96" w14:textId="6DE13806" w:rsidR="008B0A6A" w:rsidRPr="007D4CB3" w:rsidRDefault="005D3271" w:rsidP="00FC7CE6">
      <w:pPr>
        <w:pStyle w:val="StUDRecs"/>
        <w:numPr>
          <w:ilvl w:val="0"/>
          <w:numId w:val="60"/>
        </w:numPr>
        <w:spacing w:before="0" w:after="0" w:line="360" w:lineRule="auto"/>
        <w:rPr>
          <w:rFonts w:ascii="Times New Roman" w:hAnsi="Times New Roman" w:cs="Times New Roman"/>
        </w:rPr>
      </w:pPr>
      <w:r w:rsidRPr="007D4CB3">
        <w:rPr>
          <w:rFonts w:ascii="Times New Roman" w:hAnsi="Times New Roman" w:cs="Times New Roman"/>
        </w:rPr>
        <w:t>Agitation</w:t>
      </w:r>
      <w:r w:rsidR="003F161C" w:rsidRPr="007D4CB3">
        <w:rPr>
          <w:rFonts w:ascii="Times New Roman" w:hAnsi="Times New Roman" w:cs="Times New Roman"/>
        </w:rPr>
        <w:t>–p</w:t>
      </w:r>
      <w:r w:rsidRPr="007D4CB3">
        <w:rPr>
          <w:rFonts w:ascii="Times New Roman" w:hAnsi="Times New Roman" w:cs="Times New Roman"/>
        </w:rPr>
        <w:t xml:space="preserve">sychosis </w:t>
      </w:r>
      <w:r w:rsidR="003F161C" w:rsidRPr="007D4CB3">
        <w:rPr>
          <w:rFonts w:ascii="Times New Roman" w:hAnsi="Times New Roman" w:cs="Times New Roman"/>
        </w:rPr>
        <w:t>t</w:t>
      </w:r>
      <w:r w:rsidRPr="007D4CB3">
        <w:rPr>
          <w:rFonts w:ascii="Times New Roman" w:hAnsi="Times New Roman" w:cs="Times New Roman"/>
        </w:rPr>
        <w:t>ransfer</w:t>
      </w:r>
      <w:r w:rsidR="003F161C" w:rsidRPr="007D4CB3">
        <w:rPr>
          <w:rFonts w:ascii="Times New Roman" w:hAnsi="Times New Roman" w:cs="Times New Roman"/>
        </w:rPr>
        <w:t xml:space="preserve">: </w:t>
      </w:r>
    </w:p>
    <w:p w14:paraId="3D5DC64F" w14:textId="513A26EE" w:rsidR="00F25CD5" w:rsidRPr="007D4CB3" w:rsidRDefault="00663BBC" w:rsidP="00FC7CE6">
      <w:pPr>
        <w:pStyle w:val="StUDRecs"/>
        <w:numPr>
          <w:ilvl w:val="1"/>
          <w:numId w:val="60"/>
        </w:numPr>
        <w:spacing w:before="0" w:after="0" w:line="360" w:lineRule="auto"/>
        <w:rPr>
          <w:rFonts w:ascii="Times New Roman" w:hAnsi="Times New Roman" w:cs="Times New Roman"/>
        </w:rPr>
      </w:pPr>
      <w:r w:rsidRPr="007D4CB3">
        <w:rPr>
          <w:rFonts w:ascii="Times New Roman" w:hAnsi="Times New Roman" w:cs="Times New Roman"/>
        </w:rPr>
        <w:t xml:space="preserve">What factors should </w:t>
      </w:r>
      <w:proofErr w:type="gramStart"/>
      <w:r w:rsidRPr="007D4CB3">
        <w:rPr>
          <w:rFonts w:ascii="Times New Roman" w:hAnsi="Times New Roman" w:cs="Times New Roman"/>
        </w:rPr>
        <w:t>be considered</w:t>
      </w:r>
      <w:proofErr w:type="gramEnd"/>
      <w:r w:rsidRPr="007D4CB3">
        <w:rPr>
          <w:rFonts w:ascii="Times New Roman" w:hAnsi="Times New Roman" w:cs="Times New Roman"/>
        </w:rPr>
        <w:t xml:space="preserve"> when determining whether to transfer a patient presenting with agitation or psychosis to a more intensive level of care?</w:t>
      </w:r>
    </w:p>
    <w:p w14:paraId="4CDE767C" w14:textId="35C5FB83" w:rsidR="005D3271" w:rsidRPr="007D4CB3" w:rsidRDefault="005D3271" w:rsidP="00FC7CE6">
      <w:pPr>
        <w:pStyle w:val="StUDRecs"/>
        <w:numPr>
          <w:ilvl w:val="0"/>
          <w:numId w:val="60"/>
        </w:numPr>
        <w:spacing w:before="0" w:after="0" w:line="360" w:lineRule="auto"/>
        <w:rPr>
          <w:rFonts w:ascii="Times New Roman" w:hAnsi="Times New Roman" w:cs="Times New Roman"/>
        </w:rPr>
      </w:pPr>
      <w:r w:rsidRPr="007D4CB3">
        <w:rPr>
          <w:rFonts w:ascii="Times New Roman" w:hAnsi="Times New Roman" w:cs="Times New Roman"/>
        </w:rPr>
        <w:t>Psych</w:t>
      </w:r>
      <w:r w:rsidR="003F161C" w:rsidRPr="007D4CB3">
        <w:rPr>
          <w:rFonts w:ascii="Times New Roman" w:hAnsi="Times New Roman" w:cs="Times New Roman"/>
        </w:rPr>
        <w:t>iatric</w:t>
      </w:r>
      <w:r w:rsidRPr="007D4CB3">
        <w:rPr>
          <w:rFonts w:ascii="Times New Roman" w:hAnsi="Times New Roman" w:cs="Times New Roman"/>
        </w:rPr>
        <w:t xml:space="preserve"> </w:t>
      </w:r>
      <w:r w:rsidR="003F161C" w:rsidRPr="007D4CB3">
        <w:rPr>
          <w:rFonts w:ascii="Times New Roman" w:hAnsi="Times New Roman" w:cs="Times New Roman"/>
        </w:rPr>
        <w:t>m</w:t>
      </w:r>
      <w:r w:rsidRPr="007D4CB3">
        <w:rPr>
          <w:rFonts w:ascii="Times New Roman" w:hAnsi="Times New Roman" w:cs="Times New Roman"/>
        </w:rPr>
        <w:t>onitoring</w:t>
      </w:r>
      <w:r w:rsidR="003F161C" w:rsidRPr="007D4CB3">
        <w:rPr>
          <w:rFonts w:ascii="Times New Roman" w:hAnsi="Times New Roman" w:cs="Times New Roman"/>
        </w:rPr>
        <w:t>:</w:t>
      </w:r>
    </w:p>
    <w:p w14:paraId="0D7458E1" w14:textId="50043C51" w:rsidR="005D3271" w:rsidRPr="007D4CB3" w:rsidRDefault="005D3271" w:rsidP="00FC7CE6">
      <w:pPr>
        <w:pStyle w:val="StUDRecs"/>
        <w:numPr>
          <w:ilvl w:val="1"/>
          <w:numId w:val="60"/>
        </w:numPr>
        <w:spacing w:before="0" w:after="0" w:line="360" w:lineRule="auto"/>
        <w:rPr>
          <w:rFonts w:ascii="Times New Roman" w:hAnsi="Times New Roman" w:cs="Times New Roman"/>
        </w:rPr>
      </w:pPr>
      <w:r w:rsidRPr="007D4CB3">
        <w:rPr>
          <w:rFonts w:ascii="Times New Roman" w:hAnsi="Times New Roman" w:cs="Times New Roman"/>
        </w:rPr>
        <w:lastRenderedPageBreak/>
        <w:t xml:space="preserve">What are the most effective and appropriate strategies </w:t>
      </w:r>
      <w:r w:rsidR="00145CF7" w:rsidRPr="007D4CB3">
        <w:rPr>
          <w:rFonts w:ascii="Times New Roman" w:hAnsi="Times New Roman" w:cs="Times New Roman"/>
        </w:rPr>
        <w:t xml:space="preserve">to monitor psychiatric symptoms </w:t>
      </w:r>
      <w:r w:rsidRPr="007D4CB3">
        <w:rPr>
          <w:rFonts w:ascii="Times New Roman" w:hAnsi="Times New Roman" w:cs="Times New Roman"/>
        </w:rPr>
        <w:t>when treating patients experiencing stimulant intoxication or withdrawal?</w:t>
      </w:r>
    </w:p>
    <w:p w14:paraId="43825D72" w14:textId="77777777" w:rsidR="005D3271" w:rsidRPr="007D4CB3" w:rsidRDefault="005D3271" w:rsidP="00FC7CE6">
      <w:pPr>
        <w:pStyle w:val="StUDRecs"/>
        <w:numPr>
          <w:ilvl w:val="1"/>
          <w:numId w:val="60"/>
        </w:numPr>
        <w:spacing w:before="0" w:after="0" w:line="360" w:lineRule="auto"/>
        <w:rPr>
          <w:rFonts w:ascii="Times New Roman" w:hAnsi="Times New Roman" w:cs="Times New Roman"/>
        </w:rPr>
      </w:pPr>
      <w:r w:rsidRPr="007D4CB3">
        <w:rPr>
          <w:rFonts w:ascii="Times New Roman" w:hAnsi="Times New Roman" w:cs="Times New Roman"/>
        </w:rPr>
        <w:t xml:space="preserve">For patients diagnosed with stimulant </w:t>
      </w:r>
      <w:r w:rsidRPr="007D4CB3">
        <w:rPr>
          <w:rFonts w:ascii="Times New Roman" w:hAnsi="Times New Roman" w:cs="Times New Roman"/>
          <w:u w:val="single"/>
        </w:rPr>
        <w:t>intoxication or withdrawal,</w:t>
      </w:r>
      <w:r w:rsidRPr="007D4CB3">
        <w:rPr>
          <w:rFonts w:ascii="Times New Roman" w:hAnsi="Times New Roman" w:cs="Times New Roman"/>
        </w:rPr>
        <w:t xml:space="preserve"> should clinicians routinely assess for</w:t>
      </w:r>
      <w:r w:rsidRPr="007D4CB3">
        <w:rPr>
          <w:rFonts w:ascii="Times New Roman" w:hAnsi="Times New Roman" w:cs="Times New Roman"/>
          <w:b/>
        </w:rPr>
        <w:t xml:space="preserve"> </w:t>
      </w:r>
      <w:r w:rsidRPr="007D4CB3">
        <w:rPr>
          <w:rFonts w:ascii="Times New Roman" w:hAnsi="Times New Roman" w:cs="Times New Roman"/>
        </w:rPr>
        <w:t>trauma-related problems or only as needed?</w:t>
      </w:r>
    </w:p>
    <w:p w14:paraId="7B47B09B" w14:textId="4D8ABF73" w:rsidR="005D3271" w:rsidRPr="007D4CB3" w:rsidRDefault="00145CF7" w:rsidP="00FC7CE6">
      <w:pPr>
        <w:pStyle w:val="StUDRecs"/>
        <w:numPr>
          <w:ilvl w:val="1"/>
          <w:numId w:val="60"/>
        </w:numPr>
        <w:spacing w:before="0" w:after="0" w:line="360" w:lineRule="auto"/>
        <w:rPr>
          <w:rFonts w:ascii="Times New Roman" w:hAnsi="Times New Roman" w:cs="Times New Roman"/>
        </w:rPr>
      </w:pPr>
      <w:r w:rsidRPr="007D4CB3">
        <w:rPr>
          <w:rFonts w:ascii="Times New Roman" w:hAnsi="Times New Roman" w:cs="Times New Roman"/>
        </w:rPr>
        <w:t>What should the f</w:t>
      </w:r>
      <w:r w:rsidR="005D3271" w:rsidRPr="007D4CB3">
        <w:rPr>
          <w:rFonts w:ascii="Times New Roman" w:hAnsi="Times New Roman" w:cs="Times New Roman"/>
        </w:rPr>
        <w:t xml:space="preserve">requency of reassessment </w:t>
      </w:r>
      <w:r w:rsidRPr="007D4CB3">
        <w:rPr>
          <w:rFonts w:ascii="Times New Roman" w:hAnsi="Times New Roman" w:cs="Times New Roman"/>
        </w:rPr>
        <w:t xml:space="preserve">be </w:t>
      </w:r>
      <w:r w:rsidR="005D3271" w:rsidRPr="007D4CB3">
        <w:rPr>
          <w:rFonts w:ascii="Times New Roman" w:hAnsi="Times New Roman" w:cs="Times New Roman"/>
        </w:rPr>
        <w:t>during monitoring?</w:t>
      </w:r>
    </w:p>
    <w:p w14:paraId="084F347B" w14:textId="33FE224D" w:rsidR="005D3271" w:rsidRPr="007D4CB3" w:rsidRDefault="005D3271" w:rsidP="00FC7CE6">
      <w:pPr>
        <w:pStyle w:val="StUDRecs"/>
        <w:numPr>
          <w:ilvl w:val="0"/>
          <w:numId w:val="60"/>
        </w:numPr>
        <w:spacing w:before="0" w:after="0" w:line="360" w:lineRule="auto"/>
        <w:rPr>
          <w:rFonts w:ascii="Times New Roman" w:hAnsi="Times New Roman" w:cs="Times New Roman"/>
          <w:u w:val="single"/>
        </w:rPr>
      </w:pPr>
      <w:r w:rsidRPr="007D4CB3">
        <w:rPr>
          <w:rFonts w:ascii="Times New Roman" w:hAnsi="Times New Roman" w:cs="Times New Roman"/>
        </w:rPr>
        <w:t xml:space="preserve">Hyperadrenergic </w:t>
      </w:r>
      <w:r w:rsidR="00145CF7" w:rsidRPr="007D4CB3">
        <w:rPr>
          <w:rFonts w:ascii="Times New Roman" w:hAnsi="Times New Roman" w:cs="Times New Roman"/>
        </w:rPr>
        <w:t>m</w:t>
      </w:r>
      <w:r w:rsidRPr="007D4CB3">
        <w:rPr>
          <w:rFonts w:ascii="Times New Roman" w:hAnsi="Times New Roman" w:cs="Times New Roman"/>
        </w:rPr>
        <w:t>onitoring</w:t>
      </w:r>
      <w:r w:rsidR="00145CF7" w:rsidRPr="007D4CB3">
        <w:rPr>
          <w:rFonts w:ascii="Times New Roman" w:hAnsi="Times New Roman" w:cs="Times New Roman"/>
        </w:rPr>
        <w:t xml:space="preserve">: </w:t>
      </w:r>
      <w:r w:rsidRPr="007D4CB3">
        <w:rPr>
          <w:rFonts w:ascii="Times New Roman" w:hAnsi="Times New Roman" w:cs="Times New Roman"/>
        </w:rPr>
        <w:t>No clinical question</w:t>
      </w:r>
      <w:r w:rsidR="00145CF7" w:rsidRPr="007D4CB3">
        <w:rPr>
          <w:rFonts w:ascii="Times New Roman" w:hAnsi="Times New Roman" w:cs="Times New Roman"/>
        </w:rPr>
        <w:t>s</w:t>
      </w:r>
      <w:r w:rsidRPr="007D4CB3">
        <w:rPr>
          <w:rFonts w:ascii="Times New Roman" w:hAnsi="Times New Roman" w:cs="Times New Roman"/>
        </w:rPr>
        <w:t xml:space="preserve"> in </w:t>
      </w:r>
      <w:r w:rsidR="00145CF7" w:rsidRPr="007D4CB3">
        <w:rPr>
          <w:rFonts w:ascii="Times New Roman" w:hAnsi="Times New Roman" w:cs="Times New Roman"/>
        </w:rPr>
        <w:t xml:space="preserve">the </w:t>
      </w:r>
      <w:r w:rsidRPr="007D4CB3">
        <w:rPr>
          <w:rFonts w:ascii="Times New Roman" w:hAnsi="Times New Roman" w:cs="Times New Roman"/>
        </w:rPr>
        <w:t>EtD</w:t>
      </w:r>
      <w:r w:rsidR="00145CF7" w:rsidRPr="007D4CB3">
        <w:rPr>
          <w:rFonts w:ascii="Times New Roman" w:hAnsi="Times New Roman" w:cs="Times New Roman"/>
        </w:rPr>
        <w:t xml:space="preserve"> document.</w:t>
      </w:r>
    </w:p>
    <w:p w14:paraId="5EEE9736" w14:textId="77777777" w:rsidR="00A36896" w:rsidRPr="007D4CB3" w:rsidRDefault="0040018F" w:rsidP="00FC7CE6">
      <w:pPr>
        <w:pStyle w:val="StUDRecs"/>
        <w:numPr>
          <w:ilvl w:val="1"/>
          <w:numId w:val="60"/>
        </w:numPr>
        <w:spacing w:before="0" w:after="0" w:line="360" w:lineRule="auto"/>
        <w:rPr>
          <w:rFonts w:ascii="Times New Roman" w:hAnsi="Times New Roman" w:cs="Times New Roman"/>
        </w:rPr>
      </w:pPr>
      <w:r w:rsidRPr="007D4CB3">
        <w:rPr>
          <w:rFonts w:ascii="Times New Roman" w:hAnsi="Times New Roman" w:cs="Times New Roman"/>
        </w:rPr>
        <w:t>What are the most effective and appropriate strategies to monitor hyperadrenergic signs and symptoms when treating patients experiencing stimulant intoxication or withdrawal?</w:t>
      </w:r>
    </w:p>
    <w:p w14:paraId="1022D35E" w14:textId="7FAE5B39" w:rsidR="00126972" w:rsidRPr="007D4CB3" w:rsidRDefault="0040018F" w:rsidP="00FC7CE6">
      <w:pPr>
        <w:pStyle w:val="StUDRecs"/>
        <w:numPr>
          <w:ilvl w:val="1"/>
          <w:numId w:val="60"/>
        </w:numPr>
        <w:spacing w:before="0" w:after="0" w:line="360" w:lineRule="auto"/>
        <w:rPr>
          <w:rFonts w:ascii="Times New Roman" w:hAnsi="Times New Roman" w:cs="Times New Roman"/>
        </w:rPr>
      </w:pPr>
      <w:r w:rsidRPr="007D4CB3">
        <w:rPr>
          <w:rFonts w:ascii="Times New Roman" w:hAnsi="Times New Roman" w:cs="Times New Roman"/>
        </w:rPr>
        <w:t>What should the frequency of reassessment be during monitoring?</w:t>
      </w:r>
    </w:p>
    <w:p w14:paraId="619D040F" w14:textId="7DCF2DF4" w:rsidR="005D3271" w:rsidRPr="007D4CB3" w:rsidRDefault="005D3271" w:rsidP="00FC7CE6">
      <w:pPr>
        <w:pStyle w:val="StUDRecs"/>
        <w:numPr>
          <w:ilvl w:val="0"/>
          <w:numId w:val="60"/>
        </w:numPr>
        <w:spacing w:before="0" w:after="0" w:line="360" w:lineRule="auto"/>
        <w:rPr>
          <w:rFonts w:ascii="Times New Roman" w:hAnsi="Times New Roman" w:cs="Times New Roman"/>
        </w:rPr>
      </w:pPr>
      <w:r w:rsidRPr="007D4CB3">
        <w:rPr>
          <w:rFonts w:ascii="Times New Roman" w:hAnsi="Times New Roman" w:cs="Times New Roman"/>
        </w:rPr>
        <w:t xml:space="preserve">Hyperadrenergic </w:t>
      </w:r>
      <w:r w:rsidR="00806163" w:rsidRPr="007D4CB3">
        <w:rPr>
          <w:rFonts w:ascii="Times New Roman" w:hAnsi="Times New Roman" w:cs="Times New Roman"/>
        </w:rPr>
        <w:t>M</w:t>
      </w:r>
      <w:r w:rsidRPr="007D4CB3">
        <w:rPr>
          <w:rFonts w:ascii="Times New Roman" w:hAnsi="Times New Roman" w:cs="Times New Roman"/>
        </w:rPr>
        <w:t>edications</w:t>
      </w:r>
      <w:r w:rsidR="00145CF7" w:rsidRPr="007D4CB3">
        <w:rPr>
          <w:rFonts w:ascii="Times New Roman" w:hAnsi="Times New Roman" w:cs="Times New Roman"/>
        </w:rPr>
        <w:t xml:space="preserve"> (Table </w:t>
      </w:r>
      <w:r w:rsidR="00AD1F40" w:rsidRPr="007D4CB3">
        <w:rPr>
          <w:rFonts w:ascii="Times New Roman" w:hAnsi="Times New Roman" w:cs="Times New Roman"/>
        </w:rPr>
        <w:t>3</w:t>
      </w:r>
      <w:r w:rsidR="00145CF7" w:rsidRPr="007D4CB3">
        <w:rPr>
          <w:rFonts w:ascii="Times New Roman" w:hAnsi="Times New Roman" w:cs="Times New Roman"/>
        </w:rPr>
        <w:t>8):</w:t>
      </w:r>
    </w:p>
    <w:p w14:paraId="5FB1A830" w14:textId="77777777" w:rsidR="005D3271" w:rsidRPr="007D4CB3" w:rsidRDefault="005D3271" w:rsidP="00FC7CE6">
      <w:pPr>
        <w:pStyle w:val="StUDRecs"/>
        <w:numPr>
          <w:ilvl w:val="1"/>
          <w:numId w:val="60"/>
        </w:numPr>
        <w:spacing w:before="0" w:after="0" w:line="360" w:lineRule="auto"/>
        <w:rPr>
          <w:rFonts w:ascii="Times New Roman" w:hAnsi="Times New Roman" w:cs="Times New Roman"/>
        </w:rPr>
      </w:pPr>
      <w:r w:rsidRPr="007D4CB3">
        <w:rPr>
          <w:rFonts w:ascii="Times New Roman" w:hAnsi="Times New Roman" w:cs="Times New Roman"/>
        </w:rPr>
        <w:t>What are the most effective and appropriate interventions for the treatment of hyperadrenergic symptoms that typically accompany stimulant intoxication?</w:t>
      </w:r>
    </w:p>
    <w:p w14:paraId="7C34C2E8" w14:textId="1F298402" w:rsidR="002C343C" w:rsidRPr="007D4CB3" w:rsidRDefault="005D3271" w:rsidP="00FC7CE6">
      <w:pPr>
        <w:pStyle w:val="StUDRecs"/>
        <w:numPr>
          <w:ilvl w:val="0"/>
          <w:numId w:val="60"/>
        </w:numPr>
        <w:spacing w:before="0" w:after="0" w:line="360" w:lineRule="auto"/>
        <w:rPr>
          <w:rFonts w:ascii="Times New Roman" w:hAnsi="Times New Roman" w:cs="Times New Roman"/>
        </w:rPr>
      </w:pPr>
      <w:r w:rsidRPr="007D4CB3">
        <w:rPr>
          <w:rFonts w:ascii="Times New Roman" w:hAnsi="Times New Roman" w:cs="Times New Roman"/>
        </w:rPr>
        <w:t xml:space="preserve">Hyperadrenergic </w:t>
      </w:r>
      <w:r w:rsidR="00806163" w:rsidRPr="007D4CB3">
        <w:rPr>
          <w:rFonts w:ascii="Times New Roman" w:hAnsi="Times New Roman" w:cs="Times New Roman"/>
        </w:rPr>
        <w:t>A</w:t>
      </w:r>
      <w:r w:rsidRPr="007D4CB3">
        <w:rPr>
          <w:rFonts w:ascii="Times New Roman" w:hAnsi="Times New Roman" w:cs="Times New Roman"/>
        </w:rPr>
        <w:t xml:space="preserve">djunct </w:t>
      </w:r>
      <w:r w:rsidR="00145CF7" w:rsidRPr="007D4CB3">
        <w:rPr>
          <w:rFonts w:ascii="Times New Roman" w:hAnsi="Times New Roman" w:cs="Times New Roman"/>
        </w:rPr>
        <w:t>(Table </w:t>
      </w:r>
      <w:r w:rsidR="00806163" w:rsidRPr="007D4CB3">
        <w:rPr>
          <w:rFonts w:ascii="Times New Roman" w:hAnsi="Times New Roman" w:cs="Times New Roman"/>
        </w:rPr>
        <w:t>3</w:t>
      </w:r>
      <w:r w:rsidR="00145CF7" w:rsidRPr="007D4CB3">
        <w:rPr>
          <w:rFonts w:ascii="Times New Roman" w:hAnsi="Times New Roman" w:cs="Times New Roman"/>
        </w:rPr>
        <w:t>9):</w:t>
      </w:r>
    </w:p>
    <w:p w14:paraId="3D8E1321" w14:textId="3C89BAAF" w:rsidR="005D3271" w:rsidRPr="007D4CB3" w:rsidRDefault="000143BB" w:rsidP="00FC7CE6">
      <w:pPr>
        <w:pStyle w:val="StUDRecs"/>
        <w:numPr>
          <w:ilvl w:val="1"/>
          <w:numId w:val="60"/>
        </w:numPr>
        <w:spacing w:before="0" w:after="0" w:line="360" w:lineRule="auto"/>
        <w:rPr>
          <w:rFonts w:ascii="Times New Roman" w:hAnsi="Times New Roman" w:cs="Times New Roman"/>
        </w:rPr>
      </w:pPr>
      <w:r w:rsidRPr="007D4CB3">
        <w:rPr>
          <w:rFonts w:ascii="Times New Roman" w:hAnsi="Times New Roman" w:cs="Times New Roman"/>
        </w:rPr>
        <w:t xml:space="preserve">What adjunctive treatments can </w:t>
      </w:r>
      <w:proofErr w:type="gramStart"/>
      <w:r w:rsidRPr="007D4CB3">
        <w:rPr>
          <w:rFonts w:ascii="Times New Roman" w:hAnsi="Times New Roman" w:cs="Times New Roman"/>
        </w:rPr>
        <w:t>be considered</w:t>
      </w:r>
      <w:proofErr w:type="gramEnd"/>
      <w:r w:rsidRPr="007D4CB3">
        <w:rPr>
          <w:rFonts w:ascii="Times New Roman" w:hAnsi="Times New Roman" w:cs="Times New Roman"/>
        </w:rPr>
        <w:t xml:space="preserve"> </w:t>
      </w:r>
      <w:r w:rsidR="00CD51BC" w:rsidRPr="007D4CB3">
        <w:rPr>
          <w:rFonts w:ascii="Times New Roman" w:hAnsi="Times New Roman" w:cs="Times New Roman"/>
        </w:rPr>
        <w:t>for managing hyperadrenergic symptoms that typically accompany stimulant intoxication?</w:t>
      </w:r>
    </w:p>
    <w:p w14:paraId="1E70BA40" w14:textId="786CAE74" w:rsidR="002C343C" w:rsidRPr="007D4CB3" w:rsidRDefault="005D3271" w:rsidP="00FC7CE6">
      <w:pPr>
        <w:pStyle w:val="StUDRecs"/>
        <w:numPr>
          <w:ilvl w:val="0"/>
          <w:numId w:val="60"/>
        </w:numPr>
        <w:spacing w:before="0" w:after="0" w:line="360" w:lineRule="auto"/>
        <w:rPr>
          <w:rFonts w:ascii="Times New Roman" w:hAnsi="Times New Roman" w:cs="Times New Roman"/>
        </w:rPr>
      </w:pPr>
      <w:r w:rsidRPr="007D4CB3">
        <w:rPr>
          <w:rFonts w:ascii="Times New Roman" w:hAnsi="Times New Roman" w:cs="Times New Roman"/>
        </w:rPr>
        <w:t xml:space="preserve">Hypertensive </w:t>
      </w:r>
      <w:r w:rsidR="009006B0" w:rsidRPr="007D4CB3">
        <w:rPr>
          <w:rFonts w:ascii="Times New Roman" w:hAnsi="Times New Roman" w:cs="Times New Roman"/>
        </w:rPr>
        <w:t>E</w:t>
      </w:r>
      <w:r w:rsidRPr="007D4CB3">
        <w:rPr>
          <w:rFonts w:ascii="Times New Roman" w:hAnsi="Times New Roman" w:cs="Times New Roman"/>
        </w:rPr>
        <w:t xml:space="preserve">mergency </w:t>
      </w:r>
      <w:r w:rsidR="00145CF7" w:rsidRPr="007D4CB3">
        <w:rPr>
          <w:rFonts w:ascii="Times New Roman" w:hAnsi="Times New Roman" w:cs="Times New Roman"/>
        </w:rPr>
        <w:t>(Table </w:t>
      </w:r>
      <w:r w:rsidR="002A62A9" w:rsidRPr="007D4CB3">
        <w:rPr>
          <w:rFonts w:ascii="Times New Roman" w:hAnsi="Times New Roman" w:cs="Times New Roman"/>
        </w:rPr>
        <w:t>4</w:t>
      </w:r>
      <w:r w:rsidR="00145CF7" w:rsidRPr="007D4CB3">
        <w:rPr>
          <w:rFonts w:ascii="Times New Roman" w:hAnsi="Times New Roman" w:cs="Times New Roman"/>
        </w:rPr>
        <w:t>0):</w:t>
      </w:r>
    </w:p>
    <w:p w14:paraId="0E809CBA" w14:textId="47406753" w:rsidR="005D3271" w:rsidRPr="007D4CB3" w:rsidRDefault="004B483C" w:rsidP="00FC7CE6">
      <w:pPr>
        <w:pStyle w:val="StUDRecs"/>
        <w:numPr>
          <w:ilvl w:val="1"/>
          <w:numId w:val="60"/>
        </w:numPr>
        <w:spacing w:before="0" w:after="0" w:line="360" w:lineRule="auto"/>
        <w:rPr>
          <w:rFonts w:ascii="Times New Roman" w:hAnsi="Times New Roman" w:cs="Times New Roman"/>
        </w:rPr>
      </w:pPr>
      <w:r w:rsidRPr="007D4CB3">
        <w:rPr>
          <w:rFonts w:ascii="Times New Roman" w:hAnsi="Times New Roman" w:cs="Times New Roman"/>
        </w:rPr>
        <w:t xml:space="preserve">What are </w:t>
      </w:r>
      <w:r w:rsidR="00CE271C" w:rsidRPr="007D4CB3">
        <w:rPr>
          <w:rFonts w:ascii="Times New Roman" w:hAnsi="Times New Roman" w:cs="Times New Roman"/>
        </w:rPr>
        <w:t xml:space="preserve">effective interventions for hypertensive </w:t>
      </w:r>
      <w:r w:rsidR="002928C5" w:rsidRPr="007D4CB3">
        <w:rPr>
          <w:rFonts w:ascii="Times New Roman" w:hAnsi="Times New Roman" w:cs="Times New Roman"/>
        </w:rPr>
        <w:t>emergencies</w:t>
      </w:r>
      <w:r w:rsidR="00CE271C" w:rsidRPr="007D4CB3">
        <w:rPr>
          <w:rFonts w:ascii="Times New Roman" w:hAnsi="Times New Roman" w:cs="Times New Roman"/>
        </w:rPr>
        <w:t xml:space="preserve"> accompanying </w:t>
      </w:r>
      <w:r w:rsidR="006E77C1" w:rsidRPr="007D4CB3">
        <w:rPr>
          <w:rFonts w:ascii="Times New Roman" w:hAnsi="Times New Roman" w:cs="Times New Roman"/>
        </w:rPr>
        <w:t>stimulant intoxication?</w:t>
      </w:r>
    </w:p>
    <w:p w14:paraId="770946D6" w14:textId="1FDE40C2" w:rsidR="005D3271" w:rsidRPr="007D4CB3" w:rsidRDefault="005D3271" w:rsidP="00FC7CE6">
      <w:pPr>
        <w:pStyle w:val="StUDRecs"/>
        <w:numPr>
          <w:ilvl w:val="0"/>
          <w:numId w:val="60"/>
        </w:numPr>
        <w:spacing w:before="0" w:after="0" w:line="360" w:lineRule="auto"/>
        <w:rPr>
          <w:rFonts w:ascii="Times New Roman" w:hAnsi="Times New Roman" w:cs="Times New Roman"/>
        </w:rPr>
      </w:pPr>
      <w:r w:rsidRPr="007D4CB3">
        <w:rPr>
          <w:rFonts w:ascii="Times New Roman" w:hAnsi="Times New Roman" w:cs="Times New Roman"/>
        </w:rPr>
        <w:t xml:space="preserve">Chest </w:t>
      </w:r>
      <w:r w:rsidR="009006B0" w:rsidRPr="007D4CB3">
        <w:rPr>
          <w:rFonts w:ascii="Times New Roman" w:hAnsi="Times New Roman" w:cs="Times New Roman"/>
        </w:rPr>
        <w:t>P</w:t>
      </w:r>
      <w:r w:rsidRPr="007D4CB3">
        <w:rPr>
          <w:rFonts w:ascii="Times New Roman" w:hAnsi="Times New Roman" w:cs="Times New Roman"/>
        </w:rPr>
        <w:t xml:space="preserve">ain </w:t>
      </w:r>
      <w:r w:rsidR="009006B0" w:rsidRPr="007D4CB3">
        <w:rPr>
          <w:rFonts w:ascii="Times New Roman" w:hAnsi="Times New Roman" w:cs="Times New Roman"/>
        </w:rPr>
        <w:t>M</w:t>
      </w:r>
      <w:r w:rsidRPr="007D4CB3">
        <w:rPr>
          <w:rFonts w:ascii="Times New Roman" w:hAnsi="Times New Roman" w:cs="Times New Roman"/>
        </w:rPr>
        <w:t>edication</w:t>
      </w:r>
      <w:r w:rsidR="00145CF7" w:rsidRPr="007D4CB3">
        <w:rPr>
          <w:rFonts w:ascii="Times New Roman" w:hAnsi="Times New Roman" w:cs="Times New Roman"/>
        </w:rPr>
        <w:t xml:space="preserve"> (Table </w:t>
      </w:r>
      <w:r w:rsidR="007D2CF5" w:rsidRPr="007D4CB3">
        <w:rPr>
          <w:rFonts w:ascii="Times New Roman" w:hAnsi="Times New Roman" w:cs="Times New Roman"/>
        </w:rPr>
        <w:t>4</w:t>
      </w:r>
      <w:r w:rsidR="00145CF7" w:rsidRPr="007D4CB3">
        <w:rPr>
          <w:rFonts w:ascii="Times New Roman" w:hAnsi="Times New Roman" w:cs="Times New Roman"/>
        </w:rPr>
        <w:t>1):</w:t>
      </w:r>
    </w:p>
    <w:p w14:paraId="39EF7395" w14:textId="6BC4C45B" w:rsidR="005D3271" w:rsidRPr="007D4CB3" w:rsidRDefault="005D3271" w:rsidP="00FC7CE6">
      <w:pPr>
        <w:pStyle w:val="StUDRecs"/>
        <w:numPr>
          <w:ilvl w:val="1"/>
          <w:numId w:val="60"/>
        </w:numPr>
        <w:spacing w:before="0" w:after="0" w:line="360" w:lineRule="auto"/>
        <w:rPr>
          <w:rFonts w:ascii="Times New Roman" w:hAnsi="Times New Roman" w:cs="Times New Roman"/>
        </w:rPr>
      </w:pPr>
      <w:r w:rsidRPr="007D4CB3">
        <w:rPr>
          <w:rFonts w:ascii="Times New Roman" w:hAnsi="Times New Roman" w:cs="Times New Roman"/>
        </w:rPr>
        <w:t>What are the most effective and appropriate interventions for the treatment of chest pain in patients</w:t>
      </w:r>
      <w:r w:rsidR="00145CF7" w:rsidRPr="007D4CB3">
        <w:rPr>
          <w:rFonts w:ascii="Times New Roman" w:hAnsi="Times New Roman" w:cs="Times New Roman"/>
        </w:rPr>
        <w:t xml:space="preserve"> experiencing stimulant intoxication</w:t>
      </w:r>
      <w:r w:rsidRPr="007D4CB3">
        <w:rPr>
          <w:rFonts w:ascii="Times New Roman" w:hAnsi="Times New Roman" w:cs="Times New Roman"/>
        </w:rPr>
        <w:t>?</w:t>
      </w:r>
    </w:p>
    <w:p w14:paraId="3231EE13" w14:textId="5C292516" w:rsidR="005D3271" w:rsidRPr="007D4CB3" w:rsidRDefault="005D3271" w:rsidP="00FC7CE6">
      <w:pPr>
        <w:pStyle w:val="StUDRecs"/>
        <w:numPr>
          <w:ilvl w:val="0"/>
          <w:numId w:val="60"/>
        </w:numPr>
        <w:spacing w:before="0" w:after="0" w:line="360" w:lineRule="auto"/>
        <w:rPr>
          <w:rFonts w:ascii="Times New Roman" w:hAnsi="Times New Roman" w:cs="Times New Roman"/>
        </w:rPr>
      </w:pPr>
      <w:r w:rsidRPr="007D4CB3">
        <w:rPr>
          <w:rFonts w:ascii="Times New Roman" w:hAnsi="Times New Roman" w:cs="Times New Roman"/>
        </w:rPr>
        <w:t xml:space="preserve">Chest </w:t>
      </w:r>
      <w:r w:rsidR="009006B0" w:rsidRPr="007D4CB3">
        <w:rPr>
          <w:rFonts w:ascii="Times New Roman" w:hAnsi="Times New Roman" w:cs="Times New Roman"/>
        </w:rPr>
        <w:t>P</w:t>
      </w:r>
      <w:r w:rsidRPr="007D4CB3">
        <w:rPr>
          <w:rFonts w:ascii="Times New Roman" w:hAnsi="Times New Roman" w:cs="Times New Roman"/>
        </w:rPr>
        <w:t xml:space="preserve">ain </w:t>
      </w:r>
      <w:r w:rsidR="009006B0" w:rsidRPr="007D4CB3">
        <w:rPr>
          <w:rFonts w:ascii="Times New Roman" w:hAnsi="Times New Roman" w:cs="Times New Roman"/>
        </w:rPr>
        <w:t>B</w:t>
      </w:r>
      <w:r w:rsidRPr="007D4CB3">
        <w:rPr>
          <w:rFonts w:ascii="Times New Roman" w:hAnsi="Times New Roman" w:cs="Times New Roman"/>
        </w:rPr>
        <w:t>eta</w:t>
      </w:r>
      <w:r w:rsidR="00E13B75" w:rsidRPr="007D4CB3">
        <w:rPr>
          <w:rFonts w:ascii="Times New Roman" w:hAnsi="Times New Roman" w:cs="Times New Roman"/>
        </w:rPr>
        <w:t xml:space="preserve"> </w:t>
      </w:r>
      <w:r w:rsidR="009006B0" w:rsidRPr="007D4CB3">
        <w:rPr>
          <w:rFonts w:ascii="Times New Roman" w:hAnsi="Times New Roman" w:cs="Times New Roman"/>
        </w:rPr>
        <w:t>B</w:t>
      </w:r>
      <w:r w:rsidRPr="007D4CB3">
        <w:rPr>
          <w:rFonts w:ascii="Times New Roman" w:hAnsi="Times New Roman" w:cs="Times New Roman"/>
        </w:rPr>
        <w:t>lockers</w:t>
      </w:r>
      <w:r w:rsidR="00B87C37" w:rsidRPr="007D4CB3">
        <w:rPr>
          <w:rFonts w:ascii="Times New Roman" w:hAnsi="Times New Roman" w:cs="Times New Roman"/>
        </w:rPr>
        <w:t xml:space="preserve"> (Table </w:t>
      </w:r>
      <w:r w:rsidR="009006B0" w:rsidRPr="007D4CB3">
        <w:rPr>
          <w:rFonts w:ascii="Times New Roman" w:hAnsi="Times New Roman" w:cs="Times New Roman"/>
        </w:rPr>
        <w:t>4</w:t>
      </w:r>
      <w:r w:rsidR="00B87C37" w:rsidRPr="007D4CB3">
        <w:rPr>
          <w:rFonts w:ascii="Times New Roman" w:hAnsi="Times New Roman" w:cs="Times New Roman"/>
        </w:rPr>
        <w:t>2):</w:t>
      </w:r>
    </w:p>
    <w:p w14:paraId="40872BAA" w14:textId="69A1BF5B" w:rsidR="005D3271" w:rsidRPr="007D4CB3" w:rsidRDefault="005D3271" w:rsidP="00FC7CE6">
      <w:pPr>
        <w:pStyle w:val="StUDRecs"/>
        <w:numPr>
          <w:ilvl w:val="1"/>
          <w:numId w:val="60"/>
        </w:numPr>
        <w:spacing w:before="0" w:after="0" w:line="360" w:lineRule="auto"/>
        <w:rPr>
          <w:rFonts w:ascii="Times New Roman" w:hAnsi="Times New Roman" w:cs="Times New Roman"/>
        </w:rPr>
      </w:pPr>
      <w:r w:rsidRPr="007D4CB3">
        <w:rPr>
          <w:rFonts w:ascii="Times New Roman" w:hAnsi="Times New Roman" w:cs="Times New Roman"/>
          <w:color w:val="000000" w:themeColor="text1"/>
        </w:rPr>
        <w:t xml:space="preserve">What is the effectiveness of </w:t>
      </w:r>
      <w:r w:rsidRPr="007D4CB3">
        <w:rPr>
          <w:rFonts w:ascii="Times New Roman" w:hAnsi="Times New Roman" w:cs="Times New Roman"/>
        </w:rPr>
        <w:t>beta</w:t>
      </w:r>
      <w:r w:rsidR="00E13B75" w:rsidRPr="007D4CB3">
        <w:rPr>
          <w:rFonts w:ascii="Times New Roman" w:hAnsi="Times New Roman" w:cs="Times New Roman"/>
        </w:rPr>
        <w:t xml:space="preserve"> </w:t>
      </w:r>
      <w:r w:rsidRPr="007D4CB3">
        <w:rPr>
          <w:rFonts w:ascii="Times New Roman" w:hAnsi="Times New Roman" w:cs="Times New Roman"/>
        </w:rPr>
        <w:t>blockers</w:t>
      </w:r>
      <w:r w:rsidRPr="007D4CB3">
        <w:rPr>
          <w:rFonts w:ascii="Times New Roman" w:hAnsi="Times New Roman" w:cs="Times New Roman"/>
          <w:color w:val="000000" w:themeColor="text1"/>
        </w:rPr>
        <w:t xml:space="preserve"> for managing </w:t>
      </w:r>
      <w:r w:rsidRPr="007D4CB3">
        <w:rPr>
          <w:rFonts w:ascii="Times New Roman" w:hAnsi="Times New Roman" w:cs="Times New Roman"/>
        </w:rPr>
        <w:t>the cardiac consequences of stimulant intoxication?</w:t>
      </w:r>
    </w:p>
    <w:p w14:paraId="1CA2EDA7" w14:textId="7E54F588" w:rsidR="005D3271" w:rsidRPr="007D4CB3" w:rsidRDefault="005D3271" w:rsidP="00FC7CE6">
      <w:pPr>
        <w:pStyle w:val="StUDRecs"/>
        <w:numPr>
          <w:ilvl w:val="1"/>
          <w:numId w:val="60"/>
        </w:numPr>
        <w:spacing w:before="0" w:after="0" w:line="360" w:lineRule="auto"/>
        <w:rPr>
          <w:rFonts w:ascii="Times New Roman" w:hAnsi="Times New Roman" w:cs="Times New Roman"/>
        </w:rPr>
      </w:pPr>
      <w:r w:rsidRPr="007D4CB3">
        <w:rPr>
          <w:rFonts w:ascii="Times New Roman" w:hAnsi="Times New Roman" w:cs="Times New Roman"/>
        </w:rPr>
        <w:t>Can beta</w:t>
      </w:r>
      <w:r w:rsidR="00E13B75" w:rsidRPr="007D4CB3">
        <w:rPr>
          <w:rFonts w:ascii="Times New Roman" w:hAnsi="Times New Roman" w:cs="Times New Roman"/>
        </w:rPr>
        <w:t xml:space="preserve"> </w:t>
      </w:r>
      <w:r w:rsidRPr="007D4CB3">
        <w:rPr>
          <w:rFonts w:ascii="Times New Roman" w:hAnsi="Times New Roman" w:cs="Times New Roman"/>
        </w:rPr>
        <w:t xml:space="preserve">blockers </w:t>
      </w:r>
      <w:proofErr w:type="gramStart"/>
      <w:r w:rsidRPr="007D4CB3">
        <w:rPr>
          <w:rFonts w:ascii="Times New Roman" w:hAnsi="Times New Roman" w:cs="Times New Roman"/>
        </w:rPr>
        <w:t>be used</w:t>
      </w:r>
      <w:proofErr w:type="gramEnd"/>
      <w:r w:rsidRPr="007D4CB3">
        <w:rPr>
          <w:rFonts w:ascii="Times New Roman" w:hAnsi="Times New Roman" w:cs="Times New Roman"/>
        </w:rPr>
        <w:t xml:space="preserve"> safely to treat chest pain in patients </w:t>
      </w:r>
      <w:r w:rsidR="00B87C37" w:rsidRPr="007D4CB3">
        <w:rPr>
          <w:rFonts w:ascii="Times New Roman" w:hAnsi="Times New Roman" w:cs="Times New Roman"/>
        </w:rPr>
        <w:t>experiencing</w:t>
      </w:r>
      <w:r w:rsidRPr="007D4CB3">
        <w:rPr>
          <w:rFonts w:ascii="Times New Roman" w:hAnsi="Times New Roman" w:cs="Times New Roman"/>
        </w:rPr>
        <w:t xml:space="preserve"> stimulant intoxication?</w:t>
      </w:r>
    </w:p>
    <w:p w14:paraId="08198B19" w14:textId="1C73F8B2" w:rsidR="002C343C" w:rsidRPr="007D4CB3" w:rsidRDefault="005D3271" w:rsidP="00FC7CE6">
      <w:pPr>
        <w:pStyle w:val="StUDRecs"/>
        <w:numPr>
          <w:ilvl w:val="0"/>
          <w:numId w:val="60"/>
        </w:numPr>
        <w:spacing w:before="0" w:after="0" w:line="360" w:lineRule="auto"/>
        <w:rPr>
          <w:rFonts w:ascii="Times New Roman" w:hAnsi="Times New Roman" w:cs="Times New Roman"/>
        </w:rPr>
      </w:pPr>
      <w:r w:rsidRPr="007D4CB3">
        <w:rPr>
          <w:rFonts w:ascii="Times New Roman" w:hAnsi="Times New Roman" w:cs="Times New Roman"/>
        </w:rPr>
        <w:t xml:space="preserve">Chest </w:t>
      </w:r>
      <w:r w:rsidR="007E0DCE" w:rsidRPr="007D4CB3">
        <w:rPr>
          <w:rFonts w:ascii="Times New Roman" w:hAnsi="Times New Roman" w:cs="Times New Roman"/>
        </w:rPr>
        <w:t>Pain Evaluation</w:t>
      </w:r>
      <w:r w:rsidRPr="007D4CB3">
        <w:rPr>
          <w:rFonts w:ascii="Times New Roman" w:hAnsi="Times New Roman" w:cs="Times New Roman"/>
        </w:rPr>
        <w:t xml:space="preserve"> </w:t>
      </w:r>
      <w:r w:rsidR="00B87C37" w:rsidRPr="007D4CB3">
        <w:rPr>
          <w:rFonts w:ascii="Times New Roman" w:hAnsi="Times New Roman" w:cs="Times New Roman"/>
        </w:rPr>
        <w:t>(Table </w:t>
      </w:r>
      <w:r w:rsidR="00E61C9F" w:rsidRPr="007D4CB3">
        <w:rPr>
          <w:rFonts w:ascii="Times New Roman" w:hAnsi="Times New Roman" w:cs="Times New Roman"/>
        </w:rPr>
        <w:t>4</w:t>
      </w:r>
      <w:r w:rsidR="00B87C37" w:rsidRPr="007D4CB3">
        <w:rPr>
          <w:rFonts w:ascii="Times New Roman" w:hAnsi="Times New Roman" w:cs="Times New Roman"/>
        </w:rPr>
        <w:t>3):</w:t>
      </w:r>
    </w:p>
    <w:p w14:paraId="3183F1CA" w14:textId="16FE9083" w:rsidR="005D3271" w:rsidRPr="007D4CB3" w:rsidRDefault="006E77C1" w:rsidP="00FC7CE6">
      <w:pPr>
        <w:pStyle w:val="StUDRecs"/>
        <w:numPr>
          <w:ilvl w:val="1"/>
          <w:numId w:val="60"/>
        </w:numPr>
        <w:spacing w:before="0" w:after="0" w:line="360" w:lineRule="auto"/>
        <w:rPr>
          <w:rFonts w:ascii="Times New Roman" w:hAnsi="Times New Roman" w:cs="Times New Roman"/>
        </w:rPr>
      </w:pPr>
      <w:r w:rsidRPr="007D4CB3">
        <w:rPr>
          <w:rFonts w:ascii="Times New Roman" w:hAnsi="Times New Roman" w:cs="Times New Roman"/>
        </w:rPr>
        <w:t xml:space="preserve">Should the presence of stimulant intoxication impact the </w:t>
      </w:r>
      <w:r w:rsidR="005137A5" w:rsidRPr="007D4CB3">
        <w:rPr>
          <w:rFonts w:ascii="Times New Roman" w:hAnsi="Times New Roman" w:cs="Times New Roman"/>
        </w:rPr>
        <w:t xml:space="preserve">standard </w:t>
      </w:r>
      <w:r w:rsidRPr="007D4CB3">
        <w:rPr>
          <w:rFonts w:ascii="Times New Roman" w:hAnsi="Times New Roman" w:cs="Times New Roman"/>
        </w:rPr>
        <w:t>evaluation of chest pain?</w:t>
      </w:r>
    </w:p>
    <w:p w14:paraId="2DDFAF38" w14:textId="4F441D8D" w:rsidR="005D3271" w:rsidRPr="007D4CB3" w:rsidRDefault="005D3271" w:rsidP="00FC7CE6">
      <w:pPr>
        <w:pStyle w:val="StUDRecs"/>
        <w:numPr>
          <w:ilvl w:val="0"/>
          <w:numId w:val="60"/>
        </w:numPr>
        <w:spacing w:before="0" w:after="0" w:line="360" w:lineRule="auto"/>
        <w:rPr>
          <w:rFonts w:ascii="Times New Roman" w:hAnsi="Times New Roman" w:cs="Times New Roman"/>
        </w:rPr>
      </w:pPr>
      <w:r w:rsidRPr="007D4CB3">
        <w:rPr>
          <w:rFonts w:ascii="Times New Roman" w:hAnsi="Times New Roman" w:cs="Times New Roman"/>
        </w:rPr>
        <w:t xml:space="preserve">QRS </w:t>
      </w:r>
      <w:r w:rsidR="00370D57" w:rsidRPr="007D4CB3">
        <w:rPr>
          <w:rFonts w:ascii="Times New Roman" w:hAnsi="Times New Roman" w:cs="Times New Roman"/>
        </w:rPr>
        <w:t>W</w:t>
      </w:r>
      <w:r w:rsidRPr="007D4CB3">
        <w:rPr>
          <w:rFonts w:ascii="Times New Roman" w:hAnsi="Times New Roman" w:cs="Times New Roman"/>
        </w:rPr>
        <w:t>idening</w:t>
      </w:r>
      <w:r w:rsidR="00B87C37" w:rsidRPr="007D4CB3">
        <w:rPr>
          <w:rFonts w:ascii="Times New Roman" w:hAnsi="Times New Roman" w:cs="Times New Roman"/>
        </w:rPr>
        <w:t xml:space="preserve"> (Table </w:t>
      </w:r>
      <w:r w:rsidR="00652844" w:rsidRPr="007D4CB3">
        <w:rPr>
          <w:rFonts w:ascii="Times New Roman" w:hAnsi="Times New Roman" w:cs="Times New Roman"/>
        </w:rPr>
        <w:t>4</w:t>
      </w:r>
      <w:r w:rsidR="00B87C37" w:rsidRPr="007D4CB3">
        <w:rPr>
          <w:rFonts w:ascii="Times New Roman" w:hAnsi="Times New Roman" w:cs="Times New Roman"/>
        </w:rPr>
        <w:t>4):</w:t>
      </w:r>
    </w:p>
    <w:p w14:paraId="7951D334" w14:textId="77777777" w:rsidR="005D3271" w:rsidRPr="007D4CB3" w:rsidRDefault="005D3271" w:rsidP="00FC7CE6">
      <w:pPr>
        <w:pStyle w:val="StUDRecs"/>
        <w:numPr>
          <w:ilvl w:val="1"/>
          <w:numId w:val="60"/>
        </w:numPr>
        <w:spacing w:before="0" w:after="0" w:line="360" w:lineRule="auto"/>
        <w:rPr>
          <w:rFonts w:ascii="Times New Roman" w:hAnsi="Times New Roman" w:cs="Times New Roman"/>
        </w:rPr>
      </w:pPr>
      <w:r w:rsidRPr="007D4CB3">
        <w:rPr>
          <w:rFonts w:ascii="Times New Roman" w:hAnsi="Times New Roman" w:cs="Times New Roman"/>
        </w:rPr>
        <w:lastRenderedPageBreak/>
        <w:t>What are the most effective and appropriate interventions for the treatment of QRS widening following cocaine use?</w:t>
      </w:r>
    </w:p>
    <w:p w14:paraId="53206641" w14:textId="41AED2DA" w:rsidR="005D3271" w:rsidRPr="007D4CB3" w:rsidRDefault="005D3271" w:rsidP="00FC7CE6">
      <w:pPr>
        <w:pStyle w:val="StUDRecs"/>
        <w:numPr>
          <w:ilvl w:val="0"/>
          <w:numId w:val="60"/>
        </w:numPr>
        <w:spacing w:before="0" w:after="0" w:line="360" w:lineRule="auto"/>
        <w:rPr>
          <w:rFonts w:ascii="Times New Roman" w:hAnsi="Times New Roman" w:cs="Times New Roman"/>
        </w:rPr>
      </w:pPr>
      <w:r w:rsidRPr="007D4CB3">
        <w:rPr>
          <w:rFonts w:ascii="Times New Roman" w:hAnsi="Times New Roman" w:cs="Times New Roman"/>
        </w:rPr>
        <w:t xml:space="preserve">Seizure </w:t>
      </w:r>
      <w:r w:rsidR="00B87C37" w:rsidRPr="007D4CB3">
        <w:rPr>
          <w:rFonts w:ascii="Times New Roman" w:hAnsi="Times New Roman" w:cs="Times New Roman"/>
        </w:rPr>
        <w:t>w</w:t>
      </w:r>
      <w:r w:rsidRPr="007D4CB3">
        <w:rPr>
          <w:rFonts w:ascii="Times New Roman" w:hAnsi="Times New Roman" w:cs="Times New Roman"/>
        </w:rPr>
        <w:t>orkup</w:t>
      </w:r>
      <w:r w:rsidR="0080273F" w:rsidRPr="007D4CB3">
        <w:rPr>
          <w:rFonts w:ascii="Times New Roman" w:hAnsi="Times New Roman" w:cs="Times New Roman"/>
        </w:rPr>
        <w:t>:</w:t>
      </w:r>
    </w:p>
    <w:p w14:paraId="1CFFA8E7" w14:textId="5F34C9BC" w:rsidR="005D3271" w:rsidRPr="007D4CB3" w:rsidRDefault="005D3271" w:rsidP="00FC7CE6">
      <w:pPr>
        <w:pStyle w:val="StUDRecs"/>
        <w:numPr>
          <w:ilvl w:val="1"/>
          <w:numId w:val="60"/>
        </w:numPr>
        <w:spacing w:before="0" w:after="0" w:line="360" w:lineRule="auto"/>
        <w:rPr>
          <w:rFonts w:ascii="Times New Roman" w:hAnsi="Times New Roman" w:cs="Times New Roman"/>
        </w:rPr>
      </w:pPr>
      <w:r w:rsidRPr="007D4CB3">
        <w:rPr>
          <w:rFonts w:ascii="Times New Roman" w:hAnsi="Times New Roman" w:cs="Times New Roman"/>
        </w:rPr>
        <w:t xml:space="preserve">Should a full neurological workup </w:t>
      </w:r>
      <w:proofErr w:type="gramStart"/>
      <w:r w:rsidRPr="007D4CB3">
        <w:rPr>
          <w:rFonts w:ascii="Times New Roman" w:hAnsi="Times New Roman" w:cs="Times New Roman"/>
        </w:rPr>
        <w:t>be ordered</w:t>
      </w:r>
      <w:proofErr w:type="gramEnd"/>
      <w:r w:rsidRPr="007D4CB3">
        <w:rPr>
          <w:rFonts w:ascii="Times New Roman" w:hAnsi="Times New Roman" w:cs="Times New Roman"/>
        </w:rPr>
        <w:t xml:space="preserve"> for all patients presenting to the ED with a seizure following stimulant use?</w:t>
      </w:r>
    </w:p>
    <w:p w14:paraId="16FF5EDE" w14:textId="056876B2" w:rsidR="005D3271" w:rsidRPr="007D4CB3" w:rsidRDefault="005D3271" w:rsidP="00FC7CE6">
      <w:pPr>
        <w:pStyle w:val="StUDRecs"/>
        <w:numPr>
          <w:ilvl w:val="0"/>
          <w:numId w:val="60"/>
        </w:numPr>
        <w:spacing w:before="0" w:after="0" w:line="360" w:lineRule="auto"/>
        <w:rPr>
          <w:rFonts w:ascii="Times New Roman" w:hAnsi="Times New Roman" w:cs="Times New Roman"/>
        </w:rPr>
      </w:pPr>
      <w:r w:rsidRPr="007D4CB3">
        <w:rPr>
          <w:rFonts w:ascii="Times New Roman" w:hAnsi="Times New Roman" w:cs="Times New Roman"/>
        </w:rPr>
        <w:t xml:space="preserve">Seizure </w:t>
      </w:r>
      <w:r w:rsidR="00370D57" w:rsidRPr="007D4CB3">
        <w:rPr>
          <w:rFonts w:ascii="Times New Roman" w:hAnsi="Times New Roman" w:cs="Times New Roman"/>
        </w:rPr>
        <w:t>M</w:t>
      </w:r>
      <w:r w:rsidRPr="007D4CB3">
        <w:rPr>
          <w:rFonts w:ascii="Times New Roman" w:hAnsi="Times New Roman" w:cs="Times New Roman"/>
        </w:rPr>
        <w:t>edication</w:t>
      </w:r>
      <w:r w:rsidR="0080273F" w:rsidRPr="007D4CB3">
        <w:rPr>
          <w:rFonts w:ascii="Times New Roman" w:hAnsi="Times New Roman" w:cs="Times New Roman"/>
        </w:rPr>
        <w:t xml:space="preserve"> (Table </w:t>
      </w:r>
      <w:r w:rsidR="00370D57" w:rsidRPr="007D4CB3">
        <w:rPr>
          <w:rFonts w:ascii="Times New Roman" w:hAnsi="Times New Roman" w:cs="Times New Roman"/>
        </w:rPr>
        <w:t>45</w:t>
      </w:r>
      <w:r w:rsidR="0080273F" w:rsidRPr="007D4CB3">
        <w:rPr>
          <w:rFonts w:ascii="Times New Roman" w:hAnsi="Times New Roman" w:cs="Times New Roman"/>
        </w:rPr>
        <w:t>):</w:t>
      </w:r>
    </w:p>
    <w:p w14:paraId="5DE71FEC" w14:textId="77777777" w:rsidR="005D3271" w:rsidRPr="007D4CB3" w:rsidRDefault="005D3271" w:rsidP="00FC7CE6">
      <w:pPr>
        <w:pStyle w:val="StUDRecs"/>
        <w:numPr>
          <w:ilvl w:val="1"/>
          <w:numId w:val="60"/>
        </w:numPr>
        <w:spacing w:before="0" w:after="0" w:line="360" w:lineRule="auto"/>
        <w:rPr>
          <w:rFonts w:ascii="Times New Roman" w:hAnsi="Times New Roman" w:cs="Times New Roman"/>
        </w:rPr>
      </w:pPr>
      <w:r w:rsidRPr="007D4CB3">
        <w:rPr>
          <w:rStyle w:val="normaltextrun"/>
          <w:rFonts w:ascii="Times New Roman" w:hAnsi="Times New Roman" w:cs="Times New Roman"/>
        </w:rPr>
        <w:t xml:space="preserve">What are the most effective and appropriate interventions for the treatment of seizure </w:t>
      </w:r>
      <w:r w:rsidRPr="007D4CB3">
        <w:rPr>
          <w:rFonts w:ascii="Times New Roman" w:hAnsi="Times New Roman" w:cs="Times New Roman"/>
        </w:rPr>
        <w:t>following stimulant use</w:t>
      </w:r>
      <w:r w:rsidRPr="007D4CB3">
        <w:rPr>
          <w:rStyle w:val="normaltextrun"/>
          <w:rFonts w:ascii="Times New Roman" w:hAnsi="Times New Roman" w:cs="Times New Roman"/>
        </w:rPr>
        <w:t>?</w:t>
      </w:r>
    </w:p>
    <w:p w14:paraId="06C08032" w14:textId="057D75B3" w:rsidR="005D3271" w:rsidRPr="007D4CB3" w:rsidRDefault="005D3271" w:rsidP="00FC7CE6">
      <w:pPr>
        <w:pStyle w:val="StUDRecs"/>
        <w:numPr>
          <w:ilvl w:val="0"/>
          <w:numId w:val="60"/>
        </w:numPr>
        <w:spacing w:before="0" w:after="0" w:line="360" w:lineRule="auto"/>
        <w:rPr>
          <w:rFonts w:ascii="Times New Roman" w:hAnsi="Times New Roman" w:cs="Times New Roman"/>
        </w:rPr>
      </w:pPr>
      <w:r w:rsidRPr="007D4CB3">
        <w:rPr>
          <w:rFonts w:ascii="Times New Roman" w:hAnsi="Times New Roman" w:cs="Times New Roman"/>
        </w:rPr>
        <w:t xml:space="preserve">Screening, </w:t>
      </w:r>
      <w:r w:rsidR="00F774A4" w:rsidRPr="007D4CB3">
        <w:rPr>
          <w:rFonts w:ascii="Times New Roman" w:hAnsi="Times New Roman" w:cs="Times New Roman"/>
        </w:rPr>
        <w:t>B</w:t>
      </w:r>
      <w:r w:rsidRPr="007D4CB3">
        <w:rPr>
          <w:rFonts w:ascii="Times New Roman" w:hAnsi="Times New Roman" w:cs="Times New Roman"/>
        </w:rPr>
        <w:t xml:space="preserve">rief </w:t>
      </w:r>
      <w:r w:rsidR="00F774A4" w:rsidRPr="007D4CB3">
        <w:rPr>
          <w:rFonts w:ascii="Times New Roman" w:hAnsi="Times New Roman" w:cs="Times New Roman"/>
        </w:rPr>
        <w:t>I</w:t>
      </w:r>
      <w:r w:rsidRPr="007D4CB3">
        <w:rPr>
          <w:rFonts w:ascii="Times New Roman" w:hAnsi="Times New Roman" w:cs="Times New Roman"/>
        </w:rPr>
        <w:t xml:space="preserve">ntervention, and </w:t>
      </w:r>
      <w:r w:rsidR="00F774A4" w:rsidRPr="007D4CB3">
        <w:rPr>
          <w:rFonts w:ascii="Times New Roman" w:hAnsi="Times New Roman" w:cs="Times New Roman"/>
        </w:rPr>
        <w:t>R</w:t>
      </w:r>
      <w:r w:rsidRPr="007D4CB3">
        <w:rPr>
          <w:rFonts w:ascii="Times New Roman" w:hAnsi="Times New Roman" w:cs="Times New Roman"/>
        </w:rPr>
        <w:t xml:space="preserve">eferral to </w:t>
      </w:r>
      <w:r w:rsidR="00F774A4" w:rsidRPr="007D4CB3">
        <w:rPr>
          <w:rFonts w:ascii="Times New Roman" w:hAnsi="Times New Roman" w:cs="Times New Roman"/>
        </w:rPr>
        <w:t>T</w:t>
      </w:r>
      <w:r w:rsidRPr="007D4CB3">
        <w:rPr>
          <w:rFonts w:ascii="Times New Roman" w:hAnsi="Times New Roman" w:cs="Times New Roman"/>
        </w:rPr>
        <w:t>reatment (SBIRT</w:t>
      </w:r>
      <w:r w:rsidR="0080273F" w:rsidRPr="007D4CB3">
        <w:rPr>
          <w:rFonts w:ascii="Times New Roman" w:hAnsi="Times New Roman" w:cs="Times New Roman"/>
        </w:rPr>
        <w:t>; Table </w:t>
      </w:r>
      <w:r w:rsidR="00F774A4" w:rsidRPr="007D4CB3">
        <w:rPr>
          <w:rFonts w:ascii="Times New Roman" w:hAnsi="Times New Roman" w:cs="Times New Roman"/>
        </w:rPr>
        <w:t>46</w:t>
      </w:r>
      <w:r w:rsidRPr="007D4CB3">
        <w:rPr>
          <w:rFonts w:ascii="Times New Roman" w:hAnsi="Times New Roman" w:cs="Times New Roman"/>
        </w:rPr>
        <w:t>)</w:t>
      </w:r>
      <w:r w:rsidR="0080273F" w:rsidRPr="007D4CB3">
        <w:rPr>
          <w:rFonts w:ascii="Times New Roman" w:hAnsi="Times New Roman" w:cs="Times New Roman"/>
        </w:rPr>
        <w:t>:</w:t>
      </w:r>
    </w:p>
    <w:p w14:paraId="2202C160" w14:textId="40282A05" w:rsidR="005D3271" w:rsidRPr="007D4CB3" w:rsidRDefault="0080273F" w:rsidP="00FC7CE6">
      <w:pPr>
        <w:pStyle w:val="StUDRecs"/>
        <w:numPr>
          <w:ilvl w:val="1"/>
          <w:numId w:val="60"/>
        </w:numPr>
        <w:spacing w:before="0" w:after="0" w:line="360" w:lineRule="auto"/>
        <w:rPr>
          <w:rFonts w:ascii="Times New Roman" w:hAnsi="Times New Roman" w:cs="Times New Roman"/>
        </w:rPr>
      </w:pPr>
      <w:r w:rsidRPr="007D4CB3">
        <w:rPr>
          <w:rFonts w:ascii="Times New Roman" w:hAnsi="Times New Roman" w:cs="Times New Roman"/>
        </w:rPr>
        <w:t>How</w:t>
      </w:r>
      <w:r w:rsidR="005D3271" w:rsidRPr="007D4CB3">
        <w:rPr>
          <w:rFonts w:ascii="Times New Roman" w:hAnsi="Times New Roman" w:cs="Times New Roman"/>
        </w:rPr>
        <w:t xml:space="preserve"> accura</w:t>
      </w:r>
      <w:r w:rsidRPr="007D4CB3">
        <w:rPr>
          <w:rFonts w:ascii="Times New Roman" w:hAnsi="Times New Roman" w:cs="Times New Roman"/>
        </w:rPr>
        <w:t>te</w:t>
      </w:r>
      <w:r w:rsidR="005D3271" w:rsidRPr="007D4CB3">
        <w:rPr>
          <w:rFonts w:ascii="Times New Roman" w:hAnsi="Times New Roman" w:cs="Times New Roman"/>
        </w:rPr>
        <w:t xml:space="preserve"> </w:t>
      </w:r>
      <w:r w:rsidRPr="007D4CB3">
        <w:rPr>
          <w:rFonts w:ascii="Times New Roman" w:hAnsi="Times New Roman" w:cs="Times New Roman"/>
        </w:rPr>
        <w:t>are</w:t>
      </w:r>
      <w:r w:rsidR="005D3271" w:rsidRPr="007D4CB3">
        <w:rPr>
          <w:rFonts w:ascii="Times New Roman" w:hAnsi="Times New Roman" w:cs="Times New Roman"/>
        </w:rPr>
        <w:t xml:space="preserve"> drug use screening </w:t>
      </w:r>
      <w:r w:rsidRPr="007D4CB3">
        <w:rPr>
          <w:rFonts w:ascii="Times New Roman" w:hAnsi="Times New Roman" w:cs="Times New Roman"/>
        </w:rPr>
        <w:t>i</w:t>
      </w:r>
      <w:r w:rsidR="005D3271" w:rsidRPr="007D4CB3">
        <w:rPr>
          <w:rFonts w:ascii="Times New Roman" w:hAnsi="Times New Roman" w:cs="Times New Roman"/>
        </w:rPr>
        <w:t>nstruments for risky stimulant use?</w:t>
      </w:r>
    </w:p>
    <w:p w14:paraId="5EC15717" w14:textId="77777777" w:rsidR="005D3271" w:rsidRPr="007D4CB3" w:rsidRDefault="005D3271" w:rsidP="00FC7CE6">
      <w:pPr>
        <w:pStyle w:val="StUDRecs"/>
        <w:numPr>
          <w:ilvl w:val="1"/>
          <w:numId w:val="60"/>
        </w:numPr>
        <w:spacing w:before="0" w:after="0" w:line="360" w:lineRule="auto"/>
        <w:rPr>
          <w:rFonts w:ascii="Times New Roman" w:hAnsi="Times New Roman" w:cs="Times New Roman"/>
        </w:rPr>
      </w:pPr>
      <w:r w:rsidRPr="007D4CB3">
        <w:rPr>
          <w:rFonts w:ascii="Times New Roman" w:hAnsi="Times New Roman" w:cs="Times New Roman"/>
        </w:rPr>
        <w:t>Does screening for stimulant use reduce stimulant use or improve other risky behaviors?</w:t>
      </w:r>
    </w:p>
    <w:p w14:paraId="3A36F7AE" w14:textId="77777777" w:rsidR="005D3271" w:rsidRPr="007D4CB3" w:rsidRDefault="005D3271" w:rsidP="00FC7CE6">
      <w:pPr>
        <w:pStyle w:val="StUDRecs"/>
        <w:numPr>
          <w:ilvl w:val="1"/>
          <w:numId w:val="60"/>
        </w:numPr>
        <w:spacing w:before="0" w:after="0" w:line="360" w:lineRule="auto"/>
        <w:rPr>
          <w:rFonts w:ascii="Times New Roman" w:hAnsi="Times New Roman" w:cs="Times New Roman"/>
        </w:rPr>
      </w:pPr>
      <w:r w:rsidRPr="007D4CB3">
        <w:rPr>
          <w:rFonts w:ascii="Times New Roman" w:hAnsi="Times New Roman" w:cs="Times New Roman"/>
        </w:rPr>
        <w:t>What are the harms of screening for risky stimulant use?</w:t>
      </w:r>
    </w:p>
    <w:p w14:paraId="69C89E62" w14:textId="5FE0EB2A" w:rsidR="005D3271" w:rsidRPr="007D4CB3" w:rsidRDefault="005D3271" w:rsidP="00FC7CE6">
      <w:pPr>
        <w:pStyle w:val="StUDRecs"/>
        <w:numPr>
          <w:ilvl w:val="1"/>
          <w:numId w:val="60"/>
        </w:numPr>
        <w:spacing w:before="0" w:after="0" w:line="360" w:lineRule="auto"/>
        <w:rPr>
          <w:rFonts w:ascii="Times New Roman" w:hAnsi="Times New Roman" w:cs="Times New Roman"/>
        </w:rPr>
      </w:pPr>
      <w:r w:rsidRPr="007D4CB3">
        <w:rPr>
          <w:rFonts w:ascii="Times New Roman" w:hAnsi="Times New Roman" w:cs="Times New Roman"/>
        </w:rPr>
        <w:t xml:space="preserve">Do brief counseling interventions to reduce stimulant use, with or without referral, reduce stimulant use or improve other risky behaviors in </w:t>
      </w:r>
      <w:r w:rsidR="00363853" w:rsidRPr="007D4CB3">
        <w:rPr>
          <w:rFonts w:ascii="Times New Roman" w:hAnsi="Times New Roman" w:cs="Times New Roman"/>
        </w:rPr>
        <w:t xml:space="preserve">patients with a positive </w:t>
      </w:r>
      <w:r w:rsidRPr="007D4CB3">
        <w:rPr>
          <w:rFonts w:ascii="Times New Roman" w:hAnsi="Times New Roman" w:cs="Times New Roman"/>
        </w:rPr>
        <w:t>screen?</w:t>
      </w:r>
    </w:p>
    <w:p w14:paraId="5070FD14" w14:textId="52AA92EF" w:rsidR="005D3271" w:rsidRPr="007D4CB3" w:rsidRDefault="005D3271" w:rsidP="00FC7CE6">
      <w:pPr>
        <w:pStyle w:val="StUDRecs"/>
        <w:numPr>
          <w:ilvl w:val="1"/>
          <w:numId w:val="60"/>
        </w:numPr>
        <w:spacing w:before="0" w:after="0" w:line="360" w:lineRule="auto"/>
        <w:rPr>
          <w:rFonts w:ascii="Times New Roman" w:hAnsi="Times New Roman" w:cs="Times New Roman"/>
        </w:rPr>
      </w:pPr>
      <w:r w:rsidRPr="007D4CB3">
        <w:rPr>
          <w:rFonts w:ascii="Times New Roman" w:eastAsia="Calibri" w:hAnsi="Times New Roman" w:cs="Times New Roman"/>
        </w:rPr>
        <w:t xml:space="preserve">What are the harms of brief interventions to reduce stimulant use in </w:t>
      </w:r>
      <w:r w:rsidR="00363853" w:rsidRPr="007D4CB3">
        <w:rPr>
          <w:rFonts w:ascii="Times New Roman" w:eastAsia="Calibri" w:hAnsi="Times New Roman" w:cs="Times New Roman"/>
        </w:rPr>
        <w:t xml:space="preserve">patients with a positive </w:t>
      </w:r>
      <w:r w:rsidRPr="007D4CB3">
        <w:rPr>
          <w:rFonts w:ascii="Times New Roman" w:eastAsia="Calibri" w:hAnsi="Times New Roman" w:cs="Times New Roman"/>
        </w:rPr>
        <w:t>screen?</w:t>
      </w:r>
    </w:p>
    <w:p w14:paraId="19A9BC30" w14:textId="77777777" w:rsidR="005D3271" w:rsidRPr="007D4CB3" w:rsidRDefault="005D3271" w:rsidP="00FC7CE6">
      <w:pPr>
        <w:pStyle w:val="Heading2"/>
        <w:spacing w:before="0" w:after="0" w:line="360" w:lineRule="auto"/>
        <w:rPr>
          <w:rFonts w:ascii="Times New Roman" w:hAnsi="Times New Roman" w:cs="Times New Roman"/>
          <w:sz w:val="24"/>
        </w:rPr>
      </w:pPr>
      <w:bookmarkStart w:id="14" w:name="_Toc144381385"/>
      <w:r w:rsidRPr="007D4CB3">
        <w:rPr>
          <w:rFonts w:ascii="Times New Roman" w:hAnsi="Times New Roman" w:cs="Times New Roman"/>
          <w:sz w:val="24"/>
        </w:rPr>
        <w:t>Secondary and Tertiary Prevention</w:t>
      </w:r>
      <w:bookmarkEnd w:id="14"/>
    </w:p>
    <w:p w14:paraId="1FA541B3" w14:textId="7B6CE744" w:rsidR="005D3271" w:rsidRPr="007D4CB3" w:rsidRDefault="005D3271" w:rsidP="00FC7CE6">
      <w:pPr>
        <w:pStyle w:val="Heading3-backmatter"/>
        <w:spacing w:before="0" w:after="0" w:line="360" w:lineRule="auto"/>
        <w:rPr>
          <w:rFonts w:ascii="Times New Roman" w:hAnsi="Times New Roman" w:cs="Times New Roman"/>
          <w:sz w:val="24"/>
        </w:rPr>
      </w:pPr>
      <w:r w:rsidRPr="007D4CB3">
        <w:rPr>
          <w:rFonts w:ascii="Times New Roman" w:hAnsi="Times New Roman" w:cs="Times New Roman"/>
          <w:sz w:val="24"/>
        </w:rPr>
        <w:t>Screening</w:t>
      </w:r>
    </w:p>
    <w:p w14:paraId="21D635B6" w14:textId="5F56C10A" w:rsidR="005D3271" w:rsidRPr="007D4CB3" w:rsidRDefault="0089044A" w:rsidP="00FC7CE6">
      <w:pPr>
        <w:pStyle w:val="StUDRecs"/>
        <w:numPr>
          <w:ilvl w:val="0"/>
          <w:numId w:val="0"/>
        </w:numPr>
        <w:spacing w:before="0" w:after="0" w:line="360" w:lineRule="auto"/>
        <w:rPr>
          <w:rFonts w:ascii="Times New Roman" w:hAnsi="Times New Roman" w:cs="Times New Roman"/>
        </w:rPr>
      </w:pPr>
      <w:r w:rsidRPr="007D4CB3">
        <w:rPr>
          <w:rFonts w:ascii="Times New Roman" w:hAnsi="Times New Roman" w:cs="Times New Roman"/>
        </w:rPr>
        <w:t xml:space="preserve">1. </w:t>
      </w:r>
      <w:r w:rsidR="005D3271" w:rsidRPr="007D4CB3">
        <w:rPr>
          <w:rFonts w:ascii="Times New Roman" w:hAnsi="Times New Roman" w:cs="Times New Roman"/>
        </w:rPr>
        <w:t xml:space="preserve">Screening for </w:t>
      </w:r>
      <w:r w:rsidR="001C76DA" w:rsidRPr="007D4CB3">
        <w:rPr>
          <w:rFonts w:ascii="Times New Roman" w:hAnsi="Times New Roman" w:cs="Times New Roman"/>
        </w:rPr>
        <w:t>S</w:t>
      </w:r>
      <w:r w:rsidR="005D3271" w:rsidRPr="007D4CB3">
        <w:rPr>
          <w:rFonts w:ascii="Times New Roman" w:hAnsi="Times New Roman" w:cs="Times New Roman"/>
        </w:rPr>
        <w:t>timulant</w:t>
      </w:r>
      <w:r w:rsidR="001C76DA" w:rsidRPr="007D4CB3">
        <w:rPr>
          <w:rFonts w:ascii="Times New Roman" w:hAnsi="Times New Roman" w:cs="Times New Roman"/>
        </w:rPr>
        <w:t>s</w:t>
      </w:r>
      <w:r w:rsidR="00363853" w:rsidRPr="007D4CB3">
        <w:rPr>
          <w:rFonts w:ascii="Times New Roman" w:hAnsi="Times New Roman" w:cs="Times New Roman"/>
        </w:rPr>
        <w:t xml:space="preserve"> (Table </w:t>
      </w:r>
      <w:r w:rsidR="007D776E" w:rsidRPr="007D4CB3">
        <w:rPr>
          <w:rFonts w:ascii="Times New Roman" w:hAnsi="Times New Roman" w:cs="Times New Roman"/>
        </w:rPr>
        <w:t>47</w:t>
      </w:r>
      <w:r w:rsidR="00363853" w:rsidRPr="007D4CB3">
        <w:rPr>
          <w:rFonts w:ascii="Times New Roman" w:hAnsi="Times New Roman" w:cs="Times New Roman"/>
        </w:rPr>
        <w:t>):</w:t>
      </w:r>
    </w:p>
    <w:p w14:paraId="31D75E1C" w14:textId="2EC11893" w:rsidR="005D3271" w:rsidRPr="007D4CB3" w:rsidRDefault="00363853" w:rsidP="00FC7CE6">
      <w:pPr>
        <w:pStyle w:val="StUDRecs"/>
        <w:numPr>
          <w:ilvl w:val="0"/>
          <w:numId w:val="61"/>
        </w:numPr>
        <w:spacing w:before="0" w:after="0" w:line="360" w:lineRule="auto"/>
        <w:rPr>
          <w:rFonts w:ascii="Times New Roman" w:hAnsi="Times New Roman" w:cs="Times New Roman"/>
        </w:rPr>
      </w:pPr>
      <w:r w:rsidRPr="007D4CB3">
        <w:rPr>
          <w:rFonts w:ascii="Times New Roman" w:hAnsi="Times New Roman" w:cs="Times New Roman"/>
        </w:rPr>
        <w:t>How</w:t>
      </w:r>
      <w:r w:rsidR="005D3271" w:rsidRPr="007D4CB3">
        <w:rPr>
          <w:rFonts w:ascii="Times New Roman" w:hAnsi="Times New Roman" w:cs="Times New Roman"/>
        </w:rPr>
        <w:t xml:space="preserve"> accura</w:t>
      </w:r>
      <w:r w:rsidRPr="007D4CB3">
        <w:rPr>
          <w:rFonts w:ascii="Times New Roman" w:hAnsi="Times New Roman" w:cs="Times New Roman"/>
        </w:rPr>
        <w:t>te</w:t>
      </w:r>
      <w:r w:rsidR="005D3271" w:rsidRPr="007D4CB3">
        <w:rPr>
          <w:rFonts w:ascii="Times New Roman" w:hAnsi="Times New Roman" w:cs="Times New Roman"/>
        </w:rPr>
        <w:t xml:space="preserve"> </w:t>
      </w:r>
      <w:r w:rsidRPr="007D4CB3">
        <w:rPr>
          <w:rFonts w:ascii="Times New Roman" w:hAnsi="Times New Roman" w:cs="Times New Roman"/>
        </w:rPr>
        <w:t>are</w:t>
      </w:r>
      <w:r w:rsidR="005D3271" w:rsidRPr="007D4CB3">
        <w:rPr>
          <w:rFonts w:ascii="Times New Roman" w:hAnsi="Times New Roman" w:cs="Times New Roman"/>
        </w:rPr>
        <w:t xml:space="preserve"> drug use screening </w:t>
      </w:r>
      <w:r w:rsidRPr="007D4CB3">
        <w:rPr>
          <w:rFonts w:ascii="Times New Roman" w:hAnsi="Times New Roman" w:cs="Times New Roman"/>
        </w:rPr>
        <w:t>i</w:t>
      </w:r>
      <w:r w:rsidR="005D3271" w:rsidRPr="007D4CB3">
        <w:rPr>
          <w:rFonts w:ascii="Times New Roman" w:hAnsi="Times New Roman" w:cs="Times New Roman"/>
        </w:rPr>
        <w:t>nstruments for risky stimulant use?</w:t>
      </w:r>
    </w:p>
    <w:p w14:paraId="2E422D97" w14:textId="77777777" w:rsidR="005D3271" w:rsidRPr="007D4CB3" w:rsidRDefault="005D3271" w:rsidP="00FC7CE6">
      <w:pPr>
        <w:pStyle w:val="StUDRecs"/>
        <w:numPr>
          <w:ilvl w:val="0"/>
          <w:numId w:val="61"/>
        </w:numPr>
        <w:spacing w:before="0" w:after="0" w:line="360" w:lineRule="auto"/>
        <w:rPr>
          <w:rFonts w:ascii="Times New Roman" w:hAnsi="Times New Roman" w:cs="Times New Roman"/>
        </w:rPr>
      </w:pPr>
      <w:r w:rsidRPr="007D4CB3">
        <w:rPr>
          <w:rFonts w:ascii="Times New Roman" w:hAnsi="Times New Roman" w:cs="Times New Roman"/>
        </w:rPr>
        <w:t>Does screening for stimulant use reduce stimulant use or improve other risky behaviors?</w:t>
      </w:r>
    </w:p>
    <w:p w14:paraId="3BDBD664" w14:textId="77777777" w:rsidR="005D3271" w:rsidRPr="007D4CB3" w:rsidRDefault="005D3271" w:rsidP="00FC7CE6">
      <w:pPr>
        <w:pStyle w:val="StUDRecs"/>
        <w:numPr>
          <w:ilvl w:val="0"/>
          <w:numId w:val="61"/>
        </w:numPr>
        <w:spacing w:before="0" w:after="0" w:line="360" w:lineRule="auto"/>
        <w:rPr>
          <w:rFonts w:ascii="Times New Roman" w:hAnsi="Times New Roman" w:cs="Times New Roman"/>
        </w:rPr>
      </w:pPr>
      <w:r w:rsidRPr="007D4CB3">
        <w:rPr>
          <w:rFonts w:ascii="Times New Roman" w:hAnsi="Times New Roman" w:cs="Times New Roman"/>
        </w:rPr>
        <w:t>What are the harms of screening for risky stimulant use?</w:t>
      </w:r>
    </w:p>
    <w:p w14:paraId="57F8ECB4" w14:textId="11549795" w:rsidR="002C343C" w:rsidRPr="007D4CB3" w:rsidRDefault="005D3271" w:rsidP="00FC7CE6">
      <w:pPr>
        <w:pStyle w:val="StUDRecs"/>
        <w:keepNext/>
        <w:numPr>
          <w:ilvl w:val="0"/>
          <w:numId w:val="65"/>
        </w:numPr>
        <w:spacing w:before="0" w:after="0" w:line="360" w:lineRule="auto"/>
        <w:rPr>
          <w:rFonts w:ascii="Times New Roman" w:hAnsi="Times New Roman" w:cs="Times New Roman"/>
        </w:rPr>
      </w:pPr>
      <w:r w:rsidRPr="007D4CB3">
        <w:rPr>
          <w:rFonts w:ascii="Times New Roman" w:hAnsi="Times New Roman" w:cs="Times New Roman"/>
        </w:rPr>
        <w:t xml:space="preserve">Screening for </w:t>
      </w:r>
      <w:r w:rsidR="001C76DA" w:rsidRPr="007D4CB3">
        <w:rPr>
          <w:rFonts w:ascii="Times New Roman" w:hAnsi="Times New Roman" w:cs="Times New Roman"/>
        </w:rPr>
        <w:t>Prescription Psychostimulants</w:t>
      </w:r>
      <w:r w:rsidR="00A377EF" w:rsidRPr="007D4CB3">
        <w:rPr>
          <w:rFonts w:ascii="Times New Roman" w:hAnsi="Times New Roman" w:cs="Times New Roman"/>
        </w:rPr>
        <w:t xml:space="preserve"> (Table </w:t>
      </w:r>
      <w:r w:rsidR="00435D4C" w:rsidRPr="007D4CB3">
        <w:rPr>
          <w:rFonts w:ascii="Times New Roman" w:hAnsi="Times New Roman" w:cs="Times New Roman"/>
        </w:rPr>
        <w:t>48</w:t>
      </w:r>
      <w:r w:rsidR="00A377EF" w:rsidRPr="007D4CB3">
        <w:rPr>
          <w:rFonts w:ascii="Times New Roman" w:hAnsi="Times New Roman" w:cs="Times New Roman"/>
        </w:rPr>
        <w:t>):</w:t>
      </w:r>
    </w:p>
    <w:p w14:paraId="7BBCA0AD" w14:textId="0E30DD65" w:rsidR="005D3271" w:rsidRPr="007D4CB3" w:rsidRDefault="005137A5" w:rsidP="00FC7CE6">
      <w:pPr>
        <w:pStyle w:val="StUDRecs"/>
        <w:numPr>
          <w:ilvl w:val="0"/>
          <w:numId w:val="66"/>
        </w:numPr>
        <w:spacing w:before="0" w:after="0" w:line="360" w:lineRule="auto"/>
        <w:rPr>
          <w:rFonts w:ascii="Times New Roman" w:hAnsi="Times New Roman" w:cs="Times New Roman"/>
        </w:rPr>
      </w:pPr>
      <w:r w:rsidRPr="007D4CB3">
        <w:rPr>
          <w:rFonts w:ascii="Times New Roman" w:hAnsi="Times New Roman" w:cs="Times New Roman"/>
        </w:rPr>
        <w:t xml:space="preserve">What additional considerations should </w:t>
      </w:r>
      <w:proofErr w:type="gramStart"/>
      <w:r w:rsidRPr="007D4CB3">
        <w:rPr>
          <w:rFonts w:ascii="Times New Roman" w:hAnsi="Times New Roman" w:cs="Times New Roman"/>
        </w:rPr>
        <w:t>be applied</w:t>
      </w:r>
      <w:proofErr w:type="gramEnd"/>
      <w:r w:rsidRPr="007D4CB3">
        <w:rPr>
          <w:rFonts w:ascii="Times New Roman" w:hAnsi="Times New Roman" w:cs="Times New Roman"/>
        </w:rPr>
        <w:t xml:space="preserve"> when screening for prescription psychostimulant misuse?</w:t>
      </w:r>
    </w:p>
    <w:p w14:paraId="1F3551C9" w14:textId="71404FA0" w:rsidR="002C343C" w:rsidRPr="007D4CB3" w:rsidRDefault="005D3271" w:rsidP="00FC7CE6">
      <w:pPr>
        <w:pStyle w:val="StUDRecs"/>
        <w:numPr>
          <w:ilvl w:val="0"/>
          <w:numId w:val="65"/>
        </w:numPr>
        <w:spacing w:before="0" w:after="0" w:line="360" w:lineRule="auto"/>
        <w:rPr>
          <w:rFonts w:ascii="Times New Roman" w:hAnsi="Times New Roman" w:cs="Times New Roman"/>
        </w:rPr>
      </w:pPr>
      <w:r w:rsidRPr="007D4CB3">
        <w:rPr>
          <w:rFonts w:ascii="Times New Roman" w:hAnsi="Times New Roman" w:cs="Times New Roman"/>
        </w:rPr>
        <w:t xml:space="preserve">Check </w:t>
      </w:r>
      <w:r w:rsidR="001C76DA" w:rsidRPr="007D4CB3">
        <w:rPr>
          <w:rFonts w:ascii="Times New Roman" w:hAnsi="Times New Roman" w:cs="Times New Roman"/>
        </w:rPr>
        <w:t>Prescription Drug Monitoring Program</w:t>
      </w:r>
      <w:r w:rsidRPr="007D4CB3">
        <w:rPr>
          <w:rFonts w:ascii="Times New Roman" w:hAnsi="Times New Roman" w:cs="Times New Roman"/>
        </w:rPr>
        <w:t xml:space="preserve"> </w:t>
      </w:r>
      <w:r w:rsidR="009805FB" w:rsidRPr="007D4CB3">
        <w:rPr>
          <w:rFonts w:ascii="Times New Roman" w:hAnsi="Times New Roman" w:cs="Times New Roman"/>
        </w:rPr>
        <w:t>(Table </w:t>
      </w:r>
      <w:r w:rsidR="00435D4C" w:rsidRPr="007D4CB3">
        <w:rPr>
          <w:rFonts w:ascii="Times New Roman" w:hAnsi="Times New Roman" w:cs="Times New Roman"/>
        </w:rPr>
        <w:t>49</w:t>
      </w:r>
      <w:r w:rsidR="009805FB" w:rsidRPr="007D4CB3">
        <w:rPr>
          <w:rFonts w:ascii="Times New Roman" w:hAnsi="Times New Roman" w:cs="Times New Roman"/>
        </w:rPr>
        <w:t>):</w:t>
      </w:r>
    </w:p>
    <w:p w14:paraId="0E6D11B3" w14:textId="0DC170B9" w:rsidR="005D3271" w:rsidRPr="007D4CB3" w:rsidRDefault="003E2371" w:rsidP="00FC7CE6">
      <w:pPr>
        <w:pStyle w:val="StUDRecs"/>
        <w:numPr>
          <w:ilvl w:val="1"/>
          <w:numId w:val="65"/>
        </w:numPr>
        <w:spacing w:before="0" w:after="0" w:line="360" w:lineRule="auto"/>
        <w:rPr>
          <w:rFonts w:ascii="Times New Roman" w:hAnsi="Times New Roman" w:cs="Times New Roman"/>
        </w:rPr>
      </w:pPr>
      <w:r w:rsidRPr="007D4CB3">
        <w:rPr>
          <w:rFonts w:ascii="Times New Roman" w:hAnsi="Times New Roman" w:cs="Times New Roman"/>
        </w:rPr>
        <w:t>What are the benefits and harms of checking PDMPs for patients with StUD?</w:t>
      </w:r>
    </w:p>
    <w:p w14:paraId="094CB574" w14:textId="77777777" w:rsidR="005D3271" w:rsidRPr="007D4CB3" w:rsidRDefault="005D3271" w:rsidP="00FC7CE6">
      <w:pPr>
        <w:pStyle w:val="Heading3-backmatter"/>
        <w:spacing w:before="0" w:after="0" w:line="360" w:lineRule="auto"/>
        <w:rPr>
          <w:rFonts w:ascii="Times New Roman" w:hAnsi="Times New Roman" w:cs="Times New Roman"/>
          <w:sz w:val="24"/>
        </w:rPr>
      </w:pPr>
      <w:r w:rsidRPr="007D4CB3">
        <w:rPr>
          <w:rFonts w:ascii="Times New Roman" w:hAnsi="Times New Roman" w:cs="Times New Roman"/>
          <w:sz w:val="24"/>
        </w:rPr>
        <w:lastRenderedPageBreak/>
        <w:t>Assessment</w:t>
      </w:r>
    </w:p>
    <w:p w14:paraId="42ED9BB8" w14:textId="5910F7C6" w:rsidR="002C343C" w:rsidRPr="007D4CB3" w:rsidRDefault="005D3271" w:rsidP="00FC7CE6">
      <w:pPr>
        <w:pStyle w:val="StUDRecs"/>
        <w:numPr>
          <w:ilvl w:val="0"/>
          <w:numId w:val="62"/>
        </w:numPr>
        <w:spacing w:before="0" w:after="0" w:line="360" w:lineRule="auto"/>
        <w:rPr>
          <w:rFonts w:ascii="Times New Roman" w:hAnsi="Times New Roman" w:cs="Times New Roman"/>
        </w:rPr>
      </w:pPr>
      <w:r w:rsidRPr="007D4CB3">
        <w:rPr>
          <w:rFonts w:ascii="Times New Roman" w:hAnsi="Times New Roman" w:cs="Times New Roman"/>
        </w:rPr>
        <w:t>Assess</w:t>
      </w:r>
      <w:r w:rsidR="00B26D23" w:rsidRPr="007D4CB3">
        <w:rPr>
          <w:rFonts w:ascii="Times New Roman" w:hAnsi="Times New Roman" w:cs="Times New Roman"/>
        </w:rPr>
        <w:t>ing</w:t>
      </w:r>
      <w:r w:rsidRPr="007D4CB3">
        <w:rPr>
          <w:rFonts w:ascii="Times New Roman" w:hAnsi="Times New Roman" w:cs="Times New Roman"/>
        </w:rPr>
        <w:t xml:space="preserve"> </w:t>
      </w:r>
      <w:r w:rsidR="00E867BF" w:rsidRPr="007D4CB3">
        <w:rPr>
          <w:rFonts w:ascii="Times New Roman" w:hAnsi="Times New Roman" w:cs="Times New Roman"/>
        </w:rPr>
        <w:t>R</w:t>
      </w:r>
      <w:r w:rsidRPr="007D4CB3">
        <w:rPr>
          <w:rFonts w:ascii="Times New Roman" w:hAnsi="Times New Roman" w:cs="Times New Roman"/>
        </w:rPr>
        <w:t xml:space="preserve">oute </w:t>
      </w:r>
      <w:r w:rsidR="00E867BF" w:rsidRPr="007D4CB3">
        <w:rPr>
          <w:rFonts w:ascii="Times New Roman" w:hAnsi="Times New Roman" w:cs="Times New Roman"/>
        </w:rPr>
        <w:t>C</w:t>
      </w:r>
      <w:r w:rsidRPr="007D4CB3">
        <w:rPr>
          <w:rFonts w:ascii="Times New Roman" w:hAnsi="Times New Roman" w:cs="Times New Roman"/>
        </w:rPr>
        <w:t xml:space="preserve">omplications – </w:t>
      </w:r>
      <w:r w:rsidR="00E867BF" w:rsidRPr="007D4CB3">
        <w:rPr>
          <w:rFonts w:ascii="Times New Roman" w:hAnsi="Times New Roman" w:cs="Times New Roman"/>
        </w:rPr>
        <w:t>P</w:t>
      </w:r>
      <w:r w:rsidRPr="007D4CB3">
        <w:rPr>
          <w:rFonts w:ascii="Times New Roman" w:hAnsi="Times New Roman" w:cs="Times New Roman"/>
        </w:rPr>
        <w:t xml:space="preserve">revention </w:t>
      </w:r>
      <w:r w:rsidR="00B26D23" w:rsidRPr="007D4CB3">
        <w:rPr>
          <w:rFonts w:ascii="Times New Roman" w:hAnsi="Times New Roman" w:cs="Times New Roman"/>
        </w:rPr>
        <w:t>(Table </w:t>
      </w:r>
      <w:r w:rsidR="00E867BF" w:rsidRPr="007D4CB3">
        <w:rPr>
          <w:rFonts w:ascii="Times New Roman" w:hAnsi="Times New Roman" w:cs="Times New Roman"/>
        </w:rPr>
        <w:t>50</w:t>
      </w:r>
      <w:r w:rsidR="00B26D23" w:rsidRPr="007D4CB3">
        <w:rPr>
          <w:rFonts w:ascii="Times New Roman" w:hAnsi="Times New Roman" w:cs="Times New Roman"/>
        </w:rPr>
        <w:t>):</w:t>
      </w:r>
    </w:p>
    <w:p w14:paraId="67E0F9F0" w14:textId="5766D49B" w:rsidR="009D5AC4" w:rsidRPr="007D4CB3" w:rsidRDefault="003E2371" w:rsidP="00FC7CE6">
      <w:pPr>
        <w:pStyle w:val="StUDRecs"/>
        <w:numPr>
          <w:ilvl w:val="1"/>
          <w:numId w:val="62"/>
        </w:numPr>
        <w:spacing w:before="0" w:after="0" w:line="360" w:lineRule="auto"/>
        <w:rPr>
          <w:rFonts w:ascii="Times New Roman" w:hAnsi="Times New Roman" w:cs="Times New Roman"/>
        </w:rPr>
      </w:pPr>
      <w:r w:rsidRPr="007D4CB3">
        <w:rPr>
          <w:rFonts w:ascii="Times New Roman" w:hAnsi="Times New Roman" w:cs="Times New Roman"/>
        </w:rPr>
        <w:t xml:space="preserve">What are effective strategies for assessing route of administration and related </w:t>
      </w:r>
      <w:r w:rsidR="00073360" w:rsidRPr="007D4CB3">
        <w:rPr>
          <w:rFonts w:ascii="Times New Roman" w:hAnsi="Times New Roman" w:cs="Times New Roman"/>
        </w:rPr>
        <w:t>history of complications?</w:t>
      </w:r>
    </w:p>
    <w:p w14:paraId="36592AAE" w14:textId="30B45DAB" w:rsidR="00FB667B" w:rsidRPr="007D4CB3" w:rsidRDefault="005D3271" w:rsidP="00FC7CE6">
      <w:pPr>
        <w:pStyle w:val="StUDRecs"/>
        <w:numPr>
          <w:ilvl w:val="0"/>
          <w:numId w:val="62"/>
        </w:numPr>
        <w:spacing w:before="0" w:after="0" w:line="360" w:lineRule="auto"/>
        <w:rPr>
          <w:rFonts w:ascii="Times New Roman" w:hAnsi="Times New Roman" w:cs="Times New Roman"/>
        </w:rPr>
      </w:pPr>
      <w:r w:rsidRPr="007D4CB3">
        <w:rPr>
          <w:rFonts w:ascii="Times New Roman" w:hAnsi="Times New Roman" w:cs="Times New Roman"/>
        </w:rPr>
        <w:t>Assess</w:t>
      </w:r>
      <w:r w:rsidR="00B26D23" w:rsidRPr="007D4CB3">
        <w:rPr>
          <w:rFonts w:ascii="Times New Roman" w:hAnsi="Times New Roman" w:cs="Times New Roman"/>
        </w:rPr>
        <w:t>ing</w:t>
      </w:r>
      <w:r w:rsidRPr="007D4CB3">
        <w:rPr>
          <w:rFonts w:ascii="Times New Roman" w:hAnsi="Times New Roman" w:cs="Times New Roman"/>
        </w:rPr>
        <w:t xml:space="preserve"> </w:t>
      </w:r>
      <w:r w:rsidR="00E867BF" w:rsidRPr="007D4CB3">
        <w:rPr>
          <w:rFonts w:ascii="Times New Roman" w:hAnsi="Times New Roman" w:cs="Times New Roman"/>
        </w:rPr>
        <w:t>R</w:t>
      </w:r>
      <w:r w:rsidRPr="007D4CB3">
        <w:rPr>
          <w:rFonts w:ascii="Times New Roman" w:hAnsi="Times New Roman" w:cs="Times New Roman"/>
        </w:rPr>
        <w:t xml:space="preserve">isky </w:t>
      </w:r>
      <w:r w:rsidR="00E867BF" w:rsidRPr="007D4CB3">
        <w:rPr>
          <w:rFonts w:ascii="Times New Roman" w:hAnsi="Times New Roman" w:cs="Times New Roman"/>
        </w:rPr>
        <w:t>P</w:t>
      </w:r>
      <w:r w:rsidRPr="007D4CB3">
        <w:rPr>
          <w:rFonts w:ascii="Times New Roman" w:hAnsi="Times New Roman" w:cs="Times New Roman"/>
        </w:rPr>
        <w:t>atterns</w:t>
      </w:r>
      <w:r w:rsidR="000D201B" w:rsidRPr="007D4CB3">
        <w:rPr>
          <w:rFonts w:ascii="Times New Roman" w:hAnsi="Times New Roman" w:cs="Times New Roman"/>
        </w:rPr>
        <w:t xml:space="preserve"> </w:t>
      </w:r>
      <w:r w:rsidRPr="007D4CB3">
        <w:rPr>
          <w:rFonts w:ascii="Times New Roman" w:hAnsi="Times New Roman" w:cs="Times New Roman"/>
        </w:rPr>
        <w:t xml:space="preserve">– </w:t>
      </w:r>
      <w:r w:rsidR="00E867BF" w:rsidRPr="007D4CB3">
        <w:rPr>
          <w:rFonts w:ascii="Times New Roman" w:hAnsi="Times New Roman" w:cs="Times New Roman"/>
        </w:rPr>
        <w:t>P</w:t>
      </w:r>
      <w:r w:rsidRPr="007D4CB3">
        <w:rPr>
          <w:rFonts w:ascii="Times New Roman" w:hAnsi="Times New Roman" w:cs="Times New Roman"/>
        </w:rPr>
        <w:t xml:space="preserve">revention </w:t>
      </w:r>
      <w:r w:rsidR="000D201B" w:rsidRPr="007D4CB3">
        <w:rPr>
          <w:rFonts w:ascii="Times New Roman" w:hAnsi="Times New Roman" w:cs="Times New Roman"/>
        </w:rPr>
        <w:t>(Table </w:t>
      </w:r>
      <w:r w:rsidR="00E867BF" w:rsidRPr="007D4CB3">
        <w:rPr>
          <w:rFonts w:ascii="Times New Roman" w:hAnsi="Times New Roman" w:cs="Times New Roman"/>
        </w:rPr>
        <w:t>51</w:t>
      </w:r>
      <w:r w:rsidR="000D201B" w:rsidRPr="007D4CB3">
        <w:rPr>
          <w:rFonts w:ascii="Times New Roman" w:hAnsi="Times New Roman" w:cs="Times New Roman"/>
        </w:rPr>
        <w:t>):</w:t>
      </w:r>
    </w:p>
    <w:p w14:paraId="68F97B50" w14:textId="1B34F1A5" w:rsidR="005D3271" w:rsidRPr="007D4CB3" w:rsidRDefault="00DD3863" w:rsidP="00FC7CE6">
      <w:pPr>
        <w:pStyle w:val="StUDRecs"/>
        <w:numPr>
          <w:ilvl w:val="1"/>
          <w:numId w:val="62"/>
        </w:numPr>
        <w:spacing w:before="0" w:after="0" w:line="360" w:lineRule="auto"/>
        <w:rPr>
          <w:rFonts w:ascii="Times New Roman" w:hAnsi="Times New Roman" w:cs="Times New Roman"/>
        </w:rPr>
      </w:pPr>
      <w:r w:rsidRPr="007D4CB3">
        <w:rPr>
          <w:rFonts w:ascii="Times New Roman" w:hAnsi="Times New Roman" w:cs="Times New Roman"/>
        </w:rPr>
        <w:t>What are effective strategies for assessing risky patterns of stimulant use?</w:t>
      </w:r>
    </w:p>
    <w:p w14:paraId="5A2B9892" w14:textId="60EABD88" w:rsidR="00DD3863" w:rsidRPr="007D4CB3" w:rsidRDefault="005D3271" w:rsidP="00FC7CE6">
      <w:pPr>
        <w:pStyle w:val="StUDRecs"/>
        <w:numPr>
          <w:ilvl w:val="0"/>
          <w:numId w:val="62"/>
        </w:numPr>
        <w:spacing w:before="0" w:after="0" w:line="360" w:lineRule="auto"/>
        <w:rPr>
          <w:rFonts w:ascii="Times New Roman" w:hAnsi="Times New Roman" w:cs="Times New Roman"/>
        </w:rPr>
      </w:pPr>
      <w:r w:rsidRPr="007D4CB3">
        <w:rPr>
          <w:rFonts w:ascii="Times New Roman" w:hAnsi="Times New Roman" w:cs="Times New Roman"/>
        </w:rPr>
        <w:t>Assess</w:t>
      </w:r>
      <w:r w:rsidR="000D201B" w:rsidRPr="007D4CB3">
        <w:rPr>
          <w:rFonts w:ascii="Times New Roman" w:hAnsi="Times New Roman" w:cs="Times New Roman"/>
        </w:rPr>
        <w:t>ing</w:t>
      </w:r>
      <w:r w:rsidRPr="007D4CB3">
        <w:rPr>
          <w:rFonts w:ascii="Times New Roman" w:hAnsi="Times New Roman" w:cs="Times New Roman"/>
        </w:rPr>
        <w:t xml:space="preserve"> </w:t>
      </w:r>
      <w:r w:rsidR="00E867BF" w:rsidRPr="007D4CB3">
        <w:rPr>
          <w:rFonts w:ascii="Times New Roman" w:hAnsi="Times New Roman" w:cs="Times New Roman"/>
        </w:rPr>
        <w:t>R</w:t>
      </w:r>
      <w:r w:rsidRPr="007D4CB3">
        <w:rPr>
          <w:rFonts w:ascii="Times New Roman" w:hAnsi="Times New Roman" w:cs="Times New Roman"/>
        </w:rPr>
        <w:t xml:space="preserve">isky </w:t>
      </w:r>
      <w:r w:rsidR="00E867BF" w:rsidRPr="007D4CB3">
        <w:rPr>
          <w:rFonts w:ascii="Times New Roman" w:hAnsi="Times New Roman" w:cs="Times New Roman"/>
        </w:rPr>
        <w:t>S</w:t>
      </w:r>
      <w:r w:rsidRPr="007D4CB3">
        <w:rPr>
          <w:rFonts w:ascii="Times New Roman" w:hAnsi="Times New Roman" w:cs="Times New Roman"/>
        </w:rPr>
        <w:t xml:space="preserve">ex – </w:t>
      </w:r>
      <w:r w:rsidR="00EF1243" w:rsidRPr="007D4CB3">
        <w:rPr>
          <w:rFonts w:ascii="Times New Roman" w:hAnsi="Times New Roman" w:cs="Times New Roman"/>
        </w:rPr>
        <w:t>P</w:t>
      </w:r>
      <w:r w:rsidRPr="007D4CB3">
        <w:rPr>
          <w:rFonts w:ascii="Times New Roman" w:hAnsi="Times New Roman" w:cs="Times New Roman"/>
        </w:rPr>
        <w:t xml:space="preserve">revention </w:t>
      </w:r>
      <w:r w:rsidR="002F64A1" w:rsidRPr="007D4CB3">
        <w:rPr>
          <w:rFonts w:ascii="Times New Roman" w:hAnsi="Times New Roman" w:cs="Times New Roman"/>
        </w:rPr>
        <w:t>(Table </w:t>
      </w:r>
      <w:r w:rsidR="00E867BF" w:rsidRPr="007D4CB3">
        <w:rPr>
          <w:rFonts w:ascii="Times New Roman" w:hAnsi="Times New Roman" w:cs="Times New Roman"/>
        </w:rPr>
        <w:t>52</w:t>
      </w:r>
      <w:r w:rsidR="002F64A1" w:rsidRPr="007D4CB3">
        <w:rPr>
          <w:rFonts w:ascii="Times New Roman" w:hAnsi="Times New Roman" w:cs="Times New Roman"/>
        </w:rPr>
        <w:t>):</w:t>
      </w:r>
    </w:p>
    <w:p w14:paraId="45FCAA64" w14:textId="10A9C379" w:rsidR="005D3271" w:rsidRPr="007D4CB3" w:rsidRDefault="00DD3863" w:rsidP="00FC7CE6">
      <w:pPr>
        <w:pStyle w:val="StUDRecs"/>
        <w:numPr>
          <w:ilvl w:val="1"/>
          <w:numId w:val="62"/>
        </w:numPr>
        <w:spacing w:before="0" w:after="0" w:line="360" w:lineRule="auto"/>
        <w:rPr>
          <w:rFonts w:ascii="Times New Roman" w:hAnsi="Times New Roman" w:cs="Times New Roman"/>
        </w:rPr>
      </w:pPr>
      <w:r w:rsidRPr="007D4CB3">
        <w:rPr>
          <w:rFonts w:ascii="Times New Roman" w:hAnsi="Times New Roman" w:cs="Times New Roman"/>
        </w:rPr>
        <w:t xml:space="preserve">What are effective strategies for assessing risky sexual behaviors in patients with </w:t>
      </w:r>
      <w:r w:rsidR="004E4F7C" w:rsidRPr="007D4CB3">
        <w:rPr>
          <w:rFonts w:ascii="Times New Roman" w:hAnsi="Times New Roman" w:cs="Times New Roman"/>
        </w:rPr>
        <w:t>SUD</w:t>
      </w:r>
      <w:r w:rsidR="00751161" w:rsidRPr="007D4CB3">
        <w:rPr>
          <w:rFonts w:ascii="Times New Roman" w:hAnsi="Times New Roman" w:cs="Times New Roman"/>
        </w:rPr>
        <w:t>/StUD</w:t>
      </w:r>
      <w:r w:rsidR="004E4F7C" w:rsidRPr="007D4CB3">
        <w:rPr>
          <w:rFonts w:ascii="Times New Roman" w:hAnsi="Times New Roman" w:cs="Times New Roman"/>
        </w:rPr>
        <w:t>?</w:t>
      </w:r>
    </w:p>
    <w:p w14:paraId="35C51FC2" w14:textId="3130FD4F" w:rsidR="004E4F7C" w:rsidRPr="007D4CB3" w:rsidRDefault="005D3271" w:rsidP="00FC7CE6">
      <w:pPr>
        <w:pStyle w:val="StUDRecs"/>
        <w:numPr>
          <w:ilvl w:val="0"/>
          <w:numId w:val="62"/>
        </w:numPr>
        <w:spacing w:before="0" w:after="0" w:line="360" w:lineRule="auto"/>
        <w:rPr>
          <w:rFonts w:ascii="Times New Roman" w:hAnsi="Times New Roman" w:cs="Times New Roman"/>
        </w:rPr>
      </w:pPr>
      <w:r w:rsidRPr="007D4CB3">
        <w:rPr>
          <w:rFonts w:ascii="Times New Roman" w:hAnsi="Times New Roman" w:cs="Times New Roman"/>
        </w:rPr>
        <w:t>Assess</w:t>
      </w:r>
      <w:r w:rsidR="002F64A1" w:rsidRPr="007D4CB3">
        <w:rPr>
          <w:rFonts w:ascii="Times New Roman" w:hAnsi="Times New Roman" w:cs="Times New Roman"/>
        </w:rPr>
        <w:t>ing</w:t>
      </w:r>
      <w:r w:rsidRPr="007D4CB3">
        <w:rPr>
          <w:rFonts w:ascii="Times New Roman" w:hAnsi="Times New Roman" w:cs="Times New Roman"/>
        </w:rPr>
        <w:t xml:space="preserve"> </w:t>
      </w:r>
      <w:r w:rsidR="000435BA" w:rsidRPr="007D4CB3">
        <w:rPr>
          <w:rFonts w:ascii="Times New Roman" w:hAnsi="Times New Roman" w:cs="Times New Roman"/>
        </w:rPr>
        <w:t>c</w:t>
      </w:r>
      <w:r w:rsidRPr="007D4CB3">
        <w:rPr>
          <w:rFonts w:ascii="Times New Roman" w:hAnsi="Times New Roman" w:cs="Times New Roman"/>
        </w:rPr>
        <w:t xml:space="preserve">ontext </w:t>
      </w:r>
      <w:r w:rsidR="000435BA" w:rsidRPr="007D4CB3">
        <w:rPr>
          <w:rFonts w:ascii="Times New Roman" w:hAnsi="Times New Roman" w:cs="Times New Roman"/>
        </w:rPr>
        <w:t xml:space="preserve">of stimulant use </w:t>
      </w:r>
      <w:r w:rsidRPr="007D4CB3">
        <w:rPr>
          <w:rFonts w:ascii="Times New Roman" w:hAnsi="Times New Roman" w:cs="Times New Roman"/>
        </w:rPr>
        <w:t xml:space="preserve">– </w:t>
      </w:r>
      <w:r w:rsidR="000435BA" w:rsidRPr="007D4CB3">
        <w:rPr>
          <w:rFonts w:ascii="Times New Roman" w:hAnsi="Times New Roman" w:cs="Times New Roman"/>
        </w:rPr>
        <w:t>p</w:t>
      </w:r>
      <w:r w:rsidRPr="007D4CB3">
        <w:rPr>
          <w:rFonts w:ascii="Times New Roman" w:hAnsi="Times New Roman" w:cs="Times New Roman"/>
        </w:rPr>
        <w:t>revention</w:t>
      </w:r>
      <w:r w:rsidR="000435BA" w:rsidRPr="007D4CB3">
        <w:rPr>
          <w:rFonts w:ascii="Times New Roman" w:hAnsi="Times New Roman" w:cs="Times New Roman"/>
        </w:rPr>
        <w:t>:</w:t>
      </w:r>
    </w:p>
    <w:p w14:paraId="0921A19D" w14:textId="127549B4" w:rsidR="005D3271" w:rsidRPr="007D4CB3" w:rsidRDefault="004E4F7C" w:rsidP="00FC7CE6">
      <w:pPr>
        <w:pStyle w:val="StUDRecs"/>
        <w:numPr>
          <w:ilvl w:val="0"/>
          <w:numId w:val="67"/>
        </w:numPr>
        <w:spacing w:before="0" w:after="0" w:line="360" w:lineRule="auto"/>
        <w:rPr>
          <w:rFonts w:ascii="Times New Roman" w:hAnsi="Times New Roman" w:cs="Times New Roman"/>
        </w:rPr>
      </w:pPr>
      <w:r w:rsidRPr="007D4CB3">
        <w:rPr>
          <w:rFonts w:ascii="Times New Roman" w:hAnsi="Times New Roman" w:cs="Times New Roman"/>
        </w:rPr>
        <w:t>What are effective strategies for assessing the context of a patient’s stimulant use?</w:t>
      </w:r>
    </w:p>
    <w:p w14:paraId="6C2CEB32" w14:textId="3A1316BF" w:rsidR="004E4F7C" w:rsidRPr="007D4CB3" w:rsidRDefault="005D3271" w:rsidP="00FC7CE6">
      <w:pPr>
        <w:pStyle w:val="StUDRecs"/>
        <w:numPr>
          <w:ilvl w:val="0"/>
          <w:numId w:val="62"/>
        </w:numPr>
        <w:spacing w:before="0" w:after="0" w:line="360" w:lineRule="auto"/>
        <w:rPr>
          <w:rFonts w:ascii="Times New Roman" w:hAnsi="Times New Roman" w:cs="Times New Roman"/>
        </w:rPr>
      </w:pPr>
      <w:r w:rsidRPr="007D4CB3">
        <w:rPr>
          <w:rFonts w:ascii="Times New Roman" w:hAnsi="Times New Roman" w:cs="Times New Roman"/>
        </w:rPr>
        <w:t>Assess</w:t>
      </w:r>
      <w:r w:rsidR="000435BA" w:rsidRPr="007D4CB3">
        <w:rPr>
          <w:rFonts w:ascii="Times New Roman" w:hAnsi="Times New Roman" w:cs="Times New Roman"/>
        </w:rPr>
        <w:t>ing</w:t>
      </w:r>
      <w:r w:rsidRPr="007D4CB3">
        <w:rPr>
          <w:rFonts w:ascii="Times New Roman" w:hAnsi="Times New Roman" w:cs="Times New Roman"/>
        </w:rPr>
        <w:t xml:space="preserve"> </w:t>
      </w:r>
      <w:r w:rsidR="000435BA" w:rsidRPr="007D4CB3">
        <w:rPr>
          <w:rFonts w:ascii="Times New Roman" w:hAnsi="Times New Roman" w:cs="Times New Roman"/>
        </w:rPr>
        <w:t>t</w:t>
      </w:r>
      <w:r w:rsidRPr="007D4CB3">
        <w:rPr>
          <w:rFonts w:ascii="Times New Roman" w:hAnsi="Times New Roman" w:cs="Times New Roman"/>
        </w:rPr>
        <w:t xml:space="preserve">rauma – </w:t>
      </w:r>
      <w:r w:rsidR="00C514AB" w:rsidRPr="007D4CB3">
        <w:rPr>
          <w:rFonts w:ascii="Times New Roman" w:hAnsi="Times New Roman" w:cs="Times New Roman"/>
        </w:rPr>
        <w:t>p</w:t>
      </w:r>
      <w:r w:rsidRPr="007D4CB3">
        <w:rPr>
          <w:rFonts w:ascii="Times New Roman" w:hAnsi="Times New Roman" w:cs="Times New Roman"/>
        </w:rPr>
        <w:t>revention</w:t>
      </w:r>
      <w:r w:rsidR="00C514AB" w:rsidRPr="007D4CB3">
        <w:rPr>
          <w:rFonts w:ascii="Times New Roman" w:hAnsi="Times New Roman" w:cs="Times New Roman"/>
        </w:rPr>
        <w:t>:</w:t>
      </w:r>
    </w:p>
    <w:p w14:paraId="6A41AAFF" w14:textId="57F4E3A3" w:rsidR="005D3271" w:rsidRPr="007D4CB3" w:rsidRDefault="004E4F7C" w:rsidP="00FC7CE6">
      <w:pPr>
        <w:pStyle w:val="StUDRecs"/>
        <w:numPr>
          <w:ilvl w:val="0"/>
          <w:numId w:val="68"/>
        </w:numPr>
        <w:spacing w:before="0" w:after="0" w:line="360" w:lineRule="auto"/>
        <w:rPr>
          <w:rFonts w:ascii="Times New Roman" w:hAnsi="Times New Roman" w:cs="Times New Roman"/>
        </w:rPr>
      </w:pPr>
      <w:r w:rsidRPr="007D4CB3">
        <w:rPr>
          <w:rFonts w:ascii="Times New Roman" w:hAnsi="Times New Roman" w:cs="Times New Roman"/>
        </w:rPr>
        <w:t>What are effective strategies for assess</w:t>
      </w:r>
      <w:r w:rsidR="00D15D63" w:rsidRPr="007D4CB3">
        <w:rPr>
          <w:rFonts w:ascii="Times New Roman" w:hAnsi="Times New Roman" w:cs="Times New Roman"/>
        </w:rPr>
        <w:t>ing trauma in patients with SUD/StUD?</w:t>
      </w:r>
    </w:p>
    <w:p w14:paraId="7449E3DB" w14:textId="7C58F35A" w:rsidR="005D3271" w:rsidRPr="007D4CB3" w:rsidRDefault="005D3271" w:rsidP="00FC7CE6">
      <w:pPr>
        <w:pStyle w:val="StUDRecs"/>
        <w:numPr>
          <w:ilvl w:val="0"/>
          <w:numId w:val="62"/>
        </w:numPr>
        <w:spacing w:before="0" w:after="0" w:line="360" w:lineRule="auto"/>
        <w:rPr>
          <w:rFonts w:ascii="Times New Roman" w:hAnsi="Times New Roman" w:cs="Times New Roman"/>
        </w:rPr>
      </w:pPr>
      <w:r w:rsidRPr="007D4CB3">
        <w:rPr>
          <w:rFonts w:ascii="Times New Roman" w:hAnsi="Times New Roman" w:cs="Times New Roman"/>
        </w:rPr>
        <w:t>Assess</w:t>
      </w:r>
      <w:r w:rsidR="00596525" w:rsidRPr="007D4CB3">
        <w:rPr>
          <w:rFonts w:ascii="Times New Roman" w:hAnsi="Times New Roman" w:cs="Times New Roman"/>
        </w:rPr>
        <w:t>ing</w:t>
      </w:r>
      <w:r w:rsidRPr="007D4CB3">
        <w:rPr>
          <w:rFonts w:ascii="Times New Roman" w:hAnsi="Times New Roman" w:cs="Times New Roman"/>
        </w:rPr>
        <w:t xml:space="preserve"> </w:t>
      </w:r>
      <w:r w:rsidR="00596525" w:rsidRPr="007D4CB3">
        <w:rPr>
          <w:rFonts w:ascii="Times New Roman" w:hAnsi="Times New Roman" w:cs="Times New Roman"/>
        </w:rPr>
        <w:t>b</w:t>
      </w:r>
      <w:r w:rsidRPr="007D4CB3">
        <w:rPr>
          <w:rFonts w:ascii="Times New Roman" w:hAnsi="Times New Roman" w:cs="Times New Roman"/>
        </w:rPr>
        <w:t xml:space="preserve">aseline </w:t>
      </w:r>
      <w:r w:rsidR="00596525" w:rsidRPr="007D4CB3">
        <w:rPr>
          <w:rFonts w:ascii="Times New Roman" w:hAnsi="Times New Roman" w:cs="Times New Roman"/>
        </w:rPr>
        <w:t>l</w:t>
      </w:r>
      <w:r w:rsidRPr="007D4CB3">
        <w:rPr>
          <w:rFonts w:ascii="Times New Roman" w:hAnsi="Times New Roman" w:cs="Times New Roman"/>
        </w:rPr>
        <w:t>ab</w:t>
      </w:r>
      <w:r w:rsidR="00596525" w:rsidRPr="007D4CB3">
        <w:rPr>
          <w:rFonts w:ascii="Times New Roman" w:hAnsi="Times New Roman" w:cs="Times New Roman"/>
        </w:rPr>
        <w:t>oratory testing</w:t>
      </w:r>
      <w:r w:rsidRPr="007D4CB3">
        <w:rPr>
          <w:rFonts w:ascii="Times New Roman" w:hAnsi="Times New Roman" w:cs="Times New Roman"/>
        </w:rPr>
        <w:t xml:space="preserve"> – </w:t>
      </w:r>
      <w:r w:rsidR="00596525" w:rsidRPr="007D4CB3">
        <w:rPr>
          <w:rFonts w:ascii="Times New Roman" w:hAnsi="Times New Roman" w:cs="Times New Roman"/>
        </w:rPr>
        <w:t>p</w:t>
      </w:r>
      <w:r w:rsidRPr="007D4CB3">
        <w:rPr>
          <w:rFonts w:ascii="Times New Roman" w:hAnsi="Times New Roman" w:cs="Times New Roman"/>
        </w:rPr>
        <w:t>revention</w:t>
      </w:r>
      <w:r w:rsidR="00596525" w:rsidRPr="007D4CB3">
        <w:rPr>
          <w:rFonts w:ascii="Times New Roman" w:hAnsi="Times New Roman" w:cs="Times New Roman"/>
        </w:rPr>
        <w:t>:</w:t>
      </w:r>
    </w:p>
    <w:p w14:paraId="51B745FD" w14:textId="552EC70A" w:rsidR="005D3271" w:rsidRPr="007D4CB3" w:rsidRDefault="005D3271" w:rsidP="00FC7CE6">
      <w:pPr>
        <w:pStyle w:val="StUDRecs"/>
        <w:numPr>
          <w:ilvl w:val="0"/>
          <w:numId w:val="69"/>
        </w:numPr>
        <w:spacing w:before="0" w:after="0" w:line="360" w:lineRule="auto"/>
        <w:ind w:left="1080"/>
        <w:rPr>
          <w:rFonts w:ascii="Times New Roman" w:hAnsi="Times New Roman" w:cs="Times New Roman"/>
        </w:rPr>
      </w:pPr>
      <w:r w:rsidRPr="007D4CB3">
        <w:rPr>
          <w:rFonts w:ascii="Times New Roman" w:hAnsi="Times New Roman" w:cs="Times New Roman"/>
        </w:rPr>
        <w:t xml:space="preserve">What are the most effective and appropriate baseline laboratory tests to conduct when assessing patients who misuse </w:t>
      </w:r>
      <w:r w:rsidR="00795854" w:rsidRPr="007D4CB3">
        <w:rPr>
          <w:rFonts w:ascii="Times New Roman" w:hAnsi="Times New Roman" w:cs="Times New Roman"/>
        </w:rPr>
        <w:t xml:space="preserve">or </w:t>
      </w:r>
      <w:r w:rsidRPr="007D4CB3">
        <w:rPr>
          <w:rFonts w:ascii="Times New Roman" w:hAnsi="Times New Roman" w:cs="Times New Roman"/>
        </w:rPr>
        <w:t>use stimulants</w:t>
      </w:r>
      <w:r w:rsidR="009506C6" w:rsidRPr="007D4CB3">
        <w:rPr>
          <w:rFonts w:ascii="Times New Roman" w:hAnsi="Times New Roman" w:cs="Times New Roman"/>
        </w:rPr>
        <w:t>?</w:t>
      </w:r>
    </w:p>
    <w:p w14:paraId="7F04D771" w14:textId="03E77C9C" w:rsidR="005D3271" w:rsidRPr="007D4CB3" w:rsidRDefault="005D3271" w:rsidP="00FC7CE6">
      <w:pPr>
        <w:pStyle w:val="StUDRecs"/>
        <w:numPr>
          <w:ilvl w:val="0"/>
          <w:numId w:val="69"/>
        </w:numPr>
        <w:spacing w:before="0" w:after="0" w:line="360" w:lineRule="auto"/>
        <w:ind w:left="1080"/>
        <w:rPr>
          <w:rFonts w:ascii="Times New Roman" w:hAnsi="Times New Roman" w:cs="Times New Roman"/>
        </w:rPr>
      </w:pPr>
      <w:r w:rsidRPr="007D4CB3">
        <w:rPr>
          <w:rFonts w:ascii="Times New Roman" w:hAnsi="Times New Roman" w:cs="Times New Roman"/>
        </w:rPr>
        <w:t>What is the effect of conducting baseline laboratory testing when assessing patients who misuse stimulants?</w:t>
      </w:r>
    </w:p>
    <w:p w14:paraId="77CA16C3" w14:textId="77777777" w:rsidR="005D3271" w:rsidRPr="007D4CB3" w:rsidRDefault="005D3271" w:rsidP="00FC7CE6">
      <w:pPr>
        <w:pStyle w:val="StUDRecs"/>
        <w:numPr>
          <w:ilvl w:val="2"/>
          <w:numId w:val="65"/>
        </w:numPr>
        <w:spacing w:before="0" w:after="0" w:line="360" w:lineRule="auto"/>
        <w:rPr>
          <w:rFonts w:ascii="Times New Roman" w:hAnsi="Times New Roman" w:cs="Times New Roman"/>
        </w:rPr>
      </w:pPr>
      <w:r w:rsidRPr="007D4CB3">
        <w:rPr>
          <w:rFonts w:ascii="Times New Roman" w:hAnsi="Times New Roman" w:cs="Times New Roman"/>
        </w:rPr>
        <w:t>For StUD outcomes</w:t>
      </w:r>
    </w:p>
    <w:p w14:paraId="1ED83BD7" w14:textId="77777777" w:rsidR="005D3271" w:rsidRPr="007D4CB3" w:rsidRDefault="005D3271" w:rsidP="00FC7CE6">
      <w:pPr>
        <w:pStyle w:val="StUDRecs"/>
        <w:numPr>
          <w:ilvl w:val="2"/>
          <w:numId w:val="65"/>
        </w:numPr>
        <w:spacing w:before="0" w:after="0" w:line="360" w:lineRule="auto"/>
        <w:rPr>
          <w:rFonts w:ascii="Times New Roman" w:hAnsi="Times New Roman" w:cs="Times New Roman"/>
        </w:rPr>
      </w:pPr>
      <w:r w:rsidRPr="007D4CB3">
        <w:rPr>
          <w:rFonts w:ascii="Times New Roman" w:hAnsi="Times New Roman" w:cs="Times New Roman"/>
        </w:rPr>
        <w:t>For other outcomes</w:t>
      </w:r>
    </w:p>
    <w:p w14:paraId="687C6A77" w14:textId="22102832" w:rsidR="005D3271" w:rsidRPr="007D4CB3" w:rsidRDefault="005D3271" w:rsidP="00FC7CE6">
      <w:pPr>
        <w:pStyle w:val="StUDRecs"/>
        <w:numPr>
          <w:ilvl w:val="0"/>
          <w:numId w:val="69"/>
        </w:numPr>
        <w:spacing w:before="0" w:after="0" w:line="360" w:lineRule="auto"/>
        <w:ind w:left="1080"/>
        <w:rPr>
          <w:rFonts w:ascii="Times New Roman" w:hAnsi="Times New Roman" w:cs="Times New Roman"/>
        </w:rPr>
      </w:pPr>
      <w:r w:rsidRPr="007D4CB3">
        <w:rPr>
          <w:rFonts w:ascii="Times New Roman" w:hAnsi="Times New Roman" w:cs="Times New Roman"/>
        </w:rPr>
        <w:t xml:space="preserve">Should baseline laboratory testing </w:t>
      </w:r>
      <w:proofErr w:type="gramStart"/>
      <w:r w:rsidRPr="007D4CB3">
        <w:rPr>
          <w:rFonts w:ascii="Times New Roman" w:hAnsi="Times New Roman" w:cs="Times New Roman"/>
        </w:rPr>
        <w:t>be conducted</w:t>
      </w:r>
      <w:proofErr w:type="gramEnd"/>
      <w:r w:rsidRPr="007D4CB3">
        <w:rPr>
          <w:rFonts w:ascii="Times New Roman" w:hAnsi="Times New Roman" w:cs="Times New Roman"/>
        </w:rPr>
        <w:t xml:space="preserve"> for all patients who misuse </w:t>
      </w:r>
      <w:r w:rsidR="0055369F" w:rsidRPr="007D4CB3">
        <w:rPr>
          <w:rFonts w:ascii="Times New Roman" w:hAnsi="Times New Roman" w:cs="Times New Roman"/>
        </w:rPr>
        <w:t xml:space="preserve">or </w:t>
      </w:r>
      <w:r w:rsidRPr="007D4CB3">
        <w:rPr>
          <w:rFonts w:ascii="Times New Roman" w:hAnsi="Times New Roman" w:cs="Times New Roman"/>
        </w:rPr>
        <w:t>use stimulants or based on clinical assessment of risk factors?</w:t>
      </w:r>
    </w:p>
    <w:p w14:paraId="080D3C63" w14:textId="77777777" w:rsidR="005D3271" w:rsidRPr="007D4CB3" w:rsidRDefault="005D3271" w:rsidP="00FC7CE6">
      <w:pPr>
        <w:pStyle w:val="StUDRecs"/>
        <w:numPr>
          <w:ilvl w:val="0"/>
          <w:numId w:val="69"/>
        </w:numPr>
        <w:spacing w:before="0" w:after="0" w:line="360" w:lineRule="auto"/>
        <w:ind w:left="1080"/>
        <w:rPr>
          <w:rFonts w:ascii="Times New Roman" w:hAnsi="Times New Roman" w:cs="Times New Roman"/>
        </w:rPr>
      </w:pPr>
      <w:r w:rsidRPr="007D4CB3">
        <w:rPr>
          <w:rFonts w:ascii="Times New Roman" w:hAnsi="Times New Roman" w:cs="Times New Roman"/>
        </w:rPr>
        <w:t>What contextual factors and implementation strategies may influence the effects of baseline laboratory testing?</w:t>
      </w:r>
    </w:p>
    <w:p w14:paraId="19696B9B" w14:textId="0DCC7749" w:rsidR="00D15D63" w:rsidRPr="007D4CB3" w:rsidRDefault="005D3271" w:rsidP="00FC7CE6">
      <w:pPr>
        <w:pStyle w:val="StUDRecs"/>
        <w:keepNext/>
        <w:numPr>
          <w:ilvl w:val="0"/>
          <w:numId w:val="62"/>
        </w:numPr>
        <w:spacing w:before="0" w:after="0" w:line="360" w:lineRule="auto"/>
        <w:rPr>
          <w:rFonts w:ascii="Times New Roman" w:hAnsi="Times New Roman" w:cs="Times New Roman"/>
        </w:rPr>
      </w:pPr>
      <w:r w:rsidRPr="007D4CB3">
        <w:rPr>
          <w:rFonts w:ascii="Times New Roman" w:hAnsi="Times New Roman" w:cs="Times New Roman"/>
        </w:rPr>
        <w:t>Assess</w:t>
      </w:r>
      <w:r w:rsidR="00DD0713" w:rsidRPr="007D4CB3">
        <w:rPr>
          <w:rFonts w:ascii="Times New Roman" w:hAnsi="Times New Roman" w:cs="Times New Roman"/>
        </w:rPr>
        <w:t>ing</w:t>
      </w:r>
      <w:r w:rsidRPr="007D4CB3">
        <w:rPr>
          <w:rFonts w:ascii="Times New Roman" w:hAnsi="Times New Roman" w:cs="Times New Roman"/>
        </w:rPr>
        <w:t xml:space="preserve"> ADHD – </w:t>
      </w:r>
      <w:r w:rsidR="005632F0" w:rsidRPr="007D4CB3">
        <w:rPr>
          <w:rFonts w:ascii="Times New Roman" w:hAnsi="Times New Roman" w:cs="Times New Roman"/>
        </w:rPr>
        <w:t>p</w:t>
      </w:r>
      <w:r w:rsidRPr="007D4CB3">
        <w:rPr>
          <w:rFonts w:ascii="Times New Roman" w:hAnsi="Times New Roman" w:cs="Times New Roman"/>
        </w:rPr>
        <w:t>revention</w:t>
      </w:r>
      <w:r w:rsidR="005632F0" w:rsidRPr="007D4CB3">
        <w:rPr>
          <w:rFonts w:ascii="Times New Roman" w:hAnsi="Times New Roman" w:cs="Times New Roman"/>
        </w:rPr>
        <w:t>:</w:t>
      </w:r>
    </w:p>
    <w:p w14:paraId="7ED25DAE" w14:textId="2AB467A1" w:rsidR="005D3271" w:rsidRPr="007D4CB3" w:rsidRDefault="00D15D63" w:rsidP="00FC7CE6">
      <w:pPr>
        <w:pStyle w:val="StUDRecs"/>
        <w:numPr>
          <w:ilvl w:val="0"/>
          <w:numId w:val="70"/>
        </w:numPr>
        <w:spacing w:before="0" w:after="0" w:line="360" w:lineRule="auto"/>
        <w:rPr>
          <w:rFonts w:ascii="Times New Roman" w:hAnsi="Times New Roman" w:cs="Times New Roman"/>
        </w:rPr>
      </w:pPr>
      <w:r w:rsidRPr="007D4CB3">
        <w:rPr>
          <w:rFonts w:ascii="Times New Roman" w:hAnsi="Times New Roman" w:cs="Times New Roman"/>
        </w:rPr>
        <w:t xml:space="preserve">Should all patients who misuse </w:t>
      </w:r>
      <w:r w:rsidR="00A2245E" w:rsidRPr="007D4CB3">
        <w:rPr>
          <w:rFonts w:ascii="Times New Roman" w:hAnsi="Times New Roman" w:cs="Times New Roman"/>
        </w:rPr>
        <w:t xml:space="preserve">or use </w:t>
      </w:r>
      <w:r w:rsidRPr="007D4CB3">
        <w:rPr>
          <w:rFonts w:ascii="Times New Roman" w:hAnsi="Times New Roman" w:cs="Times New Roman"/>
        </w:rPr>
        <w:t>stimulants</w:t>
      </w:r>
      <w:r w:rsidR="003E699E" w:rsidRPr="007D4CB3">
        <w:rPr>
          <w:rFonts w:ascii="Times New Roman" w:hAnsi="Times New Roman" w:cs="Times New Roman"/>
        </w:rPr>
        <w:t xml:space="preserve"> </w:t>
      </w:r>
      <w:proofErr w:type="gramStart"/>
      <w:r w:rsidR="003E699E" w:rsidRPr="007D4CB3">
        <w:rPr>
          <w:rFonts w:ascii="Times New Roman" w:hAnsi="Times New Roman" w:cs="Times New Roman"/>
        </w:rPr>
        <w:t>be assessed</w:t>
      </w:r>
      <w:proofErr w:type="gramEnd"/>
      <w:r w:rsidR="003E699E" w:rsidRPr="007D4CB3">
        <w:rPr>
          <w:rFonts w:ascii="Times New Roman" w:hAnsi="Times New Roman" w:cs="Times New Roman"/>
        </w:rPr>
        <w:t xml:space="preserve"> for ADHD?</w:t>
      </w:r>
    </w:p>
    <w:p w14:paraId="181DE657" w14:textId="312F24A7" w:rsidR="00A2245E" w:rsidRPr="007D4CB3" w:rsidRDefault="00A2245E" w:rsidP="00FC7CE6">
      <w:pPr>
        <w:pStyle w:val="StUDRecs"/>
        <w:numPr>
          <w:ilvl w:val="0"/>
          <w:numId w:val="70"/>
        </w:numPr>
        <w:spacing w:before="0" w:after="0" w:line="360" w:lineRule="auto"/>
        <w:rPr>
          <w:rFonts w:ascii="Times New Roman" w:hAnsi="Times New Roman" w:cs="Times New Roman"/>
        </w:rPr>
      </w:pPr>
      <w:r w:rsidRPr="007D4CB3">
        <w:rPr>
          <w:rFonts w:ascii="Times New Roman" w:hAnsi="Times New Roman" w:cs="Times New Roman"/>
        </w:rPr>
        <w:t xml:space="preserve">What factors should </w:t>
      </w:r>
      <w:proofErr w:type="gramStart"/>
      <w:r w:rsidRPr="007D4CB3">
        <w:rPr>
          <w:rFonts w:ascii="Times New Roman" w:hAnsi="Times New Roman" w:cs="Times New Roman"/>
        </w:rPr>
        <w:t>be considered</w:t>
      </w:r>
      <w:proofErr w:type="gramEnd"/>
      <w:r w:rsidRPr="007D4CB3">
        <w:rPr>
          <w:rFonts w:ascii="Times New Roman" w:hAnsi="Times New Roman" w:cs="Times New Roman"/>
        </w:rPr>
        <w:t xml:space="preserve"> when determining which patients to assess for ADHD?</w:t>
      </w:r>
    </w:p>
    <w:p w14:paraId="6760D37F" w14:textId="77777777" w:rsidR="005D3271" w:rsidRPr="007D4CB3" w:rsidRDefault="005D3271" w:rsidP="00FC7CE6">
      <w:pPr>
        <w:pStyle w:val="Heading3-backmatter"/>
        <w:spacing w:before="0" w:after="0" w:line="360" w:lineRule="auto"/>
        <w:rPr>
          <w:rFonts w:ascii="Times New Roman" w:hAnsi="Times New Roman" w:cs="Times New Roman"/>
          <w:sz w:val="24"/>
        </w:rPr>
      </w:pPr>
      <w:r w:rsidRPr="007D4CB3">
        <w:rPr>
          <w:rFonts w:ascii="Times New Roman" w:hAnsi="Times New Roman" w:cs="Times New Roman"/>
          <w:sz w:val="24"/>
        </w:rPr>
        <w:t>Early Intervention for Risky Stimulant Use</w:t>
      </w:r>
    </w:p>
    <w:p w14:paraId="089E8F93" w14:textId="745B98DA" w:rsidR="005D3271" w:rsidRPr="007D4CB3" w:rsidRDefault="005D3271" w:rsidP="00FC7CE6">
      <w:pPr>
        <w:pStyle w:val="StUDRecs"/>
        <w:numPr>
          <w:ilvl w:val="0"/>
          <w:numId w:val="64"/>
        </w:numPr>
        <w:spacing w:before="0" w:after="0" w:line="360" w:lineRule="auto"/>
        <w:rPr>
          <w:rFonts w:ascii="Times New Roman" w:hAnsi="Times New Roman" w:cs="Times New Roman"/>
        </w:rPr>
      </w:pPr>
      <w:r w:rsidRPr="007D4CB3">
        <w:rPr>
          <w:rFonts w:ascii="Times New Roman" w:hAnsi="Times New Roman" w:cs="Times New Roman"/>
        </w:rPr>
        <w:t xml:space="preserve">Early </w:t>
      </w:r>
      <w:r w:rsidR="00983B17" w:rsidRPr="007D4CB3">
        <w:rPr>
          <w:rFonts w:ascii="Times New Roman" w:hAnsi="Times New Roman" w:cs="Times New Roman"/>
        </w:rPr>
        <w:t xml:space="preserve">Intervention – Screening and Brief Intervention </w:t>
      </w:r>
      <w:r w:rsidR="00CD754C" w:rsidRPr="007D4CB3">
        <w:rPr>
          <w:rFonts w:ascii="Times New Roman" w:hAnsi="Times New Roman" w:cs="Times New Roman"/>
        </w:rPr>
        <w:t>(Table </w:t>
      </w:r>
      <w:r w:rsidR="00067738" w:rsidRPr="007D4CB3">
        <w:rPr>
          <w:rFonts w:ascii="Times New Roman" w:hAnsi="Times New Roman" w:cs="Times New Roman"/>
        </w:rPr>
        <w:t>53</w:t>
      </w:r>
      <w:r w:rsidR="00CD754C" w:rsidRPr="007D4CB3">
        <w:rPr>
          <w:rFonts w:ascii="Times New Roman" w:hAnsi="Times New Roman" w:cs="Times New Roman"/>
        </w:rPr>
        <w:t>):</w:t>
      </w:r>
    </w:p>
    <w:p w14:paraId="45F6A51D" w14:textId="6E7610BF" w:rsidR="005D3271" w:rsidRPr="007D4CB3" w:rsidRDefault="005D3271" w:rsidP="00FC7CE6">
      <w:pPr>
        <w:pStyle w:val="StUDRecs"/>
        <w:numPr>
          <w:ilvl w:val="1"/>
          <w:numId w:val="64"/>
        </w:numPr>
        <w:spacing w:before="0" w:after="0" w:line="360" w:lineRule="auto"/>
        <w:rPr>
          <w:rFonts w:ascii="Times New Roman" w:eastAsia="Calibri" w:hAnsi="Times New Roman" w:cs="Times New Roman"/>
        </w:rPr>
      </w:pPr>
      <w:r w:rsidRPr="007D4CB3">
        <w:rPr>
          <w:rFonts w:ascii="Times New Roman" w:hAnsi="Times New Roman" w:cs="Times New Roman"/>
        </w:rPr>
        <w:lastRenderedPageBreak/>
        <w:t xml:space="preserve">Do brief counseling interventions to reduce </w:t>
      </w:r>
      <w:r w:rsidRPr="007D4CB3">
        <w:rPr>
          <w:rFonts w:ascii="Times New Roman" w:eastAsia="Calibri" w:hAnsi="Times New Roman" w:cs="Times New Roman"/>
        </w:rPr>
        <w:t xml:space="preserve">stimulant </w:t>
      </w:r>
      <w:r w:rsidRPr="007D4CB3">
        <w:rPr>
          <w:rFonts w:ascii="Times New Roman" w:hAnsi="Times New Roman" w:cs="Times New Roman"/>
        </w:rPr>
        <w:t xml:space="preserve">use, with or without referral, reduce </w:t>
      </w:r>
      <w:r w:rsidRPr="007D4CB3">
        <w:rPr>
          <w:rFonts w:ascii="Times New Roman" w:eastAsia="Calibri" w:hAnsi="Times New Roman" w:cs="Times New Roman"/>
        </w:rPr>
        <w:t xml:space="preserve">stimulant </w:t>
      </w:r>
      <w:r w:rsidRPr="007D4CB3">
        <w:rPr>
          <w:rFonts w:ascii="Times New Roman" w:hAnsi="Times New Roman" w:cs="Times New Roman"/>
        </w:rPr>
        <w:t xml:space="preserve">use or improve other risky behaviors in </w:t>
      </w:r>
      <w:r w:rsidR="00CD754C" w:rsidRPr="007D4CB3">
        <w:rPr>
          <w:rFonts w:ascii="Times New Roman" w:hAnsi="Times New Roman" w:cs="Times New Roman"/>
        </w:rPr>
        <w:t xml:space="preserve">patients with a positive </w:t>
      </w:r>
      <w:r w:rsidRPr="007D4CB3">
        <w:rPr>
          <w:rFonts w:ascii="Times New Roman" w:hAnsi="Times New Roman" w:cs="Times New Roman"/>
        </w:rPr>
        <w:t>screen?</w:t>
      </w:r>
    </w:p>
    <w:p w14:paraId="2229118B" w14:textId="6E7667D0" w:rsidR="005D3271" w:rsidRPr="007D4CB3" w:rsidRDefault="005D3271" w:rsidP="00FC7CE6">
      <w:pPr>
        <w:pStyle w:val="StUDRecs"/>
        <w:numPr>
          <w:ilvl w:val="1"/>
          <w:numId w:val="64"/>
        </w:numPr>
        <w:spacing w:before="0" w:after="0" w:line="360" w:lineRule="auto"/>
        <w:rPr>
          <w:rFonts w:ascii="Times New Roman" w:hAnsi="Times New Roman" w:cs="Times New Roman"/>
        </w:rPr>
      </w:pPr>
      <w:r w:rsidRPr="007D4CB3">
        <w:rPr>
          <w:rFonts w:ascii="Times New Roman" w:eastAsia="Calibri" w:hAnsi="Times New Roman" w:cs="Times New Roman"/>
        </w:rPr>
        <w:t xml:space="preserve">What are the harms of brief interventions to reduce stimulant use in </w:t>
      </w:r>
      <w:r w:rsidR="00CD754C" w:rsidRPr="007D4CB3">
        <w:rPr>
          <w:rFonts w:ascii="Times New Roman" w:eastAsia="Calibri" w:hAnsi="Times New Roman" w:cs="Times New Roman"/>
        </w:rPr>
        <w:t xml:space="preserve">patients with a positive </w:t>
      </w:r>
      <w:r w:rsidRPr="007D4CB3">
        <w:rPr>
          <w:rFonts w:ascii="Times New Roman" w:eastAsia="Calibri" w:hAnsi="Times New Roman" w:cs="Times New Roman"/>
        </w:rPr>
        <w:t>screen?</w:t>
      </w:r>
    </w:p>
    <w:p w14:paraId="36D0A909" w14:textId="612D3B24" w:rsidR="00A2245E" w:rsidRPr="007D4CB3" w:rsidRDefault="005D3271" w:rsidP="00FC7CE6">
      <w:pPr>
        <w:pStyle w:val="StUDRecs"/>
        <w:numPr>
          <w:ilvl w:val="0"/>
          <w:numId w:val="64"/>
        </w:numPr>
        <w:spacing w:before="0" w:after="0" w:line="360" w:lineRule="auto"/>
        <w:rPr>
          <w:rFonts w:ascii="Times New Roman" w:hAnsi="Times New Roman" w:cs="Times New Roman"/>
        </w:rPr>
      </w:pPr>
      <w:r w:rsidRPr="007D4CB3">
        <w:rPr>
          <w:rFonts w:ascii="Times New Roman" w:hAnsi="Times New Roman" w:cs="Times New Roman"/>
        </w:rPr>
        <w:t xml:space="preserve">Early </w:t>
      </w:r>
      <w:r w:rsidR="00983B17" w:rsidRPr="007D4CB3">
        <w:rPr>
          <w:rFonts w:ascii="Times New Roman" w:hAnsi="Times New Roman" w:cs="Times New Roman"/>
        </w:rPr>
        <w:t>I</w:t>
      </w:r>
      <w:r w:rsidRPr="007D4CB3">
        <w:rPr>
          <w:rFonts w:ascii="Times New Roman" w:hAnsi="Times New Roman" w:cs="Times New Roman"/>
        </w:rPr>
        <w:t xml:space="preserve">ntervention </w:t>
      </w:r>
      <w:r w:rsidR="0015083D" w:rsidRPr="007D4CB3">
        <w:rPr>
          <w:rFonts w:ascii="Times New Roman" w:hAnsi="Times New Roman" w:cs="Times New Roman"/>
        </w:rPr>
        <w:t xml:space="preserve">Refer </w:t>
      </w:r>
      <w:r w:rsidR="00D81B01" w:rsidRPr="007D4CB3">
        <w:rPr>
          <w:rFonts w:ascii="Times New Roman" w:hAnsi="Times New Roman" w:cs="Times New Roman"/>
        </w:rPr>
        <w:t>t</w:t>
      </w:r>
      <w:r w:rsidR="0015083D" w:rsidRPr="007D4CB3">
        <w:rPr>
          <w:rFonts w:ascii="Times New Roman" w:hAnsi="Times New Roman" w:cs="Times New Roman"/>
        </w:rPr>
        <w:t xml:space="preserve">o Treatment </w:t>
      </w:r>
      <w:r w:rsidR="00260BBD" w:rsidRPr="007D4CB3">
        <w:rPr>
          <w:rFonts w:ascii="Times New Roman" w:hAnsi="Times New Roman" w:cs="Times New Roman"/>
        </w:rPr>
        <w:t>(Table </w:t>
      </w:r>
      <w:r w:rsidR="00067738" w:rsidRPr="007D4CB3">
        <w:rPr>
          <w:rFonts w:ascii="Times New Roman" w:hAnsi="Times New Roman" w:cs="Times New Roman"/>
        </w:rPr>
        <w:t>54</w:t>
      </w:r>
      <w:r w:rsidR="00260BBD" w:rsidRPr="007D4CB3">
        <w:rPr>
          <w:rFonts w:ascii="Times New Roman" w:hAnsi="Times New Roman" w:cs="Times New Roman"/>
        </w:rPr>
        <w:t>):</w:t>
      </w:r>
    </w:p>
    <w:p w14:paraId="1C92CA54" w14:textId="3CB5E6AD" w:rsidR="005D3271" w:rsidRPr="007D4CB3" w:rsidRDefault="00A2245E" w:rsidP="00FC7CE6">
      <w:pPr>
        <w:pStyle w:val="StUDRecs"/>
        <w:numPr>
          <w:ilvl w:val="1"/>
          <w:numId w:val="64"/>
        </w:numPr>
        <w:spacing w:before="0" w:after="0" w:line="360" w:lineRule="auto"/>
        <w:rPr>
          <w:rFonts w:ascii="Times New Roman" w:hAnsi="Times New Roman" w:cs="Times New Roman"/>
        </w:rPr>
      </w:pPr>
      <w:r w:rsidRPr="007D4CB3">
        <w:rPr>
          <w:rFonts w:ascii="Times New Roman" w:hAnsi="Times New Roman" w:cs="Times New Roman"/>
        </w:rPr>
        <w:t>Does referral to treatment reduce stimulant use or improve risky behaviors in patients with a positive screen?</w:t>
      </w:r>
    </w:p>
    <w:p w14:paraId="30883A49" w14:textId="74EF0536" w:rsidR="00A2245E" w:rsidRPr="007D4CB3" w:rsidRDefault="00A2245E" w:rsidP="00FC7CE6">
      <w:pPr>
        <w:pStyle w:val="StUDRecs"/>
        <w:numPr>
          <w:ilvl w:val="1"/>
          <w:numId w:val="64"/>
        </w:numPr>
        <w:spacing w:before="0" w:after="0" w:line="360" w:lineRule="auto"/>
        <w:rPr>
          <w:rFonts w:ascii="Times New Roman" w:hAnsi="Times New Roman" w:cs="Times New Roman"/>
        </w:rPr>
      </w:pPr>
      <w:r w:rsidRPr="007D4CB3">
        <w:rPr>
          <w:rFonts w:ascii="Times New Roman" w:hAnsi="Times New Roman" w:cs="Times New Roman"/>
        </w:rPr>
        <w:t>What are effective strategies for referral to treatment for StUD?</w:t>
      </w:r>
    </w:p>
    <w:p w14:paraId="24983D58" w14:textId="2AF63AEE" w:rsidR="00A2245E" w:rsidRPr="007D4CB3" w:rsidRDefault="005D3271" w:rsidP="00FC7CE6">
      <w:pPr>
        <w:pStyle w:val="StUDRecs"/>
        <w:numPr>
          <w:ilvl w:val="0"/>
          <w:numId w:val="64"/>
        </w:numPr>
        <w:spacing w:before="0" w:after="0" w:line="360" w:lineRule="auto"/>
        <w:rPr>
          <w:rFonts w:ascii="Times New Roman" w:hAnsi="Times New Roman" w:cs="Times New Roman"/>
        </w:rPr>
      </w:pPr>
      <w:r w:rsidRPr="007D4CB3">
        <w:rPr>
          <w:rFonts w:ascii="Times New Roman" w:hAnsi="Times New Roman" w:cs="Times New Roman"/>
        </w:rPr>
        <w:t xml:space="preserve">Early </w:t>
      </w:r>
      <w:r w:rsidR="00983B17" w:rsidRPr="007D4CB3">
        <w:rPr>
          <w:rFonts w:ascii="Times New Roman" w:hAnsi="Times New Roman" w:cs="Times New Roman"/>
        </w:rPr>
        <w:t>I</w:t>
      </w:r>
      <w:r w:rsidRPr="007D4CB3">
        <w:rPr>
          <w:rFonts w:ascii="Times New Roman" w:hAnsi="Times New Roman" w:cs="Times New Roman"/>
        </w:rPr>
        <w:t xml:space="preserve">ntervention </w:t>
      </w:r>
      <w:r w:rsidR="0015083D" w:rsidRPr="007D4CB3">
        <w:rPr>
          <w:rFonts w:ascii="Times New Roman" w:hAnsi="Times New Roman" w:cs="Times New Roman"/>
        </w:rPr>
        <w:t>Peer Navigation</w:t>
      </w:r>
      <w:r w:rsidRPr="007D4CB3">
        <w:rPr>
          <w:rFonts w:ascii="Times New Roman" w:hAnsi="Times New Roman" w:cs="Times New Roman"/>
        </w:rPr>
        <w:t xml:space="preserve"> </w:t>
      </w:r>
      <w:r w:rsidR="00260BBD" w:rsidRPr="007D4CB3">
        <w:rPr>
          <w:rFonts w:ascii="Times New Roman" w:hAnsi="Times New Roman" w:cs="Times New Roman"/>
        </w:rPr>
        <w:t>(Table </w:t>
      </w:r>
      <w:r w:rsidR="00741A54" w:rsidRPr="007D4CB3">
        <w:rPr>
          <w:rFonts w:ascii="Times New Roman" w:hAnsi="Times New Roman" w:cs="Times New Roman"/>
        </w:rPr>
        <w:t>55</w:t>
      </w:r>
      <w:r w:rsidR="00260BBD" w:rsidRPr="007D4CB3">
        <w:rPr>
          <w:rFonts w:ascii="Times New Roman" w:hAnsi="Times New Roman" w:cs="Times New Roman"/>
        </w:rPr>
        <w:t>):</w:t>
      </w:r>
    </w:p>
    <w:p w14:paraId="4668C145" w14:textId="525714D4" w:rsidR="005D3271" w:rsidRPr="007D4CB3" w:rsidRDefault="00A2245E" w:rsidP="00FC7CE6">
      <w:pPr>
        <w:pStyle w:val="StUDRecs"/>
        <w:numPr>
          <w:ilvl w:val="1"/>
          <w:numId w:val="64"/>
        </w:numPr>
        <w:spacing w:before="0" w:after="0" w:line="360" w:lineRule="auto"/>
        <w:rPr>
          <w:rFonts w:ascii="Times New Roman" w:hAnsi="Times New Roman" w:cs="Times New Roman"/>
        </w:rPr>
      </w:pPr>
      <w:r w:rsidRPr="007D4CB3">
        <w:rPr>
          <w:rFonts w:ascii="Times New Roman" w:hAnsi="Times New Roman" w:cs="Times New Roman"/>
        </w:rPr>
        <w:t>Does peer navigation improve referral for treatment in patients with a positive screen?</w:t>
      </w:r>
    </w:p>
    <w:p w14:paraId="3BCB5C38" w14:textId="2D2E869A" w:rsidR="005D3271" w:rsidRPr="007D4CB3" w:rsidRDefault="005D3271" w:rsidP="00FC7CE6">
      <w:pPr>
        <w:pStyle w:val="Heading3-backmatter"/>
        <w:spacing w:before="0" w:after="0" w:line="360" w:lineRule="auto"/>
        <w:rPr>
          <w:rFonts w:ascii="Times New Roman" w:hAnsi="Times New Roman" w:cs="Times New Roman"/>
          <w:sz w:val="24"/>
          <w:u w:val="single"/>
        </w:rPr>
      </w:pPr>
      <w:r w:rsidRPr="007D4CB3">
        <w:rPr>
          <w:rFonts w:ascii="Times New Roman" w:hAnsi="Times New Roman" w:cs="Times New Roman"/>
          <w:sz w:val="24"/>
        </w:rPr>
        <w:t>Harm Reduction</w:t>
      </w:r>
    </w:p>
    <w:p w14:paraId="6E0BFE28" w14:textId="71BED21D" w:rsidR="00A2245E" w:rsidRPr="007D4CB3" w:rsidRDefault="005D3271" w:rsidP="00FC7CE6">
      <w:pPr>
        <w:pStyle w:val="StUDRecs"/>
        <w:numPr>
          <w:ilvl w:val="0"/>
          <w:numId w:val="63"/>
        </w:numPr>
        <w:spacing w:before="0" w:after="0" w:line="360" w:lineRule="auto"/>
        <w:rPr>
          <w:rFonts w:ascii="Times New Roman" w:hAnsi="Times New Roman" w:cs="Times New Roman"/>
        </w:rPr>
      </w:pPr>
      <w:r w:rsidRPr="007D4CB3">
        <w:rPr>
          <w:rFonts w:ascii="Times New Roman" w:hAnsi="Times New Roman" w:cs="Times New Roman"/>
        </w:rPr>
        <w:t xml:space="preserve">Education </w:t>
      </w:r>
      <w:r w:rsidR="004A540D" w:rsidRPr="007D4CB3">
        <w:rPr>
          <w:rFonts w:ascii="Times New Roman" w:hAnsi="Times New Roman" w:cs="Times New Roman"/>
        </w:rPr>
        <w:t>S</w:t>
      </w:r>
      <w:r w:rsidRPr="007D4CB3">
        <w:rPr>
          <w:rFonts w:ascii="Times New Roman" w:hAnsi="Times New Roman" w:cs="Times New Roman"/>
        </w:rPr>
        <w:t>timulants</w:t>
      </w:r>
      <w:r w:rsidR="00A155F2" w:rsidRPr="007D4CB3">
        <w:rPr>
          <w:rFonts w:ascii="Times New Roman" w:hAnsi="Times New Roman" w:cs="Times New Roman"/>
        </w:rPr>
        <w:t xml:space="preserve"> (Table </w:t>
      </w:r>
      <w:r w:rsidR="00667FC5" w:rsidRPr="007D4CB3">
        <w:rPr>
          <w:rFonts w:ascii="Times New Roman" w:hAnsi="Times New Roman" w:cs="Times New Roman"/>
        </w:rPr>
        <w:t>56</w:t>
      </w:r>
      <w:r w:rsidR="00A155F2" w:rsidRPr="007D4CB3">
        <w:rPr>
          <w:rFonts w:ascii="Times New Roman" w:hAnsi="Times New Roman" w:cs="Times New Roman"/>
        </w:rPr>
        <w:t>):</w:t>
      </w:r>
    </w:p>
    <w:p w14:paraId="039D9642" w14:textId="6686753B" w:rsidR="005D3271" w:rsidRPr="007D4CB3" w:rsidRDefault="00BB03CF" w:rsidP="00FC7CE6">
      <w:pPr>
        <w:pStyle w:val="StUDRecs"/>
        <w:numPr>
          <w:ilvl w:val="1"/>
          <w:numId w:val="63"/>
        </w:numPr>
        <w:spacing w:before="0" w:after="0" w:line="360" w:lineRule="auto"/>
        <w:rPr>
          <w:rFonts w:ascii="Times New Roman" w:hAnsi="Times New Roman" w:cs="Times New Roman"/>
        </w:rPr>
      </w:pPr>
      <w:r w:rsidRPr="007D4CB3">
        <w:rPr>
          <w:rFonts w:ascii="Times New Roman" w:hAnsi="Times New Roman" w:cs="Times New Roman"/>
        </w:rPr>
        <w:t>What are effective educational strategies for reducing harms related to stimulant use or StUD-related behaviors?</w:t>
      </w:r>
    </w:p>
    <w:p w14:paraId="03322709" w14:textId="59260627" w:rsidR="00972973" w:rsidRPr="007D4CB3" w:rsidRDefault="005D3271" w:rsidP="00FC7CE6">
      <w:pPr>
        <w:pStyle w:val="StUDRecs"/>
        <w:numPr>
          <w:ilvl w:val="0"/>
          <w:numId w:val="63"/>
        </w:numPr>
        <w:spacing w:before="0" w:after="0" w:line="360" w:lineRule="auto"/>
        <w:rPr>
          <w:rFonts w:ascii="Times New Roman" w:hAnsi="Times New Roman" w:cs="Times New Roman"/>
        </w:rPr>
      </w:pPr>
      <w:r w:rsidRPr="007D4CB3">
        <w:rPr>
          <w:rFonts w:ascii="Times New Roman" w:hAnsi="Times New Roman" w:cs="Times New Roman"/>
        </w:rPr>
        <w:t xml:space="preserve">Prevention </w:t>
      </w:r>
      <w:r w:rsidR="00C528BE" w:rsidRPr="007D4CB3">
        <w:rPr>
          <w:rFonts w:ascii="Times New Roman" w:hAnsi="Times New Roman" w:cs="Times New Roman"/>
        </w:rPr>
        <w:t xml:space="preserve">– </w:t>
      </w:r>
      <w:r w:rsidR="00F112F1" w:rsidRPr="007D4CB3">
        <w:rPr>
          <w:rFonts w:ascii="Times New Roman" w:hAnsi="Times New Roman" w:cs="Times New Roman"/>
        </w:rPr>
        <w:t xml:space="preserve">Refer </w:t>
      </w:r>
      <w:r w:rsidR="0015083D" w:rsidRPr="007D4CB3">
        <w:rPr>
          <w:rFonts w:ascii="Times New Roman" w:hAnsi="Times New Roman" w:cs="Times New Roman"/>
        </w:rPr>
        <w:t>t</w:t>
      </w:r>
      <w:r w:rsidR="00F112F1" w:rsidRPr="007D4CB3">
        <w:rPr>
          <w:rFonts w:ascii="Times New Roman" w:hAnsi="Times New Roman" w:cs="Times New Roman"/>
        </w:rPr>
        <w:t>o Harm Reduction</w:t>
      </w:r>
      <w:r w:rsidR="00C528BE" w:rsidRPr="007D4CB3">
        <w:rPr>
          <w:rFonts w:ascii="Times New Roman" w:hAnsi="Times New Roman" w:cs="Times New Roman"/>
        </w:rPr>
        <w:t xml:space="preserve"> (Table </w:t>
      </w:r>
      <w:r w:rsidR="00844975" w:rsidRPr="007D4CB3">
        <w:rPr>
          <w:rFonts w:ascii="Times New Roman" w:hAnsi="Times New Roman" w:cs="Times New Roman"/>
        </w:rPr>
        <w:t>57</w:t>
      </w:r>
      <w:r w:rsidR="00C528BE" w:rsidRPr="007D4CB3">
        <w:rPr>
          <w:rFonts w:ascii="Times New Roman" w:hAnsi="Times New Roman" w:cs="Times New Roman"/>
        </w:rPr>
        <w:t>):</w:t>
      </w:r>
    </w:p>
    <w:p w14:paraId="4F9A0125" w14:textId="7B65374E" w:rsidR="005D3271" w:rsidRPr="007D4CB3" w:rsidRDefault="00BB03CF" w:rsidP="00FC7CE6">
      <w:pPr>
        <w:pStyle w:val="StUDRecs"/>
        <w:numPr>
          <w:ilvl w:val="1"/>
          <w:numId w:val="63"/>
        </w:numPr>
        <w:spacing w:before="0" w:after="0" w:line="360" w:lineRule="auto"/>
        <w:rPr>
          <w:rFonts w:ascii="Times New Roman" w:hAnsi="Times New Roman" w:cs="Times New Roman"/>
        </w:rPr>
      </w:pPr>
      <w:r w:rsidRPr="007D4CB3">
        <w:rPr>
          <w:rFonts w:ascii="Times New Roman" w:hAnsi="Times New Roman" w:cs="Times New Roman"/>
        </w:rPr>
        <w:t>Does referral for harm reduction services reduce harms related to stimulant use or StUD-related behaviors?</w:t>
      </w:r>
    </w:p>
    <w:p w14:paraId="11232AED" w14:textId="51A63153" w:rsidR="005A19B4" w:rsidRPr="007D4CB3" w:rsidRDefault="005D3271" w:rsidP="00FC7CE6">
      <w:pPr>
        <w:pStyle w:val="StUDRecs"/>
        <w:numPr>
          <w:ilvl w:val="0"/>
          <w:numId w:val="63"/>
        </w:numPr>
        <w:spacing w:before="0" w:after="0" w:line="360" w:lineRule="auto"/>
        <w:rPr>
          <w:rFonts w:ascii="Times New Roman" w:hAnsi="Times New Roman" w:cs="Times New Roman"/>
        </w:rPr>
      </w:pPr>
      <w:r w:rsidRPr="007D4CB3">
        <w:rPr>
          <w:rFonts w:ascii="Times New Roman" w:hAnsi="Times New Roman" w:cs="Times New Roman"/>
        </w:rPr>
        <w:t xml:space="preserve">Education </w:t>
      </w:r>
      <w:r w:rsidR="00C528BE" w:rsidRPr="007D4CB3">
        <w:rPr>
          <w:rFonts w:ascii="Times New Roman" w:hAnsi="Times New Roman" w:cs="Times New Roman"/>
        </w:rPr>
        <w:t xml:space="preserve">– </w:t>
      </w:r>
      <w:r w:rsidR="00CE62B4" w:rsidRPr="007D4CB3">
        <w:rPr>
          <w:rFonts w:ascii="Times New Roman" w:hAnsi="Times New Roman" w:cs="Times New Roman"/>
        </w:rPr>
        <w:t>O</w:t>
      </w:r>
      <w:r w:rsidRPr="007D4CB3">
        <w:rPr>
          <w:rFonts w:ascii="Times New Roman" w:hAnsi="Times New Roman" w:cs="Times New Roman"/>
        </w:rPr>
        <w:t>verdose</w:t>
      </w:r>
      <w:r w:rsidR="00C9506E" w:rsidRPr="007D4CB3">
        <w:rPr>
          <w:rFonts w:ascii="Times New Roman" w:hAnsi="Times New Roman" w:cs="Times New Roman"/>
        </w:rPr>
        <w:t xml:space="preserve"> (Table </w:t>
      </w:r>
      <w:r w:rsidR="00844975" w:rsidRPr="007D4CB3">
        <w:rPr>
          <w:rFonts w:ascii="Times New Roman" w:hAnsi="Times New Roman" w:cs="Times New Roman"/>
        </w:rPr>
        <w:t>58</w:t>
      </w:r>
      <w:r w:rsidR="00C9506E" w:rsidRPr="007D4CB3">
        <w:rPr>
          <w:rFonts w:ascii="Times New Roman" w:hAnsi="Times New Roman" w:cs="Times New Roman"/>
        </w:rPr>
        <w:t>):</w:t>
      </w:r>
    </w:p>
    <w:p w14:paraId="622AD7DC" w14:textId="30F2F8C0" w:rsidR="005D3271" w:rsidRPr="007D4CB3" w:rsidRDefault="00BB03CF" w:rsidP="00FC7CE6">
      <w:pPr>
        <w:pStyle w:val="StUDRecs"/>
        <w:numPr>
          <w:ilvl w:val="1"/>
          <w:numId w:val="63"/>
        </w:numPr>
        <w:spacing w:before="0" w:after="0" w:line="360" w:lineRule="auto"/>
        <w:rPr>
          <w:rFonts w:ascii="Times New Roman" w:hAnsi="Times New Roman" w:cs="Times New Roman"/>
        </w:rPr>
      </w:pPr>
      <w:r w:rsidRPr="007D4CB3">
        <w:rPr>
          <w:rFonts w:ascii="Times New Roman" w:hAnsi="Times New Roman" w:cs="Times New Roman"/>
        </w:rPr>
        <w:t>What are effective strategies for preventing overdose</w:t>
      </w:r>
      <w:r w:rsidR="00C9506E" w:rsidRPr="007D4CB3">
        <w:rPr>
          <w:rFonts w:ascii="Times New Roman" w:hAnsi="Times New Roman" w:cs="Times New Roman"/>
        </w:rPr>
        <w:t xml:space="preserve"> in </w:t>
      </w:r>
      <w:r w:rsidRPr="007D4CB3">
        <w:rPr>
          <w:rFonts w:ascii="Times New Roman" w:hAnsi="Times New Roman" w:cs="Times New Roman"/>
        </w:rPr>
        <w:t>patients with StUD?</w:t>
      </w:r>
    </w:p>
    <w:p w14:paraId="07B561C2" w14:textId="77DCCEA2" w:rsidR="005A19B4" w:rsidRPr="007D4CB3" w:rsidRDefault="005D3271" w:rsidP="00FC7CE6">
      <w:pPr>
        <w:pStyle w:val="StUDRecs"/>
        <w:numPr>
          <w:ilvl w:val="0"/>
          <w:numId w:val="63"/>
        </w:numPr>
        <w:spacing w:before="0" w:after="0" w:line="360" w:lineRule="auto"/>
        <w:rPr>
          <w:rFonts w:ascii="Times New Roman" w:hAnsi="Times New Roman" w:cs="Times New Roman"/>
        </w:rPr>
      </w:pPr>
      <w:r w:rsidRPr="007D4CB3">
        <w:rPr>
          <w:rFonts w:ascii="Times New Roman" w:hAnsi="Times New Roman" w:cs="Times New Roman"/>
        </w:rPr>
        <w:t xml:space="preserve">Education </w:t>
      </w:r>
      <w:r w:rsidR="00B41DD1" w:rsidRPr="007D4CB3">
        <w:rPr>
          <w:rFonts w:ascii="Times New Roman" w:hAnsi="Times New Roman" w:cs="Times New Roman"/>
        </w:rPr>
        <w:t xml:space="preserve">– </w:t>
      </w:r>
      <w:r w:rsidR="00F112F1" w:rsidRPr="007D4CB3">
        <w:rPr>
          <w:rFonts w:ascii="Times New Roman" w:hAnsi="Times New Roman" w:cs="Times New Roman"/>
        </w:rPr>
        <w:t>S</w:t>
      </w:r>
      <w:r w:rsidRPr="007D4CB3">
        <w:rPr>
          <w:rFonts w:ascii="Times New Roman" w:hAnsi="Times New Roman" w:cs="Times New Roman"/>
        </w:rPr>
        <w:t>ex</w:t>
      </w:r>
      <w:r w:rsidR="00032605" w:rsidRPr="007D4CB3">
        <w:rPr>
          <w:rFonts w:ascii="Times New Roman" w:hAnsi="Times New Roman" w:cs="Times New Roman"/>
        </w:rPr>
        <w:t xml:space="preserve"> (Table </w:t>
      </w:r>
      <w:r w:rsidR="00844975" w:rsidRPr="007D4CB3">
        <w:rPr>
          <w:rFonts w:ascii="Times New Roman" w:hAnsi="Times New Roman" w:cs="Times New Roman"/>
        </w:rPr>
        <w:t>59</w:t>
      </w:r>
      <w:r w:rsidR="00032605" w:rsidRPr="007D4CB3">
        <w:rPr>
          <w:rFonts w:ascii="Times New Roman" w:hAnsi="Times New Roman" w:cs="Times New Roman"/>
        </w:rPr>
        <w:t>):</w:t>
      </w:r>
    </w:p>
    <w:p w14:paraId="20A7F096" w14:textId="2DAD2411" w:rsidR="005D3271" w:rsidRPr="007D4CB3" w:rsidRDefault="00BB03CF" w:rsidP="00FC7CE6">
      <w:pPr>
        <w:pStyle w:val="StUDRecs"/>
        <w:numPr>
          <w:ilvl w:val="1"/>
          <w:numId w:val="63"/>
        </w:numPr>
        <w:spacing w:before="0" w:after="0" w:line="360" w:lineRule="auto"/>
        <w:rPr>
          <w:rFonts w:ascii="Times New Roman" w:hAnsi="Times New Roman" w:cs="Times New Roman"/>
        </w:rPr>
      </w:pPr>
      <w:r w:rsidRPr="007D4CB3">
        <w:rPr>
          <w:rFonts w:ascii="Times New Roman" w:hAnsi="Times New Roman" w:cs="Times New Roman"/>
        </w:rPr>
        <w:t>What are effective strategies for preventing risky sex-related harms</w:t>
      </w:r>
      <w:r w:rsidR="00032605" w:rsidRPr="007D4CB3">
        <w:rPr>
          <w:rFonts w:ascii="Times New Roman" w:hAnsi="Times New Roman" w:cs="Times New Roman"/>
        </w:rPr>
        <w:t xml:space="preserve"> in </w:t>
      </w:r>
      <w:r w:rsidRPr="007D4CB3">
        <w:rPr>
          <w:rFonts w:ascii="Times New Roman" w:hAnsi="Times New Roman" w:cs="Times New Roman"/>
        </w:rPr>
        <w:t>patients with StUD?</w:t>
      </w:r>
    </w:p>
    <w:p w14:paraId="7C8B22A4" w14:textId="2F224EB9" w:rsidR="00BB03CF" w:rsidRPr="007D4CB3" w:rsidRDefault="005D3271" w:rsidP="00FC7CE6">
      <w:pPr>
        <w:pStyle w:val="StUDRecs"/>
        <w:numPr>
          <w:ilvl w:val="0"/>
          <w:numId w:val="63"/>
        </w:numPr>
        <w:spacing w:before="0" w:after="0" w:line="360" w:lineRule="auto"/>
        <w:rPr>
          <w:rFonts w:ascii="Times New Roman" w:hAnsi="Times New Roman" w:cs="Times New Roman"/>
        </w:rPr>
      </w:pPr>
      <w:r w:rsidRPr="007D4CB3">
        <w:rPr>
          <w:rFonts w:ascii="Times New Roman" w:hAnsi="Times New Roman" w:cs="Times New Roman"/>
        </w:rPr>
        <w:t xml:space="preserve">Prevention </w:t>
      </w:r>
      <w:r w:rsidR="00032605" w:rsidRPr="007D4CB3">
        <w:rPr>
          <w:rFonts w:ascii="Times New Roman" w:hAnsi="Times New Roman" w:cs="Times New Roman"/>
        </w:rPr>
        <w:t xml:space="preserve">– </w:t>
      </w:r>
      <w:r w:rsidR="00B1489B" w:rsidRPr="007D4CB3">
        <w:rPr>
          <w:rFonts w:ascii="Times New Roman" w:hAnsi="Times New Roman" w:cs="Times New Roman"/>
        </w:rPr>
        <w:t>C</w:t>
      </w:r>
      <w:r w:rsidRPr="007D4CB3">
        <w:rPr>
          <w:rFonts w:ascii="Times New Roman" w:hAnsi="Times New Roman" w:cs="Times New Roman"/>
        </w:rPr>
        <w:t>ondoms</w:t>
      </w:r>
      <w:r w:rsidR="00F37EA4" w:rsidRPr="007D4CB3">
        <w:rPr>
          <w:rFonts w:ascii="Times New Roman" w:hAnsi="Times New Roman" w:cs="Times New Roman"/>
        </w:rPr>
        <w:t>:</w:t>
      </w:r>
    </w:p>
    <w:p w14:paraId="65C55FEA" w14:textId="4701CAC7" w:rsidR="005D3271" w:rsidRPr="007D4CB3" w:rsidRDefault="00BB03CF" w:rsidP="00FC7CE6">
      <w:pPr>
        <w:pStyle w:val="StUDRecs"/>
        <w:numPr>
          <w:ilvl w:val="1"/>
          <w:numId w:val="63"/>
        </w:numPr>
        <w:spacing w:before="0" w:after="0" w:line="360" w:lineRule="auto"/>
        <w:rPr>
          <w:rFonts w:ascii="Times New Roman" w:hAnsi="Times New Roman" w:cs="Times New Roman"/>
        </w:rPr>
      </w:pPr>
      <w:r w:rsidRPr="007D4CB3">
        <w:rPr>
          <w:rFonts w:ascii="Times New Roman" w:hAnsi="Times New Roman" w:cs="Times New Roman"/>
        </w:rPr>
        <w:t>What are effective strategies for increasing condom use</w:t>
      </w:r>
      <w:r w:rsidR="00F37EA4" w:rsidRPr="007D4CB3">
        <w:rPr>
          <w:rFonts w:ascii="Times New Roman" w:hAnsi="Times New Roman" w:cs="Times New Roman"/>
        </w:rPr>
        <w:t xml:space="preserve"> in </w:t>
      </w:r>
      <w:r w:rsidRPr="007D4CB3">
        <w:rPr>
          <w:rFonts w:ascii="Times New Roman" w:hAnsi="Times New Roman" w:cs="Times New Roman"/>
        </w:rPr>
        <w:t>patients with StUD?</w:t>
      </w:r>
    </w:p>
    <w:p w14:paraId="7A867295" w14:textId="431F326C" w:rsidR="00BB03CF" w:rsidRPr="007D4CB3" w:rsidRDefault="005D3271" w:rsidP="00FC7CE6">
      <w:pPr>
        <w:pStyle w:val="StUDRecs"/>
        <w:numPr>
          <w:ilvl w:val="0"/>
          <w:numId w:val="63"/>
        </w:numPr>
        <w:spacing w:before="0" w:after="0" w:line="360" w:lineRule="auto"/>
        <w:rPr>
          <w:rFonts w:ascii="Times New Roman" w:hAnsi="Times New Roman" w:cs="Times New Roman"/>
        </w:rPr>
      </w:pPr>
      <w:r w:rsidRPr="007D4CB3">
        <w:rPr>
          <w:rFonts w:ascii="Times New Roman" w:hAnsi="Times New Roman" w:cs="Times New Roman"/>
        </w:rPr>
        <w:t>Prevention</w:t>
      </w:r>
      <w:r w:rsidRPr="007D4CB3" w:rsidDel="00B1489B">
        <w:rPr>
          <w:rFonts w:ascii="Times New Roman" w:hAnsi="Times New Roman" w:cs="Times New Roman"/>
        </w:rPr>
        <w:t xml:space="preserve"> </w:t>
      </w:r>
      <w:r w:rsidR="00F37EA4" w:rsidRPr="007D4CB3" w:rsidDel="00B1489B">
        <w:rPr>
          <w:rFonts w:ascii="Times New Roman" w:hAnsi="Times New Roman" w:cs="Times New Roman"/>
        </w:rPr>
        <w:t>–</w:t>
      </w:r>
      <w:r w:rsidR="00F37EA4" w:rsidRPr="007D4CB3">
        <w:rPr>
          <w:rFonts w:ascii="Times New Roman" w:hAnsi="Times New Roman" w:cs="Times New Roman"/>
        </w:rPr>
        <w:t xml:space="preserve"> </w:t>
      </w:r>
      <w:r w:rsidR="00B1489B" w:rsidRPr="007D4CB3">
        <w:rPr>
          <w:rFonts w:ascii="Times New Roman" w:hAnsi="Times New Roman" w:cs="Times New Roman"/>
        </w:rPr>
        <w:t>Routine Sexually Transmitted Infection Testing</w:t>
      </w:r>
      <w:r w:rsidR="00D90C0C" w:rsidRPr="007D4CB3">
        <w:rPr>
          <w:rFonts w:ascii="Times New Roman" w:hAnsi="Times New Roman" w:cs="Times New Roman"/>
        </w:rPr>
        <w:t>:</w:t>
      </w:r>
    </w:p>
    <w:p w14:paraId="5FFD8167" w14:textId="4A829189" w:rsidR="005D3271" w:rsidRPr="007D4CB3" w:rsidRDefault="00B53F87" w:rsidP="00FC7CE6">
      <w:pPr>
        <w:pStyle w:val="StUDRecs"/>
        <w:numPr>
          <w:ilvl w:val="1"/>
          <w:numId w:val="63"/>
        </w:numPr>
        <w:spacing w:before="0" w:after="0" w:line="360" w:lineRule="auto"/>
        <w:rPr>
          <w:rFonts w:ascii="Times New Roman" w:hAnsi="Times New Roman" w:cs="Times New Roman"/>
        </w:rPr>
      </w:pPr>
      <w:r w:rsidRPr="007D4CB3">
        <w:rPr>
          <w:rFonts w:ascii="Times New Roman" w:hAnsi="Times New Roman" w:cs="Times New Roman"/>
        </w:rPr>
        <w:t xml:space="preserve">How often should STI testing </w:t>
      </w:r>
      <w:proofErr w:type="gramStart"/>
      <w:r w:rsidRPr="007D4CB3">
        <w:rPr>
          <w:rFonts w:ascii="Times New Roman" w:hAnsi="Times New Roman" w:cs="Times New Roman"/>
        </w:rPr>
        <w:t>be conducted</w:t>
      </w:r>
      <w:proofErr w:type="gramEnd"/>
      <w:r w:rsidRPr="007D4CB3">
        <w:rPr>
          <w:rFonts w:ascii="Times New Roman" w:hAnsi="Times New Roman" w:cs="Times New Roman"/>
        </w:rPr>
        <w:t xml:space="preserve"> in patients with StUD and other StUD-related risk factors?</w:t>
      </w:r>
    </w:p>
    <w:p w14:paraId="02C0B90E" w14:textId="2B63089A" w:rsidR="005A19B4" w:rsidRPr="007D4CB3" w:rsidRDefault="005D3271" w:rsidP="00FC7CE6">
      <w:pPr>
        <w:pStyle w:val="StUDRecs"/>
        <w:numPr>
          <w:ilvl w:val="0"/>
          <w:numId w:val="63"/>
        </w:numPr>
        <w:spacing w:before="0" w:after="0" w:line="360" w:lineRule="auto"/>
        <w:rPr>
          <w:rFonts w:ascii="Times New Roman" w:hAnsi="Times New Roman" w:cs="Times New Roman"/>
        </w:rPr>
      </w:pPr>
      <w:r w:rsidRPr="007D4CB3">
        <w:rPr>
          <w:rFonts w:ascii="Times New Roman" w:hAnsi="Times New Roman" w:cs="Times New Roman"/>
        </w:rPr>
        <w:t xml:space="preserve">Prevention </w:t>
      </w:r>
      <w:r w:rsidR="00D90C0C" w:rsidRPr="007D4CB3">
        <w:rPr>
          <w:rFonts w:ascii="Times New Roman" w:hAnsi="Times New Roman" w:cs="Times New Roman"/>
        </w:rPr>
        <w:t xml:space="preserve">– </w:t>
      </w:r>
      <w:r w:rsidR="00DF75B5" w:rsidRPr="007D4CB3">
        <w:rPr>
          <w:rFonts w:ascii="Times New Roman" w:hAnsi="Times New Roman" w:cs="Times New Roman"/>
        </w:rPr>
        <w:t>N</w:t>
      </w:r>
      <w:r w:rsidRPr="007D4CB3">
        <w:rPr>
          <w:rFonts w:ascii="Times New Roman" w:hAnsi="Times New Roman" w:cs="Times New Roman"/>
        </w:rPr>
        <w:t>aloxone</w:t>
      </w:r>
      <w:r w:rsidR="00461FA1" w:rsidRPr="007D4CB3">
        <w:rPr>
          <w:rFonts w:ascii="Times New Roman" w:hAnsi="Times New Roman" w:cs="Times New Roman"/>
        </w:rPr>
        <w:t xml:space="preserve"> (Table </w:t>
      </w:r>
      <w:r w:rsidR="00844975" w:rsidRPr="007D4CB3">
        <w:rPr>
          <w:rFonts w:ascii="Times New Roman" w:hAnsi="Times New Roman" w:cs="Times New Roman"/>
        </w:rPr>
        <w:t>60</w:t>
      </w:r>
      <w:r w:rsidR="00461FA1" w:rsidRPr="007D4CB3">
        <w:rPr>
          <w:rFonts w:ascii="Times New Roman" w:hAnsi="Times New Roman" w:cs="Times New Roman"/>
        </w:rPr>
        <w:t>):</w:t>
      </w:r>
    </w:p>
    <w:p w14:paraId="1B5A2DC1" w14:textId="4053D6A5" w:rsidR="005D3271" w:rsidRPr="007D4CB3" w:rsidRDefault="00B53F87" w:rsidP="00FC7CE6">
      <w:pPr>
        <w:pStyle w:val="StUDRecs"/>
        <w:numPr>
          <w:ilvl w:val="1"/>
          <w:numId w:val="63"/>
        </w:numPr>
        <w:spacing w:before="0" w:after="0" w:line="360" w:lineRule="auto"/>
        <w:rPr>
          <w:rFonts w:ascii="Times New Roman" w:hAnsi="Times New Roman" w:cs="Times New Roman"/>
        </w:rPr>
      </w:pPr>
      <w:r w:rsidRPr="007D4CB3">
        <w:rPr>
          <w:rFonts w:ascii="Times New Roman" w:hAnsi="Times New Roman" w:cs="Times New Roman"/>
        </w:rPr>
        <w:t>What are effective strategies for distributing naloxone to patients with StUD?</w:t>
      </w:r>
    </w:p>
    <w:p w14:paraId="23386BC7" w14:textId="5103E5BA" w:rsidR="00B53F87" w:rsidRPr="007D4CB3" w:rsidRDefault="005D3271" w:rsidP="00FC7CE6">
      <w:pPr>
        <w:pStyle w:val="StUDRecs"/>
        <w:numPr>
          <w:ilvl w:val="0"/>
          <w:numId w:val="63"/>
        </w:numPr>
        <w:spacing w:before="0" w:after="0" w:line="360" w:lineRule="auto"/>
        <w:rPr>
          <w:rFonts w:ascii="Times New Roman" w:hAnsi="Times New Roman" w:cs="Times New Roman"/>
        </w:rPr>
      </w:pPr>
      <w:r w:rsidRPr="007D4CB3">
        <w:rPr>
          <w:rFonts w:ascii="Times New Roman" w:hAnsi="Times New Roman" w:cs="Times New Roman"/>
        </w:rPr>
        <w:t xml:space="preserve">Prevention </w:t>
      </w:r>
      <w:r w:rsidR="00461FA1" w:rsidRPr="007D4CB3">
        <w:rPr>
          <w:rFonts w:ascii="Times New Roman" w:hAnsi="Times New Roman" w:cs="Times New Roman"/>
        </w:rPr>
        <w:t xml:space="preserve">– </w:t>
      </w:r>
      <w:r w:rsidR="00DA672A" w:rsidRPr="007D4CB3">
        <w:rPr>
          <w:rFonts w:ascii="Times New Roman" w:hAnsi="Times New Roman" w:cs="Times New Roman"/>
        </w:rPr>
        <w:t>Drug Checking</w:t>
      </w:r>
      <w:r w:rsidR="003705C6" w:rsidRPr="007D4CB3">
        <w:rPr>
          <w:rFonts w:ascii="Times New Roman" w:hAnsi="Times New Roman" w:cs="Times New Roman"/>
        </w:rPr>
        <w:t xml:space="preserve"> (Table </w:t>
      </w:r>
      <w:r w:rsidR="00CE3B2F" w:rsidRPr="007D4CB3">
        <w:rPr>
          <w:rFonts w:ascii="Times New Roman" w:hAnsi="Times New Roman" w:cs="Times New Roman"/>
        </w:rPr>
        <w:t>61</w:t>
      </w:r>
      <w:r w:rsidR="003705C6" w:rsidRPr="007D4CB3">
        <w:rPr>
          <w:rFonts w:ascii="Times New Roman" w:hAnsi="Times New Roman" w:cs="Times New Roman"/>
        </w:rPr>
        <w:t>):</w:t>
      </w:r>
    </w:p>
    <w:p w14:paraId="6D99F6B7" w14:textId="5B1C1E52" w:rsidR="005D3271" w:rsidRPr="007D4CB3" w:rsidRDefault="00B53F87" w:rsidP="00FC7CE6">
      <w:pPr>
        <w:pStyle w:val="StUDRecs"/>
        <w:numPr>
          <w:ilvl w:val="1"/>
          <w:numId w:val="63"/>
        </w:numPr>
        <w:spacing w:before="0" w:after="0" w:line="360" w:lineRule="auto"/>
        <w:rPr>
          <w:rFonts w:ascii="Times New Roman" w:hAnsi="Times New Roman" w:cs="Times New Roman"/>
        </w:rPr>
      </w:pPr>
      <w:r w:rsidRPr="007D4CB3">
        <w:rPr>
          <w:rFonts w:ascii="Times New Roman" w:hAnsi="Times New Roman" w:cs="Times New Roman"/>
        </w:rPr>
        <w:lastRenderedPageBreak/>
        <w:t>Is drug checking an effective strategy for reducing harms related to StUD?</w:t>
      </w:r>
    </w:p>
    <w:p w14:paraId="0A186F7B" w14:textId="76E8A192" w:rsidR="00B53F87" w:rsidRPr="007D4CB3" w:rsidRDefault="005D3271" w:rsidP="00FC7CE6">
      <w:pPr>
        <w:pStyle w:val="StUDRecs"/>
        <w:numPr>
          <w:ilvl w:val="0"/>
          <w:numId w:val="63"/>
        </w:numPr>
        <w:spacing w:before="0" w:after="0" w:line="360" w:lineRule="auto"/>
        <w:rPr>
          <w:rFonts w:ascii="Times New Roman" w:hAnsi="Times New Roman" w:cs="Times New Roman"/>
        </w:rPr>
      </w:pPr>
      <w:r w:rsidRPr="007D4CB3">
        <w:rPr>
          <w:rFonts w:ascii="Times New Roman" w:hAnsi="Times New Roman" w:cs="Times New Roman"/>
        </w:rPr>
        <w:t xml:space="preserve">Prevention </w:t>
      </w:r>
      <w:r w:rsidR="003705C6" w:rsidRPr="007D4CB3">
        <w:rPr>
          <w:rFonts w:ascii="Times New Roman" w:hAnsi="Times New Roman" w:cs="Times New Roman"/>
        </w:rPr>
        <w:t xml:space="preserve">– </w:t>
      </w:r>
      <w:r w:rsidR="00F112F1" w:rsidRPr="007D4CB3">
        <w:rPr>
          <w:rFonts w:ascii="Times New Roman" w:hAnsi="Times New Roman" w:cs="Times New Roman"/>
        </w:rPr>
        <w:t>Supervised Consumption</w:t>
      </w:r>
      <w:r w:rsidRPr="007D4CB3">
        <w:rPr>
          <w:rFonts w:ascii="Times New Roman" w:hAnsi="Times New Roman" w:cs="Times New Roman"/>
        </w:rPr>
        <w:t xml:space="preserve"> </w:t>
      </w:r>
      <w:r w:rsidR="001C7588" w:rsidRPr="007D4CB3">
        <w:rPr>
          <w:rFonts w:ascii="Times New Roman" w:hAnsi="Times New Roman" w:cs="Times New Roman"/>
        </w:rPr>
        <w:t>(Table </w:t>
      </w:r>
      <w:r w:rsidR="00CE3B2F" w:rsidRPr="007D4CB3">
        <w:rPr>
          <w:rFonts w:ascii="Times New Roman" w:hAnsi="Times New Roman" w:cs="Times New Roman"/>
        </w:rPr>
        <w:t>62</w:t>
      </w:r>
      <w:r w:rsidR="001C7588" w:rsidRPr="007D4CB3">
        <w:rPr>
          <w:rFonts w:ascii="Times New Roman" w:hAnsi="Times New Roman" w:cs="Times New Roman"/>
        </w:rPr>
        <w:t>):</w:t>
      </w:r>
    </w:p>
    <w:p w14:paraId="469AADC3" w14:textId="11D2EE46" w:rsidR="005D3271" w:rsidRPr="007D4CB3" w:rsidRDefault="00902141" w:rsidP="00FC7CE6">
      <w:pPr>
        <w:pStyle w:val="StUDRecs"/>
        <w:numPr>
          <w:ilvl w:val="1"/>
          <w:numId w:val="63"/>
        </w:numPr>
        <w:spacing w:before="0" w:after="0" w:line="360" w:lineRule="auto"/>
        <w:rPr>
          <w:rFonts w:ascii="Times New Roman" w:hAnsi="Times New Roman" w:cs="Times New Roman"/>
        </w:rPr>
      </w:pPr>
      <w:r w:rsidRPr="007D4CB3">
        <w:rPr>
          <w:rFonts w:ascii="Times New Roman" w:hAnsi="Times New Roman" w:cs="Times New Roman"/>
        </w:rPr>
        <w:t>Is referral to SCS effective for reducing harms related to StUD?</w:t>
      </w:r>
    </w:p>
    <w:p w14:paraId="18A31DAE" w14:textId="0281A0E6" w:rsidR="00C86471" w:rsidRPr="007D4CB3" w:rsidRDefault="00C86471" w:rsidP="00FC7CE6">
      <w:pPr>
        <w:pStyle w:val="StUDRecs"/>
        <w:numPr>
          <w:ilvl w:val="0"/>
          <w:numId w:val="63"/>
        </w:numPr>
        <w:spacing w:before="0" w:after="0" w:line="360" w:lineRule="auto"/>
        <w:rPr>
          <w:rFonts w:ascii="Times New Roman" w:hAnsi="Times New Roman" w:cs="Times New Roman"/>
        </w:rPr>
      </w:pPr>
      <w:r w:rsidRPr="007D4CB3">
        <w:rPr>
          <w:rFonts w:ascii="Times New Roman" w:hAnsi="Times New Roman" w:cs="Times New Roman"/>
        </w:rPr>
        <w:t xml:space="preserve">Prevention – </w:t>
      </w:r>
      <w:r w:rsidR="00A52CF8" w:rsidRPr="007D4CB3">
        <w:rPr>
          <w:rFonts w:ascii="Times New Roman" w:hAnsi="Times New Roman" w:cs="Times New Roman"/>
        </w:rPr>
        <w:t xml:space="preserve">Routine Sexually Transmitted Infection Testing </w:t>
      </w:r>
      <w:r w:rsidRPr="007D4CB3">
        <w:rPr>
          <w:rFonts w:ascii="Times New Roman" w:hAnsi="Times New Roman" w:cs="Times New Roman"/>
        </w:rPr>
        <w:t>(Table 63):</w:t>
      </w:r>
    </w:p>
    <w:p w14:paraId="44B66E08" w14:textId="77777777" w:rsidR="00C86471" w:rsidRPr="007D4CB3" w:rsidRDefault="00C86471" w:rsidP="00FC7CE6">
      <w:pPr>
        <w:pStyle w:val="StUDRecs"/>
        <w:numPr>
          <w:ilvl w:val="1"/>
          <w:numId w:val="63"/>
        </w:numPr>
        <w:spacing w:before="0" w:after="0" w:line="360" w:lineRule="auto"/>
        <w:rPr>
          <w:rFonts w:ascii="Times New Roman" w:hAnsi="Times New Roman" w:cs="Times New Roman"/>
        </w:rPr>
      </w:pPr>
      <w:r w:rsidRPr="007D4CB3">
        <w:rPr>
          <w:rFonts w:ascii="Times New Roman" w:hAnsi="Times New Roman" w:cs="Times New Roman"/>
        </w:rPr>
        <w:t xml:space="preserve">How often should STI testing </w:t>
      </w:r>
      <w:proofErr w:type="gramStart"/>
      <w:r w:rsidRPr="007D4CB3">
        <w:rPr>
          <w:rFonts w:ascii="Times New Roman" w:hAnsi="Times New Roman" w:cs="Times New Roman"/>
        </w:rPr>
        <w:t>be conducted</w:t>
      </w:r>
      <w:proofErr w:type="gramEnd"/>
      <w:r w:rsidRPr="007D4CB3">
        <w:rPr>
          <w:rFonts w:ascii="Times New Roman" w:hAnsi="Times New Roman" w:cs="Times New Roman"/>
        </w:rPr>
        <w:t xml:space="preserve"> in patients with StUD and other StUD-related risk factors?</w:t>
      </w:r>
    </w:p>
    <w:p w14:paraId="747CB2D8" w14:textId="39429651" w:rsidR="00902141" w:rsidRPr="007D4CB3" w:rsidRDefault="005D3271" w:rsidP="00FC7CE6">
      <w:pPr>
        <w:pStyle w:val="StUDRecs"/>
        <w:numPr>
          <w:ilvl w:val="0"/>
          <w:numId w:val="63"/>
        </w:numPr>
        <w:spacing w:before="0" w:after="0" w:line="360" w:lineRule="auto"/>
        <w:rPr>
          <w:rFonts w:ascii="Times New Roman" w:hAnsi="Times New Roman" w:cs="Times New Roman"/>
        </w:rPr>
      </w:pPr>
      <w:r w:rsidRPr="007D4CB3">
        <w:rPr>
          <w:rFonts w:ascii="Times New Roman" w:hAnsi="Times New Roman" w:cs="Times New Roman"/>
        </w:rPr>
        <w:t xml:space="preserve">Education </w:t>
      </w:r>
      <w:r w:rsidR="001C7588" w:rsidRPr="007D4CB3">
        <w:rPr>
          <w:rFonts w:ascii="Times New Roman" w:hAnsi="Times New Roman" w:cs="Times New Roman"/>
        </w:rPr>
        <w:t xml:space="preserve">– </w:t>
      </w:r>
      <w:r w:rsidR="003A6E5E" w:rsidRPr="007D4CB3">
        <w:rPr>
          <w:rFonts w:ascii="Times New Roman" w:hAnsi="Times New Roman" w:cs="Times New Roman"/>
        </w:rPr>
        <w:t>Injection Drug Use</w:t>
      </w:r>
      <w:r w:rsidR="00DD476F" w:rsidRPr="007D4CB3">
        <w:rPr>
          <w:rFonts w:ascii="Times New Roman" w:hAnsi="Times New Roman" w:cs="Times New Roman"/>
        </w:rPr>
        <w:t xml:space="preserve"> (Table </w:t>
      </w:r>
      <w:r w:rsidR="002D4E6B" w:rsidRPr="007D4CB3">
        <w:rPr>
          <w:rFonts w:ascii="Times New Roman" w:hAnsi="Times New Roman" w:cs="Times New Roman"/>
        </w:rPr>
        <w:t>64</w:t>
      </w:r>
      <w:r w:rsidR="00DD476F" w:rsidRPr="007D4CB3">
        <w:rPr>
          <w:rFonts w:ascii="Times New Roman" w:hAnsi="Times New Roman" w:cs="Times New Roman"/>
        </w:rPr>
        <w:t>):</w:t>
      </w:r>
    </w:p>
    <w:p w14:paraId="3708DF3E" w14:textId="3FEFA764" w:rsidR="005D3271" w:rsidRPr="007D4CB3" w:rsidRDefault="00332F61" w:rsidP="00FC7CE6">
      <w:pPr>
        <w:pStyle w:val="StUDRecs"/>
        <w:numPr>
          <w:ilvl w:val="1"/>
          <w:numId w:val="63"/>
        </w:numPr>
        <w:spacing w:before="0" w:after="0" w:line="360" w:lineRule="auto"/>
        <w:rPr>
          <w:rFonts w:ascii="Times New Roman" w:hAnsi="Times New Roman" w:cs="Times New Roman"/>
        </w:rPr>
      </w:pPr>
      <w:r w:rsidRPr="007D4CB3">
        <w:rPr>
          <w:rFonts w:ascii="Times New Roman" w:hAnsi="Times New Roman" w:cs="Times New Roman"/>
        </w:rPr>
        <w:t>What educational interventions are effective for reducing harms related to injection drug use?</w:t>
      </w:r>
    </w:p>
    <w:p w14:paraId="4FF3D665" w14:textId="03A0F0F6" w:rsidR="00332F61" w:rsidRPr="007D4CB3" w:rsidRDefault="005D3271" w:rsidP="00FC7CE6">
      <w:pPr>
        <w:pStyle w:val="StUDRecs"/>
        <w:numPr>
          <w:ilvl w:val="0"/>
          <w:numId w:val="63"/>
        </w:numPr>
        <w:spacing w:before="0" w:after="0" w:line="360" w:lineRule="auto"/>
        <w:rPr>
          <w:rFonts w:ascii="Times New Roman" w:hAnsi="Times New Roman" w:cs="Times New Roman"/>
        </w:rPr>
      </w:pPr>
      <w:r w:rsidRPr="007D4CB3">
        <w:rPr>
          <w:rFonts w:ascii="Times New Roman" w:hAnsi="Times New Roman" w:cs="Times New Roman"/>
        </w:rPr>
        <w:t xml:space="preserve">Prevention </w:t>
      </w:r>
      <w:r w:rsidR="00DD476F" w:rsidRPr="007D4CB3">
        <w:rPr>
          <w:rFonts w:ascii="Times New Roman" w:hAnsi="Times New Roman" w:cs="Times New Roman"/>
        </w:rPr>
        <w:t xml:space="preserve">– </w:t>
      </w:r>
      <w:r w:rsidR="003A6E5E" w:rsidRPr="007D4CB3">
        <w:rPr>
          <w:rFonts w:ascii="Times New Roman" w:hAnsi="Times New Roman" w:cs="Times New Roman"/>
        </w:rPr>
        <w:t>Injection Drug Use Kits</w:t>
      </w:r>
      <w:r w:rsidR="003F0088" w:rsidRPr="007D4CB3">
        <w:rPr>
          <w:rFonts w:ascii="Times New Roman" w:hAnsi="Times New Roman" w:cs="Times New Roman"/>
        </w:rPr>
        <w:t xml:space="preserve"> (Table </w:t>
      </w:r>
      <w:r w:rsidR="002D4E6B" w:rsidRPr="007D4CB3">
        <w:rPr>
          <w:rFonts w:ascii="Times New Roman" w:hAnsi="Times New Roman" w:cs="Times New Roman"/>
        </w:rPr>
        <w:t>65</w:t>
      </w:r>
      <w:r w:rsidR="003F0088" w:rsidRPr="007D4CB3">
        <w:rPr>
          <w:rFonts w:ascii="Times New Roman" w:hAnsi="Times New Roman" w:cs="Times New Roman"/>
        </w:rPr>
        <w:t>):</w:t>
      </w:r>
    </w:p>
    <w:p w14:paraId="6A691959" w14:textId="0F06F136" w:rsidR="005D3271" w:rsidRPr="007D4CB3" w:rsidRDefault="00332F61" w:rsidP="00FC7CE6">
      <w:pPr>
        <w:pStyle w:val="StUDRecs"/>
        <w:numPr>
          <w:ilvl w:val="1"/>
          <w:numId w:val="63"/>
        </w:numPr>
        <w:spacing w:before="0" w:after="0" w:line="360" w:lineRule="auto"/>
        <w:rPr>
          <w:rFonts w:ascii="Times New Roman" w:hAnsi="Times New Roman" w:cs="Times New Roman"/>
        </w:rPr>
      </w:pPr>
      <w:r w:rsidRPr="007D4CB3">
        <w:rPr>
          <w:rFonts w:ascii="Times New Roman" w:hAnsi="Times New Roman" w:cs="Times New Roman"/>
        </w:rPr>
        <w:t>Are injection drug use kits effective for reducing harms related to injection drug use?</w:t>
      </w:r>
    </w:p>
    <w:p w14:paraId="7E01FC65" w14:textId="2A0F75D8" w:rsidR="00332F61" w:rsidRPr="007D4CB3" w:rsidRDefault="005D3271" w:rsidP="00FC7CE6">
      <w:pPr>
        <w:pStyle w:val="StUDRecs"/>
        <w:numPr>
          <w:ilvl w:val="0"/>
          <w:numId w:val="63"/>
        </w:numPr>
        <w:spacing w:before="0" w:after="0" w:line="360" w:lineRule="auto"/>
        <w:rPr>
          <w:rFonts w:ascii="Times New Roman" w:hAnsi="Times New Roman" w:cs="Times New Roman"/>
        </w:rPr>
      </w:pPr>
      <w:r w:rsidRPr="007D4CB3">
        <w:rPr>
          <w:rFonts w:ascii="Times New Roman" w:hAnsi="Times New Roman" w:cs="Times New Roman"/>
        </w:rPr>
        <w:t xml:space="preserve">Prevention </w:t>
      </w:r>
      <w:r w:rsidR="003F0088" w:rsidRPr="007D4CB3">
        <w:rPr>
          <w:rFonts w:ascii="Times New Roman" w:hAnsi="Times New Roman" w:cs="Times New Roman"/>
        </w:rPr>
        <w:t xml:space="preserve">– </w:t>
      </w:r>
      <w:r w:rsidR="009D2649" w:rsidRPr="007D4CB3">
        <w:rPr>
          <w:rFonts w:ascii="Times New Roman" w:hAnsi="Times New Roman" w:cs="Times New Roman"/>
        </w:rPr>
        <w:t xml:space="preserve">HIV </w:t>
      </w:r>
      <w:r w:rsidR="002C27B7" w:rsidRPr="007D4CB3">
        <w:rPr>
          <w:rFonts w:ascii="Times New Roman" w:hAnsi="Times New Roman" w:cs="Times New Roman"/>
        </w:rPr>
        <w:t>P</w:t>
      </w:r>
      <w:r w:rsidR="009D2649" w:rsidRPr="007D4CB3">
        <w:rPr>
          <w:rFonts w:ascii="Times New Roman" w:hAnsi="Times New Roman" w:cs="Times New Roman"/>
        </w:rPr>
        <w:t xml:space="preserve">reexposure </w:t>
      </w:r>
      <w:r w:rsidR="002C27B7" w:rsidRPr="007D4CB3">
        <w:rPr>
          <w:rFonts w:ascii="Times New Roman" w:hAnsi="Times New Roman" w:cs="Times New Roman"/>
        </w:rPr>
        <w:t>P</w:t>
      </w:r>
      <w:r w:rsidR="009D2649" w:rsidRPr="007D4CB3">
        <w:rPr>
          <w:rFonts w:ascii="Times New Roman" w:hAnsi="Times New Roman" w:cs="Times New Roman"/>
        </w:rPr>
        <w:t>rophylaxis</w:t>
      </w:r>
      <w:r w:rsidR="002C27B7" w:rsidRPr="007D4CB3">
        <w:rPr>
          <w:rFonts w:ascii="Times New Roman" w:hAnsi="Times New Roman" w:cs="Times New Roman"/>
        </w:rPr>
        <w:t xml:space="preserve"> (PrEP)</w:t>
      </w:r>
      <w:r w:rsidR="009D2649" w:rsidRPr="007D4CB3">
        <w:rPr>
          <w:rFonts w:ascii="Times New Roman" w:hAnsi="Times New Roman" w:cs="Times New Roman"/>
        </w:rPr>
        <w:t xml:space="preserve"> (Table </w:t>
      </w:r>
      <w:r w:rsidR="002C27B7" w:rsidRPr="007D4CB3">
        <w:rPr>
          <w:rFonts w:ascii="Times New Roman" w:hAnsi="Times New Roman" w:cs="Times New Roman"/>
        </w:rPr>
        <w:t>66</w:t>
      </w:r>
      <w:r w:rsidR="009D2649" w:rsidRPr="007D4CB3">
        <w:rPr>
          <w:rFonts w:ascii="Times New Roman" w:hAnsi="Times New Roman" w:cs="Times New Roman"/>
        </w:rPr>
        <w:t>):</w:t>
      </w:r>
    </w:p>
    <w:p w14:paraId="5CFE64A4" w14:textId="1D7D3019" w:rsidR="005D3271" w:rsidRPr="007D4CB3" w:rsidRDefault="00332F61" w:rsidP="00FC7CE6">
      <w:pPr>
        <w:pStyle w:val="StUDRecs"/>
        <w:numPr>
          <w:ilvl w:val="1"/>
          <w:numId w:val="63"/>
        </w:numPr>
        <w:spacing w:before="0" w:after="0" w:line="360" w:lineRule="auto"/>
        <w:rPr>
          <w:rFonts w:ascii="Times New Roman" w:hAnsi="Times New Roman" w:cs="Times New Roman"/>
        </w:rPr>
      </w:pPr>
      <w:r w:rsidRPr="007D4CB3">
        <w:rPr>
          <w:rFonts w:ascii="Times New Roman" w:hAnsi="Times New Roman" w:cs="Times New Roman"/>
        </w:rPr>
        <w:t xml:space="preserve">What factors should </w:t>
      </w:r>
      <w:proofErr w:type="gramStart"/>
      <w:r w:rsidRPr="007D4CB3">
        <w:rPr>
          <w:rFonts w:ascii="Times New Roman" w:hAnsi="Times New Roman" w:cs="Times New Roman"/>
        </w:rPr>
        <w:t>be considered</w:t>
      </w:r>
      <w:proofErr w:type="gramEnd"/>
      <w:r w:rsidRPr="007D4CB3">
        <w:rPr>
          <w:rFonts w:ascii="Times New Roman" w:hAnsi="Times New Roman" w:cs="Times New Roman"/>
        </w:rPr>
        <w:t xml:space="preserve"> when determining the appropriateness of HIV PrEP for patients with StUD?</w:t>
      </w:r>
    </w:p>
    <w:p w14:paraId="03A65DF9" w14:textId="0FC11232" w:rsidR="00332F61" w:rsidRPr="007D4CB3" w:rsidRDefault="005D3271" w:rsidP="00FC7CE6">
      <w:pPr>
        <w:pStyle w:val="StUDRecs"/>
        <w:numPr>
          <w:ilvl w:val="0"/>
          <w:numId w:val="63"/>
        </w:numPr>
        <w:spacing w:before="0" w:after="0" w:line="360" w:lineRule="auto"/>
        <w:rPr>
          <w:rFonts w:ascii="Times New Roman" w:hAnsi="Times New Roman" w:cs="Times New Roman"/>
        </w:rPr>
      </w:pPr>
      <w:r w:rsidRPr="007D4CB3">
        <w:rPr>
          <w:rFonts w:ascii="Times New Roman" w:hAnsi="Times New Roman" w:cs="Times New Roman"/>
        </w:rPr>
        <w:t xml:space="preserve">Prevention </w:t>
      </w:r>
      <w:r w:rsidR="009D2649" w:rsidRPr="007D4CB3">
        <w:rPr>
          <w:rFonts w:ascii="Times New Roman" w:hAnsi="Times New Roman" w:cs="Times New Roman"/>
        </w:rPr>
        <w:t xml:space="preserve">– </w:t>
      </w:r>
      <w:r w:rsidR="003A6E5E" w:rsidRPr="007D4CB3">
        <w:rPr>
          <w:rFonts w:ascii="Times New Roman" w:hAnsi="Times New Roman" w:cs="Times New Roman"/>
        </w:rPr>
        <w:t>O</w:t>
      </w:r>
      <w:r w:rsidRPr="007D4CB3">
        <w:rPr>
          <w:rFonts w:ascii="Times New Roman" w:hAnsi="Times New Roman" w:cs="Times New Roman"/>
        </w:rPr>
        <w:t xml:space="preserve">ral </w:t>
      </w:r>
      <w:r w:rsidR="003A6E5E" w:rsidRPr="007D4CB3">
        <w:rPr>
          <w:rFonts w:ascii="Times New Roman" w:hAnsi="Times New Roman" w:cs="Times New Roman"/>
        </w:rPr>
        <w:t>H</w:t>
      </w:r>
      <w:r w:rsidRPr="007D4CB3">
        <w:rPr>
          <w:rFonts w:ascii="Times New Roman" w:hAnsi="Times New Roman" w:cs="Times New Roman"/>
        </w:rPr>
        <w:t>ealth</w:t>
      </w:r>
      <w:r w:rsidR="004177FE" w:rsidRPr="007D4CB3">
        <w:rPr>
          <w:rFonts w:ascii="Times New Roman" w:hAnsi="Times New Roman" w:cs="Times New Roman"/>
        </w:rPr>
        <w:t xml:space="preserve"> (Table </w:t>
      </w:r>
      <w:r w:rsidR="002D4E6B" w:rsidRPr="007D4CB3">
        <w:rPr>
          <w:rFonts w:ascii="Times New Roman" w:hAnsi="Times New Roman" w:cs="Times New Roman"/>
        </w:rPr>
        <w:t>67</w:t>
      </w:r>
      <w:r w:rsidR="004177FE" w:rsidRPr="007D4CB3">
        <w:rPr>
          <w:rFonts w:ascii="Times New Roman" w:hAnsi="Times New Roman" w:cs="Times New Roman"/>
        </w:rPr>
        <w:t>):</w:t>
      </w:r>
    </w:p>
    <w:p w14:paraId="2667C457" w14:textId="555A0929" w:rsidR="005D3271" w:rsidRPr="007D4CB3" w:rsidRDefault="005B6EC8" w:rsidP="00FC7CE6">
      <w:pPr>
        <w:pStyle w:val="StUDRecs"/>
        <w:numPr>
          <w:ilvl w:val="1"/>
          <w:numId w:val="63"/>
        </w:numPr>
        <w:spacing w:before="0" w:after="0" w:line="360" w:lineRule="auto"/>
        <w:rPr>
          <w:rFonts w:ascii="Times New Roman" w:hAnsi="Times New Roman" w:cs="Times New Roman"/>
        </w:rPr>
      </w:pPr>
      <w:r w:rsidRPr="007D4CB3">
        <w:rPr>
          <w:rFonts w:ascii="Times New Roman" w:hAnsi="Times New Roman" w:cs="Times New Roman"/>
        </w:rPr>
        <w:t>What interventions are effective for preventing oral health-related harms in patients with StUD?</w:t>
      </w:r>
    </w:p>
    <w:p w14:paraId="541CCDC3" w14:textId="33D730D8" w:rsidR="005B6EC8" w:rsidRPr="007D4CB3" w:rsidRDefault="005D3271" w:rsidP="00FC7CE6">
      <w:pPr>
        <w:pStyle w:val="StUDRecs"/>
        <w:numPr>
          <w:ilvl w:val="0"/>
          <w:numId w:val="63"/>
        </w:numPr>
        <w:spacing w:before="0" w:after="0" w:line="360" w:lineRule="auto"/>
        <w:rPr>
          <w:rFonts w:ascii="Times New Roman" w:hAnsi="Times New Roman" w:cs="Times New Roman"/>
        </w:rPr>
      </w:pPr>
      <w:r w:rsidRPr="007D4CB3">
        <w:rPr>
          <w:rFonts w:ascii="Times New Roman" w:hAnsi="Times New Roman" w:cs="Times New Roman"/>
        </w:rPr>
        <w:t xml:space="preserve">Prevention </w:t>
      </w:r>
      <w:r w:rsidR="004177FE" w:rsidRPr="007D4CB3">
        <w:rPr>
          <w:rFonts w:ascii="Times New Roman" w:hAnsi="Times New Roman" w:cs="Times New Roman"/>
        </w:rPr>
        <w:t xml:space="preserve">– </w:t>
      </w:r>
      <w:r w:rsidR="00CE0DFE" w:rsidRPr="007D4CB3">
        <w:rPr>
          <w:rFonts w:ascii="Times New Roman" w:hAnsi="Times New Roman" w:cs="Times New Roman"/>
        </w:rPr>
        <w:t>N</w:t>
      </w:r>
      <w:r w:rsidRPr="007D4CB3">
        <w:rPr>
          <w:rFonts w:ascii="Times New Roman" w:hAnsi="Times New Roman" w:cs="Times New Roman"/>
        </w:rPr>
        <w:t>utrition</w:t>
      </w:r>
      <w:r w:rsidR="004177FE" w:rsidRPr="007D4CB3">
        <w:rPr>
          <w:rFonts w:ascii="Times New Roman" w:hAnsi="Times New Roman" w:cs="Times New Roman"/>
        </w:rPr>
        <w:t>:</w:t>
      </w:r>
    </w:p>
    <w:p w14:paraId="75E4127F" w14:textId="1C3DD5F6" w:rsidR="005D3271" w:rsidRPr="007D4CB3" w:rsidRDefault="00E97A3E" w:rsidP="00FC7CE6">
      <w:pPr>
        <w:pStyle w:val="StUDRecs"/>
        <w:numPr>
          <w:ilvl w:val="0"/>
          <w:numId w:val="72"/>
        </w:numPr>
        <w:spacing w:before="0" w:after="0" w:line="360" w:lineRule="auto"/>
        <w:ind w:left="1080"/>
        <w:rPr>
          <w:rFonts w:ascii="Times New Roman" w:hAnsi="Times New Roman" w:cs="Times New Roman"/>
        </w:rPr>
      </w:pPr>
      <w:r w:rsidRPr="007D4CB3">
        <w:rPr>
          <w:rFonts w:ascii="Times New Roman" w:hAnsi="Times New Roman" w:cs="Times New Roman"/>
        </w:rPr>
        <w:t>W</w:t>
      </w:r>
      <w:r w:rsidR="005B6EC8" w:rsidRPr="007D4CB3">
        <w:rPr>
          <w:rFonts w:ascii="Times New Roman" w:hAnsi="Times New Roman" w:cs="Times New Roman"/>
        </w:rPr>
        <w:t>hat interventions are effective for preventing nutrition-related harms in patients with StUD?</w:t>
      </w:r>
    </w:p>
    <w:p w14:paraId="3B59872B" w14:textId="77777777" w:rsidR="00A36896" w:rsidRPr="007D4CB3" w:rsidRDefault="00A36896" w:rsidP="007D4CB3">
      <w:pPr>
        <w:spacing w:before="0" w:after="0" w:line="480" w:lineRule="auto"/>
        <w:ind w:left="360" w:firstLine="360"/>
        <w:rPr>
          <w:rFonts w:ascii="Times New Roman" w:hAnsi="Times New Roman" w:cs="Times New Roman"/>
        </w:rPr>
        <w:sectPr w:rsidR="00A36896" w:rsidRPr="007D4CB3" w:rsidSect="00E6227A">
          <w:footnotePr>
            <w:numFmt w:val="chicago"/>
          </w:footnotePr>
          <w:type w:val="continuous"/>
          <w:pgSz w:w="12240" w:h="15840"/>
          <w:pgMar w:top="1440" w:right="1440" w:bottom="1440" w:left="1440" w:header="720" w:footer="720" w:gutter="0"/>
          <w:cols w:space="720"/>
          <w:docGrid w:linePitch="360"/>
        </w:sectPr>
      </w:pPr>
    </w:p>
    <w:p w14:paraId="1D7B94BC" w14:textId="77777777" w:rsidR="00FC7CE6" w:rsidRDefault="00FC7CE6">
      <w:pPr>
        <w:spacing w:before="360" w:after="160"/>
        <w:ind w:left="360" w:firstLine="360"/>
        <w:rPr>
          <w:rFonts w:ascii="Times New Roman" w:hAnsi="Times New Roman" w:cs="Times New Roman"/>
          <w:b/>
          <w:bCs/>
        </w:rPr>
      </w:pPr>
      <w:bookmarkStart w:id="15" w:name="_Appendix_F._Topics"/>
      <w:bookmarkStart w:id="16" w:name="_Toc144381386"/>
      <w:bookmarkEnd w:id="15"/>
      <w:r>
        <w:rPr>
          <w:rFonts w:ascii="Times New Roman" w:hAnsi="Times New Roman" w:cs="Times New Roman"/>
        </w:rPr>
        <w:br w:type="page"/>
      </w:r>
    </w:p>
    <w:p w14:paraId="1225BA1D" w14:textId="28CB6201" w:rsidR="005D3271" w:rsidRPr="007D4CB3" w:rsidRDefault="005D3271" w:rsidP="00FC7CE6">
      <w:pPr>
        <w:pStyle w:val="Heading1"/>
        <w:spacing w:before="0" w:after="0" w:line="360" w:lineRule="auto"/>
        <w:rPr>
          <w:rFonts w:ascii="Times New Roman" w:hAnsi="Times New Roman" w:cs="Times New Roman"/>
          <w:sz w:val="24"/>
          <w:szCs w:val="24"/>
        </w:rPr>
      </w:pPr>
      <w:r w:rsidRPr="007D4CB3">
        <w:rPr>
          <w:rFonts w:ascii="Times New Roman" w:hAnsi="Times New Roman" w:cs="Times New Roman"/>
          <w:sz w:val="24"/>
          <w:szCs w:val="24"/>
        </w:rPr>
        <w:lastRenderedPageBreak/>
        <w:t xml:space="preserve">Appendix </w:t>
      </w:r>
      <w:r w:rsidR="00697518" w:rsidRPr="007D4CB3">
        <w:rPr>
          <w:rFonts w:ascii="Times New Roman" w:hAnsi="Times New Roman" w:cs="Times New Roman"/>
          <w:sz w:val="24"/>
          <w:szCs w:val="24"/>
        </w:rPr>
        <w:t>F</w:t>
      </w:r>
      <w:r w:rsidRPr="007D4CB3">
        <w:rPr>
          <w:rFonts w:ascii="Times New Roman" w:hAnsi="Times New Roman" w:cs="Times New Roman"/>
          <w:sz w:val="24"/>
          <w:szCs w:val="24"/>
        </w:rPr>
        <w:t>. Topics with Insufficient or Negative Evidence</w:t>
      </w:r>
      <w:bookmarkEnd w:id="16"/>
    </w:p>
    <w:p w14:paraId="4C61A7AD" w14:textId="00008BE1" w:rsidR="005D3271" w:rsidRPr="007D4CB3" w:rsidRDefault="005D3271" w:rsidP="00FC7CE6">
      <w:pPr>
        <w:spacing w:before="0" w:after="0" w:line="360" w:lineRule="auto"/>
        <w:rPr>
          <w:rFonts w:ascii="Times New Roman" w:hAnsi="Times New Roman" w:cs="Times New Roman"/>
        </w:rPr>
      </w:pPr>
      <w:r w:rsidRPr="007D4CB3">
        <w:rPr>
          <w:rFonts w:ascii="Times New Roman" w:hAnsi="Times New Roman" w:cs="Times New Roman"/>
        </w:rPr>
        <w:t xml:space="preserve">The following table presents interventions for which the evidence considered by the CGC </w:t>
      </w:r>
      <w:r w:rsidR="004177FE" w:rsidRPr="007D4CB3">
        <w:rPr>
          <w:rFonts w:ascii="Times New Roman" w:hAnsi="Times New Roman" w:cs="Times New Roman"/>
        </w:rPr>
        <w:t>was</w:t>
      </w:r>
      <w:r w:rsidRPr="007D4CB3">
        <w:rPr>
          <w:rFonts w:ascii="Times New Roman" w:hAnsi="Times New Roman" w:cs="Times New Roman"/>
        </w:rPr>
        <w:t xml:space="preserve"> determined to be insufficient or not supportive.</w:t>
      </w:r>
    </w:p>
    <w:tbl>
      <w:tblPr>
        <w:tblStyle w:val="TableGrid"/>
        <w:tblW w:w="8995" w:type="dxa"/>
        <w:tblLayout w:type="fixed"/>
        <w:tblLook w:val="06A0" w:firstRow="1" w:lastRow="0" w:firstColumn="1" w:lastColumn="0" w:noHBand="1" w:noVBand="1"/>
      </w:tblPr>
      <w:tblGrid>
        <w:gridCol w:w="3325"/>
        <w:gridCol w:w="5670"/>
      </w:tblGrid>
      <w:tr w:rsidR="005D3271" w:rsidRPr="007D4CB3" w14:paraId="217513D1" w14:textId="77777777">
        <w:trPr>
          <w:trHeight w:val="300"/>
        </w:trPr>
        <w:tc>
          <w:tcPr>
            <w:tcW w:w="3325" w:type="dxa"/>
          </w:tcPr>
          <w:p w14:paraId="596A7A14" w14:textId="7B06B5CF" w:rsidR="005D3271" w:rsidRPr="007D4CB3" w:rsidRDefault="005D3271" w:rsidP="00FC7CE6">
            <w:pPr>
              <w:pStyle w:val="StUDTableText"/>
              <w:spacing w:before="0" w:after="0" w:line="360" w:lineRule="auto"/>
              <w:rPr>
                <w:rFonts w:ascii="Times New Roman" w:hAnsi="Times New Roman" w:cs="Times New Roman"/>
                <w:b/>
                <w:bCs/>
                <w:sz w:val="24"/>
              </w:rPr>
            </w:pPr>
            <w:r w:rsidRPr="007D4CB3">
              <w:rPr>
                <w:rFonts w:ascii="Times New Roman" w:hAnsi="Times New Roman" w:cs="Times New Roman"/>
                <w:b/>
                <w:bCs/>
                <w:sz w:val="24"/>
              </w:rPr>
              <w:t>Intervention Type</w:t>
            </w:r>
          </w:p>
        </w:tc>
        <w:tc>
          <w:tcPr>
            <w:tcW w:w="5670" w:type="dxa"/>
          </w:tcPr>
          <w:p w14:paraId="64DA301F" w14:textId="77777777" w:rsidR="005D3271" w:rsidRPr="007D4CB3" w:rsidRDefault="005D3271" w:rsidP="00FC7CE6">
            <w:pPr>
              <w:pStyle w:val="StUDTableText"/>
              <w:spacing w:before="0" w:after="0" w:line="360" w:lineRule="auto"/>
              <w:rPr>
                <w:rFonts w:ascii="Times New Roman" w:hAnsi="Times New Roman" w:cs="Times New Roman"/>
                <w:b/>
                <w:bCs/>
                <w:sz w:val="24"/>
              </w:rPr>
            </w:pPr>
            <w:r w:rsidRPr="007D4CB3">
              <w:rPr>
                <w:rFonts w:ascii="Times New Roman" w:hAnsi="Times New Roman" w:cs="Times New Roman"/>
                <w:b/>
                <w:bCs/>
                <w:sz w:val="24"/>
              </w:rPr>
              <w:t>Intervention</w:t>
            </w:r>
          </w:p>
        </w:tc>
      </w:tr>
      <w:tr w:rsidR="005D3271" w:rsidRPr="007D4CB3" w14:paraId="72C1BA76" w14:textId="77777777">
        <w:trPr>
          <w:trHeight w:val="300"/>
        </w:trPr>
        <w:tc>
          <w:tcPr>
            <w:tcW w:w="3325" w:type="dxa"/>
          </w:tcPr>
          <w:p w14:paraId="23860AC0" w14:textId="7D7507A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Technology-</w:t>
            </w:r>
            <w:r w:rsidR="005A17F5" w:rsidRPr="007D4CB3">
              <w:rPr>
                <w:rFonts w:ascii="Times New Roman" w:hAnsi="Times New Roman" w:cs="Times New Roman"/>
                <w:sz w:val="24"/>
              </w:rPr>
              <w:t>based interventions</w:t>
            </w:r>
          </w:p>
        </w:tc>
        <w:tc>
          <w:tcPr>
            <w:tcW w:w="5670" w:type="dxa"/>
          </w:tcPr>
          <w:p w14:paraId="685728B6"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Text messaging interventions for StUD</w:t>
            </w:r>
          </w:p>
        </w:tc>
      </w:tr>
      <w:tr w:rsidR="005D3271" w:rsidRPr="007D4CB3" w14:paraId="78C02D56" w14:textId="77777777">
        <w:trPr>
          <w:trHeight w:val="300"/>
        </w:trPr>
        <w:tc>
          <w:tcPr>
            <w:tcW w:w="3325" w:type="dxa"/>
          </w:tcPr>
          <w:p w14:paraId="0D1B33BC" w14:textId="28682542"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Technology-</w:t>
            </w:r>
            <w:r w:rsidR="005A17F5" w:rsidRPr="007D4CB3">
              <w:rPr>
                <w:rFonts w:ascii="Times New Roman" w:hAnsi="Times New Roman" w:cs="Times New Roman"/>
                <w:sz w:val="24"/>
              </w:rPr>
              <w:t>based interventions</w:t>
            </w:r>
          </w:p>
        </w:tc>
        <w:tc>
          <w:tcPr>
            <w:tcW w:w="5670" w:type="dxa"/>
          </w:tcPr>
          <w:p w14:paraId="679C784E"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Noninvasive brain stimulation for StUD</w:t>
            </w:r>
          </w:p>
        </w:tc>
      </w:tr>
      <w:tr w:rsidR="005D3271" w:rsidRPr="007D4CB3" w14:paraId="7F259CA2" w14:textId="77777777">
        <w:trPr>
          <w:trHeight w:val="300"/>
        </w:trPr>
        <w:tc>
          <w:tcPr>
            <w:tcW w:w="3325" w:type="dxa"/>
          </w:tcPr>
          <w:p w14:paraId="7F9836BF" w14:textId="5F58A8E6"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 xml:space="preserve">Alternative </w:t>
            </w:r>
            <w:r w:rsidR="005A17F5" w:rsidRPr="007D4CB3">
              <w:rPr>
                <w:rFonts w:ascii="Times New Roman" w:hAnsi="Times New Roman" w:cs="Times New Roman"/>
                <w:sz w:val="24"/>
              </w:rPr>
              <w:t>interventions</w:t>
            </w:r>
          </w:p>
        </w:tc>
        <w:tc>
          <w:tcPr>
            <w:tcW w:w="5670" w:type="dxa"/>
          </w:tcPr>
          <w:p w14:paraId="0D793CFE"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Exercise as standalone or add-on treatment for StUD</w:t>
            </w:r>
          </w:p>
        </w:tc>
      </w:tr>
      <w:tr w:rsidR="005D3271" w:rsidRPr="007D4CB3" w14:paraId="5CC2ACF7" w14:textId="77777777">
        <w:trPr>
          <w:trHeight w:val="300"/>
        </w:trPr>
        <w:tc>
          <w:tcPr>
            <w:tcW w:w="3325" w:type="dxa"/>
          </w:tcPr>
          <w:p w14:paraId="60F6F42D" w14:textId="044B0130"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 xml:space="preserve">Alternative </w:t>
            </w:r>
            <w:r w:rsidR="005A17F5" w:rsidRPr="007D4CB3">
              <w:rPr>
                <w:rFonts w:ascii="Times New Roman" w:hAnsi="Times New Roman" w:cs="Times New Roman"/>
                <w:sz w:val="24"/>
              </w:rPr>
              <w:t>interventions</w:t>
            </w:r>
          </w:p>
        </w:tc>
        <w:tc>
          <w:tcPr>
            <w:tcW w:w="5670" w:type="dxa"/>
          </w:tcPr>
          <w:p w14:paraId="7D024FF7" w14:textId="21D09A95"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Auricular acupuncture for ATS use disorder</w:t>
            </w:r>
          </w:p>
        </w:tc>
      </w:tr>
      <w:tr w:rsidR="005D3271" w:rsidRPr="007D4CB3" w14:paraId="0CA8C6DC" w14:textId="77777777">
        <w:trPr>
          <w:trHeight w:val="300"/>
        </w:trPr>
        <w:tc>
          <w:tcPr>
            <w:tcW w:w="3325" w:type="dxa"/>
          </w:tcPr>
          <w:p w14:paraId="054E8D27"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Pharmacotherapy</w:t>
            </w:r>
          </w:p>
        </w:tc>
        <w:tc>
          <w:tcPr>
            <w:tcW w:w="5670" w:type="dxa"/>
          </w:tcPr>
          <w:p w14:paraId="3189C073" w14:textId="043E321E"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 xml:space="preserve">Topiramate and </w:t>
            </w:r>
            <w:r w:rsidR="00DB4735" w:rsidRPr="007D4CB3">
              <w:rPr>
                <w:rFonts w:ascii="Times New Roman" w:hAnsi="Times New Roman" w:cs="Times New Roman"/>
                <w:sz w:val="24"/>
              </w:rPr>
              <w:t xml:space="preserve">mixed amphetamine salts </w:t>
            </w:r>
            <w:r w:rsidRPr="007D4CB3">
              <w:rPr>
                <w:rFonts w:ascii="Times New Roman" w:hAnsi="Times New Roman" w:cs="Times New Roman"/>
                <w:sz w:val="24"/>
              </w:rPr>
              <w:t>for ATS use disorder</w:t>
            </w:r>
          </w:p>
        </w:tc>
      </w:tr>
      <w:tr w:rsidR="005D3271" w:rsidRPr="007D4CB3" w14:paraId="6BDD1FBD" w14:textId="77777777">
        <w:trPr>
          <w:trHeight w:val="300"/>
        </w:trPr>
        <w:tc>
          <w:tcPr>
            <w:tcW w:w="3325" w:type="dxa"/>
          </w:tcPr>
          <w:p w14:paraId="41E1998C"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Pharmacotherapy</w:t>
            </w:r>
          </w:p>
        </w:tc>
        <w:tc>
          <w:tcPr>
            <w:tcW w:w="5670" w:type="dxa"/>
          </w:tcPr>
          <w:p w14:paraId="06CC6F79"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Bupropion and naltrexone for cocaine use disorder</w:t>
            </w:r>
          </w:p>
        </w:tc>
      </w:tr>
      <w:tr w:rsidR="005D3271" w:rsidRPr="007D4CB3" w14:paraId="420425FD" w14:textId="77777777">
        <w:trPr>
          <w:trHeight w:val="300"/>
        </w:trPr>
        <w:tc>
          <w:tcPr>
            <w:tcW w:w="3325" w:type="dxa"/>
          </w:tcPr>
          <w:p w14:paraId="1D178B00"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Pharmacotherapy</w:t>
            </w:r>
          </w:p>
        </w:tc>
        <w:tc>
          <w:tcPr>
            <w:tcW w:w="5670" w:type="dxa"/>
          </w:tcPr>
          <w:p w14:paraId="2B3C43DC" w14:textId="28CDF691"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eastAsia="Calibri" w:hAnsi="Times New Roman" w:cs="Times New Roman"/>
                <w:color w:val="000000" w:themeColor="text1"/>
                <w:sz w:val="24"/>
              </w:rPr>
              <w:t>Modafinil for</w:t>
            </w:r>
            <w:r w:rsidRPr="007D4CB3">
              <w:rPr>
                <w:rFonts w:ascii="Times New Roman" w:hAnsi="Times New Roman" w:cs="Times New Roman"/>
                <w:sz w:val="24"/>
              </w:rPr>
              <w:t xml:space="preserve"> ATS use disorder</w:t>
            </w:r>
          </w:p>
        </w:tc>
      </w:tr>
      <w:tr w:rsidR="005D3271" w:rsidRPr="007D4CB3" w14:paraId="22CBC7E9" w14:textId="77777777">
        <w:trPr>
          <w:trHeight w:val="300"/>
        </w:trPr>
        <w:tc>
          <w:tcPr>
            <w:tcW w:w="3325" w:type="dxa"/>
          </w:tcPr>
          <w:p w14:paraId="3432374C"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Pharmacotherapy</w:t>
            </w:r>
          </w:p>
        </w:tc>
        <w:tc>
          <w:tcPr>
            <w:tcW w:w="5670" w:type="dxa"/>
          </w:tcPr>
          <w:p w14:paraId="05803707"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Mirtazapine for cocaine use disorder</w:t>
            </w:r>
          </w:p>
        </w:tc>
      </w:tr>
      <w:tr w:rsidR="005D3271" w:rsidRPr="007D4CB3" w14:paraId="46A8ADA6" w14:textId="77777777">
        <w:trPr>
          <w:trHeight w:val="300"/>
        </w:trPr>
        <w:tc>
          <w:tcPr>
            <w:tcW w:w="3325" w:type="dxa"/>
          </w:tcPr>
          <w:p w14:paraId="7EC0EA3E"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Pharmacotherapy</w:t>
            </w:r>
          </w:p>
        </w:tc>
        <w:tc>
          <w:tcPr>
            <w:tcW w:w="5670" w:type="dxa"/>
          </w:tcPr>
          <w:p w14:paraId="49E739FE"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Disulfiram</w:t>
            </w:r>
          </w:p>
        </w:tc>
      </w:tr>
      <w:tr w:rsidR="005D3271" w:rsidRPr="007D4CB3" w14:paraId="7482C680" w14:textId="77777777">
        <w:trPr>
          <w:trHeight w:val="300"/>
        </w:trPr>
        <w:tc>
          <w:tcPr>
            <w:tcW w:w="3325" w:type="dxa"/>
          </w:tcPr>
          <w:p w14:paraId="501A941E"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Pharmacotherapy</w:t>
            </w:r>
          </w:p>
        </w:tc>
        <w:tc>
          <w:tcPr>
            <w:tcW w:w="5670" w:type="dxa"/>
          </w:tcPr>
          <w:p w14:paraId="26B1226F"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Naltrexone</w:t>
            </w:r>
          </w:p>
        </w:tc>
      </w:tr>
      <w:tr w:rsidR="005D3271" w:rsidRPr="007D4CB3" w14:paraId="1F5F9FEA" w14:textId="77777777">
        <w:trPr>
          <w:trHeight w:val="300"/>
        </w:trPr>
        <w:tc>
          <w:tcPr>
            <w:tcW w:w="3325" w:type="dxa"/>
          </w:tcPr>
          <w:p w14:paraId="580615F5"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Pharmacotherapy</w:t>
            </w:r>
          </w:p>
        </w:tc>
        <w:tc>
          <w:tcPr>
            <w:tcW w:w="5670" w:type="dxa"/>
          </w:tcPr>
          <w:p w14:paraId="7C8542C6" w14:textId="5A391736"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Naltrexone and N-acetylcysteine</w:t>
            </w:r>
          </w:p>
        </w:tc>
      </w:tr>
    </w:tbl>
    <w:p w14:paraId="3286A2C2" w14:textId="52670B5F" w:rsidR="005D3271" w:rsidRPr="007D4CB3" w:rsidRDefault="005D3271" w:rsidP="00FC7CE6">
      <w:pPr>
        <w:spacing w:before="0" w:after="0" w:line="360" w:lineRule="auto"/>
        <w:rPr>
          <w:rFonts w:ascii="Times New Roman" w:hAnsi="Times New Roman" w:cs="Times New Roman"/>
        </w:rPr>
      </w:pPr>
      <w:r w:rsidRPr="007D4CB3">
        <w:rPr>
          <w:rFonts w:ascii="Times New Roman" w:hAnsi="Times New Roman" w:cs="Times New Roman"/>
        </w:rPr>
        <w:t>ATS, amphetamine-type stimulants; StUD, stimulant use disorder</w:t>
      </w:r>
    </w:p>
    <w:p w14:paraId="211E0970" w14:textId="77777777" w:rsidR="005D3271" w:rsidRPr="007D4CB3" w:rsidRDefault="005D3271" w:rsidP="007D4CB3">
      <w:pPr>
        <w:spacing w:before="0" w:after="0" w:line="480" w:lineRule="auto"/>
        <w:rPr>
          <w:rFonts w:ascii="Times New Roman" w:hAnsi="Times New Roman" w:cs="Times New Roman"/>
        </w:rPr>
        <w:sectPr w:rsidR="005D3271" w:rsidRPr="007D4CB3" w:rsidSect="00E6227A">
          <w:footnotePr>
            <w:numFmt w:val="chicago"/>
          </w:footnotePr>
          <w:type w:val="continuous"/>
          <w:pgSz w:w="12240" w:h="15840"/>
          <w:pgMar w:top="1440" w:right="1440" w:bottom="1440" w:left="1440" w:header="720" w:footer="720" w:gutter="0"/>
          <w:cols w:space="720"/>
          <w:docGrid w:linePitch="360"/>
        </w:sectPr>
      </w:pPr>
    </w:p>
    <w:p w14:paraId="07D5D7B8" w14:textId="77777777" w:rsidR="008733C0" w:rsidRPr="007D4CB3" w:rsidRDefault="008733C0" w:rsidP="007D4CB3">
      <w:pPr>
        <w:spacing w:before="0" w:after="0" w:line="480" w:lineRule="auto"/>
        <w:ind w:left="360" w:firstLine="360"/>
        <w:rPr>
          <w:rFonts w:ascii="Times New Roman" w:hAnsi="Times New Roman" w:cs="Times New Roman"/>
          <w:b/>
          <w:bCs/>
        </w:rPr>
      </w:pPr>
      <w:bookmarkStart w:id="17" w:name="_Toc144381387"/>
      <w:r w:rsidRPr="007D4CB3">
        <w:rPr>
          <w:rFonts w:ascii="Times New Roman" w:hAnsi="Times New Roman" w:cs="Times New Roman"/>
        </w:rPr>
        <w:br w:type="page"/>
      </w:r>
    </w:p>
    <w:p w14:paraId="07CEABCF" w14:textId="36E84618" w:rsidR="005D3271" w:rsidRPr="007D4CB3" w:rsidRDefault="005D3271" w:rsidP="002928C5">
      <w:pPr>
        <w:pStyle w:val="Heading1"/>
        <w:spacing w:before="0" w:after="0" w:line="360" w:lineRule="auto"/>
        <w:rPr>
          <w:rFonts w:ascii="Times New Roman" w:hAnsi="Times New Roman" w:cs="Times New Roman"/>
          <w:sz w:val="24"/>
          <w:szCs w:val="24"/>
        </w:rPr>
      </w:pPr>
      <w:r w:rsidRPr="007D4CB3">
        <w:rPr>
          <w:rFonts w:ascii="Times New Roman" w:hAnsi="Times New Roman" w:cs="Times New Roman"/>
          <w:sz w:val="24"/>
          <w:szCs w:val="24"/>
        </w:rPr>
        <w:lastRenderedPageBreak/>
        <w:t xml:space="preserve">Appendix </w:t>
      </w:r>
      <w:r w:rsidR="00697518" w:rsidRPr="007D4CB3">
        <w:rPr>
          <w:rFonts w:ascii="Times New Roman" w:hAnsi="Times New Roman" w:cs="Times New Roman"/>
          <w:sz w:val="24"/>
          <w:szCs w:val="24"/>
        </w:rPr>
        <w:t>G</w:t>
      </w:r>
      <w:r w:rsidRPr="007D4CB3">
        <w:rPr>
          <w:rFonts w:ascii="Times New Roman" w:hAnsi="Times New Roman" w:cs="Times New Roman"/>
          <w:sz w:val="24"/>
          <w:szCs w:val="24"/>
        </w:rPr>
        <w:t>. Additional Resources</w:t>
      </w:r>
      <w:bookmarkEnd w:id="17"/>
    </w:p>
    <w:p w14:paraId="4F255C26" w14:textId="5EC1E940" w:rsidR="005D3271" w:rsidRPr="007D4CB3" w:rsidRDefault="005D3271" w:rsidP="002928C5">
      <w:pPr>
        <w:pStyle w:val="Heading2"/>
        <w:spacing w:before="0" w:after="0" w:line="360" w:lineRule="auto"/>
        <w:rPr>
          <w:rFonts w:ascii="Times New Roman" w:hAnsi="Times New Roman" w:cs="Times New Roman"/>
          <w:sz w:val="24"/>
        </w:rPr>
      </w:pPr>
      <w:bookmarkStart w:id="18" w:name="_Toc144381388"/>
      <w:r w:rsidRPr="007D4CB3">
        <w:rPr>
          <w:rFonts w:ascii="Times New Roman" w:hAnsi="Times New Roman" w:cs="Times New Roman"/>
          <w:sz w:val="24"/>
        </w:rPr>
        <w:t>Stimulant Use Disorder</w:t>
      </w:r>
      <w:r w:rsidR="00DB4735" w:rsidRPr="007D4CB3">
        <w:rPr>
          <w:rFonts w:ascii="Times New Roman" w:hAnsi="Times New Roman" w:cs="Times New Roman"/>
          <w:sz w:val="24"/>
        </w:rPr>
        <w:t>:</w:t>
      </w:r>
      <w:r w:rsidRPr="007D4CB3">
        <w:rPr>
          <w:rFonts w:ascii="Times New Roman" w:hAnsi="Times New Roman" w:cs="Times New Roman"/>
          <w:sz w:val="24"/>
        </w:rPr>
        <w:t xml:space="preserve"> General Info</w:t>
      </w:r>
      <w:r w:rsidR="00616514" w:rsidRPr="007D4CB3">
        <w:rPr>
          <w:rFonts w:ascii="Times New Roman" w:hAnsi="Times New Roman" w:cs="Times New Roman"/>
          <w:sz w:val="24"/>
        </w:rPr>
        <w:t>rmation</w:t>
      </w:r>
      <w:r w:rsidRPr="007D4CB3">
        <w:rPr>
          <w:rFonts w:ascii="Times New Roman" w:hAnsi="Times New Roman" w:cs="Times New Roman"/>
          <w:sz w:val="24"/>
        </w:rPr>
        <w:t xml:space="preserve"> and Guidelines</w:t>
      </w:r>
      <w:bookmarkEnd w:id="18"/>
    </w:p>
    <w:p w14:paraId="674D03EE" w14:textId="77777777" w:rsidR="005D3271" w:rsidRPr="002928C5" w:rsidRDefault="005D3271" w:rsidP="002928C5">
      <w:pPr>
        <w:pStyle w:val="ListParagraph"/>
        <w:numPr>
          <w:ilvl w:val="0"/>
          <w:numId w:val="120"/>
        </w:numPr>
        <w:spacing w:before="0" w:after="0" w:line="360" w:lineRule="auto"/>
        <w:rPr>
          <w:rFonts w:ascii="Times New Roman" w:hAnsi="Times New Roman" w:cs="Times New Roman"/>
        </w:rPr>
      </w:pPr>
      <w:r w:rsidRPr="002928C5">
        <w:rPr>
          <w:rFonts w:ascii="Times New Roman" w:hAnsi="Times New Roman" w:cs="Times New Roman"/>
        </w:rPr>
        <w:t>Braunwarth W, Christ M, Dirks H, et al. S3 Practice Guideline Methamphetamine-Related Disorders. The Medical Center for Quality in Medicine (ÄZQ); 2016. https://www.aezq.de/mdb/edocs/pdf/literatur/s3-gl-methamphetamine-related-disorders-long.pdf</w:t>
      </w:r>
    </w:p>
    <w:p w14:paraId="109CB168" w14:textId="77777777" w:rsidR="005D3271" w:rsidRPr="002928C5" w:rsidRDefault="005D3271" w:rsidP="002928C5">
      <w:pPr>
        <w:pStyle w:val="ListParagraph"/>
        <w:numPr>
          <w:ilvl w:val="0"/>
          <w:numId w:val="120"/>
        </w:numPr>
        <w:spacing w:before="0" w:after="0" w:line="360" w:lineRule="auto"/>
        <w:rPr>
          <w:rFonts w:ascii="Times New Roman" w:hAnsi="Times New Roman" w:cs="Times New Roman"/>
        </w:rPr>
      </w:pPr>
      <w:r w:rsidRPr="002928C5">
        <w:rPr>
          <w:rFonts w:ascii="Times New Roman" w:hAnsi="Times New Roman" w:cs="Times New Roman"/>
        </w:rPr>
        <w:t>Department of Veterans Affairs (VA), Department of Defense (DoD). VA/DoD Clinical Practice Guideline for the Management of Substance Use Disorders. Management of Substance Use Disorders Work Group. Department of Veteran Affairs &amp; Department of Defense; 2016. https://www.healthquality.va.gov/guidelines/MH/sud/VADoDSUDCPGRevised22216.pdf</w:t>
      </w:r>
    </w:p>
    <w:p w14:paraId="664EA47E" w14:textId="77777777" w:rsidR="005D3271" w:rsidRPr="002928C5" w:rsidRDefault="005D3271" w:rsidP="002928C5">
      <w:pPr>
        <w:pStyle w:val="ListParagraph"/>
        <w:numPr>
          <w:ilvl w:val="0"/>
          <w:numId w:val="120"/>
        </w:numPr>
        <w:spacing w:before="0" w:after="0" w:line="360" w:lineRule="auto"/>
        <w:rPr>
          <w:rFonts w:ascii="Times New Roman" w:hAnsi="Times New Roman" w:cs="Times New Roman"/>
        </w:rPr>
      </w:pPr>
      <w:r w:rsidRPr="002928C5">
        <w:rPr>
          <w:rFonts w:ascii="Times New Roman" w:hAnsi="Times New Roman" w:cs="Times New Roman"/>
        </w:rPr>
        <w:t>Grigg J, Manning V, Arunogiri S, et al. Methamphetamine Treatment Guidelines: Practice Guidelines for Health Professionals. 2nd ed. Turning Point; 2018.</w:t>
      </w:r>
    </w:p>
    <w:p w14:paraId="72095B13" w14:textId="77777777" w:rsidR="005D3271" w:rsidRPr="002928C5" w:rsidRDefault="005D3271" w:rsidP="002928C5">
      <w:pPr>
        <w:pStyle w:val="ListParagraph"/>
        <w:numPr>
          <w:ilvl w:val="0"/>
          <w:numId w:val="120"/>
        </w:numPr>
        <w:spacing w:before="0" w:after="0" w:line="360" w:lineRule="auto"/>
        <w:rPr>
          <w:rFonts w:ascii="Times New Roman" w:hAnsi="Times New Roman" w:cs="Times New Roman"/>
        </w:rPr>
      </w:pPr>
      <w:r w:rsidRPr="002928C5">
        <w:rPr>
          <w:rFonts w:ascii="Times New Roman" w:hAnsi="Times New Roman" w:cs="Times New Roman"/>
        </w:rPr>
        <w:t xml:space="preserve">Holmwood C, Gowing L. </w:t>
      </w:r>
      <w:r w:rsidRPr="002928C5">
        <w:rPr>
          <w:rFonts w:ascii="Times New Roman" w:hAnsi="Times New Roman" w:cs="Times New Roman"/>
          <w:i/>
        </w:rPr>
        <w:t>Acute Presentations Related to Methamphetamine Use: Clinical Guideline for Adults</w:t>
      </w:r>
      <w:r w:rsidRPr="002928C5">
        <w:rPr>
          <w:rFonts w:ascii="Times New Roman" w:hAnsi="Times New Roman" w:cs="Times New Roman"/>
        </w:rPr>
        <w:t xml:space="preserve">. Clinical Guideline No. CG284. Drug and Alcohol Services South Australia (DASSA); 2019. </w:t>
      </w:r>
      <w:hyperlink r:id="rId16" w:history="1">
        <w:r w:rsidRPr="002928C5">
          <w:rPr>
            <w:rFonts w:ascii="Times New Roman" w:hAnsi="Times New Roman" w:cs="Times New Roman"/>
          </w:rPr>
          <w:t>https://www.sahealth.sa.gov.au/wps/wcm/connect/Public%20Content/SA%20Health%20Internet/Resources/Policies/Acute%20Presentations%20Related%20to%20Methamphetamine%20Use%20Clinical%20Guideline</w:t>
        </w:r>
      </w:hyperlink>
    </w:p>
    <w:p w14:paraId="6BF7D7EB" w14:textId="77777777" w:rsidR="005D3271" w:rsidRPr="002928C5" w:rsidRDefault="005D3271" w:rsidP="002928C5">
      <w:pPr>
        <w:pStyle w:val="ListParagraph"/>
        <w:numPr>
          <w:ilvl w:val="0"/>
          <w:numId w:val="120"/>
        </w:numPr>
        <w:spacing w:before="0" w:after="0" w:line="360" w:lineRule="auto"/>
        <w:rPr>
          <w:rFonts w:ascii="Times New Roman" w:hAnsi="Times New Roman" w:cs="Times New Roman"/>
        </w:rPr>
      </w:pPr>
      <w:r w:rsidRPr="002928C5">
        <w:rPr>
          <w:rFonts w:ascii="Times New Roman" w:hAnsi="Times New Roman" w:cs="Times New Roman"/>
          <w:shd w:val="clear" w:color="auto" w:fill="FFFFFF"/>
        </w:rPr>
        <w:t xml:space="preserve">Lotzin A, Buth S, CANSAS Study Group, et al. “Learning how to ask”: effectiveness of a training for trauma inquiry and response in substance use disorder healthcare professionals. </w:t>
      </w:r>
      <w:r w:rsidRPr="002928C5">
        <w:rPr>
          <w:rFonts w:ascii="Times New Roman" w:hAnsi="Times New Roman" w:cs="Times New Roman"/>
          <w:i/>
          <w:shd w:val="clear" w:color="auto" w:fill="FFFFFF"/>
        </w:rPr>
        <w:t>Psychol Trauma Theory Res Pract Policy</w:t>
      </w:r>
      <w:r w:rsidRPr="002928C5">
        <w:rPr>
          <w:rFonts w:ascii="Times New Roman" w:hAnsi="Times New Roman" w:cs="Times New Roman"/>
          <w:shd w:val="clear" w:color="auto" w:fill="FFFFFF"/>
        </w:rPr>
        <w:t xml:space="preserve">. 2017;10:229-238. </w:t>
      </w:r>
      <w:hyperlink r:id="rId17" w:history="1">
        <w:r w:rsidRPr="002928C5">
          <w:rPr>
            <w:rFonts w:ascii="Times New Roman" w:hAnsi="Times New Roman" w:cs="Times New Roman"/>
          </w:rPr>
          <w:t>https://doi.org/10.1037/tra0000269</w:t>
        </w:r>
      </w:hyperlink>
      <w:r w:rsidRPr="002928C5">
        <w:rPr>
          <w:rFonts w:ascii="Times New Roman" w:hAnsi="Times New Roman" w:cs="Times New Roman"/>
        </w:rPr>
        <w:t>.</w:t>
      </w:r>
    </w:p>
    <w:p w14:paraId="1E23417E" w14:textId="77777777" w:rsidR="005D3271" w:rsidRPr="002928C5" w:rsidRDefault="005D3271" w:rsidP="002928C5">
      <w:pPr>
        <w:pStyle w:val="ListParagraph"/>
        <w:numPr>
          <w:ilvl w:val="0"/>
          <w:numId w:val="120"/>
        </w:numPr>
        <w:spacing w:before="0" w:after="0" w:line="360" w:lineRule="auto"/>
        <w:rPr>
          <w:rFonts w:ascii="Times New Roman" w:hAnsi="Times New Roman" w:cs="Times New Roman"/>
        </w:rPr>
      </w:pPr>
      <w:r w:rsidRPr="002928C5">
        <w:rPr>
          <w:rFonts w:ascii="Times New Roman" w:hAnsi="Times New Roman" w:cs="Times New Roman"/>
        </w:rPr>
        <w:t xml:space="preserve">Manning V, Arunogiri S, Frei M, et al. </w:t>
      </w:r>
      <w:r w:rsidRPr="002928C5">
        <w:rPr>
          <w:rFonts w:ascii="Times New Roman" w:hAnsi="Times New Roman" w:cs="Times New Roman"/>
          <w:i/>
        </w:rPr>
        <w:t>Alcohol and Other Drug Withdrawal: Practice Guidelines</w:t>
      </w:r>
      <w:r w:rsidRPr="002928C5">
        <w:rPr>
          <w:rFonts w:ascii="Times New Roman" w:hAnsi="Times New Roman" w:cs="Times New Roman"/>
        </w:rPr>
        <w:t>. 3rd ed. Turning Point; 2018.</w:t>
      </w:r>
    </w:p>
    <w:p w14:paraId="499440A3" w14:textId="77777777" w:rsidR="005D3271" w:rsidRPr="002928C5" w:rsidRDefault="005D3271" w:rsidP="002928C5">
      <w:pPr>
        <w:pStyle w:val="ListParagraph"/>
        <w:numPr>
          <w:ilvl w:val="0"/>
          <w:numId w:val="120"/>
        </w:numPr>
        <w:spacing w:before="0" w:after="0" w:line="360" w:lineRule="auto"/>
        <w:rPr>
          <w:rFonts w:ascii="Times New Roman" w:hAnsi="Times New Roman" w:cs="Times New Roman"/>
        </w:rPr>
      </w:pPr>
      <w:r w:rsidRPr="002928C5">
        <w:rPr>
          <w:rFonts w:ascii="Times New Roman" w:hAnsi="Times New Roman" w:cs="Times New Roman"/>
        </w:rPr>
        <w:t xml:space="preserve">NSW Ministry of Health. </w:t>
      </w:r>
      <w:r w:rsidRPr="002928C5">
        <w:rPr>
          <w:rFonts w:ascii="Times New Roman" w:hAnsi="Times New Roman" w:cs="Times New Roman"/>
          <w:i/>
        </w:rPr>
        <w:t>Drug and Alcohol Withdrawal Clinical Practice Guidelines (Reviewed 2018)</w:t>
      </w:r>
      <w:r w:rsidRPr="002928C5">
        <w:rPr>
          <w:rFonts w:ascii="Times New Roman" w:hAnsi="Times New Roman" w:cs="Times New Roman"/>
        </w:rPr>
        <w:t xml:space="preserve">. NSW Health; 2008. Accessed September 16, 2021. </w:t>
      </w:r>
      <w:hyperlink r:id="rId18" w:history="1">
        <w:r w:rsidRPr="002928C5">
          <w:rPr>
            <w:rFonts w:ascii="Times New Roman" w:hAnsi="Times New Roman" w:cs="Times New Roman"/>
          </w:rPr>
          <w:t>www.health.nsw.gov.au</w:t>
        </w:r>
      </w:hyperlink>
    </w:p>
    <w:p w14:paraId="57807A17" w14:textId="77777777" w:rsidR="005D3271" w:rsidRPr="002928C5" w:rsidRDefault="005D3271" w:rsidP="002928C5">
      <w:pPr>
        <w:pStyle w:val="ListParagraph"/>
        <w:numPr>
          <w:ilvl w:val="0"/>
          <w:numId w:val="120"/>
        </w:numPr>
        <w:spacing w:before="0" w:after="0" w:line="360" w:lineRule="auto"/>
        <w:rPr>
          <w:rFonts w:ascii="Times New Roman" w:hAnsi="Times New Roman" w:cs="Times New Roman"/>
        </w:rPr>
      </w:pPr>
      <w:r w:rsidRPr="002928C5">
        <w:rPr>
          <w:rFonts w:ascii="Times New Roman" w:hAnsi="Times New Roman" w:cs="Times New Roman"/>
        </w:rPr>
        <w:t xml:space="preserve">Substance Abuse and Mental Health Services Administration. </w:t>
      </w:r>
      <w:r w:rsidRPr="002928C5">
        <w:rPr>
          <w:rFonts w:ascii="Times New Roman" w:hAnsi="Times New Roman" w:cs="Times New Roman"/>
          <w:i/>
        </w:rPr>
        <w:t>Treatment Improvement Protocols (TIP) 33: Treatment for Stimulant Use Disorders</w:t>
      </w:r>
      <w:r w:rsidRPr="002928C5">
        <w:rPr>
          <w:rFonts w:ascii="Times New Roman" w:hAnsi="Times New Roman" w:cs="Times New Roman"/>
        </w:rPr>
        <w:t xml:space="preserve">. PEP21-02-01004. Substance </w:t>
      </w:r>
      <w:r w:rsidRPr="002928C5">
        <w:rPr>
          <w:rFonts w:ascii="Times New Roman" w:hAnsi="Times New Roman" w:cs="Times New Roman"/>
        </w:rPr>
        <w:lastRenderedPageBreak/>
        <w:t xml:space="preserve">Abuse and Mental Health Services Administration (SAMHSA); 2021. Accessed July 13, 2022. </w:t>
      </w:r>
      <w:hyperlink r:id="rId19" w:history="1">
        <w:r w:rsidRPr="002928C5">
          <w:rPr>
            <w:rFonts w:ascii="Times New Roman" w:hAnsi="Times New Roman" w:cs="Times New Roman"/>
          </w:rPr>
          <w:t>https://store.samhsa.gov/product/treatment-for-stimulant-use-disorders/PEP21-02-01-004</w:t>
        </w:r>
      </w:hyperlink>
    </w:p>
    <w:p w14:paraId="76D8AC21" w14:textId="7BF96078" w:rsidR="005D3271" w:rsidRPr="002928C5" w:rsidRDefault="005D3271" w:rsidP="002928C5">
      <w:pPr>
        <w:pStyle w:val="ListParagraph"/>
        <w:numPr>
          <w:ilvl w:val="0"/>
          <w:numId w:val="120"/>
        </w:numPr>
        <w:spacing w:before="0" w:after="0" w:line="360" w:lineRule="auto"/>
        <w:rPr>
          <w:rFonts w:ascii="Times New Roman" w:hAnsi="Times New Roman" w:cs="Times New Roman"/>
        </w:rPr>
      </w:pPr>
      <w:r w:rsidRPr="002928C5">
        <w:rPr>
          <w:rFonts w:ascii="Times New Roman" w:hAnsi="Times New Roman" w:cs="Times New Roman"/>
        </w:rPr>
        <w:t>Substance Abuse and Mental Health Services Administration.</w:t>
      </w:r>
      <w:r w:rsidRPr="002928C5" w:rsidDel="0069245B">
        <w:rPr>
          <w:rFonts w:ascii="Times New Roman" w:hAnsi="Times New Roman" w:cs="Times New Roman"/>
        </w:rPr>
        <w:t xml:space="preserve"> </w:t>
      </w:r>
      <w:r w:rsidRPr="002928C5">
        <w:rPr>
          <w:rFonts w:ascii="Times New Roman" w:hAnsi="Times New Roman" w:cs="Times New Roman"/>
        </w:rPr>
        <w:t>Treatment of Stimulant Use Disorders. PEP20-06-01-001. SAMHSA; 2020. Accessed</w:t>
      </w:r>
      <w:r w:rsidRPr="002928C5" w:rsidDel="00375EDD">
        <w:rPr>
          <w:rFonts w:ascii="Times New Roman" w:hAnsi="Times New Roman" w:cs="Times New Roman"/>
        </w:rPr>
        <w:t xml:space="preserve"> </w:t>
      </w:r>
      <w:r w:rsidRPr="002928C5">
        <w:rPr>
          <w:rFonts w:ascii="Times New Roman" w:hAnsi="Times New Roman" w:cs="Times New Roman"/>
        </w:rPr>
        <w:t xml:space="preserve">June 27, 2023. </w:t>
      </w:r>
      <w:hyperlink r:id="rId20" w:history="1">
        <w:r w:rsidRPr="002928C5">
          <w:rPr>
            <w:rFonts w:ascii="Times New Roman" w:hAnsi="Times New Roman" w:cs="Times New Roman"/>
          </w:rPr>
          <w:t>https://store.samhsa.gov/product/Treatment-of-Stimulant-Use-Disorder/PEP20-06-01-001</w:t>
        </w:r>
      </w:hyperlink>
    </w:p>
    <w:p w14:paraId="71505DC7" w14:textId="63FFD3C1" w:rsidR="005D3271" w:rsidRPr="002928C5" w:rsidRDefault="005D3271" w:rsidP="002928C5">
      <w:pPr>
        <w:pStyle w:val="ListParagraph"/>
        <w:numPr>
          <w:ilvl w:val="0"/>
          <w:numId w:val="120"/>
        </w:numPr>
        <w:spacing w:before="0" w:after="0" w:line="360" w:lineRule="auto"/>
        <w:rPr>
          <w:rFonts w:ascii="Times New Roman" w:hAnsi="Times New Roman" w:cs="Times New Roman"/>
        </w:rPr>
      </w:pPr>
      <w:r w:rsidRPr="002928C5">
        <w:rPr>
          <w:rFonts w:ascii="Times New Roman" w:hAnsi="Times New Roman" w:cs="Times New Roman"/>
        </w:rPr>
        <w:t>Substance Abuse and Mental Health Services Administration.</w:t>
      </w:r>
      <w:r w:rsidRPr="002928C5" w:rsidDel="0020776A">
        <w:rPr>
          <w:rFonts w:ascii="Times New Roman" w:hAnsi="Times New Roman" w:cs="Times New Roman"/>
        </w:rPr>
        <w:t xml:space="preserve"> </w:t>
      </w:r>
      <w:r w:rsidRPr="002928C5">
        <w:rPr>
          <w:rFonts w:ascii="Times New Roman" w:hAnsi="Times New Roman" w:cs="Times New Roman"/>
        </w:rPr>
        <w:t>Treating Concurrent Substance Use Among Adults. PEP21-06-02-002. SAMHSA;2021. Accessed June 27, 2023.</w:t>
      </w:r>
      <w:r w:rsidRPr="002928C5" w:rsidDel="0020776A">
        <w:rPr>
          <w:rFonts w:ascii="Times New Roman" w:hAnsi="Times New Roman" w:cs="Times New Roman"/>
        </w:rPr>
        <w:t xml:space="preserve"> </w:t>
      </w:r>
      <w:hyperlink r:id="rId21" w:history="1">
        <w:r w:rsidRPr="002928C5">
          <w:rPr>
            <w:rFonts w:ascii="Times New Roman" w:hAnsi="Times New Roman" w:cs="Times New Roman"/>
          </w:rPr>
          <w:t>https://store.samhsa.gov/product/treating-concurrent-substance-use-among-adults/PEP21-06-02-002</w:t>
        </w:r>
      </w:hyperlink>
    </w:p>
    <w:p w14:paraId="332A9BCC" w14:textId="77777777" w:rsidR="005D3271" w:rsidRPr="002928C5" w:rsidRDefault="005D3271" w:rsidP="002928C5">
      <w:pPr>
        <w:pStyle w:val="ListParagraph"/>
        <w:numPr>
          <w:ilvl w:val="0"/>
          <w:numId w:val="120"/>
        </w:numPr>
        <w:spacing w:before="0" w:after="0" w:line="360" w:lineRule="auto"/>
        <w:rPr>
          <w:rFonts w:ascii="Times New Roman" w:hAnsi="Times New Roman" w:cs="Times New Roman"/>
        </w:rPr>
      </w:pPr>
      <w:r w:rsidRPr="002928C5">
        <w:rPr>
          <w:rFonts w:ascii="Times New Roman" w:hAnsi="Times New Roman" w:cs="Times New Roman"/>
        </w:rPr>
        <w:t xml:space="preserve">United Nations Office on Drugs and Crime. </w:t>
      </w:r>
      <w:r w:rsidRPr="002928C5">
        <w:rPr>
          <w:rFonts w:ascii="Times New Roman" w:hAnsi="Times New Roman" w:cs="Times New Roman"/>
          <w:i/>
        </w:rPr>
        <w:t>Treatment of Stimulant Use Disorders: Current Practices and Promising Perspectives</w:t>
      </w:r>
      <w:r w:rsidRPr="002928C5">
        <w:rPr>
          <w:rFonts w:ascii="Times New Roman" w:hAnsi="Times New Roman" w:cs="Times New Roman"/>
        </w:rPr>
        <w:t>. United Nations Office on Drugs and Crime (UNODC); 2019.</w:t>
      </w:r>
    </w:p>
    <w:p w14:paraId="04A7A85F" w14:textId="77777777" w:rsidR="005D3271" w:rsidRPr="002928C5" w:rsidRDefault="005D3271" w:rsidP="002928C5">
      <w:pPr>
        <w:pStyle w:val="ListParagraph"/>
        <w:numPr>
          <w:ilvl w:val="0"/>
          <w:numId w:val="120"/>
        </w:numPr>
        <w:spacing w:before="0" w:after="0" w:line="360" w:lineRule="auto"/>
        <w:rPr>
          <w:rFonts w:ascii="Times New Roman" w:hAnsi="Times New Roman" w:cs="Times New Roman"/>
        </w:rPr>
      </w:pPr>
      <w:r w:rsidRPr="002928C5">
        <w:rPr>
          <w:rFonts w:ascii="Times New Roman" w:hAnsi="Times New Roman" w:cs="Times New Roman"/>
        </w:rPr>
        <w:t xml:space="preserve">US Preventive Services Task Force, Krist AH, Davidson KW, et al. Screening for Unhealthy Drug Use: US Preventive Services Task Force Recommendation Statement. </w:t>
      </w:r>
      <w:r w:rsidRPr="002928C5">
        <w:rPr>
          <w:rFonts w:ascii="Times New Roman" w:hAnsi="Times New Roman" w:cs="Times New Roman"/>
          <w:i/>
        </w:rPr>
        <w:t>JAMA</w:t>
      </w:r>
      <w:r w:rsidRPr="002928C5">
        <w:rPr>
          <w:rFonts w:ascii="Times New Roman" w:hAnsi="Times New Roman" w:cs="Times New Roman"/>
        </w:rPr>
        <w:t>. 2020;323(22):2301. doi:10.1001/jama.2020.8020</w:t>
      </w:r>
    </w:p>
    <w:p w14:paraId="2EF2EE06" w14:textId="77777777" w:rsidR="005D3271" w:rsidRPr="002928C5" w:rsidRDefault="005D3271" w:rsidP="002928C5">
      <w:pPr>
        <w:pStyle w:val="ListParagraph"/>
        <w:numPr>
          <w:ilvl w:val="0"/>
          <w:numId w:val="120"/>
        </w:numPr>
        <w:spacing w:before="0" w:after="0" w:line="360" w:lineRule="auto"/>
        <w:rPr>
          <w:rFonts w:ascii="Times New Roman" w:hAnsi="Times New Roman" w:cs="Times New Roman"/>
        </w:rPr>
      </w:pPr>
      <w:r w:rsidRPr="002928C5">
        <w:rPr>
          <w:rFonts w:ascii="Times New Roman" w:hAnsi="Times New Roman" w:cs="Times New Roman"/>
        </w:rPr>
        <w:t>World Health Organization. Technical Brief 4 on Amphetamine-Type Stimulants (ATS): Therapeutic interventions for Users of Amphetamine-Type Stimulants (ATS). WHO; 2011. https://apps.who.int/iris/handle/10665/272729</w:t>
      </w:r>
    </w:p>
    <w:p w14:paraId="38A227C8" w14:textId="77777777" w:rsidR="005D3271" w:rsidRPr="002928C5" w:rsidRDefault="005D3271" w:rsidP="002928C5">
      <w:pPr>
        <w:pStyle w:val="ListParagraph"/>
        <w:numPr>
          <w:ilvl w:val="0"/>
          <w:numId w:val="120"/>
        </w:numPr>
        <w:spacing w:before="0" w:after="0" w:line="360" w:lineRule="auto"/>
        <w:rPr>
          <w:rFonts w:ascii="Times New Roman" w:hAnsi="Times New Roman" w:cs="Times New Roman"/>
        </w:rPr>
      </w:pPr>
      <w:r w:rsidRPr="002928C5">
        <w:rPr>
          <w:rFonts w:ascii="Times New Roman" w:hAnsi="Times New Roman" w:cs="Times New Roman"/>
        </w:rPr>
        <w:t xml:space="preserve">World Health Organization. </w:t>
      </w:r>
      <w:r w:rsidRPr="002928C5">
        <w:rPr>
          <w:rFonts w:ascii="Times New Roman" w:hAnsi="Times New Roman" w:cs="Times New Roman"/>
          <w:i/>
        </w:rPr>
        <w:t>Guidelines for the Prevention, Care and Treatment of Persons with Chronic Hepatitis B Infection</w:t>
      </w:r>
      <w:r w:rsidRPr="002928C5">
        <w:rPr>
          <w:rFonts w:ascii="Times New Roman" w:hAnsi="Times New Roman" w:cs="Times New Roman"/>
        </w:rPr>
        <w:t xml:space="preserve">. WHO; 2015. Accessed June 15, 2022. </w:t>
      </w:r>
      <w:hyperlink r:id="rId22" w:history="1">
        <w:r w:rsidRPr="002928C5">
          <w:rPr>
            <w:rFonts w:ascii="Times New Roman" w:hAnsi="Times New Roman" w:cs="Times New Roman"/>
          </w:rPr>
          <w:t>https://apps.who.int/iris/handle/10665/154590</w:t>
        </w:r>
      </w:hyperlink>
    </w:p>
    <w:p w14:paraId="3FDD080F" w14:textId="77777777" w:rsidR="005D3271" w:rsidRPr="007D4CB3" w:rsidRDefault="005D3271" w:rsidP="002928C5">
      <w:pPr>
        <w:pStyle w:val="Heading2"/>
        <w:spacing w:before="0" w:after="120" w:line="360" w:lineRule="auto"/>
        <w:rPr>
          <w:rFonts w:ascii="Times New Roman" w:hAnsi="Times New Roman" w:cs="Times New Roman"/>
          <w:sz w:val="24"/>
        </w:rPr>
      </w:pPr>
      <w:bookmarkStart w:id="19" w:name="_Toc144381389"/>
      <w:r w:rsidRPr="007D4CB3">
        <w:rPr>
          <w:rFonts w:ascii="Times New Roman" w:hAnsi="Times New Roman" w:cs="Times New Roman"/>
          <w:sz w:val="24"/>
        </w:rPr>
        <w:t>Other Topics</w:t>
      </w:r>
      <w:bookmarkEnd w:id="19"/>
    </w:p>
    <w:p w14:paraId="1D8B1093" w14:textId="66A6D50F" w:rsidR="005D3271" w:rsidRPr="007D4CB3" w:rsidRDefault="005D3271" w:rsidP="002928C5">
      <w:pPr>
        <w:pStyle w:val="Heading3-backmatter"/>
        <w:spacing w:before="0" w:after="120" w:line="360" w:lineRule="auto"/>
        <w:rPr>
          <w:rFonts w:ascii="Times New Roman" w:hAnsi="Times New Roman" w:cs="Times New Roman"/>
          <w:sz w:val="24"/>
        </w:rPr>
      </w:pPr>
      <w:r w:rsidRPr="007D4CB3">
        <w:rPr>
          <w:rFonts w:ascii="Times New Roman" w:hAnsi="Times New Roman" w:cs="Times New Roman"/>
          <w:sz w:val="24"/>
        </w:rPr>
        <w:t>Adolescents</w:t>
      </w:r>
      <w:r w:rsidR="00DB4735" w:rsidRPr="007D4CB3">
        <w:rPr>
          <w:rFonts w:ascii="Times New Roman" w:hAnsi="Times New Roman" w:cs="Times New Roman"/>
          <w:sz w:val="24"/>
        </w:rPr>
        <w:t xml:space="preserve"> and </w:t>
      </w:r>
      <w:r w:rsidRPr="007D4CB3">
        <w:rPr>
          <w:rFonts w:ascii="Times New Roman" w:hAnsi="Times New Roman" w:cs="Times New Roman"/>
          <w:sz w:val="24"/>
        </w:rPr>
        <w:t>Young Adults</w:t>
      </w:r>
    </w:p>
    <w:p w14:paraId="7B07AB2B" w14:textId="77777777" w:rsidR="005D3271" w:rsidRPr="002928C5" w:rsidRDefault="005D3271" w:rsidP="002928C5">
      <w:pPr>
        <w:pStyle w:val="ListParagraph"/>
        <w:numPr>
          <w:ilvl w:val="0"/>
          <w:numId w:val="138"/>
        </w:numPr>
        <w:spacing w:before="0" w:after="0" w:line="360" w:lineRule="auto"/>
        <w:rPr>
          <w:rFonts w:ascii="Times New Roman" w:hAnsi="Times New Roman" w:cs="Times New Roman"/>
        </w:rPr>
      </w:pPr>
      <w:r w:rsidRPr="002928C5">
        <w:rPr>
          <w:rFonts w:ascii="Times New Roman" w:hAnsi="Times New Roman" w:cs="Times New Roman"/>
        </w:rPr>
        <w:t xml:space="preserve">Levy S, Siqueira LM, Committee on Substance Abuse. Testing for Drugs of Abuse in Children and Adolescents. </w:t>
      </w:r>
      <w:r w:rsidRPr="002928C5">
        <w:rPr>
          <w:rFonts w:ascii="Times New Roman" w:hAnsi="Times New Roman" w:cs="Times New Roman"/>
          <w:i/>
        </w:rPr>
        <w:t>Pediatrics</w:t>
      </w:r>
      <w:r w:rsidRPr="002928C5">
        <w:rPr>
          <w:rFonts w:ascii="Times New Roman" w:hAnsi="Times New Roman" w:cs="Times New Roman"/>
        </w:rPr>
        <w:t>. 2014;133(6):e20140865. doi:10.1542/peds.2014-0865</w:t>
      </w:r>
    </w:p>
    <w:p w14:paraId="703E93AB" w14:textId="77777777" w:rsidR="005D3271" w:rsidRPr="002928C5" w:rsidRDefault="005D3271" w:rsidP="002928C5">
      <w:pPr>
        <w:pStyle w:val="ListParagraph"/>
        <w:numPr>
          <w:ilvl w:val="0"/>
          <w:numId w:val="138"/>
        </w:numPr>
        <w:spacing w:before="0" w:after="0" w:line="360" w:lineRule="auto"/>
        <w:rPr>
          <w:rFonts w:ascii="Times New Roman" w:hAnsi="Times New Roman" w:cs="Times New Roman"/>
        </w:rPr>
      </w:pPr>
      <w:r w:rsidRPr="002928C5">
        <w:rPr>
          <w:rFonts w:ascii="Times New Roman" w:hAnsi="Times New Roman" w:cs="Times New Roman"/>
        </w:rPr>
        <w:t xml:space="preserve">Levy SJL, Williams JF, Committee on Substance Use and Prevention. Substance Use Screening, Brief Intervention, and Referral to Treatment. </w:t>
      </w:r>
      <w:r w:rsidRPr="002928C5">
        <w:rPr>
          <w:rFonts w:ascii="Times New Roman" w:hAnsi="Times New Roman" w:cs="Times New Roman"/>
          <w:i/>
        </w:rPr>
        <w:t>Pediatrics</w:t>
      </w:r>
      <w:r w:rsidRPr="002928C5">
        <w:rPr>
          <w:rFonts w:ascii="Times New Roman" w:hAnsi="Times New Roman" w:cs="Times New Roman"/>
        </w:rPr>
        <w:t>. 2016;138(1):e20161211. doi:10.1542/peds.2016-1211</w:t>
      </w:r>
    </w:p>
    <w:p w14:paraId="2BB3FB7C" w14:textId="77777777" w:rsidR="005D3271" w:rsidRPr="002928C5" w:rsidRDefault="005D3271" w:rsidP="002928C5">
      <w:pPr>
        <w:pStyle w:val="ListParagraph"/>
        <w:numPr>
          <w:ilvl w:val="0"/>
          <w:numId w:val="138"/>
        </w:numPr>
        <w:spacing w:before="0" w:after="0" w:line="360" w:lineRule="auto"/>
        <w:rPr>
          <w:rFonts w:ascii="Times New Roman" w:hAnsi="Times New Roman" w:cs="Times New Roman"/>
        </w:rPr>
      </w:pPr>
      <w:r w:rsidRPr="002928C5">
        <w:rPr>
          <w:rFonts w:ascii="Times New Roman" w:hAnsi="Times New Roman" w:cs="Times New Roman"/>
        </w:rPr>
        <w:lastRenderedPageBreak/>
        <w:t xml:space="preserve">Özgen H, Spijkerman R, Noack M, et al. International Consensus Statement for the Screening, Diagnosis, and Treatment of Adolescents with Concurrent Attention-Deficit/Hyperactivity Disorder and Substance Use Disorder. </w:t>
      </w:r>
      <w:r w:rsidRPr="002928C5">
        <w:rPr>
          <w:rFonts w:ascii="Times New Roman" w:hAnsi="Times New Roman" w:cs="Times New Roman"/>
          <w:i/>
        </w:rPr>
        <w:t>Eur Addict Res</w:t>
      </w:r>
      <w:r w:rsidRPr="002928C5">
        <w:rPr>
          <w:rFonts w:ascii="Times New Roman" w:hAnsi="Times New Roman" w:cs="Times New Roman"/>
        </w:rPr>
        <w:t>. 2020;26(Suppl. 4-5):223-232. doi:10.1159/000508385</w:t>
      </w:r>
    </w:p>
    <w:p w14:paraId="32C3A155" w14:textId="77777777" w:rsidR="005D3271" w:rsidRPr="007D4CB3" w:rsidRDefault="005D3271" w:rsidP="002928C5">
      <w:pPr>
        <w:pStyle w:val="Heading3-backmatter"/>
        <w:spacing w:before="0" w:after="0" w:line="360" w:lineRule="auto"/>
        <w:rPr>
          <w:rFonts w:ascii="Times New Roman" w:hAnsi="Times New Roman" w:cs="Times New Roman"/>
          <w:sz w:val="24"/>
        </w:rPr>
      </w:pPr>
      <w:r w:rsidRPr="007D4CB3">
        <w:rPr>
          <w:rFonts w:ascii="Times New Roman" w:hAnsi="Times New Roman" w:cs="Times New Roman"/>
          <w:sz w:val="24"/>
        </w:rPr>
        <w:t>Contingency Management</w:t>
      </w:r>
    </w:p>
    <w:p w14:paraId="16111931" w14:textId="77777777" w:rsidR="005D3271" w:rsidRPr="002928C5" w:rsidRDefault="005D3271" w:rsidP="002928C5">
      <w:pPr>
        <w:pStyle w:val="ListParagraph"/>
        <w:numPr>
          <w:ilvl w:val="0"/>
          <w:numId w:val="137"/>
        </w:numPr>
        <w:spacing w:before="0" w:after="0" w:line="360" w:lineRule="auto"/>
        <w:rPr>
          <w:rFonts w:ascii="Times New Roman" w:hAnsi="Times New Roman" w:cs="Times New Roman"/>
        </w:rPr>
      </w:pPr>
      <w:r w:rsidRPr="002928C5">
        <w:rPr>
          <w:rFonts w:ascii="Times New Roman" w:hAnsi="Times New Roman" w:cs="Times New Roman"/>
        </w:rPr>
        <w:t xml:space="preserve">National Institute on Drug Abuse. </w:t>
      </w:r>
      <w:r w:rsidRPr="002928C5">
        <w:rPr>
          <w:rFonts w:ascii="Times New Roman" w:hAnsi="Times New Roman" w:cs="Times New Roman"/>
          <w:i/>
        </w:rPr>
        <w:t>Motivational Incentives Package: A proven Approach to Treatment.</w:t>
      </w:r>
      <w:r w:rsidRPr="002928C5">
        <w:rPr>
          <w:rFonts w:ascii="Times New Roman" w:hAnsi="Times New Roman" w:cs="Times New Roman"/>
        </w:rPr>
        <w:t xml:space="preserve"> NIDA; 2012. https:// www.drugabuse.gov/nidamed-medical-healthprofessionals/ctn-dissemination-initiative/ motivational-incentives-package-proven-approachto-treatment</w:t>
      </w:r>
    </w:p>
    <w:p w14:paraId="29002214" w14:textId="77777777" w:rsidR="005D3271" w:rsidRPr="002928C5" w:rsidRDefault="005D3271" w:rsidP="002928C5">
      <w:pPr>
        <w:pStyle w:val="ListParagraph"/>
        <w:numPr>
          <w:ilvl w:val="0"/>
          <w:numId w:val="137"/>
        </w:numPr>
        <w:spacing w:before="0" w:after="0" w:line="360" w:lineRule="auto"/>
        <w:rPr>
          <w:rFonts w:ascii="Times New Roman" w:hAnsi="Times New Roman" w:cs="Times New Roman"/>
        </w:rPr>
      </w:pPr>
      <w:r w:rsidRPr="002928C5">
        <w:rPr>
          <w:rFonts w:ascii="Times New Roman" w:hAnsi="Times New Roman" w:cs="Times New Roman"/>
        </w:rPr>
        <w:t xml:space="preserve">National Institute on Drug Abuse / Substance Abuse and Mental Health Services Administration. </w:t>
      </w:r>
      <w:r w:rsidRPr="002928C5">
        <w:rPr>
          <w:rFonts w:ascii="Times New Roman" w:hAnsi="Times New Roman" w:cs="Times New Roman"/>
          <w:i/>
        </w:rPr>
        <w:t>Motivational Incentives Suite</w:t>
      </w:r>
      <w:r w:rsidRPr="002928C5">
        <w:rPr>
          <w:rFonts w:ascii="Times New Roman" w:hAnsi="Times New Roman" w:cs="Times New Roman"/>
        </w:rPr>
        <w:t>. https://collaborativeforhealth.org/bettertxoutcomes/</w:t>
      </w:r>
    </w:p>
    <w:p w14:paraId="0528125D" w14:textId="77777777" w:rsidR="005D3271" w:rsidRPr="002928C5" w:rsidRDefault="005D3271" w:rsidP="002928C5">
      <w:pPr>
        <w:pStyle w:val="ListParagraph"/>
        <w:numPr>
          <w:ilvl w:val="0"/>
          <w:numId w:val="137"/>
        </w:numPr>
        <w:spacing w:before="0" w:after="0" w:line="360" w:lineRule="auto"/>
        <w:rPr>
          <w:rFonts w:ascii="Times New Roman" w:hAnsi="Times New Roman" w:cs="Times New Roman"/>
        </w:rPr>
      </w:pPr>
      <w:r w:rsidRPr="002928C5">
        <w:rPr>
          <w:rFonts w:ascii="Times New Roman" w:hAnsi="Times New Roman" w:cs="Times New Roman"/>
        </w:rPr>
        <w:t xml:space="preserve">National Institute on Drug Abuse. Principles of Drug Addiction Treatment: A Research-Based Guide (Third Edition). NIDA; 2018. https://nida.nih.gov/sites/default/files/675-principles-of-drug-addiction-treatment-a-research-based-guide-third-edition.pdf </w:t>
      </w:r>
    </w:p>
    <w:p w14:paraId="6D553CFE" w14:textId="77777777" w:rsidR="005D3271" w:rsidRPr="002928C5" w:rsidRDefault="005D3271" w:rsidP="002928C5">
      <w:pPr>
        <w:pStyle w:val="ListParagraph"/>
        <w:numPr>
          <w:ilvl w:val="0"/>
          <w:numId w:val="137"/>
        </w:numPr>
        <w:spacing w:before="0" w:after="0" w:line="360" w:lineRule="auto"/>
        <w:rPr>
          <w:rFonts w:ascii="Times New Roman" w:hAnsi="Times New Roman" w:cs="Times New Roman"/>
        </w:rPr>
      </w:pPr>
      <w:r w:rsidRPr="002928C5">
        <w:rPr>
          <w:rFonts w:ascii="Times New Roman" w:hAnsi="Times New Roman" w:cs="Times New Roman"/>
        </w:rPr>
        <w:t xml:space="preserve">UCLA, Integrated Substance Abuse Programs. Recovery Incentives Program: California’s Contingency Management Benefit Program Manual. 2023. https://www.uclaisap.org/recoveryincentives/docs/training/Program-Manual-with-Appendices-2023-04-27.pdf </w:t>
      </w:r>
    </w:p>
    <w:p w14:paraId="7A11D9DA" w14:textId="77777777" w:rsidR="005D3271" w:rsidRPr="002928C5" w:rsidRDefault="005D3271" w:rsidP="002928C5">
      <w:pPr>
        <w:pStyle w:val="ListParagraph"/>
        <w:numPr>
          <w:ilvl w:val="0"/>
          <w:numId w:val="137"/>
        </w:numPr>
        <w:spacing w:before="0" w:after="0" w:line="360" w:lineRule="auto"/>
        <w:rPr>
          <w:rFonts w:ascii="Times New Roman" w:hAnsi="Times New Roman" w:cs="Times New Roman"/>
        </w:rPr>
      </w:pPr>
      <w:r w:rsidRPr="002928C5">
        <w:rPr>
          <w:rFonts w:ascii="Times New Roman" w:hAnsi="Times New Roman" w:cs="Times New Roman"/>
        </w:rPr>
        <w:t xml:space="preserve">Yale University Psychotherapy Development Center. Petry NM, Stitzer ML. </w:t>
      </w:r>
      <w:r w:rsidRPr="002928C5">
        <w:rPr>
          <w:rFonts w:ascii="Times New Roman" w:hAnsi="Times New Roman" w:cs="Times New Roman"/>
          <w:i/>
        </w:rPr>
        <w:t>Contingency Management: Using Motivational Incentives to Improve Drug Abuse Treatment.</w:t>
      </w:r>
      <w:r w:rsidRPr="002928C5">
        <w:rPr>
          <w:rFonts w:ascii="Times New Roman" w:hAnsi="Times New Roman" w:cs="Times New Roman"/>
        </w:rPr>
        <w:t xml:space="preserve"> Training Series No. 6; 2002. http://lib.adai.washington.edu/ctnlib/PDF/CMmanual.pdf</w:t>
      </w:r>
    </w:p>
    <w:p w14:paraId="19DF6A85" w14:textId="7A5CBED6" w:rsidR="005D3271" w:rsidRPr="007D4CB3" w:rsidRDefault="005D3271" w:rsidP="002928C5">
      <w:pPr>
        <w:pStyle w:val="Heading3-backmatter"/>
        <w:spacing w:before="0" w:after="0" w:line="360" w:lineRule="auto"/>
        <w:rPr>
          <w:rFonts w:ascii="Times New Roman" w:hAnsi="Times New Roman" w:cs="Times New Roman"/>
          <w:sz w:val="24"/>
        </w:rPr>
      </w:pPr>
      <w:r w:rsidRPr="007D4CB3">
        <w:rPr>
          <w:rFonts w:ascii="Times New Roman" w:hAnsi="Times New Roman" w:cs="Times New Roman"/>
          <w:sz w:val="24"/>
        </w:rPr>
        <w:t>Co-</w:t>
      </w:r>
      <w:r w:rsidR="00DB4735" w:rsidRPr="007D4CB3">
        <w:rPr>
          <w:rFonts w:ascii="Times New Roman" w:hAnsi="Times New Roman" w:cs="Times New Roman"/>
          <w:sz w:val="24"/>
        </w:rPr>
        <w:t>occurring</w:t>
      </w:r>
      <w:r w:rsidRPr="007D4CB3">
        <w:rPr>
          <w:rFonts w:ascii="Times New Roman" w:hAnsi="Times New Roman" w:cs="Times New Roman"/>
          <w:sz w:val="24"/>
        </w:rPr>
        <w:t xml:space="preserve"> Disorders</w:t>
      </w:r>
    </w:p>
    <w:p w14:paraId="2B064091" w14:textId="77777777" w:rsidR="005D3271" w:rsidRPr="002928C5" w:rsidRDefault="005D3271" w:rsidP="002928C5">
      <w:pPr>
        <w:pStyle w:val="ListParagraph"/>
        <w:numPr>
          <w:ilvl w:val="0"/>
          <w:numId w:val="136"/>
        </w:numPr>
        <w:spacing w:before="0" w:after="0" w:line="360" w:lineRule="auto"/>
        <w:rPr>
          <w:rFonts w:ascii="Times New Roman" w:hAnsi="Times New Roman" w:cs="Times New Roman"/>
        </w:rPr>
      </w:pPr>
      <w:r w:rsidRPr="002928C5">
        <w:rPr>
          <w:rFonts w:ascii="Times New Roman" w:hAnsi="Times New Roman" w:cs="Times New Roman"/>
        </w:rPr>
        <w:t>Harstad E, Levy S, Committee on Substance Abuse, et al. Attention-Deficit/Hyperactivity Disorder and Substance Abuse. Pediatrics. 2014;134(1):e293-e301. doi:10.1542/peds.2014-0992</w:t>
      </w:r>
    </w:p>
    <w:p w14:paraId="29E7C2C2" w14:textId="77777777" w:rsidR="005D3271" w:rsidRPr="002928C5" w:rsidRDefault="005D3271" w:rsidP="002928C5">
      <w:pPr>
        <w:pStyle w:val="ListParagraph"/>
        <w:numPr>
          <w:ilvl w:val="0"/>
          <w:numId w:val="136"/>
        </w:numPr>
        <w:spacing w:before="0" w:after="0" w:line="360" w:lineRule="auto"/>
        <w:rPr>
          <w:rFonts w:ascii="Times New Roman" w:hAnsi="Times New Roman" w:cs="Times New Roman"/>
        </w:rPr>
      </w:pPr>
      <w:r w:rsidRPr="002928C5">
        <w:rPr>
          <w:rFonts w:ascii="Times New Roman" w:hAnsi="Times New Roman" w:cs="Times New Roman"/>
        </w:rPr>
        <w:t xml:space="preserve">Hogue A, Evans SW, Levin FR. A Clinician’s Guide to Co-occurring ADHD Among Adolescent Substance Users: Comorbidity, Neurodevelopmental Risk, and Evidence-Based Treatment Options. </w:t>
      </w:r>
      <w:r w:rsidRPr="002928C5">
        <w:rPr>
          <w:rFonts w:ascii="Times New Roman" w:hAnsi="Times New Roman" w:cs="Times New Roman"/>
          <w:i/>
        </w:rPr>
        <w:t>J Child Adolesc Subst Abuse.</w:t>
      </w:r>
      <w:r w:rsidRPr="002928C5">
        <w:rPr>
          <w:rFonts w:ascii="Times New Roman" w:hAnsi="Times New Roman" w:cs="Times New Roman"/>
        </w:rPr>
        <w:t xml:space="preserve"> 2017;26(4):277-292. doi:10.1080/1067828X.2017.1305930</w:t>
      </w:r>
    </w:p>
    <w:p w14:paraId="3B275C47" w14:textId="77777777" w:rsidR="005D3271" w:rsidRPr="002928C5" w:rsidRDefault="005D3271" w:rsidP="002928C5">
      <w:pPr>
        <w:pStyle w:val="ListParagraph"/>
        <w:numPr>
          <w:ilvl w:val="0"/>
          <w:numId w:val="136"/>
        </w:numPr>
        <w:spacing w:before="0" w:after="0" w:line="360" w:lineRule="auto"/>
        <w:rPr>
          <w:rFonts w:ascii="Times New Roman" w:hAnsi="Times New Roman" w:cs="Times New Roman"/>
        </w:rPr>
      </w:pPr>
      <w:r w:rsidRPr="002928C5">
        <w:rPr>
          <w:rFonts w:ascii="Times New Roman" w:hAnsi="Times New Roman" w:cs="Times New Roman"/>
        </w:rPr>
        <w:lastRenderedPageBreak/>
        <w:t xml:space="preserve">Mariani JJ Levin FR. Treatment strategies for co-occurring ADHD and substance use disorders. </w:t>
      </w:r>
      <w:r w:rsidRPr="002928C5">
        <w:rPr>
          <w:rFonts w:ascii="Times New Roman" w:hAnsi="Times New Roman" w:cs="Times New Roman"/>
          <w:i/>
        </w:rPr>
        <w:t>Am J Addict</w:t>
      </w:r>
      <w:r w:rsidRPr="002928C5">
        <w:rPr>
          <w:rFonts w:ascii="Times New Roman" w:hAnsi="Times New Roman" w:cs="Times New Roman"/>
        </w:rPr>
        <w:t>. 2007;16(Suppl 1):45–54; quiz 55–56. https://doi.org/10.1080/10550490601082783</w:t>
      </w:r>
    </w:p>
    <w:p w14:paraId="700BD46D" w14:textId="77777777" w:rsidR="005D3271" w:rsidRPr="002928C5" w:rsidRDefault="005D3271" w:rsidP="002928C5">
      <w:pPr>
        <w:pStyle w:val="ListParagraph"/>
        <w:numPr>
          <w:ilvl w:val="0"/>
          <w:numId w:val="136"/>
        </w:numPr>
        <w:spacing w:before="0" w:after="0" w:line="360" w:lineRule="auto"/>
        <w:rPr>
          <w:rFonts w:ascii="Times New Roman" w:hAnsi="Times New Roman" w:cs="Times New Roman"/>
        </w:rPr>
      </w:pPr>
      <w:r w:rsidRPr="002928C5">
        <w:rPr>
          <w:rFonts w:ascii="Times New Roman" w:hAnsi="Times New Roman" w:cs="Times New Roman"/>
        </w:rPr>
        <w:t xml:space="preserve">Substance Abuse and Mental Health Services Administration. </w:t>
      </w:r>
      <w:r w:rsidRPr="002928C5">
        <w:rPr>
          <w:rFonts w:ascii="Times New Roman" w:hAnsi="Times New Roman" w:cs="Times New Roman"/>
          <w:i/>
        </w:rPr>
        <w:t>TIP 42:</w:t>
      </w:r>
      <w:r w:rsidRPr="002928C5">
        <w:rPr>
          <w:rFonts w:ascii="Times New Roman" w:hAnsi="Times New Roman" w:cs="Times New Roman"/>
        </w:rPr>
        <w:t xml:space="preserve"> </w:t>
      </w:r>
      <w:r w:rsidRPr="002928C5">
        <w:rPr>
          <w:rFonts w:ascii="Times New Roman" w:hAnsi="Times New Roman" w:cs="Times New Roman"/>
          <w:i/>
        </w:rPr>
        <w:t>Substance use disorder treatment for people with co-occurring disorders</w:t>
      </w:r>
      <w:r w:rsidRPr="002928C5">
        <w:rPr>
          <w:rFonts w:ascii="Times New Roman" w:hAnsi="Times New Roman" w:cs="Times New Roman"/>
        </w:rPr>
        <w:t xml:space="preserve">. PEP20-02-01-004. SAMHSA; 2020. https://store.samhsa.gov/product/tip-42-substance-use-treatment-persons-co-occurring-disorders/PEP20-02-01-004 </w:t>
      </w:r>
    </w:p>
    <w:p w14:paraId="10E14220" w14:textId="77777777" w:rsidR="005D3271" w:rsidRPr="002928C5" w:rsidRDefault="005D3271" w:rsidP="002928C5">
      <w:pPr>
        <w:pStyle w:val="ListParagraph"/>
        <w:numPr>
          <w:ilvl w:val="0"/>
          <w:numId w:val="136"/>
        </w:numPr>
        <w:spacing w:before="0" w:after="0" w:line="360" w:lineRule="auto"/>
        <w:rPr>
          <w:rFonts w:ascii="Times New Roman" w:hAnsi="Times New Roman" w:cs="Times New Roman"/>
        </w:rPr>
      </w:pPr>
      <w:r w:rsidRPr="002928C5">
        <w:rPr>
          <w:rFonts w:ascii="Times New Roman" w:hAnsi="Times New Roman" w:cs="Times New Roman"/>
        </w:rPr>
        <w:t>Substance Abuse and Mental Health Services Administration. Co-occurring disorders and other health conditions. Updated July 26, 2023. https://www.samhsa.gov/medications-substance-use-disorders/medications-counseling-related-conditions/co-occurring-disorders</w:t>
      </w:r>
    </w:p>
    <w:p w14:paraId="2CB28817" w14:textId="77777777" w:rsidR="005D3271" w:rsidRPr="007D4CB3" w:rsidRDefault="005D3271" w:rsidP="002928C5">
      <w:pPr>
        <w:pStyle w:val="Heading3-backmatter"/>
        <w:spacing w:before="0" w:after="0" w:line="360" w:lineRule="auto"/>
        <w:rPr>
          <w:rFonts w:ascii="Times New Roman" w:hAnsi="Times New Roman" w:cs="Times New Roman"/>
          <w:sz w:val="24"/>
        </w:rPr>
      </w:pPr>
      <w:r w:rsidRPr="007D4CB3">
        <w:rPr>
          <w:rFonts w:ascii="Times New Roman" w:hAnsi="Times New Roman" w:cs="Times New Roman"/>
          <w:sz w:val="24"/>
        </w:rPr>
        <w:t>Criminal Justice</w:t>
      </w:r>
    </w:p>
    <w:p w14:paraId="581B9240" w14:textId="77777777" w:rsidR="005D3271" w:rsidRPr="002928C5" w:rsidRDefault="005D3271" w:rsidP="002928C5">
      <w:pPr>
        <w:pStyle w:val="ListParagraph"/>
        <w:numPr>
          <w:ilvl w:val="0"/>
          <w:numId w:val="135"/>
        </w:numPr>
        <w:spacing w:before="0" w:after="0" w:line="360" w:lineRule="auto"/>
        <w:rPr>
          <w:rFonts w:ascii="Times New Roman" w:hAnsi="Times New Roman" w:cs="Times New Roman"/>
        </w:rPr>
      </w:pPr>
      <w:r w:rsidRPr="002928C5">
        <w:rPr>
          <w:rFonts w:ascii="Times New Roman" w:hAnsi="Times New Roman" w:cs="Times New Roman"/>
        </w:rPr>
        <w:t xml:space="preserve">Substance Abuse and Mental Health Services Administration. After Incarceration: </w:t>
      </w:r>
      <w:r w:rsidRPr="002928C5">
        <w:rPr>
          <w:rFonts w:ascii="Times New Roman" w:hAnsi="Times New Roman" w:cs="Times New Roman"/>
          <w:i/>
        </w:rPr>
        <w:t>A Guide to Helping Women Reenter the Community</w:t>
      </w:r>
      <w:r w:rsidRPr="002928C5">
        <w:rPr>
          <w:rFonts w:ascii="Times New Roman" w:hAnsi="Times New Roman" w:cs="Times New Roman"/>
        </w:rPr>
        <w:t>. PEP20-05-01-001. SAMHSA; 2020. https://store.samhsa.gov/product/After-Incarceration-A-Guide-To-Helping-Women-Reenter-the-Community/PEP20-05-01-001</w:t>
      </w:r>
    </w:p>
    <w:p w14:paraId="34C68E6C" w14:textId="77777777" w:rsidR="005D3271" w:rsidRPr="002928C5" w:rsidRDefault="005D3271" w:rsidP="002928C5">
      <w:pPr>
        <w:pStyle w:val="ListParagraph"/>
        <w:numPr>
          <w:ilvl w:val="0"/>
          <w:numId w:val="135"/>
        </w:numPr>
        <w:spacing w:before="0" w:after="0" w:line="360" w:lineRule="auto"/>
        <w:rPr>
          <w:rFonts w:ascii="Times New Roman" w:hAnsi="Times New Roman" w:cs="Times New Roman"/>
        </w:rPr>
      </w:pPr>
      <w:r w:rsidRPr="002928C5">
        <w:rPr>
          <w:rFonts w:ascii="Times New Roman" w:hAnsi="Times New Roman" w:cs="Times New Roman"/>
        </w:rPr>
        <w:t>Substance Abuse and Mental Health Services Administration. Principles of Community-based Behavioral Health Services for Justice-involved Individuals: A Research-based Guide. SMA19-5097. SAMHSA; 2019. https://store.samhsa.gov/product/Principles-of-Community-based-Behavioral-Health-Services-for-Justice-involved-Individuals-A-Research-based-Guide/SMA19-5097</w:t>
      </w:r>
    </w:p>
    <w:p w14:paraId="405291A9" w14:textId="77777777" w:rsidR="005D3271" w:rsidRPr="002928C5" w:rsidRDefault="005D3271" w:rsidP="002928C5">
      <w:pPr>
        <w:pStyle w:val="ListParagraph"/>
        <w:numPr>
          <w:ilvl w:val="0"/>
          <w:numId w:val="135"/>
        </w:numPr>
        <w:spacing w:before="0" w:after="0" w:line="360" w:lineRule="auto"/>
        <w:rPr>
          <w:rFonts w:ascii="Times New Roman" w:hAnsi="Times New Roman" w:cs="Times New Roman"/>
        </w:rPr>
      </w:pPr>
      <w:r w:rsidRPr="002928C5">
        <w:rPr>
          <w:rFonts w:ascii="Times New Roman" w:hAnsi="Times New Roman" w:cs="Times New Roman"/>
        </w:rPr>
        <w:t>Substance Abuse and Mental Health Services Administration. Substance Abuse Treatment for Adults in the Criminal Justice System. TIP Series, No. 44. SAMHSA; 2005. https://www.ncbi.nlm.nih.gov/books/NBK64137/</w:t>
      </w:r>
    </w:p>
    <w:p w14:paraId="3AAAE4B9" w14:textId="24B4774D" w:rsidR="005D3271" w:rsidRPr="007D4CB3" w:rsidRDefault="005D3271" w:rsidP="002928C5">
      <w:pPr>
        <w:pStyle w:val="Heading3-backmatter"/>
        <w:spacing w:before="0" w:after="0" w:line="360" w:lineRule="auto"/>
        <w:rPr>
          <w:rFonts w:ascii="Times New Roman" w:hAnsi="Times New Roman" w:cs="Times New Roman"/>
          <w:sz w:val="24"/>
        </w:rPr>
      </w:pPr>
      <w:r w:rsidRPr="007D4CB3">
        <w:rPr>
          <w:rFonts w:ascii="Times New Roman" w:hAnsi="Times New Roman" w:cs="Times New Roman"/>
          <w:sz w:val="24"/>
        </w:rPr>
        <w:t>Finding Treatment</w:t>
      </w:r>
      <w:r w:rsidR="00DB4735" w:rsidRPr="007D4CB3">
        <w:rPr>
          <w:rFonts w:ascii="Times New Roman" w:hAnsi="Times New Roman" w:cs="Times New Roman"/>
          <w:sz w:val="24"/>
        </w:rPr>
        <w:t xml:space="preserve"> and </w:t>
      </w:r>
      <w:r w:rsidRPr="007D4CB3">
        <w:rPr>
          <w:rFonts w:ascii="Times New Roman" w:hAnsi="Times New Roman" w:cs="Times New Roman"/>
          <w:sz w:val="24"/>
        </w:rPr>
        <w:t>Early Intervention</w:t>
      </w:r>
    </w:p>
    <w:p w14:paraId="49156F5D" w14:textId="77777777" w:rsidR="005D3271" w:rsidRPr="002928C5" w:rsidRDefault="005D3271" w:rsidP="002928C5">
      <w:pPr>
        <w:pStyle w:val="ListParagraph"/>
        <w:numPr>
          <w:ilvl w:val="0"/>
          <w:numId w:val="134"/>
        </w:numPr>
        <w:spacing w:before="0" w:after="0" w:line="360" w:lineRule="auto"/>
        <w:rPr>
          <w:rFonts w:ascii="Times New Roman" w:hAnsi="Times New Roman" w:cs="Times New Roman"/>
        </w:rPr>
      </w:pPr>
      <w:r w:rsidRPr="002928C5">
        <w:rPr>
          <w:rFonts w:ascii="Times New Roman" w:hAnsi="Times New Roman" w:cs="Times New Roman"/>
        </w:rPr>
        <w:t xml:space="preserve">Substance Abuse and Mental Health Services Administration. Finding Quality Treatment for Substance Use Disorders. PEP18-TREATMENT-LOC. SAMHSA. https://store.samhsa.gov/sites/default/files/d7/priv/pep18-treatment-loc.pdf </w:t>
      </w:r>
    </w:p>
    <w:p w14:paraId="565E1AAD" w14:textId="77777777" w:rsidR="005D3271" w:rsidRPr="002928C5" w:rsidRDefault="005D3271" w:rsidP="002928C5">
      <w:pPr>
        <w:pStyle w:val="ListParagraph"/>
        <w:numPr>
          <w:ilvl w:val="0"/>
          <w:numId w:val="134"/>
        </w:numPr>
        <w:spacing w:before="0" w:after="0" w:line="360" w:lineRule="auto"/>
        <w:rPr>
          <w:rFonts w:ascii="Times New Roman" w:hAnsi="Times New Roman" w:cs="Times New Roman"/>
        </w:rPr>
      </w:pPr>
      <w:r w:rsidRPr="002928C5">
        <w:rPr>
          <w:rFonts w:ascii="Times New Roman" w:hAnsi="Times New Roman" w:cs="Times New Roman"/>
        </w:rPr>
        <w:t xml:space="preserve">Smout M, Krasnikow S, Longo M, Wickes W, Minniti R, Cahill S. Quickfix: Identity &amp; Intervene in Psychostimulant Use in Primary Health Care (Updated 2015). Drug and Alcohol Services South Australia; 2008. </w:t>
      </w:r>
      <w:hyperlink r:id="rId23" w:history="1">
        <w:r w:rsidRPr="002928C5">
          <w:rPr>
            <w:rFonts w:ascii="Times New Roman" w:hAnsi="Times New Roman" w:cs="Times New Roman"/>
          </w:rPr>
          <w:t>https://www.sahealth.sa.gov.au/wps/wcm/connect/public+content/sa+health+internet/resources/quickfix+identity+intervene+in+psychostimulant+use+in+primary+health+care</w:t>
        </w:r>
      </w:hyperlink>
    </w:p>
    <w:p w14:paraId="73323B28" w14:textId="77777777" w:rsidR="005D3271" w:rsidRPr="002928C5" w:rsidRDefault="005D3271" w:rsidP="002928C5">
      <w:pPr>
        <w:pStyle w:val="ListParagraph"/>
        <w:numPr>
          <w:ilvl w:val="0"/>
          <w:numId w:val="134"/>
        </w:numPr>
        <w:spacing w:before="0" w:after="0" w:line="360" w:lineRule="auto"/>
        <w:rPr>
          <w:rFonts w:ascii="Times New Roman" w:hAnsi="Times New Roman" w:cs="Times New Roman"/>
        </w:rPr>
      </w:pPr>
      <w:r w:rsidRPr="002928C5">
        <w:rPr>
          <w:rFonts w:ascii="Times New Roman" w:hAnsi="Times New Roman" w:cs="Times New Roman"/>
        </w:rPr>
        <w:t>Substance Abuse and Mental Health Services Administration. Screening, brief intervention and referral to treatment (SBIRT) in behavioral healthcare. SAMHSA; 2011. Updated August 12, 2022. https://www.samhsa.gov/sbirt</w:t>
      </w:r>
    </w:p>
    <w:p w14:paraId="69146557" w14:textId="77777777" w:rsidR="005D3271" w:rsidRPr="002928C5" w:rsidRDefault="005D3271" w:rsidP="002928C5">
      <w:pPr>
        <w:pStyle w:val="ListParagraph"/>
        <w:numPr>
          <w:ilvl w:val="0"/>
          <w:numId w:val="134"/>
        </w:numPr>
        <w:spacing w:before="0" w:after="0" w:line="360" w:lineRule="auto"/>
        <w:rPr>
          <w:rFonts w:ascii="Times New Roman" w:hAnsi="Times New Roman" w:cs="Times New Roman"/>
          <w:b/>
        </w:rPr>
      </w:pPr>
      <w:r w:rsidRPr="002928C5">
        <w:rPr>
          <w:rFonts w:ascii="Times New Roman" w:hAnsi="Times New Roman" w:cs="Times New Roman"/>
        </w:rPr>
        <w:t xml:space="preserve">Substance Abuse and Mental Health Services Administration. </w:t>
      </w:r>
      <w:r w:rsidRPr="002928C5">
        <w:rPr>
          <w:rFonts w:ascii="Times New Roman" w:hAnsi="Times New Roman" w:cs="Times New Roman"/>
          <w:i/>
        </w:rPr>
        <w:t>TIP 39: Substance use disorder treatment and family therapy</w:t>
      </w:r>
      <w:r w:rsidRPr="002928C5">
        <w:rPr>
          <w:rFonts w:ascii="Times New Roman" w:hAnsi="Times New Roman" w:cs="Times New Roman"/>
        </w:rPr>
        <w:t>. PEP20-0202-012. SAMHSA; 2020. https://store.samhsa.gov/product/treatment-improvement-protocol-tip-39-substance-use-disorder-treatment-and-family-therapy/PEP20-02-02-012</w:t>
      </w:r>
    </w:p>
    <w:p w14:paraId="4E80A587" w14:textId="77777777" w:rsidR="005D3271" w:rsidRPr="002928C5" w:rsidRDefault="005D3271" w:rsidP="002928C5">
      <w:pPr>
        <w:pStyle w:val="ListParagraph"/>
        <w:numPr>
          <w:ilvl w:val="0"/>
          <w:numId w:val="134"/>
        </w:numPr>
        <w:spacing w:before="0" w:after="0" w:line="360" w:lineRule="auto"/>
        <w:rPr>
          <w:rFonts w:ascii="Times New Roman" w:hAnsi="Times New Roman" w:cs="Times New Roman"/>
        </w:rPr>
      </w:pPr>
      <w:r w:rsidRPr="002928C5">
        <w:rPr>
          <w:rFonts w:ascii="Times New Roman" w:hAnsi="Times New Roman" w:cs="Times New Roman"/>
        </w:rPr>
        <w:t xml:space="preserve">Substance Abuse and Mental Health Services Administration. </w:t>
      </w:r>
      <w:r w:rsidRPr="002928C5">
        <w:rPr>
          <w:rFonts w:ascii="Times New Roman" w:hAnsi="Times New Roman" w:cs="Times New Roman"/>
          <w:i/>
        </w:rPr>
        <w:t>TIP 35: Enhancing Motivation for Change in Substance Use Disorder Treatment.</w:t>
      </w:r>
      <w:r w:rsidRPr="002928C5">
        <w:rPr>
          <w:rFonts w:ascii="Times New Roman" w:hAnsi="Times New Roman" w:cs="Times New Roman"/>
        </w:rPr>
        <w:t xml:space="preserve"> PEP19-02-01-003. SAMHSA; 2019. </w:t>
      </w:r>
      <w:hyperlink r:id="rId24" w:history="1">
        <w:r w:rsidRPr="002928C5">
          <w:rPr>
            <w:rFonts w:ascii="Times New Roman" w:hAnsi="Times New Roman" w:cs="Times New Roman"/>
          </w:rPr>
          <w:t>https://store.samhsa.gov/product/TIP-35-Enhancing-Motivation-for-Change-in-Substance-Use-Disorder-Treatment/PEP19-02-01-003</w:t>
        </w:r>
      </w:hyperlink>
    </w:p>
    <w:p w14:paraId="385B0D9A" w14:textId="15BD0314" w:rsidR="005D3271" w:rsidRPr="007D4CB3" w:rsidRDefault="005D3271" w:rsidP="002928C5">
      <w:pPr>
        <w:pStyle w:val="Heading3-backmatter"/>
        <w:spacing w:before="0" w:after="0" w:line="360" w:lineRule="auto"/>
        <w:rPr>
          <w:rFonts w:ascii="Times New Roman" w:hAnsi="Times New Roman" w:cs="Times New Roman"/>
          <w:sz w:val="24"/>
        </w:rPr>
      </w:pPr>
      <w:r w:rsidRPr="007D4CB3">
        <w:rPr>
          <w:rFonts w:ascii="Times New Roman" w:hAnsi="Times New Roman" w:cs="Times New Roman"/>
          <w:sz w:val="24"/>
        </w:rPr>
        <w:t>Harm Reduction</w:t>
      </w:r>
    </w:p>
    <w:p w14:paraId="18259375" w14:textId="77777777" w:rsidR="005D3271" w:rsidRPr="002928C5" w:rsidRDefault="005D3271" w:rsidP="002928C5">
      <w:pPr>
        <w:pStyle w:val="ListParagraph"/>
        <w:numPr>
          <w:ilvl w:val="0"/>
          <w:numId w:val="133"/>
        </w:numPr>
        <w:spacing w:before="0" w:after="0" w:line="360" w:lineRule="auto"/>
        <w:rPr>
          <w:rFonts w:ascii="Times New Roman" w:hAnsi="Times New Roman" w:cs="Times New Roman"/>
        </w:rPr>
      </w:pPr>
      <w:r w:rsidRPr="002928C5">
        <w:rPr>
          <w:rFonts w:ascii="Times New Roman" w:hAnsi="Times New Roman" w:cs="Times New Roman"/>
        </w:rPr>
        <w:t>Boston Public Health Commission. Recovery Services. Updated August 2, 2023. https://www.boston.gov/government/cabinets/boston-public-health-commission/recovery-services</w:t>
      </w:r>
    </w:p>
    <w:p w14:paraId="7496A00E" w14:textId="77777777" w:rsidR="005D3271" w:rsidRPr="002928C5" w:rsidRDefault="005D3271" w:rsidP="002928C5">
      <w:pPr>
        <w:pStyle w:val="ListParagraph"/>
        <w:numPr>
          <w:ilvl w:val="0"/>
          <w:numId w:val="133"/>
        </w:numPr>
        <w:spacing w:before="0" w:after="0" w:line="360" w:lineRule="auto"/>
        <w:rPr>
          <w:rFonts w:ascii="Times New Roman" w:hAnsi="Times New Roman" w:cs="Times New Roman"/>
        </w:rPr>
      </w:pPr>
      <w:r w:rsidRPr="002928C5">
        <w:rPr>
          <w:rFonts w:ascii="Times New Roman" w:hAnsi="Times New Roman" w:cs="Times New Roman"/>
        </w:rPr>
        <w:t>Dance Safe: Promoting Health and Safety Within Music and Nightlife Communities. Dance Safe. https://dancesafe.org</w:t>
      </w:r>
    </w:p>
    <w:p w14:paraId="51872DE6" w14:textId="77777777" w:rsidR="005D3271" w:rsidRPr="002928C5" w:rsidRDefault="005D3271" w:rsidP="002928C5">
      <w:pPr>
        <w:pStyle w:val="ListParagraph"/>
        <w:numPr>
          <w:ilvl w:val="0"/>
          <w:numId w:val="133"/>
        </w:numPr>
        <w:spacing w:before="0" w:after="0" w:line="360" w:lineRule="auto"/>
        <w:rPr>
          <w:rFonts w:ascii="Times New Roman" w:hAnsi="Times New Roman" w:cs="Times New Roman"/>
        </w:rPr>
      </w:pPr>
      <w:r w:rsidRPr="002928C5">
        <w:rPr>
          <w:rFonts w:ascii="Times New Roman" w:hAnsi="Times New Roman" w:cs="Times New Roman"/>
        </w:rPr>
        <w:t xml:space="preserve">Harm Reduction International. </w:t>
      </w:r>
      <w:r w:rsidRPr="002928C5">
        <w:rPr>
          <w:rFonts w:ascii="Times New Roman" w:hAnsi="Times New Roman" w:cs="Times New Roman"/>
          <w:i/>
        </w:rPr>
        <w:t>The Global State of Harm Reduction 2018</w:t>
      </w:r>
      <w:r w:rsidRPr="002928C5">
        <w:rPr>
          <w:rFonts w:ascii="Times New Roman" w:hAnsi="Times New Roman" w:cs="Times New Roman"/>
        </w:rPr>
        <w:t xml:space="preserve">. HRI; 2018. </w:t>
      </w:r>
      <w:hyperlink r:id="rId25" w:history="1">
        <w:r w:rsidRPr="002928C5">
          <w:rPr>
            <w:rFonts w:ascii="Times New Roman" w:hAnsi="Times New Roman" w:cs="Times New Roman"/>
          </w:rPr>
          <w:t>https://www.hri.global/files/2019/02/05/global-state-harm-reduction-2018.pdf</w:t>
        </w:r>
      </w:hyperlink>
    </w:p>
    <w:p w14:paraId="49F8B149" w14:textId="77777777" w:rsidR="005D3271" w:rsidRPr="002928C5" w:rsidRDefault="005D3271" w:rsidP="002928C5">
      <w:pPr>
        <w:pStyle w:val="ListParagraph"/>
        <w:numPr>
          <w:ilvl w:val="0"/>
          <w:numId w:val="133"/>
        </w:numPr>
        <w:spacing w:before="0" w:after="0" w:line="360" w:lineRule="auto"/>
        <w:rPr>
          <w:rFonts w:ascii="Times New Roman" w:hAnsi="Times New Roman" w:cs="Times New Roman"/>
        </w:rPr>
      </w:pPr>
      <w:r w:rsidRPr="002928C5">
        <w:rPr>
          <w:rFonts w:ascii="Times New Roman" w:hAnsi="Times New Roman" w:cs="Times New Roman"/>
        </w:rPr>
        <w:t xml:space="preserve">Harvey L, Boudreau J, Sliwinski SK, et al. Six Moments of Infection Prevention in Injection Drug Use: An Educational Toolkit for Clinicians. </w:t>
      </w:r>
      <w:r w:rsidRPr="002928C5">
        <w:rPr>
          <w:rFonts w:ascii="Times New Roman" w:hAnsi="Times New Roman" w:cs="Times New Roman"/>
          <w:i/>
        </w:rPr>
        <w:t>Open Forum Infect Dis</w:t>
      </w:r>
      <w:r w:rsidRPr="002928C5">
        <w:rPr>
          <w:rFonts w:ascii="Times New Roman" w:hAnsi="Times New Roman" w:cs="Times New Roman"/>
        </w:rPr>
        <w:t>. 2022;9(2):ofab631. https://doi.org/10.1093/ofid/ofab631</w:t>
      </w:r>
    </w:p>
    <w:p w14:paraId="64B62A77" w14:textId="12EEE8D8" w:rsidR="005D3271" w:rsidRPr="002928C5" w:rsidRDefault="005D3271" w:rsidP="002928C5">
      <w:pPr>
        <w:pStyle w:val="ListParagraph"/>
        <w:numPr>
          <w:ilvl w:val="0"/>
          <w:numId w:val="133"/>
        </w:numPr>
        <w:spacing w:before="0" w:after="0" w:line="360" w:lineRule="auto"/>
        <w:rPr>
          <w:rFonts w:ascii="Times New Roman" w:hAnsi="Times New Roman" w:cs="Times New Roman"/>
        </w:rPr>
      </w:pPr>
      <w:r w:rsidRPr="002928C5">
        <w:rPr>
          <w:rFonts w:ascii="Times New Roman" w:hAnsi="Times New Roman" w:cs="Times New Roman"/>
        </w:rPr>
        <w:t>North American Syringe Exchange Network (NASEN). Harm Reduction Locations. https://nasen.org/</w:t>
      </w:r>
    </w:p>
    <w:p w14:paraId="3B87F51E" w14:textId="77777777" w:rsidR="005D3271" w:rsidRPr="002928C5" w:rsidRDefault="005D3271" w:rsidP="002928C5">
      <w:pPr>
        <w:pStyle w:val="ListParagraph"/>
        <w:numPr>
          <w:ilvl w:val="0"/>
          <w:numId w:val="133"/>
        </w:numPr>
        <w:spacing w:before="0" w:after="0" w:line="360" w:lineRule="auto"/>
        <w:rPr>
          <w:rFonts w:ascii="Times New Roman" w:hAnsi="Times New Roman" w:cs="Times New Roman"/>
        </w:rPr>
      </w:pPr>
      <w:r w:rsidRPr="002928C5">
        <w:rPr>
          <w:rFonts w:ascii="Times New Roman" w:hAnsi="Times New Roman" w:cs="Times New Roman"/>
        </w:rPr>
        <w:t>National Harm Reduction Coalition. Getting Off Right: A Safety Manual for Injection Drug Users. Updated August 31, 2020. https://harmreduction.org/issues/safer-drug-use/injection-safety-manual/</w:t>
      </w:r>
    </w:p>
    <w:p w14:paraId="69D34A3A" w14:textId="77777777" w:rsidR="005D3271" w:rsidRPr="002928C5" w:rsidRDefault="005D3271" w:rsidP="002928C5">
      <w:pPr>
        <w:pStyle w:val="ListParagraph"/>
        <w:numPr>
          <w:ilvl w:val="0"/>
          <w:numId w:val="133"/>
        </w:numPr>
        <w:spacing w:before="0" w:after="0" w:line="360" w:lineRule="auto"/>
        <w:rPr>
          <w:rFonts w:ascii="Times New Roman" w:hAnsi="Times New Roman" w:cs="Times New Roman"/>
        </w:rPr>
      </w:pPr>
      <w:r w:rsidRPr="002928C5">
        <w:rPr>
          <w:rFonts w:ascii="Times New Roman" w:hAnsi="Times New Roman" w:cs="Times New Roman"/>
        </w:rPr>
        <w:t xml:space="preserve">Public Health Department of Seattle &amp; King County. Needle exchange, drug use and harm reduction. Public Health Department of Seattle &amp; King County; 2002. </w:t>
      </w:r>
      <w:hyperlink r:id="rId26" w:history="1">
        <w:r w:rsidRPr="002928C5">
          <w:rPr>
            <w:rFonts w:ascii="Times New Roman" w:hAnsi="Times New Roman" w:cs="Times New Roman"/>
          </w:rPr>
          <w:t>https://kingcounty.gov/depts/health/communicable-diseases/hiv-std/patients/drug-use-harm-reduction.aspx</w:t>
        </w:r>
      </w:hyperlink>
    </w:p>
    <w:p w14:paraId="69D3741A" w14:textId="382B7213" w:rsidR="005D3271" w:rsidRPr="002928C5" w:rsidRDefault="005D3271" w:rsidP="002928C5">
      <w:pPr>
        <w:pStyle w:val="ListParagraph"/>
        <w:numPr>
          <w:ilvl w:val="0"/>
          <w:numId w:val="133"/>
        </w:numPr>
        <w:spacing w:before="0" w:after="0" w:line="360" w:lineRule="auto"/>
        <w:rPr>
          <w:rFonts w:ascii="Times New Roman" w:hAnsi="Times New Roman" w:cs="Times New Roman"/>
        </w:rPr>
      </w:pPr>
      <w:r w:rsidRPr="002928C5">
        <w:rPr>
          <w:rFonts w:ascii="Times New Roman" w:hAnsi="Times New Roman" w:cs="Times New Roman"/>
        </w:rPr>
        <w:t xml:space="preserve">Sherman S, Green T. Detecting Fentanyl. Saving Lives. John Hopkins Bloomberg School of Public Health; 2018. </w:t>
      </w:r>
      <w:hyperlink r:id="rId27" w:history="1">
        <w:r w:rsidRPr="002928C5">
          <w:rPr>
            <w:rFonts w:ascii="Times New Roman" w:hAnsi="Times New Roman" w:cs="Times New Roman"/>
          </w:rPr>
          <w:t>http://americanhealth.jhu.edu/fentanyl</w:t>
        </w:r>
      </w:hyperlink>
    </w:p>
    <w:p w14:paraId="7019EBE6" w14:textId="13D22CD0" w:rsidR="005D3271" w:rsidRPr="007D4CB3" w:rsidRDefault="005D3271" w:rsidP="002928C5">
      <w:pPr>
        <w:pStyle w:val="Heading3-backmatter"/>
        <w:spacing w:before="0" w:after="0" w:line="360" w:lineRule="auto"/>
        <w:rPr>
          <w:rFonts w:ascii="Times New Roman" w:hAnsi="Times New Roman" w:cs="Times New Roman"/>
          <w:sz w:val="24"/>
        </w:rPr>
      </w:pPr>
      <w:r w:rsidRPr="007D4CB3">
        <w:rPr>
          <w:rFonts w:ascii="Times New Roman" w:hAnsi="Times New Roman" w:cs="Times New Roman"/>
          <w:sz w:val="24"/>
        </w:rPr>
        <w:t>Heart Health (Cardiac Info)</w:t>
      </w:r>
    </w:p>
    <w:p w14:paraId="2D7BCA52" w14:textId="77777777" w:rsidR="005D3271" w:rsidRPr="002928C5" w:rsidRDefault="005D3271" w:rsidP="002928C5">
      <w:pPr>
        <w:pStyle w:val="ListParagraph"/>
        <w:numPr>
          <w:ilvl w:val="0"/>
          <w:numId w:val="132"/>
        </w:numPr>
        <w:spacing w:before="0" w:after="0" w:line="360" w:lineRule="auto"/>
        <w:rPr>
          <w:rFonts w:ascii="Times New Roman" w:hAnsi="Times New Roman" w:cs="Times New Roman"/>
        </w:rPr>
      </w:pPr>
      <w:r w:rsidRPr="002928C5">
        <w:rPr>
          <w:rFonts w:ascii="Times New Roman" w:hAnsi="Times New Roman" w:cs="Times New Roman"/>
        </w:rPr>
        <w:t xml:space="preserve">Amsterdam EA, Wenger NK, Brindis RG, et al. 2014 AHA/ACC Guideline for the Management of Patients With Non–ST-Elevation Acute Coronary Syndromes. </w:t>
      </w:r>
      <w:r w:rsidRPr="002928C5">
        <w:rPr>
          <w:rFonts w:ascii="Times New Roman" w:hAnsi="Times New Roman" w:cs="Times New Roman"/>
          <w:i/>
        </w:rPr>
        <w:t>J Am Coll Cardiol</w:t>
      </w:r>
      <w:r w:rsidRPr="002928C5">
        <w:rPr>
          <w:rFonts w:ascii="Times New Roman" w:hAnsi="Times New Roman" w:cs="Times New Roman"/>
        </w:rPr>
        <w:t>. 2014;64(24):e139-e228. doi:10.1016/j.jacc.2014.09.017</w:t>
      </w:r>
    </w:p>
    <w:p w14:paraId="010D77B2" w14:textId="77777777" w:rsidR="005D3271" w:rsidRPr="002928C5" w:rsidRDefault="005D3271" w:rsidP="002928C5">
      <w:pPr>
        <w:pStyle w:val="ListParagraph"/>
        <w:numPr>
          <w:ilvl w:val="0"/>
          <w:numId w:val="132"/>
        </w:numPr>
        <w:spacing w:before="0" w:after="0" w:line="360" w:lineRule="auto"/>
        <w:rPr>
          <w:rFonts w:ascii="Times New Roman" w:hAnsi="Times New Roman" w:cs="Times New Roman"/>
        </w:rPr>
      </w:pPr>
      <w:r w:rsidRPr="002928C5">
        <w:rPr>
          <w:rFonts w:ascii="Times New Roman" w:hAnsi="Times New Roman" w:cs="Times New Roman"/>
        </w:rPr>
        <w:t xml:space="preserve">Anderson JL, Adams CD, Antman EM, et al. 2012 ACCF/AHA focused update incorporated into the ACCF/AHA 2007 guidelines for the management of patients with unstable angina/non–ST-elevation myocardial infarction: a report of the American College of Cardiology Foundation/American Heart Association Task Force on Practice Guidelines. </w:t>
      </w:r>
      <w:r w:rsidRPr="002928C5">
        <w:rPr>
          <w:rFonts w:ascii="Times New Roman" w:hAnsi="Times New Roman" w:cs="Times New Roman"/>
          <w:i/>
        </w:rPr>
        <w:t>Circulation</w:t>
      </w:r>
      <w:r w:rsidRPr="002928C5">
        <w:rPr>
          <w:rFonts w:ascii="Times New Roman" w:hAnsi="Times New Roman" w:cs="Times New Roman"/>
        </w:rPr>
        <w:t>. 2013;127(23):e663-e828.</w:t>
      </w:r>
    </w:p>
    <w:p w14:paraId="7CB59B36" w14:textId="77777777" w:rsidR="005D3271" w:rsidRPr="002928C5" w:rsidRDefault="005D3271" w:rsidP="002928C5">
      <w:pPr>
        <w:pStyle w:val="ListParagraph"/>
        <w:numPr>
          <w:ilvl w:val="0"/>
          <w:numId w:val="132"/>
        </w:numPr>
        <w:spacing w:before="0" w:after="0" w:line="360" w:lineRule="auto"/>
        <w:rPr>
          <w:rFonts w:ascii="Times New Roman" w:hAnsi="Times New Roman" w:cs="Times New Roman"/>
        </w:rPr>
      </w:pPr>
      <w:r w:rsidRPr="002928C5">
        <w:rPr>
          <w:rFonts w:ascii="Times New Roman" w:hAnsi="Times New Roman" w:cs="Times New Roman"/>
        </w:rPr>
        <w:t xml:space="preserve">Duflou J. Psychostimulant use disorder and the heart. </w:t>
      </w:r>
      <w:r w:rsidRPr="002928C5">
        <w:rPr>
          <w:rFonts w:ascii="Times New Roman" w:hAnsi="Times New Roman" w:cs="Times New Roman"/>
          <w:i/>
        </w:rPr>
        <w:t>Addiction</w:t>
      </w:r>
      <w:r w:rsidRPr="002928C5">
        <w:rPr>
          <w:rFonts w:ascii="Times New Roman" w:hAnsi="Times New Roman" w:cs="Times New Roman"/>
        </w:rPr>
        <w:t>. 2020;115(1):175-183. doi:10.1111/add.14713</w:t>
      </w:r>
    </w:p>
    <w:p w14:paraId="5E10659F" w14:textId="77777777" w:rsidR="005D3271" w:rsidRPr="002928C5" w:rsidRDefault="005D3271" w:rsidP="002928C5">
      <w:pPr>
        <w:pStyle w:val="ListParagraph"/>
        <w:numPr>
          <w:ilvl w:val="0"/>
          <w:numId w:val="132"/>
        </w:numPr>
        <w:spacing w:before="0" w:after="0" w:line="360" w:lineRule="auto"/>
        <w:rPr>
          <w:rFonts w:ascii="Times New Roman" w:hAnsi="Times New Roman" w:cs="Times New Roman"/>
        </w:rPr>
      </w:pPr>
      <w:r w:rsidRPr="002928C5">
        <w:rPr>
          <w:rFonts w:ascii="Times New Roman" w:hAnsi="Times New Roman" w:cs="Times New Roman"/>
        </w:rPr>
        <w:t xml:space="preserve">Gresnigt FMJ, Gubbels NP, Riezebos RK. The current practice for cocaine-associated chest pain in the Netherlands. </w:t>
      </w:r>
      <w:r w:rsidRPr="002928C5">
        <w:rPr>
          <w:rFonts w:ascii="Times New Roman" w:hAnsi="Times New Roman" w:cs="Times New Roman"/>
          <w:i/>
        </w:rPr>
        <w:t>Toxicol Rep</w:t>
      </w:r>
      <w:r w:rsidRPr="002928C5">
        <w:rPr>
          <w:rFonts w:ascii="Times New Roman" w:hAnsi="Times New Roman" w:cs="Times New Roman"/>
        </w:rPr>
        <w:t>. 2021;8:23-27. doi:10/gn763q</w:t>
      </w:r>
    </w:p>
    <w:p w14:paraId="361765A5" w14:textId="77777777" w:rsidR="005D3271" w:rsidRPr="002928C5" w:rsidRDefault="005D3271" w:rsidP="002928C5">
      <w:pPr>
        <w:pStyle w:val="ListParagraph"/>
        <w:numPr>
          <w:ilvl w:val="0"/>
          <w:numId w:val="132"/>
        </w:numPr>
        <w:spacing w:before="0" w:after="0" w:line="360" w:lineRule="auto"/>
        <w:rPr>
          <w:rFonts w:ascii="Times New Roman" w:hAnsi="Times New Roman" w:cs="Times New Roman"/>
        </w:rPr>
      </w:pPr>
      <w:r w:rsidRPr="002928C5">
        <w:rPr>
          <w:rFonts w:ascii="Times New Roman" w:hAnsi="Times New Roman" w:cs="Times New Roman"/>
        </w:rPr>
        <w:t xml:space="preserve">Gulati M, Levy PD, Mukherjee D, et al. 2021 AHA/ACC/ASE/CHEST/SAEM/SCCT/SCMR Guideline for the Evaluation and Diagnosis of Chest Pain. </w:t>
      </w:r>
      <w:r w:rsidRPr="002928C5">
        <w:rPr>
          <w:rFonts w:ascii="Times New Roman" w:hAnsi="Times New Roman" w:cs="Times New Roman"/>
          <w:i/>
        </w:rPr>
        <w:t>J Am Coll Cardiol</w:t>
      </w:r>
      <w:r w:rsidRPr="002928C5">
        <w:rPr>
          <w:rFonts w:ascii="Times New Roman" w:hAnsi="Times New Roman" w:cs="Times New Roman"/>
        </w:rPr>
        <w:t>. 2021;78(22):e187-e285. doi:10.1016/j.jacc.2021.07.053</w:t>
      </w:r>
    </w:p>
    <w:p w14:paraId="3AA33F76" w14:textId="77777777" w:rsidR="005D3271" w:rsidRPr="002928C5" w:rsidRDefault="005D3271" w:rsidP="002928C5">
      <w:pPr>
        <w:pStyle w:val="ListParagraph"/>
        <w:numPr>
          <w:ilvl w:val="0"/>
          <w:numId w:val="132"/>
        </w:numPr>
        <w:spacing w:before="0" w:after="0" w:line="360" w:lineRule="auto"/>
        <w:rPr>
          <w:rFonts w:ascii="Times New Roman" w:hAnsi="Times New Roman" w:cs="Times New Roman"/>
        </w:rPr>
      </w:pPr>
      <w:r w:rsidRPr="002928C5">
        <w:rPr>
          <w:rFonts w:ascii="Times New Roman" w:hAnsi="Times New Roman" w:cs="Times New Roman"/>
        </w:rPr>
        <w:t xml:space="preserve">McCord J, Jneid H, Hollander JE, et al. Management of Cocaine-Associated Chest Pain and Myocardial Infarction: A Scientific Statement From the American Heart Association Acute Cardiac Care Committee of the Council on Clinical Cardiology. </w:t>
      </w:r>
      <w:r w:rsidRPr="002928C5">
        <w:rPr>
          <w:rFonts w:ascii="Times New Roman" w:hAnsi="Times New Roman" w:cs="Times New Roman"/>
          <w:i/>
        </w:rPr>
        <w:t>Circulation</w:t>
      </w:r>
      <w:r w:rsidRPr="002928C5">
        <w:rPr>
          <w:rFonts w:ascii="Times New Roman" w:hAnsi="Times New Roman" w:cs="Times New Roman"/>
        </w:rPr>
        <w:t>. 2008;117(14):1897-1907. doi:10.1161/CIRCULATIONAHA.107.188950</w:t>
      </w:r>
    </w:p>
    <w:p w14:paraId="23C66783" w14:textId="77777777" w:rsidR="005D3271" w:rsidRPr="002928C5" w:rsidRDefault="005D3271" w:rsidP="002928C5">
      <w:pPr>
        <w:pStyle w:val="ListParagraph"/>
        <w:numPr>
          <w:ilvl w:val="0"/>
          <w:numId w:val="132"/>
        </w:numPr>
        <w:spacing w:before="0" w:after="0" w:line="360" w:lineRule="auto"/>
        <w:rPr>
          <w:rFonts w:ascii="Times New Roman" w:hAnsi="Times New Roman" w:cs="Times New Roman"/>
        </w:rPr>
      </w:pPr>
      <w:r w:rsidRPr="002928C5">
        <w:rPr>
          <w:rFonts w:ascii="Times New Roman" w:hAnsi="Times New Roman" w:cs="Times New Roman"/>
        </w:rPr>
        <w:t xml:space="preserve">Yancy CW, Jessup M, Bozkurt B, et al. 2013 ACCF/AHA Guideline for the Management of Heart Failure. </w:t>
      </w:r>
      <w:r w:rsidRPr="002928C5">
        <w:rPr>
          <w:rFonts w:ascii="Times New Roman" w:hAnsi="Times New Roman" w:cs="Times New Roman"/>
          <w:i/>
        </w:rPr>
        <w:t>J Am Coll Cardiol</w:t>
      </w:r>
      <w:r w:rsidRPr="002928C5">
        <w:rPr>
          <w:rFonts w:ascii="Times New Roman" w:hAnsi="Times New Roman" w:cs="Times New Roman"/>
        </w:rPr>
        <w:t>. 2013;62(16):e147-e239. doi:10.1016/j.jacc.2013.05.019</w:t>
      </w:r>
    </w:p>
    <w:p w14:paraId="0D7DD7AC" w14:textId="4B7C4577" w:rsidR="005D3271" w:rsidRPr="007D4CB3" w:rsidRDefault="005D3271" w:rsidP="002928C5">
      <w:pPr>
        <w:pStyle w:val="Heading3-backmatter"/>
        <w:spacing w:before="0" w:after="0" w:line="360" w:lineRule="auto"/>
        <w:rPr>
          <w:rFonts w:ascii="Times New Roman" w:hAnsi="Times New Roman" w:cs="Times New Roman"/>
          <w:sz w:val="24"/>
        </w:rPr>
      </w:pPr>
      <w:r w:rsidRPr="007D4CB3">
        <w:rPr>
          <w:rFonts w:ascii="Times New Roman" w:hAnsi="Times New Roman" w:cs="Times New Roman"/>
          <w:sz w:val="24"/>
        </w:rPr>
        <w:lastRenderedPageBreak/>
        <w:t>HIV and Safer Sex</w:t>
      </w:r>
    </w:p>
    <w:p w14:paraId="2FC7951C" w14:textId="77777777" w:rsidR="005D3271" w:rsidRPr="002928C5" w:rsidRDefault="005D3271" w:rsidP="002928C5">
      <w:pPr>
        <w:pStyle w:val="ListParagraph"/>
        <w:numPr>
          <w:ilvl w:val="0"/>
          <w:numId w:val="131"/>
        </w:numPr>
        <w:spacing w:before="0" w:after="0" w:line="360" w:lineRule="auto"/>
        <w:rPr>
          <w:rFonts w:ascii="Times New Roman" w:hAnsi="Times New Roman" w:cs="Times New Roman"/>
        </w:rPr>
      </w:pPr>
      <w:r w:rsidRPr="002928C5">
        <w:rPr>
          <w:rFonts w:ascii="Times New Roman" w:hAnsi="Times New Roman" w:cs="Times New Roman"/>
        </w:rPr>
        <w:t xml:space="preserve">Centers for Disease Control and Prevention. </w:t>
      </w:r>
      <w:r w:rsidRPr="002928C5">
        <w:rPr>
          <w:rFonts w:ascii="Times New Roman" w:hAnsi="Times New Roman" w:cs="Times New Roman"/>
          <w:i/>
        </w:rPr>
        <w:t>Preexposure Prophylaxis for the Prevention of HIV Infection in the United States—2021 Update: A Clinical Practice Guideline</w:t>
      </w:r>
      <w:r w:rsidRPr="002928C5">
        <w:rPr>
          <w:rFonts w:ascii="Times New Roman" w:hAnsi="Times New Roman" w:cs="Times New Roman"/>
        </w:rPr>
        <w:t>. Centers for Disease Control and Prevention (CDC); 2021:108.</w:t>
      </w:r>
    </w:p>
    <w:p w14:paraId="16B032C9" w14:textId="77777777" w:rsidR="005D3271" w:rsidRPr="002928C5" w:rsidRDefault="005D3271" w:rsidP="002928C5">
      <w:pPr>
        <w:pStyle w:val="ListParagraph"/>
        <w:numPr>
          <w:ilvl w:val="0"/>
          <w:numId w:val="131"/>
        </w:numPr>
        <w:spacing w:before="0" w:after="0" w:line="360" w:lineRule="auto"/>
        <w:rPr>
          <w:rFonts w:ascii="Times New Roman" w:hAnsi="Times New Roman" w:cs="Times New Roman"/>
        </w:rPr>
      </w:pPr>
      <w:r w:rsidRPr="002928C5">
        <w:rPr>
          <w:rFonts w:ascii="Times New Roman" w:hAnsi="Times New Roman" w:cs="Times New Roman"/>
        </w:rPr>
        <w:t xml:space="preserve">Substance Abuse and Mental Health Services Administration. </w:t>
      </w:r>
      <w:r w:rsidRPr="002928C5">
        <w:rPr>
          <w:rFonts w:ascii="Times New Roman" w:hAnsi="Times New Roman" w:cs="Times New Roman"/>
          <w:i/>
        </w:rPr>
        <w:t>Prevention and treatment of HIV among people living with substance use and/or mental disorders</w:t>
      </w:r>
      <w:r w:rsidRPr="002928C5">
        <w:rPr>
          <w:rFonts w:ascii="Times New Roman" w:hAnsi="Times New Roman" w:cs="Times New Roman"/>
        </w:rPr>
        <w:t>. PEP20-06-03-001. SAMHSA; 2020. https://store.samhsa.gov/product/Prevention-and-Treatment-of-HIV-Among-People-Living-with-Substance-Use-and-or-Mental-Disorders/PEP20-06-03-001</w:t>
      </w:r>
    </w:p>
    <w:p w14:paraId="0098F3CF" w14:textId="77777777" w:rsidR="005D3271" w:rsidRPr="002928C5" w:rsidRDefault="005D3271" w:rsidP="002928C5">
      <w:pPr>
        <w:pStyle w:val="ListParagraph"/>
        <w:numPr>
          <w:ilvl w:val="0"/>
          <w:numId w:val="131"/>
        </w:numPr>
        <w:spacing w:before="0" w:after="0" w:line="360" w:lineRule="auto"/>
        <w:rPr>
          <w:rFonts w:ascii="Times New Roman" w:hAnsi="Times New Roman" w:cs="Times New Roman"/>
        </w:rPr>
      </w:pPr>
      <w:r w:rsidRPr="002928C5">
        <w:rPr>
          <w:rFonts w:ascii="Times New Roman" w:hAnsi="Times New Roman" w:cs="Times New Roman"/>
        </w:rPr>
        <w:t xml:space="preserve">Substance Abuse and Mental Health Services Administration. </w:t>
      </w:r>
      <w:r w:rsidRPr="002928C5">
        <w:rPr>
          <w:rFonts w:ascii="Times New Roman" w:hAnsi="Times New Roman" w:cs="Times New Roman"/>
          <w:i/>
        </w:rPr>
        <w:t>Prevention and treatment of HIV among people living with substance use and/or mental disorders</w:t>
      </w:r>
      <w:r w:rsidRPr="002928C5">
        <w:rPr>
          <w:rFonts w:ascii="Times New Roman" w:hAnsi="Times New Roman" w:cs="Times New Roman"/>
        </w:rPr>
        <w:t xml:space="preserve">. PEP20-06-03-001. Substance Abuse and Mental Health Services Administration (SAMHSA); 2020. Accessed July 13, 2022. </w:t>
      </w:r>
      <w:hyperlink r:id="rId28" w:history="1">
        <w:r w:rsidRPr="002928C5">
          <w:rPr>
            <w:rFonts w:ascii="Times New Roman" w:hAnsi="Times New Roman" w:cs="Times New Roman"/>
          </w:rPr>
          <w:t>https://store.samhsa.gov/sites/default/files/pep20-06-03-001.pdf</w:t>
        </w:r>
      </w:hyperlink>
    </w:p>
    <w:p w14:paraId="06CDF4D0" w14:textId="77777777" w:rsidR="005D3271" w:rsidRPr="002928C5" w:rsidRDefault="005D3271" w:rsidP="002928C5">
      <w:pPr>
        <w:pStyle w:val="ListParagraph"/>
        <w:numPr>
          <w:ilvl w:val="0"/>
          <w:numId w:val="131"/>
        </w:numPr>
        <w:spacing w:before="0" w:after="0" w:line="360" w:lineRule="auto"/>
        <w:rPr>
          <w:rFonts w:ascii="Times New Roman" w:hAnsi="Times New Roman" w:cs="Times New Roman"/>
        </w:rPr>
      </w:pPr>
      <w:r w:rsidRPr="002928C5">
        <w:rPr>
          <w:rFonts w:ascii="Times New Roman" w:hAnsi="Times New Roman" w:cs="Times New Roman"/>
        </w:rPr>
        <w:t xml:space="preserve">US Preventive Services Task Force, Owens, DK, Davidson KW, Krist AH, et al. Preexposure Prophylaxis for the Prevention of HIV Infection: US Preventive Services Task Force Recommendation Statement. </w:t>
      </w:r>
      <w:r w:rsidRPr="002928C5">
        <w:rPr>
          <w:rFonts w:ascii="Times New Roman" w:hAnsi="Times New Roman" w:cs="Times New Roman"/>
          <w:i/>
        </w:rPr>
        <w:t>JAMA</w:t>
      </w:r>
      <w:r w:rsidRPr="002928C5">
        <w:rPr>
          <w:rFonts w:ascii="Times New Roman" w:hAnsi="Times New Roman" w:cs="Times New Roman"/>
        </w:rPr>
        <w:t>. 2019;</w:t>
      </w:r>
      <w:r w:rsidRPr="002928C5">
        <w:rPr>
          <w:rFonts w:ascii="Times New Roman" w:hAnsi="Times New Roman" w:cs="Times New Roman"/>
          <w:i/>
        </w:rPr>
        <w:t>321</w:t>
      </w:r>
      <w:r w:rsidRPr="002928C5">
        <w:rPr>
          <w:rFonts w:ascii="Times New Roman" w:hAnsi="Times New Roman" w:cs="Times New Roman"/>
        </w:rPr>
        <w:t xml:space="preserve">(22):2203. </w:t>
      </w:r>
      <w:hyperlink r:id="rId29" w:history="1">
        <w:r w:rsidRPr="002928C5">
          <w:rPr>
            <w:rFonts w:ascii="Times New Roman" w:hAnsi="Times New Roman" w:cs="Times New Roman"/>
          </w:rPr>
          <w:t>https://doi.org/10.1001/jama.2019.6390</w:t>
        </w:r>
      </w:hyperlink>
    </w:p>
    <w:p w14:paraId="26359446" w14:textId="77777777" w:rsidR="005D3271" w:rsidRPr="002928C5" w:rsidRDefault="005D3271" w:rsidP="002928C5">
      <w:pPr>
        <w:pStyle w:val="ListParagraph"/>
        <w:numPr>
          <w:ilvl w:val="0"/>
          <w:numId w:val="131"/>
        </w:numPr>
        <w:spacing w:before="0" w:after="0" w:line="360" w:lineRule="auto"/>
        <w:rPr>
          <w:rFonts w:ascii="Times New Roman" w:hAnsi="Times New Roman" w:cs="Times New Roman"/>
        </w:rPr>
      </w:pPr>
      <w:r w:rsidRPr="002928C5">
        <w:rPr>
          <w:rFonts w:ascii="Times New Roman" w:hAnsi="Times New Roman" w:cs="Times New Roman"/>
        </w:rPr>
        <w:t xml:space="preserve">United Nations Office on Drugs and Crime, World Health Organization (WHO), and Joint United Nations Programme on HIV/AIDS (UNAIDS). HIV prevention, treatment, </w:t>
      </w:r>
      <w:proofErr w:type="gramStart"/>
      <w:r w:rsidRPr="002928C5">
        <w:rPr>
          <w:rFonts w:ascii="Times New Roman" w:hAnsi="Times New Roman" w:cs="Times New Roman"/>
        </w:rPr>
        <w:t>care</w:t>
      </w:r>
      <w:proofErr w:type="gramEnd"/>
      <w:r w:rsidRPr="002928C5">
        <w:rPr>
          <w:rFonts w:ascii="Times New Roman" w:hAnsi="Times New Roman" w:cs="Times New Roman"/>
        </w:rPr>
        <w:t xml:space="preserve"> and support for people who use stimulant drugs; 2019. Accessed August 1, 2021. </w:t>
      </w:r>
      <w:hyperlink r:id="rId30" w:history="1">
        <w:r w:rsidRPr="002928C5">
          <w:rPr>
            <w:rFonts w:ascii="Times New Roman" w:hAnsi="Times New Roman" w:cs="Times New Roman"/>
          </w:rPr>
          <w:t>https://www.unodc.org/documents/hiv-aids/publications/People_who_use_drugs/19-04568_HIV_Prevention_Guide_ebook.pdf</w:t>
        </w:r>
      </w:hyperlink>
    </w:p>
    <w:p w14:paraId="7086160F" w14:textId="77777777" w:rsidR="005D3271" w:rsidRPr="002928C5" w:rsidRDefault="005D3271" w:rsidP="002928C5">
      <w:pPr>
        <w:pStyle w:val="ListParagraph"/>
        <w:numPr>
          <w:ilvl w:val="0"/>
          <w:numId w:val="131"/>
        </w:numPr>
        <w:spacing w:before="0" w:after="0" w:line="360" w:lineRule="auto"/>
        <w:rPr>
          <w:rFonts w:ascii="Times New Roman" w:hAnsi="Times New Roman" w:cs="Times New Roman"/>
        </w:rPr>
      </w:pPr>
      <w:r w:rsidRPr="002928C5">
        <w:rPr>
          <w:rFonts w:ascii="Times New Roman" w:hAnsi="Times New Roman" w:cs="Times New Roman"/>
        </w:rPr>
        <w:t xml:space="preserve">Workowski KA, Bachmann LH, Chan PA, et al. Sexually transmitted infections treatment guidelines, 2021. </w:t>
      </w:r>
      <w:r w:rsidRPr="002928C5">
        <w:rPr>
          <w:rFonts w:ascii="Times New Roman" w:hAnsi="Times New Roman" w:cs="Times New Roman"/>
          <w:i/>
        </w:rPr>
        <w:t>MMWR Recomm Rep</w:t>
      </w:r>
      <w:r w:rsidRPr="002928C5">
        <w:rPr>
          <w:rFonts w:ascii="Times New Roman" w:hAnsi="Times New Roman" w:cs="Times New Roman"/>
        </w:rPr>
        <w:t>. 2021;70(4):192. doi:10.15585/mmwr.rr7004a1</w:t>
      </w:r>
    </w:p>
    <w:p w14:paraId="630930B9" w14:textId="77777777" w:rsidR="005D3271" w:rsidRPr="002928C5" w:rsidRDefault="005D3271" w:rsidP="002928C5">
      <w:pPr>
        <w:pStyle w:val="ListParagraph"/>
        <w:numPr>
          <w:ilvl w:val="0"/>
          <w:numId w:val="131"/>
        </w:numPr>
        <w:spacing w:before="0" w:after="0" w:line="360" w:lineRule="auto"/>
        <w:rPr>
          <w:rFonts w:ascii="Times New Roman" w:hAnsi="Times New Roman" w:cs="Times New Roman"/>
        </w:rPr>
      </w:pPr>
      <w:r w:rsidRPr="002928C5">
        <w:rPr>
          <w:rFonts w:ascii="Times New Roman" w:hAnsi="Times New Roman" w:cs="Times New Roman"/>
        </w:rPr>
        <w:t xml:space="preserve">World Health Organization. Consolidated Guidelines on HIV Prevention, Testing, Treatment, Service Delivery and Monitoring: Recommendations for a Public Health Approach. No. 1035. WHO; 2021. Accessed June 15, 2022. </w:t>
      </w:r>
      <w:hyperlink r:id="rId31" w:history="1">
        <w:r w:rsidRPr="002928C5">
          <w:rPr>
            <w:rFonts w:ascii="Times New Roman" w:hAnsi="Times New Roman" w:cs="Times New Roman"/>
          </w:rPr>
          <w:t>https://apps.who.int/iris/handle/10665/351172</w:t>
        </w:r>
      </w:hyperlink>
    </w:p>
    <w:p w14:paraId="729F27C2" w14:textId="77777777" w:rsidR="005D3271" w:rsidRPr="007D4CB3" w:rsidRDefault="005D3271" w:rsidP="002928C5">
      <w:pPr>
        <w:pStyle w:val="Heading3-backmatter"/>
        <w:spacing w:before="0" w:after="0" w:line="360" w:lineRule="auto"/>
        <w:rPr>
          <w:rFonts w:ascii="Times New Roman" w:hAnsi="Times New Roman" w:cs="Times New Roman"/>
          <w:sz w:val="24"/>
        </w:rPr>
      </w:pPr>
      <w:r w:rsidRPr="007D4CB3">
        <w:rPr>
          <w:rFonts w:ascii="Times New Roman" w:hAnsi="Times New Roman" w:cs="Times New Roman"/>
          <w:sz w:val="24"/>
        </w:rPr>
        <w:lastRenderedPageBreak/>
        <w:t>Homelessness</w:t>
      </w:r>
    </w:p>
    <w:p w14:paraId="5EC535A9" w14:textId="77777777" w:rsidR="005D3271" w:rsidRPr="002928C5" w:rsidRDefault="005D3271" w:rsidP="002928C5">
      <w:pPr>
        <w:pStyle w:val="ListParagraph"/>
        <w:numPr>
          <w:ilvl w:val="0"/>
          <w:numId w:val="130"/>
        </w:numPr>
        <w:spacing w:before="0" w:after="0" w:line="360" w:lineRule="auto"/>
        <w:rPr>
          <w:rFonts w:ascii="Times New Roman" w:hAnsi="Times New Roman" w:cs="Times New Roman"/>
        </w:rPr>
      </w:pPr>
      <w:r w:rsidRPr="002928C5">
        <w:rPr>
          <w:rFonts w:ascii="Times New Roman" w:hAnsi="Times New Roman" w:cs="Times New Roman"/>
        </w:rPr>
        <w:t xml:space="preserve">U.S. Department of Housing and Urban Development (HUD). Housing First in Permanent Supportive Housing Brief. HUD; 2014. </w:t>
      </w:r>
      <w:hyperlink r:id="rId32" w:history="1">
        <w:r w:rsidRPr="002928C5">
          <w:rPr>
            <w:rFonts w:ascii="Times New Roman" w:hAnsi="Times New Roman" w:cs="Times New Roman"/>
          </w:rPr>
          <w:t>https://files.hudexchange.info/resources/documents/Housing-First-Permanent-Supportive-Housing-Brief.pdf</w:t>
        </w:r>
      </w:hyperlink>
    </w:p>
    <w:p w14:paraId="4EA87BB8" w14:textId="77777777" w:rsidR="005D3271" w:rsidRPr="002928C5" w:rsidRDefault="005D3271" w:rsidP="002928C5">
      <w:pPr>
        <w:pStyle w:val="ListParagraph"/>
        <w:numPr>
          <w:ilvl w:val="0"/>
          <w:numId w:val="130"/>
        </w:numPr>
        <w:spacing w:before="0" w:after="0" w:line="360" w:lineRule="auto"/>
        <w:rPr>
          <w:rFonts w:ascii="Times New Roman" w:hAnsi="Times New Roman" w:cs="Times New Roman"/>
        </w:rPr>
      </w:pPr>
      <w:r w:rsidRPr="002928C5">
        <w:rPr>
          <w:rFonts w:ascii="Times New Roman" w:hAnsi="Times New Roman" w:cs="Times New Roman"/>
        </w:rPr>
        <w:t>Substance Abuse and Mental Health Services Administration. TIP 55: Behavioral Health Services for People Who Are Homeless. SMA15-4734. SAMHSA; 2015. https://store.samhsa.gov/product/TIP-55-Behavioral-Health-Services-for-People-Who-Are-Homeless/SMA15-4734</w:t>
      </w:r>
    </w:p>
    <w:p w14:paraId="3711BC87" w14:textId="77777777" w:rsidR="005D3271" w:rsidRPr="007D4CB3" w:rsidRDefault="005D3271" w:rsidP="002928C5">
      <w:pPr>
        <w:pStyle w:val="Heading3-backmatter"/>
        <w:spacing w:before="0" w:after="0" w:line="360" w:lineRule="auto"/>
        <w:rPr>
          <w:rFonts w:ascii="Times New Roman" w:hAnsi="Times New Roman" w:cs="Times New Roman"/>
          <w:sz w:val="24"/>
        </w:rPr>
      </w:pPr>
      <w:r w:rsidRPr="007D4CB3">
        <w:rPr>
          <w:rFonts w:ascii="Times New Roman" w:hAnsi="Times New Roman" w:cs="Times New Roman"/>
          <w:sz w:val="24"/>
        </w:rPr>
        <w:t>Mental Health</w:t>
      </w:r>
    </w:p>
    <w:p w14:paraId="3E7A5BB6" w14:textId="77777777" w:rsidR="005D3271" w:rsidRPr="002928C5" w:rsidRDefault="005D3271" w:rsidP="002928C5">
      <w:pPr>
        <w:pStyle w:val="ListParagraph"/>
        <w:numPr>
          <w:ilvl w:val="0"/>
          <w:numId w:val="129"/>
        </w:numPr>
        <w:spacing w:before="0" w:after="0" w:line="360" w:lineRule="auto"/>
        <w:rPr>
          <w:rFonts w:ascii="Times New Roman" w:hAnsi="Times New Roman" w:cs="Times New Roman"/>
        </w:rPr>
      </w:pPr>
      <w:r w:rsidRPr="002928C5">
        <w:rPr>
          <w:rFonts w:ascii="Times New Roman" w:hAnsi="Times New Roman" w:cs="Times New Roman"/>
        </w:rPr>
        <w:t xml:space="preserve">Center for Substance Abuse Treatment. Substance Use Disorder Treatment For People With Physical and Cognitive Disabilities. Rockville (MD). SMA98-3249. SAMHSA; 1998. https://www.ncbi.nlm.nih.gov/books/NBK64881/ </w:t>
      </w:r>
    </w:p>
    <w:p w14:paraId="771D38B2" w14:textId="77777777" w:rsidR="005D3271" w:rsidRPr="002928C5" w:rsidRDefault="005D3271" w:rsidP="002928C5">
      <w:pPr>
        <w:pStyle w:val="ListParagraph"/>
        <w:numPr>
          <w:ilvl w:val="0"/>
          <w:numId w:val="129"/>
        </w:numPr>
        <w:spacing w:before="0" w:after="0" w:line="360" w:lineRule="auto"/>
        <w:rPr>
          <w:rFonts w:ascii="Times New Roman" w:hAnsi="Times New Roman" w:cs="Times New Roman"/>
        </w:rPr>
      </w:pPr>
      <w:r w:rsidRPr="002928C5">
        <w:rPr>
          <w:rFonts w:ascii="Times New Roman" w:hAnsi="Times New Roman" w:cs="Times New Roman"/>
        </w:rPr>
        <w:t xml:space="preserve">McIver C, Flynn J, Baigent M, et al. </w:t>
      </w:r>
      <w:r w:rsidRPr="002928C5">
        <w:rPr>
          <w:rFonts w:ascii="Times New Roman" w:hAnsi="Times New Roman" w:cs="Times New Roman"/>
          <w:i/>
        </w:rPr>
        <w:t>Management of Methamphetamine Psychosis, Stage 2: Acute Care Interventions for the Treatment of Methamphetamine Psychosis &amp; Assertive Community Care for the Post-Discharge Treatment of Methamphetamine Psychosis</w:t>
      </w:r>
      <w:r w:rsidRPr="002928C5">
        <w:rPr>
          <w:rFonts w:ascii="Times New Roman" w:hAnsi="Times New Roman" w:cs="Times New Roman"/>
        </w:rPr>
        <w:t>. Drug and Alcohol Services South Australia; 2006.</w:t>
      </w:r>
    </w:p>
    <w:p w14:paraId="3714EDDD" w14:textId="77777777" w:rsidR="005D3271" w:rsidRPr="002928C5" w:rsidRDefault="005D3271" w:rsidP="002928C5">
      <w:pPr>
        <w:pStyle w:val="ListParagraph"/>
        <w:numPr>
          <w:ilvl w:val="0"/>
          <w:numId w:val="129"/>
        </w:numPr>
        <w:spacing w:before="0" w:after="0" w:line="360" w:lineRule="auto"/>
        <w:rPr>
          <w:rFonts w:ascii="Times New Roman" w:hAnsi="Times New Roman" w:cs="Times New Roman"/>
        </w:rPr>
      </w:pPr>
      <w:r w:rsidRPr="002928C5">
        <w:rPr>
          <w:rFonts w:ascii="Times New Roman" w:hAnsi="Times New Roman" w:cs="Times New Roman"/>
        </w:rPr>
        <w:t xml:space="preserve">Substance Abuse and Mental Health Services Administration. </w:t>
      </w:r>
      <w:r w:rsidRPr="002928C5">
        <w:rPr>
          <w:rFonts w:ascii="Times New Roman" w:hAnsi="Times New Roman" w:cs="Times New Roman"/>
          <w:i/>
        </w:rPr>
        <w:t>Advisory: Mental and Substance Use Disorder Treatment for People With Physical and Cognitive Disabilities</w:t>
      </w:r>
      <w:r w:rsidRPr="002928C5">
        <w:rPr>
          <w:rFonts w:ascii="Times New Roman" w:hAnsi="Times New Roman" w:cs="Times New Roman"/>
        </w:rPr>
        <w:t xml:space="preserve">. PEP19-02-00-002. Substance Abuse and Mental Health Services Administration; 2019. Accessed July 29, 2022. </w:t>
      </w:r>
      <w:hyperlink r:id="rId33" w:history="1">
        <w:r w:rsidRPr="002928C5">
          <w:rPr>
            <w:rFonts w:ascii="Times New Roman" w:hAnsi="Times New Roman" w:cs="Times New Roman"/>
          </w:rPr>
          <w:t>https://store.samhsa.gov/product/Mental-and-Substance-Use-Disorder-Treatment-for-People-With-Physical-and-Cognitive-Disabilities/PEP19-02-00-002</w:t>
        </w:r>
      </w:hyperlink>
    </w:p>
    <w:p w14:paraId="38F61206" w14:textId="77777777" w:rsidR="005D3271" w:rsidRPr="007D4CB3" w:rsidRDefault="005D3271" w:rsidP="002928C5">
      <w:pPr>
        <w:pStyle w:val="Heading3-backmatter"/>
        <w:spacing w:before="0" w:after="0" w:line="360" w:lineRule="auto"/>
        <w:rPr>
          <w:rFonts w:ascii="Times New Roman" w:hAnsi="Times New Roman" w:cs="Times New Roman"/>
          <w:sz w:val="24"/>
        </w:rPr>
      </w:pPr>
      <w:r w:rsidRPr="007D4CB3">
        <w:rPr>
          <w:rFonts w:ascii="Times New Roman" w:hAnsi="Times New Roman" w:cs="Times New Roman"/>
          <w:sz w:val="24"/>
        </w:rPr>
        <w:t>Pregnancy</w:t>
      </w:r>
    </w:p>
    <w:p w14:paraId="531E48BE" w14:textId="77777777" w:rsidR="005D3271" w:rsidRPr="002928C5" w:rsidRDefault="005D3271" w:rsidP="002928C5">
      <w:pPr>
        <w:pStyle w:val="ListParagraph"/>
        <w:numPr>
          <w:ilvl w:val="0"/>
          <w:numId w:val="128"/>
        </w:numPr>
        <w:spacing w:before="0" w:after="0" w:line="360" w:lineRule="auto"/>
        <w:rPr>
          <w:rFonts w:ascii="Times New Roman" w:hAnsi="Times New Roman" w:cs="Times New Roman"/>
        </w:rPr>
      </w:pPr>
      <w:r w:rsidRPr="002928C5">
        <w:rPr>
          <w:rFonts w:ascii="Times New Roman" w:hAnsi="Times New Roman" w:cs="Times New Roman"/>
        </w:rPr>
        <w:t xml:space="preserve">American College of Obstetricians and Gynecologists. Alcohol abuse and other substance use disorders: ethical issues in obstetric and gynecologic practice. Committee Opinion No. 633. </w:t>
      </w:r>
      <w:r w:rsidRPr="002928C5">
        <w:rPr>
          <w:rFonts w:ascii="Times New Roman" w:hAnsi="Times New Roman" w:cs="Times New Roman"/>
          <w:i/>
        </w:rPr>
        <w:t>Obstet Gynecol</w:t>
      </w:r>
      <w:r w:rsidRPr="002928C5">
        <w:rPr>
          <w:rFonts w:ascii="Times New Roman" w:hAnsi="Times New Roman" w:cs="Times New Roman"/>
        </w:rPr>
        <w:t>. 2015;125:1529-1537. doi:10.1097/01.AOG.0000466371.86393.9b</w:t>
      </w:r>
    </w:p>
    <w:p w14:paraId="4BD995B0" w14:textId="77777777" w:rsidR="005D3271" w:rsidRPr="002928C5" w:rsidRDefault="005D3271" w:rsidP="002928C5">
      <w:pPr>
        <w:pStyle w:val="ListParagraph"/>
        <w:numPr>
          <w:ilvl w:val="0"/>
          <w:numId w:val="128"/>
        </w:numPr>
        <w:spacing w:before="0" w:after="0" w:line="360" w:lineRule="auto"/>
        <w:rPr>
          <w:rFonts w:ascii="Times New Roman" w:hAnsi="Times New Roman" w:cs="Times New Roman"/>
        </w:rPr>
      </w:pPr>
      <w:r w:rsidRPr="002928C5">
        <w:rPr>
          <w:rFonts w:ascii="Times New Roman" w:hAnsi="Times New Roman" w:cs="Times New Roman"/>
        </w:rPr>
        <w:t xml:space="preserve">American College of Obstetricians and Gynecologists. Methamphetamine Abuse in Women of Reproductive Age. Committee Opinion No. 479. (Reaffirmed 2021). </w:t>
      </w:r>
      <w:r w:rsidRPr="002928C5">
        <w:rPr>
          <w:rFonts w:ascii="Times New Roman" w:hAnsi="Times New Roman" w:cs="Times New Roman"/>
          <w:i/>
        </w:rPr>
        <w:t>Obstet Gynecol</w:t>
      </w:r>
      <w:r w:rsidRPr="002928C5">
        <w:rPr>
          <w:rFonts w:ascii="Times New Roman" w:hAnsi="Times New Roman" w:cs="Times New Roman"/>
        </w:rPr>
        <w:t>. 2011;117:751-755. doi:10.1097/AOG.0b013e318214784e</w:t>
      </w:r>
    </w:p>
    <w:p w14:paraId="755053A8" w14:textId="77777777" w:rsidR="005D3271" w:rsidRPr="002928C5" w:rsidRDefault="005D3271" w:rsidP="002928C5">
      <w:pPr>
        <w:pStyle w:val="ListParagraph"/>
        <w:numPr>
          <w:ilvl w:val="0"/>
          <w:numId w:val="128"/>
        </w:numPr>
        <w:spacing w:before="0" w:after="0" w:line="360" w:lineRule="auto"/>
        <w:rPr>
          <w:rFonts w:ascii="Times New Roman" w:hAnsi="Times New Roman" w:cs="Times New Roman"/>
        </w:rPr>
      </w:pPr>
      <w:r w:rsidRPr="002928C5">
        <w:rPr>
          <w:rFonts w:ascii="Times New Roman" w:hAnsi="Times New Roman" w:cs="Times New Roman"/>
        </w:rPr>
        <w:lastRenderedPageBreak/>
        <w:t xml:space="preserve">American College of Obstetricians and Gynecologists. Substance Abuse Reporting and Pregnancy: The Role of the Obstetrician–Gynecologist. Committee Opinion No. 473. (Reaffirmed 2014). </w:t>
      </w:r>
      <w:r w:rsidRPr="002928C5">
        <w:rPr>
          <w:rFonts w:ascii="Times New Roman" w:hAnsi="Times New Roman" w:cs="Times New Roman"/>
          <w:i/>
        </w:rPr>
        <w:t>Obstet Gynecol</w:t>
      </w:r>
      <w:r w:rsidRPr="002928C5">
        <w:rPr>
          <w:rFonts w:ascii="Times New Roman" w:hAnsi="Times New Roman" w:cs="Times New Roman"/>
        </w:rPr>
        <w:t>. 2011;117:200-201. doi:10.1097/AOG.0b013e31820a6216</w:t>
      </w:r>
    </w:p>
    <w:p w14:paraId="25A64241" w14:textId="77777777" w:rsidR="005D3271" w:rsidRPr="002928C5" w:rsidRDefault="005D3271" w:rsidP="002928C5">
      <w:pPr>
        <w:pStyle w:val="ListParagraph"/>
        <w:numPr>
          <w:ilvl w:val="0"/>
          <w:numId w:val="128"/>
        </w:numPr>
        <w:spacing w:before="0" w:after="0" w:line="360" w:lineRule="auto"/>
        <w:rPr>
          <w:rFonts w:ascii="Times New Roman" w:hAnsi="Times New Roman" w:cs="Times New Roman"/>
        </w:rPr>
      </w:pPr>
      <w:r w:rsidRPr="002928C5">
        <w:rPr>
          <w:rFonts w:ascii="Times New Roman" w:hAnsi="Times New Roman" w:cs="Times New Roman"/>
        </w:rPr>
        <w:t xml:space="preserve">American College of Obstetricians and Gynecologists. Cocaine abuse: implications for pregnancy. ACOG Committee opinion: Committee on Obstetrics: Maternal and Fetal Medicine number 81 --March 1990. </w:t>
      </w:r>
      <w:r w:rsidRPr="002928C5">
        <w:rPr>
          <w:rFonts w:ascii="Times New Roman" w:hAnsi="Times New Roman" w:cs="Times New Roman"/>
          <w:i/>
        </w:rPr>
        <w:t>Int J Gynaecol Obstet</w:t>
      </w:r>
      <w:r w:rsidRPr="002928C5">
        <w:rPr>
          <w:rFonts w:ascii="Times New Roman" w:hAnsi="Times New Roman" w:cs="Times New Roman"/>
        </w:rPr>
        <w:t>. 1991;36(2):164-166.</w:t>
      </w:r>
    </w:p>
    <w:p w14:paraId="76487294" w14:textId="77777777" w:rsidR="005D3271" w:rsidRPr="002928C5" w:rsidRDefault="005D3271" w:rsidP="002928C5">
      <w:pPr>
        <w:pStyle w:val="ListParagraph"/>
        <w:numPr>
          <w:ilvl w:val="0"/>
          <w:numId w:val="128"/>
        </w:numPr>
        <w:spacing w:before="0" w:after="0" w:line="360" w:lineRule="auto"/>
        <w:rPr>
          <w:rFonts w:ascii="Times New Roman" w:hAnsi="Times New Roman" w:cs="Times New Roman"/>
        </w:rPr>
      </w:pPr>
      <w:r w:rsidRPr="002928C5">
        <w:rPr>
          <w:rFonts w:ascii="Times New Roman" w:hAnsi="Times New Roman" w:cs="Times New Roman"/>
        </w:rPr>
        <w:t xml:space="preserve">Ecker J, Abuhamad A, Hill W, et al. Substance use disorders in pregnancy: clinical, ethical, and research imperatives of the opioid epidemic: a report of a joint workshop of the Society for Maternal-Fetal Medicine, American College of Obstetricians and Gynecologists, and American Society of Addiction Medicine. </w:t>
      </w:r>
      <w:r w:rsidRPr="002928C5">
        <w:rPr>
          <w:rFonts w:ascii="Times New Roman" w:hAnsi="Times New Roman" w:cs="Times New Roman"/>
          <w:i/>
        </w:rPr>
        <w:t>Am J Obstet Gynecol</w:t>
      </w:r>
      <w:r w:rsidRPr="002928C5">
        <w:rPr>
          <w:rFonts w:ascii="Times New Roman" w:hAnsi="Times New Roman" w:cs="Times New Roman"/>
        </w:rPr>
        <w:t>. 2019;221(1):B5-B28. doi:10.1016/j.ajog.2019.03.022</w:t>
      </w:r>
    </w:p>
    <w:p w14:paraId="54609618" w14:textId="77777777" w:rsidR="005D3271" w:rsidRPr="002928C5" w:rsidRDefault="005D3271" w:rsidP="002928C5">
      <w:pPr>
        <w:pStyle w:val="ListParagraph"/>
        <w:numPr>
          <w:ilvl w:val="0"/>
          <w:numId w:val="128"/>
        </w:numPr>
        <w:spacing w:before="0" w:after="0" w:line="360" w:lineRule="auto"/>
        <w:rPr>
          <w:rFonts w:ascii="Times New Roman" w:hAnsi="Times New Roman" w:cs="Times New Roman"/>
        </w:rPr>
      </w:pPr>
      <w:r w:rsidRPr="002928C5">
        <w:rPr>
          <w:rFonts w:ascii="Times New Roman" w:hAnsi="Times New Roman" w:cs="Times New Roman"/>
        </w:rPr>
        <w:t xml:space="preserve">McLafferty LP, Becker M, Dresner N, et al. Guidelines for the Management of Pregnant Women With Substance Use Disorders. </w:t>
      </w:r>
      <w:r w:rsidRPr="002928C5">
        <w:rPr>
          <w:rFonts w:ascii="Times New Roman" w:hAnsi="Times New Roman" w:cs="Times New Roman"/>
          <w:i/>
        </w:rPr>
        <w:t>Psychosomatics</w:t>
      </w:r>
      <w:r w:rsidRPr="002928C5">
        <w:rPr>
          <w:rFonts w:ascii="Times New Roman" w:hAnsi="Times New Roman" w:cs="Times New Roman"/>
        </w:rPr>
        <w:t>. 2016;57(2):115-130. doi:10.1016/j.psym.2015.12.001</w:t>
      </w:r>
    </w:p>
    <w:p w14:paraId="186AFA27" w14:textId="77777777" w:rsidR="005D3271" w:rsidRPr="002928C5" w:rsidRDefault="005D3271" w:rsidP="002928C5">
      <w:pPr>
        <w:pStyle w:val="ListParagraph"/>
        <w:numPr>
          <w:ilvl w:val="0"/>
          <w:numId w:val="128"/>
        </w:numPr>
        <w:spacing w:before="0" w:after="0" w:line="360" w:lineRule="auto"/>
        <w:rPr>
          <w:rFonts w:ascii="Times New Roman" w:hAnsi="Times New Roman" w:cs="Times New Roman"/>
        </w:rPr>
      </w:pPr>
      <w:r w:rsidRPr="002928C5">
        <w:rPr>
          <w:rFonts w:ascii="Times New Roman" w:hAnsi="Times New Roman" w:cs="Times New Roman"/>
        </w:rPr>
        <w:t xml:space="preserve">NSWMH. </w:t>
      </w:r>
      <w:r w:rsidRPr="002928C5">
        <w:rPr>
          <w:rFonts w:ascii="Times New Roman" w:hAnsi="Times New Roman" w:cs="Times New Roman"/>
          <w:i/>
        </w:rPr>
        <w:t xml:space="preserve">Clinical Guidelines for the Management of Substance Use During Pregnancy, </w:t>
      </w:r>
      <w:proofErr w:type="gramStart"/>
      <w:r w:rsidRPr="002928C5">
        <w:rPr>
          <w:rFonts w:ascii="Times New Roman" w:hAnsi="Times New Roman" w:cs="Times New Roman"/>
          <w:i/>
        </w:rPr>
        <w:t>Birth</w:t>
      </w:r>
      <w:proofErr w:type="gramEnd"/>
      <w:r w:rsidRPr="002928C5">
        <w:rPr>
          <w:rFonts w:ascii="Times New Roman" w:hAnsi="Times New Roman" w:cs="Times New Roman"/>
          <w:i/>
        </w:rPr>
        <w:t xml:space="preserve"> and the Postnatal Period</w:t>
      </w:r>
      <w:r w:rsidRPr="002928C5">
        <w:rPr>
          <w:rFonts w:ascii="Times New Roman" w:hAnsi="Times New Roman" w:cs="Times New Roman"/>
        </w:rPr>
        <w:t xml:space="preserve">. New South Wales Ministry of Health; 2014. Accessed September 16, 2021. </w:t>
      </w:r>
      <w:hyperlink r:id="rId34" w:history="1">
        <w:r w:rsidRPr="002928C5">
          <w:rPr>
            <w:rFonts w:ascii="Times New Roman" w:hAnsi="Times New Roman" w:cs="Times New Roman"/>
          </w:rPr>
          <w:t>www.health.nsw.gov.au</w:t>
        </w:r>
      </w:hyperlink>
    </w:p>
    <w:p w14:paraId="5B0B5F11" w14:textId="77777777" w:rsidR="005D3271" w:rsidRPr="002928C5" w:rsidRDefault="005D3271" w:rsidP="002928C5">
      <w:pPr>
        <w:pStyle w:val="ListParagraph"/>
        <w:numPr>
          <w:ilvl w:val="0"/>
          <w:numId w:val="128"/>
        </w:numPr>
        <w:spacing w:before="0" w:after="0" w:line="360" w:lineRule="auto"/>
        <w:rPr>
          <w:rFonts w:ascii="Times New Roman" w:hAnsi="Times New Roman" w:cs="Times New Roman"/>
        </w:rPr>
      </w:pPr>
      <w:r w:rsidRPr="002928C5">
        <w:rPr>
          <w:rFonts w:ascii="Times New Roman" w:hAnsi="Times New Roman" w:cs="Times New Roman"/>
        </w:rPr>
        <w:t xml:space="preserve">NSWMH. </w:t>
      </w:r>
      <w:r w:rsidRPr="002928C5">
        <w:rPr>
          <w:rFonts w:ascii="Times New Roman" w:hAnsi="Times New Roman" w:cs="Times New Roman"/>
          <w:i/>
        </w:rPr>
        <w:t>Handbook for Nurses and Midwives: Responding Effectively to People Who Use Alcohol and Other Drugs</w:t>
      </w:r>
      <w:r w:rsidRPr="002928C5">
        <w:rPr>
          <w:rFonts w:ascii="Times New Roman" w:hAnsi="Times New Roman" w:cs="Times New Roman"/>
        </w:rPr>
        <w:t xml:space="preserve">. CPH 210385. New South Wales Ministry of Health; 2021. Accessed September 16, 2021. </w:t>
      </w:r>
      <w:hyperlink r:id="rId35" w:history="1">
        <w:r w:rsidRPr="002928C5">
          <w:rPr>
            <w:rFonts w:ascii="Times New Roman" w:hAnsi="Times New Roman" w:cs="Times New Roman"/>
          </w:rPr>
          <w:t>www.health.nsw.gov.au</w:t>
        </w:r>
      </w:hyperlink>
    </w:p>
    <w:p w14:paraId="5E4AF228" w14:textId="77777777" w:rsidR="005D3271" w:rsidRPr="002928C5" w:rsidRDefault="005D3271" w:rsidP="002928C5">
      <w:pPr>
        <w:pStyle w:val="ListParagraph"/>
        <w:numPr>
          <w:ilvl w:val="0"/>
          <w:numId w:val="128"/>
        </w:numPr>
        <w:spacing w:before="0" w:after="0" w:line="360" w:lineRule="auto"/>
        <w:rPr>
          <w:rFonts w:ascii="Times New Roman" w:hAnsi="Times New Roman" w:cs="Times New Roman"/>
        </w:rPr>
      </w:pPr>
      <w:r w:rsidRPr="002928C5">
        <w:rPr>
          <w:rFonts w:ascii="Times New Roman" w:hAnsi="Times New Roman" w:cs="Times New Roman"/>
        </w:rPr>
        <w:t xml:space="preserve">NSWMH. </w:t>
      </w:r>
      <w:r w:rsidRPr="002928C5">
        <w:rPr>
          <w:rFonts w:ascii="Times New Roman" w:hAnsi="Times New Roman" w:cs="Times New Roman"/>
          <w:i/>
        </w:rPr>
        <w:t>Nursing and Midwifery Management of Drug and Alcohol Use in the Delivery of Health Care</w:t>
      </w:r>
      <w:r w:rsidRPr="002928C5">
        <w:rPr>
          <w:rFonts w:ascii="Times New Roman" w:hAnsi="Times New Roman" w:cs="Times New Roman"/>
        </w:rPr>
        <w:t>. New South Wales Ministry of Health; 2020:38.</w:t>
      </w:r>
    </w:p>
    <w:p w14:paraId="7C38C058" w14:textId="77777777" w:rsidR="005D3271" w:rsidRPr="002928C5" w:rsidRDefault="005D3271" w:rsidP="002928C5">
      <w:pPr>
        <w:pStyle w:val="ListParagraph"/>
        <w:numPr>
          <w:ilvl w:val="0"/>
          <w:numId w:val="128"/>
        </w:numPr>
        <w:spacing w:before="0" w:after="0" w:line="360" w:lineRule="auto"/>
        <w:rPr>
          <w:rFonts w:ascii="Times New Roman" w:hAnsi="Times New Roman" w:cs="Times New Roman"/>
        </w:rPr>
      </w:pPr>
      <w:r w:rsidRPr="002928C5">
        <w:rPr>
          <w:rFonts w:ascii="Times New Roman" w:hAnsi="Times New Roman" w:cs="Times New Roman"/>
        </w:rPr>
        <w:t xml:space="preserve">NSWMH. </w:t>
      </w:r>
      <w:r w:rsidRPr="002928C5">
        <w:rPr>
          <w:rFonts w:ascii="Times New Roman" w:hAnsi="Times New Roman" w:cs="Times New Roman"/>
          <w:i/>
        </w:rPr>
        <w:t>Handbook for Nurses and Midwives: Responding Effectively to People Who Use Alcohol and Other Drugs</w:t>
      </w:r>
      <w:r w:rsidRPr="002928C5">
        <w:rPr>
          <w:rFonts w:ascii="Times New Roman" w:hAnsi="Times New Roman" w:cs="Times New Roman"/>
        </w:rPr>
        <w:t>. New South Wales Ministry of Health; 2021. Accessed September 16, 2021. www.health.nsw.gov.au</w:t>
      </w:r>
    </w:p>
    <w:p w14:paraId="2837EBAD" w14:textId="77777777" w:rsidR="005D3271" w:rsidRPr="002928C5" w:rsidRDefault="005D3271" w:rsidP="002928C5">
      <w:pPr>
        <w:pStyle w:val="ListParagraph"/>
        <w:numPr>
          <w:ilvl w:val="0"/>
          <w:numId w:val="128"/>
        </w:numPr>
        <w:spacing w:before="0" w:after="0" w:line="360" w:lineRule="auto"/>
        <w:rPr>
          <w:rFonts w:ascii="Times New Roman" w:hAnsi="Times New Roman" w:cs="Times New Roman"/>
        </w:rPr>
      </w:pPr>
      <w:r w:rsidRPr="002928C5">
        <w:rPr>
          <w:rFonts w:ascii="Times New Roman" w:hAnsi="Times New Roman" w:cs="Times New Roman"/>
        </w:rPr>
        <w:t xml:space="preserve">Ordean A, Wong S, Graves L. SOGC Clinical Practice Guideline: No. 349-Substance Use in Pregnancy. </w:t>
      </w:r>
      <w:r w:rsidRPr="002928C5">
        <w:rPr>
          <w:rFonts w:ascii="Times New Roman" w:hAnsi="Times New Roman" w:cs="Times New Roman"/>
          <w:i/>
        </w:rPr>
        <w:t>J Obstet Gynaecol Can</w:t>
      </w:r>
      <w:r w:rsidRPr="002928C5">
        <w:rPr>
          <w:rFonts w:ascii="Times New Roman" w:hAnsi="Times New Roman" w:cs="Times New Roman"/>
        </w:rPr>
        <w:t>. 2017;39(10):922-937. doi:10.1016/j.jogc.2017.04.028</w:t>
      </w:r>
    </w:p>
    <w:p w14:paraId="0459217F" w14:textId="77777777" w:rsidR="005D3271" w:rsidRPr="002928C5" w:rsidRDefault="005D3271" w:rsidP="002928C5">
      <w:pPr>
        <w:pStyle w:val="ListParagraph"/>
        <w:numPr>
          <w:ilvl w:val="0"/>
          <w:numId w:val="128"/>
        </w:numPr>
        <w:spacing w:before="0" w:after="0" w:line="360" w:lineRule="auto"/>
        <w:rPr>
          <w:rFonts w:ascii="Times New Roman" w:hAnsi="Times New Roman" w:cs="Times New Roman"/>
        </w:rPr>
      </w:pPr>
      <w:r w:rsidRPr="002928C5">
        <w:rPr>
          <w:rFonts w:ascii="Times New Roman" w:hAnsi="Times New Roman" w:cs="Times New Roman"/>
        </w:rPr>
        <w:t xml:space="preserve">The Royal Women’s Hospital. </w:t>
      </w:r>
      <w:r w:rsidRPr="002928C5">
        <w:rPr>
          <w:rFonts w:ascii="Times New Roman" w:hAnsi="Times New Roman" w:cs="Times New Roman"/>
          <w:i/>
        </w:rPr>
        <w:t>Management of Methamphetamine Dependence in Pregnancy</w:t>
      </w:r>
      <w:r w:rsidRPr="002928C5">
        <w:rPr>
          <w:rFonts w:ascii="Times New Roman" w:hAnsi="Times New Roman" w:cs="Times New Roman"/>
        </w:rPr>
        <w:t xml:space="preserve">.; 2017:8. Accessed September 16, 2021. </w:t>
      </w:r>
      <w:r w:rsidRPr="002928C5">
        <w:rPr>
          <w:rFonts w:ascii="Times New Roman" w:hAnsi="Times New Roman" w:cs="Times New Roman"/>
        </w:rPr>
        <w:lastRenderedPageBreak/>
        <w:t>https://thewomens.r.worldssl.net/images/uploads/downloadable-records/clinical-guidelines/drug-and-alcohol-management-methamphetamine-dependence-in-pregnancy_160517.pdf</w:t>
      </w:r>
    </w:p>
    <w:p w14:paraId="6A66A9D9" w14:textId="77777777" w:rsidR="005D3271" w:rsidRPr="002928C5" w:rsidRDefault="005D3271" w:rsidP="002928C5">
      <w:pPr>
        <w:pStyle w:val="ListParagraph"/>
        <w:numPr>
          <w:ilvl w:val="0"/>
          <w:numId w:val="128"/>
        </w:numPr>
        <w:spacing w:before="0" w:after="0" w:line="360" w:lineRule="auto"/>
        <w:rPr>
          <w:rFonts w:ascii="Times New Roman" w:hAnsi="Times New Roman" w:cs="Times New Roman"/>
        </w:rPr>
      </w:pPr>
      <w:r w:rsidRPr="002928C5">
        <w:rPr>
          <w:rFonts w:ascii="Times New Roman" w:hAnsi="Times New Roman" w:cs="Times New Roman"/>
        </w:rPr>
        <w:t xml:space="preserve">The Royal Women’s Hospital. </w:t>
      </w:r>
      <w:r w:rsidRPr="002928C5">
        <w:rPr>
          <w:rFonts w:ascii="Times New Roman" w:hAnsi="Times New Roman" w:cs="Times New Roman"/>
          <w:i/>
        </w:rPr>
        <w:t>Management of Methamphetamine Dependence in Pregnancy</w:t>
      </w:r>
      <w:r w:rsidRPr="002928C5">
        <w:rPr>
          <w:rFonts w:ascii="Times New Roman" w:hAnsi="Times New Roman" w:cs="Times New Roman"/>
        </w:rPr>
        <w:t>.; 2017:8. Accessed September 16, 2021. https://thewomens.r.worldssl.net/images/uploads/downloadable-records/clinical-guidelines/drug-and-alcohol-management-methamphetamine-dependence-in-pregnancy_160517.pdf</w:t>
      </w:r>
    </w:p>
    <w:p w14:paraId="7F8EEA2E" w14:textId="77777777" w:rsidR="005D3271" w:rsidRPr="002928C5" w:rsidRDefault="005D3271" w:rsidP="002928C5">
      <w:pPr>
        <w:pStyle w:val="ListParagraph"/>
        <w:numPr>
          <w:ilvl w:val="0"/>
          <w:numId w:val="128"/>
        </w:numPr>
        <w:spacing w:before="0" w:after="0" w:line="360" w:lineRule="auto"/>
        <w:rPr>
          <w:rFonts w:ascii="Times New Roman" w:hAnsi="Times New Roman" w:cs="Times New Roman"/>
        </w:rPr>
      </w:pPr>
      <w:r w:rsidRPr="002928C5">
        <w:rPr>
          <w:rFonts w:ascii="Times New Roman" w:hAnsi="Times New Roman" w:cs="Times New Roman"/>
        </w:rPr>
        <w:t xml:space="preserve">World Health Organization. </w:t>
      </w:r>
      <w:r w:rsidRPr="002928C5">
        <w:rPr>
          <w:rFonts w:ascii="Times New Roman" w:hAnsi="Times New Roman" w:cs="Times New Roman"/>
          <w:i/>
        </w:rPr>
        <w:t>Guidelines for the Identification and Management of Substance Use and Substance Use Disorders in Pregnancy</w:t>
      </w:r>
      <w:r w:rsidRPr="002928C5">
        <w:rPr>
          <w:rFonts w:ascii="Times New Roman" w:hAnsi="Times New Roman" w:cs="Times New Roman"/>
        </w:rPr>
        <w:t>. World Health Organization; 2014. Accessed September 16, 2021. https://apps.who.int/iris/handle/10665/107130</w:t>
      </w:r>
    </w:p>
    <w:p w14:paraId="28BAECAF" w14:textId="77777777" w:rsidR="005D3271" w:rsidRPr="007D4CB3" w:rsidRDefault="005D3271" w:rsidP="002928C5">
      <w:pPr>
        <w:pStyle w:val="Heading3-backmatter"/>
        <w:spacing w:before="0" w:after="0" w:line="360" w:lineRule="auto"/>
        <w:rPr>
          <w:rFonts w:ascii="Times New Roman" w:hAnsi="Times New Roman" w:cs="Times New Roman"/>
          <w:sz w:val="24"/>
        </w:rPr>
      </w:pPr>
      <w:r w:rsidRPr="007D4CB3">
        <w:rPr>
          <w:rFonts w:ascii="Times New Roman" w:hAnsi="Times New Roman" w:cs="Times New Roman"/>
          <w:sz w:val="24"/>
        </w:rPr>
        <w:t>Rural Health</w:t>
      </w:r>
    </w:p>
    <w:p w14:paraId="2616C6B9" w14:textId="77777777" w:rsidR="005D3271" w:rsidRPr="002928C5" w:rsidRDefault="005D3271" w:rsidP="002928C5">
      <w:pPr>
        <w:pStyle w:val="ListParagraph"/>
        <w:numPr>
          <w:ilvl w:val="0"/>
          <w:numId w:val="127"/>
        </w:numPr>
        <w:spacing w:before="0" w:after="0" w:line="360" w:lineRule="auto"/>
        <w:rPr>
          <w:rFonts w:ascii="Times New Roman" w:hAnsi="Times New Roman" w:cs="Times New Roman"/>
        </w:rPr>
      </w:pPr>
      <w:r w:rsidRPr="002928C5">
        <w:rPr>
          <w:rFonts w:ascii="Times New Roman" w:hAnsi="Times New Roman" w:cs="Times New Roman"/>
        </w:rPr>
        <w:t xml:space="preserve">Substance Abuse and Mental Health Services Administration. </w:t>
      </w:r>
      <w:r w:rsidRPr="002928C5">
        <w:rPr>
          <w:rFonts w:ascii="Times New Roman" w:hAnsi="Times New Roman" w:cs="Times New Roman"/>
          <w:i/>
        </w:rPr>
        <w:t>Rural Behavioral Health: Telehealth Challenges and Opportunities.</w:t>
      </w:r>
      <w:r w:rsidRPr="002928C5">
        <w:rPr>
          <w:rFonts w:ascii="Times New Roman" w:hAnsi="Times New Roman" w:cs="Times New Roman"/>
        </w:rPr>
        <w:t>SMA16-4989. SAMHSA; 2016. https://store.samhsa.gov/product/SMA16-4989</w:t>
      </w:r>
    </w:p>
    <w:p w14:paraId="52D2762E" w14:textId="77777777" w:rsidR="005D3271" w:rsidRPr="007D4CB3" w:rsidRDefault="005D3271" w:rsidP="002928C5">
      <w:pPr>
        <w:pStyle w:val="Heading3-backmatter"/>
        <w:spacing w:before="0" w:after="0" w:line="360" w:lineRule="auto"/>
        <w:rPr>
          <w:rFonts w:ascii="Times New Roman" w:hAnsi="Times New Roman" w:cs="Times New Roman"/>
          <w:sz w:val="24"/>
        </w:rPr>
      </w:pPr>
      <w:r w:rsidRPr="007D4CB3">
        <w:rPr>
          <w:rFonts w:ascii="Times New Roman" w:hAnsi="Times New Roman" w:cs="Times New Roman"/>
          <w:sz w:val="24"/>
        </w:rPr>
        <w:t>Screening</w:t>
      </w:r>
    </w:p>
    <w:p w14:paraId="6F0CADC8" w14:textId="421200E3" w:rsidR="005D3271" w:rsidRPr="002928C5" w:rsidRDefault="005D3271" w:rsidP="002928C5">
      <w:pPr>
        <w:pStyle w:val="ListParagraph"/>
        <w:numPr>
          <w:ilvl w:val="0"/>
          <w:numId w:val="126"/>
        </w:numPr>
        <w:spacing w:before="0" w:after="0" w:line="360" w:lineRule="auto"/>
        <w:rPr>
          <w:rFonts w:ascii="Times New Roman" w:hAnsi="Times New Roman" w:cs="Times New Roman"/>
        </w:rPr>
      </w:pPr>
      <w:r w:rsidRPr="002928C5">
        <w:rPr>
          <w:rFonts w:ascii="Times New Roman" w:hAnsi="Times New Roman" w:cs="Times New Roman"/>
        </w:rPr>
        <w:t>Patnode CD, Perdue LA, Rushkin M, O’Connor EA. Screening for Unhealthy Drug Use in Primary Care in Adolescents and Adults, Including Pregnant Persons: Updated Systematic Review for the U</w:t>
      </w:r>
      <w:r w:rsidR="009E5819" w:rsidRPr="002928C5">
        <w:rPr>
          <w:rFonts w:ascii="Times New Roman" w:hAnsi="Times New Roman" w:cs="Times New Roman"/>
        </w:rPr>
        <w:t>S</w:t>
      </w:r>
      <w:r w:rsidRPr="002928C5">
        <w:rPr>
          <w:rFonts w:ascii="Times New Roman" w:hAnsi="Times New Roman" w:cs="Times New Roman"/>
        </w:rPr>
        <w:t xml:space="preserve"> Preventive Services Task Force. Agency for Healthcare Research and Quality; 2020. Accessed April 29, 2022. </w:t>
      </w:r>
      <w:hyperlink r:id="rId36" w:history="1">
        <w:r w:rsidRPr="002928C5">
          <w:rPr>
            <w:rFonts w:ascii="Times New Roman" w:hAnsi="Times New Roman" w:cs="Times New Roman"/>
          </w:rPr>
          <w:t>http://www.ncbi.nlm.nih.gov/books/NBK558174/</w:t>
        </w:r>
      </w:hyperlink>
    </w:p>
    <w:p w14:paraId="5473C126" w14:textId="77777777" w:rsidR="005D3271" w:rsidRPr="002928C5" w:rsidRDefault="005D3271" w:rsidP="002928C5">
      <w:pPr>
        <w:pStyle w:val="ListParagraph"/>
        <w:numPr>
          <w:ilvl w:val="0"/>
          <w:numId w:val="126"/>
        </w:numPr>
        <w:spacing w:before="0" w:after="0" w:line="360" w:lineRule="auto"/>
        <w:rPr>
          <w:rFonts w:ascii="Times New Roman" w:hAnsi="Times New Roman" w:cs="Times New Roman"/>
        </w:rPr>
      </w:pPr>
      <w:r w:rsidRPr="002928C5">
        <w:rPr>
          <w:rFonts w:ascii="Times New Roman" w:hAnsi="Times New Roman" w:cs="Times New Roman"/>
        </w:rPr>
        <w:t xml:space="preserve">Substance Abuse and Mental Health Services Administration. </w:t>
      </w:r>
      <w:r w:rsidRPr="002928C5">
        <w:rPr>
          <w:rFonts w:ascii="Times New Roman" w:hAnsi="Times New Roman" w:cs="Times New Roman"/>
          <w:i/>
        </w:rPr>
        <w:t>TIP 31: Screening and Assessing Adolescents for Substance Use Disorders.</w:t>
      </w:r>
      <w:r w:rsidRPr="002928C5">
        <w:rPr>
          <w:rFonts w:ascii="Times New Roman" w:hAnsi="Times New Roman" w:cs="Times New Roman"/>
        </w:rPr>
        <w:t xml:space="preserve"> SMA12-4079. SAMHSA; 2012. https://store.samhsa.gov/product/TIP-31-Screening-and-Assessing-Adolescents-for-Substance-Use-Disorders/SMA12-4079</w:t>
      </w:r>
    </w:p>
    <w:p w14:paraId="13B8DBBF" w14:textId="77777777" w:rsidR="00E5640A" w:rsidRPr="007D4CB3" w:rsidRDefault="00E5640A" w:rsidP="002928C5">
      <w:pPr>
        <w:pStyle w:val="Heading3-backmatter"/>
        <w:spacing w:before="0" w:after="0" w:line="360" w:lineRule="auto"/>
        <w:rPr>
          <w:rFonts w:ascii="Times New Roman" w:hAnsi="Times New Roman" w:cs="Times New Roman"/>
          <w:sz w:val="24"/>
        </w:rPr>
      </w:pPr>
      <w:r w:rsidRPr="007D4CB3">
        <w:rPr>
          <w:rFonts w:ascii="Times New Roman" w:hAnsi="Times New Roman" w:cs="Times New Roman"/>
          <w:sz w:val="24"/>
        </w:rPr>
        <w:t>Sexual and Gender Minorities</w:t>
      </w:r>
    </w:p>
    <w:p w14:paraId="35D2D979" w14:textId="24EF0416" w:rsidR="00E5640A" w:rsidRPr="002928C5" w:rsidRDefault="00E5640A" w:rsidP="002928C5">
      <w:pPr>
        <w:pStyle w:val="ListParagraph"/>
        <w:numPr>
          <w:ilvl w:val="0"/>
          <w:numId w:val="125"/>
        </w:numPr>
        <w:spacing w:before="0" w:after="0" w:line="360" w:lineRule="auto"/>
        <w:rPr>
          <w:rFonts w:ascii="Times New Roman" w:hAnsi="Times New Roman" w:cs="Times New Roman"/>
        </w:rPr>
      </w:pPr>
      <w:r w:rsidRPr="002928C5">
        <w:rPr>
          <w:rFonts w:ascii="Times New Roman" w:hAnsi="Times New Roman" w:cs="Times New Roman"/>
        </w:rPr>
        <w:t xml:space="preserve">Shoptaw S, Reback CJ, Peck JA, Larkins S, Freese TE, Rawson RA. </w:t>
      </w:r>
      <w:r w:rsidRPr="002928C5">
        <w:rPr>
          <w:rFonts w:ascii="Times New Roman" w:hAnsi="Times New Roman" w:cs="Times New Roman"/>
          <w:i/>
        </w:rPr>
        <w:t>Getting Off: A Behavioral Treatment Intervention for Gay and Bisexual Methamphetamine Users</w:t>
      </w:r>
      <w:r w:rsidRPr="002928C5">
        <w:rPr>
          <w:rFonts w:ascii="Times New Roman" w:hAnsi="Times New Roman" w:cs="Times New Roman"/>
        </w:rPr>
        <w:t>. Friends Research Institute; 2005.</w:t>
      </w:r>
      <w:r w:rsidR="002928C5" w:rsidRPr="002928C5">
        <w:rPr>
          <w:rFonts w:ascii="Times New Roman" w:hAnsi="Times New Roman" w:cs="Times New Roman"/>
        </w:rPr>
        <w:t xml:space="preserve"> </w:t>
      </w:r>
      <w:r w:rsidRPr="002928C5">
        <w:rPr>
          <w:rFonts w:ascii="Times New Roman" w:hAnsi="Times New Roman" w:cs="Times New Roman"/>
        </w:rPr>
        <w:t>https://static1.squarespace.com/static/5a1dda626957daf4c4f9a3bb/t/5acfa2feaa4a99ae7ba12201/1523557136162/GettingOff_Intervention.pdf</w:t>
      </w:r>
    </w:p>
    <w:p w14:paraId="74EDBB70" w14:textId="77777777" w:rsidR="00E5640A" w:rsidRPr="002928C5" w:rsidRDefault="00E5640A" w:rsidP="002928C5">
      <w:pPr>
        <w:pStyle w:val="ListParagraph"/>
        <w:numPr>
          <w:ilvl w:val="0"/>
          <w:numId w:val="125"/>
        </w:numPr>
        <w:spacing w:before="0" w:after="0" w:line="360" w:lineRule="auto"/>
        <w:rPr>
          <w:rFonts w:ascii="Times New Roman" w:hAnsi="Times New Roman" w:cs="Times New Roman"/>
        </w:rPr>
      </w:pPr>
      <w:r w:rsidRPr="002928C5">
        <w:rPr>
          <w:rFonts w:ascii="Times New Roman" w:hAnsi="Times New Roman" w:cs="Times New Roman"/>
        </w:rPr>
        <w:lastRenderedPageBreak/>
        <w:t>Substance Abuse and Mental Health Services Administration. Lesbian, Gay, Bisexual, Transgender, Queer, and Intersex (LGBTQI+) Resources. SAMHSA. Updated April 24, 2023. Accessed July 14, 2023. https://www.samhsa.gov/behavioral-health-equity/lgbtqi</w:t>
      </w:r>
    </w:p>
    <w:p w14:paraId="5F3CB8A3" w14:textId="77777777" w:rsidR="00E5640A" w:rsidRPr="002928C5" w:rsidRDefault="00E5640A" w:rsidP="002928C5">
      <w:pPr>
        <w:pStyle w:val="ListParagraph"/>
        <w:numPr>
          <w:ilvl w:val="0"/>
          <w:numId w:val="125"/>
        </w:numPr>
        <w:spacing w:before="0" w:after="0" w:line="360" w:lineRule="auto"/>
        <w:rPr>
          <w:rFonts w:ascii="Times New Roman" w:hAnsi="Times New Roman" w:cs="Times New Roman"/>
        </w:rPr>
      </w:pPr>
      <w:r w:rsidRPr="002928C5">
        <w:rPr>
          <w:rFonts w:ascii="Times New Roman" w:hAnsi="Times New Roman" w:cs="Times New Roman"/>
        </w:rPr>
        <w:t xml:space="preserve">Substance Abuse and Mental Health Services Administration. </w:t>
      </w:r>
      <w:r w:rsidRPr="002928C5">
        <w:rPr>
          <w:rFonts w:ascii="Times New Roman" w:hAnsi="Times New Roman" w:cs="Times New Roman"/>
          <w:i/>
        </w:rPr>
        <w:t>A Provider’s Introduction to Substance Abuse Treatment for Lesbian, Gay, Bisexual, and Transgender Individuals</w:t>
      </w:r>
      <w:r w:rsidRPr="002928C5">
        <w:rPr>
          <w:rFonts w:ascii="Times New Roman" w:hAnsi="Times New Roman" w:cs="Times New Roman"/>
        </w:rPr>
        <w:t>. SMA12-4104. SAMHSA; 2012. https://store.samhsa.gov/product/Providers-Introduction-Substance-Abuse-Treatment-Lesbian-Gay-Bisexual-Transgender/SMA12-4104</w:t>
      </w:r>
    </w:p>
    <w:p w14:paraId="37843648" w14:textId="77777777" w:rsidR="00E5640A" w:rsidRPr="002928C5" w:rsidRDefault="00E5640A" w:rsidP="002928C5">
      <w:pPr>
        <w:pStyle w:val="ListParagraph"/>
        <w:numPr>
          <w:ilvl w:val="0"/>
          <w:numId w:val="125"/>
        </w:numPr>
        <w:spacing w:before="0" w:after="0" w:line="360" w:lineRule="auto"/>
        <w:rPr>
          <w:rFonts w:ascii="Times New Roman" w:hAnsi="Times New Roman" w:cs="Times New Roman"/>
        </w:rPr>
      </w:pPr>
      <w:r w:rsidRPr="002928C5">
        <w:rPr>
          <w:rFonts w:ascii="Times New Roman" w:hAnsi="Times New Roman" w:cs="Times New Roman"/>
        </w:rPr>
        <w:t>Thorne Harbour Health. Policy and Practice Recommendations: for alcohol and other drugs (AOD) Service providers supporting the Trans and Gender Diverse (TGD) community. VAC/ VAADA. https://cdn.thorneharbour.org/media/documents/0b41c684-vac2503-tgd-support-reference-guide-06-web.pdf</w:t>
      </w:r>
    </w:p>
    <w:p w14:paraId="662345AA" w14:textId="77777777" w:rsidR="00E5640A" w:rsidRPr="002928C5" w:rsidRDefault="00E5640A" w:rsidP="002928C5">
      <w:pPr>
        <w:pStyle w:val="ListParagraph"/>
        <w:numPr>
          <w:ilvl w:val="0"/>
          <w:numId w:val="125"/>
        </w:numPr>
        <w:spacing w:before="0" w:after="0" w:line="360" w:lineRule="auto"/>
        <w:rPr>
          <w:rFonts w:ascii="Times New Roman" w:hAnsi="Times New Roman" w:cs="Times New Roman"/>
        </w:rPr>
      </w:pPr>
      <w:r w:rsidRPr="002928C5">
        <w:rPr>
          <w:rFonts w:ascii="Times New Roman" w:hAnsi="Times New Roman" w:cs="Times New Roman"/>
        </w:rPr>
        <w:t xml:space="preserve">University of Melbourne. Building sensitivity to LGBT clients accessing alcohol and drug care – An online training module for healthcare providers. </w:t>
      </w:r>
      <w:hyperlink r:id="rId37" w:history="1">
        <w:r w:rsidRPr="002928C5">
          <w:rPr>
            <w:rFonts w:ascii="Times New Roman" w:hAnsi="Times New Roman" w:cs="Times New Roman"/>
          </w:rPr>
          <w:t>https://edtech.le.unimelb.edu.au/login/lgbt/</w:t>
        </w:r>
      </w:hyperlink>
    </w:p>
    <w:p w14:paraId="77C5B36E" w14:textId="77777777" w:rsidR="005D3271" w:rsidRPr="007D4CB3" w:rsidRDefault="005D3271" w:rsidP="002928C5">
      <w:pPr>
        <w:pStyle w:val="Heading3-backmatter"/>
        <w:spacing w:before="0" w:after="0" w:line="360" w:lineRule="auto"/>
        <w:rPr>
          <w:rFonts w:ascii="Times New Roman" w:hAnsi="Times New Roman" w:cs="Times New Roman"/>
          <w:sz w:val="24"/>
        </w:rPr>
      </w:pPr>
      <w:r w:rsidRPr="007D4CB3">
        <w:rPr>
          <w:rFonts w:ascii="Times New Roman" w:hAnsi="Times New Roman" w:cs="Times New Roman"/>
          <w:sz w:val="24"/>
        </w:rPr>
        <w:t>Sleep</w:t>
      </w:r>
    </w:p>
    <w:p w14:paraId="768180FD" w14:textId="77777777" w:rsidR="005D3271" w:rsidRPr="002928C5" w:rsidRDefault="005D3271" w:rsidP="002928C5">
      <w:pPr>
        <w:pStyle w:val="ListParagraph"/>
        <w:numPr>
          <w:ilvl w:val="0"/>
          <w:numId w:val="124"/>
        </w:numPr>
        <w:spacing w:before="0" w:after="0" w:line="360" w:lineRule="auto"/>
        <w:rPr>
          <w:rFonts w:ascii="Times New Roman" w:hAnsi="Times New Roman" w:cs="Times New Roman"/>
        </w:rPr>
      </w:pPr>
      <w:r w:rsidRPr="002928C5">
        <w:rPr>
          <w:rFonts w:ascii="Times New Roman" w:hAnsi="Times New Roman" w:cs="Times New Roman"/>
        </w:rPr>
        <w:t xml:space="preserve">Sleep problems-Insomnia Management Kit. Drug and Alcohol Services South Australia (DASSA). Accessed May 6, 2022. https://www.sahealth.sa.gov.au/wps/wcm/connect/Public+Content/SA+Health+Internet/Services/Mental+Health+and+Drug+and+Alcohol+Services/Drug+and+Alcohol+Services/For+health+professionals+DASSA/Sleep+problems+-+Insomnia+Management+Kit </w:t>
      </w:r>
    </w:p>
    <w:p w14:paraId="613E57D4" w14:textId="77777777" w:rsidR="005D3271" w:rsidRPr="002928C5" w:rsidRDefault="005D3271" w:rsidP="002928C5">
      <w:pPr>
        <w:pStyle w:val="ListParagraph"/>
        <w:numPr>
          <w:ilvl w:val="0"/>
          <w:numId w:val="124"/>
        </w:numPr>
        <w:spacing w:before="0" w:after="0" w:line="360" w:lineRule="auto"/>
        <w:rPr>
          <w:rFonts w:ascii="Times New Roman" w:hAnsi="Times New Roman" w:cs="Times New Roman"/>
        </w:rPr>
      </w:pPr>
      <w:r w:rsidRPr="002928C5">
        <w:rPr>
          <w:rFonts w:ascii="Times New Roman" w:hAnsi="Times New Roman" w:cs="Times New Roman"/>
        </w:rPr>
        <w:t xml:space="preserve">Substance Abuse and Mental Health Services Administration. </w:t>
      </w:r>
      <w:r w:rsidRPr="002928C5">
        <w:rPr>
          <w:rFonts w:ascii="Times New Roman" w:hAnsi="Times New Roman" w:cs="Times New Roman"/>
          <w:i/>
        </w:rPr>
        <w:t>Treating Sleep Problems of People in Recovery From Substance Use Disorders</w:t>
      </w:r>
      <w:r w:rsidRPr="002928C5">
        <w:rPr>
          <w:rFonts w:ascii="Times New Roman" w:hAnsi="Times New Roman" w:cs="Times New Roman"/>
        </w:rPr>
        <w:t xml:space="preserve">. SMA14-4859. SAMHSA; 2014. </w:t>
      </w:r>
      <w:hyperlink r:id="rId38" w:history="1">
        <w:r w:rsidRPr="002928C5">
          <w:rPr>
            <w:rFonts w:ascii="Times New Roman" w:hAnsi="Times New Roman" w:cs="Times New Roman"/>
          </w:rPr>
          <w:t>https://store.samhsa.gov/product/Treating-Sleep-Problems-of-People-in-Recovery-From-Substance-Use-Disorders/SMA14-4859</w:t>
        </w:r>
      </w:hyperlink>
    </w:p>
    <w:p w14:paraId="2FBC4BD7" w14:textId="77777777" w:rsidR="005D3271" w:rsidRPr="007D4CB3" w:rsidRDefault="005D3271" w:rsidP="002928C5">
      <w:pPr>
        <w:pStyle w:val="Heading3-backmatter"/>
        <w:spacing w:before="0" w:after="0" w:line="360" w:lineRule="auto"/>
        <w:rPr>
          <w:rFonts w:ascii="Times New Roman" w:hAnsi="Times New Roman" w:cs="Times New Roman"/>
          <w:sz w:val="24"/>
        </w:rPr>
      </w:pPr>
      <w:r w:rsidRPr="007D4CB3">
        <w:rPr>
          <w:rFonts w:ascii="Times New Roman" w:hAnsi="Times New Roman" w:cs="Times New Roman"/>
          <w:sz w:val="24"/>
        </w:rPr>
        <w:t>Suicide</w:t>
      </w:r>
    </w:p>
    <w:p w14:paraId="65B63931" w14:textId="77777777" w:rsidR="005D3271" w:rsidRPr="002928C5" w:rsidRDefault="005D3271" w:rsidP="002928C5">
      <w:pPr>
        <w:pStyle w:val="ListParagraph"/>
        <w:numPr>
          <w:ilvl w:val="0"/>
          <w:numId w:val="123"/>
        </w:numPr>
        <w:spacing w:before="0" w:after="0" w:line="360" w:lineRule="auto"/>
        <w:rPr>
          <w:rFonts w:ascii="Times New Roman" w:hAnsi="Times New Roman" w:cs="Times New Roman"/>
        </w:rPr>
      </w:pPr>
      <w:r w:rsidRPr="002928C5">
        <w:rPr>
          <w:rFonts w:ascii="Times New Roman" w:hAnsi="Times New Roman" w:cs="Times New Roman"/>
        </w:rPr>
        <w:t xml:space="preserve">The Suicide Prevention Resource Center. Accessed June 27, 2023. </w:t>
      </w:r>
      <w:hyperlink r:id="rId39" w:history="1">
        <w:r w:rsidRPr="002928C5">
          <w:rPr>
            <w:rFonts w:ascii="Times New Roman" w:hAnsi="Times New Roman" w:cs="Times New Roman"/>
          </w:rPr>
          <w:t>https://sprc.org/</w:t>
        </w:r>
      </w:hyperlink>
    </w:p>
    <w:p w14:paraId="1ABCEE96" w14:textId="77777777" w:rsidR="005D3271" w:rsidRPr="002928C5" w:rsidRDefault="005D3271" w:rsidP="002928C5">
      <w:pPr>
        <w:pStyle w:val="ListParagraph"/>
        <w:numPr>
          <w:ilvl w:val="0"/>
          <w:numId w:val="123"/>
        </w:numPr>
        <w:spacing w:before="0" w:after="0" w:line="360" w:lineRule="auto"/>
        <w:rPr>
          <w:rFonts w:ascii="Times New Roman" w:hAnsi="Times New Roman" w:cs="Times New Roman"/>
        </w:rPr>
      </w:pPr>
      <w:r w:rsidRPr="002928C5">
        <w:rPr>
          <w:rFonts w:ascii="Times New Roman" w:eastAsia="Calibri" w:hAnsi="Times New Roman" w:cs="Times New Roman"/>
          <w:color w:val="000000" w:themeColor="text1"/>
        </w:rPr>
        <w:t xml:space="preserve">Substance Abuse and Mental Health Services. </w:t>
      </w:r>
      <w:r w:rsidRPr="002928C5">
        <w:rPr>
          <w:rFonts w:ascii="Times New Roman" w:hAnsi="Times New Roman" w:cs="Times New Roman"/>
        </w:rPr>
        <w:t xml:space="preserve">988 Suicide and Crisis Lifeline. SAMHSA. Updated April 24, 2023. Accessed June 27, 2023. </w:t>
      </w:r>
      <w:hyperlink r:id="rId40" w:history="1">
        <w:r w:rsidRPr="002928C5">
          <w:rPr>
            <w:rFonts w:ascii="Times New Roman" w:hAnsi="Times New Roman" w:cs="Times New Roman"/>
          </w:rPr>
          <w:t>https://www.samhsa.gov/find-help/988</w:t>
        </w:r>
      </w:hyperlink>
    </w:p>
    <w:p w14:paraId="5D19A58A" w14:textId="77777777" w:rsidR="005D3271" w:rsidRPr="002928C5" w:rsidRDefault="005D3271" w:rsidP="002928C5">
      <w:pPr>
        <w:pStyle w:val="ListParagraph"/>
        <w:numPr>
          <w:ilvl w:val="0"/>
          <w:numId w:val="123"/>
        </w:numPr>
        <w:spacing w:before="0" w:after="0" w:line="360" w:lineRule="auto"/>
        <w:rPr>
          <w:rFonts w:ascii="Times New Roman" w:hAnsi="Times New Roman" w:cs="Times New Roman"/>
        </w:rPr>
      </w:pPr>
      <w:r w:rsidRPr="002928C5">
        <w:rPr>
          <w:rFonts w:ascii="Times New Roman" w:hAnsi="Times New Roman" w:cs="Times New Roman"/>
        </w:rPr>
        <w:lastRenderedPageBreak/>
        <w:t xml:space="preserve">Substance Abuse and Mental Health Services Administration. </w:t>
      </w:r>
      <w:r w:rsidRPr="002928C5">
        <w:rPr>
          <w:rFonts w:ascii="Times New Roman" w:hAnsi="Times New Roman" w:cs="Times New Roman"/>
          <w:i/>
        </w:rPr>
        <w:t>Suicide Assessment Five-step Evaluation and Triage (SAFE-T)</w:t>
      </w:r>
      <w:r w:rsidRPr="002928C5">
        <w:rPr>
          <w:rFonts w:ascii="Times New Roman" w:hAnsi="Times New Roman" w:cs="Times New Roman"/>
        </w:rPr>
        <w:t>. SMA09-4432. SAMHSA;2009. https://store.samhsa.gov/sites/default/files/sma09-4432.pdf</w:t>
      </w:r>
    </w:p>
    <w:p w14:paraId="3BF0900D" w14:textId="77777777" w:rsidR="005D3271" w:rsidRPr="007D4CB3" w:rsidRDefault="005D3271" w:rsidP="002928C5">
      <w:pPr>
        <w:pStyle w:val="Heading3-backmatter"/>
        <w:spacing w:before="0" w:after="0" w:line="360" w:lineRule="auto"/>
        <w:rPr>
          <w:rFonts w:ascii="Times New Roman" w:hAnsi="Times New Roman" w:cs="Times New Roman"/>
          <w:sz w:val="24"/>
        </w:rPr>
      </w:pPr>
      <w:r w:rsidRPr="007D4CB3">
        <w:rPr>
          <w:rFonts w:ascii="Times New Roman" w:hAnsi="Times New Roman" w:cs="Times New Roman"/>
          <w:sz w:val="24"/>
        </w:rPr>
        <w:t>Trauma-Informed Care</w:t>
      </w:r>
    </w:p>
    <w:p w14:paraId="16D3124D" w14:textId="77777777" w:rsidR="005D3271" w:rsidRPr="002928C5" w:rsidRDefault="005D3271" w:rsidP="002928C5">
      <w:pPr>
        <w:pStyle w:val="ListParagraph"/>
        <w:numPr>
          <w:ilvl w:val="0"/>
          <w:numId w:val="122"/>
        </w:numPr>
        <w:spacing w:before="0" w:after="0" w:line="360" w:lineRule="auto"/>
        <w:rPr>
          <w:rFonts w:ascii="Times New Roman" w:hAnsi="Times New Roman" w:cs="Times New Roman"/>
        </w:rPr>
      </w:pPr>
      <w:r w:rsidRPr="002928C5">
        <w:rPr>
          <w:rFonts w:ascii="Times New Roman" w:hAnsi="Times New Roman" w:cs="Times New Roman"/>
        </w:rPr>
        <w:t xml:space="preserve">Centers for Disease Control and Prevention. Sexual Violence. CDC; 2022. </w:t>
      </w:r>
      <w:hyperlink r:id="rId41" w:history="1">
        <w:r w:rsidRPr="002928C5">
          <w:rPr>
            <w:rFonts w:ascii="Times New Roman" w:hAnsi="Times New Roman" w:cs="Times New Roman"/>
          </w:rPr>
          <w:t>https://www.cdc.gov/violenceprevention/sexualviolence/index.html</w:t>
        </w:r>
      </w:hyperlink>
      <w:r w:rsidRPr="002928C5">
        <w:rPr>
          <w:rFonts w:ascii="Times New Roman" w:hAnsi="Times New Roman" w:cs="Times New Roman"/>
        </w:rPr>
        <w:t xml:space="preserve"> </w:t>
      </w:r>
    </w:p>
    <w:p w14:paraId="3A71C3B4" w14:textId="77777777" w:rsidR="005D3271" w:rsidRPr="002928C5" w:rsidRDefault="005D3271" w:rsidP="002928C5">
      <w:pPr>
        <w:pStyle w:val="ListParagraph"/>
        <w:numPr>
          <w:ilvl w:val="0"/>
          <w:numId w:val="122"/>
        </w:numPr>
        <w:spacing w:before="0" w:after="0" w:line="360" w:lineRule="auto"/>
        <w:rPr>
          <w:rFonts w:ascii="Times New Roman" w:hAnsi="Times New Roman" w:cs="Times New Roman"/>
        </w:rPr>
      </w:pPr>
      <w:r w:rsidRPr="002928C5">
        <w:rPr>
          <w:rFonts w:ascii="Times New Roman" w:hAnsi="Times New Roman" w:cs="Times New Roman"/>
        </w:rPr>
        <w:t>Centers for Disease Control and Prevention. Sexual Violence Resources. CDC; 2022. https://www.cdc.gov/violenceprevention/sexualviolence/resources.html</w:t>
      </w:r>
    </w:p>
    <w:p w14:paraId="396D9EEB" w14:textId="77777777" w:rsidR="005D3271" w:rsidRPr="002928C5" w:rsidRDefault="005D3271" w:rsidP="002928C5">
      <w:pPr>
        <w:pStyle w:val="ListParagraph"/>
        <w:numPr>
          <w:ilvl w:val="0"/>
          <w:numId w:val="122"/>
        </w:numPr>
        <w:spacing w:before="0" w:after="0" w:line="360" w:lineRule="auto"/>
        <w:rPr>
          <w:rFonts w:ascii="Times New Roman" w:hAnsi="Times New Roman" w:cs="Times New Roman"/>
        </w:rPr>
      </w:pPr>
      <w:r w:rsidRPr="002928C5">
        <w:rPr>
          <w:rFonts w:ascii="Times New Roman" w:hAnsi="Times New Roman" w:cs="Times New Roman"/>
        </w:rPr>
        <w:t>Curry SJ, Krist AH, Owens DK, et al; US Preventive Services Task Force. Screening for intimate partner violence, elder abuse, and abuse of vulnerable adults: US Preventive Services Task Force recommendation statement. JAMA. 2018;320(16):1678-1687. doi:10.1001/jama.2018.14741</w:t>
      </w:r>
    </w:p>
    <w:p w14:paraId="3D765EA2" w14:textId="77777777" w:rsidR="005D3271" w:rsidRPr="002928C5" w:rsidRDefault="005D3271" w:rsidP="002928C5">
      <w:pPr>
        <w:pStyle w:val="ListParagraph"/>
        <w:numPr>
          <w:ilvl w:val="0"/>
          <w:numId w:val="122"/>
        </w:numPr>
        <w:spacing w:before="0" w:after="0" w:line="360" w:lineRule="auto"/>
        <w:rPr>
          <w:rFonts w:ascii="Times New Roman" w:hAnsi="Times New Roman" w:cs="Times New Roman"/>
        </w:rPr>
      </w:pPr>
      <w:r w:rsidRPr="002928C5">
        <w:rPr>
          <w:rFonts w:ascii="Times New Roman" w:eastAsia="Calibri" w:hAnsi="Times New Roman" w:cs="Times New Roman"/>
          <w:color w:val="000000" w:themeColor="text1"/>
        </w:rPr>
        <w:t>Substance Abuse and Mental Health Services Administration.</w:t>
      </w:r>
      <w:r w:rsidRPr="002928C5">
        <w:rPr>
          <w:rFonts w:ascii="Times New Roman" w:hAnsi="Times New Roman" w:cs="Times New Roman"/>
        </w:rPr>
        <w:t xml:space="preserve"> </w:t>
      </w:r>
      <w:r w:rsidRPr="002928C5">
        <w:rPr>
          <w:rFonts w:ascii="Times New Roman" w:hAnsi="Times New Roman" w:cs="Times New Roman"/>
          <w:i/>
        </w:rPr>
        <w:t>TIP 57: Trauma-Informed Care in Behavioral Health Services.</w:t>
      </w:r>
      <w:r w:rsidRPr="002928C5">
        <w:rPr>
          <w:rFonts w:ascii="Times New Roman" w:hAnsi="Times New Roman" w:cs="Times New Roman"/>
        </w:rPr>
        <w:t xml:space="preserve"> SMA14-4816. SAMHSA; 2014. https:// store.samhsa.gov/product/TIP-57-TraumaTreatment for Stimulant Use Disorders Informed-Care-in-Behavioral-Health-Services/ SMA14-4816).</w:t>
      </w:r>
    </w:p>
    <w:p w14:paraId="01194EB6" w14:textId="77777777" w:rsidR="005D3271" w:rsidRPr="002928C5" w:rsidRDefault="005D3271" w:rsidP="002928C5">
      <w:pPr>
        <w:pStyle w:val="ListParagraph"/>
        <w:numPr>
          <w:ilvl w:val="0"/>
          <w:numId w:val="122"/>
        </w:numPr>
        <w:spacing w:before="0" w:after="0" w:line="360" w:lineRule="auto"/>
        <w:rPr>
          <w:rFonts w:ascii="Times New Roman" w:hAnsi="Times New Roman" w:cs="Times New Roman"/>
        </w:rPr>
      </w:pPr>
      <w:r w:rsidRPr="002928C5">
        <w:rPr>
          <w:rFonts w:ascii="Times New Roman" w:eastAsia="Calibri" w:hAnsi="Times New Roman" w:cs="Times New Roman"/>
          <w:color w:val="000000" w:themeColor="text1"/>
        </w:rPr>
        <w:t>Substance Abuse and Mental Health Services Administration.</w:t>
      </w:r>
      <w:r w:rsidRPr="002928C5">
        <w:rPr>
          <w:rFonts w:ascii="Times New Roman" w:hAnsi="Times New Roman" w:cs="Times New Roman"/>
        </w:rPr>
        <w:t xml:space="preserve"> </w:t>
      </w:r>
      <w:r w:rsidRPr="002928C5">
        <w:rPr>
          <w:rFonts w:ascii="Times New Roman" w:hAnsi="Times New Roman" w:cs="Times New Roman"/>
          <w:i/>
        </w:rPr>
        <w:t>SAMHSA’s Concept of Trauma and Guidance for a Trauma-Informed Approach</w:t>
      </w:r>
      <w:r w:rsidRPr="002928C5">
        <w:rPr>
          <w:rFonts w:ascii="Times New Roman" w:hAnsi="Times New Roman" w:cs="Times New Roman"/>
        </w:rPr>
        <w:t xml:space="preserve">. SMA14-4884. SAMHSA; 2014. https://store.samhsa.gov/product/SAMHSA-s-Concept-of-Trauma-and-Guidance-for-a-Trauma-Informed-Approach/SMA14-4884 </w:t>
      </w:r>
    </w:p>
    <w:p w14:paraId="42ED5823" w14:textId="218971DA" w:rsidR="005D3271" w:rsidRPr="002928C5" w:rsidRDefault="005D3271" w:rsidP="002928C5">
      <w:pPr>
        <w:pStyle w:val="ListParagraph"/>
        <w:numPr>
          <w:ilvl w:val="0"/>
          <w:numId w:val="122"/>
        </w:numPr>
        <w:spacing w:before="0" w:after="0" w:line="360" w:lineRule="auto"/>
        <w:rPr>
          <w:rFonts w:ascii="Times New Roman" w:hAnsi="Times New Roman" w:cs="Times New Roman"/>
        </w:rPr>
      </w:pPr>
      <w:r w:rsidRPr="002928C5">
        <w:rPr>
          <w:rFonts w:ascii="Times New Roman" w:hAnsi="Times New Roman" w:cs="Times New Roman"/>
        </w:rPr>
        <w:t>U</w:t>
      </w:r>
      <w:r w:rsidR="009E5819" w:rsidRPr="002928C5">
        <w:rPr>
          <w:rFonts w:ascii="Times New Roman" w:hAnsi="Times New Roman" w:cs="Times New Roman"/>
        </w:rPr>
        <w:t>S</w:t>
      </w:r>
      <w:r w:rsidRPr="002928C5">
        <w:rPr>
          <w:rFonts w:ascii="Times New Roman" w:hAnsi="Times New Roman" w:cs="Times New Roman"/>
        </w:rPr>
        <w:t xml:space="preserve"> Department of Veterans Affairs. </w:t>
      </w:r>
      <w:r w:rsidRPr="002928C5">
        <w:rPr>
          <w:rFonts w:ascii="Times New Roman" w:hAnsi="Times New Roman" w:cs="Times New Roman"/>
          <w:i/>
        </w:rPr>
        <w:t>PTSD: National Center for PTSD</w:t>
      </w:r>
      <w:r w:rsidRPr="002928C5">
        <w:rPr>
          <w:rFonts w:ascii="Times New Roman" w:hAnsi="Times New Roman" w:cs="Times New Roman"/>
        </w:rPr>
        <w:t>. VA;2023. https://www.ptsd. va.gov/professional/index.asp</w:t>
      </w:r>
    </w:p>
    <w:p w14:paraId="265AFD27" w14:textId="77777777" w:rsidR="005D3271" w:rsidRPr="007D4CB3" w:rsidRDefault="005D3271" w:rsidP="002928C5">
      <w:pPr>
        <w:pStyle w:val="Heading3-backmatter"/>
        <w:spacing w:before="0" w:after="0" w:line="360" w:lineRule="auto"/>
        <w:rPr>
          <w:rFonts w:ascii="Times New Roman" w:hAnsi="Times New Roman" w:cs="Times New Roman"/>
          <w:sz w:val="24"/>
        </w:rPr>
      </w:pPr>
      <w:r w:rsidRPr="007D4CB3">
        <w:rPr>
          <w:rFonts w:ascii="Times New Roman" w:hAnsi="Times New Roman" w:cs="Times New Roman"/>
          <w:sz w:val="24"/>
        </w:rPr>
        <w:t>Violence</w:t>
      </w:r>
    </w:p>
    <w:p w14:paraId="0BAE7639" w14:textId="77777777" w:rsidR="005D3271" w:rsidRPr="002928C5" w:rsidRDefault="005D3271" w:rsidP="002928C5">
      <w:pPr>
        <w:pStyle w:val="ListParagraph"/>
        <w:numPr>
          <w:ilvl w:val="0"/>
          <w:numId w:val="121"/>
        </w:numPr>
        <w:spacing w:before="0" w:after="0" w:line="360" w:lineRule="auto"/>
        <w:rPr>
          <w:rFonts w:ascii="Times New Roman" w:hAnsi="Times New Roman" w:cs="Times New Roman"/>
        </w:rPr>
      </w:pPr>
      <w:r w:rsidRPr="002928C5">
        <w:rPr>
          <w:rFonts w:ascii="Times New Roman" w:hAnsi="Times New Roman" w:cs="Times New Roman"/>
        </w:rPr>
        <w:t xml:space="preserve">National Institute for Health and Care Excellence. </w:t>
      </w:r>
      <w:r w:rsidRPr="002928C5">
        <w:rPr>
          <w:rFonts w:ascii="Times New Roman" w:hAnsi="Times New Roman" w:cs="Times New Roman"/>
          <w:i/>
        </w:rPr>
        <w:t xml:space="preserve">Violence and Aggression: Short-Term Management in Mental Health, </w:t>
      </w:r>
      <w:proofErr w:type="gramStart"/>
      <w:r w:rsidRPr="002928C5">
        <w:rPr>
          <w:rFonts w:ascii="Times New Roman" w:hAnsi="Times New Roman" w:cs="Times New Roman"/>
          <w:i/>
        </w:rPr>
        <w:t>Health</w:t>
      </w:r>
      <w:proofErr w:type="gramEnd"/>
      <w:r w:rsidRPr="002928C5">
        <w:rPr>
          <w:rFonts w:ascii="Times New Roman" w:hAnsi="Times New Roman" w:cs="Times New Roman"/>
          <w:i/>
        </w:rPr>
        <w:t xml:space="preserve"> and Community Settings</w:t>
      </w:r>
      <w:r w:rsidRPr="002928C5">
        <w:rPr>
          <w:rFonts w:ascii="Times New Roman" w:hAnsi="Times New Roman" w:cs="Times New Roman"/>
        </w:rPr>
        <w:t>. Guideline NG10. National Institute for Health and Care Excellence (NICE); 2015.</w:t>
      </w:r>
    </w:p>
    <w:p w14:paraId="3EFA0CE6" w14:textId="77777777" w:rsidR="005D3271" w:rsidRPr="007D4CB3" w:rsidRDefault="005D3271" w:rsidP="002928C5">
      <w:pPr>
        <w:pStyle w:val="ListParagraph"/>
        <w:spacing w:before="0" w:after="0" w:line="360" w:lineRule="auto"/>
        <w:ind w:left="0"/>
        <w:rPr>
          <w:rFonts w:ascii="Times New Roman" w:hAnsi="Times New Roman" w:cs="Times New Roman"/>
        </w:rPr>
        <w:sectPr w:rsidR="005D3271" w:rsidRPr="007D4CB3" w:rsidSect="00E6227A">
          <w:footnotePr>
            <w:numFmt w:val="chicago"/>
          </w:footnotePr>
          <w:type w:val="continuous"/>
          <w:pgSz w:w="12240" w:h="15840"/>
          <w:pgMar w:top="1440" w:right="1440" w:bottom="1440" w:left="1440" w:header="720" w:footer="720" w:gutter="0"/>
          <w:cols w:space="720"/>
          <w:docGrid w:linePitch="360"/>
        </w:sectPr>
      </w:pPr>
    </w:p>
    <w:p w14:paraId="7A533B37" w14:textId="77777777" w:rsidR="00107741" w:rsidRPr="007D4CB3" w:rsidRDefault="00107741" w:rsidP="002928C5">
      <w:pPr>
        <w:spacing w:before="0" w:after="0" w:line="360" w:lineRule="auto"/>
        <w:ind w:left="360" w:firstLine="360"/>
        <w:rPr>
          <w:rFonts w:ascii="Times New Roman" w:hAnsi="Times New Roman" w:cs="Times New Roman"/>
          <w:b/>
          <w:bCs/>
        </w:rPr>
      </w:pPr>
      <w:bookmarkStart w:id="20" w:name="_Toc144381390"/>
      <w:r w:rsidRPr="007D4CB3">
        <w:rPr>
          <w:rFonts w:ascii="Times New Roman" w:hAnsi="Times New Roman" w:cs="Times New Roman"/>
        </w:rPr>
        <w:br w:type="page"/>
      </w:r>
    </w:p>
    <w:p w14:paraId="0F0EC720" w14:textId="566BA2D9" w:rsidR="005D3271" w:rsidRPr="007D4CB3" w:rsidRDefault="005D3271" w:rsidP="00FC7CE6">
      <w:pPr>
        <w:pStyle w:val="Heading1"/>
        <w:spacing w:before="0" w:after="0" w:line="360" w:lineRule="auto"/>
        <w:rPr>
          <w:rFonts w:ascii="Times New Roman" w:hAnsi="Times New Roman" w:cs="Times New Roman"/>
          <w:sz w:val="24"/>
          <w:szCs w:val="24"/>
        </w:rPr>
      </w:pPr>
      <w:r w:rsidRPr="007D4CB3">
        <w:rPr>
          <w:rFonts w:ascii="Times New Roman" w:hAnsi="Times New Roman" w:cs="Times New Roman"/>
          <w:sz w:val="24"/>
          <w:szCs w:val="24"/>
        </w:rPr>
        <w:lastRenderedPageBreak/>
        <w:t xml:space="preserve">Appendix </w:t>
      </w:r>
      <w:r w:rsidR="001C37D3" w:rsidRPr="007D4CB3">
        <w:rPr>
          <w:rFonts w:ascii="Times New Roman" w:hAnsi="Times New Roman" w:cs="Times New Roman"/>
          <w:sz w:val="24"/>
          <w:szCs w:val="24"/>
        </w:rPr>
        <w:t>H</w:t>
      </w:r>
      <w:r w:rsidRPr="007D4CB3">
        <w:rPr>
          <w:rFonts w:ascii="Times New Roman" w:hAnsi="Times New Roman" w:cs="Times New Roman"/>
          <w:sz w:val="24"/>
          <w:szCs w:val="24"/>
        </w:rPr>
        <w:t xml:space="preserve">. </w:t>
      </w:r>
      <w:r w:rsidRPr="007D4CB3">
        <w:rPr>
          <w:rStyle w:val="Strong"/>
          <w:rFonts w:ascii="Times New Roman" w:hAnsi="Times New Roman" w:cs="Times New Roman"/>
          <w:b/>
          <w:bCs/>
          <w:sz w:val="24"/>
          <w:szCs w:val="24"/>
        </w:rPr>
        <w:t>Substance Use Disorder Biopsychosocial Assessment</w:t>
      </w:r>
      <w:bookmarkEnd w:id="20"/>
    </w:p>
    <w:p w14:paraId="44F9C0F6" w14:textId="77777777" w:rsidR="005D3271" w:rsidRPr="007D4CB3" w:rsidRDefault="005D3271" w:rsidP="00FC7CE6">
      <w:pPr>
        <w:spacing w:before="0" w:after="0" w:line="360" w:lineRule="auto"/>
        <w:rPr>
          <w:rFonts w:ascii="Times New Roman" w:hAnsi="Times New Roman" w:cs="Times New Roman"/>
        </w:rPr>
      </w:pPr>
      <w:r w:rsidRPr="007D4CB3">
        <w:rPr>
          <w:rFonts w:ascii="Times New Roman" w:hAnsi="Times New Roman" w:cs="Times New Roman"/>
        </w:rPr>
        <w:t xml:space="preserve">In developing this Guideline, the CGC sought to include recommendations that were specific to StUD or of increased importance in the treatment of this illness. However, it is important for clinicians to deliver the full standard of care that should </w:t>
      </w:r>
      <w:proofErr w:type="gramStart"/>
      <w:r w:rsidRPr="007D4CB3">
        <w:rPr>
          <w:rFonts w:ascii="Times New Roman" w:hAnsi="Times New Roman" w:cs="Times New Roman"/>
        </w:rPr>
        <w:t>be provided</w:t>
      </w:r>
      <w:proofErr w:type="gramEnd"/>
      <w:r w:rsidRPr="007D4CB3">
        <w:rPr>
          <w:rFonts w:ascii="Times New Roman" w:hAnsi="Times New Roman" w:cs="Times New Roman"/>
        </w:rPr>
        <w:t xml:space="preserve"> to any patient with SUD, including a full biopsychosocial assessment that evaluates:</w:t>
      </w:r>
    </w:p>
    <w:p w14:paraId="3C6C68E5" w14:textId="62E22172" w:rsidR="005D3271" w:rsidRPr="007D4CB3" w:rsidRDefault="005D3271"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substance use-related risks (</w:t>
      </w:r>
      <w:r w:rsidR="002928C5" w:rsidRPr="007D4CB3">
        <w:rPr>
          <w:rFonts w:ascii="Times New Roman" w:hAnsi="Times New Roman" w:cs="Times New Roman"/>
        </w:rPr>
        <w:t>e.g.</w:t>
      </w:r>
      <w:r w:rsidRPr="007D4CB3">
        <w:rPr>
          <w:rFonts w:ascii="Times New Roman" w:hAnsi="Times New Roman" w:cs="Times New Roman"/>
        </w:rPr>
        <w:t>, risks associated with current patterns of substance use);</w:t>
      </w:r>
    </w:p>
    <w:p w14:paraId="2600F6A1" w14:textId="07C443A8" w:rsidR="005D3271" w:rsidRPr="007D4CB3" w:rsidRDefault="005D3271"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social and environmental factors</w:t>
      </w:r>
      <w:r w:rsidR="00A67737" w:rsidRPr="007D4CB3">
        <w:rPr>
          <w:rFonts w:ascii="Times New Roman" w:hAnsi="Times New Roman" w:cs="Times New Roman"/>
        </w:rPr>
        <w:t>, including SDOH,</w:t>
      </w:r>
      <w:r w:rsidRPr="007D4CB3">
        <w:rPr>
          <w:rFonts w:ascii="Times New Roman" w:hAnsi="Times New Roman" w:cs="Times New Roman"/>
        </w:rPr>
        <w:t xml:space="preserve"> that may impact access to or efficacy of care, such as housing, transportation, and childcare needs, among others;</w:t>
      </w:r>
    </w:p>
    <w:p w14:paraId="0E024560" w14:textId="39F5C3D2" w:rsidR="005D3271" w:rsidRPr="007D4CB3" w:rsidRDefault="005D3271"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trauma-related concerns using trauma-</w:t>
      </w:r>
      <w:r w:rsidR="00616514" w:rsidRPr="007D4CB3">
        <w:rPr>
          <w:rFonts w:ascii="Times New Roman" w:hAnsi="Times New Roman" w:cs="Times New Roman"/>
        </w:rPr>
        <w:t xml:space="preserve">sensitive </w:t>
      </w:r>
      <w:r w:rsidRPr="007D4CB3">
        <w:rPr>
          <w:rFonts w:ascii="Times New Roman" w:hAnsi="Times New Roman" w:cs="Times New Roman"/>
        </w:rPr>
        <w:t>screening practices;</w:t>
      </w:r>
    </w:p>
    <w:p w14:paraId="082C20E9" w14:textId="77777777" w:rsidR="005D3271" w:rsidRPr="007D4CB3" w:rsidRDefault="005D3271"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biomedical comorbidities;</w:t>
      </w:r>
    </w:p>
    <w:p w14:paraId="1FF7447E" w14:textId="77777777" w:rsidR="005D3271" w:rsidRPr="007D4CB3" w:rsidRDefault="005D3271"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post-acute symptoms of withdrawal;</w:t>
      </w:r>
    </w:p>
    <w:p w14:paraId="6C0B51F0" w14:textId="77777777" w:rsidR="005D3271" w:rsidRPr="007D4CB3" w:rsidRDefault="005D3271"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psychiatric comorbidities and psychiatric disorder history;</w:t>
      </w:r>
    </w:p>
    <w:p w14:paraId="09535EEC" w14:textId="066C5A53" w:rsidR="005D3271" w:rsidRPr="007D4CB3" w:rsidRDefault="005D3271"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risk factors for infectious diseases, such as HIV and viral hepatitis (</w:t>
      </w:r>
      <w:r w:rsidR="002928C5" w:rsidRPr="007D4CB3">
        <w:rPr>
          <w:rFonts w:ascii="Times New Roman" w:hAnsi="Times New Roman" w:cs="Times New Roman"/>
        </w:rPr>
        <w:t>e.g.</w:t>
      </w:r>
      <w:r w:rsidRPr="007D4CB3">
        <w:rPr>
          <w:rFonts w:ascii="Times New Roman" w:hAnsi="Times New Roman" w:cs="Times New Roman"/>
        </w:rPr>
        <w:t>, HAV, HBV, HCV), including:</w:t>
      </w:r>
    </w:p>
    <w:p w14:paraId="5E6D4B97" w14:textId="77777777" w:rsidR="005D3271" w:rsidRPr="007D4CB3" w:rsidRDefault="005D3271" w:rsidP="00FC7CE6">
      <w:pPr>
        <w:pStyle w:val="StUDEtDbullets"/>
        <w:numPr>
          <w:ilvl w:val="1"/>
          <w:numId w:val="2"/>
        </w:numPr>
        <w:spacing w:before="0" w:after="0" w:line="360" w:lineRule="auto"/>
        <w:rPr>
          <w:rFonts w:ascii="Times New Roman" w:hAnsi="Times New Roman" w:cs="Times New Roman"/>
        </w:rPr>
      </w:pPr>
      <w:r w:rsidRPr="007D4CB3">
        <w:rPr>
          <w:rFonts w:ascii="Times New Roman" w:hAnsi="Times New Roman" w:cs="Times New Roman"/>
        </w:rPr>
        <w:t>sexual practice history to screen for risky sexual behaviors in accordance with current guidance,</w:t>
      </w:r>
    </w:p>
    <w:p w14:paraId="21F9C11D" w14:textId="77777777" w:rsidR="005D3271" w:rsidRPr="007D4CB3" w:rsidRDefault="005D3271" w:rsidP="00FC7CE6">
      <w:pPr>
        <w:pStyle w:val="StUDEtDbullets"/>
        <w:numPr>
          <w:ilvl w:val="2"/>
          <w:numId w:val="2"/>
        </w:numPr>
        <w:spacing w:before="0" w:after="0" w:line="360" w:lineRule="auto"/>
        <w:rPr>
          <w:rFonts w:ascii="Times New Roman" w:hAnsi="Times New Roman" w:cs="Times New Roman"/>
        </w:rPr>
      </w:pPr>
      <w:r w:rsidRPr="007D4CB3">
        <w:rPr>
          <w:rFonts w:ascii="Times New Roman" w:hAnsi="Times New Roman" w:cs="Times New Roman"/>
        </w:rPr>
        <w:t>When taking a sexual history and addressing risk factors for STI, clinicians should pay particular attention to patient comfort, seek to maximize rapport, and be responsive to the patient's readiness to discuss their sexual practices.</w:t>
      </w:r>
    </w:p>
    <w:p w14:paraId="05724689" w14:textId="77777777" w:rsidR="005D3271" w:rsidRPr="007D4CB3" w:rsidRDefault="005D3271" w:rsidP="00FC7CE6">
      <w:pPr>
        <w:pStyle w:val="StUDEtDbullets"/>
        <w:numPr>
          <w:ilvl w:val="1"/>
          <w:numId w:val="2"/>
        </w:numPr>
        <w:spacing w:before="0" w:after="0" w:line="360" w:lineRule="auto"/>
        <w:rPr>
          <w:rFonts w:ascii="Times New Roman" w:hAnsi="Times New Roman" w:cs="Times New Roman"/>
        </w:rPr>
      </w:pPr>
      <w:r w:rsidRPr="007D4CB3">
        <w:rPr>
          <w:rFonts w:ascii="Times New Roman" w:hAnsi="Times New Roman" w:cs="Times New Roman"/>
        </w:rPr>
        <w:t>injection drug use, and</w:t>
      </w:r>
    </w:p>
    <w:p w14:paraId="0C08B6D0" w14:textId="268397B0" w:rsidR="005D3271" w:rsidRPr="007D4CB3" w:rsidRDefault="005D3271" w:rsidP="00FC7CE6">
      <w:pPr>
        <w:pStyle w:val="StUDEtDbullets"/>
        <w:numPr>
          <w:ilvl w:val="1"/>
          <w:numId w:val="2"/>
        </w:numPr>
        <w:spacing w:before="0" w:after="0" w:line="360" w:lineRule="auto"/>
        <w:rPr>
          <w:rFonts w:ascii="Times New Roman" w:hAnsi="Times New Roman" w:cs="Times New Roman"/>
        </w:rPr>
      </w:pPr>
      <w:r w:rsidRPr="007D4CB3">
        <w:rPr>
          <w:rFonts w:ascii="Times New Roman" w:hAnsi="Times New Roman" w:cs="Times New Roman"/>
        </w:rPr>
        <w:t>shar</w:t>
      </w:r>
      <w:r w:rsidR="006F156D" w:rsidRPr="007D4CB3">
        <w:rPr>
          <w:rFonts w:ascii="Times New Roman" w:hAnsi="Times New Roman" w:cs="Times New Roman"/>
        </w:rPr>
        <w:t>ing</w:t>
      </w:r>
      <w:r w:rsidRPr="007D4CB3">
        <w:rPr>
          <w:rFonts w:ascii="Times New Roman" w:hAnsi="Times New Roman" w:cs="Times New Roman"/>
        </w:rPr>
        <w:t xml:space="preserve"> drug preparation supplies;</w:t>
      </w:r>
    </w:p>
    <w:p w14:paraId="4559F027" w14:textId="2EC1D747" w:rsidR="005D3271" w:rsidRPr="007D4CB3" w:rsidRDefault="005D3271"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co-occurring behavioral addictions and/or compulsions (</w:t>
      </w:r>
      <w:r w:rsidR="002928C5" w:rsidRPr="007D4CB3">
        <w:rPr>
          <w:rFonts w:ascii="Times New Roman" w:hAnsi="Times New Roman" w:cs="Times New Roman"/>
        </w:rPr>
        <w:t>e.g.</w:t>
      </w:r>
      <w:r w:rsidRPr="007D4CB3">
        <w:rPr>
          <w:rFonts w:ascii="Times New Roman" w:hAnsi="Times New Roman" w:cs="Times New Roman"/>
        </w:rPr>
        <w:t>, gambling disorder, internet use, gaming, sex);</w:t>
      </w:r>
    </w:p>
    <w:p w14:paraId="265ED08D" w14:textId="77777777" w:rsidR="005D3271" w:rsidRPr="007D4CB3" w:rsidRDefault="005D3271"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family and/or household substance use, SUDs, and psychiatric histories; and</w:t>
      </w:r>
    </w:p>
    <w:p w14:paraId="1E737689" w14:textId="77777777" w:rsidR="005D3271" w:rsidRPr="007D4CB3" w:rsidRDefault="005D3271"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contraceptive practices and related needs.</w:t>
      </w:r>
    </w:p>
    <w:p w14:paraId="4E9719EB" w14:textId="77777777" w:rsidR="005D3271" w:rsidRPr="007D4CB3" w:rsidRDefault="005D3271" w:rsidP="00FC7CE6">
      <w:pPr>
        <w:spacing w:before="0" w:after="0" w:line="360" w:lineRule="auto"/>
        <w:rPr>
          <w:rFonts w:ascii="Times New Roman" w:hAnsi="Times New Roman" w:cs="Times New Roman"/>
        </w:rPr>
        <w:sectPr w:rsidR="005D3271" w:rsidRPr="007D4CB3" w:rsidSect="00E6227A">
          <w:footnotePr>
            <w:numFmt w:val="chicago"/>
          </w:footnotePr>
          <w:type w:val="continuous"/>
          <w:pgSz w:w="12240" w:h="15840"/>
          <w:pgMar w:top="1440" w:right="1440" w:bottom="1440" w:left="1440" w:header="720" w:footer="720" w:gutter="0"/>
          <w:cols w:space="720"/>
          <w:docGrid w:linePitch="360"/>
        </w:sectPr>
      </w:pPr>
    </w:p>
    <w:p w14:paraId="144696A1" w14:textId="77777777" w:rsidR="00107741" w:rsidRPr="007D4CB3" w:rsidRDefault="00107741" w:rsidP="00FC7CE6">
      <w:pPr>
        <w:spacing w:before="0" w:after="0" w:line="360" w:lineRule="auto"/>
        <w:ind w:left="360" w:firstLine="360"/>
        <w:rPr>
          <w:rFonts w:ascii="Times New Roman" w:hAnsi="Times New Roman" w:cs="Times New Roman"/>
          <w:b/>
          <w:bCs/>
        </w:rPr>
      </w:pPr>
      <w:bookmarkStart w:id="21" w:name="_Toc144381391"/>
      <w:r w:rsidRPr="007D4CB3">
        <w:rPr>
          <w:rFonts w:ascii="Times New Roman" w:hAnsi="Times New Roman" w:cs="Times New Roman"/>
        </w:rPr>
        <w:br w:type="page"/>
      </w:r>
    </w:p>
    <w:p w14:paraId="4C07F3AB" w14:textId="315B3D2C" w:rsidR="005D3271" w:rsidRPr="007D4CB3" w:rsidRDefault="005D3271" w:rsidP="00FC7CE6">
      <w:pPr>
        <w:pStyle w:val="Heading1"/>
        <w:spacing w:before="0" w:after="0" w:line="360" w:lineRule="auto"/>
        <w:rPr>
          <w:rStyle w:val="Strong"/>
          <w:rFonts w:ascii="Times New Roman" w:hAnsi="Times New Roman" w:cs="Times New Roman"/>
          <w:b/>
          <w:sz w:val="24"/>
          <w:szCs w:val="24"/>
        </w:rPr>
      </w:pPr>
      <w:r w:rsidRPr="007D4CB3">
        <w:rPr>
          <w:rFonts w:ascii="Times New Roman" w:hAnsi="Times New Roman" w:cs="Times New Roman"/>
          <w:sz w:val="24"/>
          <w:szCs w:val="24"/>
        </w:rPr>
        <w:lastRenderedPageBreak/>
        <w:t xml:space="preserve">Appendix </w:t>
      </w:r>
      <w:r w:rsidR="001C37D3" w:rsidRPr="007D4CB3">
        <w:rPr>
          <w:rFonts w:ascii="Times New Roman" w:hAnsi="Times New Roman" w:cs="Times New Roman"/>
          <w:sz w:val="24"/>
          <w:szCs w:val="24"/>
        </w:rPr>
        <w:t>I</w:t>
      </w:r>
      <w:r w:rsidRPr="007D4CB3">
        <w:rPr>
          <w:rFonts w:ascii="Times New Roman" w:hAnsi="Times New Roman" w:cs="Times New Roman"/>
          <w:sz w:val="24"/>
          <w:szCs w:val="24"/>
        </w:rPr>
        <w:t xml:space="preserve">. </w:t>
      </w:r>
      <w:r w:rsidRPr="007D4CB3">
        <w:rPr>
          <w:rStyle w:val="Strong"/>
          <w:rFonts w:ascii="Times New Roman" w:hAnsi="Times New Roman" w:cs="Times New Roman"/>
          <w:b/>
          <w:sz w:val="24"/>
          <w:szCs w:val="24"/>
        </w:rPr>
        <w:t xml:space="preserve">Baseline </w:t>
      </w:r>
      <w:r w:rsidRPr="007D4CB3">
        <w:rPr>
          <w:rStyle w:val="Strong"/>
          <w:rFonts w:ascii="Times New Roman" w:hAnsi="Times New Roman" w:cs="Times New Roman"/>
          <w:b/>
          <w:bCs/>
          <w:sz w:val="24"/>
          <w:szCs w:val="24"/>
        </w:rPr>
        <w:t>Laboratory Testing</w:t>
      </w:r>
      <w:bookmarkEnd w:id="21"/>
    </w:p>
    <w:p w14:paraId="681BC60E" w14:textId="43768E36" w:rsidR="005D3271" w:rsidRPr="007D4CB3" w:rsidRDefault="005D3271" w:rsidP="00FC7CE6">
      <w:pPr>
        <w:spacing w:before="0" w:after="0" w:line="360" w:lineRule="auto"/>
        <w:rPr>
          <w:rFonts w:ascii="Times New Roman" w:hAnsi="Times New Roman" w:cs="Times New Roman"/>
        </w:rPr>
      </w:pPr>
      <w:r w:rsidRPr="007D4CB3">
        <w:rPr>
          <w:rFonts w:ascii="Times New Roman" w:hAnsi="Times New Roman" w:cs="Times New Roman"/>
        </w:rPr>
        <w:t xml:space="preserve">In developing this Guideline, the CGC sought to include recommendations that were specific to StUD or of increased importance in the treatment of this illness. However, it is important for clinicians to deliver the full standard of care that should </w:t>
      </w:r>
      <w:proofErr w:type="gramStart"/>
      <w:r w:rsidRPr="007D4CB3">
        <w:rPr>
          <w:rFonts w:ascii="Times New Roman" w:hAnsi="Times New Roman" w:cs="Times New Roman"/>
        </w:rPr>
        <w:t>be provided</w:t>
      </w:r>
      <w:proofErr w:type="gramEnd"/>
      <w:r w:rsidRPr="007D4CB3">
        <w:rPr>
          <w:rFonts w:ascii="Times New Roman" w:hAnsi="Times New Roman" w:cs="Times New Roman"/>
        </w:rPr>
        <w:t xml:space="preserve"> to any patient with SUD, including routinely ordering baseline laboratory testing for patients with a </w:t>
      </w:r>
      <w:r w:rsidR="00C22733" w:rsidRPr="007D4CB3">
        <w:rPr>
          <w:rFonts w:ascii="Times New Roman" w:hAnsi="Times New Roman" w:cs="Times New Roman"/>
        </w:rPr>
        <w:t>newly diagnosed</w:t>
      </w:r>
      <w:r w:rsidRPr="007D4CB3">
        <w:rPr>
          <w:rFonts w:ascii="Times New Roman" w:hAnsi="Times New Roman" w:cs="Times New Roman"/>
        </w:rPr>
        <w:t xml:space="preserve"> SUD or psychiatric disorder.</w:t>
      </w:r>
    </w:p>
    <w:p w14:paraId="0C89E640" w14:textId="1038B24C" w:rsidR="005D3271" w:rsidRPr="007D4CB3" w:rsidRDefault="005D3271" w:rsidP="00FC7CE6">
      <w:pPr>
        <w:spacing w:before="0" w:after="0" w:line="360" w:lineRule="auto"/>
        <w:rPr>
          <w:rFonts w:ascii="Times New Roman" w:hAnsi="Times New Roman" w:cs="Times New Roman"/>
        </w:rPr>
      </w:pPr>
      <w:r w:rsidRPr="007D4CB3">
        <w:rPr>
          <w:rFonts w:ascii="Times New Roman" w:hAnsi="Times New Roman" w:cs="Times New Roman"/>
        </w:rPr>
        <w:t>In non-acute care settings, clinicians should order the following clinical tests for most patients:</w:t>
      </w:r>
    </w:p>
    <w:p w14:paraId="2152CC97" w14:textId="77777777" w:rsidR="005D3271" w:rsidRPr="007D4CB3" w:rsidRDefault="005D3271"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CBC,</w:t>
      </w:r>
    </w:p>
    <w:p w14:paraId="007F7E32" w14:textId="2F08CAEF" w:rsidR="005D3271" w:rsidRPr="007D4CB3" w:rsidRDefault="005D3271"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CMP (</w:t>
      </w:r>
      <w:r w:rsidR="002928C5" w:rsidRPr="007D4CB3">
        <w:rPr>
          <w:rFonts w:ascii="Times New Roman" w:hAnsi="Times New Roman" w:cs="Times New Roman"/>
        </w:rPr>
        <w:t>e.g.</w:t>
      </w:r>
      <w:r w:rsidRPr="007D4CB3">
        <w:rPr>
          <w:rFonts w:ascii="Times New Roman" w:hAnsi="Times New Roman" w:cs="Times New Roman"/>
        </w:rPr>
        <w:t>, renal panel, LFTs),</w:t>
      </w:r>
    </w:p>
    <w:p w14:paraId="361906A0" w14:textId="77777777" w:rsidR="005D3271" w:rsidRPr="007D4CB3" w:rsidRDefault="005D3271"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screening for infectious diseases in accordance with current guidance,</w:t>
      </w:r>
    </w:p>
    <w:p w14:paraId="79200662" w14:textId="77777777" w:rsidR="005D3271" w:rsidRPr="007D4CB3" w:rsidRDefault="005D3271"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HIV and HCV for all patients,</w:t>
      </w:r>
    </w:p>
    <w:p w14:paraId="5CA1D63C" w14:textId="77777777" w:rsidR="005D3271" w:rsidRPr="007D4CB3" w:rsidRDefault="005D3271"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HBV for patients at increased risk for infection,</w:t>
      </w:r>
    </w:p>
    <w:p w14:paraId="47A4A6B8" w14:textId="51A33BC1" w:rsidR="005D3271" w:rsidRPr="007D4CB3" w:rsidRDefault="005D3271"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screening for STIs (</w:t>
      </w:r>
      <w:r w:rsidR="002928C5" w:rsidRPr="007D4CB3">
        <w:rPr>
          <w:rFonts w:ascii="Times New Roman" w:hAnsi="Times New Roman" w:cs="Times New Roman"/>
        </w:rPr>
        <w:t>e.g.</w:t>
      </w:r>
      <w:r w:rsidRPr="007D4CB3">
        <w:rPr>
          <w:rFonts w:ascii="Times New Roman" w:hAnsi="Times New Roman" w:cs="Times New Roman"/>
        </w:rPr>
        <w:t>, gonorrhea, chlamydia, syphilis), and</w:t>
      </w:r>
    </w:p>
    <w:p w14:paraId="129CC267" w14:textId="77777777" w:rsidR="005D3271" w:rsidRPr="007D4CB3" w:rsidRDefault="005D3271"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pregnancy testing for all patients with childbearing potential.</w:t>
      </w:r>
    </w:p>
    <w:p w14:paraId="22DAAFED" w14:textId="77777777" w:rsidR="005D3271" w:rsidRPr="007D4CB3" w:rsidRDefault="005D3271" w:rsidP="00FC7CE6">
      <w:pPr>
        <w:spacing w:before="0" w:after="0" w:line="360" w:lineRule="auto"/>
        <w:rPr>
          <w:rFonts w:ascii="Times New Roman" w:hAnsi="Times New Roman" w:cs="Times New Roman"/>
        </w:rPr>
      </w:pPr>
      <w:r w:rsidRPr="007D4CB3">
        <w:rPr>
          <w:rFonts w:ascii="Times New Roman" w:hAnsi="Times New Roman" w:cs="Times New Roman"/>
        </w:rPr>
        <w:t>Clinicians can also consider ordering the following clinical tests:</w:t>
      </w:r>
    </w:p>
    <w:p w14:paraId="3A9BEE04" w14:textId="77777777" w:rsidR="005D3271" w:rsidRPr="007D4CB3" w:rsidRDefault="005D3271"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tuberculosis (TB) for patients at increased risk for infection;</w:t>
      </w:r>
    </w:p>
    <w:p w14:paraId="0B06DDE8" w14:textId="77777777" w:rsidR="005D3271" w:rsidRPr="007D4CB3" w:rsidRDefault="005D3271"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HAV for patients at increased risk for infection; and</w:t>
      </w:r>
    </w:p>
    <w:p w14:paraId="217BC794" w14:textId="61F0C7F5" w:rsidR="005D3271" w:rsidRPr="007D4CB3" w:rsidRDefault="005D3271"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other clinical tests as necessary based on clinical assessment, such as CK if signs of rhabdomyolysis are present (</w:t>
      </w:r>
      <w:r w:rsidR="002928C5" w:rsidRPr="007D4CB3">
        <w:rPr>
          <w:rFonts w:ascii="Times New Roman" w:hAnsi="Times New Roman" w:cs="Times New Roman"/>
        </w:rPr>
        <w:t>e.g.</w:t>
      </w:r>
      <w:r w:rsidRPr="007D4CB3">
        <w:rPr>
          <w:rFonts w:ascii="Times New Roman" w:hAnsi="Times New Roman" w:cs="Times New Roman"/>
        </w:rPr>
        <w:t xml:space="preserve">, increased muscle tone/rigidity, </w:t>
      </w:r>
      <w:r w:rsidR="00C231B1" w:rsidRPr="007D4CB3">
        <w:rPr>
          <w:rFonts w:ascii="Times New Roman" w:hAnsi="Times New Roman" w:cs="Times New Roman"/>
        </w:rPr>
        <w:t xml:space="preserve">elevated </w:t>
      </w:r>
      <w:r w:rsidRPr="007D4CB3">
        <w:rPr>
          <w:rFonts w:ascii="Times New Roman" w:hAnsi="Times New Roman" w:cs="Times New Roman"/>
        </w:rPr>
        <w:t>temperature).</w:t>
      </w:r>
    </w:p>
    <w:p w14:paraId="24A43862" w14:textId="77777777" w:rsidR="005D3271" w:rsidRPr="007D4CB3" w:rsidRDefault="005D3271" w:rsidP="00FC7CE6">
      <w:pPr>
        <w:spacing w:before="0" w:after="0" w:line="360" w:lineRule="auto"/>
        <w:rPr>
          <w:rFonts w:ascii="Times New Roman" w:hAnsi="Times New Roman" w:cs="Times New Roman"/>
        </w:rPr>
        <w:sectPr w:rsidR="005D3271" w:rsidRPr="007D4CB3" w:rsidSect="00E6227A">
          <w:footnotePr>
            <w:numFmt w:val="chicago"/>
          </w:footnotePr>
          <w:type w:val="continuous"/>
          <w:pgSz w:w="12240" w:h="15840"/>
          <w:pgMar w:top="1440" w:right="1440" w:bottom="1440" w:left="1440" w:header="720" w:footer="720" w:gutter="0"/>
          <w:cols w:space="720"/>
          <w:docGrid w:linePitch="360"/>
        </w:sectPr>
      </w:pPr>
    </w:p>
    <w:p w14:paraId="6A9F248E" w14:textId="77777777" w:rsidR="00107741" w:rsidRPr="007D4CB3" w:rsidRDefault="00107741" w:rsidP="00FC7CE6">
      <w:pPr>
        <w:spacing w:before="0" w:after="0" w:line="360" w:lineRule="auto"/>
        <w:ind w:left="360" w:firstLine="360"/>
        <w:rPr>
          <w:rFonts w:ascii="Times New Roman" w:hAnsi="Times New Roman" w:cs="Times New Roman"/>
          <w:b/>
          <w:bCs/>
        </w:rPr>
      </w:pPr>
      <w:bookmarkStart w:id="22" w:name="_Toc144381392"/>
      <w:r w:rsidRPr="007D4CB3">
        <w:rPr>
          <w:rFonts w:ascii="Times New Roman" w:hAnsi="Times New Roman" w:cs="Times New Roman"/>
        </w:rPr>
        <w:br w:type="page"/>
      </w:r>
    </w:p>
    <w:p w14:paraId="70869330" w14:textId="24F51E7B" w:rsidR="005D3271" w:rsidRPr="007D4CB3" w:rsidRDefault="005D3271" w:rsidP="00FC7CE6">
      <w:pPr>
        <w:pStyle w:val="Heading1"/>
        <w:spacing w:before="0" w:after="0" w:line="360" w:lineRule="auto"/>
        <w:rPr>
          <w:rFonts w:ascii="Times New Roman" w:hAnsi="Times New Roman" w:cs="Times New Roman"/>
          <w:sz w:val="24"/>
          <w:szCs w:val="24"/>
        </w:rPr>
      </w:pPr>
      <w:r w:rsidRPr="007D4CB3">
        <w:rPr>
          <w:rFonts w:ascii="Times New Roman" w:hAnsi="Times New Roman" w:cs="Times New Roman"/>
          <w:sz w:val="24"/>
          <w:szCs w:val="24"/>
        </w:rPr>
        <w:lastRenderedPageBreak/>
        <w:t xml:space="preserve">Appendix </w:t>
      </w:r>
      <w:r w:rsidR="001C37D3" w:rsidRPr="007D4CB3">
        <w:rPr>
          <w:rFonts w:ascii="Times New Roman" w:hAnsi="Times New Roman" w:cs="Times New Roman"/>
          <w:sz w:val="24"/>
          <w:szCs w:val="24"/>
        </w:rPr>
        <w:t>J</w:t>
      </w:r>
      <w:r w:rsidRPr="007D4CB3">
        <w:rPr>
          <w:rFonts w:ascii="Times New Roman" w:hAnsi="Times New Roman" w:cs="Times New Roman"/>
          <w:sz w:val="24"/>
          <w:szCs w:val="24"/>
        </w:rPr>
        <w:t>. Principles of Drug Testing During Withdrawal Management</w:t>
      </w:r>
      <w:bookmarkEnd w:id="22"/>
    </w:p>
    <w:p w14:paraId="498D7F0B" w14:textId="533D390D" w:rsidR="00876890" w:rsidRPr="007D4CB3" w:rsidRDefault="00876890" w:rsidP="00FC7CE6">
      <w:pPr>
        <w:spacing w:before="0" w:after="0" w:line="360" w:lineRule="auto"/>
        <w:rPr>
          <w:rFonts w:ascii="Times New Roman" w:hAnsi="Times New Roman" w:cs="Times New Roman"/>
        </w:rPr>
      </w:pPr>
      <w:r w:rsidRPr="007D4CB3">
        <w:rPr>
          <w:rFonts w:ascii="Times New Roman" w:hAnsi="Times New Roman" w:cs="Times New Roman"/>
        </w:rPr>
        <w:t xml:space="preserve">This </w:t>
      </w:r>
      <w:r w:rsidR="00121E31" w:rsidRPr="007D4CB3">
        <w:rPr>
          <w:rFonts w:ascii="Times New Roman" w:hAnsi="Times New Roman" w:cs="Times New Roman"/>
        </w:rPr>
        <w:t xml:space="preserve">appendix outlines the major principles </w:t>
      </w:r>
      <w:r w:rsidR="005E7D89" w:rsidRPr="007D4CB3">
        <w:rPr>
          <w:rFonts w:ascii="Times New Roman" w:hAnsi="Times New Roman" w:cs="Times New Roman"/>
        </w:rPr>
        <w:t xml:space="preserve">in ASAM’s </w:t>
      </w:r>
      <w:r w:rsidR="00DA4279" w:rsidRPr="007D4CB3">
        <w:rPr>
          <w:rFonts w:ascii="Times New Roman" w:hAnsi="Times New Roman" w:cs="Times New Roman"/>
          <w:i/>
          <w:iCs/>
        </w:rPr>
        <w:t>Appropriate Use of Drug Testing in Clinical Addiction Medicine</w:t>
      </w:r>
      <w:r w:rsidR="00DA4279" w:rsidRPr="007D4CB3">
        <w:rPr>
          <w:rFonts w:ascii="Times New Roman" w:hAnsi="Times New Roman" w:cs="Times New Roman"/>
        </w:rPr>
        <w:t xml:space="preserve"> consensus statement. For additional guidance, please refer to the full statement.</w:t>
      </w:r>
    </w:p>
    <w:p w14:paraId="75C987EE" w14:textId="77777777" w:rsidR="005D3271" w:rsidRPr="007D4CB3" w:rsidRDefault="005D3271" w:rsidP="00FC7CE6">
      <w:pPr>
        <w:pStyle w:val="StUDRecs"/>
        <w:numPr>
          <w:ilvl w:val="0"/>
          <w:numId w:val="51"/>
        </w:numPr>
        <w:spacing w:before="0" w:after="0" w:line="360" w:lineRule="auto"/>
        <w:rPr>
          <w:rFonts w:ascii="Times New Roman" w:hAnsi="Times New Roman" w:cs="Times New Roman"/>
        </w:rPr>
      </w:pPr>
      <w:r w:rsidRPr="007D4CB3">
        <w:rPr>
          <w:rFonts w:ascii="Times New Roman" w:hAnsi="Times New Roman" w:cs="Times New Roman"/>
        </w:rPr>
        <w:t xml:space="preserve">Drug testing can </w:t>
      </w:r>
      <w:proofErr w:type="gramStart"/>
      <w:r w:rsidRPr="007D4CB3">
        <w:rPr>
          <w:rFonts w:ascii="Times New Roman" w:hAnsi="Times New Roman" w:cs="Times New Roman"/>
        </w:rPr>
        <w:t>be used</w:t>
      </w:r>
      <w:proofErr w:type="gramEnd"/>
      <w:r w:rsidRPr="007D4CB3">
        <w:rPr>
          <w:rFonts w:ascii="Times New Roman" w:hAnsi="Times New Roman" w:cs="Times New Roman"/>
        </w:rPr>
        <w:t xml:space="preserve"> to help inform clinical decision-making for patients with SUD or at risk for substance withdrawal.</w:t>
      </w:r>
    </w:p>
    <w:p w14:paraId="4F709A17" w14:textId="77777777"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Drug testing can neither diagnose nor rule out SUD.</w:t>
      </w:r>
    </w:p>
    <w:p w14:paraId="2DD43C19" w14:textId="5CD4F283"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 xml:space="preserve">Drug test results should </w:t>
      </w:r>
      <w:proofErr w:type="gramStart"/>
      <w:r w:rsidRPr="007D4CB3">
        <w:rPr>
          <w:rFonts w:ascii="Times New Roman" w:hAnsi="Times New Roman" w:cs="Times New Roman"/>
        </w:rPr>
        <w:t>be used</w:t>
      </w:r>
      <w:proofErr w:type="gramEnd"/>
      <w:r w:rsidRPr="007D4CB3">
        <w:rPr>
          <w:rFonts w:ascii="Times New Roman" w:hAnsi="Times New Roman" w:cs="Times New Roman"/>
        </w:rPr>
        <w:t xml:space="preserve"> in combination with patient history, physical exam, and psychosocial assessment to determine the patient’s care plan.</w:t>
      </w:r>
    </w:p>
    <w:p w14:paraId="42125975" w14:textId="77777777"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Drug testing can be an important supplement to patient self-report because patients may not be aware of the composition of the substances they have used.</w:t>
      </w:r>
    </w:p>
    <w:p w14:paraId="54FEB731" w14:textId="2C7DFD71"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 xml:space="preserve">Drug test selection should </w:t>
      </w:r>
      <w:proofErr w:type="gramStart"/>
      <w:r w:rsidRPr="007D4CB3">
        <w:rPr>
          <w:rFonts w:ascii="Times New Roman" w:hAnsi="Times New Roman" w:cs="Times New Roman"/>
        </w:rPr>
        <w:t>be individualized</w:t>
      </w:r>
      <w:proofErr w:type="gramEnd"/>
      <w:r w:rsidRPr="007D4CB3">
        <w:rPr>
          <w:rFonts w:ascii="Times New Roman" w:hAnsi="Times New Roman" w:cs="Times New Roman"/>
        </w:rPr>
        <w:t xml:space="preserve"> based on specific patients and clinical scenarios. Before choosing the type of test and matrix, the clinician should determine the questions they are seeking to answer and consider the benefits and limitations of each test and matrix (</w:t>
      </w:r>
      <w:r w:rsidR="002928C5" w:rsidRPr="007D4CB3">
        <w:rPr>
          <w:rFonts w:ascii="Times New Roman" w:hAnsi="Times New Roman" w:cs="Times New Roman"/>
        </w:rPr>
        <w:t>e.g.</w:t>
      </w:r>
      <w:r w:rsidRPr="007D4CB3">
        <w:rPr>
          <w:rFonts w:ascii="Times New Roman" w:hAnsi="Times New Roman" w:cs="Times New Roman"/>
        </w:rPr>
        <w:t>, urine, blood, saliva, hair). The methods used will impact interpretation of the results:</w:t>
      </w:r>
    </w:p>
    <w:p w14:paraId="4AC6BCE6" w14:textId="3DBB8D26" w:rsidR="005D3271" w:rsidRPr="007D4CB3" w:rsidRDefault="005D3271" w:rsidP="00FC7CE6">
      <w:pPr>
        <w:pStyle w:val="StUDRecs"/>
        <w:numPr>
          <w:ilvl w:val="1"/>
          <w:numId w:val="63"/>
        </w:numPr>
        <w:spacing w:before="0" w:after="0" w:line="360" w:lineRule="auto"/>
        <w:rPr>
          <w:rFonts w:ascii="Times New Roman" w:hAnsi="Times New Roman" w:cs="Times New Roman"/>
        </w:rPr>
      </w:pPr>
      <w:r w:rsidRPr="007D4CB3">
        <w:rPr>
          <w:rFonts w:ascii="Times New Roman" w:hAnsi="Times New Roman" w:cs="Times New Roman"/>
        </w:rPr>
        <w:t>Each matrix has advantages and disadvantages (</w:t>
      </w:r>
      <w:r w:rsidR="002928C5" w:rsidRPr="007D4CB3">
        <w:rPr>
          <w:rFonts w:ascii="Times New Roman" w:hAnsi="Times New Roman" w:cs="Times New Roman"/>
        </w:rPr>
        <w:t>e.g.</w:t>
      </w:r>
      <w:r w:rsidRPr="007D4CB3">
        <w:rPr>
          <w:rFonts w:ascii="Times New Roman" w:hAnsi="Times New Roman" w:cs="Times New Roman"/>
        </w:rPr>
        <w:t>, ease of collection, window of detection, susceptibility to tampering).</w:t>
      </w:r>
    </w:p>
    <w:p w14:paraId="4549A530" w14:textId="77777777" w:rsidR="005D3271" w:rsidRPr="007D4CB3" w:rsidRDefault="005D3271" w:rsidP="00FC7CE6">
      <w:pPr>
        <w:pStyle w:val="StUDRecs"/>
        <w:numPr>
          <w:ilvl w:val="1"/>
          <w:numId w:val="63"/>
        </w:numPr>
        <w:spacing w:before="0" w:after="0" w:line="360" w:lineRule="auto"/>
        <w:rPr>
          <w:rFonts w:ascii="Times New Roman" w:hAnsi="Times New Roman" w:cs="Times New Roman"/>
        </w:rPr>
      </w:pPr>
      <w:r w:rsidRPr="007D4CB3">
        <w:rPr>
          <w:rFonts w:ascii="Times New Roman" w:hAnsi="Times New Roman" w:cs="Times New Roman"/>
        </w:rPr>
        <w:t xml:space="preserve">Tests are designed to measure if specific substances have been used within </w:t>
      </w:r>
      <w:proofErr w:type="gramStart"/>
      <w:r w:rsidRPr="007D4CB3">
        <w:rPr>
          <w:rFonts w:ascii="Times New Roman" w:hAnsi="Times New Roman" w:cs="Times New Roman"/>
        </w:rPr>
        <w:t>particular windows</w:t>
      </w:r>
      <w:proofErr w:type="gramEnd"/>
      <w:r w:rsidRPr="007D4CB3">
        <w:rPr>
          <w:rFonts w:ascii="Times New Roman" w:hAnsi="Times New Roman" w:cs="Times New Roman"/>
        </w:rPr>
        <w:t xml:space="preserve"> of time.</w:t>
      </w:r>
    </w:p>
    <w:p w14:paraId="3552EFEA" w14:textId="77777777" w:rsidR="005D3271" w:rsidRPr="007D4CB3" w:rsidRDefault="005D3271" w:rsidP="00FC7CE6">
      <w:pPr>
        <w:pStyle w:val="StUDRecs"/>
        <w:numPr>
          <w:ilvl w:val="1"/>
          <w:numId w:val="63"/>
        </w:numPr>
        <w:spacing w:before="0" w:after="0" w:line="360" w:lineRule="auto"/>
        <w:rPr>
          <w:rFonts w:ascii="Times New Roman" w:hAnsi="Times New Roman" w:cs="Times New Roman"/>
        </w:rPr>
      </w:pPr>
      <w:r w:rsidRPr="007D4CB3">
        <w:rPr>
          <w:rFonts w:ascii="Times New Roman" w:hAnsi="Times New Roman" w:cs="Times New Roman"/>
        </w:rPr>
        <w:t>Selection of a drug testing panel should be based on the patient’s self-reported use, prescribed medications, and substances commonly used in the geographic area and by the patient’s peer group.</w:t>
      </w:r>
    </w:p>
    <w:p w14:paraId="49CAB6CE" w14:textId="77777777" w:rsidR="005D3271" w:rsidRPr="007D4CB3" w:rsidRDefault="005D3271" w:rsidP="00FC7CE6">
      <w:pPr>
        <w:pStyle w:val="StUDRecs"/>
        <w:numPr>
          <w:ilvl w:val="2"/>
          <w:numId w:val="63"/>
        </w:numPr>
        <w:spacing w:before="0" w:after="0" w:line="360" w:lineRule="auto"/>
        <w:rPr>
          <w:rFonts w:ascii="Times New Roman" w:hAnsi="Times New Roman" w:cs="Times New Roman"/>
        </w:rPr>
      </w:pPr>
      <w:r w:rsidRPr="007D4CB3">
        <w:rPr>
          <w:rFonts w:ascii="Times New Roman" w:hAnsi="Times New Roman" w:cs="Times New Roman"/>
        </w:rPr>
        <w:t xml:space="preserve">Note that </w:t>
      </w:r>
      <w:proofErr w:type="gramStart"/>
      <w:r w:rsidRPr="007D4CB3">
        <w:rPr>
          <w:rFonts w:ascii="Times New Roman" w:hAnsi="Times New Roman" w:cs="Times New Roman"/>
        </w:rPr>
        <w:t>many</w:t>
      </w:r>
      <w:proofErr w:type="gramEnd"/>
      <w:r w:rsidRPr="007D4CB3">
        <w:rPr>
          <w:rFonts w:ascii="Times New Roman" w:hAnsi="Times New Roman" w:cs="Times New Roman"/>
        </w:rPr>
        <w:t xml:space="preserve"> drug test panels do not detect fentanyl and fentanyl analogs.</w:t>
      </w:r>
    </w:p>
    <w:p w14:paraId="00D3CBAA" w14:textId="77777777" w:rsidR="005D3271" w:rsidRPr="007D4CB3" w:rsidRDefault="005D3271" w:rsidP="00FC7CE6">
      <w:pPr>
        <w:pStyle w:val="StUDRecs"/>
        <w:numPr>
          <w:ilvl w:val="1"/>
          <w:numId w:val="63"/>
        </w:numPr>
        <w:spacing w:before="0" w:after="0" w:line="360" w:lineRule="auto"/>
        <w:rPr>
          <w:rFonts w:ascii="Times New Roman" w:hAnsi="Times New Roman" w:cs="Times New Roman"/>
        </w:rPr>
      </w:pPr>
      <w:r w:rsidRPr="007D4CB3">
        <w:rPr>
          <w:rFonts w:ascii="Times New Roman" w:hAnsi="Times New Roman" w:cs="Times New Roman"/>
        </w:rPr>
        <w:t xml:space="preserve">It is important to understand the difference between presumptive drug tests, which </w:t>
      </w:r>
      <w:proofErr w:type="gramStart"/>
      <w:r w:rsidRPr="007D4CB3">
        <w:rPr>
          <w:rFonts w:ascii="Times New Roman" w:hAnsi="Times New Roman" w:cs="Times New Roman"/>
        </w:rPr>
        <w:t>are routinely used</w:t>
      </w:r>
      <w:proofErr w:type="gramEnd"/>
      <w:r w:rsidRPr="007D4CB3">
        <w:rPr>
          <w:rFonts w:ascii="Times New Roman" w:hAnsi="Times New Roman" w:cs="Times New Roman"/>
        </w:rPr>
        <w:t xml:space="preserve"> for point-of-care testing, versus definitive tests, which are used to confirm the results of presumptive tests and rule out false positives.</w:t>
      </w:r>
    </w:p>
    <w:p w14:paraId="5838EF87" w14:textId="77777777" w:rsidR="005D3271" w:rsidRPr="007D4CB3" w:rsidRDefault="005D3271" w:rsidP="00FC7CE6">
      <w:pPr>
        <w:pStyle w:val="StUDRecs"/>
        <w:numPr>
          <w:ilvl w:val="2"/>
          <w:numId w:val="63"/>
        </w:numPr>
        <w:spacing w:before="0" w:after="0" w:line="360" w:lineRule="auto"/>
        <w:rPr>
          <w:rFonts w:ascii="Times New Roman" w:hAnsi="Times New Roman" w:cs="Times New Roman"/>
        </w:rPr>
      </w:pPr>
      <w:r w:rsidRPr="007D4CB3">
        <w:rPr>
          <w:rFonts w:ascii="Times New Roman" w:hAnsi="Times New Roman" w:cs="Times New Roman"/>
        </w:rPr>
        <w:t xml:space="preserve">Definitive testing </w:t>
      </w:r>
      <w:proofErr w:type="gramStart"/>
      <w:r w:rsidRPr="007D4CB3">
        <w:rPr>
          <w:rFonts w:ascii="Times New Roman" w:hAnsi="Times New Roman" w:cs="Times New Roman"/>
        </w:rPr>
        <w:t>is done</w:t>
      </w:r>
      <w:proofErr w:type="gramEnd"/>
      <w:r w:rsidRPr="007D4CB3">
        <w:rPr>
          <w:rFonts w:ascii="Times New Roman" w:hAnsi="Times New Roman" w:cs="Times New Roman"/>
        </w:rPr>
        <w:t xml:space="preserve"> by CLIA-certified laboratories.</w:t>
      </w:r>
    </w:p>
    <w:p w14:paraId="1B4A05C8" w14:textId="0421B6A9"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 xml:space="preserve">Definitive testing should </w:t>
      </w:r>
      <w:proofErr w:type="gramStart"/>
      <w:r w:rsidRPr="007D4CB3">
        <w:rPr>
          <w:rFonts w:ascii="Times New Roman" w:hAnsi="Times New Roman" w:cs="Times New Roman"/>
        </w:rPr>
        <w:t>be used</w:t>
      </w:r>
      <w:proofErr w:type="gramEnd"/>
      <w:r w:rsidRPr="007D4CB3">
        <w:rPr>
          <w:rFonts w:ascii="Times New Roman" w:hAnsi="Times New Roman" w:cs="Times New Roman"/>
        </w:rPr>
        <w:t xml:space="preserve"> when the results inform clinical decisions with major clinical or nonclinical implications for the patient (</w:t>
      </w:r>
      <w:r w:rsidR="002928C5" w:rsidRPr="007D4CB3">
        <w:rPr>
          <w:rFonts w:ascii="Times New Roman" w:hAnsi="Times New Roman" w:cs="Times New Roman"/>
        </w:rPr>
        <w:t>e.g.</w:t>
      </w:r>
      <w:r w:rsidRPr="007D4CB3">
        <w:rPr>
          <w:rFonts w:ascii="Times New Roman" w:hAnsi="Times New Roman" w:cs="Times New Roman"/>
        </w:rPr>
        <w:t>, changes in medications or legal status).</w:t>
      </w:r>
    </w:p>
    <w:p w14:paraId="01CC92A4" w14:textId="2894CB4D"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lastRenderedPageBreak/>
        <w:t xml:space="preserve">Drug test results should </w:t>
      </w:r>
      <w:proofErr w:type="gramStart"/>
      <w:r w:rsidRPr="007D4CB3">
        <w:rPr>
          <w:rFonts w:ascii="Times New Roman" w:hAnsi="Times New Roman" w:cs="Times New Roman"/>
        </w:rPr>
        <w:t>be interpreted</w:t>
      </w:r>
      <w:proofErr w:type="gramEnd"/>
      <w:r w:rsidRPr="007D4CB3">
        <w:rPr>
          <w:rFonts w:ascii="Times New Roman" w:hAnsi="Times New Roman" w:cs="Times New Roman"/>
        </w:rPr>
        <w:t xml:space="preserve"> by a clinician whose scope of practice includes ordering </w:t>
      </w:r>
      <w:r w:rsidR="002443AC" w:rsidRPr="007D4CB3">
        <w:rPr>
          <w:rFonts w:ascii="Times New Roman" w:hAnsi="Times New Roman" w:cs="Times New Roman"/>
        </w:rPr>
        <w:t xml:space="preserve">drug tests </w:t>
      </w:r>
      <w:r w:rsidRPr="007D4CB3">
        <w:rPr>
          <w:rFonts w:ascii="Times New Roman" w:hAnsi="Times New Roman" w:cs="Times New Roman"/>
        </w:rPr>
        <w:t>and interpreting drug test results and who will consider the limitations of the specific test used.</w:t>
      </w:r>
    </w:p>
    <w:p w14:paraId="20224DE9" w14:textId="77777777"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 xml:space="preserve">Discrepancies between patient self-report and drug tests should </w:t>
      </w:r>
      <w:proofErr w:type="gramStart"/>
      <w:r w:rsidRPr="007D4CB3">
        <w:rPr>
          <w:rFonts w:ascii="Times New Roman" w:hAnsi="Times New Roman" w:cs="Times New Roman"/>
        </w:rPr>
        <w:t>be discussed</w:t>
      </w:r>
      <w:proofErr w:type="gramEnd"/>
      <w:r w:rsidRPr="007D4CB3">
        <w:rPr>
          <w:rFonts w:ascii="Times New Roman" w:hAnsi="Times New Roman" w:cs="Times New Roman"/>
        </w:rPr>
        <w:t xml:space="preserve"> with the patient.</w:t>
      </w:r>
    </w:p>
    <w:p w14:paraId="5F139D31" w14:textId="77777777"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Clinicians should keep drug test results confidential to the extent permitted by law.</w:t>
      </w:r>
    </w:p>
    <w:p w14:paraId="0E823E77" w14:textId="77777777" w:rsidR="005D3271" w:rsidRPr="007D4CB3" w:rsidRDefault="005D3271" w:rsidP="00FC7CE6">
      <w:pPr>
        <w:pStyle w:val="StUDRecs"/>
        <w:spacing w:before="0" w:after="0" w:line="360" w:lineRule="auto"/>
        <w:rPr>
          <w:rFonts w:ascii="Times New Roman" w:hAnsi="Times New Roman" w:cs="Times New Roman"/>
        </w:rPr>
      </w:pPr>
      <w:r w:rsidRPr="007D4CB3">
        <w:rPr>
          <w:rFonts w:ascii="Times New Roman" w:hAnsi="Times New Roman" w:cs="Times New Roman"/>
        </w:rPr>
        <w:t xml:space="preserve">Providers should be aware of the adverse legal and social consequences of detecting substance use via drug testing in pregnant patients. The patient should </w:t>
      </w:r>
      <w:proofErr w:type="gramStart"/>
      <w:r w:rsidRPr="007D4CB3">
        <w:rPr>
          <w:rFonts w:ascii="Times New Roman" w:hAnsi="Times New Roman" w:cs="Times New Roman"/>
        </w:rPr>
        <w:t>be made</w:t>
      </w:r>
      <w:proofErr w:type="gramEnd"/>
      <w:r w:rsidRPr="007D4CB3">
        <w:rPr>
          <w:rFonts w:ascii="Times New Roman" w:hAnsi="Times New Roman" w:cs="Times New Roman"/>
        </w:rPr>
        <w:t xml:space="preserve"> aware of local and state reporting requirements before drug tests are conducted.</w:t>
      </w:r>
    </w:p>
    <w:p w14:paraId="35A310A8" w14:textId="77777777" w:rsidR="005D3271" w:rsidRPr="007D4CB3" w:rsidRDefault="005D3271" w:rsidP="00FC7CE6">
      <w:pPr>
        <w:spacing w:before="0" w:after="0" w:line="360" w:lineRule="auto"/>
        <w:rPr>
          <w:rFonts w:ascii="Times New Roman" w:hAnsi="Times New Roman" w:cs="Times New Roman"/>
        </w:rPr>
        <w:sectPr w:rsidR="005D3271" w:rsidRPr="007D4CB3" w:rsidSect="00E6227A">
          <w:footnotePr>
            <w:numFmt w:val="chicago"/>
          </w:footnotePr>
          <w:type w:val="continuous"/>
          <w:pgSz w:w="12240" w:h="15840"/>
          <w:pgMar w:top="1440" w:right="1440" w:bottom="1440" w:left="1440" w:header="720" w:footer="720" w:gutter="0"/>
          <w:cols w:space="720"/>
          <w:docGrid w:linePitch="360"/>
        </w:sectPr>
      </w:pPr>
    </w:p>
    <w:p w14:paraId="788DA415" w14:textId="77777777" w:rsidR="00107741" w:rsidRPr="007D4CB3" w:rsidRDefault="00107741" w:rsidP="00FC7CE6">
      <w:pPr>
        <w:spacing w:before="0" w:after="0" w:line="360" w:lineRule="auto"/>
        <w:ind w:left="360" w:firstLine="360"/>
        <w:rPr>
          <w:rFonts w:ascii="Times New Roman" w:hAnsi="Times New Roman" w:cs="Times New Roman"/>
          <w:b/>
          <w:bCs/>
        </w:rPr>
      </w:pPr>
      <w:bookmarkStart w:id="23" w:name="_Appendix__"/>
      <w:bookmarkStart w:id="24" w:name="_Toc144381393"/>
      <w:bookmarkEnd w:id="23"/>
      <w:r w:rsidRPr="007D4CB3">
        <w:rPr>
          <w:rFonts w:ascii="Times New Roman" w:hAnsi="Times New Roman" w:cs="Times New Roman"/>
        </w:rPr>
        <w:br w:type="page"/>
      </w:r>
    </w:p>
    <w:p w14:paraId="7BA0A957" w14:textId="17905427" w:rsidR="005D3271" w:rsidRPr="007D4CB3" w:rsidRDefault="005D3271" w:rsidP="00FC7CE6">
      <w:pPr>
        <w:pStyle w:val="Heading1"/>
        <w:spacing w:before="0" w:after="0" w:line="360" w:lineRule="auto"/>
        <w:rPr>
          <w:rFonts w:ascii="Times New Roman" w:hAnsi="Times New Roman" w:cs="Times New Roman"/>
          <w:sz w:val="24"/>
          <w:szCs w:val="24"/>
        </w:rPr>
      </w:pPr>
      <w:r w:rsidRPr="007D4CB3">
        <w:rPr>
          <w:rFonts w:ascii="Times New Roman" w:hAnsi="Times New Roman" w:cs="Times New Roman"/>
          <w:sz w:val="24"/>
          <w:szCs w:val="24"/>
        </w:rPr>
        <w:lastRenderedPageBreak/>
        <w:t xml:space="preserve">Appendix </w:t>
      </w:r>
      <w:r w:rsidR="001C37D3" w:rsidRPr="007D4CB3">
        <w:rPr>
          <w:rFonts w:ascii="Times New Roman" w:hAnsi="Times New Roman" w:cs="Times New Roman"/>
          <w:sz w:val="24"/>
          <w:szCs w:val="24"/>
        </w:rPr>
        <w:t>K</w:t>
      </w:r>
      <w:r w:rsidRPr="007D4CB3">
        <w:rPr>
          <w:rFonts w:ascii="Times New Roman" w:hAnsi="Times New Roman" w:cs="Times New Roman"/>
          <w:sz w:val="24"/>
          <w:szCs w:val="24"/>
        </w:rPr>
        <w:t>. Medication Dosing</w:t>
      </w:r>
      <w:bookmarkEnd w:id="24"/>
      <w:r w:rsidR="005D584E" w:rsidRPr="007D4CB3">
        <w:rPr>
          <w:rFonts w:ascii="Times New Roman" w:hAnsi="Times New Roman" w:cs="Times New Roman"/>
          <w:sz w:val="24"/>
          <w:szCs w:val="24"/>
        </w:rPr>
        <w:t xml:space="preserve"> in Clinical Trials</w:t>
      </w:r>
    </w:p>
    <w:p w14:paraId="5D8D5854" w14:textId="055F9D06" w:rsidR="005D3271" w:rsidRPr="007D4CB3" w:rsidRDefault="00B45659" w:rsidP="00FC7CE6">
      <w:pPr>
        <w:spacing w:before="0" w:after="0" w:line="360" w:lineRule="auto"/>
        <w:rPr>
          <w:rFonts w:ascii="Times New Roman" w:hAnsi="Times New Roman" w:cs="Times New Roman"/>
        </w:rPr>
      </w:pPr>
      <w:r w:rsidRPr="007D4CB3">
        <w:rPr>
          <w:rFonts w:ascii="Times New Roman" w:hAnsi="Times New Roman" w:cs="Times New Roman"/>
        </w:rPr>
        <w:t xml:space="preserve">This appendix presents a summary of dosing strategies used in the clinical trials </w:t>
      </w:r>
      <w:r w:rsidR="002928C5" w:rsidRPr="007D4CB3">
        <w:rPr>
          <w:rFonts w:ascii="Times New Roman" w:hAnsi="Times New Roman" w:cs="Times New Roman"/>
        </w:rPr>
        <w:t>reviewed but</w:t>
      </w:r>
      <w:r w:rsidR="00792280" w:rsidRPr="007D4CB3">
        <w:rPr>
          <w:rFonts w:ascii="Times New Roman" w:hAnsi="Times New Roman" w:cs="Times New Roman"/>
        </w:rPr>
        <w:t xml:space="preserve"> </w:t>
      </w:r>
      <w:proofErr w:type="gramStart"/>
      <w:r w:rsidR="00792280" w:rsidRPr="007D4CB3">
        <w:rPr>
          <w:rFonts w:ascii="Times New Roman" w:hAnsi="Times New Roman" w:cs="Times New Roman"/>
        </w:rPr>
        <w:t>is not intended</w:t>
      </w:r>
      <w:proofErr w:type="gramEnd"/>
      <w:r w:rsidR="00792280" w:rsidRPr="007D4CB3">
        <w:rPr>
          <w:rFonts w:ascii="Times New Roman" w:hAnsi="Times New Roman" w:cs="Times New Roman"/>
        </w:rPr>
        <w:t xml:space="preserve"> as a dosing guide.</w:t>
      </w:r>
    </w:p>
    <w:p w14:paraId="1DCAE1AC" w14:textId="39DE339F" w:rsidR="006F039A" w:rsidRPr="007D4CB3" w:rsidRDefault="006F039A" w:rsidP="00FC7CE6">
      <w:pPr>
        <w:spacing w:before="0" w:after="0" w:line="360" w:lineRule="auto"/>
        <w:rPr>
          <w:rFonts w:ascii="Times New Roman" w:hAnsi="Times New Roman" w:cs="Times New Roman"/>
          <w:i/>
          <w:iCs/>
        </w:rPr>
      </w:pPr>
      <w:r w:rsidRPr="007D4CB3">
        <w:rPr>
          <w:rFonts w:ascii="Times New Roman" w:hAnsi="Times New Roman" w:cs="Times New Roman"/>
          <w:i/>
          <w:iCs/>
        </w:rPr>
        <w:t xml:space="preserve">Table 1. Medication Dosing: </w:t>
      </w:r>
      <w:r w:rsidR="002330D4" w:rsidRPr="007D4CB3">
        <w:rPr>
          <w:rFonts w:ascii="Times New Roman" w:hAnsi="Times New Roman" w:cs="Times New Roman"/>
          <w:i/>
          <w:iCs/>
        </w:rPr>
        <w:t>Psychos</w:t>
      </w:r>
      <w:r w:rsidRPr="007D4CB3">
        <w:rPr>
          <w:rFonts w:ascii="Times New Roman" w:hAnsi="Times New Roman" w:cs="Times New Roman"/>
          <w:i/>
          <w:iCs/>
        </w:rPr>
        <w:t xml:space="preserve">timulant </w:t>
      </w:r>
    </w:p>
    <w:tbl>
      <w:tblPr>
        <w:tblStyle w:val="TableGrid"/>
        <w:tblW w:w="10435" w:type="dxa"/>
        <w:tblLook w:val="04A0" w:firstRow="1" w:lastRow="0" w:firstColumn="1" w:lastColumn="0" w:noHBand="0" w:noVBand="1"/>
      </w:tblPr>
      <w:tblGrid>
        <w:gridCol w:w="2673"/>
        <w:gridCol w:w="3427"/>
        <w:gridCol w:w="2085"/>
        <w:gridCol w:w="2250"/>
      </w:tblGrid>
      <w:tr w:rsidR="005D3271" w:rsidRPr="007D4CB3" w14:paraId="6527FE14" w14:textId="77777777" w:rsidTr="008724CD">
        <w:trPr>
          <w:tblHeader/>
        </w:trPr>
        <w:tc>
          <w:tcPr>
            <w:tcW w:w="2673" w:type="dxa"/>
            <w:tcBorders>
              <w:bottom w:val="single" w:sz="4" w:space="0" w:color="auto"/>
            </w:tcBorders>
            <w:shd w:val="clear" w:color="auto" w:fill="D9D9D9" w:themeFill="background1" w:themeFillShade="D9"/>
          </w:tcPr>
          <w:p w14:paraId="128273BF" w14:textId="77777777" w:rsidR="005D3271" w:rsidRPr="007D4CB3" w:rsidRDefault="005D3271" w:rsidP="00FC7CE6">
            <w:pPr>
              <w:pStyle w:val="StUDTableText"/>
              <w:spacing w:before="0" w:after="0" w:line="360" w:lineRule="auto"/>
              <w:rPr>
                <w:rFonts w:ascii="Times New Roman" w:hAnsi="Times New Roman" w:cs="Times New Roman"/>
                <w:b/>
                <w:bCs/>
                <w:sz w:val="24"/>
              </w:rPr>
            </w:pPr>
            <w:r w:rsidRPr="007D4CB3">
              <w:rPr>
                <w:rFonts w:ascii="Times New Roman" w:hAnsi="Times New Roman" w:cs="Times New Roman"/>
                <w:b/>
                <w:bCs/>
                <w:sz w:val="24"/>
              </w:rPr>
              <w:t>Study</w:t>
            </w:r>
          </w:p>
        </w:tc>
        <w:tc>
          <w:tcPr>
            <w:tcW w:w="3427" w:type="dxa"/>
            <w:tcBorders>
              <w:bottom w:val="single" w:sz="4" w:space="0" w:color="auto"/>
            </w:tcBorders>
            <w:shd w:val="clear" w:color="auto" w:fill="D9D9D9" w:themeFill="background1" w:themeFillShade="D9"/>
          </w:tcPr>
          <w:p w14:paraId="319F2913" w14:textId="77777777" w:rsidR="005D3271" w:rsidRPr="007D4CB3" w:rsidRDefault="005D3271" w:rsidP="00FC7CE6">
            <w:pPr>
              <w:pStyle w:val="StUDTableText"/>
              <w:spacing w:before="0" w:after="0" w:line="360" w:lineRule="auto"/>
              <w:rPr>
                <w:rFonts w:ascii="Times New Roman" w:hAnsi="Times New Roman" w:cs="Times New Roman"/>
                <w:b/>
                <w:bCs/>
                <w:sz w:val="24"/>
              </w:rPr>
            </w:pPr>
            <w:r w:rsidRPr="007D4CB3">
              <w:rPr>
                <w:rFonts w:ascii="Times New Roman" w:hAnsi="Times New Roman" w:cs="Times New Roman"/>
                <w:b/>
                <w:bCs/>
                <w:sz w:val="24"/>
              </w:rPr>
              <w:t>Drug</w:t>
            </w:r>
          </w:p>
        </w:tc>
        <w:tc>
          <w:tcPr>
            <w:tcW w:w="2085" w:type="dxa"/>
            <w:tcBorders>
              <w:bottom w:val="single" w:sz="4" w:space="0" w:color="auto"/>
            </w:tcBorders>
            <w:shd w:val="clear" w:color="auto" w:fill="D9D9D9" w:themeFill="background1" w:themeFillShade="D9"/>
          </w:tcPr>
          <w:p w14:paraId="41F78AB4" w14:textId="77777777" w:rsidR="005D3271" w:rsidRPr="007D4CB3" w:rsidRDefault="005D3271" w:rsidP="00FC7CE6">
            <w:pPr>
              <w:pStyle w:val="StUDTableText"/>
              <w:spacing w:before="0" w:after="0" w:line="360" w:lineRule="auto"/>
              <w:rPr>
                <w:rFonts w:ascii="Times New Roman" w:hAnsi="Times New Roman" w:cs="Times New Roman"/>
                <w:b/>
                <w:bCs/>
                <w:sz w:val="24"/>
              </w:rPr>
            </w:pPr>
            <w:r w:rsidRPr="007D4CB3">
              <w:rPr>
                <w:rFonts w:ascii="Times New Roman" w:hAnsi="Times New Roman" w:cs="Times New Roman"/>
                <w:b/>
                <w:bCs/>
                <w:sz w:val="24"/>
              </w:rPr>
              <w:t>Dose</w:t>
            </w:r>
          </w:p>
        </w:tc>
        <w:tc>
          <w:tcPr>
            <w:tcW w:w="2250" w:type="dxa"/>
            <w:tcBorders>
              <w:bottom w:val="single" w:sz="4" w:space="0" w:color="auto"/>
            </w:tcBorders>
            <w:shd w:val="clear" w:color="auto" w:fill="D9D9D9" w:themeFill="background1" w:themeFillShade="D9"/>
          </w:tcPr>
          <w:p w14:paraId="5090FC33" w14:textId="77777777" w:rsidR="005D3271" w:rsidRPr="007D4CB3" w:rsidRDefault="005D3271" w:rsidP="00FC7CE6">
            <w:pPr>
              <w:pStyle w:val="StUDTableText"/>
              <w:spacing w:before="0" w:after="0" w:line="360" w:lineRule="auto"/>
              <w:rPr>
                <w:rFonts w:ascii="Times New Roman" w:hAnsi="Times New Roman" w:cs="Times New Roman"/>
                <w:b/>
                <w:bCs/>
                <w:sz w:val="24"/>
              </w:rPr>
            </w:pPr>
            <w:r w:rsidRPr="007D4CB3">
              <w:rPr>
                <w:rFonts w:ascii="Times New Roman" w:hAnsi="Times New Roman" w:cs="Times New Roman"/>
                <w:b/>
                <w:bCs/>
                <w:sz w:val="24"/>
              </w:rPr>
              <w:t>SUD</w:t>
            </w:r>
          </w:p>
        </w:tc>
      </w:tr>
      <w:tr w:rsidR="008724CD" w:rsidRPr="007D4CB3" w14:paraId="64DD4B20" w14:textId="77777777" w:rsidTr="00795E06">
        <w:tc>
          <w:tcPr>
            <w:tcW w:w="104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E28A37" w14:textId="460AFFA4" w:rsidR="008724CD" w:rsidRPr="007D4CB3" w:rsidRDefault="008724CD"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Modafinil</w:t>
            </w:r>
          </w:p>
        </w:tc>
      </w:tr>
      <w:tr w:rsidR="005D3271" w:rsidRPr="007D4CB3" w14:paraId="736BB972" w14:textId="77777777" w:rsidTr="008724CD">
        <w:tc>
          <w:tcPr>
            <w:tcW w:w="2673" w:type="dxa"/>
            <w:tcBorders>
              <w:top w:val="single" w:sz="4" w:space="0" w:color="auto"/>
            </w:tcBorders>
          </w:tcPr>
          <w:p w14:paraId="4A4B1F08" w14:textId="5F63E7DC"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Anderson et al, 2009</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{"citationID":"HKfhkf1H","properties":{"formattedCitation":"\\super 334\\nosupersub{}","plainCitation":"334","noteIndex":0},"citationItems":[{"id":2983,"uris":["http://zotero.org/groups/4862100/items/NJXU8ICV"],"itemData":{"id":2983,"type":"article-journal","abstract":"Aim\nModafinil was tested for efficacy in facilitating abstinence in cocaine-dependent patients, compared to placebo.\n\nMethods\nThis was a double-blind placebo-controlled study, with 12 weeks of treatment and a 4-week follow-up. Six outpatient substance abuse treatment clinics participated in the study. There were 210 treatment-seekers randomized, having a diagnosis of cocaine dependence; 72 participants were randomized to placebo, 69 to modafinil 200 mg, and 69 to modafinil 400 mg, taken once daily on awakening. Participants came to the clinic three times per week for assessments and urine drug screens, and had one hour of individual psychotherapy weekly. The primary outcome measure was the weekly percentage of cocaine non-use days.\n\nResults\nThe GEE regression analysis showed that for the total sample, there was no significant difference between either modafinil group and placebo in the change in average weekly percent of cocaine non-use days over the 12-week treatment period (p &gt; 0.79). However, two secondary outcomes showed significant effects by modafinil 200 mg: the maximum number of consecutive non-use days for cocaine (p = 0.02), and a reduction in craving (p = 0.04). Also, a post hoc analysis showed a significant effect of modafinil that increased the weekly percentage of non-use days in the subgroup of those cocaine patients who did not have a history of alcohol dependence (p &lt; 0.02).\n\nConclusions\nThese data suggest that modafinil, in combination with individual behavioral therapy, was effective for increasing cocaine non-use days in participants without co-morbid alcohol dependence, and in reducing cocaine craving.","container-title":"Drug and alcohol dependence","DOI":"10.1016/j.drugalcdep.2009.04.015","ISSN":"0376-8716","issue":"1-2","journalAbbreviation":"Drug Alcohol Depend","note":"PMID: 19560290\nPMCID: PMC2818032","page":"133","source":"PubMed Central","title":"Modafinil for the treatment of cocaine dependence","volume":"104","author":[{"family":"Anderson","given":"Ann L."},{"family":"Reid","given":"Malcolm S."},{"family":"Li","given":"Shou-Hua"},{"family":"Holmes","given":"Tyson"},{"family":"Shemanski","given":"Lynn"},{"family":"Slee","given":"April"},{"family":"Smith","given":"Edwina V."},{"family":"Kahn","given":"Roberta"},{"family":"Chiang","given":"Nora"},{"family":"Vocci","given":"Frank"},{"family":"Ciraulo","given":"Domenic"},{"family":"Dackis","given":"Charles"},{"family":"Roache","given":"John D."},{"family":"Salloum","given":"Ihsan M."},{"family":"Somoza","given":"Eugene"},{"family":"Urschel","given":"Harold C."},{"family":"Elkashef","given":"Ahmed M."}],"issued":{"date-parts":[["2009",9,1]]}}}],"schema":"https://github.com/citation-style-language/schema/raw/master/csl-citation.json"}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334</w:t>
            </w:r>
            <w:r w:rsidRPr="007D4CB3">
              <w:rPr>
                <w:rFonts w:ascii="Times New Roman" w:hAnsi="Times New Roman" w:cs="Times New Roman"/>
                <w:sz w:val="24"/>
              </w:rPr>
              <w:fldChar w:fldCharType="end"/>
            </w:r>
          </w:p>
        </w:tc>
        <w:tc>
          <w:tcPr>
            <w:tcW w:w="3427" w:type="dxa"/>
            <w:tcBorders>
              <w:top w:val="single" w:sz="4" w:space="0" w:color="auto"/>
            </w:tcBorders>
          </w:tcPr>
          <w:p w14:paraId="3EF2409C"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Modafinil</w:t>
            </w:r>
          </w:p>
        </w:tc>
        <w:tc>
          <w:tcPr>
            <w:tcW w:w="2085" w:type="dxa"/>
            <w:tcBorders>
              <w:top w:val="single" w:sz="4" w:space="0" w:color="auto"/>
            </w:tcBorders>
          </w:tcPr>
          <w:p w14:paraId="6EA57E2E"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200 mg or 400 mg/day</w:t>
            </w:r>
          </w:p>
        </w:tc>
        <w:tc>
          <w:tcPr>
            <w:tcW w:w="2250" w:type="dxa"/>
            <w:tcBorders>
              <w:top w:val="single" w:sz="4" w:space="0" w:color="auto"/>
            </w:tcBorders>
          </w:tcPr>
          <w:p w14:paraId="5DE69EEC"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Cocaine</w:t>
            </w:r>
          </w:p>
        </w:tc>
      </w:tr>
      <w:tr w:rsidR="005D3271" w:rsidRPr="007D4CB3" w14:paraId="67D0A3B2" w14:textId="77777777">
        <w:tc>
          <w:tcPr>
            <w:tcW w:w="2673" w:type="dxa"/>
          </w:tcPr>
          <w:p w14:paraId="06B631F8" w14:textId="5890272F"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Anderson et al, 2012</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{"citationID":"uypaI6Zm","properties":{"formattedCitation":"\\super 335\\nosupersub{}","plainCitation":"335","noteIndex":0},"citationItems":[{"id":2981,"uris":["http://zotero.org/groups/4862100/items/WTVNAXR7"],"itemData":{"id":2981,"type":"article-journal","abstract":"Aim\nModafinil was tested for efficacy in decreasing use in methamphetamine-dependent participants, compared to placebo.\n\nMethods\nThis was a randomized, double-blind, placebo-controlled study, with 12 weeks of treatment and a 4-week follow-up. Eight outpatient substance abuse treatment clinics participated in the study. There were 210 treatment-seekers randomized, who all had a DSM-IV diagnosis of methamphetamine dependence; 68 participants to placebo, 72 to modafinil 200mg, and 70 to modafinil 400mg, taken once daily on awakening. Participants came to the clinic three times per week for assessments, urine drug screens, and group psychotherapy. The primary outcome measure was a methamphetamine non-use week, which required all the week's qualitative urine drug screens to be negative for methamphetamine.\n\nResults\nRegression analysis showed no significant difference between either modafinil group (200 or 400mg) and placebo in change in weekly percentage having a methamphetamine non-use week over the 12-week treatment period (p=0.53). Similarly, a number of secondary outcomes did not show significant effects of modafinil. However, an ad-hoc analysis of medication compliance, by urinalysis for modafinil and its metabolite, did find a significant difference in maximum duration of abstinence (23 days vs. 10 days, p=0.003), between those having the top quartile of compliance (&gt;85% urines modafinil +, N=36), and the lower three quartiles of modafinil 200 and 400mg groups (N=106).\n\nConclusions\nAlthough these data suggest that modafinil, plus group behavioral therapy, was not effective for decreasing methamphetamine use, the study is probably inconclusive because of inadequate compliance with taking medication.","container-title":"Drug and alcohol dependence","DOI":"10.1016/j.drugalcdep.2011.07.007","ISSN":"0376-8716","issue":"1-3","journalAbbreviation":"Drug Alcohol Depend","note":"PMID: 21840138\nPMCID: PMC3227772","page":"135-141","source":"PubMed Central","title":"Modafinil for the Treatment of Methamphetamine Dependence","volume":"120","author":[{"family":"Anderson","given":"Ann L."},{"family":"Li","given":"Shou-Hua"},{"family":"Biswas","given":"Kousick"},{"family":"McSherry","given":"Frances"},{"family":"Holmes","given":"Tyson"},{"family":"Iturriaga","given":"Erin"},{"family":"Kahn","given":"Roberta"},{"family":"Chiang","given":"Nora"},{"family":"Beresford","given":"Thomas"},{"family":"Campbell","given":"Jan"},{"family":"Haning","given":"William"},{"family":"Mawhinney","given":"Joseph"},{"family":"McCann","given":"Michael"},{"family":"Rawson","given":"Richard"},{"family":"Stock","given":"Christopher"},{"family":"Weis","given":"Dennis"},{"family":"Yu","given":"Elmer"},{"family":"Elkashef","given":"Ahmed M."}],"issued":{"date-parts":[["2012",1,1]]}}}],"schema":"https://github.com/citation-style-language/schema/raw/master/csl-citation.json"}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335</w:t>
            </w:r>
            <w:r w:rsidRPr="007D4CB3">
              <w:rPr>
                <w:rFonts w:ascii="Times New Roman" w:hAnsi="Times New Roman" w:cs="Times New Roman"/>
                <w:sz w:val="24"/>
              </w:rPr>
              <w:fldChar w:fldCharType="end"/>
            </w:r>
          </w:p>
        </w:tc>
        <w:tc>
          <w:tcPr>
            <w:tcW w:w="3427" w:type="dxa"/>
          </w:tcPr>
          <w:p w14:paraId="16A7ABC5"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Modafinil</w:t>
            </w:r>
          </w:p>
        </w:tc>
        <w:tc>
          <w:tcPr>
            <w:tcW w:w="2085" w:type="dxa"/>
          </w:tcPr>
          <w:p w14:paraId="397572A4"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200 mg or 400 mg/day</w:t>
            </w:r>
          </w:p>
        </w:tc>
        <w:tc>
          <w:tcPr>
            <w:tcW w:w="2250" w:type="dxa"/>
          </w:tcPr>
          <w:p w14:paraId="69BBE1C1" w14:textId="0671B4E5"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Cocaine</w:t>
            </w:r>
            <w:r w:rsidR="00475706" w:rsidRPr="007D4CB3">
              <w:rPr>
                <w:rFonts w:ascii="Times New Roman" w:hAnsi="Times New Roman" w:cs="Times New Roman"/>
                <w:sz w:val="24"/>
              </w:rPr>
              <w:t>,</w:t>
            </w:r>
            <w:r w:rsidR="00A54E64" w:rsidRPr="007D4CB3">
              <w:rPr>
                <w:rFonts w:ascii="Times New Roman" w:hAnsi="Times New Roman" w:cs="Times New Roman"/>
                <w:sz w:val="24"/>
              </w:rPr>
              <w:t xml:space="preserve"> </w:t>
            </w:r>
            <w:r w:rsidR="00F27C56" w:rsidRPr="007D4CB3">
              <w:rPr>
                <w:rFonts w:ascii="Times New Roman" w:hAnsi="Times New Roman" w:cs="Times New Roman"/>
                <w:sz w:val="24"/>
              </w:rPr>
              <w:t>ATS</w:t>
            </w:r>
          </w:p>
        </w:tc>
      </w:tr>
      <w:tr w:rsidR="005D3271" w:rsidRPr="007D4CB3" w14:paraId="25FB76E2" w14:textId="77777777">
        <w:tc>
          <w:tcPr>
            <w:tcW w:w="2673" w:type="dxa"/>
          </w:tcPr>
          <w:p w14:paraId="4A24C3CC" w14:textId="3B5D0A39"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Dackis et al, 2005</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{"citationID":"rltrxDn1","properties":{"formattedCitation":"\\super 336\\nosupersub{}","plainCitation":"336","noteIndex":0},"citationItems":[{"id":2985,"uris":["http://zotero.org/groups/4862100/items/34CTKE4Y"],"itemData":{"id":2985,"type":"article-journal","abstract":"Despite years of active research, there are still no approved medications for the treatment of cocaine dependence. Modafinil is a glutamate-enhancing agent that blunts cocaine euphoria under controlled conditions, and the current study assessed whether modafinil would improve clinical outcome in cocaine-dependent patients receiving standardized psychosocial treatment. This was a randomized, double-blind, placebo-controlled trial conducted at a university outpatient center (from 2002 to 2003) on a consecutive sample of 62 (predominantly African American) cocaine-dependent patients (aged 25–63) free of significant medical and psychiatric conditions. After screening, eligible patients were randomized to a single morning dose of modafinil (400 mg), or matching placebo tablets, for 8 weeks while receiving manual-guided, twice-weekly cognitive behavioral therapy. The primary efficacy measure was cocaine abstinence based on urine benzoylecgonine levels. Secondary measures were craving, cocaine withdrawal, retention, and adverse events. Modafinil-treated patients provided significantly more BE-negative urine samples (p=0.03) over the 8-week trial when compared to placebos, and were more likely to achieve a protracted period (</w:instrText>
            </w:r>
            <w:r w:rsidR="00596A41" w:rsidRPr="007D4CB3">
              <w:rPr>
                <w:rFonts w:ascii="Cambria Math" w:hAnsi="Cambria Math" w:cs="Cambria Math"/>
                <w:sz w:val="24"/>
              </w:rPr>
              <w:instrText>⩾</w:instrText>
            </w:r>
            <w:r w:rsidR="00596A41" w:rsidRPr="007D4CB3">
              <w:rPr>
                <w:rFonts w:ascii="Times New Roman" w:hAnsi="Times New Roman" w:cs="Times New Roman"/>
                <w:sz w:val="24"/>
              </w:rPr>
              <w:instrText xml:space="preserve">3 weeks) of cocaine abstinence (p=0.05). There were no serious adverse events, and none of the patients failed to complete the study as a result of adverse events. This study provides preliminary evidence, which should be confirmed by a larger study, that modafinil improves clinical outcome when combined with psychosocial treatment for cocaine dependence.","container-title":"Neuropsychopharmacology","DOI":"10.1038/sj.npp.1300600","ISSN":"1740-634X","issue":"1","journalAbbreviation":"Neuropsychopharmacol","language":"en","license":"2005 American College of Neuropsychopharmacology","note":"number: 1\npublisher: Nature Publishing Group","page":"205-211","source":"www.nature.com","title":"A Double-Blind, Placebo-Controlled Trial of Modafinil for Cocaine Dependence","volume":"30","author":[{"family":"Dackis","given":"Charles A."},{"family":"Kampman","given":"Kyle M."},{"family":"Lynch","given":"Kevin G."},{"family":"Pettinati","given":"Helen M."},{"family":"O'Brien","given":"Charles P."}],"issued":{"date-parts":[["2005",1]]}}}],"schema":"https://github.com/citation-style-language/schema/raw/master/csl-citation.json"}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336</w:t>
            </w:r>
            <w:r w:rsidRPr="007D4CB3">
              <w:rPr>
                <w:rFonts w:ascii="Times New Roman" w:hAnsi="Times New Roman" w:cs="Times New Roman"/>
                <w:sz w:val="24"/>
              </w:rPr>
              <w:fldChar w:fldCharType="end"/>
            </w:r>
          </w:p>
        </w:tc>
        <w:tc>
          <w:tcPr>
            <w:tcW w:w="3427" w:type="dxa"/>
          </w:tcPr>
          <w:p w14:paraId="7F7844AB"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Modafinil</w:t>
            </w:r>
          </w:p>
        </w:tc>
        <w:tc>
          <w:tcPr>
            <w:tcW w:w="2085" w:type="dxa"/>
          </w:tcPr>
          <w:p w14:paraId="43EF52FA"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400 mg/day</w:t>
            </w:r>
          </w:p>
        </w:tc>
        <w:tc>
          <w:tcPr>
            <w:tcW w:w="2250" w:type="dxa"/>
          </w:tcPr>
          <w:p w14:paraId="4F4F083A"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Cocaine</w:t>
            </w:r>
          </w:p>
        </w:tc>
      </w:tr>
      <w:tr w:rsidR="005D3271" w:rsidRPr="007D4CB3" w14:paraId="70124CC0" w14:textId="77777777">
        <w:tc>
          <w:tcPr>
            <w:tcW w:w="2673" w:type="dxa"/>
          </w:tcPr>
          <w:p w14:paraId="3B0C7F76" w14:textId="3A76E06F"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Dackis et al, 2012</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{"citationID":"chPFPtAn","properties":{"formattedCitation":"\\super 337\\nosupersub{}","plainCitation":"337","noteIndex":0},"citationItems":[{"id":2984,"uris":["http://zotero.org/groups/4862100/items/BULT5SHA"],"itemData":{"id":2984,"type":"article-journal","abstract":"This is a randomized, double blind, placebo-controlled study of modafinil treatment for cocaine dependence. Patients (n=210), who were actively using cocaine at baseline, were randomized to 8-weeks of modafinil (0 mg/day, 200 mg/day or 400 mg/day) combined with once-weekly cognitive behavioral therapy (CBT). Our primary efficacy measure was cocaine abstinence, based on urine benzoylecgonine (BE) levels, with secondary measures of craving, cocaine withdrawal, retention and tolerability. We found no significant differences between modafinil and placebo patients on any of these measures. However, there was a significant gender difference in that male patients treated with 400 mg/day tended to be more abstinent than their placebo-treated counterparts (p=0.06). Our negative findings might be explained by gender differences and/or inadequate psychosocial treatment intensity in patients with severe cocaine dependence.","container-title":"Journal of substance abuse treatment","DOI":"10.1016/j.jsat.2011.12.014","ISSN":"0740-5472","issue":"3","journalAbbreviation":"J Subst Abuse Treat","note":"PMID: 22377391\nPMCID: PMC3378797","page":"303-312","source":"PubMed Central","title":"A Double-Blind, Placebo-Controlled Trial of Modafinil for Cocaine Dependence","volume":"43","author":[{"family":"Dackis","given":"Charles A."},{"family":"Kampman","given":"Kyle M."},{"family":"Lynch","given":"Kevin G."},{"family":"Plebani","given":"Jennifer G."},{"family":"Pettinati","given":"Helen M."},{"family":"Sparkman","given":"Thorne"},{"family":"O’Brien","given":"Charles P."}],"issued":{"date-parts":[["2012",10]]}}}],"schema":"https://github.com/citation-style-language/schema/raw/master/csl-citation.json"}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337</w:t>
            </w:r>
            <w:r w:rsidRPr="007D4CB3">
              <w:rPr>
                <w:rFonts w:ascii="Times New Roman" w:hAnsi="Times New Roman" w:cs="Times New Roman"/>
                <w:sz w:val="24"/>
              </w:rPr>
              <w:fldChar w:fldCharType="end"/>
            </w:r>
          </w:p>
        </w:tc>
        <w:tc>
          <w:tcPr>
            <w:tcW w:w="3427" w:type="dxa"/>
          </w:tcPr>
          <w:p w14:paraId="6982B705"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Modafinil</w:t>
            </w:r>
          </w:p>
        </w:tc>
        <w:tc>
          <w:tcPr>
            <w:tcW w:w="2085" w:type="dxa"/>
          </w:tcPr>
          <w:p w14:paraId="56B41CE5"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200 mg or 400 mg/day</w:t>
            </w:r>
          </w:p>
        </w:tc>
        <w:tc>
          <w:tcPr>
            <w:tcW w:w="2250" w:type="dxa"/>
          </w:tcPr>
          <w:p w14:paraId="56C5747A"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Cocaine</w:t>
            </w:r>
          </w:p>
        </w:tc>
      </w:tr>
      <w:tr w:rsidR="005D3271" w:rsidRPr="007D4CB3" w14:paraId="0C6AA523" w14:textId="77777777">
        <w:tc>
          <w:tcPr>
            <w:tcW w:w="2673" w:type="dxa"/>
          </w:tcPr>
          <w:p w14:paraId="09175930" w14:textId="5075E778"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Heinzerling</w:t>
            </w:r>
            <w:r w:rsidR="00F27C56" w:rsidRPr="007D4CB3">
              <w:rPr>
                <w:rFonts w:ascii="Times New Roman" w:hAnsi="Times New Roman" w:cs="Times New Roman"/>
                <w:sz w:val="24"/>
              </w:rPr>
              <w:t>,</w:t>
            </w:r>
            <w:r w:rsidRPr="007D4CB3">
              <w:rPr>
                <w:rFonts w:ascii="Times New Roman" w:hAnsi="Times New Roman" w:cs="Times New Roman"/>
                <w:sz w:val="24"/>
              </w:rPr>
              <w:t xml:space="preserve"> 2010</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{"citationID":"WxDpCsuq","properties":{"formattedCitation":"\\super 338\\nosupersub{}","plainCitation":"338","noteIndex":0},"citationItems":[{"id":3037,"uris":["http://zotero.org/groups/4862100/items/SRFNDZEP"],"itemData":{"id":3037,"type":"article-journal","abstract":"Objective\nTo compare modafinil to placebo for reducing methamphetamine (MA) use, improving retention, and reducing depressive symptoms and MA cravings. Rates of adverse events and cigarette smoking with modafinil versus placebo were also compared.\n\nMethods\nFollowing a 2-week, non-medication lead-in period, 71 treatment-seeking MA dependent participants were randomly assigned to modafinil (400 mg once daily; N= 34) or placebo (once daily; N= 37) for 12-weeks under double-blind conditions. Participants attended clinic thrice weekly to provide urine samples analyzed for MA-metabolite, to complete research assessments, and to receive contingency management and weekly cognitive behavioral therapy (CBT) sessions.\n\nResults\nThere were no statistically significant effects for modafinil on MA use, retention, depressive symptoms, or MA cravings in pre-planned analyses. Outcomes for retention and MA use favored modafinil in a post hoc analysis among participants with low CBT attendance and among participants with baseline high frequency of MA use (MA use on &gt;18 of past 30 days), but did not reach statistical significance in these small subgroups. Modafinil was safe and well tolerated and did not increase cigarette smoking.\n\nConclusions\nModafinil was no more effective than placebo at 400 mg daily in a general sample of MA users. A post hoc analysis showing a trend favoring modafinil among subgroups with baseline high frequency MA use and low CBT attendance suggests that further evaluation of modafinil in MA users is warranted.","container-title":"Drug and alcohol dependence","DOI":"10.1016/j.drugalcdep.2009.11.023","ISSN":"0376-8716","issue":"1-3","journalAbbreviation":"Drug Alcohol Depend","note":"PMID: 20092966\nPMCID: PMC2875545","page":"20-29","source":"PubMed Central","title":"Randomized, double-blind, placebo-controlled trial of modafinil for the treatment of methamphetamine dependence","volume":"109","author":[{"family":"Heinzerling","given":"Keith G."},{"family":"Swanson","given":"Aimee-Noelle"},{"family":"Kim","given":"Soeun"},{"family":"Cederblom","given":"Lisa"},{"family":"Moe","given":"Ardis"},{"family":"Ling","given":"Walter"},{"family":"Steven","given":"Shoptaw"}],"issued":{"date-parts":[["2010",6,1]]}}}],"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338</w:t>
            </w:r>
            <w:r w:rsidRPr="007D4CB3">
              <w:rPr>
                <w:rFonts w:ascii="Times New Roman" w:hAnsi="Times New Roman" w:cs="Times New Roman"/>
                <w:sz w:val="24"/>
              </w:rPr>
              <w:fldChar w:fldCharType="end"/>
            </w:r>
          </w:p>
        </w:tc>
        <w:tc>
          <w:tcPr>
            <w:tcW w:w="3427" w:type="dxa"/>
          </w:tcPr>
          <w:p w14:paraId="5FC54E98"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Modafinil</w:t>
            </w:r>
          </w:p>
        </w:tc>
        <w:tc>
          <w:tcPr>
            <w:tcW w:w="2085" w:type="dxa"/>
          </w:tcPr>
          <w:p w14:paraId="2F64F3FD"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400 mg/day</w:t>
            </w:r>
          </w:p>
        </w:tc>
        <w:tc>
          <w:tcPr>
            <w:tcW w:w="2250" w:type="dxa"/>
          </w:tcPr>
          <w:p w14:paraId="4EF0F16C" w14:textId="006DE51D"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Cocaine</w:t>
            </w:r>
            <w:r w:rsidR="00475706" w:rsidRPr="007D4CB3">
              <w:rPr>
                <w:rFonts w:ascii="Times New Roman" w:hAnsi="Times New Roman" w:cs="Times New Roman"/>
                <w:sz w:val="24"/>
              </w:rPr>
              <w:t>,</w:t>
            </w:r>
            <w:r w:rsidR="00A54E64" w:rsidRPr="007D4CB3">
              <w:rPr>
                <w:rFonts w:ascii="Times New Roman" w:hAnsi="Times New Roman" w:cs="Times New Roman"/>
                <w:sz w:val="24"/>
              </w:rPr>
              <w:t xml:space="preserve"> </w:t>
            </w:r>
            <w:r w:rsidR="00F27C56" w:rsidRPr="007D4CB3">
              <w:rPr>
                <w:rFonts w:ascii="Times New Roman" w:hAnsi="Times New Roman" w:cs="Times New Roman"/>
                <w:sz w:val="24"/>
              </w:rPr>
              <w:t>ATS</w:t>
            </w:r>
          </w:p>
        </w:tc>
      </w:tr>
      <w:tr w:rsidR="005D3271" w:rsidRPr="007D4CB3" w14:paraId="2B003492" w14:textId="77777777">
        <w:tc>
          <w:tcPr>
            <w:tcW w:w="2673" w:type="dxa"/>
          </w:tcPr>
          <w:p w14:paraId="724DEE94" w14:textId="608570ED"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Kampman et al, 2015</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{"citationID":"eJrsASwG","properties":{"formattedCitation":"\\super 339\\nosupersub{}","plainCitation":"339","noteIndex":0},"citationItems":[{"id":1737,"uris":["http://zotero.org/groups/4862100/items/WLD4KYDX"],"itemData":{"id":1737,"type":"article-journal","container-title":"Drug and Alcohol Dependence","DOI":"10.1016/j.drugalcdep.2015.08.005","ISSN":"03768716","journalAbbreviation":"Drug and Alcohol Dependence","language":"en","page":"105-110","source":"DOI.org (Crossref)","title":"A double blind, placebo controlled trial of modafinil for the treatment of cocaine dependence without co-morbid alcohol dependence","volume":"155","author":[{"family":"Kampman","given":"Kyle M."},{"family":"Lynch","given":"Kevin G."},{"family":"Pettinati","given":"Helen M."},{"family":"Spratt","given":"Kelly"},{"family":"Wierzbicki","given":"Michael R."},{"family":"Dackis","given":"Charles"},{"family":"O’Brien","given":"Charles P."}],"issued":{"date-parts":[["2015",10]]}}}],"schema":"https://github.com/citation-style-language/schema/raw/master/csl-citation.json"}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339</w:t>
            </w:r>
            <w:r w:rsidRPr="007D4CB3">
              <w:rPr>
                <w:rFonts w:ascii="Times New Roman" w:hAnsi="Times New Roman" w:cs="Times New Roman"/>
                <w:sz w:val="24"/>
              </w:rPr>
              <w:fldChar w:fldCharType="end"/>
            </w:r>
          </w:p>
        </w:tc>
        <w:tc>
          <w:tcPr>
            <w:tcW w:w="3427" w:type="dxa"/>
          </w:tcPr>
          <w:p w14:paraId="32C68CD1"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Modafinil</w:t>
            </w:r>
          </w:p>
        </w:tc>
        <w:tc>
          <w:tcPr>
            <w:tcW w:w="2085" w:type="dxa"/>
          </w:tcPr>
          <w:p w14:paraId="0614FAE2"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300 mg/day</w:t>
            </w:r>
          </w:p>
        </w:tc>
        <w:tc>
          <w:tcPr>
            <w:tcW w:w="2250" w:type="dxa"/>
          </w:tcPr>
          <w:p w14:paraId="6DE9521E"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Cocaine</w:t>
            </w:r>
          </w:p>
        </w:tc>
      </w:tr>
      <w:tr w:rsidR="005D3271" w:rsidRPr="007D4CB3" w14:paraId="3527F515" w14:textId="77777777">
        <w:tc>
          <w:tcPr>
            <w:tcW w:w="2673" w:type="dxa"/>
          </w:tcPr>
          <w:p w14:paraId="41ED9FA1" w14:textId="074B9661"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Kampman</w:t>
            </w:r>
            <w:r w:rsidR="00F27C56" w:rsidRPr="007D4CB3">
              <w:rPr>
                <w:rFonts w:ascii="Times New Roman" w:hAnsi="Times New Roman" w:cs="Times New Roman"/>
                <w:sz w:val="24"/>
              </w:rPr>
              <w:t>,</w:t>
            </w:r>
            <w:r w:rsidRPr="007D4CB3">
              <w:rPr>
                <w:rFonts w:ascii="Times New Roman" w:hAnsi="Times New Roman" w:cs="Times New Roman"/>
                <w:sz w:val="24"/>
              </w:rPr>
              <w:t xml:space="preserve"> 2018</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{"citationID":"MokoqUZj","properties":{"formattedCitation":"\\super 340\\nosupersub{}","plainCitation":"340","noteIndex":0},"citationItems":[{"id":2978,"uris":["http://zotero.org/groups/4862100/items/HPQR9U3R"],"itemData":{"id":2978,"type":"report","abstract":"The purpose of study is to determine if modafinil promotes cocaine abstinence and reduces high risk behavior in cocaine dependent subjects.","genre":"Clinical trial registration","note":"submitted: August 22, 2006","number":"NCT00368290","publisher":"clinicaltrials.gov","source":"clinicaltrials.gov","title":"Modafinil Treatment for Cocaine Dependence and HIV-High Risk Behavior","title-short":"Modafinil Treatment for Cocaine Dependence and HIV High-Risk Behavior","URL":"https://clinicaltrials.gov/ct2/show/NCT00368290","author":[{"family":"Kampman","given":"Kyle M."}],"accessed":{"date-parts":[["2022",2,27]]},"issued":{"date-parts":[["2018",2,19]]}}}],"schema":"https://github.com/citation-style-language/schema/raw/master/csl-citation.json"}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340</w:t>
            </w:r>
            <w:r w:rsidRPr="007D4CB3">
              <w:rPr>
                <w:rFonts w:ascii="Times New Roman" w:hAnsi="Times New Roman" w:cs="Times New Roman"/>
                <w:sz w:val="24"/>
              </w:rPr>
              <w:fldChar w:fldCharType="end"/>
            </w:r>
          </w:p>
        </w:tc>
        <w:tc>
          <w:tcPr>
            <w:tcW w:w="3427" w:type="dxa"/>
          </w:tcPr>
          <w:p w14:paraId="5411AE1E"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Modafinil</w:t>
            </w:r>
          </w:p>
        </w:tc>
        <w:tc>
          <w:tcPr>
            <w:tcW w:w="2085" w:type="dxa"/>
          </w:tcPr>
          <w:p w14:paraId="45518B71"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300 mg/day</w:t>
            </w:r>
          </w:p>
        </w:tc>
        <w:tc>
          <w:tcPr>
            <w:tcW w:w="2250" w:type="dxa"/>
          </w:tcPr>
          <w:p w14:paraId="645F4005"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Cocaine</w:t>
            </w:r>
          </w:p>
        </w:tc>
      </w:tr>
      <w:tr w:rsidR="005D3271" w:rsidRPr="007D4CB3" w14:paraId="717B7D5E" w14:textId="77777777">
        <w:tc>
          <w:tcPr>
            <w:tcW w:w="2673" w:type="dxa"/>
          </w:tcPr>
          <w:p w14:paraId="58F1E45E" w14:textId="7CD2ECA5"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Kampman</w:t>
            </w:r>
            <w:r w:rsidR="00F27C56" w:rsidRPr="007D4CB3">
              <w:rPr>
                <w:rFonts w:ascii="Times New Roman" w:hAnsi="Times New Roman" w:cs="Times New Roman"/>
                <w:sz w:val="24"/>
              </w:rPr>
              <w:t>,</w:t>
            </w:r>
            <w:r w:rsidRPr="007D4CB3">
              <w:rPr>
                <w:rFonts w:ascii="Times New Roman" w:hAnsi="Times New Roman" w:cs="Times New Roman"/>
                <w:sz w:val="24"/>
              </w:rPr>
              <w:t xml:space="preserve"> 2020</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{"citationID":"qJS1ULDv","properties":{"formattedCitation":"\\super 341\\nosupersub{}","plainCitation":"341","noteIndex":0},"citationItems":[{"id":2995,"uris":["http://zotero.org/groups/4862100/items/3BM68LSP"],"itemData":{"id":2995,"type":"report","abstract":"Modafinil is a medication that may enhance mood and increase energy in cocaine addicts, which may be useful in preventing cocaine relapse. Naltrexone is a medication that is currently used to treat drug and alcohol addiction. A combination of these two medications may be beneficial in reducing drug and alcohol use in individuals undergoing substance abuse treatment. The purpose of this study is to evaluate the effectiveness of modafinil and naltrexone, alone and in combination, at reducing drug and alcohol use in individuals addicted to cocaine and alcohol.","genre":"Clinical trial registration","note":"submitted: September 1, 2005","number":"NCT00142818","publisher":"clinicaltrials.gov","source":"clinicaltrials.gov","title":"A Phase II, Double-blind, Placebo-Controlled, Pilot Trial of the Combination of Modafinil and Naltrexone for the Treatment of Cocaine and Alcohol Dependence","title-short":"Modafinil and Naltrexone to Reduce Cocaine and Alcohol Dependence (Mod-Nal)","URL":"https://clinicaltrials.gov/ct2/show/study/NCT00142818","author":[{"family":"Kampman","given":"Kyle M."}],"accessed":{"date-parts":[["2022",2,27]]},"issued":{"date-parts":[["2020",7,14]]}}}],"schema":"https://github.com/citation-style-language/schema/raw/master/csl-citation.json"}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341</w:t>
            </w:r>
            <w:r w:rsidRPr="007D4CB3">
              <w:rPr>
                <w:rFonts w:ascii="Times New Roman" w:hAnsi="Times New Roman" w:cs="Times New Roman"/>
                <w:sz w:val="24"/>
              </w:rPr>
              <w:fldChar w:fldCharType="end"/>
            </w:r>
          </w:p>
        </w:tc>
        <w:tc>
          <w:tcPr>
            <w:tcW w:w="3427" w:type="dxa"/>
          </w:tcPr>
          <w:p w14:paraId="52D2DDC3"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Modafinil</w:t>
            </w:r>
          </w:p>
        </w:tc>
        <w:tc>
          <w:tcPr>
            <w:tcW w:w="2085" w:type="dxa"/>
          </w:tcPr>
          <w:p w14:paraId="7E926617"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400 mg/day</w:t>
            </w:r>
          </w:p>
        </w:tc>
        <w:tc>
          <w:tcPr>
            <w:tcW w:w="2250" w:type="dxa"/>
          </w:tcPr>
          <w:p w14:paraId="516381E8"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Cocaine</w:t>
            </w:r>
          </w:p>
        </w:tc>
      </w:tr>
      <w:tr w:rsidR="005D3271" w:rsidRPr="007D4CB3" w14:paraId="252B4BA4" w14:textId="77777777">
        <w:tc>
          <w:tcPr>
            <w:tcW w:w="2673" w:type="dxa"/>
          </w:tcPr>
          <w:p w14:paraId="2985620E" w14:textId="1E780C3E"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Karila et al, 2016</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{"citationID":"p2Bv3nbx","properties":{"formattedCitation":"\\super 342\\nosupersub{}","plainCitation":"342","noteIndex":0},"citationItems":[{"id":2979,"uris":["http://zotero.org/groups/4862100/items/Z7SQRT2W"],"itemData":{"id":2979,"type":"article-journal","abstract":"Modafinil is a candidate compound for the treatment of cocaine addiction that binds to the dopamine transporter (DAT) in healthy humans, as observed by positron emission tomography (PET). This mechanism, analogous to that of cocaine, might mediate a putative therapeutic effect of modafinil on cocaine dependence, though the binding of modafinil to DAT has never been assessed in cocaine-dependent patients. We aimed at quantifying the DAT availability during a controlled treatment by modafinil, and its clinical and psychometric correlates in cocaine-dependent patients at the onset of abstinence initiation. Twenty-nine cocaine-dependent male patients were enrolled in a 3-month trial for cocaine abstinence. Modafinil was used in a randomized double-blind placebo-controlled design and was administered as follows: 400 mg/day for 26 days, then 300 mg/day for 30 days, and 200 mg/day for 31 days. Participants were examined twice during a 17-day hospitalization for their DAT availability using PET and [11C]-PE2I and for assessments of craving, depressive symptoms, working memory, and decision-making. Cocaine abstinence was further assessed during a 10-week outpatient follow-up period. Baseline [11C]-PE2I-binding potential covaried with risk taking and craving index in striatal and extrastriatal regions. A 65.6% decrease of binding potential was detected in patients receiving modafinil for 2 weeks, whereas placebo induced no significant change. During hospitalization, an equivalent improvement in clinical outcomes was observed in both treatment groups, and during the outpatient follow-up there were more therapeutic failures in the modafinil-treated group. Therefore, these results do not support the usefulness of modafinil to treat cocaine addiction.","container-title":"Neuropsychopharmacology","DOI":"10.1038/npp.2016.28","ISSN":"1740-634X","issue":"9","journalAbbreviation":"Neuropsychopharmacol","language":"en","license":"2016 American College of Neuropsychopharmacology","note":"number: 9\npublisher: Nature Publishing Group","page":"2294-2302","source":"www.nature.com","title":"Dopamine Transporter Correlates and Occupancy by Modafinil in Cocaine-Dependent Patients: A Controlled Study With High-Resolution PET and [11C]-PE2I","title-short":"Dopamine Transporter Correlates and Occupancy by Modafinil in Cocaine-Dependent Patients","volume":"41","author":[{"family":"Karila","given":"Laurent"},{"family":"Leroy","given":"Claire"},{"family":"Dubol","given":"Manon"},{"family":"Trichard","given":"Christian"},{"family":"Mabondo","given":"Audrey"},{"family":"Marill","given":"Catherine"},{"family":"Dubois","given":"Albertine"},{"family":"Bordas","given":"Nadège"},{"family":"Martinot","given":"Jean-Luc"},{"family":"Reynaud","given":"Michel"},{"family":"Artiges","given":"Eric"}],"issued":{"date-parts":[["2016",8]]}}}],"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342</w:t>
            </w:r>
            <w:r w:rsidRPr="007D4CB3">
              <w:rPr>
                <w:rFonts w:ascii="Times New Roman" w:hAnsi="Times New Roman" w:cs="Times New Roman"/>
                <w:sz w:val="24"/>
              </w:rPr>
              <w:fldChar w:fldCharType="end"/>
            </w:r>
          </w:p>
        </w:tc>
        <w:tc>
          <w:tcPr>
            <w:tcW w:w="3427" w:type="dxa"/>
          </w:tcPr>
          <w:p w14:paraId="7D0F83EE"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Modafinil</w:t>
            </w:r>
          </w:p>
        </w:tc>
        <w:tc>
          <w:tcPr>
            <w:tcW w:w="2085" w:type="dxa"/>
          </w:tcPr>
          <w:p w14:paraId="5745414A" w14:textId="62262C5B"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200–400 mg/day</w:t>
            </w:r>
          </w:p>
        </w:tc>
        <w:tc>
          <w:tcPr>
            <w:tcW w:w="2250" w:type="dxa"/>
          </w:tcPr>
          <w:p w14:paraId="16E6893B"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Cocaine</w:t>
            </w:r>
          </w:p>
        </w:tc>
      </w:tr>
      <w:tr w:rsidR="005D3271" w:rsidRPr="007D4CB3" w14:paraId="6FBD2631" w14:textId="77777777">
        <w:tc>
          <w:tcPr>
            <w:tcW w:w="2673" w:type="dxa"/>
          </w:tcPr>
          <w:p w14:paraId="090196B1" w14:textId="03ECBF70"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Morgan et al, 2010</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{"citationID":"cTYJhyLu","properties":{"formattedCitation":"\\super 343\\nosupersub{}","plainCitation":"343","noteIndex":0},"citationItems":[{"id":1812,"uris":["http://zotero.org/groups/4862100/items/4NNSG498"],"itemData":{"id":1812,"type":"article-journal","abstract":"Objective\n\nThe purpose of the present study was to determine the effect of morning-dosed modafinil on sleep and daytime sleepiness in chronic cocaine users.\n\nMethod\n\nTwenty cocaine-dependent participants were randomly assigned to receive modafinil, 400 mg (N=10), or placebo (N=10) every morning at 7:30 a.m. for 16 days in an inpatient, double-blind randomized trial. Participants underwent polysomnographic sleep recordings on days 1 to 3, 7 to 9, and 14 to 16 (first, second, and third weeks of abstinence). The Multiple Sleep Latency Test was performed at 11:30 a.m., 2:00 p.m., and 4:30 p.m. on days 2, 8, and 15. For comparison of sleep architecture variables, 12 healthy comparison participants underwent a single night of experimental polysomnography that followed 1 night of accommodation polysomnography.\n\nResults\n\nProgressive abstinence from cocaine was associated with worsening of all measured polysomnographic sleep outcomes. Compared with placebo, modafinil decreased nighttime sleep latency and increased slow-wave sleep time in cocaine-dependent participants. The effect of modafinil interacted with the abstinence week and was associated with longer total sleep time and shorter REM sleep latency in the third week of abstinence. Comparison of slow-wave sleep time, total sleep time, and sleep latency in cocaine-dependent and healthy participants revealed a normalizing effect of modafinil in cocaine-dependent participants. Modafinil was associated with increased daytime sleep latency, as measured by the Multiple Sleep Latency Test, and a nearly significant decrease in subjective daytime sleepiness.\n\nConclusions\n\nMorning-dosed modafinil promotes nocturnal sleep, normalizes sleep architecture, and decreases daytime sleepiness in abstinent cocaine users. These effects may be relevant in the treatment of cocaine dependence.","container-title":"American Journal of Psychiatry","DOI":"10.1176/appi.ajp.2009.09050613","ISSN":"0002-953X","issue":"3","journalAbbreviation":"AJP","note":"publisher: American Psychiatric Publishing","page":"331-340","source":"ajp.psychiatryonline.org (Atypon)","title":"Normalizing Effects of Modafinil on Sleep in Chronic Cocaine Users","volume":"167","author":[{"family":"Morgan","given":"Peter T."},{"family":"Pace-Schott","given":"Edward"},{"family":"Pittman","given":"Brian"},{"family":"Stickgold","given":"Robert"},{"family":"Malison","given":"Robert T."}],"issued":{"date-parts":[["2010",3]]}}}],"schema":"https://github.com/citation-style-language/schema/raw/master/csl-citation.json"}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343</w:t>
            </w:r>
            <w:r w:rsidRPr="007D4CB3">
              <w:rPr>
                <w:rFonts w:ascii="Times New Roman" w:hAnsi="Times New Roman" w:cs="Times New Roman"/>
                <w:sz w:val="24"/>
              </w:rPr>
              <w:fldChar w:fldCharType="end"/>
            </w:r>
          </w:p>
        </w:tc>
        <w:tc>
          <w:tcPr>
            <w:tcW w:w="3427" w:type="dxa"/>
          </w:tcPr>
          <w:p w14:paraId="1CFEBC0D"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Modafinil</w:t>
            </w:r>
          </w:p>
        </w:tc>
        <w:tc>
          <w:tcPr>
            <w:tcW w:w="2085" w:type="dxa"/>
          </w:tcPr>
          <w:p w14:paraId="7380F797" w14:textId="64DBF544"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200–400 mg/day</w:t>
            </w:r>
          </w:p>
        </w:tc>
        <w:tc>
          <w:tcPr>
            <w:tcW w:w="2250" w:type="dxa"/>
          </w:tcPr>
          <w:p w14:paraId="35A756E4"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Cocaine</w:t>
            </w:r>
          </w:p>
        </w:tc>
      </w:tr>
      <w:tr w:rsidR="005D3271" w:rsidRPr="007D4CB3" w14:paraId="168F9159" w14:textId="77777777">
        <w:tc>
          <w:tcPr>
            <w:tcW w:w="2673" w:type="dxa"/>
          </w:tcPr>
          <w:p w14:paraId="466F1CF0" w14:textId="5605C582"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Morgan et al, 2016</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{"citationID":"QePWhoND","properties":{"formattedCitation":"\\super 344\\nosupersub{}","plainCitation":"344","noteIndex":0},"citationItems":[{"id":1815,"uris":["http://zotero.org/groups/4862100/items/4N6DVVVH"],"itemData":{"id":1815,"type":"article-journal","abstract":"Objective\nTo determine whether the increase in slow-wave sleep associated with modafinil treatment in chronic cocaine users mediates improved clinical outcomes.\n\nMethod\n57 cocaine dependent participants were randomized to receive modafinil 400mg or placebo daily during a period of inpatient treatment followed by six weeks of outpatient treatment. Participants underwent polysomnographic sleep recording during inpatient treatment prior to and after starting modafinil. Outpatient treatment consisted of weekly cognitive behavioral therapy. Contingency management was used to promote participation in treatment and research demands, including thrice weekly visits during the outpatient phase for urine toxicology screens and other assessments. The primary clinical outcome was the percent of urine toxicology screens that were negative for cocaine.\n\nResults\nModafinil treatment was associated with a higher mean percentage (52% vs. 26%) of cocaine-free urine screens (p=0.02) and an increase in N3 sleep time (p=0.002). The change in N3 sleep time mediated the higher rate of cocaine-free urine screens. Modafinil treatment was also associated with more consecutive days abstinent during outpatient treatment, greater survival of abstinence, higher daily rates of abstinence, and less sleep degradation typically associated with abstinence from chronic cocaine use.\n\nConclusions\nMorning-dosed modafinil improves slow-wave sleep in abstinent cocaine users in the inpatient setting, and this effect is a statistical mediator of improved clinical outcomes associated with continued modafinil treatment. The high rates of abstinence achieved in this trial suggest that promoting healthy sleep physiology in an inpatient setting may be important in the effective treatment of cocaine dependence.","container-title":"Drug and alcohol dependence","DOI":"10.1016/j.drugalcdep.2015.12.004","ISSN":"0376-8716","journalAbbreviation":"Drug Alcohol Depend","note":"PMID: 26777774\nPMCID: PMC4767553","page":"49-56","source":"PubMed Central","title":"Modafinil and sleep architecture in an inpatient-outpatient treatment study of cocaine dependence","volume":"160","author":[{"family":"Morgan","given":"Peter T."},{"family":"Angarita","given":"Gustavo A."},{"family":"Canavan","given":"Sofija"},{"family":"Pittman","given":"Brian"},{"family":"Oberleitner","given":"Lindsay"},{"family":"Malison","given":"Robert T."},{"family":"Mohsenin","given":"Vahid"},{"family":"Hodges","given":"Sarah"},{"family":"Easton","given":"Caroline"},{"family":"McKee","given":"Sherry"},{"family":"Bessette","given":"Andrew"},{"family":"Forselius","given":"Erica"}],"issued":{"date-parts":[["2016",3,1]]}}}],"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344</w:t>
            </w:r>
            <w:r w:rsidRPr="007D4CB3">
              <w:rPr>
                <w:rFonts w:ascii="Times New Roman" w:hAnsi="Times New Roman" w:cs="Times New Roman"/>
                <w:sz w:val="24"/>
              </w:rPr>
              <w:fldChar w:fldCharType="end"/>
            </w:r>
          </w:p>
        </w:tc>
        <w:tc>
          <w:tcPr>
            <w:tcW w:w="3427" w:type="dxa"/>
          </w:tcPr>
          <w:p w14:paraId="2FB5F5D6"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Modafinil</w:t>
            </w:r>
          </w:p>
        </w:tc>
        <w:tc>
          <w:tcPr>
            <w:tcW w:w="2085" w:type="dxa"/>
          </w:tcPr>
          <w:p w14:paraId="72A4D3A1" w14:textId="5E2EE21F"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100–400 mg/day</w:t>
            </w:r>
          </w:p>
        </w:tc>
        <w:tc>
          <w:tcPr>
            <w:tcW w:w="2250" w:type="dxa"/>
          </w:tcPr>
          <w:p w14:paraId="3857ACDE"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Cocaine</w:t>
            </w:r>
          </w:p>
        </w:tc>
      </w:tr>
      <w:tr w:rsidR="005D3271" w:rsidRPr="007D4CB3" w14:paraId="72FBE424" w14:textId="77777777">
        <w:tc>
          <w:tcPr>
            <w:tcW w:w="2673" w:type="dxa"/>
          </w:tcPr>
          <w:p w14:paraId="1CC7CEDD" w14:textId="24673ECD"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Schmitz et al, 2012</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{"citationID":"UvTrDGAe","properties":{"formattedCitation":"\\super 345\\nosupersub{}","plainCitation":"345","noteIndex":0},"citationItems":[{"id":1736,"uris":["http://zotero.org/groups/4862100/items/35CZJP88"],"itemData":{"id":1736,"type":"article-journal","container-title":"Frontiers in Psychiatry","DOI":"10.3389/fpsyt.2012.00077","ISSN":"1664-0640","journalAbbreviation":"Front. Psychiatry","source":"DOI.org (Crossref)","title":"Combination of Modafinil and d-amphetamine for the Treatment of Cocaine Dependence: A Preliminary Investigation","title-short":"Combination of Modafinil and d-amphetamine for the Treatment of Cocaine Dependence","URL":"http://journal.frontiersin.org/article/10.3389/fpsyt.2012.00077/abstract","volume":"3","author":[{"family":"Schmitz","given":"Joy M."},{"family":"Rathnayaka","given":"Nuvan"},{"family":"Green","given":"Charles E."},{"family":"Moeller","given":"F. Gerard"},{"family":"Dougherty","given":"Anne E."},{"family":"Grabowski","given":"John"}],"accessed":{"date-parts":[["2021",2,27]]},"issued":{"date-parts":[["2012"]]}}}],"schema":"https://github.com/citation-style-language/schema/raw/master/csl-citation.json"}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345</w:t>
            </w:r>
            <w:r w:rsidRPr="007D4CB3">
              <w:rPr>
                <w:rFonts w:ascii="Times New Roman" w:hAnsi="Times New Roman" w:cs="Times New Roman"/>
                <w:sz w:val="24"/>
              </w:rPr>
              <w:fldChar w:fldCharType="end"/>
            </w:r>
          </w:p>
        </w:tc>
        <w:tc>
          <w:tcPr>
            <w:tcW w:w="3427" w:type="dxa"/>
          </w:tcPr>
          <w:p w14:paraId="3857AB5C"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Modafinil</w:t>
            </w:r>
          </w:p>
        </w:tc>
        <w:tc>
          <w:tcPr>
            <w:tcW w:w="2085" w:type="dxa"/>
          </w:tcPr>
          <w:p w14:paraId="1655AF4F" w14:textId="7A686E04"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400 mg/day</w:t>
            </w:r>
          </w:p>
        </w:tc>
        <w:tc>
          <w:tcPr>
            <w:tcW w:w="2250" w:type="dxa"/>
          </w:tcPr>
          <w:p w14:paraId="703316BA"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Cocaine</w:t>
            </w:r>
          </w:p>
        </w:tc>
      </w:tr>
      <w:tr w:rsidR="005D3271" w:rsidRPr="007D4CB3" w14:paraId="573A4B8D" w14:textId="77777777">
        <w:tc>
          <w:tcPr>
            <w:tcW w:w="2673" w:type="dxa"/>
          </w:tcPr>
          <w:p w14:paraId="446C1B9C" w14:textId="78183A3F"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Schmitz et al, 2014</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{"citationID":"5xZcLyjF","properties":{"formattedCitation":"\\super 346\\nosupersub{}","plainCitation":"346","noteIndex":0},"citationItems":[{"id":2982,"uris":["http://zotero.org/groups/4862100/items/D89B6TZD"],"itemData":{"id":2982,"type":"article-journal","container-title":"Drug and Alcohol Dependence","DOI":"10.1016/j.drugalcdep.2013.12.015","ISSN":"03768716","journalAbbreviation":"Drug and Alcohol Dependence","language":"en","page":"100-107","source":"DOI.org (Crossref)","title":"A two-phased screening paradigm for evaluating candidate medications for cocaine cessation or relapse prevention: Modafinil, levodopa–carbidopa, naltrexone","title-short":"A two-phased screening paradigm for evaluating candidate medications for cocaine cessation or relapse prevention","volume":"136","author":[{"family":"Schmitz","given":"Joy M."},{"family":"Green","given":"Charles E."},{"family":"Stotts","given":"Angela L."},{"family":"Lindsay","given":"Jan A."},{"family":"Rathnayaka","given":"Nuvan S."},{"family":"Grabowski","given":"John"},{"family":"Moeller","given":"F. Gerard"}],"issued":{"date-parts":[["2014",3]]}}}],"schema":"https://github.com/citation-style-language/schema/raw/master/csl-citation.json"}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346</w:t>
            </w:r>
            <w:r w:rsidRPr="007D4CB3">
              <w:rPr>
                <w:rFonts w:ascii="Times New Roman" w:hAnsi="Times New Roman" w:cs="Times New Roman"/>
                <w:sz w:val="24"/>
              </w:rPr>
              <w:fldChar w:fldCharType="end"/>
            </w:r>
          </w:p>
        </w:tc>
        <w:tc>
          <w:tcPr>
            <w:tcW w:w="3427" w:type="dxa"/>
          </w:tcPr>
          <w:p w14:paraId="026C041F"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Modafinil</w:t>
            </w:r>
          </w:p>
        </w:tc>
        <w:tc>
          <w:tcPr>
            <w:tcW w:w="2085" w:type="dxa"/>
          </w:tcPr>
          <w:p w14:paraId="04E6C194" w14:textId="0F1945A1"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200</w:t>
            </w:r>
            <w:r w:rsidR="00F27C56" w:rsidRPr="007D4CB3">
              <w:rPr>
                <w:rFonts w:ascii="Times New Roman" w:hAnsi="Times New Roman" w:cs="Times New Roman"/>
                <w:sz w:val="24"/>
              </w:rPr>
              <w:t xml:space="preserve"> mg </w:t>
            </w:r>
            <w:r w:rsidRPr="007D4CB3">
              <w:rPr>
                <w:rFonts w:ascii="Times New Roman" w:hAnsi="Times New Roman" w:cs="Times New Roman"/>
                <w:sz w:val="24"/>
              </w:rPr>
              <w:t>BID</w:t>
            </w:r>
          </w:p>
        </w:tc>
        <w:tc>
          <w:tcPr>
            <w:tcW w:w="2250" w:type="dxa"/>
          </w:tcPr>
          <w:p w14:paraId="239CF39B"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Cocaine</w:t>
            </w:r>
          </w:p>
        </w:tc>
      </w:tr>
      <w:tr w:rsidR="005D3271" w:rsidRPr="007D4CB3" w14:paraId="397D6BAC" w14:textId="77777777">
        <w:tc>
          <w:tcPr>
            <w:tcW w:w="2673" w:type="dxa"/>
          </w:tcPr>
          <w:p w14:paraId="72715166" w14:textId="4D8238CF"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Shearer et al, 2009</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{"citationID":"sYd6ijEa","properties":{"formattedCitation":"\\super 347\\nosupersub{}","plainCitation":"347","noteIndex":0},"citationItems":[{"id":6529,"uris":["http://zotero.org/groups/4862100/items/J9H6WWKM"],"itemData":{"id":6529,"type":"article-journal","container-title":"Addiction","DOI":"10.1111/j.1360-0443.2008.02437.x","ISSN":"09652140, 13600443","issue":"2","language":"en","page":"224-233","source":"DOI.org (Crossref)","title":"A double-blind, placebo-controlled trial of modafinil (200 mg/day) for methamphetamine dependence","volume":"104","author":[{"family":"Shearer","given":"James"},{"family":"Darke","given":"Shane"},{"family":"Rodgers","given":"Craig"},{"family":"Slade","given":"Tim"},{"family":"Van Beek","given":"Ingrid"},{"family":"Lewis","given":"John"},{"family":"Brady","given":"Donna"},{"family":"McKetin","given":"Rebecca"},{"family":"Mattick","given":"Richard P."},{"family":"Wodak","given":"Alex"}],"issued":{"date-parts":[["2009",2]]}}}],"schema":"https://github.com/citation-style-language/schema/raw/master/csl-citation.json"}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347</w:t>
            </w:r>
            <w:r w:rsidRPr="007D4CB3">
              <w:rPr>
                <w:rFonts w:ascii="Times New Roman" w:hAnsi="Times New Roman" w:cs="Times New Roman"/>
                <w:sz w:val="24"/>
              </w:rPr>
              <w:fldChar w:fldCharType="end"/>
            </w:r>
          </w:p>
        </w:tc>
        <w:tc>
          <w:tcPr>
            <w:tcW w:w="3427" w:type="dxa"/>
          </w:tcPr>
          <w:p w14:paraId="004CB13E"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Modafinil</w:t>
            </w:r>
          </w:p>
        </w:tc>
        <w:tc>
          <w:tcPr>
            <w:tcW w:w="2085" w:type="dxa"/>
          </w:tcPr>
          <w:p w14:paraId="19383C51"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Max 200 mg/day</w:t>
            </w:r>
          </w:p>
        </w:tc>
        <w:tc>
          <w:tcPr>
            <w:tcW w:w="2250" w:type="dxa"/>
          </w:tcPr>
          <w:p w14:paraId="1D6EAA06" w14:textId="4BB3591A" w:rsidR="005D3271" w:rsidRPr="007D4CB3" w:rsidRDefault="00C70080"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ATS</w:t>
            </w:r>
          </w:p>
        </w:tc>
      </w:tr>
      <w:tr w:rsidR="00C83017" w:rsidRPr="007D4CB3" w14:paraId="1BF60543" w14:textId="77777777" w:rsidTr="00FC14B3">
        <w:tc>
          <w:tcPr>
            <w:tcW w:w="10435" w:type="dxa"/>
            <w:gridSpan w:val="4"/>
            <w:shd w:val="clear" w:color="auto" w:fill="D9D9D9" w:themeFill="background1" w:themeFillShade="D9"/>
          </w:tcPr>
          <w:p w14:paraId="4152AE50" w14:textId="78DA0CEE" w:rsidR="00C83017" w:rsidRPr="007D4CB3" w:rsidRDefault="00C83017"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Topiramate</w:t>
            </w:r>
          </w:p>
        </w:tc>
      </w:tr>
      <w:tr w:rsidR="005D3271" w:rsidRPr="007D4CB3" w14:paraId="0EF3C2A2" w14:textId="77777777">
        <w:tc>
          <w:tcPr>
            <w:tcW w:w="2673" w:type="dxa"/>
          </w:tcPr>
          <w:p w14:paraId="1B987A15" w14:textId="6749F6CE"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Levin et al, 2020</w:t>
            </w:r>
            <w:r w:rsidRPr="007D4CB3">
              <w:rPr>
                <w:rFonts w:ascii="Times New Roman" w:hAnsi="Times New Roman" w:cs="Times New Roman"/>
                <w:sz w:val="24"/>
              </w:rPr>
              <w:fldChar w:fldCharType="begin"/>
            </w:r>
            <w:r w:rsidR="00B678C8" w:rsidRPr="007D4CB3">
              <w:rPr>
                <w:rFonts w:ascii="Times New Roman" w:hAnsi="Times New Roman" w:cs="Times New Roman"/>
                <w:sz w:val="24"/>
              </w:rPr>
              <w:instrText xml:space="preserve"> ADDIN ZOTERO_ITEM CSL_CITATION {"citationID":"SPONtPGc","properties":{"formattedCitation":"\\super 137\\nosupersub{}","plainCitation":"137","noteIndex":0},"citationItems":[{"id":1744,"uris":["http://zotero.org/groups/4862100/items/ZPN2E4W3"],"itemData":{"id":1744,"type":"article-journal","container-title":"Drug and Alcohol Dependence","DOI":"10.1016/j.drugalcdep.2019.107700","ISSN":"03768716","journalAbbreviation":"Drug and Alcohol Dependence","language":"en","page":"107700","source":"DOI.org (Crossref)","title":"Extended release mixed amphetamine salts and topiramate for cocaine dependence: A randomized clinical replication trial with frequent users","title-short":"Extended release mixed amphetamine salts and topiramate for cocaine dependence","volume":"206","author":[{"family":"Levin","given":"Frances R."},{"family":"Mariani","given":"John J."},{"family":"Pavlicova","given":"Martina"},{"family":"Choi","given":"C. Jean"},{"family":"Mahony","given":"Amy L."},{"family":"Brooks","given":"Daniel J."},{"family":"Bisaga","given":"Adam"},{"family":"Dakwar","given":"Elias"},{"family":"Carpenter","given":"Kenneth M."},{"family":"Naqvi","given":"Nasir"},{"family":"Nunes","given":"Edward V."},{"family":"Kampman","given":"Kyle"}],"issued":{"date-parts":[["2020",1]]}}}],"schema":"https://github.com/citation-style-language/schema/raw/master/csl-citation.json"} </w:instrText>
            </w:r>
            <w:r w:rsidRPr="007D4CB3">
              <w:rPr>
                <w:rFonts w:ascii="Times New Roman" w:hAnsi="Times New Roman" w:cs="Times New Roman"/>
                <w:sz w:val="24"/>
              </w:rPr>
              <w:fldChar w:fldCharType="separate"/>
            </w:r>
            <w:r w:rsidR="00B678C8" w:rsidRPr="007D4CB3">
              <w:rPr>
                <w:rFonts w:ascii="Times New Roman" w:hAnsi="Times New Roman" w:cs="Times New Roman"/>
                <w:sz w:val="24"/>
                <w:vertAlign w:val="superscript"/>
              </w:rPr>
              <w:t>137</w:t>
            </w:r>
            <w:r w:rsidRPr="007D4CB3">
              <w:rPr>
                <w:rFonts w:ascii="Times New Roman" w:hAnsi="Times New Roman" w:cs="Times New Roman"/>
                <w:sz w:val="24"/>
              </w:rPr>
              <w:fldChar w:fldCharType="end"/>
            </w:r>
          </w:p>
        </w:tc>
        <w:tc>
          <w:tcPr>
            <w:tcW w:w="3427" w:type="dxa"/>
          </w:tcPr>
          <w:p w14:paraId="43902DE1"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Topiramate + MAS-ER</w:t>
            </w:r>
          </w:p>
        </w:tc>
        <w:tc>
          <w:tcPr>
            <w:tcW w:w="2085" w:type="dxa"/>
          </w:tcPr>
          <w:p w14:paraId="0D3CD7B3" w14:textId="2B582DEC"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 xml:space="preserve">Topiramate </w:t>
            </w:r>
            <w:r w:rsidR="009222E4" w:rsidRPr="007D4CB3">
              <w:rPr>
                <w:rFonts w:ascii="Times New Roman" w:hAnsi="Times New Roman" w:cs="Times New Roman"/>
                <w:sz w:val="24"/>
              </w:rPr>
              <w:t>max</w:t>
            </w:r>
            <w:r w:rsidRPr="007D4CB3">
              <w:rPr>
                <w:rFonts w:ascii="Times New Roman" w:hAnsi="Times New Roman" w:cs="Times New Roman"/>
                <w:sz w:val="24"/>
              </w:rPr>
              <w:t xml:space="preserve"> 100 mg </w:t>
            </w:r>
            <w:r w:rsidR="00BD351C" w:rsidRPr="007D4CB3">
              <w:rPr>
                <w:rFonts w:ascii="Times New Roman" w:hAnsi="Times New Roman" w:cs="Times New Roman"/>
                <w:sz w:val="24"/>
              </w:rPr>
              <w:t>BID</w:t>
            </w:r>
            <w:r w:rsidRPr="007D4CB3">
              <w:rPr>
                <w:rFonts w:ascii="Times New Roman" w:hAnsi="Times New Roman" w:cs="Times New Roman"/>
                <w:sz w:val="24"/>
              </w:rPr>
              <w:t xml:space="preserve"> + MAS-ER </w:t>
            </w:r>
            <w:r w:rsidR="009222E4" w:rsidRPr="007D4CB3">
              <w:rPr>
                <w:rFonts w:ascii="Times New Roman" w:hAnsi="Times New Roman" w:cs="Times New Roman"/>
                <w:sz w:val="24"/>
              </w:rPr>
              <w:t>max</w:t>
            </w:r>
            <w:r w:rsidRPr="007D4CB3">
              <w:rPr>
                <w:rFonts w:ascii="Times New Roman" w:hAnsi="Times New Roman" w:cs="Times New Roman"/>
                <w:sz w:val="24"/>
              </w:rPr>
              <w:t xml:space="preserve"> 60 mg/day</w:t>
            </w:r>
          </w:p>
        </w:tc>
        <w:tc>
          <w:tcPr>
            <w:tcW w:w="2250" w:type="dxa"/>
          </w:tcPr>
          <w:p w14:paraId="722BA206"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Cocaine</w:t>
            </w:r>
          </w:p>
        </w:tc>
      </w:tr>
      <w:tr w:rsidR="005D3271" w:rsidRPr="007D4CB3" w14:paraId="5D85B64B" w14:textId="77777777">
        <w:tc>
          <w:tcPr>
            <w:tcW w:w="2673" w:type="dxa"/>
          </w:tcPr>
          <w:p w14:paraId="387E7D78" w14:textId="5F8F5A81"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Mariani et al, 2012</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{"citationID":"kOxRXNtG","properties":{"formattedCitation":"\\super 348\\nosupersub{}","plainCitation":"348","noteIndex":0},"citationItems":[{"id":1743,"uris":["http://zotero.org/groups/4862100/items/2C2WJEXC"],"itemData":{"id":1743,"type":"article-journal","container-title":"Biological Psychiatry","DOI":"10.1016/j.biopsych.2012.05.032","ISSN":"00063223","issue":"11","journalAbbreviation":"Biological Psychiatry","language":"en","page":"950-956","source":"DOI.org (Crossref)","title":"Extended-Release Mixed Amphetamine Salts and Topiramate for Cocaine Dependence: A Randomized Controlled Trial","title-short":"Extended-Release Mixed Amphetamine Salts and Topiramate for Cocaine Dependence","volume":"72","author":[{"family":"Mariani","given":"John J."},{"family":"Pavlicova","given":"Martina"},{"family":"Bisaga","given":"Adam"},{"family":"Nunes","given":"Edward V."},{"family":"Brooks","given":"Daniel J."},{"family":"Levin","given":"Frances R."}],"issued":{"date-parts":[["2012",12]]}}}],"schema":"https://github.com/citation-style-language/schema/raw/master/csl-citation.json"}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348</w:t>
            </w:r>
            <w:r w:rsidRPr="007D4CB3">
              <w:rPr>
                <w:rFonts w:ascii="Times New Roman" w:hAnsi="Times New Roman" w:cs="Times New Roman"/>
                <w:sz w:val="24"/>
              </w:rPr>
              <w:fldChar w:fldCharType="end"/>
            </w:r>
          </w:p>
        </w:tc>
        <w:tc>
          <w:tcPr>
            <w:tcW w:w="3427" w:type="dxa"/>
          </w:tcPr>
          <w:p w14:paraId="67A03C68"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Topiramate + MAS-ER</w:t>
            </w:r>
          </w:p>
        </w:tc>
        <w:tc>
          <w:tcPr>
            <w:tcW w:w="2085" w:type="dxa"/>
          </w:tcPr>
          <w:p w14:paraId="093A5D7E" w14:textId="301D4562"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 xml:space="preserve">Topiramate max 150 mg </w:t>
            </w:r>
            <w:r w:rsidR="00BD351C" w:rsidRPr="007D4CB3">
              <w:rPr>
                <w:rFonts w:ascii="Times New Roman" w:hAnsi="Times New Roman" w:cs="Times New Roman"/>
                <w:sz w:val="24"/>
              </w:rPr>
              <w:t>BID</w:t>
            </w:r>
            <w:r w:rsidRPr="007D4CB3">
              <w:rPr>
                <w:rFonts w:ascii="Times New Roman" w:hAnsi="Times New Roman" w:cs="Times New Roman"/>
                <w:sz w:val="24"/>
              </w:rPr>
              <w:t xml:space="preserve"> + </w:t>
            </w:r>
            <w:r w:rsidRPr="007D4CB3">
              <w:rPr>
                <w:rFonts w:ascii="Times New Roman" w:hAnsi="Times New Roman" w:cs="Times New Roman"/>
                <w:sz w:val="24"/>
              </w:rPr>
              <w:lastRenderedPageBreak/>
              <w:t>MAS-ER max 60 mg/day</w:t>
            </w:r>
          </w:p>
        </w:tc>
        <w:tc>
          <w:tcPr>
            <w:tcW w:w="2250" w:type="dxa"/>
          </w:tcPr>
          <w:p w14:paraId="1F2159FB"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lastRenderedPageBreak/>
              <w:t>Cocaine</w:t>
            </w:r>
          </w:p>
        </w:tc>
      </w:tr>
      <w:tr w:rsidR="00200D13" w:rsidRPr="007D4CB3" w14:paraId="7D93BEB7" w14:textId="77777777" w:rsidTr="00795E06">
        <w:tc>
          <w:tcPr>
            <w:tcW w:w="10435" w:type="dxa"/>
            <w:gridSpan w:val="4"/>
            <w:shd w:val="clear" w:color="auto" w:fill="D9D9D9" w:themeFill="background1" w:themeFillShade="D9"/>
          </w:tcPr>
          <w:p w14:paraId="59CF3792" w14:textId="24CA598B" w:rsidR="00200D13" w:rsidRPr="007D4CB3" w:rsidRDefault="00200D13"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MAS-ER</w:t>
            </w:r>
          </w:p>
        </w:tc>
      </w:tr>
      <w:tr w:rsidR="005D3271" w:rsidRPr="007D4CB3" w14:paraId="5093BD74" w14:textId="77777777">
        <w:tc>
          <w:tcPr>
            <w:tcW w:w="2673" w:type="dxa"/>
          </w:tcPr>
          <w:p w14:paraId="6DAF395B" w14:textId="3BBE45B4"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Levin et al, 2015</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{"citationID":"Q0bbYCTC","properties":{"formattedCitation":"\\super 349\\nosupersub{}","plainCitation":"349","noteIndex":0},"citationItems":[{"id":3028,"uris":["http://zotero.org/groups/4862100/items/LZNKMGXW"],"itemData":{"id":3028,"type":"article-journal","container-title":"JAMA Psychiatry","DOI":"10.1001/jamapsychiatry.2015.41","ISSN":"2168-622X","issue":"6","journalAbbreviation":"JAMA Psychiatry","language":"en","page":"593","source":"DOI.org (Crossref)","title":"Extended-Release Mixed Amphetamine Salts vs Placebo for Comorbid Adult Attention-Deficit/Hyperactivity Disorder and Cocaine Use Disorder: A Randomized Clinical Trial","title-short":"Extended-Release Mixed Amphetamine Salts vs Placebo for Comorbid Adult Attention-Deficit/Hyperactivity Disorder and Cocaine Use Disorder","volume":"72","author":[{"family":"Levin","given":"Frances R."},{"family":"Mariani","given":"John J."},{"family":"Specker","given":"Sheila"},{"family":"Mooney","given":"Marc"},{"family":"Mahony","given":"Amy"},{"family":"Brooks","given":"Daniel J."},{"family":"Babb","given":"David"},{"family":"Bai","given":"Yun"},{"family":"Eberly","given":"Lynn E."},{"family":"Nunes","given":"Edward V."},{"family":"Grabowski","given":"John"}],"issued":{"date-parts":[["2015",6,1]]}}}],"schema":"https://github.com/citation-style-language/schema/raw/master/csl-citation.json"}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349</w:t>
            </w:r>
            <w:r w:rsidRPr="007D4CB3">
              <w:rPr>
                <w:rFonts w:ascii="Times New Roman" w:hAnsi="Times New Roman" w:cs="Times New Roman"/>
                <w:sz w:val="24"/>
              </w:rPr>
              <w:fldChar w:fldCharType="end"/>
            </w:r>
          </w:p>
        </w:tc>
        <w:tc>
          <w:tcPr>
            <w:tcW w:w="3427" w:type="dxa"/>
          </w:tcPr>
          <w:p w14:paraId="7638374A"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MAS-ER</w:t>
            </w:r>
          </w:p>
        </w:tc>
        <w:tc>
          <w:tcPr>
            <w:tcW w:w="2085" w:type="dxa"/>
          </w:tcPr>
          <w:p w14:paraId="65AE0CFD"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60 or 80 mg/day</w:t>
            </w:r>
          </w:p>
        </w:tc>
        <w:tc>
          <w:tcPr>
            <w:tcW w:w="2250" w:type="dxa"/>
          </w:tcPr>
          <w:p w14:paraId="61353088"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Cocaine</w:t>
            </w:r>
          </w:p>
        </w:tc>
      </w:tr>
      <w:tr w:rsidR="00CE35E5" w:rsidRPr="007D4CB3" w14:paraId="30D361DC" w14:textId="77777777" w:rsidTr="00CE35E5">
        <w:tc>
          <w:tcPr>
            <w:tcW w:w="10435" w:type="dxa"/>
            <w:gridSpan w:val="4"/>
            <w:shd w:val="clear" w:color="auto" w:fill="D9D9D9" w:themeFill="background1" w:themeFillShade="D9"/>
          </w:tcPr>
          <w:p w14:paraId="3E7F32F9" w14:textId="30E33872" w:rsidR="00CE35E5" w:rsidRPr="007D4CB3" w:rsidRDefault="00CE35E5"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Dextroamphetamine</w:t>
            </w:r>
            <w:r w:rsidR="0019117E" w:rsidRPr="007D4CB3">
              <w:rPr>
                <w:rFonts w:ascii="Times New Roman" w:hAnsi="Times New Roman" w:cs="Times New Roman"/>
                <w:sz w:val="24"/>
              </w:rPr>
              <w:t>/Lisdexamfetamine</w:t>
            </w:r>
          </w:p>
        </w:tc>
      </w:tr>
      <w:tr w:rsidR="005D3271" w:rsidRPr="007D4CB3" w14:paraId="04B74499" w14:textId="77777777">
        <w:tc>
          <w:tcPr>
            <w:tcW w:w="2673" w:type="dxa"/>
          </w:tcPr>
          <w:p w14:paraId="4ED7E222" w14:textId="75D63191"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Charnaud and Griffiths</w:t>
            </w:r>
            <w:r w:rsidR="00F27C56" w:rsidRPr="007D4CB3">
              <w:rPr>
                <w:rFonts w:ascii="Times New Roman" w:hAnsi="Times New Roman" w:cs="Times New Roman"/>
                <w:sz w:val="24"/>
              </w:rPr>
              <w:t>,</w:t>
            </w:r>
            <w:r w:rsidRPr="007D4CB3">
              <w:rPr>
                <w:rFonts w:ascii="Times New Roman" w:hAnsi="Times New Roman" w:cs="Times New Roman"/>
                <w:sz w:val="24"/>
              </w:rPr>
              <w:t xml:space="preserve"> 1998</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{"citationID":"XeIdcdKr","properties":{"formattedCitation":"\\super 350\\nosupersub{}","plainCitation":"350","noteIndex":0},"citationItems":[{"id":6522,"uris":["http://zotero.org/groups/4862100/items/KPAQFL4N"],"itemData":{"id":6522,"type":"article-journal","container-title":"Drug and Alcohol Dependence","DOI":"10.1016/S0376-8716(98)00052-0","ISSN":"03768716","issue":"1","journalAbbreviation":"Drug and Alcohol Dependence","language":"en","page":"79-84","source":"DOI.org (Crossref)","title":"Levels of intravenous drug misuse among clients prescribed oral dexamphetamine or oral methadone: a comparison","title-short":"Levels of intravenous drug misuse among clients prescribed oral dexamphetamine or oral methadone","volume":"52","author":[{"family":"Charnaud","given":"Ben"},{"family":"Griffiths","given":"Vanessa"}],"issued":{"date-parts":[["1998",9]]}}}],"schema":"https://github.com/citation-style-language/schema/raw/master/csl-citation.json"}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350</w:t>
            </w:r>
            <w:r w:rsidRPr="007D4CB3">
              <w:rPr>
                <w:rFonts w:ascii="Times New Roman" w:hAnsi="Times New Roman" w:cs="Times New Roman"/>
                <w:sz w:val="24"/>
              </w:rPr>
              <w:fldChar w:fldCharType="end"/>
            </w:r>
          </w:p>
        </w:tc>
        <w:tc>
          <w:tcPr>
            <w:tcW w:w="3427" w:type="dxa"/>
          </w:tcPr>
          <w:p w14:paraId="4B0B07C5"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Dextroamphetamine (d-AMP)</w:t>
            </w:r>
          </w:p>
        </w:tc>
        <w:tc>
          <w:tcPr>
            <w:tcW w:w="2085" w:type="dxa"/>
          </w:tcPr>
          <w:p w14:paraId="0135ED1B"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Individualized</w:t>
            </w:r>
          </w:p>
        </w:tc>
        <w:tc>
          <w:tcPr>
            <w:tcW w:w="2250" w:type="dxa"/>
          </w:tcPr>
          <w:p w14:paraId="0CD5E4CD" w14:textId="365AEB83" w:rsidR="005D3271" w:rsidRPr="007D4CB3" w:rsidRDefault="00C70080"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ATS</w:t>
            </w:r>
          </w:p>
        </w:tc>
      </w:tr>
      <w:tr w:rsidR="005D3271" w:rsidRPr="007D4CB3" w14:paraId="7A580218" w14:textId="77777777">
        <w:tc>
          <w:tcPr>
            <w:tcW w:w="2673" w:type="dxa"/>
          </w:tcPr>
          <w:p w14:paraId="05CF6270" w14:textId="3B30A578"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Galloway et al, 2011</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{"citationID":"JbHKkURj","properties":{"formattedCitation":"\\super 351\\nosupersub{}","plainCitation":"351","noteIndex":0},"citationItems":[{"id":6523,"uris":["http://zotero.org/groups/4862100/items/RFJ3DRWJ"],"itemData":{"id":6523,"type":"article-journal","container-title":"Clinical Pharmacology &amp; Therapeutics","DOI":"10.1038/clpt.2010.307","ISSN":"0009-9236, 1532-6535","issue":"2","journalAbbreviation":"Clin Pharmacol Ther","page":"276-282","source":"DOI.org (Crossref)","title":"A Randomized, Placebo-Controlled Trial of Sustained-Release Dextroamphetamine for Treatment of Methamphetamine Addiction","volume":"89","author":[{"family":"Galloway","given":"G P"},{"family":"Buscemi","given":"R"},{"family":"Coyle","given":"J R"},{"family":"Flower","given":"K"},{"family":"Siegrist","given":"J D"},{"family":"Fiske","given":"L A"},{"family":"Baggott","given":"M J"},{"family":"Li","given":"L"},{"family":"Polcin","given":"D"},{"family":"Chen","given":"C Y A"},{"family":"Mendelson","given":"J"}],"issued":{"date-parts":[["2011",2]]}}}],"schema":"https://github.com/citation-style-language/schema/raw/master/csl-citation.json"}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351</w:t>
            </w:r>
            <w:r w:rsidRPr="007D4CB3">
              <w:rPr>
                <w:rFonts w:ascii="Times New Roman" w:hAnsi="Times New Roman" w:cs="Times New Roman"/>
                <w:sz w:val="24"/>
              </w:rPr>
              <w:fldChar w:fldCharType="end"/>
            </w:r>
          </w:p>
        </w:tc>
        <w:tc>
          <w:tcPr>
            <w:tcW w:w="3427" w:type="dxa"/>
          </w:tcPr>
          <w:p w14:paraId="00000B0A"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Dextroamphetamine (d-AMP-SR)</w:t>
            </w:r>
          </w:p>
        </w:tc>
        <w:tc>
          <w:tcPr>
            <w:tcW w:w="2085" w:type="dxa"/>
          </w:tcPr>
          <w:p w14:paraId="1CB43E23" w14:textId="4C52C5BA"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 xml:space="preserve">30 mg </w:t>
            </w:r>
            <w:r w:rsidR="00BD351C" w:rsidRPr="007D4CB3">
              <w:rPr>
                <w:rFonts w:ascii="Times New Roman" w:hAnsi="Times New Roman" w:cs="Times New Roman"/>
                <w:sz w:val="24"/>
              </w:rPr>
              <w:t>BID</w:t>
            </w:r>
          </w:p>
        </w:tc>
        <w:tc>
          <w:tcPr>
            <w:tcW w:w="2250" w:type="dxa"/>
          </w:tcPr>
          <w:p w14:paraId="49C08917" w14:textId="12B15275" w:rsidR="005D3271" w:rsidRPr="007D4CB3" w:rsidRDefault="00991ED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ATS</w:t>
            </w:r>
          </w:p>
        </w:tc>
      </w:tr>
      <w:tr w:rsidR="005D3271" w:rsidRPr="007D4CB3" w14:paraId="3650E32F" w14:textId="77777777">
        <w:tc>
          <w:tcPr>
            <w:tcW w:w="2673" w:type="dxa"/>
          </w:tcPr>
          <w:p w14:paraId="1D5546DC" w14:textId="30AF5D72"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Grabowski et al, 2001</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{"citationID":"k1oa8IBl","properties":{"formattedCitation":"\\super 352\\nosupersub{}","plainCitation":"352","noteIndex":0},"citationItems":[{"id":3041,"uris":["http://zotero.org/groups/4862100/items/2FUKUGGG"],"itemData":{"id":3041,"type":"article-journal","abstract":"A properly implemented agonist treatment regimen should improve retention and reduce illicit drug use. Cocaine-dependent subjects (N = 128) were enrolled in a 12-week randomized, double-blind, placebo-controlled trial. In the multistage dosing design, subjects initially received placebo (PBO) or 15 to 30 mg of dextroamphetamine sulfate, sustained-release capsules. At week 5, the dose doubled to 30 mg or 60 mg for active groups. Subjects attended the clinic twice a week, provided urine samples, obtained medication, and had one behavioral therapy session a week. Retention was best for the 15-to 30-mg group, whereas the proportion of benzoylecgonine-positive urine screens was, from lowest to highest, 30 to 60 mg, 15 to 30 mg, and PBO at study end. Dosing must be refined. The results provide support for additional examination of the agonist model in psychostimulantdependence treatment.","container-title":"Journal of Clinical Psychopharmacology","ISSN":"0271-0749","issue":"5","language":"en-US","page":"522","source":"journals.lww.com","title":"Dextroamphetamine for Cocaine-Dependence Treatment: A Double-Blind Randomized Clinical Trial","title-short":"Dextroamphetamine for Cocaine-Dependence Treatment","volume":"21","author":[{"family":"Grabowski","given":"John"},{"family":"Rhoades","given":"Howard"},{"family":"Schmitz","given":"Joy"},{"family":"Stotts","given":"Angela"},{"family":"Daruzska","given":"Lee Ann"},{"family":"Creson","given":"Dan"},{"family":"Moeller","given":"F. Gerard"}],"issued":{"date-parts":[["2001",10]]}}}],"schema":"https://github.com/citation-style-language/schema/raw/master/csl-citation.json"}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352</w:t>
            </w:r>
            <w:r w:rsidRPr="007D4CB3">
              <w:rPr>
                <w:rFonts w:ascii="Times New Roman" w:hAnsi="Times New Roman" w:cs="Times New Roman"/>
                <w:sz w:val="24"/>
              </w:rPr>
              <w:fldChar w:fldCharType="end"/>
            </w:r>
          </w:p>
        </w:tc>
        <w:tc>
          <w:tcPr>
            <w:tcW w:w="3427" w:type="dxa"/>
          </w:tcPr>
          <w:p w14:paraId="6B8C2E60" w14:textId="044A5488"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Dextroamphetamine (d-AMP-SR)</w:t>
            </w:r>
          </w:p>
        </w:tc>
        <w:tc>
          <w:tcPr>
            <w:tcW w:w="2085" w:type="dxa"/>
          </w:tcPr>
          <w:p w14:paraId="7BDC0B83"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Max 60 mg/day</w:t>
            </w:r>
          </w:p>
        </w:tc>
        <w:tc>
          <w:tcPr>
            <w:tcW w:w="2250" w:type="dxa"/>
          </w:tcPr>
          <w:p w14:paraId="43B29D7F"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Cocaine</w:t>
            </w:r>
          </w:p>
        </w:tc>
      </w:tr>
      <w:tr w:rsidR="005D3271" w:rsidRPr="007D4CB3" w14:paraId="5935E82E" w14:textId="77777777">
        <w:tc>
          <w:tcPr>
            <w:tcW w:w="2673" w:type="dxa"/>
          </w:tcPr>
          <w:p w14:paraId="582857F1" w14:textId="4CF6DAB1"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Grabowski et al, 2004</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{"citationID":"S0bjiuu5","properties":{"formattedCitation":"\\super 353\\nosupersub{}","plainCitation":"353","noteIndex":0},"citationItems":[{"id":3025,"uris":["http://zotero.org/groups/4862100/items/RAIFXNLF"],"itemData":{"id":3025,"type":"article-journal","container-title":"Neuropsychopharmacology","DOI":"10/dnmp8x","ISSN":"0893-133X, 1740-634X","issue":"5","journalAbbreviation":"Neuropsychopharmacol","language":"en","page":"969-981","source":"DOI.org (Crossref)","title":"Agonist-Like or Antagonist-Like Treatment for Cocaine Dependence with Methadone for Heroin Dependence: Two Double-Blind Randomized Clinical Trials","title-short":"Agonist-Like or Antagonist-Like Treatment for Cocaine Dependence with Methadone for Heroin Dependence","volume":"29","author":[{"family":"Grabowski","given":"John"},{"family":"Rhoades","given":"Howard"},{"family":"Stotts","given":"Angela"},{"family":"Cowan","given":"Katherine"},{"family":"Kopecky","given":"Charles"},{"family":"Dougherty","given":"Anne"},{"family":"Moeller","given":"F Gerard"},{"family":"Hassan","given":"Sohela"},{"family":"Schmitz","given":"Joy"}],"issued":{"date-parts":[["2004",5]]}}}],"schema":"https://github.com/citation-style-language/schema/raw/master/csl-citation.json"}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353</w:t>
            </w:r>
            <w:r w:rsidRPr="007D4CB3">
              <w:rPr>
                <w:rFonts w:ascii="Times New Roman" w:hAnsi="Times New Roman" w:cs="Times New Roman"/>
                <w:sz w:val="24"/>
              </w:rPr>
              <w:fldChar w:fldCharType="end"/>
            </w:r>
          </w:p>
        </w:tc>
        <w:tc>
          <w:tcPr>
            <w:tcW w:w="3427" w:type="dxa"/>
          </w:tcPr>
          <w:p w14:paraId="1EC29889" w14:textId="4B0244D2"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Dextroamphetamine (d-AMP-SR)</w:t>
            </w:r>
          </w:p>
        </w:tc>
        <w:tc>
          <w:tcPr>
            <w:tcW w:w="2085" w:type="dxa"/>
          </w:tcPr>
          <w:p w14:paraId="2A628D66"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Max 60 mg/day</w:t>
            </w:r>
          </w:p>
        </w:tc>
        <w:tc>
          <w:tcPr>
            <w:tcW w:w="2250" w:type="dxa"/>
          </w:tcPr>
          <w:p w14:paraId="21D73C6D"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Cocaine</w:t>
            </w:r>
          </w:p>
        </w:tc>
      </w:tr>
      <w:tr w:rsidR="005D3271" w:rsidRPr="007D4CB3" w14:paraId="4072D0E3" w14:textId="77777777">
        <w:tc>
          <w:tcPr>
            <w:tcW w:w="2673" w:type="dxa"/>
          </w:tcPr>
          <w:p w14:paraId="04190A9A" w14:textId="4BC5A995"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Longo et al, 2010</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{"citationID":"RFCfES6q","properties":{"formattedCitation":"\\super 354\\nosupersub{}","plainCitation":"354","noteIndex":0},"citationItems":[{"id":6525,"uris":["http://zotero.org/groups/4862100/items/USMHDJXB"],"itemData":{"id":6525,"type":"article-journal","container-title":"Addiction","DOI":"10.1111/j.1360-0443.2009.02717.x","ISSN":"09652140, 13600443","issue":"1","language":"en","page":"146-154","source":"DOI.org (Crossref)","title":"Randomized controlled trial of dexamphetamine maintenance for the treatment of methamphetamine dependence: Dexamphetamine maintenance trial","title-short":"Randomized controlled trial of dexamphetamine maintenance for the treatment of methamphetamine dependence","volume":"105","author":[{"family":"Longo","given":"Marie"},{"family":"Wickes","given":"Wendy"},{"family":"Smout","given":"Matthew"},{"family":"Harrison","given":"Sonia"},{"family":"Cahill","given":"Sharon"},{"family":"White","given":"Jason M."}],"issued":{"date-parts":[["2010",1]]}}}],"schema":"https://github.com/citation-style-language/schema/raw/master/csl-citation.json"}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354</w:t>
            </w:r>
            <w:r w:rsidRPr="007D4CB3">
              <w:rPr>
                <w:rFonts w:ascii="Times New Roman" w:hAnsi="Times New Roman" w:cs="Times New Roman"/>
                <w:sz w:val="24"/>
              </w:rPr>
              <w:fldChar w:fldCharType="end"/>
            </w:r>
          </w:p>
        </w:tc>
        <w:tc>
          <w:tcPr>
            <w:tcW w:w="3427" w:type="dxa"/>
          </w:tcPr>
          <w:p w14:paraId="4FB859E9"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Dextroamphetamine (d-AMP-SR)</w:t>
            </w:r>
          </w:p>
        </w:tc>
        <w:tc>
          <w:tcPr>
            <w:tcW w:w="2085" w:type="dxa"/>
          </w:tcPr>
          <w:p w14:paraId="6E5E20AD"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Max 110 mg/day</w:t>
            </w:r>
          </w:p>
        </w:tc>
        <w:tc>
          <w:tcPr>
            <w:tcW w:w="2250" w:type="dxa"/>
          </w:tcPr>
          <w:p w14:paraId="2C186F4E" w14:textId="1562ABC1" w:rsidR="005D3271" w:rsidRPr="007D4CB3" w:rsidRDefault="009222E4"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ATS</w:t>
            </w:r>
          </w:p>
        </w:tc>
      </w:tr>
      <w:tr w:rsidR="005D3271" w:rsidRPr="007D4CB3" w14:paraId="4232E702" w14:textId="77777777">
        <w:tc>
          <w:tcPr>
            <w:tcW w:w="2673" w:type="dxa"/>
          </w:tcPr>
          <w:p w14:paraId="0FC46E3B" w14:textId="2DF23FA8"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Merrill et al, 2005</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{"citationID":"KTj2dPck","properties":{"formattedCitation":"\\super 355\\nosupersub{}","plainCitation":"355","noteIndex":0},"citationItems":[{"id":6530,"uris":["http://zotero.org/groups/4862100/items/PSI6W97X"],"itemData":{"id":6530,"type":"article-journal","container-title":"Drugs: Education, Prevention, and Policy","issue":"Supplement 1","page":"94-97","title":"Dexamphetamine substitution as a treatment of amphetamine dependence: A two-centre randomised controlled trial","volume":"12","author":[{"family":"Merrill","given":"John"},{"family":"McBride","given":"Andrew"},{"family":"Pates","given":"Richard"},{"family":"Peters","given":"Lesley"},{"family":"Tetlow","given":"A"},{"family":"Roberts","given":"C"},{"family":"Arnold","given":"K"},{"family":"Crean","given":"J"},{"family":"Lomax","given":"S"},{"family":"Deakin","given":"B"}],"issued":{"date-parts":[["2005",12]]}}}],"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355</w:t>
            </w:r>
            <w:r w:rsidRPr="007D4CB3">
              <w:rPr>
                <w:rFonts w:ascii="Times New Roman" w:hAnsi="Times New Roman" w:cs="Times New Roman"/>
                <w:sz w:val="24"/>
              </w:rPr>
              <w:fldChar w:fldCharType="end"/>
            </w:r>
          </w:p>
        </w:tc>
        <w:tc>
          <w:tcPr>
            <w:tcW w:w="3427" w:type="dxa"/>
          </w:tcPr>
          <w:p w14:paraId="7DC59822"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Dextroamphetamine (d-AMP)</w:t>
            </w:r>
          </w:p>
        </w:tc>
        <w:tc>
          <w:tcPr>
            <w:tcW w:w="2085" w:type="dxa"/>
          </w:tcPr>
          <w:p w14:paraId="206A543A"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Max 100 mg/day</w:t>
            </w:r>
          </w:p>
        </w:tc>
        <w:tc>
          <w:tcPr>
            <w:tcW w:w="2250" w:type="dxa"/>
          </w:tcPr>
          <w:p w14:paraId="2A2E02EC" w14:textId="2F2888F0" w:rsidR="005D3271" w:rsidRPr="007D4CB3" w:rsidRDefault="009222E4"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ATS</w:t>
            </w:r>
          </w:p>
        </w:tc>
      </w:tr>
      <w:tr w:rsidR="005D3271" w:rsidRPr="007D4CB3" w14:paraId="3484B44A" w14:textId="77777777">
        <w:tc>
          <w:tcPr>
            <w:tcW w:w="2673" w:type="dxa"/>
          </w:tcPr>
          <w:p w14:paraId="35D5184F" w14:textId="31988394"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Mooney et al, 2015</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{"citationID":"V9CJ5Xs1","properties":{"formattedCitation":"\\super 356\\nosupersub{}","plainCitation":"356","noteIndex":0},"citationItems":[{"id":3033,"uris":["http://zotero.org/groups/4862100/items/ZXEBMP7Q"],"itemData":{"id":3033,"type":"article-journal","abstract":"Background\nAmphetamine analogs have been demonstrated to have some efficacy in reducing use in cocaine dependent individuals. However, these agents also have potential for abuse. Lisdexamfetamine (LDX), a lysine+dextroamphetamine formulation, has been approved for the treatment of Attention-Deficit/Hyperactivity Disorder (ADHD) and as a prodrug, has less abuse potential.\nObjective\nThis pilot study sought to evaluate the safety, tolerability, and efficacy of LDX as a candidate treatment for cocaine dependence.\nMethods\nA randomized, double-blind, placebo-controlled parallel group study served to evaluate LDX in 43 cocaine-dependent individuals: (1) placebo (PBO; 0mg, n=21), (2) LDX (70mg, n=22). Participants received medication for 14 weeks. Cocaine use was determined based on urine analysis for benzoylecgonine (BE; a cocaine metabolite).\nResults\nRetention rates were higher though not significantly different in the PBO (71.4%) than the LDX condition (57.1%). Compared to those in the PBO condition, those receiving LDX were more likely to report experiencing (ps&lt;0.05) diarrhea (45.5% vs. 14.3%), headaches (45.5% vs. 9.5%), and anxiety (31.8% vs. 4.8%). No differences in medication conditions were observed for blood pressure, heart rate, or body weight. In the randomized sample, no differences in cocaine use were seen. Those receiving LDX reported significantly less craving for cocaine than participants receiving PBO.\nConclusions\nLDX did not significantly reduce cocaine use compared to PBO in the randomized sample.","container-title":"Drug and Alcohol Dependence","DOI":"10.1016/j.drugalcdep.2015.05.042","ISSN":"0376-8716","journalAbbreviation":"Drug and Alcohol Dependence","language":"en","page":"94-103","source":"ScienceDirect","title":"Pilot study of the effects of lisdexamfetamine on cocaine use: A randomized, double-blind, placebo-controlled trial","title-short":"Pilot study of the effects of lisdexamfetamine on cocaine use","volume":"153","author":[{"family":"Mooney","given":"Marc E."},{"family":"Herin","given":"David V."},{"family":"Specker","given":"Sheila"},{"family":"Babb","given":"David"},{"family":"Levin","given":"Frances R."},{"family":"Grabowski","given":"John"}],"issued":{"date-parts":[["2015",8,1]]}}}],"schema":"https://github.com/citation-style-language/schema/raw/master/csl-citation.json"}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356</w:t>
            </w:r>
            <w:r w:rsidRPr="007D4CB3">
              <w:rPr>
                <w:rFonts w:ascii="Times New Roman" w:hAnsi="Times New Roman" w:cs="Times New Roman"/>
                <w:sz w:val="24"/>
              </w:rPr>
              <w:fldChar w:fldCharType="end"/>
            </w:r>
          </w:p>
        </w:tc>
        <w:tc>
          <w:tcPr>
            <w:tcW w:w="3427" w:type="dxa"/>
          </w:tcPr>
          <w:p w14:paraId="4B126DB5" w14:textId="23843C99" w:rsidR="005D3271" w:rsidRPr="007D4CB3" w:rsidRDefault="00D174A4"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 xml:space="preserve">Lisdexamfetamine </w:t>
            </w:r>
            <w:r w:rsidR="005D3271" w:rsidRPr="007D4CB3">
              <w:rPr>
                <w:rFonts w:ascii="Times New Roman" w:hAnsi="Times New Roman" w:cs="Times New Roman"/>
                <w:sz w:val="24"/>
              </w:rPr>
              <w:t>(</w:t>
            </w:r>
            <w:r w:rsidR="00213623" w:rsidRPr="007D4CB3">
              <w:rPr>
                <w:rFonts w:ascii="Times New Roman" w:hAnsi="Times New Roman" w:cs="Times New Roman"/>
                <w:sz w:val="24"/>
              </w:rPr>
              <w:t>LDX</w:t>
            </w:r>
            <w:r w:rsidR="005D3271" w:rsidRPr="007D4CB3">
              <w:rPr>
                <w:rFonts w:ascii="Times New Roman" w:hAnsi="Times New Roman" w:cs="Times New Roman"/>
                <w:sz w:val="24"/>
              </w:rPr>
              <w:t>)</w:t>
            </w:r>
          </w:p>
        </w:tc>
        <w:tc>
          <w:tcPr>
            <w:tcW w:w="2085" w:type="dxa"/>
          </w:tcPr>
          <w:p w14:paraId="1D079EE2"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70 mg/day</w:t>
            </w:r>
          </w:p>
        </w:tc>
        <w:tc>
          <w:tcPr>
            <w:tcW w:w="2250" w:type="dxa"/>
          </w:tcPr>
          <w:p w14:paraId="48670DAE"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Cocaine</w:t>
            </w:r>
          </w:p>
        </w:tc>
      </w:tr>
      <w:tr w:rsidR="005D3271" w:rsidRPr="007D4CB3" w14:paraId="4BDCA301" w14:textId="77777777">
        <w:tc>
          <w:tcPr>
            <w:tcW w:w="2673" w:type="dxa"/>
          </w:tcPr>
          <w:p w14:paraId="620539D2" w14:textId="6910EE71"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Nuijten et al, 2016</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{"citationID":"r9jRZb8F","properties":{"formattedCitation":"\\super 357\\nosupersub{}","plainCitation":"357","noteIndex":0},"citationItems":[{"id":3035,"uris":["http://zotero.org/groups/4862100/items/42FYND9Q"],"itemData":{"id":3035,"type":"article-journal","abstract":"Background\nHeroin-assisted treatment is effective for methadone treatment-refractory heroin-dependent patients, but continued comorbid cocaine dependence remains problematic. Sustained-release dexamfetamine is a promising agonist pharmacotherapy for cocaine dependence and we aimed to assess its acceptance, efficacy, and safety.\nMethods\nIn this multicentre, randomised, double-blind, placebo-controlled trial, patients who were treatment-refractory, as indicated by at least two earlier failed treatments aimed at reducing or abstaining from cocaine use, and who regularly (≥8 days/month) used crack-cocaine were enrolled from four heroin-assisted treatment centres in the Netherlands. Eligible patients were randomly assigned (1:1) to receive either 12 weeks of daily, supervised prescription of 60 mg/day oral sustained-release dexamfetamine or placebo in addition to co-prescribed methadone and diacetylmorphine. Randomisation was done by the collaborating pharmacist, using a computer-generated random number sequence with stratification by treatment centre in blocks of four per stratum. Randomisation was masked to patients, staff, and researchers throughout the study. The primary outcome was the number of self-reported days of cocaine use during study treatment, assessed every 4 weeks. Primary and safety analyses were done in the intention-to-treat population. The study was registered with the European Union Drug Regulating Authorities Clinical Trials (EUdraCT 2013-004024-11) and with The Netherlands Trial Register (NTR2576).\nFindings\nBetween Aug 8, 2014, and Feb 27, 2015, 111 patients were assessed for eligibility, of whom 73 were enrolled and randomised; 38 patients were assigned to the sustained-release dexamfetamine group and 35 to the placebo group. Sustained-release dexamfetamine treatment resulted in significantly fewer days of cocaine use than placebo treatment (mean 44·9 days [SD 29·4] vs 60·6 days [24·3], respectively [95% CI of difference 3·1–28·4]; p=0·031; Cohen's standardised effect size d=0·58). One or more adverse events were reported by 28 (74%) patients in the dexamfetamine group and by 16 (46%) patients in the placebo group. Most adverse events were transient and well-tolerated.\nInterpretation\nSustained-release dexamfetamine is a well accepted, effective, and safe agonist pharmacotherapy for comorbid treatment-refractory cocaine dependence in heroin-dependent patients in heroin-assisted treatment. Future research should aim to replicate these findings in chronic cocaine-dependent and other stimulant-dependent patients in more routine treatment settings, including strategies to optimise treatment adherence like medication management interventions and contingency management.\nFunding\nNetherlands Organisation for Health Research and Development.","container-title":"The Lancet","DOI":"10.1016/S0140-6736(16)00205-1","ISSN":"0140-6736","issue":"10034","journalAbbreviation":"The Lancet","language":"en","page":"2226-2234","source":"ScienceDirect","title":"Sustained-release dexamfetamine in the treatment of chronic cocaine-dependent patients on heroin-assisted treatment: a randomised, double-blind, placebo-controlled trial","title-short":"Sustained-release dexamfetamine in the treatment of chronic cocaine-dependent patients on heroin-assisted treatment","volume":"387","author":[{"family":"Nuijten","given":"Mascha"},{"family":"Blanken","given":"Peter"},{"family":"Wetering","given":"Ben","non-dropping-particle":"van de"},{"family":"Nuijen","given":"Bastiaan"},{"family":"Brink","given":"Wim","non-dropping-particle":"van den"},{"family":"Hendriks","given":"Vincent M"}],"issued":{"date-parts":[["2016",5,28]]}}}],"schema":"https://github.com/citation-style-language/schema/raw/master/csl-citation.json"}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357</w:t>
            </w:r>
            <w:r w:rsidRPr="007D4CB3">
              <w:rPr>
                <w:rFonts w:ascii="Times New Roman" w:hAnsi="Times New Roman" w:cs="Times New Roman"/>
                <w:sz w:val="24"/>
              </w:rPr>
              <w:fldChar w:fldCharType="end"/>
            </w:r>
          </w:p>
        </w:tc>
        <w:tc>
          <w:tcPr>
            <w:tcW w:w="3427" w:type="dxa"/>
          </w:tcPr>
          <w:p w14:paraId="7D881D4E" w14:textId="658FE10C" w:rsidR="005D3271" w:rsidRPr="007D4CB3" w:rsidRDefault="00C20126"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Dexamphetamine</w:t>
            </w:r>
            <w:r w:rsidR="005D3271" w:rsidRPr="007D4CB3">
              <w:rPr>
                <w:rFonts w:ascii="Times New Roman" w:hAnsi="Times New Roman" w:cs="Times New Roman"/>
                <w:sz w:val="24"/>
              </w:rPr>
              <w:t xml:space="preserve"> (d-AMP-SR)</w:t>
            </w:r>
          </w:p>
        </w:tc>
        <w:tc>
          <w:tcPr>
            <w:tcW w:w="2085" w:type="dxa"/>
          </w:tcPr>
          <w:p w14:paraId="69D92861" w14:textId="17A85955"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60 mg</w:t>
            </w:r>
            <w:r w:rsidR="00AA303D" w:rsidRPr="007D4CB3">
              <w:rPr>
                <w:rFonts w:ascii="Times New Roman" w:hAnsi="Times New Roman" w:cs="Times New Roman"/>
                <w:sz w:val="24"/>
              </w:rPr>
              <w:t>/</w:t>
            </w:r>
            <w:r w:rsidRPr="007D4CB3">
              <w:rPr>
                <w:rFonts w:ascii="Times New Roman" w:hAnsi="Times New Roman" w:cs="Times New Roman"/>
                <w:sz w:val="24"/>
              </w:rPr>
              <w:t>day</w:t>
            </w:r>
          </w:p>
        </w:tc>
        <w:tc>
          <w:tcPr>
            <w:tcW w:w="2250" w:type="dxa"/>
          </w:tcPr>
          <w:p w14:paraId="4AEEF292"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Cocaine</w:t>
            </w:r>
          </w:p>
        </w:tc>
      </w:tr>
      <w:tr w:rsidR="005D3271" w:rsidRPr="007D4CB3" w14:paraId="41AA2C84" w14:textId="77777777">
        <w:tc>
          <w:tcPr>
            <w:tcW w:w="2673" w:type="dxa"/>
          </w:tcPr>
          <w:p w14:paraId="6A6640A4" w14:textId="6567568C"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Schmitz et al, 2012</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{"citationID":"a6FaXQZz","properties":{"formattedCitation":"\\super 345\\nosupersub{}","plainCitation":"345","noteIndex":0},"citationItems":[{"id":1736,"uris":["http://zotero.org/groups/4862100/items/35CZJP88"],"itemData":{"id":1736,"type":"article-journal","container-title":"Frontiers in Psychiatry","DOI":"10.3389/fpsyt.2012.00077","ISSN":"1664-0640","journalAbbreviation":"Front. Psychiatry","source":"DOI.org (Crossref)","title":"Combination of Modafinil and d-amphetamine for the Treatment of Cocaine Dependence: A Preliminary Investigation","title-short":"Combination of Modafinil and d-amphetamine for the Treatment of Cocaine Dependence","URL":"http://journal.frontiersin.org/article/10.3389/fpsyt.2012.00077/abstract","volume":"3","author":[{"family":"Schmitz","given":"Joy M."},{"family":"Rathnayaka","given":"Nuvan"},{"family":"Green","given":"Charles E."},{"family":"Moeller","given":"F. Gerard"},{"family":"Dougherty","given":"Anne E."},{"family":"Grabowski","given":"John"}],"accessed":{"date-parts":[["2021",2,27]]},"issued":{"date-parts":[["2012"]]}}}],"schema":"https://github.com/citation-style-language/schema/raw/master/csl-citation.json"}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345</w:t>
            </w:r>
            <w:r w:rsidRPr="007D4CB3">
              <w:rPr>
                <w:rFonts w:ascii="Times New Roman" w:hAnsi="Times New Roman" w:cs="Times New Roman"/>
                <w:sz w:val="24"/>
              </w:rPr>
              <w:fldChar w:fldCharType="end"/>
            </w:r>
          </w:p>
        </w:tc>
        <w:tc>
          <w:tcPr>
            <w:tcW w:w="3427" w:type="dxa"/>
          </w:tcPr>
          <w:p w14:paraId="6FCAC744" w14:textId="5832A4E1" w:rsidR="005D3271" w:rsidRPr="007D4CB3" w:rsidRDefault="003B2778"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Dextroa</w:t>
            </w:r>
            <w:r w:rsidR="005D3271" w:rsidRPr="007D4CB3">
              <w:rPr>
                <w:rFonts w:ascii="Times New Roman" w:hAnsi="Times New Roman" w:cs="Times New Roman"/>
                <w:sz w:val="24"/>
              </w:rPr>
              <w:t>mphetamine (</w:t>
            </w:r>
            <w:r w:rsidRPr="007D4CB3">
              <w:rPr>
                <w:rFonts w:ascii="Times New Roman" w:hAnsi="Times New Roman" w:cs="Times New Roman"/>
                <w:sz w:val="24"/>
              </w:rPr>
              <w:t>d-AMP</w:t>
            </w:r>
            <w:r w:rsidR="0032598D" w:rsidRPr="007D4CB3">
              <w:rPr>
                <w:rFonts w:ascii="Times New Roman" w:hAnsi="Times New Roman" w:cs="Times New Roman"/>
                <w:sz w:val="24"/>
              </w:rPr>
              <w:t>-</w:t>
            </w:r>
            <w:r w:rsidR="00FB407F" w:rsidRPr="007D4CB3">
              <w:rPr>
                <w:rFonts w:ascii="Times New Roman" w:hAnsi="Times New Roman" w:cs="Times New Roman"/>
                <w:sz w:val="24"/>
              </w:rPr>
              <w:t>SR</w:t>
            </w:r>
            <w:r w:rsidRPr="007D4CB3">
              <w:rPr>
                <w:rFonts w:ascii="Times New Roman" w:hAnsi="Times New Roman" w:cs="Times New Roman"/>
                <w:sz w:val="24"/>
              </w:rPr>
              <w:t>)</w:t>
            </w:r>
            <w:r w:rsidR="005D3271" w:rsidRPr="007D4CB3">
              <w:rPr>
                <w:rFonts w:ascii="Times New Roman" w:hAnsi="Times New Roman" w:cs="Times New Roman"/>
                <w:sz w:val="24"/>
              </w:rPr>
              <w:t xml:space="preserve"> + modafinil</w:t>
            </w:r>
          </w:p>
        </w:tc>
        <w:tc>
          <w:tcPr>
            <w:tcW w:w="2085" w:type="dxa"/>
          </w:tcPr>
          <w:p w14:paraId="514B66ED" w14:textId="773CDD41" w:rsidR="005D3271" w:rsidRPr="007D4CB3" w:rsidRDefault="0008502A"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d</w:t>
            </w:r>
            <w:r w:rsidR="005D3271" w:rsidRPr="007D4CB3">
              <w:rPr>
                <w:rFonts w:ascii="Times New Roman" w:hAnsi="Times New Roman" w:cs="Times New Roman"/>
                <w:sz w:val="24"/>
              </w:rPr>
              <w:t>-AMP</w:t>
            </w:r>
            <w:r w:rsidR="0032598D" w:rsidRPr="007D4CB3">
              <w:rPr>
                <w:rFonts w:ascii="Times New Roman" w:hAnsi="Times New Roman" w:cs="Times New Roman"/>
                <w:sz w:val="24"/>
              </w:rPr>
              <w:t>-</w:t>
            </w:r>
            <w:r w:rsidR="00EC7BAE" w:rsidRPr="007D4CB3">
              <w:rPr>
                <w:rFonts w:ascii="Times New Roman" w:hAnsi="Times New Roman" w:cs="Times New Roman"/>
                <w:sz w:val="24"/>
              </w:rPr>
              <w:t>SR</w:t>
            </w:r>
            <w:r w:rsidR="005D3271" w:rsidRPr="007D4CB3">
              <w:rPr>
                <w:rFonts w:ascii="Times New Roman" w:hAnsi="Times New Roman" w:cs="Times New Roman"/>
                <w:sz w:val="24"/>
              </w:rPr>
              <w:t xml:space="preserve"> 15 mg </w:t>
            </w:r>
            <w:r w:rsidR="0032598D" w:rsidRPr="007D4CB3">
              <w:rPr>
                <w:rFonts w:ascii="Times New Roman" w:hAnsi="Times New Roman" w:cs="Times New Roman"/>
                <w:sz w:val="24"/>
              </w:rPr>
              <w:t>BID</w:t>
            </w:r>
            <w:r w:rsidR="00475706" w:rsidRPr="007D4CB3">
              <w:rPr>
                <w:rFonts w:ascii="Times New Roman" w:hAnsi="Times New Roman" w:cs="Times New Roman"/>
                <w:sz w:val="24"/>
              </w:rPr>
              <w:t xml:space="preserve"> +</w:t>
            </w:r>
            <w:r w:rsidR="005D3271" w:rsidRPr="007D4CB3">
              <w:rPr>
                <w:rFonts w:ascii="Times New Roman" w:hAnsi="Times New Roman" w:cs="Times New Roman"/>
                <w:sz w:val="24"/>
              </w:rPr>
              <w:t xml:space="preserve"> modafinil 200</w:t>
            </w:r>
            <w:r w:rsidR="00475706" w:rsidRPr="007D4CB3">
              <w:rPr>
                <w:rFonts w:ascii="Times New Roman" w:hAnsi="Times New Roman" w:cs="Times New Roman"/>
                <w:sz w:val="24"/>
              </w:rPr>
              <w:t> </w:t>
            </w:r>
            <w:r w:rsidR="005D3271" w:rsidRPr="007D4CB3">
              <w:rPr>
                <w:rFonts w:ascii="Times New Roman" w:hAnsi="Times New Roman" w:cs="Times New Roman"/>
                <w:sz w:val="24"/>
              </w:rPr>
              <w:t>mg/day</w:t>
            </w:r>
          </w:p>
        </w:tc>
        <w:tc>
          <w:tcPr>
            <w:tcW w:w="2250" w:type="dxa"/>
          </w:tcPr>
          <w:p w14:paraId="54B8693D"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Cocaine</w:t>
            </w:r>
          </w:p>
        </w:tc>
      </w:tr>
      <w:tr w:rsidR="005D3271" w:rsidRPr="007D4CB3" w14:paraId="4E4D8D1F" w14:textId="77777777">
        <w:tc>
          <w:tcPr>
            <w:tcW w:w="2673" w:type="dxa"/>
          </w:tcPr>
          <w:p w14:paraId="387A9840" w14:textId="3E95B32D"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Shearer et al, 2001</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{"citationID":"0MGeMcKR","properties":{"formattedCitation":"\\super 358\\nosupersub{}","plainCitation":"358","noteIndex":0},"citationItems":[{"id":6526,"uris":["http://zotero.org/groups/4862100/items/95XGFBEG"],"itemData":{"id":6526,"type":"article-journal","container-title":"Addiction","DOI":"10.1046/j.1360-0443.2001.96912898.x","ISSN":"09652140","issue":"9","language":"en","page":"1289-1296","source":"DOI.org (Crossref)","title":"Pilot randomized controlled study of dexamphetamine substitution for amphetamine dependence","volume":"96","author":[{"family":"Shearer","given":"James"},{"family":"Wodak","given":"Alex"},{"family":"Mattick","given":"Richard P."},{"family":"Van Beek","given":"Ingrid"},{"family":"Lewis","given":"John"},{"family":"Hall","given":"Wayne"},{"family":"Dolan","given":"Kate"}],"issued":{"date-parts":[["2001",9]]}}}],"schema":"https://github.com/citation-style-language/schema/raw/master/csl-citation.json"}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358</w:t>
            </w:r>
            <w:r w:rsidRPr="007D4CB3">
              <w:rPr>
                <w:rFonts w:ascii="Times New Roman" w:hAnsi="Times New Roman" w:cs="Times New Roman"/>
                <w:sz w:val="24"/>
              </w:rPr>
              <w:fldChar w:fldCharType="end"/>
            </w:r>
          </w:p>
        </w:tc>
        <w:tc>
          <w:tcPr>
            <w:tcW w:w="3427" w:type="dxa"/>
          </w:tcPr>
          <w:p w14:paraId="522F8FFD" w14:textId="43880036"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Dexamphetamine (d-AMP)</w:t>
            </w:r>
          </w:p>
        </w:tc>
        <w:tc>
          <w:tcPr>
            <w:tcW w:w="2085" w:type="dxa"/>
          </w:tcPr>
          <w:p w14:paraId="05B3B45B"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Max 60 mg/day</w:t>
            </w:r>
          </w:p>
        </w:tc>
        <w:tc>
          <w:tcPr>
            <w:tcW w:w="2250" w:type="dxa"/>
          </w:tcPr>
          <w:p w14:paraId="5A1AB98F" w14:textId="5D86C0BF" w:rsidR="005D3271" w:rsidRPr="007D4CB3" w:rsidRDefault="00475706"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ATS</w:t>
            </w:r>
          </w:p>
        </w:tc>
      </w:tr>
      <w:tr w:rsidR="005D3271" w:rsidRPr="007D4CB3" w14:paraId="05238D5D" w14:textId="77777777">
        <w:tc>
          <w:tcPr>
            <w:tcW w:w="2673" w:type="dxa"/>
          </w:tcPr>
          <w:p w14:paraId="102BC6DD" w14:textId="0FB5058B"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Shearer et al, 2003</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{"citationID":"HcFuu6Ld","properties":{"formattedCitation":"\\super 359\\nosupersub{}","plainCitation":"359","noteIndex":0},"citationItems":[{"id":3026,"uris":["http://zotero.org/groups/4862100/items/LMLJVQLQ"],"itemData":{"id":3026,"type":"article-journal","abstract":"Aims To establish the feasibility of conducting a placebo-controlled clinical trial of dexamphetamine replacement therapy for cocaine dependence and to obtain preliminary data. Design Double-blind randomized placebo-controlled trial. Participants Thirty cocaine-dependent injecting drug users. Intervention Subjects were assigned randomly to receive 60 mg/day dexamphetamine (n = 16) or placebo (n = 14) for 14 weeks. Measurements Immunoassay and mass spectrometric techniques were used to identify cocaine metabolites in urine. Subjects were screened using the Composite International Diagnostic Interview and DSM-IV. The Opiate Treatment Index, Brief Symptom Inventory, Severity of Dependence Scale and visual analogue craving scales were used to collect pre- and post-self-report data. Findings Treatment retention was equivalent between groups; however, outcomes favoured the treatment group with no improvements observed in the placebo control group. The proportion of cocaine-positive urine samples detected in the treatment group declined from 94% to 56% compared to no change in the placebo group (79% positive). While the improvements were not significant between groups, within-group analysis revealed that the treatment group reduced self-reported cocaine use (P = 0.02), reduced criminal activity (P = 0.04), reduced cravings (P &lt; 0.01) and reduced severity of cocaine dependence (P &lt; 0.01) with no within-group improvements found in the placebo group. Conclusions A definitive evaluation of the utility of dexamphetamine in the management of cocaine dependence is feasible and warranted.","container-title":"Addiction","DOI":"10.1046/j.1360-0443.2003.00447.x","ISSN":"1360-0443","issue":"8","language":"en","note":"_eprint: https://onlinelibrary.wiley.com/doi/pdf/10.1046/j.1360-0443.2003.00447.x","page":"1137-1141","source":"Wiley Online Library","title":"Pilot randomized double blind placebo-controlled study of dexamphetamine for cocaine dependence","volume":"98","author":[{"family":"Shearer","given":"James"},{"family":"Wodak","given":"Alex"},{"family":"Van Beek","given":"Ingrid"},{"family":"Mattick","given":"Richard P."},{"family":"Lewis","given":"John"}],"issued":{"date-parts":[["2003"]]}}}],"schema":"https://github.com/citation-style-language/schema/raw/master/csl-citation.json"}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359</w:t>
            </w:r>
            <w:r w:rsidRPr="007D4CB3">
              <w:rPr>
                <w:rFonts w:ascii="Times New Roman" w:hAnsi="Times New Roman" w:cs="Times New Roman"/>
                <w:sz w:val="24"/>
              </w:rPr>
              <w:fldChar w:fldCharType="end"/>
            </w:r>
          </w:p>
        </w:tc>
        <w:tc>
          <w:tcPr>
            <w:tcW w:w="3427" w:type="dxa"/>
          </w:tcPr>
          <w:p w14:paraId="7A78D5A3" w14:textId="165D9C5D"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Dexamphetamine (d-AMP-SR)</w:t>
            </w:r>
          </w:p>
        </w:tc>
        <w:tc>
          <w:tcPr>
            <w:tcW w:w="2085" w:type="dxa"/>
          </w:tcPr>
          <w:p w14:paraId="08A8C7C1"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Max 60 mg/day</w:t>
            </w:r>
          </w:p>
        </w:tc>
        <w:tc>
          <w:tcPr>
            <w:tcW w:w="2250" w:type="dxa"/>
          </w:tcPr>
          <w:p w14:paraId="4E03DC34"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Cocaine</w:t>
            </w:r>
          </w:p>
        </w:tc>
      </w:tr>
      <w:tr w:rsidR="005D3271" w:rsidRPr="007D4CB3" w14:paraId="5DB28356" w14:textId="77777777">
        <w:tc>
          <w:tcPr>
            <w:tcW w:w="2673" w:type="dxa"/>
          </w:tcPr>
          <w:p w14:paraId="3FF2CD6D" w14:textId="2CD2DF6A"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White</w:t>
            </w:r>
            <w:r w:rsidR="00F27C56" w:rsidRPr="007D4CB3">
              <w:rPr>
                <w:rFonts w:ascii="Times New Roman" w:hAnsi="Times New Roman" w:cs="Times New Roman"/>
                <w:sz w:val="24"/>
              </w:rPr>
              <w:t>,</w:t>
            </w:r>
            <w:r w:rsidRPr="007D4CB3">
              <w:rPr>
                <w:rFonts w:ascii="Times New Roman" w:hAnsi="Times New Roman" w:cs="Times New Roman"/>
                <w:sz w:val="24"/>
              </w:rPr>
              <w:t xml:space="preserve"> 2000</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{"citationID":"1ifVik2a","properties":{"formattedCitation":"\\super 360\\nosupersub{}","plainCitation":"360","noteIndex":0},"citationItems":[{"id":6527,"uris":["http://zotero.org/groups/4862100/items/BGR5KV8G"],"itemData":{"id":6527,"type":"article-journal","container-title":"Addiction","DOI":"10.1046/j.1360-0443.2000.9522299.x","ISSN":"09652140","issue":"2","language":"en","page":"229-238","source":"DOI.org (Crossref)","title":"Dexamphetamine substitution in the treatment of amphetamine abuse: an initial investigation","title-short":"Dexamphetamine substitution in the treatment of amphetamine abuse","volume":"95","author":[{"family":"White","given":"Rupert"}],"issued":{"date-parts":[["2000",2]]}}}],"schema":"https://github.com/citation-style-language/schema/raw/master/csl-citation.json"}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360</w:t>
            </w:r>
            <w:r w:rsidRPr="007D4CB3">
              <w:rPr>
                <w:rFonts w:ascii="Times New Roman" w:hAnsi="Times New Roman" w:cs="Times New Roman"/>
                <w:sz w:val="24"/>
              </w:rPr>
              <w:fldChar w:fldCharType="end"/>
            </w:r>
          </w:p>
        </w:tc>
        <w:tc>
          <w:tcPr>
            <w:tcW w:w="3427" w:type="dxa"/>
          </w:tcPr>
          <w:p w14:paraId="60BFA19E" w14:textId="53FBBC14"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Dexamphetamine (d-AMP)</w:t>
            </w:r>
          </w:p>
        </w:tc>
        <w:tc>
          <w:tcPr>
            <w:tcW w:w="2085" w:type="dxa"/>
          </w:tcPr>
          <w:p w14:paraId="32A80E21"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Max 90 mg/day</w:t>
            </w:r>
          </w:p>
        </w:tc>
        <w:tc>
          <w:tcPr>
            <w:tcW w:w="2250" w:type="dxa"/>
          </w:tcPr>
          <w:p w14:paraId="7432D8C2" w14:textId="7B6B270D" w:rsidR="005D3271" w:rsidRPr="007D4CB3" w:rsidRDefault="00475706"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ATS</w:t>
            </w:r>
          </w:p>
        </w:tc>
      </w:tr>
      <w:tr w:rsidR="005D3271" w:rsidRPr="007D4CB3" w14:paraId="793D5AA0" w14:textId="77777777">
        <w:tc>
          <w:tcPr>
            <w:tcW w:w="2673" w:type="dxa"/>
          </w:tcPr>
          <w:p w14:paraId="246553A2" w14:textId="593938E4"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White et al, 2006</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{"citationID":"dRMhpIS6","properties":{"formattedCitation":"\\super 361\\nosupersub{}","plainCitation":"361","noteIndex":0},"citationItems":[{"id":6528,"uris":["http://zotero.org/groups/4862100/items/PZLUKJXG"],"itemData":{"id":6528,"type":"article-journal","container-title":"Journal of Substance Use","DOI":"10.1080/14659890600594112","ISSN":"1465-9891, 1475-9942","issue":"3","journalAbbreviation":"Journal of Substance Use","language":"en","page":"205-216","source":"DOI.org (Crossref)","title":"Dexamphetamine substitute‐prescribing in pregnancy: a 10‐year retrospective audit","title-short":"Dexamphetamine substitute‐prescribing in pregnancy","volume":"11","author":[{"family":"White","given":"R."},{"family":"Thompson","given":"M."},{"family":"Windsor","given":"D."},{"family":"Walsh","given":"M."},{"family":"Cox","given":"D."},{"family":"Charnaud","given":"B."}],"issued":{"date-parts":[["2006",1]]}}}],"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361</w:t>
            </w:r>
            <w:r w:rsidRPr="007D4CB3">
              <w:rPr>
                <w:rFonts w:ascii="Times New Roman" w:hAnsi="Times New Roman" w:cs="Times New Roman"/>
                <w:sz w:val="24"/>
              </w:rPr>
              <w:fldChar w:fldCharType="end"/>
            </w:r>
          </w:p>
        </w:tc>
        <w:tc>
          <w:tcPr>
            <w:tcW w:w="3427" w:type="dxa"/>
          </w:tcPr>
          <w:p w14:paraId="5E463C13" w14:textId="0848CD51"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Dexamphetamine (d-AMP)</w:t>
            </w:r>
          </w:p>
        </w:tc>
        <w:tc>
          <w:tcPr>
            <w:tcW w:w="2085" w:type="dxa"/>
          </w:tcPr>
          <w:p w14:paraId="477B9705" w14:textId="3133F518"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30–60 mg/day</w:t>
            </w:r>
          </w:p>
        </w:tc>
        <w:tc>
          <w:tcPr>
            <w:tcW w:w="2250" w:type="dxa"/>
          </w:tcPr>
          <w:p w14:paraId="6B5D66CB" w14:textId="5A628B0D" w:rsidR="005D3271" w:rsidRPr="007D4CB3" w:rsidRDefault="00475706"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ATS</w:t>
            </w:r>
          </w:p>
        </w:tc>
      </w:tr>
      <w:tr w:rsidR="006F039A" w:rsidRPr="007D4CB3" w14:paraId="551731FE" w14:textId="77777777" w:rsidTr="006F039A">
        <w:tc>
          <w:tcPr>
            <w:tcW w:w="10435" w:type="dxa"/>
            <w:gridSpan w:val="4"/>
            <w:shd w:val="clear" w:color="auto" w:fill="D9D9D9" w:themeFill="background1" w:themeFillShade="D9"/>
          </w:tcPr>
          <w:p w14:paraId="56BE1422" w14:textId="45E3D5CF" w:rsidR="006F039A" w:rsidRPr="007D4CB3" w:rsidRDefault="006F039A"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Selegiline transdermal system patch</w:t>
            </w:r>
          </w:p>
        </w:tc>
      </w:tr>
      <w:tr w:rsidR="005D3271" w:rsidRPr="007D4CB3" w14:paraId="29F237A7" w14:textId="77777777">
        <w:tc>
          <w:tcPr>
            <w:tcW w:w="2673" w:type="dxa"/>
          </w:tcPr>
          <w:p w14:paraId="41CAA715" w14:textId="27858328"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Elkashef et al, 2006</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{"citationID":"bcz4OK5T","properties":{"formattedCitation":"\\super 362\\nosupersub{}","plainCitation":"362","noteIndex":0},"citationItems":[{"id":3027,"uris":["http://zotero.org/groups/4862100/items/GQ3DIBUV"],"itemData":{"id":3027,"type":"article-journal","abstract":"Background\nCocaine dependence is a major public health problem for which there is no FDA-approved pharmacological treatment. Selegiline is an irreversible selective inhibitor of monoamine oxidase type B (MAO-B) which may affect cocaine addiction through several potential mechanisms. In this study, selegiline transdermal system (STS) was compared to placebo as a treatment for cocaine dependence. This multi-site, double-blind trial of 300 subjects with cocaine dependence assessed the efficacy of selegiline using subject self-reported cocaine use substantiated by urine benzoylecgonine (BE) as the primary outcome measure. Analysis of the data did not show a significant effect for selegiline over placebo. This study does not support a role for selegiline in treating cocaine dependence. The contrast of this result to earlier, promising preclinical and human pilot data could be due to factors associated with sample size, patient characteristics, dose, or poor predictive validity of preclinical models.","container-title":"Drug and Alcohol Dependence","DOI":"10.1016/j.drugalcdep.2006.04.010","ISSN":"0376-8716","issue":"3","journalAbbreviation":"Drug and Alcohol Dependence","language":"en","page":"191-197","source":"ScienceDirect","title":"Double-blind, placebo-controlled trial of selegiline transdermal system (STS) for the treatment of cocaine dependence","volume":"85","author":[{"family":"Elkashef","given":"Ahmed"},{"family":"Fudala","given":"Paul J."},{"family":"Gorgon","given":"Liza"},{"family":"Li","given":"Shou-Hua"},{"family":"Kahn","given":"Roberta"},{"family":"Chiang","given":"Nora"},{"family":"Vocci","given":"Frank"},{"family":"Collins","given":"Joseph"},{"family":"Jones","given":"Karen"},{"family":"Boardman","given":"Kathy"},{"family":"Sather","given":"Mike"}],"issued":{"date-parts":[["2006",12,1]]}}}],"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362</w:t>
            </w:r>
            <w:r w:rsidRPr="007D4CB3">
              <w:rPr>
                <w:rFonts w:ascii="Times New Roman" w:hAnsi="Times New Roman" w:cs="Times New Roman"/>
                <w:sz w:val="24"/>
              </w:rPr>
              <w:fldChar w:fldCharType="end"/>
            </w:r>
          </w:p>
        </w:tc>
        <w:tc>
          <w:tcPr>
            <w:tcW w:w="3427" w:type="dxa"/>
          </w:tcPr>
          <w:p w14:paraId="1678AD51"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Selegiline transdermal system patch</w:t>
            </w:r>
          </w:p>
        </w:tc>
        <w:tc>
          <w:tcPr>
            <w:tcW w:w="2085" w:type="dxa"/>
          </w:tcPr>
          <w:p w14:paraId="2E9DCA5A"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Continuous release 6 mg/24h</w:t>
            </w:r>
          </w:p>
        </w:tc>
        <w:tc>
          <w:tcPr>
            <w:tcW w:w="2250" w:type="dxa"/>
          </w:tcPr>
          <w:p w14:paraId="7668B4EF"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Cocaine</w:t>
            </w:r>
          </w:p>
        </w:tc>
      </w:tr>
      <w:tr w:rsidR="006F039A" w:rsidRPr="007D4CB3" w14:paraId="332FF96A" w14:textId="77777777" w:rsidTr="006F039A">
        <w:tc>
          <w:tcPr>
            <w:tcW w:w="10435" w:type="dxa"/>
            <w:gridSpan w:val="4"/>
            <w:shd w:val="clear" w:color="auto" w:fill="D9D9D9" w:themeFill="background1" w:themeFillShade="D9"/>
          </w:tcPr>
          <w:p w14:paraId="42FE5C84" w14:textId="642E0259" w:rsidR="006F039A" w:rsidRPr="007D4CB3" w:rsidRDefault="006F039A"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Methylphenidate</w:t>
            </w:r>
          </w:p>
        </w:tc>
      </w:tr>
      <w:tr w:rsidR="005D3271" w:rsidRPr="007D4CB3" w14:paraId="568704F3" w14:textId="77777777">
        <w:tc>
          <w:tcPr>
            <w:tcW w:w="2673" w:type="dxa"/>
          </w:tcPr>
          <w:p w14:paraId="4C4DBAD6" w14:textId="076B4A06"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lastRenderedPageBreak/>
              <w:t>Dürsteler-MacFarland et al, 2013</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{"citationID":"QfSaCA8Y","properties":{"formattedCitation":"\\super 363\\nosupersub{}","plainCitation":"363","noteIndex":0},"citationItems":[{"id":2609,"uris":["http://zotero.org/groups/4862100/items/V83XX7K6"],"itemData":{"id":2609,"type":"article-journal","abstract":"Cocaine dependence has proved difficult to treat, whether it occurs alone or in combination with opiate dependence. No intervention has been demonstrated to be uniquely effective. Patients might benefit most from combined pharmacotherapeutic and psychotherapeutic interventions. The present study sought to evaluate the feasibility, tolerability, and efficacy of methylphenidate (MP) and cognitive-behavioral group therapy (CBGT) for cocaine dependence in diacetylmorphine-maintained patients. Sixty-two cocaine-dependent diacetylmorphine-maintained patients participated in a dual-site, double-blind, placebo-controlled pilot trial with 4 treatment conditions. The participants were randomly assigned to receive MP or a placebo each combined with either CBGT or treatment as usual for 12 weeks. Methylphenidate 30 mg and a placebo in identical capsules were administered onsite twice daily under supervision in a fixed-dose regimen without titration. Manual-guided CBGT consisted of 12 weekly sessions. Participation in the CBGT sessions was voluntary. Primary outcome measures were retention in pharmacologic treatment, cocaine-free urine samples, self-reported cocaine use, and adverse effects. Urine screens were performed thrice weekly. Seventy-one percent of the participants completed the study protocol. Methylphenidate was well tolerated with similar retention rates compared with the placebo. No serious adverse effects occurred. No difference in cocaine-free urine screens was found across the 4 treatment groups. Self-reported cocaine use was reduced in all 4 study groups. Methylphenidate and CBGT did not provide an advantage over a placebo or treatment as usual in reducing cocaine use. There were no signs of additive benefits of MP and CBGT. Because of the small sample size, the results are preliminary.","container-title":"Journal of Clinical Psychopharmacology","DOI":"10.1097/JCP.0b013e31827bfff4","ISSN":"0271-0749","issue":"1","language":"en-US","page":"104–108","source":"journals-lww-com.pitt.idm.oclc.org","title":"A Randomized, Controlled, Pilot Trial of Methylphenidate and Cognitive-Behavioral Group Therapy for Cocaine Dependence in Heroin Prescription","volume":"33","author":[{"family":"Dürsteler-MacFarland","given":"Kenneth M."},{"family":"Farronato","given":"Nadine S."},{"family":"Strasser","given":"Johannes"},{"family":"Boss","given":"Jakob"},{"family":"Kuntze","given":"Marcus F."},{"family":"Petitjean","given":"Sylvie A."},{"family":"Bürki","given":"Christoph"},{"family":"Wiesbeck","given":"Gerhard A."}],"issued":{"date-parts":[["2013",2]]}}}],"schema":"https://github.com/citation-style-language/schema/raw/master/csl-citation.json"}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363</w:t>
            </w:r>
            <w:r w:rsidRPr="007D4CB3">
              <w:rPr>
                <w:rFonts w:ascii="Times New Roman" w:hAnsi="Times New Roman" w:cs="Times New Roman"/>
                <w:sz w:val="24"/>
              </w:rPr>
              <w:fldChar w:fldCharType="end"/>
            </w:r>
          </w:p>
        </w:tc>
        <w:tc>
          <w:tcPr>
            <w:tcW w:w="3427" w:type="dxa"/>
          </w:tcPr>
          <w:p w14:paraId="5D059448"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Methylphenidate</w:t>
            </w:r>
          </w:p>
        </w:tc>
        <w:tc>
          <w:tcPr>
            <w:tcW w:w="2085" w:type="dxa"/>
          </w:tcPr>
          <w:p w14:paraId="3A16879E" w14:textId="1292197F"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 xml:space="preserve">30 mg </w:t>
            </w:r>
            <w:r w:rsidR="002D3651" w:rsidRPr="007D4CB3">
              <w:rPr>
                <w:rFonts w:ascii="Times New Roman" w:hAnsi="Times New Roman" w:cs="Times New Roman"/>
                <w:sz w:val="24"/>
              </w:rPr>
              <w:t>BID</w:t>
            </w:r>
          </w:p>
        </w:tc>
        <w:tc>
          <w:tcPr>
            <w:tcW w:w="2250" w:type="dxa"/>
          </w:tcPr>
          <w:p w14:paraId="0D5D7CBD"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Cocaine</w:t>
            </w:r>
          </w:p>
        </w:tc>
      </w:tr>
      <w:tr w:rsidR="005D3271" w:rsidRPr="007D4CB3" w14:paraId="1A3573E0" w14:textId="77777777">
        <w:tc>
          <w:tcPr>
            <w:tcW w:w="2673" w:type="dxa"/>
          </w:tcPr>
          <w:p w14:paraId="14D5B127" w14:textId="5A63C5AB"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Grabowski et al, 1994</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{"citationID":"8jZOyByj","properties":{"formattedCitation":"\\super 364\\nosupersub{}","plainCitation":"364","noteIndex":0},"citationItems":[{"id":3042,"uris":["http://zotero.org/groups/4862100/items/ISVZXSGT"],"itemData":{"id":3042,"type":"article-journal","container-title":"NIDA Research Monograph","journalAbbreviation":"NIDA Res Monogr","page":"436","source":"cir.nii.ac.jp","title":"Methylphenidate (MP) for initial treatment of cocaine dependence and a model for medication evaluation","volume":"141","author":[{"family":"Grabowski","given":"J"},{"family":"Schmitz","given":"J"},{"family":"Roache","given":"JD"},{"family":"Rhoades","given":"H"},{"family":"Elk","given":"R"},{"family":"Creson","given":"DL"}],"issued":{"date-parts":[["1994"]]}}}],"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364</w:t>
            </w:r>
            <w:r w:rsidRPr="007D4CB3">
              <w:rPr>
                <w:rFonts w:ascii="Times New Roman" w:hAnsi="Times New Roman" w:cs="Times New Roman"/>
                <w:sz w:val="24"/>
              </w:rPr>
              <w:fldChar w:fldCharType="end"/>
            </w:r>
          </w:p>
        </w:tc>
        <w:tc>
          <w:tcPr>
            <w:tcW w:w="3427" w:type="dxa"/>
          </w:tcPr>
          <w:p w14:paraId="64F9D498"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Methylphenidate</w:t>
            </w:r>
          </w:p>
        </w:tc>
        <w:tc>
          <w:tcPr>
            <w:tcW w:w="2085" w:type="dxa"/>
          </w:tcPr>
          <w:p w14:paraId="5F5DCA98" w14:textId="398BE628"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20</w:t>
            </w:r>
            <w:r w:rsidR="00475706" w:rsidRPr="007D4CB3">
              <w:rPr>
                <w:rFonts w:ascii="Times New Roman" w:hAnsi="Times New Roman" w:cs="Times New Roman"/>
                <w:sz w:val="24"/>
              </w:rPr>
              <w:t>–</w:t>
            </w:r>
            <w:r w:rsidRPr="007D4CB3">
              <w:rPr>
                <w:rFonts w:ascii="Times New Roman" w:hAnsi="Times New Roman" w:cs="Times New Roman"/>
                <w:sz w:val="24"/>
              </w:rPr>
              <w:t>25</w:t>
            </w:r>
            <w:r w:rsidR="00475706" w:rsidRPr="007D4CB3">
              <w:rPr>
                <w:rFonts w:ascii="Times New Roman" w:hAnsi="Times New Roman" w:cs="Times New Roman"/>
                <w:sz w:val="24"/>
              </w:rPr>
              <w:t> </w:t>
            </w:r>
            <w:r w:rsidRPr="007D4CB3">
              <w:rPr>
                <w:rFonts w:ascii="Times New Roman" w:hAnsi="Times New Roman" w:cs="Times New Roman"/>
                <w:sz w:val="24"/>
              </w:rPr>
              <w:t xml:space="preserve">mg </w:t>
            </w:r>
            <w:r w:rsidR="002D3651" w:rsidRPr="007D4CB3">
              <w:rPr>
                <w:rFonts w:ascii="Times New Roman" w:hAnsi="Times New Roman" w:cs="Times New Roman"/>
                <w:sz w:val="24"/>
              </w:rPr>
              <w:t>BID</w:t>
            </w:r>
          </w:p>
        </w:tc>
        <w:tc>
          <w:tcPr>
            <w:tcW w:w="2250" w:type="dxa"/>
          </w:tcPr>
          <w:p w14:paraId="2C322155"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Cocaine</w:t>
            </w:r>
          </w:p>
        </w:tc>
      </w:tr>
      <w:tr w:rsidR="005D3271" w:rsidRPr="007D4CB3" w14:paraId="66BBC31C" w14:textId="77777777">
        <w:tc>
          <w:tcPr>
            <w:tcW w:w="2673" w:type="dxa"/>
          </w:tcPr>
          <w:p w14:paraId="0FAB227B" w14:textId="3FF31078"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Grabowski et al, 1997</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{"citationID":"LB7ZggOS","properties":{"formattedCitation":"\\super 365\\nosupersub{}","plainCitation":"365","noteIndex":0},"citationItems":[{"id":3031,"uris":["http://zotero.org/groups/4862100/items/2CUCYCQP"],"itemData":{"id":3031,"type":"article-journal","abstract":"Agonists, or \"replacement medications,\" are useful adjuncts in treatment of opiate and nicotine dependence.They have not been systematically examined in cocaine dependence. Results of early open trials with methylphenidate for treatment of cocaine dependence were equivocal. Twenty-four cocaine-dependent subjects were enrolled in an 11-week double-blind, placebo-controlled study of methylphenidate. Assignment was random. Intake included a 2-day human laboratory procedure in which subjects received initial doses of methylphenidate or placebo. Subjects attended the clinic Monday through Friday and received oral doses of methylphenidate (5 mg plus 20-mg sustained release) or placebo at 8:00 a.m., with afternoon and weekend take-home doses (20 mg sustained-release or placebo) provided in Medication Events Monitoring System bottles to monitor compliance. Clinic visits included therapy sessions, electrocardiograms, self-report measures, and twice-weekly urine screens. The two groups were equivalent in terms of retention (methylphenidate 48% and placebo 42%) and had similar cocaine use outcomes (40% benzoylecgonine-positive urine screens). There were no significant adverse effects. The doses were sufficient to permit detection of psychoactive effects (\"stimulant,\" \"more energy\") and side effects (\"jitteriness,\" \"eating less\") without increased \"craving.\" Additional medications with different effects profiles are being studied to further evaluate the replacement model in cocaine dependence. (J Clin Psychopharmacol 1997;17:485-488).","container-title":"Journal of Clinical Psychopharmacology","ISSN":"0271-0749","issue":"6","language":"en-US","page":"485","source":"journals.lww.com","title":"Replacement Medication for Cocaine Dependence: Methylphenidate","title-short":"Replacement Medication for Cocaine Dependence","volume":"17","author":[{"family":"Grabowski","given":"John"},{"family":"Roache","given":"John D."},{"family":"Schmitz","given":"Joy M."},{"family":"Rhoades","given":"Howard"},{"family":"Creson","given":"Daniel"},{"family":"Korszun","given":"Ania"}],"issued":{"date-parts":[["1997",12]]}}}],"schema":"https://github.com/citation-style-language/schema/raw/master/csl-citation.json"}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365</w:t>
            </w:r>
            <w:r w:rsidRPr="007D4CB3">
              <w:rPr>
                <w:rFonts w:ascii="Times New Roman" w:hAnsi="Times New Roman" w:cs="Times New Roman"/>
                <w:sz w:val="24"/>
              </w:rPr>
              <w:fldChar w:fldCharType="end"/>
            </w:r>
          </w:p>
        </w:tc>
        <w:tc>
          <w:tcPr>
            <w:tcW w:w="3427" w:type="dxa"/>
          </w:tcPr>
          <w:p w14:paraId="335694D0" w14:textId="12F3ECD0"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Methylphenidate</w:t>
            </w:r>
            <w:r w:rsidR="001E21A6" w:rsidRPr="007D4CB3">
              <w:rPr>
                <w:rFonts w:ascii="Times New Roman" w:hAnsi="Times New Roman" w:cs="Times New Roman"/>
                <w:sz w:val="24"/>
              </w:rPr>
              <w:t xml:space="preserve"> SR</w:t>
            </w:r>
          </w:p>
        </w:tc>
        <w:tc>
          <w:tcPr>
            <w:tcW w:w="2085" w:type="dxa"/>
          </w:tcPr>
          <w:p w14:paraId="1B97B805"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Max 45 mg/day</w:t>
            </w:r>
          </w:p>
        </w:tc>
        <w:tc>
          <w:tcPr>
            <w:tcW w:w="2250" w:type="dxa"/>
          </w:tcPr>
          <w:p w14:paraId="267B6418"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Cocaine</w:t>
            </w:r>
          </w:p>
        </w:tc>
      </w:tr>
      <w:tr w:rsidR="005D3271" w:rsidRPr="007D4CB3" w14:paraId="20D5C5B3" w14:textId="77777777">
        <w:tc>
          <w:tcPr>
            <w:tcW w:w="2673" w:type="dxa"/>
          </w:tcPr>
          <w:p w14:paraId="4C38F392" w14:textId="4A3E6153"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Konstenius et al, 2010</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{"citationID":"IlT2ptW7","properties":{"formattedCitation":"\\super 366\\nosupersub{}","plainCitation":"366","noteIndex":0},"citationItems":[{"id":3040,"uris":["http://zotero.org/groups/4862100/items/L548WDME"],"itemData":{"id":3040,"type":"article-journal","abstract":"The efficacy of stimulant treatment in patients with substance use disorders and comorbid attention deficit hyperactivity disorder (ADHD) has been tested for cocaine and alcohol dependence but so far no studies have been conducted in amphetamine dependent individuals. The present trial was a pilot study aiming to test the feasibility of treating amphetamine dependent patients with comorbid ADHD with central stimulant medication. The study was a double-blind, placebo controlled trial with parallel groups design comparing the efficacy of a fixed dose (72mg) of OROS methylphenidate (MPH) with placebo (PL) in reducing ADHD symptoms in currently abstinent adults with amphetamine dependence and ADHD. Twenty-four treatment seeking patients who met the DSM IV criteria for amphetamine dependence and ADHD were randomized to MPH/PL. The trial was conducted at an outpatient facility with twice weekly visits, measuring ADHD symptoms and drug use. Patients rated their ADHD symptoms on a weekly basis and provided supervised urine specimens for drug toxicology twice weekly. All patients participated in weekly sessions of a skills training programme. Both the groups significantly reduced their self-rated ADHD symptoms during the 12-week treatment but there was no difference between the two treatment arms. Drug use, both measured by urine toxicology and self-report did not differ between the groups. No difference was found between the two groups with regards to craving for amphetamine or in retention in treatment. Larger studies with higher doses combined with individual dosage and longer follow-up periods are warranted.","container-title":"Drug and Alcohol Dependence","DOI":"10.1016/j.drugalcdep.2009.11.006","ISSN":"0376-8716","issue":"1","journalAbbreviation":"Drug and Alcohol Dependence","language":"en","page":"130-133","source":"ScienceDirect","title":"Sustained release methylphenidate for the treatment of ADHD in amphetamine abusers: A pilot study","title-short":"Sustained release methylphenidate for the treatment of ADHD in amphetamine abusers","volume":"108","author":[{"family":"Konstenius","given":"Maija"},{"family":"Jayaram-Lindström","given":"Nitya"},{"family":"Beck","given":"Olof"},{"family":"Franck","given":"Johan"}],"issued":{"date-parts":[["2010",4,1]]}}}],"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366</w:t>
            </w:r>
            <w:r w:rsidRPr="007D4CB3">
              <w:rPr>
                <w:rFonts w:ascii="Times New Roman" w:hAnsi="Times New Roman" w:cs="Times New Roman"/>
                <w:sz w:val="24"/>
              </w:rPr>
              <w:fldChar w:fldCharType="end"/>
            </w:r>
          </w:p>
        </w:tc>
        <w:tc>
          <w:tcPr>
            <w:tcW w:w="3427" w:type="dxa"/>
          </w:tcPr>
          <w:p w14:paraId="3FE4FF2E" w14:textId="32347ADE"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Methylphenidate</w:t>
            </w:r>
            <w:r w:rsidR="001E21A6" w:rsidRPr="007D4CB3">
              <w:rPr>
                <w:rFonts w:ascii="Times New Roman" w:hAnsi="Times New Roman" w:cs="Times New Roman"/>
                <w:sz w:val="24"/>
              </w:rPr>
              <w:t xml:space="preserve"> ER</w:t>
            </w:r>
          </w:p>
        </w:tc>
        <w:tc>
          <w:tcPr>
            <w:tcW w:w="2085" w:type="dxa"/>
          </w:tcPr>
          <w:p w14:paraId="4F1E6B11" w14:textId="05CE7DC2"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18</w:t>
            </w:r>
            <w:r w:rsidR="00475706" w:rsidRPr="007D4CB3">
              <w:rPr>
                <w:rFonts w:ascii="Times New Roman" w:hAnsi="Times New Roman" w:cs="Times New Roman"/>
                <w:sz w:val="24"/>
              </w:rPr>
              <w:t>–</w:t>
            </w:r>
            <w:r w:rsidRPr="007D4CB3">
              <w:rPr>
                <w:rFonts w:ascii="Times New Roman" w:hAnsi="Times New Roman" w:cs="Times New Roman"/>
                <w:sz w:val="24"/>
              </w:rPr>
              <w:t>72 mg/day</w:t>
            </w:r>
          </w:p>
        </w:tc>
        <w:tc>
          <w:tcPr>
            <w:tcW w:w="2250" w:type="dxa"/>
          </w:tcPr>
          <w:p w14:paraId="5CFE3F78" w14:textId="49371484" w:rsidR="005D3271" w:rsidRPr="007D4CB3" w:rsidRDefault="00475706"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ATS</w:t>
            </w:r>
          </w:p>
        </w:tc>
      </w:tr>
      <w:tr w:rsidR="005D3271" w:rsidRPr="007D4CB3" w14:paraId="4FD25A27" w14:textId="77777777">
        <w:tc>
          <w:tcPr>
            <w:tcW w:w="2673" w:type="dxa"/>
          </w:tcPr>
          <w:p w14:paraId="440E151B" w14:textId="769FB9E2"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Konstenius et al, 2014</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{"citationID":"QFVprbCT","properties":{"formattedCitation":"\\super 367\\nosupersub{}","plainCitation":"367","noteIndex":0},"citationItems":[{"id":3050,"uris":["http://zotero.org/groups/4862100/items/KABK4R8D"],"itemData":{"id":3050,"type":"article-journal","abstract":"Aim To test the efficacy and safety of osmotic release oral system (OROS) methylphenidate (MPH) in doses up to 180 mg/day to treat attention deficit hyperactivity disorder (ADHD) and prevent any drug relapse in individuals with a co-diagnosis of ADHD and amphetamine dependence. Design Randomized placebo-controlled 24-week double-blind trial with parallel groups design. Setting Participants were recruited from medium security prisons in Sweden. The medication started within 2 weeks before release from prison and continued in out-patient care with twice-weekly visits, including once-weekly cognitive behavioural therapy. Participants Fifty-four men with a mean age of 42 years, currently incarcerated, meeting DSM-IV criteria for ADHD and amphetamine dependence. Measurements Change in self-reported ADHD symptoms, relapse to any drug use (amphetamine and other drugs) measured by urine toxicology, retention to treatment, craving and time to relapse. Findings The MPH-treated group reduced their ADHD symptoms during the trial (P = 0.011) and had a significantly higher proportion of drug-negative urines compared with the placebo group (P = 0.047), including more amphetamine-negative urines (P = 0.019) and better retention to treatment (P = 0.032). Conclusions Methylphenidate treatment reduces attention deficit hyperactivity disorder symptoms and the risk for relapse to substance use in criminal offenders with attention deficit hyperactivity disorder and substance dependence.","container-title":"Addiction","DOI":"10.1111/add.12369","ISSN":"1360-0443","issue":"3","language":"en","note":"_eprint: https://onlinelibrary.wiley.com/doi/pdf/10.1111/add.12369","page":"440-449","source":"Wiley Online Library","title":"Methylphenidate for attention deficit hyperactivity disorder and drug relapse in criminal offenders with substance dependence: a 24-week randomized placebo-controlled trial","title-short":"Methylphenidate for attention deficit hyperactivity disorder and drug relapse in criminal offenders with substance dependence","volume":"109","author":[{"family":"Konstenius","given":"Maija"},{"family":"Jayaram-Lindström","given":"Nitya"},{"family":"Guterstam","given":"Joar"},{"family":"Beck","given":"Olof"},{"family":"Philips","given":"Björn"},{"family":"Franck","given":"Johan"}],"issued":{"date-parts":[["2014"]]}}}],"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367</w:t>
            </w:r>
            <w:r w:rsidRPr="007D4CB3">
              <w:rPr>
                <w:rFonts w:ascii="Times New Roman" w:hAnsi="Times New Roman" w:cs="Times New Roman"/>
                <w:sz w:val="24"/>
              </w:rPr>
              <w:fldChar w:fldCharType="end"/>
            </w:r>
          </w:p>
        </w:tc>
        <w:tc>
          <w:tcPr>
            <w:tcW w:w="3427" w:type="dxa"/>
          </w:tcPr>
          <w:p w14:paraId="6B4C85AC" w14:textId="0BEEFA09"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Methylphenidate</w:t>
            </w:r>
            <w:r w:rsidR="001E21A6" w:rsidRPr="007D4CB3">
              <w:rPr>
                <w:rFonts w:ascii="Times New Roman" w:hAnsi="Times New Roman" w:cs="Times New Roman"/>
                <w:sz w:val="24"/>
              </w:rPr>
              <w:t xml:space="preserve"> ER</w:t>
            </w:r>
          </w:p>
        </w:tc>
        <w:tc>
          <w:tcPr>
            <w:tcW w:w="2085" w:type="dxa"/>
          </w:tcPr>
          <w:p w14:paraId="71B101A8"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Max 180 mg/day</w:t>
            </w:r>
          </w:p>
        </w:tc>
        <w:tc>
          <w:tcPr>
            <w:tcW w:w="2250" w:type="dxa"/>
          </w:tcPr>
          <w:p w14:paraId="2E9972B5" w14:textId="68148B6E"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 xml:space="preserve">Cocaine, </w:t>
            </w:r>
            <w:r w:rsidR="00475706" w:rsidRPr="007D4CB3">
              <w:rPr>
                <w:rFonts w:ascii="Times New Roman" w:hAnsi="Times New Roman" w:cs="Times New Roman"/>
                <w:sz w:val="24"/>
              </w:rPr>
              <w:t>ATS</w:t>
            </w:r>
          </w:p>
        </w:tc>
      </w:tr>
      <w:tr w:rsidR="005D3271" w:rsidRPr="007D4CB3" w14:paraId="6B40DA82" w14:textId="77777777">
        <w:tc>
          <w:tcPr>
            <w:tcW w:w="2673" w:type="dxa"/>
          </w:tcPr>
          <w:p w14:paraId="53D9602F" w14:textId="45B7A34B"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Levin et al, 2006</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{"citationID":"wN592Cs9","properties":{"formattedCitation":"\\super 368\\nosupersub{}","plainCitation":"368","noteIndex":0},"citationItems":[{"id":3036,"uris":["http://zotero.org/groups/4862100/items/HNBFVCWB"],"itemData":{"id":3036,"type":"article-journal","abstract":"The purpose of this double-blind, three-arm, 12-week trial was to compare the efficacy of sustained-release methylphenidate or sustained-release bupropion to placebo in treating adult attention deficit hyperactivity disorder (ADHD) symptoms. The randomized sample consisted of 98 methadone-maintained patients who were predominately male (57%) and 40% Caucasian, 40% Hispanic and 20% African American. All participants met DSM-IV criteria for adult ADHD, with 53% meeting DSM-IV criteria for cocaine dependence/abuse. In addition to medication and treatment as usual at a methadone program, individuals received weekly individual cognitive behavioral treatment. Other than current employment status, there were no significant demographic differences across the three treatment groups. Seventy percent completed the 12-week trial. There were no differences in retention rate based on treatment group. A reduction in ADHD symptoms using the adult ADHD rating scale was observed in all three groups, but there were no significant differences in outcome between treatments. The placebo response rate was high, with 46% of the placebo group self-reporting substantial improvement in their ADHD symptoms (&gt;30% reduction in adult ADHD rating scale). Using other ADHD outcome measures, the placebo response and medication response rates were substantially lower. There was no evidence of misuse of medication or worsening of cocaine use among those randomized to methylphenidate. Taken together, sustained-release methylphenidate or sustained-release bupropion did not provide a clear advantage over placebo in reducing ADHD symptoms or additional cocaine use in methadone-maintained patients.","container-title":"Drug and Alcohol Dependence","DOI":"10.1016/j.drugalcdep.2005.06.012","ISSN":"0376-8716","issue":"2","journalAbbreviation":"Drug and Alcohol Dependence","language":"en","page":"137-148","source":"ScienceDirect","title":"Treatment of methadone-maintained patients with adult ADHD: Double-blind comparison of methylphenidate, bupropion and placebo","title-short":"Treatment of methadone-maintained patients with adult ADHD","volume":"81","author":[{"family":"Levin","given":"Frances R."},{"family":"Evans","given":"Suzette M."},{"family":"Brooks","given":"Daniel J."},{"family":"Kalbag","given":"Aparna S."},{"family":"Garawi","given":"Fatima"},{"family":"Nunes","given":"Edward V."}],"issued":{"date-parts":[["2006",2,1]]}}}],"schema":"https://github.com/citation-style-language/schema/raw/master/csl-citation.json"}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368</w:t>
            </w:r>
            <w:r w:rsidRPr="007D4CB3">
              <w:rPr>
                <w:rFonts w:ascii="Times New Roman" w:hAnsi="Times New Roman" w:cs="Times New Roman"/>
                <w:sz w:val="24"/>
              </w:rPr>
              <w:fldChar w:fldCharType="end"/>
            </w:r>
          </w:p>
        </w:tc>
        <w:tc>
          <w:tcPr>
            <w:tcW w:w="3427" w:type="dxa"/>
          </w:tcPr>
          <w:p w14:paraId="554BD8FE"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Methylphenidate SR</w:t>
            </w:r>
          </w:p>
        </w:tc>
        <w:tc>
          <w:tcPr>
            <w:tcW w:w="2085" w:type="dxa"/>
          </w:tcPr>
          <w:p w14:paraId="59D07405" w14:textId="4E2E6B7E"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20</w:t>
            </w:r>
            <w:r w:rsidR="00E603EA" w:rsidRPr="007D4CB3">
              <w:rPr>
                <w:rFonts w:ascii="Times New Roman" w:hAnsi="Times New Roman" w:cs="Times New Roman"/>
                <w:sz w:val="24"/>
              </w:rPr>
              <w:t>–</w:t>
            </w:r>
            <w:r w:rsidRPr="007D4CB3">
              <w:rPr>
                <w:rFonts w:ascii="Times New Roman" w:hAnsi="Times New Roman" w:cs="Times New Roman"/>
                <w:sz w:val="24"/>
              </w:rPr>
              <w:t>40</w:t>
            </w:r>
            <w:r w:rsidR="00E603EA" w:rsidRPr="007D4CB3">
              <w:rPr>
                <w:rFonts w:ascii="Times New Roman" w:hAnsi="Times New Roman" w:cs="Times New Roman"/>
                <w:sz w:val="24"/>
              </w:rPr>
              <w:t> </w:t>
            </w:r>
            <w:r w:rsidRPr="007D4CB3">
              <w:rPr>
                <w:rFonts w:ascii="Times New Roman" w:hAnsi="Times New Roman" w:cs="Times New Roman"/>
                <w:sz w:val="24"/>
              </w:rPr>
              <w:t xml:space="preserve">mg </w:t>
            </w:r>
            <w:r w:rsidR="002D3651" w:rsidRPr="007D4CB3">
              <w:rPr>
                <w:rFonts w:ascii="Times New Roman" w:hAnsi="Times New Roman" w:cs="Times New Roman"/>
                <w:sz w:val="24"/>
              </w:rPr>
              <w:t>BID</w:t>
            </w:r>
          </w:p>
        </w:tc>
        <w:tc>
          <w:tcPr>
            <w:tcW w:w="2250" w:type="dxa"/>
          </w:tcPr>
          <w:p w14:paraId="2CFFC54D"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Cocaine</w:t>
            </w:r>
          </w:p>
        </w:tc>
      </w:tr>
      <w:tr w:rsidR="005D3271" w:rsidRPr="007D4CB3" w14:paraId="50BDED9C" w14:textId="77777777">
        <w:tc>
          <w:tcPr>
            <w:tcW w:w="2673" w:type="dxa"/>
          </w:tcPr>
          <w:p w14:paraId="320BAEA1" w14:textId="1BA10C98"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Levin et al, 2007</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{"citationID":"cVrgUQN0","properties":{"formattedCitation":"\\super 369\\nosupersub{}","plainCitation":"369","noteIndex":0},"citationItems":[{"id":3029,"uris":["http://zotero.org/groups/4862100/items/ELWZYIYZ"],"itemData":{"id":3029,"type":"article-journal","abstract":"The purpose of this double-blind 14-week trial was to compare the efficacy of sustained-release methylphenidate (MPH) to placebo (PBO) in treating adult attention deficit hyperactivity disorder (ADHD) symptoms in current cocaine dependent (CD) treatment seekers. The randomized sample consisted of 106 participants who were predominately male (83%) and 60% Caucasian, 14% Hispanic, 20% African-American and 6% other. All participants met DSM-IV criteria for ADHD and CD. There were no significant demographic differences between the two treatment groups. All participants received weekly individual cognitive behavioral therapy. There was no difference in retention rate based on treatment group (p=.91). The majority of the PBO group and the MPH group reported &gt;30% improvement in their ADHD symptoms (55% versus 47%), with no significant difference between the two groups (p=.44). Using a combined outcome measure (&gt;30% reduction in ADHD symptoms and CGI &lt;3), the response rates were similar for both groups (28% PBO versus 30% MPH; p=.83). Longitudinal analyses of the urine toxicology data using generalized estimating equations, revealed a decrease in the probability of cocaine positive urine samples during the trial for the MPH group compared to the PBO group (p=.001). Further analysis suggested that for the MPH group, ADHD treatment responders, based on a semi structured clinical interview, were more likely to have a reduction in cocaine use compared to the non-ADHD responders. Although sustained-release MPH did not show superiority over PBO in treating ADHD symptoms, this trial provides some evidence that improvement in ADHD symptoms (clinician rated) among those patients receiving MPH, but not placebo, was associated with a reduction in cocaine use.","container-title":"Drug and Alcohol Dependence","DOI":"10.1016/j.drugalcdep.2006.07.004","ISSN":"0376-8716","issue":"1","journalAbbreviation":"Drug and Alcohol Dependence","language":"en","page":"20-29","source":"ScienceDirect","title":"Treatment of cocaine dependent treatment seekers with adult ADHD: Double-blind comparison of methylphenidate and placebo","title-short":"Treatment of cocaine dependent treatment seekers with adult ADHD","volume":"87","author":[{"family":"Levin","given":"Frances R."},{"family":"Evans","given":"Suzette M."},{"family":"Brooks","given":"Daniel J."},{"family":"Garawi","given":"Fatima"}],"issued":{"date-parts":[["2007",2,23]]}}}],"schema":"https://github.com/citation-style-language/schema/raw/master/csl-citation.json"}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369</w:t>
            </w:r>
            <w:r w:rsidRPr="007D4CB3">
              <w:rPr>
                <w:rFonts w:ascii="Times New Roman" w:hAnsi="Times New Roman" w:cs="Times New Roman"/>
                <w:sz w:val="24"/>
              </w:rPr>
              <w:fldChar w:fldCharType="end"/>
            </w:r>
          </w:p>
        </w:tc>
        <w:tc>
          <w:tcPr>
            <w:tcW w:w="3427" w:type="dxa"/>
          </w:tcPr>
          <w:p w14:paraId="053724A4"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Methylphenidate SR</w:t>
            </w:r>
          </w:p>
        </w:tc>
        <w:tc>
          <w:tcPr>
            <w:tcW w:w="2085" w:type="dxa"/>
          </w:tcPr>
          <w:p w14:paraId="2F856C5D" w14:textId="50EF7CF6"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20</w:t>
            </w:r>
            <w:r w:rsidR="00E603EA" w:rsidRPr="007D4CB3">
              <w:rPr>
                <w:rFonts w:ascii="Times New Roman" w:hAnsi="Times New Roman" w:cs="Times New Roman"/>
                <w:sz w:val="24"/>
              </w:rPr>
              <w:t>–</w:t>
            </w:r>
            <w:r w:rsidRPr="007D4CB3">
              <w:rPr>
                <w:rFonts w:ascii="Times New Roman" w:hAnsi="Times New Roman" w:cs="Times New Roman"/>
                <w:sz w:val="24"/>
              </w:rPr>
              <w:t>40</w:t>
            </w:r>
            <w:r w:rsidR="00E603EA" w:rsidRPr="007D4CB3">
              <w:rPr>
                <w:rFonts w:ascii="Times New Roman" w:hAnsi="Times New Roman" w:cs="Times New Roman"/>
                <w:sz w:val="24"/>
              </w:rPr>
              <w:t> </w:t>
            </w:r>
            <w:r w:rsidRPr="007D4CB3">
              <w:rPr>
                <w:rFonts w:ascii="Times New Roman" w:hAnsi="Times New Roman" w:cs="Times New Roman"/>
                <w:sz w:val="24"/>
              </w:rPr>
              <w:t xml:space="preserve">mg </w:t>
            </w:r>
            <w:r w:rsidR="002D3651" w:rsidRPr="007D4CB3">
              <w:rPr>
                <w:rFonts w:ascii="Times New Roman" w:hAnsi="Times New Roman" w:cs="Times New Roman"/>
                <w:sz w:val="24"/>
              </w:rPr>
              <w:t>BID</w:t>
            </w:r>
          </w:p>
        </w:tc>
        <w:tc>
          <w:tcPr>
            <w:tcW w:w="2250" w:type="dxa"/>
          </w:tcPr>
          <w:p w14:paraId="2C9AFBE3"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Cocaine</w:t>
            </w:r>
          </w:p>
        </w:tc>
      </w:tr>
      <w:tr w:rsidR="005D3271" w:rsidRPr="007D4CB3" w14:paraId="671F00CA" w14:textId="77777777">
        <w:tc>
          <w:tcPr>
            <w:tcW w:w="2673" w:type="dxa"/>
          </w:tcPr>
          <w:p w14:paraId="215151B7" w14:textId="5A5725EC"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Ling et al, 2014</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{"citationID":"UdhzsJA2","properties":{"formattedCitation":"\\super 370\\nosupersub{}","plainCitation":"370","noteIndex":0},"citationItems":[{"id":6513,"uris":["http://zotero.org/groups/4862100/items/FYTBAEX7"],"itemData":{"id":6513,"type":"article-journal","container-title":"Addiction","DOI":"10.1111/add.12608","ISSN":"09652140","issue":"9","journalAbbreviation":"Addiction","language":"en","page":"1489-1500","source":"DOI.org (Crossref)","title":"Sustained-release methylphenidate in a randomized trial of treatment of methamphetamine use disorder: Methylphenidate for methamphetamine use","title-short":"Sustained-release methylphenidate in a randomized trial of treatment of methamphetamine use disorder","volume":"109","author":[{"family":"Ling","given":"Walter"},{"family":"Chang","given":"Linda"},{"family":"Hillhouse","given":"Maureen"},{"family":"Ang","given":"Alfonso"},{"family":"Striebel","given":"Joan"},{"family":"Jenkins","given":"Jessica"},{"family":"Hernandez","given":"Jasmin"},{"family":"Olaer","given":"Mary"},{"family":"Mooney","given":"Larissa"},{"family":"Reed","given":"Susan"},{"family":"Fukaya","given":"Erin"},{"family":"Kogachi","given":"Shannon"},{"family":"Alicata","given":"Daniel"},{"family":"Holmes","given":"Nataliya"},{"family":"Esagoff","given":"Asher"}],"issued":{"date-parts":[["2014",9]]}}}],"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370</w:t>
            </w:r>
            <w:r w:rsidRPr="007D4CB3">
              <w:rPr>
                <w:rFonts w:ascii="Times New Roman" w:hAnsi="Times New Roman" w:cs="Times New Roman"/>
                <w:sz w:val="24"/>
              </w:rPr>
              <w:fldChar w:fldCharType="end"/>
            </w:r>
          </w:p>
        </w:tc>
        <w:tc>
          <w:tcPr>
            <w:tcW w:w="3427" w:type="dxa"/>
          </w:tcPr>
          <w:p w14:paraId="47B89D5E"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Methylphenidate SR</w:t>
            </w:r>
          </w:p>
        </w:tc>
        <w:tc>
          <w:tcPr>
            <w:tcW w:w="2085" w:type="dxa"/>
          </w:tcPr>
          <w:p w14:paraId="1079E85B"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54 mg/day</w:t>
            </w:r>
          </w:p>
        </w:tc>
        <w:tc>
          <w:tcPr>
            <w:tcW w:w="2250" w:type="dxa"/>
          </w:tcPr>
          <w:p w14:paraId="2FD3B04B" w14:textId="48BEDFAB" w:rsidR="005D3271" w:rsidRPr="007D4CB3" w:rsidRDefault="00E603EA"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ATS</w:t>
            </w:r>
          </w:p>
        </w:tc>
      </w:tr>
      <w:tr w:rsidR="005D3271" w:rsidRPr="007D4CB3" w14:paraId="43AFB83B" w14:textId="77777777">
        <w:tc>
          <w:tcPr>
            <w:tcW w:w="2673" w:type="dxa"/>
          </w:tcPr>
          <w:p w14:paraId="2B6E3387" w14:textId="121D7666"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Miles et al, 2013</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{"citationID":"HAsR60v3","properties":{"formattedCitation":"\\super 371\\nosupersub{}","plainCitation":"371","noteIndex":0},"citationItems":[{"id":6515,"uris":["http://zotero.org/groups/4862100/items/5Q5ZJRPF"],"itemData":{"id":6515,"type":"article-journal","container-title":"Addiction","DOI":"10.1111/add.12109","ISSN":"09652140","issue":"7","journalAbbreviation":"Addiction","language":"en","page":"1279-1286","source":"DOI.org (Crossref)","title":"Extended-release methylphenidate for treatment of amphetamine/methamphetamine dependence: a randomized, double-blind, placebo-controlled trial: Methylphenidate in amphetamine dependence","title-short":"Extended-release methylphenidate for treatment of amphetamine/methamphetamine dependence","volume":"108","author":[{"family":"Miles","given":"S. Wayne"},{"family":"Sheridan","given":"Janie"},{"family":"Russell","given":"Bruce"},{"family":"Kydd","given":"Rob"},{"family":"Wheeler","given":"Amanda"},{"family":"Walters","given":"Carina"},{"family":"Gamble","given":"Greg"},{"family":"Hardley","given":"Peta"},{"family":"Jensen","given":"Maree"},{"family":"Kuoppasalmi","given":"Kimmo"},{"family":"Tuomola","given":"Pekka"},{"family":"Föhr","given":"Jaana"},{"family":"Kuikanmäki","given":"Outi"},{"family":"Vorma","given":"Helena"},{"family":"Salokangas","given":"Raimo"},{"family":"Mikkonen","given":"Antti"},{"family":"Kallio","given":"Mika"},{"family":"Kauhanen","given":"Jussi"},{"family":"Kiviniemi","given":"Vesa"},{"family":"Tiihonen","given":"Jari"}],"issued":{"date-parts":[["2013",7]]}}}],"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371</w:t>
            </w:r>
            <w:r w:rsidRPr="007D4CB3">
              <w:rPr>
                <w:rFonts w:ascii="Times New Roman" w:hAnsi="Times New Roman" w:cs="Times New Roman"/>
                <w:sz w:val="24"/>
              </w:rPr>
              <w:fldChar w:fldCharType="end"/>
            </w:r>
          </w:p>
        </w:tc>
        <w:tc>
          <w:tcPr>
            <w:tcW w:w="3427" w:type="dxa"/>
          </w:tcPr>
          <w:p w14:paraId="3DBB9C55" w14:textId="2475539D"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Methylphenidate</w:t>
            </w:r>
            <w:r w:rsidR="001E21A6" w:rsidRPr="007D4CB3">
              <w:rPr>
                <w:rFonts w:ascii="Times New Roman" w:hAnsi="Times New Roman" w:cs="Times New Roman"/>
                <w:sz w:val="24"/>
              </w:rPr>
              <w:t xml:space="preserve"> ER</w:t>
            </w:r>
          </w:p>
        </w:tc>
        <w:tc>
          <w:tcPr>
            <w:tcW w:w="2085" w:type="dxa"/>
          </w:tcPr>
          <w:p w14:paraId="61693DFF"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54 mg/day</w:t>
            </w:r>
          </w:p>
        </w:tc>
        <w:tc>
          <w:tcPr>
            <w:tcW w:w="2250" w:type="dxa"/>
          </w:tcPr>
          <w:p w14:paraId="1D7C46AA" w14:textId="3E38DA9F" w:rsidR="005D3271" w:rsidRPr="007D4CB3" w:rsidRDefault="00E603EA"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ATS</w:t>
            </w:r>
          </w:p>
        </w:tc>
      </w:tr>
      <w:tr w:rsidR="005D3271" w:rsidRPr="007D4CB3" w14:paraId="2E4DE058" w14:textId="77777777">
        <w:tc>
          <w:tcPr>
            <w:tcW w:w="2673" w:type="dxa"/>
          </w:tcPr>
          <w:p w14:paraId="473B8C6B" w14:textId="72BA5542"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Minařík et al, 2016</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{"citationID":"abKila72","properties":{"formattedCitation":"\\super 372\\nosupersub{}","plainCitation":"372","noteIndex":0},"citationItems":[{"id":6516,"uris":["http://zotero.org/groups/4862100/items/9GEWAZJZ"],"itemData":{"id":6516,"type":"article-journal","container-title":"Journal of Substance Use","DOI":"10.3109/14659891.2015.1045047","ISSN":"1465-9891, 1475-9942","issue":"4","journalAbbreviation":"Journal of Substance Use","language":"en","page":"435-438","source":"DOI.org (Crossref)","title":"Methylphenidate substitution for methamphetamine addiction and implications for future randomized clinical trials: a unique case series","title-short":"Methylphenidate substitution for methamphetamine addiction and implications for future randomized clinical trials","volume":"21","author":[{"family":"Minařík","given":"Jakub"},{"family":"Gabrhelík","given":"Roman"},{"family":"Malcolm","given":"Robert"},{"family":"Pavlovská","given":"Amalie"},{"family":"Miller","given":"Peter"}],"issued":{"date-parts":[["2016",7,3]]}}}],"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372</w:t>
            </w:r>
            <w:r w:rsidRPr="007D4CB3">
              <w:rPr>
                <w:rFonts w:ascii="Times New Roman" w:hAnsi="Times New Roman" w:cs="Times New Roman"/>
                <w:sz w:val="24"/>
              </w:rPr>
              <w:fldChar w:fldCharType="end"/>
            </w:r>
          </w:p>
        </w:tc>
        <w:tc>
          <w:tcPr>
            <w:tcW w:w="3427" w:type="dxa"/>
          </w:tcPr>
          <w:p w14:paraId="5286CEAB"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Methylphenidate short acting</w:t>
            </w:r>
          </w:p>
        </w:tc>
        <w:tc>
          <w:tcPr>
            <w:tcW w:w="2085" w:type="dxa"/>
          </w:tcPr>
          <w:p w14:paraId="18B3623F"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Mean 37.6 mg/day</w:t>
            </w:r>
          </w:p>
        </w:tc>
        <w:tc>
          <w:tcPr>
            <w:tcW w:w="2250" w:type="dxa"/>
          </w:tcPr>
          <w:p w14:paraId="34CCC27C" w14:textId="5341A995" w:rsidR="005D3271" w:rsidRPr="007D4CB3" w:rsidRDefault="00E603EA"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ATS</w:t>
            </w:r>
          </w:p>
        </w:tc>
      </w:tr>
      <w:tr w:rsidR="005D3271" w:rsidRPr="007D4CB3" w14:paraId="1089E1B7" w14:textId="77777777">
        <w:tc>
          <w:tcPr>
            <w:tcW w:w="2673" w:type="dxa"/>
          </w:tcPr>
          <w:p w14:paraId="7CA46CE0" w14:textId="0BF4BE6B"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Rezaei et al, 2015</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{"citationID":"z2cEpYqK","properties":{"formattedCitation":"\\super 373\\nosupersub{}","plainCitation":"373","noteIndex":0},"citationItems":[{"id":6758,"uris":["http://zotero.org/groups/4862100/items/KUDPJELB"],"itemData":{"id":6758,"type":"article-journal","abstract":"Abstract\n            \n              Background\n              The objective of this randomized, double-blind, placebo-controlled study was to evaluate the efficacy of sustained-release methylphenidate (MPH-SR) in treatment of methamphetamine dependence.\n            \n            \n              Methods\n              Fifty-six individuals who met DSM-IV-TR criteria for methamphetamine dependence participated in this 10-week trial. The participants were randomly allocated into two groups and received 18 to 54 mg/day sustained-released methylphenidate or placebo for 10 weeks. Craving was evaluated by a visual analogue craving scale every week. Urinary screening test for methamphetamine was carried out each week. The Beck Depression Inventory-II (BDI-II) was used to monitor participant depressive symptoms at baseline and bi-weekly during the treatment period.\n            \n            \n              Results\n              At the end of the trial, the MPH-SR group was less methamphetamine positive compared to the placebo group and the difference was significant (p = 0.03). By the end of the study, MPH-SR group showed significantly less craving scores compared to the placebo group [MD (95% CI) = -10.28(0.88-19.18), t(54) = 2.19, p = 0.03]. There was greater improvement in the depressive symptoms scores in the intervention group compared to the placebo group [MD (95% CI) =2.03(0.31-3.75), t (54) =2.37, p = 0.02].\n            \n            \n              Conclusion\n              Sustained-released methylphenidate was safe and well tolerated among active methamphetamine users and significantly reduced methamphetamine use, craving and depressive symptoms.\n            \n            \n              Trial registration\n              \n                IRCT201202281556N38","container-title":"DARU Journal of Pharmaceutical Sciences","DOI":"10.1186/s40199-015-0092-y","ISSN":"2008-2231","issue":"1","journalAbbreviation":"DARU J Pharm Sci","language":"en","page":"2","source":"DOI.org (Crossref)","title":"Sustained-release methylphenidate in methamphetamine dependence treatment: a double-blind and placebo-controlled trial","title-short":"Sustained-release methylphenidate in methamphetamine dependence treatment","volume":"23","author":[{"family":"Rezaei","given":"Farzin"},{"family":"Emami","given":"Maryam"},{"family":"Zahed","given":"Shakiba"},{"family":"Morabbi","given":"Mohammad-Javad"},{"family":"Farahzadi","given":"Mohammadhadi"},{"family":"Akhondzadeh","given":"Shahin"}],"issued":{"date-parts":[["2015",12]]}}}],"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373</w:t>
            </w:r>
            <w:r w:rsidRPr="007D4CB3">
              <w:rPr>
                <w:rFonts w:ascii="Times New Roman" w:hAnsi="Times New Roman" w:cs="Times New Roman"/>
                <w:sz w:val="24"/>
              </w:rPr>
              <w:fldChar w:fldCharType="end"/>
            </w:r>
          </w:p>
        </w:tc>
        <w:tc>
          <w:tcPr>
            <w:tcW w:w="3427" w:type="dxa"/>
          </w:tcPr>
          <w:p w14:paraId="4AF1D692"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Methylphenidate SR</w:t>
            </w:r>
          </w:p>
        </w:tc>
        <w:tc>
          <w:tcPr>
            <w:tcW w:w="2085" w:type="dxa"/>
          </w:tcPr>
          <w:p w14:paraId="3AC168FE"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54 mg/day</w:t>
            </w:r>
          </w:p>
        </w:tc>
        <w:tc>
          <w:tcPr>
            <w:tcW w:w="2250" w:type="dxa"/>
          </w:tcPr>
          <w:p w14:paraId="28E5BCD4" w14:textId="3BC98312" w:rsidR="005D3271" w:rsidRPr="007D4CB3" w:rsidRDefault="00E603EA"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ATS</w:t>
            </w:r>
          </w:p>
        </w:tc>
      </w:tr>
      <w:tr w:rsidR="005D3271" w:rsidRPr="007D4CB3" w14:paraId="30A1532B" w14:textId="77777777">
        <w:tc>
          <w:tcPr>
            <w:tcW w:w="2673" w:type="dxa"/>
          </w:tcPr>
          <w:p w14:paraId="14A4F503" w14:textId="3EA9BFCC"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Schubiner et al, 2002</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{"citationID":"ONPmhxxs","properties":{"formattedCitation":"\\super 374\\nosupersub{}","plainCitation":"374","noteIndex":0},"citationItems":[{"id":3032,"uris":["http://zotero.org/groups/4862100/items/GLKIU5VD"],"itemData":{"id":3032,"type":"article-journal","abstract":"In this 12-week double-blind placebo-controlled trial of methylphenidate (MTP) versus placebo in 48 cocaine-dependent attention-deficit/hyperactivity disorder (ADHD) adults, the authors sought to determine whether MTP would be safe, control ADHD symptoms, and affect cocaine use. Efficacy indexes revealed significantly greater ADHD symptom relief in the MTP group. There were no group differences in self-reported cocaine use, urinalysis results, or cocaine craving. Because of the relatively small sample size, the results are preliminary. However, the authors found that MTP improved subjective reports of ADHD symptoms and did not worsen cocaine use while participants were in treatment. (PsycINFO Database Record (c) 2016 APA, all rights reserved)","container-title":"Experimental and Clinical Psychopharmacology","DOI":"10.1037/1064-1297.10.3.286","ISSN":"1936-2293","note":"publisher-place: US\npublisher: American Psychological Association","page":"286-294","source":"APA PsycNet","title":"Double-blind placebo-controlled trial of methylphenidate in the treatment of adult ADHD patients with comorbid cocaine dependence","volume":"10","author":[{"family":"Schubiner","given":"Howard"},{"family":"Downey","given":"Karen K."},{"family":"Arfken","given":"Cynthia L."},{"family":"Johanson","given":"Chris-Ellyn"},{"family":"Schuster","given":"Charles R."},{"family":"Lockhart","given":"Nancy"},{"family":"Edwards","given":"Ann"},{"family":"Donlin","given":"Judy"},{"family":"Pihlgren","given":"Eric"}],"issued":{"date-parts":[["2002"]]}}}],"schema":"https://github.com/citation-style-language/schema/raw/master/csl-citation.json"}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374</w:t>
            </w:r>
            <w:r w:rsidRPr="007D4CB3">
              <w:rPr>
                <w:rFonts w:ascii="Times New Roman" w:hAnsi="Times New Roman" w:cs="Times New Roman"/>
                <w:sz w:val="24"/>
              </w:rPr>
              <w:fldChar w:fldCharType="end"/>
            </w:r>
          </w:p>
        </w:tc>
        <w:tc>
          <w:tcPr>
            <w:tcW w:w="3427" w:type="dxa"/>
          </w:tcPr>
          <w:p w14:paraId="17582B2A"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Methylphenidate</w:t>
            </w:r>
          </w:p>
        </w:tc>
        <w:tc>
          <w:tcPr>
            <w:tcW w:w="2085" w:type="dxa"/>
          </w:tcPr>
          <w:p w14:paraId="2C7CB124" w14:textId="49950EB2"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 xml:space="preserve">30 mg </w:t>
            </w:r>
            <w:r w:rsidR="002D3651" w:rsidRPr="007D4CB3">
              <w:rPr>
                <w:rFonts w:ascii="Times New Roman" w:hAnsi="Times New Roman" w:cs="Times New Roman"/>
                <w:sz w:val="24"/>
              </w:rPr>
              <w:t>TID</w:t>
            </w:r>
          </w:p>
        </w:tc>
        <w:tc>
          <w:tcPr>
            <w:tcW w:w="2250" w:type="dxa"/>
          </w:tcPr>
          <w:p w14:paraId="46A48579"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Cocaine</w:t>
            </w:r>
          </w:p>
        </w:tc>
      </w:tr>
      <w:tr w:rsidR="005D3271" w:rsidRPr="007D4CB3" w14:paraId="5FB4F4C8" w14:textId="77777777">
        <w:tc>
          <w:tcPr>
            <w:tcW w:w="2673" w:type="dxa"/>
          </w:tcPr>
          <w:p w14:paraId="380054CA" w14:textId="723FD63F"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Solhi et al, 2014</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{"citationID":"ed2AScRB","properties":{"formattedCitation":"\\super 375\\nosupersub{}","plainCitation":"375","noteIndex":0},"citationItems":[{"id":6518,"uris":["http://zotero.org/groups/4862100/items/DUQFDLG7"],"itemData":{"id":6518,"type":"article-journal","container-title":"Saudi Pharmaceutical Journal","DOI":"10.1016/j.jsps.2013.04.003","ISSN":"13190164","issue":"3","journalAbbreviation":"Saudi Pharmaceutical Journal","language":"en","page":"191-194","source":"DOI.org (Crossref)","title":"Methylphenidate vs. resperidone in treatment of methamphetamine dependence: A clinical trial","title-short":"Methylphenidate vs. resperidone in treatment of methamphetamine dependence","volume":"22","author":[{"family":"Solhi","given":"Hassan"},{"family":"Jamilian","given":"Hamid Reza"},{"family":"Kazemifar","given":"Amir Mohammad"},{"family":"Javaheri","given":"Javad"},{"family":"Rasti Barzaki","given":"Akram"}],"issued":{"date-parts":[["2014",7]]}}}],"schema":"https://github.com/citation-style-language/schema/raw/master/csl-citation.json"}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375</w:t>
            </w:r>
            <w:r w:rsidRPr="007D4CB3">
              <w:rPr>
                <w:rFonts w:ascii="Times New Roman" w:hAnsi="Times New Roman" w:cs="Times New Roman"/>
                <w:sz w:val="24"/>
              </w:rPr>
              <w:fldChar w:fldCharType="end"/>
            </w:r>
          </w:p>
        </w:tc>
        <w:tc>
          <w:tcPr>
            <w:tcW w:w="3427" w:type="dxa"/>
          </w:tcPr>
          <w:p w14:paraId="7FC19DC0"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Methylphenidate</w:t>
            </w:r>
          </w:p>
        </w:tc>
        <w:tc>
          <w:tcPr>
            <w:tcW w:w="2085" w:type="dxa"/>
          </w:tcPr>
          <w:p w14:paraId="41CDBCD2"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Max 10 mg/day</w:t>
            </w:r>
          </w:p>
        </w:tc>
        <w:tc>
          <w:tcPr>
            <w:tcW w:w="2250" w:type="dxa"/>
          </w:tcPr>
          <w:p w14:paraId="0CD197B0" w14:textId="18636293" w:rsidR="005D3271" w:rsidRPr="007D4CB3" w:rsidRDefault="00755112"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ATS</w:t>
            </w:r>
          </w:p>
        </w:tc>
      </w:tr>
      <w:tr w:rsidR="005D3271" w:rsidRPr="007D4CB3" w14:paraId="56F2BC2F" w14:textId="77777777">
        <w:tc>
          <w:tcPr>
            <w:tcW w:w="2673" w:type="dxa"/>
          </w:tcPr>
          <w:p w14:paraId="3C1F7F30" w14:textId="60A6C20E"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Tiihonen et al, 2007</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{"citationID":"QoSYUpQZ","properties":{"formattedCitation":"\\super 376\\nosupersub{}","plainCitation":"376","noteIndex":0},"citationItems":[{"id":6520,"uris":["http://zotero.org/groups/4862100/items/JW3BPZQS"],"itemData":{"id":6520,"type":"article-journal","container-title":"American Journal of Psychiatry","DOI":"10.1176/ajp.2007.164.1.160","ISSN":"0002-953X, 1535-7228","issue":"1","journalAbbreviation":"AJP","language":"en","page":"160-162","source":"DOI.org (Crossref)","title":"A Comparison of Aripiprazole, Methylphenidate, and Placebo for Amphetamine Dependence","volume":"164","author":[{"family":"Tiihonen","given":"Jari"},{"family":"Kuoppasalmi","given":"Kimmo"},{"family":"Föhr","given":"Jaana"},{"family":"Tuomola","given":"Pekka"},{"family":"Kuikanmäki","given":"Outi"},{"family":"Vorma","given":"Helena"},{"family":"Sokero","given":"Petteri"},{"family":"Haukka","given":"Jari"},{"family":"Meririnne","given":"Esa"}],"issued":{"date-parts":[["2007",1]]}}}],"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376</w:t>
            </w:r>
            <w:r w:rsidRPr="007D4CB3">
              <w:rPr>
                <w:rFonts w:ascii="Times New Roman" w:hAnsi="Times New Roman" w:cs="Times New Roman"/>
                <w:sz w:val="24"/>
              </w:rPr>
              <w:fldChar w:fldCharType="end"/>
            </w:r>
          </w:p>
        </w:tc>
        <w:tc>
          <w:tcPr>
            <w:tcW w:w="3427" w:type="dxa"/>
          </w:tcPr>
          <w:p w14:paraId="1F5F28CF"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Methylphenidate SR</w:t>
            </w:r>
          </w:p>
        </w:tc>
        <w:tc>
          <w:tcPr>
            <w:tcW w:w="2085" w:type="dxa"/>
          </w:tcPr>
          <w:p w14:paraId="20AD54E8"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54 mg/day</w:t>
            </w:r>
          </w:p>
        </w:tc>
        <w:tc>
          <w:tcPr>
            <w:tcW w:w="2250" w:type="dxa"/>
          </w:tcPr>
          <w:p w14:paraId="349F1B9A" w14:textId="225A4D32" w:rsidR="005D3271" w:rsidRPr="007D4CB3" w:rsidRDefault="00755112"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ATS</w:t>
            </w:r>
          </w:p>
        </w:tc>
      </w:tr>
      <w:tr w:rsidR="006F039A" w:rsidRPr="007D4CB3" w14:paraId="0D6E53A4" w14:textId="77777777" w:rsidTr="006F039A">
        <w:tc>
          <w:tcPr>
            <w:tcW w:w="10435" w:type="dxa"/>
            <w:gridSpan w:val="4"/>
            <w:shd w:val="clear" w:color="auto" w:fill="D9D9D9" w:themeFill="background1" w:themeFillShade="D9"/>
          </w:tcPr>
          <w:p w14:paraId="7BEB5023" w14:textId="12C68840" w:rsidR="006F039A" w:rsidRPr="007D4CB3" w:rsidRDefault="006F039A"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Mazindol</w:t>
            </w:r>
          </w:p>
        </w:tc>
      </w:tr>
      <w:tr w:rsidR="005D3271" w:rsidRPr="007D4CB3" w14:paraId="35243FD6" w14:textId="77777777">
        <w:tc>
          <w:tcPr>
            <w:tcW w:w="2673" w:type="dxa"/>
          </w:tcPr>
          <w:p w14:paraId="392A3DBA" w14:textId="76EF1D4D"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Stine et al, 1995</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{"citationID":"TKn8P3Nk","properties":{"formattedCitation":"\\super 377\\nosupersub{}","plainCitation":"377","noteIndex":0},"citationItems":[{"id":3030,"uris":["http://zotero.org/groups/4862100/items/WC5462UA"],"itemData":{"id":3030,"type":"article-journal","abstract":"This double-blind placebo-controlled treatment study tested the efficacy of mazindol in currently cocaine-dependent out-patients. Forty-three patients were randomized to mazindol (2 mg QD) vs. placebo treatment for 6 weeks. All patients received weekly group counseling. Patients improved with respect to objective (urine toxicology) and subjective (self-report of times used, dollars spent, craving, etc.) measures. There was no response difference between patients treated with mazindol and those who received placebo.","container-title":"Drug and Alcohol Dependence","DOI":"10.1016/0376-8716(95)01174-4","ISSN":"0376-8716","issue":"3","journalAbbreviation":"Drug and Alcohol Dependence","language":"en","page":"245-252","source":"ScienceDirect","title":"Mazindol treatment for cocaine dependence","volume":"39","author":[{"family":"Stine","given":"Susan M."},{"family":"Krystal","given":"John H."},{"family":"Kosten","given":"Thomas R."},{"family":"Charney","given":"Dennis S."}],"issued":{"date-parts":[["1995",10,1]]}}}],"schema":"https://github.com/citation-style-language/schema/raw/master/csl-citation.json"}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377</w:t>
            </w:r>
            <w:r w:rsidRPr="007D4CB3">
              <w:rPr>
                <w:rFonts w:ascii="Times New Roman" w:hAnsi="Times New Roman" w:cs="Times New Roman"/>
                <w:sz w:val="24"/>
              </w:rPr>
              <w:fldChar w:fldCharType="end"/>
            </w:r>
          </w:p>
        </w:tc>
        <w:tc>
          <w:tcPr>
            <w:tcW w:w="3427" w:type="dxa"/>
          </w:tcPr>
          <w:p w14:paraId="248EDC91"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Mazindol</w:t>
            </w:r>
          </w:p>
        </w:tc>
        <w:tc>
          <w:tcPr>
            <w:tcW w:w="2085" w:type="dxa"/>
          </w:tcPr>
          <w:p w14:paraId="17B071E8"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2 mg/day</w:t>
            </w:r>
          </w:p>
        </w:tc>
        <w:tc>
          <w:tcPr>
            <w:tcW w:w="2250" w:type="dxa"/>
          </w:tcPr>
          <w:p w14:paraId="670E92D7"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Cocaine</w:t>
            </w:r>
          </w:p>
        </w:tc>
      </w:tr>
      <w:tr w:rsidR="005D3271" w:rsidRPr="007D4CB3" w14:paraId="7C22BC3A" w14:textId="77777777">
        <w:tc>
          <w:tcPr>
            <w:tcW w:w="2673" w:type="dxa"/>
          </w:tcPr>
          <w:p w14:paraId="4AB1C6A3" w14:textId="008D1A02"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Margolin et al, 1995</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{"citationID":"0HIHD2k9","properties":{"formattedCitation":"\\super 378\\nosupersub{}","plainCitation":"378","noteIndex":0},"citationItems":[{"id":3047,"uris":["http://zotero.org/groups/4862100/items/XX6YJ9KC"],"itemData":{"id":3047,"type":"article-journal","abstract":"We conducted a double-blind, randomized clinical trial of mazindol (n = 37) for the prevention of relapse to cocaine abuse in methadone-maintained patients who were in the “action” stage of change, i.e., had a history of cocaine dependence but who had been abstinent for at least 2 weeks prior to entry into the study. Eight-one percent of subjects completed the 12-week course of treatment. Overall, cocaine use during the study was comparatively low–17% of the urine screens submitted were positive for cocaine metabolite. Differences between the mazindol and placebo groups of rates of relapse, number of days to relapse, and cocaine use did not reach statistical significance, but were in the direction of a treatment effect. Results suggest that stage of abstinence initiation may be a potentially useful category to employ as an independent variable in future pharmacotherapy trials for the treatment of cocaine addiction in this patient population.","container-title":"The American Journal of Drug and Alcohol Abuse","DOI":"10.3109/00952999509002711","ISSN":"0095-2990","issue":"4","note":"publisher: Taylor &amp; Francis\n_eprint: https://doi.org/10.3109/00952999509002711\nPMID: 8561098","page":"469-481","source":"Taylor and Francis+NEJM","title":"Mazindol for Relapse Prevention to Cocaine Abuse in Methadone-Maintained Patients","volume":"21","author":[{"family":"Margolin","given":"Arthur"},{"family":"Avants","given":"S. Kelly"},{"family":"Kosten","given":"Thomas R"}],"issued":{"date-parts":[["1995",1,1]]}}}],"schema":"https://github.com/citation-style-language/schema/raw/master/csl-citation.json"}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378</w:t>
            </w:r>
            <w:r w:rsidRPr="007D4CB3">
              <w:rPr>
                <w:rFonts w:ascii="Times New Roman" w:hAnsi="Times New Roman" w:cs="Times New Roman"/>
                <w:sz w:val="24"/>
              </w:rPr>
              <w:fldChar w:fldCharType="end"/>
            </w:r>
          </w:p>
        </w:tc>
        <w:tc>
          <w:tcPr>
            <w:tcW w:w="3427" w:type="dxa"/>
          </w:tcPr>
          <w:p w14:paraId="211E4983"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Mazindol</w:t>
            </w:r>
          </w:p>
        </w:tc>
        <w:tc>
          <w:tcPr>
            <w:tcW w:w="2085" w:type="dxa"/>
            <w:shd w:val="clear" w:color="auto" w:fill="auto"/>
          </w:tcPr>
          <w:p w14:paraId="21F6E874"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1 mg/day</w:t>
            </w:r>
          </w:p>
        </w:tc>
        <w:tc>
          <w:tcPr>
            <w:tcW w:w="2250" w:type="dxa"/>
          </w:tcPr>
          <w:p w14:paraId="18407705"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Cocaine</w:t>
            </w:r>
          </w:p>
        </w:tc>
      </w:tr>
      <w:tr w:rsidR="005D3271" w:rsidRPr="007D4CB3" w14:paraId="5DBD011C" w14:textId="77777777">
        <w:tc>
          <w:tcPr>
            <w:tcW w:w="2673" w:type="dxa"/>
          </w:tcPr>
          <w:p w14:paraId="5B9BECDD" w14:textId="7935628C" w:rsidR="005D3271" w:rsidRPr="007D4CB3" w:rsidRDefault="005D3271" w:rsidP="00FC7CE6">
            <w:pPr>
              <w:widowControl w:val="0"/>
              <w:autoSpaceDE w:val="0"/>
              <w:autoSpaceDN w:val="0"/>
              <w:adjustRightInd w:val="0"/>
              <w:spacing w:before="0" w:after="0" w:line="360" w:lineRule="auto"/>
              <w:rPr>
                <w:rFonts w:ascii="Times New Roman" w:hAnsi="Times New Roman" w:cs="Times New Roman"/>
              </w:rPr>
            </w:pPr>
            <w:r w:rsidRPr="007D4CB3">
              <w:rPr>
                <w:rFonts w:ascii="Times New Roman" w:hAnsi="Times New Roman" w:cs="Times New Roman"/>
              </w:rPr>
              <w:t>Margolin et al, 1997</w:t>
            </w:r>
            <w:r w:rsidRPr="007D4CB3">
              <w:rPr>
                <w:rFonts w:ascii="Times New Roman" w:hAnsi="Times New Roman" w:cs="Times New Roman"/>
              </w:rPr>
              <w:fldChar w:fldCharType="begin"/>
            </w:r>
            <w:r w:rsidR="00596A41" w:rsidRPr="007D4CB3">
              <w:rPr>
                <w:rFonts w:ascii="Times New Roman" w:hAnsi="Times New Roman" w:cs="Times New Roman"/>
              </w:rPr>
              <w:instrText xml:space="preserve"> ADDIN ZOTERO_ITEM CSL_CITATION {"citationID":"39KIPZpT","properties":{"formattedCitation":"\\super 379\\nosupersub{}","plainCitation":"379","noteIndex":0},"citationItems":[{"id":3046,"uris":["http://zotero.org/groups/4862100/items/8LDJENSQ"],"itemData":{"id":3046,"type":"article-journal","abstract":"We conducted a preliminary investigation comparing high‐dose mazindol (8 mg/day), low dose mazindol (1 mg/day), and placebo for cocaine abstinence initiation in a 12‐week, double‐blind, randomized clinical trial enrolling 17 cocaine‐dependent, methadone‐maintained patients. Outcome data did not support a difference between the two dose levels on percentage positive urine screens positive for cocaine (1 mg mazindol=68%, 8 mg mazindol=75%, placebo=91%). Doses of mazindol greater than 8 mg may be needed for a cocaine blocking effect, although potential pressor effects may be a limiting factor.","container-title":"Substance Abuse","DOI":"10.1080/08897079709511358","ISSN":"0889-7077","issue":"3","note":"publisher: Taylor &amp; Francis\n_eprint: https://doi.org/10.1080/08897079709511358","page":"125-131","source":"Taylor and Francis+NEJM","title":"High‐ and low‐dose Mazindol for cocaine dependence in methadone‐maintained patients: A preliminary evaluation","title-short":"High‐ and low‐dose Mazindol for cocaine dependence in methadone‐maintained patients","volume":"18","author":[{"family":"Margolin","given":"Arthur"},{"family":"Avants","given":"S. Kelly"},{"family":"Malison","given":"Robert T."},{"family":"Kosten","given":"Thomas R."}],"issued":{"date-parts":[["1997",9,1]]}}}],"schema":"https://github.com/citation-style-language/schema/raw/master/csl-citation.json"} </w:instrText>
            </w:r>
            <w:r w:rsidRPr="007D4CB3">
              <w:rPr>
                <w:rFonts w:ascii="Times New Roman" w:hAnsi="Times New Roman" w:cs="Times New Roman"/>
              </w:rPr>
              <w:fldChar w:fldCharType="separate"/>
            </w:r>
            <w:r w:rsidR="00596A41" w:rsidRPr="007D4CB3">
              <w:rPr>
                <w:rFonts w:ascii="Times New Roman" w:hAnsi="Times New Roman" w:cs="Times New Roman"/>
                <w:vertAlign w:val="superscript"/>
              </w:rPr>
              <w:t>379</w:t>
            </w:r>
            <w:r w:rsidRPr="007D4CB3">
              <w:rPr>
                <w:rFonts w:ascii="Times New Roman" w:hAnsi="Times New Roman" w:cs="Times New Roman"/>
              </w:rPr>
              <w:fldChar w:fldCharType="end"/>
            </w:r>
          </w:p>
        </w:tc>
        <w:tc>
          <w:tcPr>
            <w:tcW w:w="3427" w:type="dxa"/>
          </w:tcPr>
          <w:p w14:paraId="07DAB46D"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Mazindol</w:t>
            </w:r>
          </w:p>
        </w:tc>
        <w:tc>
          <w:tcPr>
            <w:tcW w:w="2085" w:type="dxa"/>
          </w:tcPr>
          <w:p w14:paraId="6C4880C7" w14:textId="77777777" w:rsidR="005D3271" w:rsidRPr="007D4CB3" w:rsidRDefault="005D3271" w:rsidP="00FC7CE6">
            <w:pPr>
              <w:pStyle w:val="StUDTableText"/>
              <w:spacing w:before="0" w:after="0" w:line="360" w:lineRule="auto"/>
              <w:rPr>
                <w:rFonts w:ascii="Times New Roman" w:hAnsi="Times New Roman" w:cs="Times New Roman"/>
                <w:sz w:val="24"/>
                <w:highlight w:val="yellow"/>
              </w:rPr>
            </w:pPr>
            <w:r w:rsidRPr="007D4CB3">
              <w:rPr>
                <w:rFonts w:ascii="Times New Roman" w:hAnsi="Times New Roman" w:cs="Times New Roman"/>
                <w:sz w:val="24"/>
              </w:rPr>
              <w:t>1 or 8 mg/day</w:t>
            </w:r>
          </w:p>
        </w:tc>
        <w:tc>
          <w:tcPr>
            <w:tcW w:w="2250" w:type="dxa"/>
          </w:tcPr>
          <w:p w14:paraId="34814190"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Cocaine</w:t>
            </w:r>
          </w:p>
        </w:tc>
      </w:tr>
      <w:tr w:rsidR="005D3271" w:rsidRPr="007D4CB3" w14:paraId="0F8AE6A6" w14:textId="77777777">
        <w:tc>
          <w:tcPr>
            <w:tcW w:w="2673" w:type="dxa"/>
          </w:tcPr>
          <w:p w14:paraId="36E07A2C" w14:textId="725354A1"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Perry et al, 2005</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{"citationID":"vond9T7R","properties":{"formattedCitation":"\\super 380\\nosupersub{}","plainCitation":"380","noteIndex":0},"citationItems":[{"id":3034,"uris":["http://zotero.org/groups/4862100/items/G7ADAJLZ"],"itemData":{"id":3034,"type":"article-journal","abstract":"Objectives: Cocaine abuse has a negative impact on the natural history of schizophrenia. There are no proven treatments for cocaine abuse in schizophrenia patients. The catecholamine reuptake inhibitor, mazindol, has been reported to reduce cocaine abuse in some studies. Here we report the results of a double-blind, randomized, placebo-controlled 6-week pilot study of mazindol augmentation of antipsychotic pharmacotherapy in patients diagnosed with comorbid schizophrenia and cocaine abuse or dependence. Methods: Patients diagnosed with schizophrenia or schizoaffective disorder and cocaine abuse or dependence participated in group therapy focused on substance abuse issues and were randomly assigned to mazindol (1 mg tid, increased to 2 mg tid after 1 week) or matched placebo in addition to their current antipsychotic medication for 6 weeks. Results: Twenty-four patients were included in the analysis, with 11 and 13 randomized to the mazindol and placebo groups, respectively. While safe and well-tolerated, mazindol was ineffective in reducing cocaine consumption, cocaine craving, and psychiatric symptoms. Conclusions: These results do not support the efficacy of mazindol in decreasing cocaine craving, cocaine consumption, and psychiatric symptoms in schizophrenic and schizoaffective patients.","container-title":"Journal of Dual Diagnosis","DOI":"10.1300/J374v01n01_04","ISSN":"1550-4263","issue":"1","note":"publisher: Taylor &amp; Francis\n_eprint: https://doi.org/10.1300/J374v01n01_04","page":"37-47","source":"Taylor and Francis+NEJM","title":"Mazindol Augmentation of Antipsychotic Treatment for Schizophrenic Patients with Comorbid Cocaine Abuse or Dependence","volume":"1","author":[{"family":"Perry","given":"Edward B."},{"family":"Gil","given":"Roberto"},{"family":"Miles","given":"Deborah"},{"family":"Brenner","given":"Louise"},{"family":"Macdougall","given":"Lisa"},{"family":"Johnson","given":"Robin"},{"family":"Degen","given":"Kathleen"},{"family":"Gueorguieva","given":"Ralitza"},{"family":"Petrakis","given":"Ismene L."},{"family":"Krystal","given":"John H."},{"family":"D'Souza","given":"D.   Cyril"}],"issued":{"date-parts":[["2005",1,17]]}}}],"schema":"https://github.com/citation-style-language/schema/raw/master/csl-citation.json"}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380</w:t>
            </w:r>
            <w:r w:rsidRPr="007D4CB3">
              <w:rPr>
                <w:rFonts w:ascii="Times New Roman" w:hAnsi="Times New Roman" w:cs="Times New Roman"/>
                <w:sz w:val="24"/>
              </w:rPr>
              <w:fldChar w:fldCharType="end"/>
            </w:r>
          </w:p>
        </w:tc>
        <w:tc>
          <w:tcPr>
            <w:tcW w:w="3427" w:type="dxa"/>
          </w:tcPr>
          <w:p w14:paraId="5CBBAC25"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Mazindol</w:t>
            </w:r>
          </w:p>
        </w:tc>
        <w:tc>
          <w:tcPr>
            <w:tcW w:w="2085" w:type="dxa"/>
          </w:tcPr>
          <w:p w14:paraId="26C7F031" w14:textId="7005B41F" w:rsidR="005D3271" w:rsidRPr="007D4CB3" w:rsidRDefault="005D3271" w:rsidP="00FC7CE6">
            <w:pPr>
              <w:pStyle w:val="StUDTableText"/>
              <w:spacing w:before="0" w:after="0" w:line="360" w:lineRule="auto"/>
              <w:rPr>
                <w:rFonts w:ascii="Times New Roman" w:hAnsi="Times New Roman" w:cs="Times New Roman"/>
                <w:sz w:val="24"/>
                <w:highlight w:val="yellow"/>
              </w:rPr>
            </w:pPr>
            <w:r w:rsidRPr="007D4CB3">
              <w:rPr>
                <w:rFonts w:ascii="Times New Roman" w:hAnsi="Times New Roman" w:cs="Times New Roman"/>
                <w:sz w:val="24"/>
              </w:rPr>
              <w:t xml:space="preserve">2 mg </w:t>
            </w:r>
            <w:r w:rsidR="002D3651" w:rsidRPr="007D4CB3">
              <w:rPr>
                <w:rFonts w:ascii="Times New Roman" w:hAnsi="Times New Roman" w:cs="Times New Roman"/>
                <w:sz w:val="24"/>
              </w:rPr>
              <w:t>TID</w:t>
            </w:r>
          </w:p>
        </w:tc>
        <w:tc>
          <w:tcPr>
            <w:tcW w:w="2250" w:type="dxa"/>
          </w:tcPr>
          <w:p w14:paraId="5F565F17"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Cocaine</w:t>
            </w:r>
          </w:p>
        </w:tc>
      </w:tr>
      <w:tr w:rsidR="006F039A" w:rsidRPr="007D4CB3" w14:paraId="642193BA" w14:textId="77777777" w:rsidTr="006F039A">
        <w:tc>
          <w:tcPr>
            <w:tcW w:w="10435" w:type="dxa"/>
            <w:gridSpan w:val="4"/>
            <w:shd w:val="clear" w:color="auto" w:fill="D9D9D9" w:themeFill="background1" w:themeFillShade="D9"/>
          </w:tcPr>
          <w:p w14:paraId="78DA2746" w14:textId="5FF8F008" w:rsidR="006F039A" w:rsidRPr="007D4CB3" w:rsidRDefault="006F039A"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Oral methamphetamine</w:t>
            </w:r>
          </w:p>
        </w:tc>
      </w:tr>
      <w:tr w:rsidR="005D3271" w:rsidRPr="007D4CB3" w14:paraId="7212D48C" w14:textId="77777777">
        <w:tc>
          <w:tcPr>
            <w:tcW w:w="2673" w:type="dxa"/>
          </w:tcPr>
          <w:p w14:paraId="5EBF3A5B" w14:textId="32604449"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Mooney et al, 2009</w:t>
            </w:r>
            <w:r w:rsidRPr="007D4CB3">
              <w:rPr>
                <w:rFonts w:ascii="Times New Roman" w:hAnsi="Times New Roman" w:cs="Times New Roman"/>
                <w:sz w:val="24"/>
              </w:rPr>
              <w:fldChar w:fldCharType="begin"/>
            </w:r>
            <w:r w:rsidR="00596A41" w:rsidRPr="007D4CB3">
              <w:rPr>
                <w:rFonts w:ascii="Times New Roman" w:hAnsi="Times New Roman" w:cs="Times New Roman"/>
                <w:sz w:val="24"/>
              </w:rPr>
              <w:instrText xml:space="preserve"> ADDIN ZOTERO_ITEM CSL_CITATION {"citationID":"eZKRDjJz","properties":{"formattedCitation":"\\super 381\\nosupersub{}","plainCitation":"381","noteIndex":0},"citationItems":[{"id":2721,"uris":["http://zotero.org/groups/4862100/items/VATMTUA8"],"itemData":{"id":2721,"type":"article-journal","abstract":"Background—No medication is currently approved for the treatment of cocaine dependence, but several preclinical and clinical reports suggest agonist-like medications, e.g. amphetamine analogues, may be a productive strategy for medication development.\nObjective—This current proof-of-concept study sought to evaluate the safety, tolerability, and effectiveness of methamphetamine as a candidate treatment for cocaine dependence.\nMethods—A randomized, double-blind, placebo-controlled study served to evaluate three treatment conditions in 82 cocaine-dependent individuals: (1) placebo (0 mg, 6×/day; n = 27), (2) immediate release (IR) methamphetamine (5 mg, 6×/day; n = 30), (3) sustained release (SR) methamphetamine (30 mg first pill, 1×/day; 0 mg 5×/day; n = 25). The study employed a sequential, two-phase design (i.e., 4 weeks of medication and counseling followed by 4 weeks of medication/ counseling plus a contingency management procedure).\nResults—Both preparation forms of methamphetamine were well tolerated, with similar retention to placebo (0 mg, 33%; 30 mg IR, 30%, 30 mg SR, 32%). Methamphetamine SR was associated with decreased sleep and increased weight loss. Medication adherence rates were high for the first dose of the day (95%), while adherence for subsequent capsules was lower. Those in the SR condition exhibited consistently lower rates of cocaine-positive urine samples (0 mg, 60%; 30 mg IR, 66%, 30 mg SR, 29%), p&lt;0.0001, and reported the greatest reduction in craving for cocaine, p&lt;0.05.\nConclusions—SR methamphetamine significantly reduced cocaine use and craving. Additional research is warranted to develop and evaluate agonist-like medications that may effectively treat cocaine dependence.","container-title":"Drug and Alcohol Dependence","DOI":"10/bs7nzc","ISSN":"03768716","issue":"1-2","journalAbbreviation":"Drug and Alcohol Dependence","language":"en","page":"34-41","source":"DOI.org (Crossref)","title":"Effects of oral methamphetamine on cocaine use: A randomized, double-blind, placebo-controlled trial","title-short":"Effects of oral methamphetamine on cocaine use","volume":"101","author":[{"family":"Mooney","given":"Marc E."},{"family":"Herin","given":"David V."},{"family":"Schmitz","given":"Joy M."},{"family":"Moukaddam","given":"Nidal"},{"family":"Green","given":"Charles E."},{"family":"Grabowski","given":"John"}],"issued":{"date-parts":[["2009",4]]}}}],"schema":"https://github.com/citation-style-language/schema/raw/master/csl-citation.json"} </w:instrText>
            </w:r>
            <w:r w:rsidRPr="007D4CB3">
              <w:rPr>
                <w:rFonts w:ascii="Times New Roman" w:hAnsi="Times New Roman" w:cs="Times New Roman"/>
                <w:sz w:val="24"/>
              </w:rPr>
              <w:fldChar w:fldCharType="separate"/>
            </w:r>
            <w:r w:rsidR="00596A41" w:rsidRPr="007D4CB3">
              <w:rPr>
                <w:rFonts w:ascii="Times New Roman" w:hAnsi="Times New Roman" w:cs="Times New Roman"/>
                <w:sz w:val="24"/>
                <w:vertAlign w:val="superscript"/>
              </w:rPr>
              <w:t>381</w:t>
            </w:r>
            <w:r w:rsidRPr="007D4CB3">
              <w:rPr>
                <w:rFonts w:ascii="Times New Roman" w:hAnsi="Times New Roman" w:cs="Times New Roman"/>
                <w:sz w:val="24"/>
              </w:rPr>
              <w:fldChar w:fldCharType="end"/>
            </w:r>
          </w:p>
        </w:tc>
        <w:tc>
          <w:tcPr>
            <w:tcW w:w="3427" w:type="dxa"/>
          </w:tcPr>
          <w:p w14:paraId="692E9CE8"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Oral methamphetamine</w:t>
            </w:r>
          </w:p>
        </w:tc>
        <w:tc>
          <w:tcPr>
            <w:tcW w:w="2085" w:type="dxa"/>
          </w:tcPr>
          <w:p w14:paraId="3C46670B" w14:textId="204AE986"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Immediate release 5 mg</w:t>
            </w:r>
            <w:r w:rsidR="00755112" w:rsidRPr="007D4CB3">
              <w:rPr>
                <w:rFonts w:ascii="Times New Roman" w:hAnsi="Times New Roman" w:cs="Times New Roman"/>
                <w:sz w:val="24"/>
              </w:rPr>
              <w:t xml:space="preserve"> six times daily</w:t>
            </w:r>
          </w:p>
          <w:p w14:paraId="73EBE703" w14:textId="4DDB1637" w:rsidR="005D3271" w:rsidRPr="007D4CB3" w:rsidRDefault="00755112"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SR</w:t>
            </w:r>
            <w:r w:rsidR="005D3271" w:rsidRPr="007D4CB3">
              <w:rPr>
                <w:rFonts w:ascii="Times New Roman" w:hAnsi="Times New Roman" w:cs="Times New Roman"/>
                <w:sz w:val="24"/>
              </w:rPr>
              <w:t xml:space="preserve"> 30 mg/day</w:t>
            </w:r>
          </w:p>
        </w:tc>
        <w:tc>
          <w:tcPr>
            <w:tcW w:w="2250" w:type="dxa"/>
          </w:tcPr>
          <w:p w14:paraId="3C0A4C03" w14:textId="77777777" w:rsidR="005D3271" w:rsidRPr="007D4CB3" w:rsidRDefault="005D3271"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Cocaine</w:t>
            </w:r>
          </w:p>
        </w:tc>
      </w:tr>
    </w:tbl>
    <w:p w14:paraId="359C70A0" w14:textId="77777777" w:rsidR="005D3271" w:rsidRPr="007D4CB3" w:rsidRDefault="00F27C56" w:rsidP="00FC7CE6">
      <w:pPr>
        <w:spacing w:before="0" w:after="0" w:line="360" w:lineRule="auto"/>
        <w:rPr>
          <w:rFonts w:ascii="Times New Roman" w:hAnsi="Times New Roman" w:cs="Times New Roman"/>
        </w:rPr>
      </w:pPr>
      <w:r w:rsidRPr="007D4CB3">
        <w:rPr>
          <w:rFonts w:ascii="Times New Roman" w:hAnsi="Times New Roman" w:cs="Times New Roman"/>
        </w:rPr>
        <w:t xml:space="preserve">ATS, amphetamine-type stimulant; </w:t>
      </w:r>
      <w:r w:rsidR="00616514" w:rsidRPr="007D4CB3">
        <w:rPr>
          <w:rFonts w:ascii="Times New Roman" w:hAnsi="Times New Roman" w:cs="Times New Roman"/>
        </w:rPr>
        <w:t xml:space="preserve">BID, two times per day; </w:t>
      </w:r>
      <w:r w:rsidR="005B722B" w:rsidRPr="007D4CB3">
        <w:rPr>
          <w:rFonts w:ascii="Times New Roman" w:hAnsi="Times New Roman" w:cs="Times New Roman"/>
        </w:rPr>
        <w:t>d</w:t>
      </w:r>
      <w:r w:rsidR="002A31A1" w:rsidRPr="007D4CB3">
        <w:rPr>
          <w:rFonts w:ascii="Times New Roman" w:hAnsi="Times New Roman" w:cs="Times New Roman"/>
        </w:rPr>
        <w:noBreakHyphen/>
      </w:r>
      <w:r w:rsidR="005B722B" w:rsidRPr="007D4CB3">
        <w:rPr>
          <w:rFonts w:ascii="Times New Roman" w:hAnsi="Times New Roman" w:cs="Times New Roman"/>
        </w:rPr>
        <w:t>AMP, dext</w:t>
      </w:r>
      <w:r w:rsidR="000B193E" w:rsidRPr="007D4CB3">
        <w:rPr>
          <w:rFonts w:ascii="Times New Roman" w:hAnsi="Times New Roman" w:cs="Times New Roman"/>
        </w:rPr>
        <w:t>roamphetamine; d</w:t>
      </w:r>
      <w:r w:rsidR="002A31A1" w:rsidRPr="007D4CB3">
        <w:rPr>
          <w:rFonts w:ascii="Times New Roman" w:hAnsi="Times New Roman" w:cs="Times New Roman"/>
        </w:rPr>
        <w:noBreakHyphen/>
      </w:r>
      <w:r w:rsidR="000B193E" w:rsidRPr="007D4CB3">
        <w:rPr>
          <w:rFonts w:ascii="Times New Roman" w:hAnsi="Times New Roman" w:cs="Times New Roman"/>
        </w:rPr>
        <w:t>AMP</w:t>
      </w:r>
      <w:r w:rsidR="002A31A1" w:rsidRPr="007D4CB3">
        <w:rPr>
          <w:rFonts w:ascii="Times New Roman" w:hAnsi="Times New Roman" w:cs="Times New Roman"/>
        </w:rPr>
        <w:noBreakHyphen/>
      </w:r>
      <w:r w:rsidR="000B193E" w:rsidRPr="007D4CB3">
        <w:rPr>
          <w:rFonts w:ascii="Times New Roman" w:hAnsi="Times New Roman" w:cs="Times New Roman"/>
        </w:rPr>
        <w:t xml:space="preserve">SR, sustained-release dextroamphetamine; </w:t>
      </w:r>
      <w:r w:rsidR="001E21A6" w:rsidRPr="007D4CB3">
        <w:rPr>
          <w:rFonts w:ascii="Times New Roman" w:hAnsi="Times New Roman" w:cs="Times New Roman"/>
        </w:rPr>
        <w:t>ER, extended release;</w:t>
      </w:r>
      <w:r w:rsidR="000B193E" w:rsidRPr="007D4CB3">
        <w:rPr>
          <w:rFonts w:ascii="Times New Roman" w:hAnsi="Times New Roman" w:cs="Times New Roman"/>
        </w:rPr>
        <w:t xml:space="preserve"> </w:t>
      </w:r>
      <w:r w:rsidR="006B3615" w:rsidRPr="007D4CB3">
        <w:rPr>
          <w:rFonts w:ascii="Times New Roman" w:hAnsi="Times New Roman" w:cs="Times New Roman"/>
        </w:rPr>
        <w:t xml:space="preserve">LDX, lisdexamfetamine; </w:t>
      </w:r>
      <w:r w:rsidRPr="007D4CB3">
        <w:rPr>
          <w:rFonts w:ascii="Times New Roman" w:hAnsi="Times New Roman" w:cs="Times New Roman"/>
        </w:rPr>
        <w:t>MAS</w:t>
      </w:r>
      <w:r w:rsidR="002A31A1" w:rsidRPr="007D4CB3">
        <w:rPr>
          <w:rFonts w:ascii="Times New Roman" w:hAnsi="Times New Roman" w:cs="Times New Roman"/>
        </w:rPr>
        <w:noBreakHyphen/>
      </w:r>
      <w:r w:rsidRPr="007D4CB3">
        <w:rPr>
          <w:rFonts w:ascii="Times New Roman" w:hAnsi="Times New Roman" w:cs="Times New Roman"/>
        </w:rPr>
        <w:t>ER, extended-release mixed amphetamine salts;</w:t>
      </w:r>
      <w:r w:rsidR="00755112" w:rsidRPr="007D4CB3">
        <w:rPr>
          <w:rFonts w:ascii="Times New Roman" w:hAnsi="Times New Roman" w:cs="Times New Roman"/>
        </w:rPr>
        <w:t xml:space="preserve"> SR, sustained release</w:t>
      </w:r>
      <w:r w:rsidR="00F60E04" w:rsidRPr="007D4CB3">
        <w:rPr>
          <w:rFonts w:ascii="Times New Roman" w:hAnsi="Times New Roman" w:cs="Times New Roman"/>
        </w:rPr>
        <w:t xml:space="preserve">; </w:t>
      </w:r>
      <w:r w:rsidR="00BD351C" w:rsidRPr="007D4CB3">
        <w:rPr>
          <w:rFonts w:ascii="Times New Roman" w:hAnsi="Times New Roman" w:cs="Times New Roman"/>
        </w:rPr>
        <w:t>TID</w:t>
      </w:r>
      <w:r w:rsidR="00E40490" w:rsidRPr="007D4CB3">
        <w:rPr>
          <w:rFonts w:ascii="Times New Roman" w:hAnsi="Times New Roman" w:cs="Times New Roman"/>
        </w:rPr>
        <w:t>, three times per day</w:t>
      </w:r>
    </w:p>
    <w:p w14:paraId="4BAFB5B6" w14:textId="77777777" w:rsidR="00491E91" w:rsidRPr="007D4CB3" w:rsidRDefault="00491E91" w:rsidP="00FC7CE6">
      <w:pPr>
        <w:spacing w:before="0" w:after="0" w:line="360" w:lineRule="auto"/>
        <w:rPr>
          <w:rFonts w:ascii="Times New Roman" w:hAnsi="Times New Roman" w:cs="Times New Roman"/>
        </w:rPr>
      </w:pPr>
    </w:p>
    <w:p w14:paraId="5C52F1EB" w14:textId="03CC882B" w:rsidR="00491E91" w:rsidRPr="007D4CB3" w:rsidRDefault="00491E91" w:rsidP="00FC7CE6">
      <w:pPr>
        <w:spacing w:before="0" w:after="0" w:line="360" w:lineRule="auto"/>
        <w:rPr>
          <w:rFonts w:ascii="Times New Roman" w:hAnsi="Times New Roman" w:cs="Times New Roman"/>
          <w:i/>
          <w:iCs/>
        </w:rPr>
      </w:pPr>
      <w:r w:rsidRPr="007D4CB3">
        <w:rPr>
          <w:rFonts w:ascii="Times New Roman" w:hAnsi="Times New Roman" w:cs="Times New Roman"/>
          <w:i/>
          <w:iCs/>
        </w:rPr>
        <w:lastRenderedPageBreak/>
        <w:t>Table 2.</w:t>
      </w:r>
      <w:r w:rsidR="006F039A" w:rsidRPr="007D4CB3">
        <w:rPr>
          <w:rFonts w:ascii="Times New Roman" w:hAnsi="Times New Roman" w:cs="Times New Roman"/>
          <w:i/>
          <w:iCs/>
        </w:rPr>
        <w:t xml:space="preserve"> Medication Dosing: Non-</w:t>
      </w:r>
      <w:r w:rsidR="005D584E" w:rsidRPr="007D4CB3">
        <w:rPr>
          <w:rFonts w:ascii="Times New Roman" w:hAnsi="Times New Roman" w:cs="Times New Roman"/>
          <w:i/>
          <w:iCs/>
        </w:rPr>
        <w:t>Psychos</w:t>
      </w:r>
      <w:r w:rsidR="006F039A" w:rsidRPr="007D4CB3">
        <w:rPr>
          <w:rFonts w:ascii="Times New Roman" w:hAnsi="Times New Roman" w:cs="Times New Roman"/>
          <w:i/>
          <w:iCs/>
        </w:rPr>
        <w:t>timulant</w:t>
      </w:r>
      <w:r w:rsidRPr="007D4CB3">
        <w:rPr>
          <w:rFonts w:ascii="Times New Roman" w:hAnsi="Times New Roman" w:cs="Times New Roman"/>
          <w:i/>
          <w:iCs/>
        </w:rPr>
        <w:t xml:space="preserve"> </w:t>
      </w:r>
    </w:p>
    <w:tbl>
      <w:tblPr>
        <w:tblW w:w="104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2"/>
        <w:gridCol w:w="3420"/>
        <w:gridCol w:w="2070"/>
        <w:gridCol w:w="2250"/>
      </w:tblGrid>
      <w:tr w:rsidR="004E620B" w:rsidRPr="007D4CB3" w14:paraId="70A4BA8E" w14:textId="77777777" w:rsidTr="00491E91">
        <w:trPr>
          <w:trHeight w:val="490"/>
        </w:trPr>
        <w:tc>
          <w:tcPr>
            <w:tcW w:w="2692" w:type="dxa"/>
            <w:tcBorders>
              <w:top w:val="single" w:sz="6" w:space="0" w:color="000000"/>
              <w:left w:val="single" w:sz="6" w:space="0" w:color="000000"/>
              <w:bottom w:val="single" w:sz="6" w:space="0" w:color="000000"/>
              <w:right w:val="single" w:sz="6" w:space="0" w:color="000000"/>
            </w:tcBorders>
            <w:shd w:val="clear" w:color="auto" w:fill="D9D9D9"/>
            <w:hideMark/>
          </w:tcPr>
          <w:p w14:paraId="234ECD4D" w14:textId="77777777" w:rsidR="00E43B12" w:rsidRPr="007D4CB3" w:rsidRDefault="00E43B12" w:rsidP="00FC7CE6">
            <w:pPr>
              <w:spacing w:before="0" w:after="0" w:line="360" w:lineRule="auto"/>
              <w:ind w:left="360" w:firstLine="360"/>
              <w:textAlignment w:val="baseline"/>
              <w:rPr>
                <w:rFonts w:ascii="Times New Roman" w:eastAsia="Times New Roman" w:hAnsi="Times New Roman" w:cs="Times New Roman"/>
              </w:rPr>
            </w:pPr>
            <w:bookmarkStart w:id="25" w:name="_Toc144381394"/>
            <w:r w:rsidRPr="007D4CB3">
              <w:rPr>
                <w:rFonts w:ascii="Times New Roman" w:eastAsia="Times New Roman" w:hAnsi="Times New Roman" w:cs="Times New Roman"/>
                <w:b/>
                <w:bCs/>
              </w:rPr>
              <w:t>Study</w:t>
            </w:r>
            <w:r w:rsidRPr="007D4CB3">
              <w:rPr>
                <w:rFonts w:ascii="Times New Roman" w:eastAsia="Times New Roman" w:hAnsi="Times New Roman" w:cs="Times New Roman"/>
              </w:rPr>
              <w:t> </w:t>
            </w:r>
          </w:p>
        </w:tc>
        <w:tc>
          <w:tcPr>
            <w:tcW w:w="3420" w:type="dxa"/>
            <w:tcBorders>
              <w:top w:val="single" w:sz="6" w:space="0" w:color="000000"/>
              <w:left w:val="single" w:sz="6" w:space="0" w:color="000000"/>
              <w:bottom w:val="single" w:sz="6" w:space="0" w:color="000000"/>
              <w:right w:val="single" w:sz="6" w:space="0" w:color="000000"/>
            </w:tcBorders>
            <w:shd w:val="clear" w:color="auto" w:fill="D9D9D9"/>
            <w:hideMark/>
          </w:tcPr>
          <w:p w14:paraId="2126BED8" w14:textId="77777777" w:rsidR="00E43B12" w:rsidRPr="007D4CB3" w:rsidRDefault="00E43B12" w:rsidP="00FC7CE6">
            <w:pPr>
              <w:spacing w:before="0" w:after="0" w:line="360" w:lineRule="auto"/>
              <w:ind w:left="360" w:firstLine="360"/>
              <w:textAlignment w:val="baseline"/>
              <w:rPr>
                <w:rFonts w:ascii="Times New Roman" w:eastAsia="Times New Roman" w:hAnsi="Times New Roman" w:cs="Times New Roman"/>
              </w:rPr>
            </w:pPr>
            <w:r w:rsidRPr="007D4CB3">
              <w:rPr>
                <w:rFonts w:ascii="Times New Roman" w:eastAsia="Times New Roman" w:hAnsi="Times New Roman" w:cs="Times New Roman"/>
                <w:b/>
                <w:bCs/>
              </w:rPr>
              <w:t>Drug</w:t>
            </w:r>
            <w:r w:rsidRPr="007D4CB3">
              <w:rPr>
                <w:rFonts w:ascii="Times New Roman" w:eastAsia="Times New Roman" w:hAnsi="Times New Roman" w:cs="Times New Roman"/>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D9D9D9"/>
            <w:hideMark/>
          </w:tcPr>
          <w:p w14:paraId="66741CF6" w14:textId="77777777" w:rsidR="00E43B12" w:rsidRPr="007D4CB3" w:rsidRDefault="00E43B12" w:rsidP="00FC7CE6">
            <w:pPr>
              <w:spacing w:before="0" w:after="0" w:line="360" w:lineRule="auto"/>
              <w:ind w:left="360" w:firstLine="360"/>
              <w:textAlignment w:val="baseline"/>
              <w:rPr>
                <w:rFonts w:ascii="Times New Roman" w:eastAsia="Times New Roman" w:hAnsi="Times New Roman" w:cs="Times New Roman"/>
              </w:rPr>
            </w:pPr>
            <w:r w:rsidRPr="007D4CB3">
              <w:rPr>
                <w:rFonts w:ascii="Times New Roman" w:eastAsia="Times New Roman" w:hAnsi="Times New Roman" w:cs="Times New Roman"/>
                <w:b/>
                <w:bCs/>
              </w:rPr>
              <w:t>Dose</w:t>
            </w:r>
            <w:r w:rsidRPr="007D4CB3">
              <w:rPr>
                <w:rFonts w:ascii="Times New Roman" w:eastAsia="Times New Roman" w:hAnsi="Times New Roman" w:cs="Times New Roman"/>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D9D9D9"/>
            <w:hideMark/>
          </w:tcPr>
          <w:p w14:paraId="0F8807ED" w14:textId="77777777" w:rsidR="00E43B12" w:rsidRPr="007D4CB3" w:rsidRDefault="00E43B12" w:rsidP="00FC7CE6">
            <w:pPr>
              <w:spacing w:before="0" w:after="0" w:line="360" w:lineRule="auto"/>
              <w:ind w:left="360" w:firstLine="360"/>
              <w:textAlignment w:val="baseline"/>
              <w:rPr>
                <w:rFonts w:ascii="Times New Roman" w:eastAsia="Times New Roman" w:hAnsi="Times New Roman" w:cs="Times New Roman"/>
              </w:rPr>
            </w:pPr>
            <w:r w:rsidRPr="007D4CB3">
              <w:rPr>
                <w:rFonts w:ascii="Times New Roman" w:eastAsia="Times New Roman" w:hAnsi="Times New Roman" w:cs="Times New Roman"/>
                <w:b/>
                <w:bCs/>
              </w:rPr>
              <w:t>SUD</w:t>
            </w:r>
            <w:r w:rsidRPr="007D4CB3">
              <w:rPr>
                <w:rFonts w:ascii="Times New Roman" w:eastAsia="Times New Roman" w:hAnsi="Times New Roman" w:cs="Times New Roman"/>
              </w:rPr>
              <w:t> </w:t>
            </w:r>
          </w:p>
        </w:tc>
      </w:tr>
      <w:tr w:rsidR="00E43B12" w:rsidRPr="007D4CB3" w14:paraId="5E169710" w14:textId="77777777" w:rsidTr="00491E91">
        <w:trPr>
          <w:trHeight w:val="490"/>
        </w:trPr>
        <w:tc>
          <w:tcPr>
            <w:tcW w:w="10432" w:type="dxa"/>
            <w:gridSpan w:val="4"/>
            <w:tcBorders>
              <w:top w:val="single" w:sz="6" w:space="0" w:color="000000"/>
              <w:left w:val="single" w:sz="6" w:space="0" w:color="000000"/>
              <w:bottom w:val="single" w:sz="6" w:space="0" w:color="000000"/>
              <w:right w:val="single" w:sz="6" w:space="0" w:color="000000"/>
            </w:tcBorders>
            <w:shd w:val="clear" w:color="auto" w:fill="D9D9D9"/>
            <w:hideMark/>
          </w:tcPr>
          <w:p w14:paraId="7A95C0E9" w14:textId="26DED820"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Bupropion</w:t>
            </w:r>
          </w:p>
        </w:tc>
      </w:tr>
      <w:tr w:rsidR="004E620B" w:rsidRPr="007D4CB3" w14:paraId="337C33D7" w14:textId="77777777" w:rsidTr="00491E91">
        <w:trPr>
          <w:trHeight w:val="490"/>
        </w:trPr>
        <w:tc>
          <w:tcPr>
            <w:tcW w:w="2692" w:type="dxa"/>
            <w:tcBorders>
              <w:top w:val="single" w:sz="6" w:space="0" w:color="000000"/>
              <w:left w:val="single" w:sz="6" w:space="0" w:color="000000"/>
              <w:bottom w:val="single" w:sz="6" w:space="0" w:color="000000"/>
              <w:right w:val="single" w:sz="6" w:space="0" w:color="000000"/>
            </w:tcBorders>
            <w:shd w:val="clear" w:color="auto" w:fill="auto"/>
            <w:hideMark/>
          </w:tcPr>
          <w:p w14:paraId="23AE3AB9" w14:textId="250C7E66"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Anderson et al., 2015</w:t>
            </w:r>
            <w:r w:rsidR="007A0E41" w:rsidRPr="007D4CB3">
              <w:rPr>
                <w:rFonts w:ascii="Times New Roman" w:eastAsia="Times New Roman" w:hAnsi="Times New Roman" w:cs="Times New Roman"/>
              </w:rPr>
              <w:fldChar w:fldCharType="begin"/>
            </w:r>
            <w:r w:rsidR="007A0E41" w:rsidRPr="007D4CB3">
              <w:rPr>
                <w:rFonts w:ascii="Times New Roman" w:eastAsia="Times New Roman" w:hAnsi="Times New Roman" w:cs="Times New Roman"/>
              </w:rPr>
              <w:instrText xml:space="preserve"> ADDIN ZOTERO_ITEM CSL_CITATION {"citationID":"IFOFfSwH","properties":{"formattedCitation":"\\super 382\\nosupersub{}","plainCitation":"382","noteIndex":0},"citationItems":[{"id":3008,"uris":["http://zotero.org/groups/4862100/items/6KABM3PJ"],"itemData":{"id":3008,"type":"article-journal","container-title":"Drug and Alcohol Dependence","DOI":"10.1016/j.drugalcdep.2015.01.036","ISSN":"03768716","journalAbbreviation":"Drug and Alcohol Dependence","language":"en","page":"170-174","source":"DOI.org (Crossref)","title":"Bupropion for the treatment of methamphetamine dependence in non-daily users: A randomized, double-blind, placebo-controlled trial","title-short":"Bupropion for the treatment of methamphetamine dependence in non-daily users","volume":"150","author":[{"family":"Anderson","given":"Ann L."},{"family":"Li","given":"Shou-Hua"},{"family":"Markova","given":"Denka"},{"family":"Holmes","given":"Tyson H."},{"family":"Chiang","given":"Nora"},{"family":"Kahn","given":"Roberta"},{"family":"Campbell","given":"Jan"},{"family":"Dickerson","given":"Daniel L."},{"family":"Galloway","given":"Gantt P."},{"family":"Haning","given":"William"},{"family":"Roache","given":"John D."},{"family":"Stock","given":"Christopher"},{"family":"Elkashef","given":"Ahmed M."}],"issued":{"date-parts":[["2015",5]]}}}],"schema":"https://github.com/citation-style-language/schema/raw/master/csl-citation.json"} </w:instrText>
            </w:r>
            <w:r w:rsidR="007A0E41" w:rsidRPr="007D4CB3">
              <w:rPr>
                <w:rFonts w:ascii="Times New Roman" w:eastAsia="Times New Roman" w:hAnsi="Times New Roman" w:cs="Times New Roman"/>
              </w:rPr>
              <w:fldChar w:fldCharType="separate"/>
            </w:r>
            <w:r w:rsidR="007A0E41" w:rsidRPr="007D4CB3">
              <w:rPr>
                <w:rFonts w:ascii="Times New Roman" w:hAnsi="Times New Roman" w:cs="Times New Roman"/>
                <w:vertAlign w:val="superscript"/>
              </w:rPr>
              <w:t>382</w:t>
            </w:r>
            <w:r w:rsidR="007A0E41" w:rsidRPr="007D4CB3">
              <w:rPr>
                <w:rFonts w:ascii="Times New Roman" w:eastAsia="Times New Roman" w:hAnsi="Times New Roman" w:cs="Times New Roman"/>
              </w:rPr>
              <w:fldChar w:fldCharType="end"/>
            </w:r>
            <w:r w:rsidRPr="007D4CB3">
              <w:rPr>
                <w:rFonts w:ascii="Times New Roman" w:eastAsia="Times New Roman" w:hAnsi="Times New Roman" w:cs="Times New Roman"/>
              </w:rPr>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6E0F92FC"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Bupropion SR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6686CE32"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150 mg bid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5CA14FB8"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Methamphetamine </w:t>
            </w:r>
          </w:p>
        </w:tc>
      </w:tr>
      <w:tr w:rsidR="004E620B" w:rsidRPr="007D4CB3" w14:paraId="39F01BD9" w14:textId="77777777" w:rsidTr="007E7BD7">
        <w:trPr>
          <w:trHeight w:val="490"/>
        </w:trPr>
        <w:tc>
          <w:tcPr>
            <w:tcW w:w="2692" w:type="dxa"/>
            <w:tcBorders>
              <w:top w:val="single" w:sz="6" w:space="0" w:color="000000"/>
              <w:left w:val="single" w:sz="6" w:space="0" w:color="000000"/>
              <w:bottom w:val="single" w:sz="6" w:space="0" w:color="000000"/>
              <w:right w:val="single" w:sz="6" w:space="0" w:color="000000"/>
            </w:tcBorders>
            <w:shd w:val="clear" w:color="auto" w:fill="auto"/>
            <w:hideMark/>
          </w:tcPr>
          <w:p w14:paraId="3EDD8B75" w14:textId="47A59F01"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Das et al., 2010</w:t>
            </w:r>
            <w:r w:rsidR="00C03AD8" w:rsidRPr="007D4CB3">
              <w:rPr>
                <w:rFonts w:ascii="Times New Roman" w:eastAsia="Times New Roman" w:hAnsi="Times New Roman" w:cs="Times New Roman"/>
              </w:rPr>
              <w:fldChar w:fldCharType="begin"/>
            </w:r>
            <w:r w:rsidR="00C03AD8" w:rsidRPr="007D4CB3">
              <w:rPr>
                <w:rFonts w:ascii="Times New Roman" w:eastAsia="Times New Roman" w:hAnsi="Times New Roman" w:cs="Times New Roman"/>
              </w:rPr>
              <w:instrText xml:space="preserve"> ADDIN ZOTERO_ITEM CSL_CITATION {"citationID":"o2MzWevo","properties":{"formattedCitation":"\\super 383\\nosupersub{}","plainCitation":"383","noteIndex":0},"citationItems":[{"id":3014,"uris":["http://zotero.org/groups/4862100/items/77MYTKT4"],"itemData":{"id":3014,"type":"article-journal","abstract":"Objective\nTo determine whether actively using, methamphetamine (meth)-dependent men who have sex with men (MSM) could be enrolled and retained in a pharmacologic intervention trial, and the degree to which participants would adhere to study procedures, including medication adherence.\n\nStudy design\nPhase II randomized, double-blind trial of bupropion vs. placebo.\n\nMethods\nThirty meth-dependent, sexually active MSM were randomized to receive daily bupropion XL 300 mg or placebo for 12 weeks. Participants received weekly substance use counseling, provided weekly urine specimens, and completed monthly audio-computer assisted self-interview (ACASI) behavioral risk assessments. Adherence was measured by medication event monitoring systems (MEMS) caps (the number of distinct MEMS cap openings divided by the number of expected doses) and self-report.\n\nResults\nNinety percent completed the trial: 89% of monthly ACASIs were completed, 81% of study visits were attended, and 81% of urine samples were collected. Adherence by MEMS cap was 60% and by self-report was 81% and did not differ significantly by treatment assignment. The median number of positive urine samples was 5.5 out of a possible 11 (50%). Participants in both arms reported similar declines in the median number of sex partners (P = 0.52). No serious adverse events occurred and there were no significant differences in adverse events by treatment assignment (P = 0.11).\n\nConclusions\nIt is feasible to enroll and retain actively using, meth-dependent MSM in a pharmacologic intervention. Bupropion was well tolerated. Study participation and retention rates were high, however, study drug medication adherence was only moderate. Findings support a larger trial with improved adherence support to evaluate the efficacy of bupropion and other pharmacologic interventions for meth dependence in this population.","container-title":"AIDS (London, England)","ISSN":"0269-9370","issue":"7","journalAbbreviation":"AIDS","note":"PMID: 20397286\nPMCID: PMC3619723","page":"991-1000","source":"PubMed Central","title":"Feasibility and acceptability of a phase II randomized pharmacologic intervention for methamphetamine dependence in high-risk men who have sex with men","volume":"24","author":[{"family":"Das","given":"Moupali"},{"family":"Santos","given":"Deirdre"},{"family":"Matheson","given":"Tim"},{"family":"Santos","given":"Glenn-Milo"},{"family":"Chu","given":"Priscilla"},{"family":"Vittinghoff","given":"Eric"},{"family":"Shoptaw","given":"Steve"},{"family":"Colfax","given":"Grant N."}],"issued":{"date-parts":[["2010",4,24]]}}}],"schema":"https://github.com/citation-style-language/schema/raw/master/csl-citation.json"} </w:instrText>
            </w:r>
            <w:r w:rsidR="00C03AD8" w:rsidRPr="007D4CB3">
              <w:rPr>
                <w:rFonts w:ascii="Times New Roman" w:eastAsia="Times New Roman" w:hAnsi="Times New Roman" w:cs="Times New Roman"/>
              </w:rPr>
              <w:fldChar w:fldCharType="separate"/>
            </w:r>
            <w:r w:rsidR="00C03AD8" w:rsidRPr="007D4CB3">
              <w:rPr>
                <w:rFonts w:ascii="Times New Roman" w:hAnsi="Times New Roman" w:cs="Times New Roman"/>
                <w:vertAlign w:val="superscript"/>
              </w:rPr>
              <w:t>383</w:t>
            </w:r>
            <w:r w:rsidR="00C03AD8" w:rsidRPr="007D4CB3">
              <w:rPr>
                <w:rFonts w:ascii="Times New Roman" w:eastAsia="Times New Roman" w:hAnsi="Times New Roman" w:cs="Times New Roman"/>
              </w:rPr>
              <w:fldChar w:fldCharType="end"/>
            </w:r>
            <w:r w:rsidRPr="007D4CB3">
              <w:rPr>
                <w:rFonts w:ascii="Times New Roman" w:eastAsia="Times New Roman" w:hAnsi="Times New Roman" w:cs="Times New Roman"/>
              </w:rPr>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543BE4DD"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Bupropion XL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18C7D891"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300 mg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45CBE3D4"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Methamphetamine </w:t>
            </w:r>
          </w:p>
        </w:tc>
      </w:tr>
      <w:tr w:rsidR="004E620B" w:rsidRPr="007D4CB3" w14:paraId="667BED44" w14:textId="77777777" w:rsidTr="007E7BD7">
        <w:trPr>
          <w:trHeight w:val="490"/>
        </w:trPr>
        <w:tc>
          <w:tcPr>
            <w:tcW w:w="2692" w:type="dxa"/>
            <w:tcBorders>
              <w:top w:val="single" w:sz="6" w:space="0" w:color="000000"/>
              <w:left w:val="single" w:sz="6" w:space="0" w:color="000000"/>
              <w:bottom w:val="single" w:sz="6" w:space="0" w:color="000000"/>
              <w:right w:val="single" w:sz="6" w:space="0" w:color="000000"/>
            </w:tcBorders>
            <w:shd w:val="clear" w:color="auto" w:fill="auto"/>
            <w:hideMark/>
          </w:tcPr>
          <w:p w14:paraId="4B6939E2" w14:textId="6A50C5D0"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Elkashef et al., 2008</w:t>
            </w:r>
            <w:r w:rsidR="00364006" w:rsidRPr="007D4CB3">
              <w:rPr>
                <w:rFonts w:ascii="Times New Roman" w:eastAsia="Times New Roman" w:hAnsi="Times New Roman" w:cs="Times New Roman"/>
              </w:rPr>
              <w:fldChar w:fldCharType="begin"/>
            </w:r>
            <w:r w:rsidR="00364006" w:rsidRPr="007D4CB3">
              <w:rPr>
                <w:rFonts w:ascii="Times New Roman" w:eastAsia="Times New Roman" w:hAnsi="Times New Roman" w:cs="Times New Roman"/>
              </w:rPr>
              <w:instrText xml:space="preserve"> ADDIN ZOTERO_ITEM CSL_CITATION {"citationID":"knGd1cd4","properties":{"formattedCitation":"\\super 384\\nosupersub{}","plainCitation":"384","noteIndex":0},"citationItems":[{"id":3012,"uris":["http://zotero.org/groups/4862100/items/NLDCT3MU"],"itemData":{"id":3012,"type":"article-journal","abstract":"Bupropion was tested for efficacy in increasing weeks of abstinence in methamphetamine-dependent patients, compared to placebo. This was a double-blind placebo-controlled study, with 12 weeks of treatment and a 30-day follow-up. Five outpatient substance abuse treatment clinics located west of the Mississippi participated in the study. One hundred and fifty-one treatment-seekers with DSM-IV diagnosis of methamphetamine dependence were consented and enrolled. Seventy-two participants were randomized to placebo and 79 to sustained-release bupropion 150 mg twice daily. Patients were asked to come to the clinic three times per week for assessments, urine drug screens, and 90-min group psychotherapy. The primary outcome was the change in proportion of participants having a methamphetamine-free week. Secondary outcomes included: urine for quantitative methamphetamine, self-report of methamphetamine use, subgroup analyses of balancing factors and comorbid conditions, addiction severity, craving, risk behaviors for HIV, and use of other substances. The generalized estimating equation regression analysis showed that, overall, the difference between bupropion and placebo groups in the probability of a non-use week over the 12-week treatment period was not statistically significant (p=0.09). Mixed model regression was used to allow adjustment for baseline factors in addition to those measured (site, gender, level of baseline use, and level of symptoms of depression). This subgroup analysis showed that bupropion had a significant effect compared to placebo, among male patients who had a lower level of methamphetamine use at baseline (p&lt;0.0001). Comorbid depression and attention-deficit/hyperactivity disorder did not change the outcome. These data suggest that bupropion, in combination with behavioral group therapy, was effective for increasing the number of weeks of abstinence in participants with low-to-moderate methamphetamine dependence, mainly male patients, regardless of their comorbid condition.","container-title":"Neuropsychopharmacology","DOI":"10.1038/sj.npp.1301481","ISSN":"1740-634X","issue":"5","journalAbbreviation":"Neuropsychopharmacol","language":"en","license":"2008 American College of Neuropsychopharmacology","note":"number: 5\npublisher: Nature Publishing Group\nCitation Key: elkashef2008a","page":"1162-1170","source":"www.nature.com","title":"Bupropion for the Treatment of Methamphetamine Dependence","volume":"33","author":[{"family":"Elkashef","given":"Ahmed M."},{"family":"Rawson","given":"Richard A."},{"family":"Anderson","given":"Ann L."},{"family":"Li","given":"Shou-Hua"},{"family":"Holmes","given":"Tyson"},{"family":"Smith","given":"Edwina V."},{"family":"Chiang","given":"Nora"},{"family":"Kahn","given":"Roberta"},{"family":"Vocci","given":"Frank"},{"family":"Ling","given":"Walter"},{"family":"Pearce","given":"Valerie J."},{"family":"McCann","given":"Michael"},{"family":"Campbell","given":"Jan"},{"family":"Gorodetzky","given":"Charles"},{"family":"Haning","given":"William"},{"family":"Carlton","given":"Barry"},{"family":"Mawhinney","given":"Joseph"},{"family":"Weis","given":"Dennis"}],"issued":{"date-parts":[["2008",4]]}}}],"schema":"https://github.com/citation-style-language/schema/raw/master/csl-citation.json"} </w:instrText>
            </w:r>
            <w:r w:rsidR="00364006" w:rsidRPr="007D4CB3">
              <w:rPr>
                <w:rFonts w:ascii="Times New Roman" w:eastAsia="Times New Roman" w:hAnsi="Times New Roman" w:cs="Times New Roman"/>
              </w:rPr>
              <w:fldChar w:fldCharType="separate"/>
            </w:r>
            <w:r w:rsidR="00364006" w:rsidRPr="007D4CB3">
              <w:rPr>
                <w:rFonts w:ascii="Times New Roman" w:hAnsi="Times New Roman" w:cs="Times New Roman"/>
                <w:vertAlign w:val="superscript"/>
              </w:rPr>
              <w:t>384</w:t>
            </w:r>
            <w:r w:rsidR="00364006" w:rsidRPr="007D4CB3">
              <w:rPr>
                <w:rFonts w:ascii="Times New Roman" w:eastAsia="Times New Roman" w:hAnsi="Times New Roman" w:cs="Times New Roman"/>
              </w:rPr>
              <w:fldChar w:fldCharType="end"/>
            </w:r>
            <w:r w:rsidRPr="007D4CB3">
              <w:rPr>
                <w:rFonts w:ascii="Times New Roman" w:eastAsia="Times New Roman" w:hAnsi="Times New Roman" w:cs="Times New Roman"/>
              </w:rPr>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1EDE7C14"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Bupropion SR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584AD119"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150 mg bid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49449103"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Methamphetamine </w:t>
            </w:r>
          </w:p>
        </w:tc>
      </w:tr>
      <w:tr w:rsidR="004E620B" w:rsidRPr="007D4CB3" w14:paraId="4BEEF327" w14:textId="77777777" w:rsidTr="007E7BD7">
        <w:trPr>
          <w:trHeight w:val="490"/>
        </w:trPr>
        <w:tc>
          <w:tcPr>
            <w:tcW w:w="2692" w:type="dxa"/>
            <w:tcBorders>
              <w:top w:val="single" w:sz="6" w:space="0" w:color="000000"/>
              <w:left w:val="single" w:sz="6" w:space="0" w:color="000000"/>
              <w:bottom w:val="single" w:sz="6" w:space="0" w:color="000000"/>
              <w:right w:val="single" w:sz="6" w:space="0" w:color="000000"/>
            </w:tcBorders>
            <w:shd w:val="clear" w:color="auto" w:fill="auto"/>
            <w:hideMark/>
          </w:tcPr>
          <w:p w14:paraId="3B4A26FD" w14:textId="35D58F16"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Heinzerling et al., 2014</w:t>
            </w:r>
            <w:r w:rsidR="00422F68" w:rsidRPr="007D4CB3">
              <w:rPr>
                <w:rFonts w:ascii="Times New Roman" w:eastAsia="Times New Roman" w:hAnsi="Times New Roman" w:cs="Times New Roman"/>
              </w:rPr>
              <w:fldChar w:fldCharType="begin"/>
            </w:r>
            <w:r w:rsidR="00422F68" w:rsidRPr="007D4CB3">
              <w:rPr>
                <w:rFonts w:ascii="Times New Roman" w:eastAsia="Times New Roman" w:hAnsi="Times New Roman" w:cs="Times New Roman"/>
              </w:rPr>
              <w:instrText xml:space="preserve"> ADDIN ZOTERO_ITEM CSL_CITATION {"citationID":"IFaRWkhs","properties":{"formattedCitation":"\\super 385\\nosupersub{}","plainCitation":"385","noteIndex":0},"citationItems":[{"id":3009,"uris":["http://zotero.org/groups/4862100/items/T92T4R7C"],"itemData":{"id":3009,"type":"article-journal","container-title":"Addiction","DOI":"10.1111/add.12636","ISSN":"09652140","issue":"11","journalAbbreviation":"Addiction","language":"en","page":"1878-1886","source":"DOI.org (Crossref)","title":"Randomized, placebo-controlled trial of bupropion in methamphetamine-dependent participants with less than daily methamphetamine use: Bupropion for methamphetamine dependence","title-short":"Randomized, placebo-controlled trial of bupropion in methamphetamine-dependent participants with less than daily methamphetamine use","volume":"109","author":[{"family":"Heinzerling","given":"Keith G."},{"family":"Swanson","given":"Aimee-Noelle"},{"family":"Hall","given":"Timothy M."},{"family":"Yi","given":"Yi"},{"family":"Wu","given":"Yingnian"},{"family":"Shoptaw","given":"Steven J."}],"issued":{"date-parts":[["2014",11]]}}}],"schema":"https://github.com/citation-style-language/schema/raw/master/csl-citation.json"} </w:instrText>
            </w:r>
            <w:r w:rsidR="00422F68" w:rsidRPr="007D4CB3">
              <w:rPr>
                <w:rFonts w:ascii="Times New Roman" w:eastAsia="Times New Roman" w:hAnsi="Times New Roman" w:cs="Times New Roman"/>
              </w:rPr>
              <w:fldChar w:fldCharType="separate"/>
            </w:r>
            <w:r w:rsidR="00422F68" w:rsidRPr="007D4CB3">
              <w:rPr>
                <w:rFonts w:ascii="Times New Roman" w:hAnsi="Times New Roman" w:cs="Times New Roman"/>
                <w:vertAlign w:val="superscript"/>
              </w:rPr>
              <w:t>385</w:t>
            </w:r>
            <w:r w:rsidR="00422F68" w:rsidRPr="007D4CB3">
              <w:rPr>
                <w:rFonts w:ascii="Times New Roman" w:eastAsia="Times New Roman" w:hAnsi="Times New Roman" w:cs="Times New Roman"/>
              </w:rPr>
              <w:fldChar w:fldCharType="end"/>
            </w:r>
            <w:r w:rsidRPr="007D4CB3">
              <w:rPr>
                <w:rFonts w:ascii="Times New Roman" w:eastAsia="Times New Roman" w:hAnsi="Times New Roman" w:cs="Times New Roman"/>
              </w:rPr>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26C69739"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Bupropion SR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2BA41AFC"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150 mg bid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51ABEEA4"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Methamphetamine </w:t>
            </w:r>
          </w:p>
        </w:tc>
      </w:tr>
      <w:tr w:rsidR="004E620B" w:rsidRPr="007D4CB3" w14:paraId="3A23F56B" w14:textId="77777777" w:rsidTr="007E7BD7">
        <w:trPr>
          <w:trHeight w:val="490"/>
        </w:trPr>
        <w:tc>
          <w:tcPr>
            <w:tcW w:w="2692" w:type="dxa"/>
            <w:tcBorders>
              <w:top w:val="single" w:sz="6" w:space="0" w:color="000000"/>
              <w:left w:val="single" w:sz="6" w:space="0" w:color="000000"/>
              <w:bottom w:val="single" w:sz="6" w:space="0" w:color="000000"/>
              <w:right w:val="single" w:sz="6" w:space="0" w:color="000000"/>
            </w:tcBorders>
            <w:shd w:val="clear" w:color="auto" w:fill="auto"/>
            <w:hideMark/>
          </w:tcPr>
          <w:p w14:paraId="28F2F663" w14:textId="4A98F0D1"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Margolin et al., 1995</w:t>
            </w:r>
            <w:r w:rsidR="000E291B" w:rsidRPr="007D4CB3">
              <w:rPr>
                <w:rFonts w:ascii="Times New Roman" w:eastAsia="Times New Roman" w:hAnsi="Times New Roman" w:cs="Times New Roman"/>
              </w:rPr>
              <w:fldChar w:fldCharType="begin"/>
            </w:r>
            <w:r w:rsidR="000E291B" w:rsidRPr="007D4CB3">
              <w:rPr>
                <w:rFonts w:ascii="Times New Roman" w:eastAsia="Times New Roman" w:hAnsi="Times New Roman" w:cs="Times New Roman"/>
              </w:rPr>
              <w:instrText xml:space="preserve"> ADDIN ZOTERO_ITEM CSL_CITATION {"citationID":"0Lw3gP2L","properties":{"formattedCitation":"\\super 386\\nosupersub{}","plainCitation":"386","noteIndex":0},"citationItems":[{"id":6821,"uris":["http://zotero.org/groups/4862100/items/MJUBEQIR"],"itemData":{"id":6821,"type":"article-journal","container-title":"Drug and Alcohol Dependence","DOI":"10.1016/0376-8716(95)01198-6","ISSN":"03768716","issue":"2","journalAbbreviation":"Drug Alcohol Depend","language":"en","page":"125-131","source":"DOI.org (Crossref)","title":"A multicenter trial of bupropion for cocaine dependence in methadone-maintained patients","volume":"40","author":[{"family":"Margolin","given":"Arthur"},{"family":"Kosten","given":"Thomas R."},{"family":"Avants","given":"S.Kelly"},{"family":"Wilkins","given":"Jeffery"},{"family":"Ling","given":"Walter"},{"family":"Beckson","given":"Mace"},{"family":"Arndt","given":"Isabelle O."},{"family":"Cornish","given":"James"},{"family":"Ascher","given":"John A."},{"family":"Li","given":"Shou-Hua"},{"family":"Bridge","given":"Peter"}],"issued":{"date-parts":[["1995",12]]}}}],"schema":"https://github.com/citation-style-language/schema/raw/master/csl-citation.json"} </w:instrText>
            </w:r>
            <w:r w:rsidR="000E291B" w:rsidRPr="007D4CB3">
              <w:rPr>
                <w:rFonts w:ascii="Times New Roman" w:eastAsia="Times New Roman" w:hAnsi="Times New Roman" w:cs="Times New Roman"/>
              </w:rPr>
              <w:fldChar w:fldCharType="separate"/>
            </w:r>
            <w:r w:rsidR="000E291B" w:rsidRPr="007D4CB3">
              <w:rPr>
                <w:rFonts w:ascii="Times New Roman" w:hAnsi="Times New Roman" w:cs="Times New Roman"/>
                <w:vertAlign w:val="superscript"/>
              </w:rPr>
              <w:t>386</w:t>
            </w:r>
            <w:r w:rsidR="000E291B" w:rsidRPr="007D4CB3">
              <w:rPr>
                <w:rFonts w:ascii="Times New Roman" w:eastAsia="Times New Roman" w:hAnsi="Times New Roman" w:cs="Times New Roman"/>
              </w:rPr>
              <w:fldChar w:fldCharType="end"/>
            </w:r>
            <w:r w:rsidRPr="007D4CB3">
              <w:rPr>
                <w:rFonts w:ascii="Times New Roman" w:eastAsia="Times New Roman" w:hAnsi="Times New Roman" w:cs="Times New Roman"/>
              </w:rPr>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0BE2F7EE"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Bupropion HCL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1D4E0F46"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100 mg bid or tid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56ACB18B"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Cocaine/ Opioid </w:t>
            </w:r>
          </w:p>
        </w:tc>
      </w:tr>
      <w:tr w:rsidR="004E620B" w:rsidRPr="007D4CB3" w14:paraId="70242603" w14:textId="77777777" w:rsidTr="007E7BD7">
        <w:trPr>
          <w:trHeight w:val="490"/>
        </w:trPr>
        <w:tc>
          <w:tcPr>
            <w:tcW w:w="2692" w:type="dxa"/>
            <w:tcBorders>
              <w:top w:val="single" w:sz="6" w:space="0" w:color="000000"/>
              <w:left w:val="single" w:sz="6" w:space="0" w:color="000000"/>
              <w:bottom w:val="single" w:sz="6" w:space="0" w:color="000000"/>
              <w:right w:val="single" w:sz="6" w:space="0" w:color="000000"/>
            </w:tcBorders>
            <w:shd w:val="clear" w:color="auto" w:fill="auto"/>
            <w:hideMark/>
          </w:tcPr>
          <w:p w14:paraId="108ACE22" w14:textId="5BBCF6AD"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McCann and Li 2012</w:t>
            </w:r>
            <w:r w:rsidR="00F8752F" w:rsidRPr="007D4CB3">
              <w:rPr>
                <w:rFonts w:ascii="Times New Roman" w:eastAsia="Times New Roman" w:hAnsi="Times New Roman" w:cs="Times New Roman"/>
              </w:rPr>
              <w:fldChar w:fldCharType="begin"/>
            </w:r>
            <w:r w:rsidR="00F8752F" w:rsidRPr="007D4CB3">
              <w:rPr>
                <w:rFonts w:ascii="Times New Roman" w:eastAsia="Times New Roman" w:hAnsi="Times New Roman" w:cs="Times New Roman"/>
              </w:rPr>
              <w:instrText xml:space="preserve"> ADDIN ZOTERO_ITEM CSL_CITATION {"citationID":"pkFJHTEq","properties":{"formattedCitation":"\\super 387\\nosupersub{}","plainCitation":"387","noteIndex":0},"citationItems":[{"id":3016,"uris":["http://zotero.org/groups/4862100/items/FHCDC76K"],"itemData":{"id":3016,"type":"article-journal","abstract":"A multisite, double-blind, placebo-controlled trial of bupropion for methamphetamine dependence was reanalyzed using a novel, nonbinary method of evaluating success and failure. The original analysis focused on a group response endpoint (the change in percentage of participants with methamphetamine-free urines each week over the course of the trial) and no significant bupropion effect was observed in the total population of study participants. In this reanalysis, individual participants were regarded as treatment success if they achieved multiple weeks of abstinence lasting through the end of the study, and their degree of success was quantified by calculating the number of beyond-threshold weeks of success (NOBWOS). Thus, setting the threshold at 1 week of end-of-study abstinence (EOSA), treatment successes were assigned NOBWOS values ranging from 1 to 11, with 1 corresponding to 2 weeks EOSA and 11 corresponding to abstinence throughput the entire 12-week trial. Treatment failures were assigned a value of 0. Comparison of NOBWOS values revealed a significant effect of bupropion to facilitate abstinence (P= 0.0176). In the bupropion group, 20% of participants achieved 2 or more weeks EOSA, 14% achieved 6 or more weeks EOSA, and 6% were abstinent throughout the trial; this compares with 7%, 4%, and 1% in the placebo group, respectively. On the basis of the NOBWOS analysis, bupropion seems to effectively facilitate the achievement of abstinence in methamphetamine-dependent individuals.","container-title":"CNS Neuroscience &amp; Therapeutics","DOI":"10.1111/j.1755-5949.2011.00263.x","ISSN":"1755-5949","issue":"5","language":"en","note":"_eprint: https://onlinelibrary.wiley.com/doi/pdf/10.1111/j.1755-5949.2011.00263.x","page":"414-418","source":"Wiley Online Library","title":"A Novel, Nonbinary Evaluation of Success and Failure Reveals Bupropion Efficacy Versus Methamphetamine Dependence: Reanalysis of a Multisite Trial","title-short":"A Novel, Nonbinary Evaluation of Success and Failure Reveals Bupropion Efficacy Versus Methamphetamine Dependence","volume":"18","author":[{"family":"McCann","given":"David J."},{"family":"Li","given":"Shou-Hua"}],"issued":{"date-parts":[["2012"]]}}}],"schema":"https://github.com/citation-style-language/schema/raw/master/csl-citation.json"} </w:instrText>
            </w:r>
            <w:r w:rsidR="00F8752F" w:rsidRPr="007D4CB3">
              <w:rPr>
                <w:rFonts w:ascii="Times New Roman" w:eastAsia="Times New Roman" w:hAnsi="Times New Roman" w:cs="Times New Roman"/>
              </w:rPr>
              <w:fldChar w:fldCharType="separate"/>
            </w:r>
            <w:r w:rsidR="00F8752F" w:rsidRPr="007D4CB3">
              <w:rPr>
                <w:rFonts w:ascii="Times New Roman" w:hAnsi="Times New Roman" w:cs="Times New Roman"/>
                <w:vertAlign w:val="superscript"/>
              </w:rPr>
              <w:t>387</w:t>
            </w:r>
            <w:r w:rsidR="00F8752F" w:rsidRPr="007D4CB3">
              <w:rPr>
                <w:rFonts w:ascii="Times New Roman" w:eastAsia="Times New Roman" w:hAnsi="Times New Roman" w:cs="Times New Roman"/>
              </w:rPr>
              <w:fldChar w:fldCharType="end"/>
            </w:r>
            <w:r w:rsidRPr="007D4CB3">
              <w:rPr>
                <w:rFonts w:ascii="Times New Roman" w:eastAsia="Times New Roman" w:hAnsi="Times New Roman" w:cs="Times New Roman"/>
              </w:rPr>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3812B409"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Bupropion SR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40919443"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150 mg bid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2BF1A3C2"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Methamphetamine </w:t>
            </w:r>
          </w:p>
        </w:tc>
      </w:tr>
      <w:tr w:rsidR="004E620B" w:rsidRPr="007D4CB3" w14:paraId="7FC83787" w14:textId="77777777" w:rsidTr="007E7BD7">
        <w:trPr>
          <w:trHeight w:val="490"/>
        </w:trPr>
        <w:tc>
          <w:tcPr>
            <w:tcW w:w="2692" w:type="dxa"/>
            <w:tcBorders>
              <w:top w:val="single" w:sz="6" w:space="0" w:color="000000"/>
              <w:left w:val="single" w:sz="6" w:space="0" w:color="000000"/>
              <w:bottom w:val="single" w:sz="6" w:space="0" w:color="000000"/>
              <w:right w:val="single" w:sz="6" w:space="0" w:color="000000"/>
            </w:tcBorders>
            <w:shd w:val="clear" w:color="auto" w:fill="auto"/>
            <w:hideMark/>
          </w:tcPr>
          <w:p w14:paraId="35D32771" w14:textId="433314AE"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Poling et al., 2006</w:t>
            </w:r>
            <w:r w:rsidR="000E2413" w:rsidRPr="007D4CB3">
              <w:rPr>
                <w:rFonts w:ascii="Times New Roman" w:eastAsia="Times New Roman" w:hAnsi="Times New Roman" w:cs="Times New Roman"/>
              </w:rPr>
              <w:fldChar w:fldCharType="begin"/>
            </w:r>
            <w:r w:rsidR="000E2413" w:rsidRPr="007D4CB3">
              <w:rPr>
                <w:rFonts w:ascii="Times New Roman" w:eastAsia="Times New Roman" w:hAnsi="Times New Roman" w:cs="Times New Roman"/>
              </w:rPr>
              <w:instrText xml:space="preserve"> ADDIN ZOTERO_ITEM CSL_CITATION {"citationID":"ixblAzAg","properties":{"formattedCitation":"\\super 107\\nosupersub{}","plainCitation":"107","noteIndex":0},"citationItems":[{"id":2070,"uris":["http://zotero.org/groups/4862100/items/WE6Y3QYD"],"itemData":{"id":2070,"type":"article-journal","abstract":"No effective pharmacotherapies exist for cocaine dependence, although contingency management (CM) has demonstrated efficacy.To compare the efficacy of bupropion hydrochloride and CM for reducing cocaine use in methadone hydrochloride–maintained individuals.This 25-week, placebo-controlled, double-blind trial randomly assigned participants to 1 of 4 treatment conditions: CM and placebo (CMP), CM and 300 mg/d of bupropion hydrochloride (CMB), voucher control and placebo (VCP), or voucher control and bupropion (VCB).Outpatient clinic at the Veterans Affairs Connecticut Healthcare System.A total of 106 opiate-dependent, cocaine-abusing individuals.All study participants received methadone hydrochloride (range, 60-120 mg). Participants receiving bupropion hydrochloride were given 300 mg/d beginning at week 3. In the CM conditions, each urine sample negative for both opioids and cocaine resulted in a monetary-based voucher that increased for consecutively drug-free urine samples during weeks 1 to 13. Completion of abstinence-related activities also resulted in a voucher. During weeks 14 to 25, only completion of activities was reinforced in the CM group, regardless of sample results. The voucher control groups received vouchers for submitting urine samples, regardless of results, throughout the study.Thrice-weekly urine toxicologic test results for cocaine and heroin.Groups did not differ in baseline characteristics or retention rates. Opiate use decreased significantly, with all treatment groups attaining equivalent amounts of opiate use at the end of the study. In the CMB group, the proportion of cocaine-positive samples significantly decreased during weeks 3 to 13 (P&amp;lt;.001) relative to week 3 and remained low during weeks 14 to 25. In the CMP group, cocaine use significantly increased during weeks 3 to 13 (P&amp;lt;.001) relative to week 3, but then cocaine use significantly decreased relative to the initial slope during weeks 14 to 25 (P&amp;lt;.001). In contrast, by treatment end, the VCB and VCP groups showed no significant improvement in cocaine use.These findings suggest that combining CM with bupropion for the treatment of cocaine addiction may significantly improve outcomes relative to bupropion alone.&lt;!--\nArch Gen Psychiatry.2006;63:219-228\n--&gt;","container-title":"Archives of General Psychiatry","DOI":"10.1001/archpsyc.63.2.219","ISSN":"0003-990X","issue":"2","journalAbbreviation":"Archives of General Psychiatry","page":"219-228","source":"Silverchair","title":"Six-month trial of bupropion with contingency management for cocaine dependence in a methadone-maintained population","volume":"63","author":[{"family":"Poling","given":"James"},{"family":"Oliveto","given":"Alison"},{"family":"Petry","given":"Nancy"},{"family":"Sofuoglu","given":"Mehmet"},{"family":"Gonsai","given":"Kishorchandra"},{"family":"Gonzalez","given":"Gerardo"},{"family":"Martell","given":"Bridget"},{"family":"Kosten","given":"Thomas R."}],"issued":{"date-parts":[["2006",2,1]]}}}],"schema":"https://github.com/citation-style-language/schema/raw/master/csl-citation.json"} </w:instrText>
            </w:r>
            <w:r w:rsidR="000E2413" w:rsidRPr="007D4CB3">
              <w:rPr>
                <w:rFonts w:ascii="Times New Roman" w:eastAsia="Times New Roman" w:hAnsi="Times New Roman" w:cs="Times New Roman"/>
              </w:rPr>
              <w:fldChar w:fldCharType="separate"/>
            </w:r>
            <w:r w:rsidR="000E2413" w:rsidRPr="007D4CB3">
              <w:rPr>
                <w:rFonts w:ascii="Times New Roman" w:hAnsi="Times New Roman" w:cs="Times New Roman"/>
                <w:vertAlign w:val="superscript"/>
              </w:rPr>
              <w:t>107</w:t>
            </w:r>
            <w:r w:rsidR="000E2413" w:rsidRPr="007D4CB3">
              <w:rPr>
                <w:rFonts w:ascii="Times New Roman" w:eastAsia="Times New Roman" w:hAnsi="Times New Roman" w:cs="Times New Roman"/>
              </w:rPr>
              <w:fldChar w:fldCharType="end"/>
            </w:r>
            <w:r w:rsidRPr="007D4CB3">
              <w:rPr>
                <w:rFonts w:ascii="Times New Roman" w:eastAsia="Times New Roman" w:hAnsi="Times New Roman" w:cs="Times New Roman"/>
              </w:rPr>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009CF8B0"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Bupropion hydrochloride SR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20FD3B3A"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300 mg/d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2DD5D7E5"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Cocaine/ Opioid </w:t>
            </w:r>
          </w:p>
        </w:tc>
      </w:tr>
      <w:tr w:rsidR="004E620B" w:rsidRPr="007D4CB3" w14:paraId="6A499051" w14:textId="77777777" w:rsidTr="007E7BD7">
        <w:trPr>
          <w:trHeight w:val="490"/>
        </w:trPr>
        <w:tc>
          <w:tcPr>
            <w:tcW w:w="2692" w:type="dxa"/>
            <w:tcBorders>
              <w:top w:val="single" w:sz="6" w:space="0" w:color="000000"/>
              <w:left w:val="single" w:sz="6" w:space="0" w:color="000000"/>
              <w:bottom w:val="single" w:sz="6" w:space="0" w:color="000000"/>
              <w:right w:val="single" w:sz="6" w:space="0" w:color="000000"/>
            </w:tcBorders>
            <w:shd w:val="clear" w:color="auto" w:fill="auto"/>
            <w:hideMark/>
          </w:tcPr>
          <w:p w14:paraId="3F073B9A" w14:textId="67C21C16"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Shoptaw et al., 2008</w:t>
            </w:r>
            <w:r w:rsidR="007C2619" w:rsidRPr="007D4CB3">
              <w:rPr>
                <w:rFonts w:ascii="Times New Roman" w:eastAsia="Times New Roman" w:hAnsi="Times New Roman" w:cs="Times New Roman"/>
              </w:rPr>
              <w:fldChar w:fldCharType="begin"/>
            </w:r>
            <w:r w:rsidR="007C2619" w:rsidRPr="007D4CB3">
              <w:rPr>
                <w:rFonts w:ascii="Times New Roman" w:eastAsia="Times New Roman" w:hAnsi="Times New Roman" w:cs="Times New Roman"/>
              </w:rPr>
              <w:instrText xml:space="preserve"> ADDIN ZOTERO_ITEM CSL_CITATION {"citationID":"NLl3uQTW","properties":{"formattedCitation":"\\super 108\\nosupersub{}","plainCitation":"108","noteIndex":0},"citationItems":[{"id":1738,"uris":["http://zotero.org/groups/4862100/items/7ILGLTV7"],"itemData":{"id":1738,"type":"article-journal","abstract":"Bupropion hydrochloride is a dopamine and norepinephrine reuptake inhibitor which may be an effective treatment for cocaine dependence due to its ability to reverse deficits in dopaminergic functioning that occur in chronic cocaine users. We performed a randomized, double-blind, placebo controlled trial comparing outpatient treatment with bupropion (N = 37) and placebo (N = 33) in combination with standard cognitive behavioral therapy. There were no statistically significant differences between bupropion and placebo in treatment outcomes, including aggregate measures of urine drug screen results (Joint Probability Index at 16 weeks: 0.43 for bupropion and 0.38 for placebo), treatment retention, cocaine craving ratings, and assessments of depressive symptoms. The failure to find an effect for bupropion relative to placebo, when combined with standard cognitive behavioral therapy, dampens enthusiasm for future development of bupropion as a cocaine pharmacotherapy.","container-title":"Journal of Addictive Diseases","DOI":"10.1300/J069v27n01_02","ISSN":"1055-0887","issue":"1","note":"publisher: Taylor &amp; Francis\n_eprint: https://doi.org/10.1300/J069v27n01_02\nPMID: 18551884","page":"13-23","source":"Taylor and Francis+NEJM","title":"Bupropion hydrochloride versus placebo, in combination with cognitive behavioral therapy, for the treatment of cocaine abuse/dependence","volume":"27","author":[{"family":"Shoptaw","given":"Steve"},{"family":"Heinzerling","given":"Keith G."},{"family":"Rotheram-Fuller","given":"Erin"},{"family":"Kao","given":"Uyen H."},{"family":"Wang","given":"Pin-Chieh"},{"family":"Bholat","given":"Michelle A."},{"family":"Ling","given":"Walter"}],"issued":{"date-parts":[["2008",2,27]]}}}],"schema":"https://github.com/citation-style-language/schema/raw/master/csl-citation.json"} </w:instrText>
            </w:r>
            <w:r w:rsidR="007C2619" w:rsidRPr="007D4CB3">
              <w:rPr>
                <w:rFonts w:ascii="Times New Roman" w:eastAsia="Times New Roman" w:hAnsi="Times New Roman" w:cs="Times New Roman"/>
              </w:rPr>
              <w:fldChar w:fldCharType="separate"/>
            </w:r>
            <w:r w:rsidR="007C2619" w:rsidRPr="007D4CB3">
              <w:rPr>
                <w:rFonts w:ascii="Times New Roman" w:hAnsi="Times New Roman" w:cs="Times New Roman"/>
                <w:vertAlign w:val="superscript"/>
              </w:rPr>
              <w:t>108</w:t>
            </w:r>
            <w:r w:rsidR="007C2619" w:rsidRPr="007D4CB3">
              <w:rPr>
                <w:rFonts w:ascii="Times New Roman" w:eastAsia="Times New Roman" w:hAnsi="Times New Roman" w:cs="Times New Roman"/>
              </w:rPr>
              <w:fldChar w:fldCharType="end"/>
            </w:r>
            <w:r w:rsidRPr="007D4CB3">
              <w:rPr>
                <w:rFonts w:ascii="Times New Roman" w:eastAsia="Times New Roman" w:hAnsi="Times New Roman" w:cs="Times New Roman"/>
              </w:rPr>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1386676D"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Bupropion hydrochloride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263A8A54"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150 mg bid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2ED9882A"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Cocaine </w:t>
            </w:r>
          </w:p>
        </w:tc>
      </w:tr>
      <w:tr w:rsidR="004E620B" w:rsidRPr="007D4CB3" w14:paraId="303D2E21" w14:textId="77777777" w:rsidTr="007E7BD7">
        <w:trPr>
          <w:trHeight w:val="490"/>
        </w:trPr>
        <w:tc>
          <w:tcPr>
            <w:tcW w:w="2692" w:type="dxa"/>
            <w:tcBorders>
              <w:top w:val="single" w:sz="6" w:space="0" w:color="000000"/>
              <w:left w:val="single" w:sz="6" w:space="0" w:color="000000"/>
              <w:bottom w:val="single" w:sz="6" w:space="0" w:color="000000"/>
              <w:right w:val="single" w:sz="6" w:space="0" w:color="000000"/>
            </w:tcBorders>
            <w:shd w:val="clear" w:color="auto" w:fill="auto"/>
            <w:hideMark/>
          </w:tcPr>
          <w:p w14:paraId="23326432" w14:textId="1F793205"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Shoptaw et al., 2008</w:t>
            </w:r>
            <w:r w:rsidR="0016250F" w:rsidRPr="007D4CB3">
              <w:rPr>
                <w:rFonts w:ascii="Times New Roman" w:eastAsia="Times New Roman" w:hAnsi="Times New Roman" w:cs="Times New Roman"/>
              </w:rPr>
              <w:fldChar w:fldCharType="begin"/>
            </w:r>
            <w:r w:rsidR="0016250F" w:rsidRPr="007D4CB3">
              <w:rPr>
                <w:rFonts w:ascii="Times New Roman" w:eastAsia="Times New Roman" w:hAnsi="Times New Roman" w:cs="Times New Roman"/>
              </w:rPr>
              <w:instrText xml:space="preserve"> ADDIN ZOTERO_ITEM CSL_CITATION {"citationID":"Kkbwh5rY","properties":{"formattedCitation":"\\super 388\\nosupersub{}","plainCitation":"388","noteIndex":0},"citationItems":[{"id":3010,"uris":["http://zotero.org/groups/4862100/items/BCN43JKJ"],"itemData":{"id":3010,"type":"article-journal","abstract":"Objective\nTo compare bupropion to placebo for reducing methamphetamine (MA) use, increasing retention, and reducing the severity of depressive symptoms and MA cravings. A secondary objective compared bupropion to placebo for reducing cigarette smoking among MA dependent participants.\n\nMethods\nFollowing a 2-week, non-medication baseline screening period, 73 treatment-seeking MA dependent participants were randomly assigned to bupropion sustained release (150 mg twice daily; N=36) or placebo (twice daily; N=37) for 12-weeks under double blind conditions. Participants attended clinic thrice weekly to provide urine samples analyzed for MA-metabolite, to complete research measures and assessments, and to receive contingency management and weekly cognitive behavioral therapy sessions.\n\nResults\nThere were no statistically significant effects for bupropion relative to placebo on MA use verified by urine drug screens, for reducing the severity of depressive symptoms or MA cravings, or on study retention. In a post hoc analysis, there was a statistically significant effect of bupropion treatment on MA use among participants with lighter (0–2 MA-positive urines), but not heavier (3–6 MA-positive urines) MA use during baseline (OR=2.81, 95% CI=1.61–4.93, p&lt;0.001 for MA-free week with bupropion among light users). Bupropion treatment was also associated with significantly reduced cigarette smoking, by almost 5 cigarettes per day (p=0.0002).\n\nConclusion\nBupropion was no more effective than placebo in reducing MA use in planned analyses, though bupropion did reduce cigarette smoking. Post hoc findings of an effect for bupropion among baseline light, but not heavy, MA users suggests further evaluation of bupropion for light MA users is warranted.","container-title":"Drug and alcohol dependence","DOI":"10/bspgnx","ISSN":"0376-8716","issue":"3","journalAbbreviation":"Drug Alcohol Depend","note":"PMID: 18468815\nPMCID: PMC3652530\nCitation Key: shoptaw2008b","page":"222-232","source":"PubMed Central","title":"Randomized, placebo-controlled trial of bupropion for the treatment of methamphetamine dependence","volume":"96","author":[{"family":"Shoptaw","given":"Steven"},{"family":"Heinzerling","given":"Keith G."},{"family":"Rotheram-Fuller","given":"Erin"},{"family":"Steward","given":"Trevor"},{"family":"Wang","given":"Jason"},{"family":"Swanson","given":"Aimee-Noelle"},{"family":"De La Garza","given":"Richard"},{"family":"Newton","given":"Tom"},{"family":"Ling","given":"Walter"}],"issued":{"date-parts":[["2008",8,1]]}}}],"schema":"https://github.com/citation-style-language/schema/raw/master/csl-citation.json"} </w:instrText>
            </w:r>
            <w:r w:rsidR="0016250F" w:rsidRPr="007D4CB3">
              <w:rPr>
                <w:rFonts w:ascii="Times New Roman" w:eastAsia="Times New Roman" w:hAnsi="Times New Roman" w:cs="Times New Roman"/>
              </w:rPr>
              <w:fldChar w:fldCharType="separate"/>
            </w:r>
            <w:r w:rsidR="0016250F" w:rsidRPr="007D4CB3">
              <w:rPr>
                <w:rFonts w:ascii="Times New Roman" w:hAnsi="Times New Roman" w:cs="Times New Roman"/>
                <w:vertAlign w:val="superscript"/>
              </w:rPr>
              <w:t>388</w:t>
            </w:r>
            <w:r w:rsidR="0016250F" w:rsidRPr="007D4CB3">
              <w:rPr>
                <w:rFonts w:ascii="Times New Roman" w:eastAsia="Times New Roman" w:hAnsi="Times New Roman" w:cs="Times New Roman"/>
              </w:rPr>
              <w:fldChar w:fldCharType="end"/>
            </w:r>
            <w:r w:rsidRPr="007D4CB3">
              <w:rPr>
                <w:rFonts w:ascii="Times New Roman" w:eastAsia="Times New Roman" w:hAnsi="Times New Roman" w:cs="Times New Roman"/>
              </w:rPr>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5F3A93CD"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Bupropion SR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6544FDCE"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150 mg bid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22C9BBFA"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Methamphetamine </w:t>
            </w:r>
          </w:p>
        </w:tc>
      </w:tr>
      <w:tr w:rsidR="004E620B" w:rsidRPr="007D4CB3" w14:paraId="3FE9CADA" w14:textId="77777777" w:rsidTr="007E7BD7">
        <w:trPr>
          <w:trHeight w:val="490"/>
        </w:trPr>
        <w:tc>
          <w:tcPr>
            <w:tcW w:w="2692" w:type="dxa"/>
            <w:tcBorders>
              <w:top w:val="single" w:sz="6" w:space="0" w:color="000000"/>
              <w:left w:val="single" w:sz="6" w:space="0" w:color="000000"/>
              <w:bottom w:val="single" w:sz="6" w:space="0" w:color="000000"/>
              <w:right w:val="single" w:sz="6" w:space="0" w:color="000000"/>
            </w:tcBorders>
            <w:shd w:val="clear" w:color="auto" w:fill="auto"/>
            <w:hideMark/>
          </w:tcPr>
          <w:p w14:paraId="361F6654" w14:textId="6E544292"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Winhusen et al., 2014</w:t>
            </w:r>
            <w:r w:rsidR="00DF673D" w:rsidRPr="007D4CB3">
              <w:rPr>
                <w:rFonts w:ascii="Times New Roman" w:eastAsia="Times New Roman" w:hAnsi="Times New Roman" w:cs="Times New Roman"/>
              </w:rPr>
              <w:fldChar w:fldCharType="begin"/>
            </w:r>
            <w:r w:rsidR="00DF673D" w:rsidRPr="007D4CB3">
              <w:rPr>
                <w:rFonts w:ascii="Times New Roman" w:eastAsia="Times New Roman" w:hAnsi="Times New Roman" w:cs="Times New Roman"/>
              </w:rPr>
              <w:instrText xml:space="preserve"> ADDIN ZOTERO_ITEM CSL_CITATION {"citationID":"OZz4M3GP","properties":{"formattedCitation":"\\super 389\\nosupersub{}","plainCitation":"389","noteIndex":0},"citationItems":[{"id":6819,"uris":["http://zotero.org/groups/4862100/items/FRXM7AJS"],"itemData":{"id":6819,"type":"article-journal","container-title":"The Journal of Clinical Psychiatry","DOI":"10.4088/JCP.13m08449","ISSN":"0160-6689","issue":"04","journalAbbreviation":"J. Clin. Psychiatry","page":"336-343","source":"DOI.org (Crossref)","title":"A Randomized Trial of Concurrent Smoking-Cessation and Substance Use Disorder Treatment in Stimulant-Dependent Smokers","volume":"75","author":[{"family":"Winhusen","given":"Theresa M."},{"family":"Brigham","given":"Gregory S."},{"family":"Kropp","given":"Frankie"},{"family":"Lindblad","given":"Robert"},{"family":"Gardin","given":"John G."},{"family":"Penn","given":"Pat"},{"family":"Hodgkins","given":"Candace"},{"family":"Kelly","given":"Thomas M."},{"family":"Douaihy","given":"Antoine"},{"family":"McCann","given":"Michael"},{"family":"Love","given":"Lee D."},{"family":"DeGravelles","given":"Eliot"},{"family":"Bachrach","given":"Ken"},{"family":"Sonne","given":"Susan C."},{"family":"Hiott","given":"Bob"},{"family":"Haynes","given":"Louise"},{"family":"Sharma","given":"Gaurav"},{"family":"Lewis","given":"Daniel F."},{"family":"VanVeldhuisen","given":"Paul"},{"family":"Theobald","given":"Jeff"},{"family":"Ghitza","given":"Udi"}],"issued":{"date-parts":[["2014",4,15]]}}}],"schema":"https://github.com/citation-style-language/schema/raw/master/csl-citation.json"} </w:instrText>
            </w:r>
            <w:r w:rsidR="00DF673D" w:rsidRPr="007D4CB3">
              <w:rPr>
                <w:rFonts w:ascii="Times New Roman" w:eastAsia="Times New Roman" w:hAnsi="Times New Roman" w:cs="Times New Roman"/>
              </w:rPr>
              <w:fldChar w:fldCharType="separate"/>
            </w:r>
            <w:r w:rsidR="00DF673D" w:rsidRPr="007D4CB3">
              <w:rPr>
                <w:rFonts w:ascii="Times New Roman" w:hAnsi="Times New Roman" w:cs="Times New Roman"/>
                <w:vertAlign w:val="superscript"/>
              </w:rPr>
              <w:t>389</w:t>
            </w:r>
            <w:r w:rsidR="00DF673D" w:rsidRPr="007D4CB3">
              <w:rPr>
                <w:rFonts w:ascii="Times New Roman" w:eastAsia="Times New Roman" w:hAnsi="Times New Roman" w:cs="Times New Roman"/>
              </w:rPr>
              <w:fldChar w:fldCharType="end"/>
            </w:r>
            <w:r w:rsidRPr="007D4CB3">
              <w:rPr>
                <w:rFonts w:ascii="Times New Roman" w:eastAsia="Times New Roman" w:hAnsi="Times New Roman" w:cs="Times New Roman"/>
              </w:rPr>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6DA58326"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Bupropion hydrochloride XL+ Nicotine inhaler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01A53275"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300 mg/d </w:t>
            </w:r>
          </w:p>
          <w:p w14:paraId="398D6A7A"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6-16 cartridges/d (ad libitum)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013A981A"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Cocaine/ Methamphetamine </w:t>
            </w:r>
          </w:p>
        </w:tc>
      </w:tr>
      <w:tr w:rsidR="004E620B" w:rsidRPr="007D4CB3" w14:paraId="63F7F7C0" w14:textId="77777777" w:rsidTr="007E7BD7">
        <w:trPr>
          <w:trHeight w:val="490"/>
        </w:trPr>
        <w:tc>
          <w:tcPr>
            <w:tcW w:w="6112"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14:paraId="0717E9E3" w14:textId="0A027FB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 xml:space="preserve">Bupropion and Naltrexone </w:t>
            </w:r>
          </w:p>
        </w:tc>
        <w:tc>
          <w:tcPr>
            <w:tcW w:w="2070" w:type="dxa"/>
            <w:tcBorders>
              <w:top w:val="single" w:sz="6" w:space="0" w:color="000000"/>
              <w:left w:val="single" w:sz="6" w:space="0" w:color="000000"/>
              <w:bottom w:val="single" w:sz="6" w:space="0" w:color="000000"/>
              <w:right w:val="single" w:sz="6" w:space="0" w:color="000000"/>
            </w:tcBorders>
            <w:shd w:val="clear" w:color="auto" w:fill="D9D9D9"/>
            <w:hideMark/>
          </w:tcPr>
          <w:p w14:paraId="3B745C7E" w14:textId="77777777" w:rsidR="00E43B12" w:rsidRPr="007D4CB3" w:rsidRDefault="00E43B12" w:rsidP="00FC7CE6">
            <w:pPr>
              <w:spacing w:before="0" w:after="0" w:line="360" w:lineRule="auto"/>
              <w:ind w:left="360" w:firstLine="360"/>
              <w:textAlignment w:val="baseline"/>
              <w:rPr>
                <w:rFonts w:ascii="Times New Roman" w:eastAsia="Times New Roman" w:hAnsi="Times New Roman" w:cs="Times New Roman"/>
              </w:rPr>
            </w:pPr>
            <w:r w:rsidRPr="007D4CB3">
              <w:rPr>
                <w:rFonts w:ascii="Times New Roman" w:eastAsia="Times New Roman" w:hAnsi="Times New Roman" w:cs="Times New Roman"/>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D9D9D9"/>
            <w:hideMark/>
          </w:tcPr>
          <w:p w14:paraId="7A0D1BFF" w14:textId="77777777" w:rsidR="00E43B12" w:rsidRPr="007D4CB3" w:rsidRDefault="00E43B12" w:rsidP="00FC7CE6">
            <w:pPr>
              <w:spacing w:before="0" w:after="0" w:line="360" w:lineRule="auto"/>
              <w:ind w:left="360" w:firstLine="360"/>
              <w:textAlignment w:val="baseline"/>
              <w:rPr>
                <w:rFonts w:ascii="Times New Roman" w:eastAsia="Times New Roman" w:hAnsi="Times New Roman" w:cs="Times New Roman"/>
              </w:rPr>
            </w:pPr>
            <w:r w:rsidRPr="007D4CB3">
              <w:rPr>
                <w:rFonts w:ascii="Times New Roman" w:eastAsia="Times New Roman" w:hAnsi="Times New Roman" w:cs="Times New Roman"/>
              </w:rPr>
              <w:t> </w:t>
            </w:r>
          </w:p>
        </w:tc>
      </w:tr>
      <w:tr w:rsidR="004E620B" w:rsidRPr="007D4CB3" w14:paraId="78ED0D15" w14:textId="77777777" w:rsidTr="007E7BD7">
        <w:trPr>
          <w:trHeight w:val="490"/>
        </w:trPr>
        <w:tc>
          <w:tcPr>
            <w:tcW w:w="2692" w:type="dxa"/>
            <w:tcBorders>
              <w:top w:val="single" w:sz="6" w:space="0" w:color="000000"/>
              <w:left w:val="single" w:sz="6" w:space="0" w:color="000000"/>
              <w:bottom w:val="single" w:sz="6" w:space="0" w:color="000000"/>
              <w:right w:val="single" w:sz="6" w:space="0" w:color="000000"/>
            </w:tcBorders>
            <w:shd w:val="clear" w:color="auto" w:fill="auto"/>
            <w:hideMark/>
          </w:tcPr>
          <w:p w14:paraId="3AE8732B" w14:textId="3BF5DDF0"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Mooney et al., 2016</w:t>
            </w:r>
            <w:r w:rsidR="00010F8A" w:rsidRPr="007D4CB3">
              <w:rPr>
                <w:rFonts w:ascii="Times New Roman" w:eastAsia="Times New Roman" w:hAnsi="Times New Roman" w:cs="Times New Roman"/>
              </w:rPr>
              <w:fldChar w:fldCharType="begin"/>
            </w:r>
            <w:r w:rsidR="00010F8A" w:rsidRPr="007D4CB3">
              <w:rPr>
                <w:rFonts w:ascii="Times New Roman" w:eastAsia="Times New Roman" w:hAnsi="Times New Roman" w:cs="Times New Roman"/>
              </w:rPr>
              <w:instrText xml:space="preserve"> ADDIN ZOTERO_ITEM CSL_CITATION {"citationID":"bpDghz90","properties":{"formattedCitation":"\\super 120\\nosupersub{}","plainCitation":"120","noteIndex":0},"citationItems":[{"id":1746,"uris":["http://zotero.org/groups/4862100/items/9IW9M6DR"],"itemData":{"id":1746,"type":"article-journal","abstract":"OBJECTIVES: This 2-stage open-label pilot study evaluated the safety and potential efficacy of naltrexone + bupropion as a pharmacotherapy for methamphetamine (MA) use disorder. METHODS: The study was conducted in 2 stages of recruitment across 3 sites; 20 participants were enrolled in stage 1 and 29 participants were enrolled in stage 2. Eight weeks of open-label pharmacotherapy with a combination of extended-release injectable naltrexone (XR-NTX; Vivitrol) plus extended-release oral bupropion (BRP; Wellbutrin XL) were provided with a smartphone-assisted medication adherence platform. Participants met Diagnostic and Statistical Manual of Mental Disorders, 5th Edition criteria for severe MA use disorder, self-reported ≥20 days of MA use in the 30 days prior to consent, and submitted 3 MA-positive urine drug screens (UDS) out of 4 collected during screening. Participants attended clinic twice weekly for observed BRP dosing, UDS testing, assessments, and medical management; XR-NTX was administered at weeks 1 and 5. A BRP taper and follow-up visit occurred in week 9. RESULTS: Analyses evaluated effects of XR-NTX + BRP to determine the number of \"responders\" according to a statistically predefined response criterion (6 of 8 MA-negative UDS during the last 4 weeks of medication). The 2-stage design required that stage 1 yield ≥3 responders to continue to stage 2; 11 of the 49 participants met responder criteria across both stages (5 in stage 1, 6 in stage 2). CONCLUSIONS: Under the statistical analysis plan, study \"success\" required ≥9 responders. With 11 responders, the study demonstrated sufficient potential of naltrexone plus bupropion as a combination pharmacotherapy for MA use disorder to warrant further study.","container-title":"Journal of addiction medicine","DOI":"10/f8xf8x","ISSN":"1932-0620 (Linking)","issue":"4","journalAbbreviation":"J Addict Med","page":"236-43","title":"Utilizing a two-stage design to investigate the safety and potential efficacy of monthly naltrexone plus once-daily bupropion as a treatment for methamphetamine use disorder","volume":"10","author":[{"family":"Mooney","given":"LJ"},{"family":"Hillhouse","given":"MP"},{"family":"Thomas","given":"C"},{"family":"Ang","given":"A"},{"family":"Sharma","given":"G"},{"family":"Terry","given":"G"},{"family":"Chang","given":"L"},{"family":"Walker","given":"R"},{"family":"Trivedi","given":"M"},{"family":"Croteau","given":"D"},{"family":"Sparenborg","given":"S"},{"family":"Ling","given":"W"}],"issued":{"date-parts":[["2016",7]]}}}],"schema":"https://github.com/citation-style-language/schema/raw/master/csl-citation.json"} </w:instrText>
            </w:r>
            <w:r w:rsidR="00010F8A" w:rsidRPr="007D4CB3">
              <w:rPr>
                <w:rFonts w:ascii="Times New Roman" w:eastAsia="Times New Roman" w:hAnsi="Times New Roman" w:cs="Times New Roman"/>
              </w:rPr>
              <w:fldChar w:fldCharType="separate"/>
            </w:r>
            <w:r w:rsidR="00010F8A" w:rsidRPr="007D4CB3">
              <w:rPr>
                <w:rFonts w:ascii="Times New Roman" w:hAnsi="Times New Roman" w:cs="Times New Roman"/>
                <w:vertAlign w:val="superscript"/>
              </w:rPr>
              <w:t>120</w:t>
            </w:r>
            <w:r w:rsidR="00010F8A" w:rsidRPr="007D4CB3">
              <w:rPr>
                <w:rFonts w:ascii="Times New Roman" w:eastAsia="Times New Roman" w:hAnsi="Times New Roman" w:cs="Times New Roman"/>
              </w:rPr>
              <w:fldChar w:fldCharType="end"/>
            </w:r>
            <w:r w:rsidRPr="007D4CB3">
              <w:rPr>
                <w:rFonts w:ascii="Times New Roman" w:eastAsia="Times New Roman" w:hAnsi="Times New Roman" w:cs="Times New Roman"/>
              </w:rPr>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0296FA1D"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Bupropion (ER) and Naltrexone (ER, injectable)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7505D491"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450 mg/d and 380 mg (Once/month)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7BB8BB0E"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Methamphetamine </w:t>
            </w:r>
          </w:p>
        </w:tc>
      </w:tr>
      <w:tr w:rsidR="004E620B" w:rsidRPr="007D4CB3" w14:paraId="72B29AE9" w14:textId="77777777" w:rsidTr="007E7BD7">
        <w:trPr>
          <w:trHeight w:val="490"/>
        </w:trPr>
        <w:tc>
          <w:tcPr>
            <w:tcW w:w="2692" w:type="dxa"/>
            <w:tcBorders>
              <w:top w:val="single" w:sz="6" w:space="0" w:color="000000"/>
              <w:left w:val="single" w:sz="6" w:space="0" w:color="000000"/>
              <w:bottom w:val="single" w:sz="6" w:space="0" w:color="000000"/>
              <w:right w:val="single" w:sz="6" w:space="0" w:color="000000"/>
            </w:tcBorders>
            <w:shd w:val="clear" w:color="auto" w:fill="auto"/>
            <w:hideMark/>
          </w:tcPr>
          <w:p w14:paraId="391BC85A" w14:textId="07E34C82"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Trivedi et al., 2021</w:t>
            </w:r>
            <w:r w:rsidR="00EB3AB8" w:rsidRPr="007D4CB3">
              <w:rPr>
                <w:rFonts w:ascii="Times New Roman" w:eastAsia="Times New Roman" w:hAnsi="Times New Roman" w:cs="Times New Roman"/>
              </w:rPr>
              <w:fldChar w:fldCharType="begin"/>
            </w:r>
            <w:r w:rsidR="00EB3AB8" w:rsidRPr="007D4CB3">
              <w:rPr>
                <w:rFonts w:ascii="Times New Roman" w:eastAsia="Times New Roman" w:hAnsi="Times New Roman" w:cs="Times New Roman"/>
              </w:rPr>
              <w:instrText xml:space="preserve"> ADDIN ZOTERO_ITEM CSL_CITATION {"citationID":"ux0fxoFW","properties":{"formattedCitation":"\\super 121\\nosupersub{}","plainCitation":"121","noteIndex":0},"citationItems":[{"id":1745,"uris":["http://zotero.org/groups/4862100/items/XDCUCNZL"],"itemData":{"id":1745,"type":"article-journal","container-title":"New England Journal of Medicine","DOI":"10.1056/NEJMoa2020214","ISSN":"0028-4793","issue":"2","note":"publisher: Massachusetts Medical Society\n_eprint: https://doi.org/10.1056/NEJMoa2020214","page":"140-153","source":"Taylor and Francis+NEJM","title":"Bupropion and naltrexone in methamphetamine use disorder","volume":"384","author":[{"family":"Trivedi","given":"Madhukar H."},{"family":"Walker","given":"Robrina"},{"family":"Ling","given":"Walter"},{"family":"Cruz","given":"Adriane","non-dropping-particle":"dela"},{"family":"Sharma","given":"Gaurav"},{"family":"Carmody","given":"Thomas"},{"family":"Ghitza","given":"Udi E."},{"family":"Wahle","given":"Aimee"},{"family":"Kim","given":"Mora"},{"family":"Shores-Wilson","given":"Kathy"},{"family":"Sparenborg","given":"Steven"},{"family":"Coffin","given":"Phillip"},{"family":"Schmitz","given":"Joy"},{"family":"Wiest","given":"Katharina"},{"family":"Bart","given":"Gavin"},{"family":"Sonne","given":"Susan C."},{"family":"Wakhlu","given":"Sidarth"},{"family":"Rush","given":"A. John"},{"family":"Nunes","given":"Edward V."},{"family":"Shoptaw","given":"Steven"}],"issued":{"date-parts":[["2021",1,14]]}}}],"schema":"https://github.com/citation-style-language/schema/raw/master/csl-citation.json"} </w:instrText>
            </w:r>
            <w:r w:rsidR="00EB3AB8" w:rsidRPr="007D4CB3">
              <w:rPr>
                <w:rFonts w:ascii="Times New Roman" w:eastAsia="Times New Roman" w:hAnsi="Times New Roman" w:cs="Times New Roman"/>
              </w:rPr>
              <w:fldChar w:fldCharType="separate"/>
            </w:r>
            <w:r w:rsidR="00EB3AB8" w:rsidRPr="007D4CB3">
              <w:rPr>
                <w:rFonts w:ascii="Times New Roman" w:hAnsi="Times New Roman" w:cs="Times New Roman"/>
                <w:vertAlign w:val="superscript"/>
              </w:rPr>
              <w:t>121</w:t>
            </w:r>
            <w:r w:rsidR="00EB3AB8" w:rsidRPr="007D4CB3">
              <w:rPr>
                <w:rFonts w:ascii="Times New Roman" w:eastAsia="Times New Roman" w:hAnsi="Times New Roman" w:cs="Times New Roman"/>
              </w:rPr>
              <w:fldChar w:fldCharType="end"/>
            </w:r>
            <w:r w:rsidRPr="007D4CB3">
              <w:rPr>
                <w:rFonts w:ascii="Times New Roman" w:eastAsia="Times New Roman" w:hAnsi="Times New Roman" w:cs="Times New Roman"/>
              </w:rPr>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79E209EC"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Bupropion (ER) and Naltrexone (ER, injectable)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6FA38BC8"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450 mg/d and 380 mg (every 3 weeks)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70366AF8"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Methamphetamine </w:t>
            </w:r>
          </w:p>
        </w:tc>
      </w:tr>
      <w:tr w:rsidR="004E620B" w:rsidRPr="007D4CB3" w14:paraId="66D5193B" w14:textId="77777777" w:rsidTr="007E7BD7">
        <w:trPr>
          <w:trHeight w:val="490"/>
        </w:trPr>
        <w:tc>
          <w:tcPr>
            <w:tcW w:w="6112"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14:paraId="48EDCF5C" w14:textId="4C078BBC"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Mirtazapine</w:t>
            </w:r>
          </w:p>
        </w:tc>
        <w:tc>
          <w:tcPr>
            <w:tcW w:w="2070" w:type="dxa"/>
            <w:tcBorders>
              <w:top w:val="single" w:sz="6" w:space="0" w:color="000000"/>
              <w:left w:val="single" w:sz="6" w:space="0" w:color="000000"/>
              <w:bottom w:val="single" w:sz="6" w:space="0" w:color="000000"/>
              <w:right w:val="single" w:sz="6" w:space="0" w:color="000000"/>
            </w:tcBorders>
            <w:shd w:val="clear" w:color="auto" w:fill="D9D9D9"/>
            <w:hideMark/>
          </w:tcPr>
          <w:p w14:paraId="6638D9DB" w14:textId="77777777" w:rsidR="00E43B12" w:rsidRPr="007D4CB3" w:rsidRDefault="00E43B12" w:rsidP="00FC7CE6">
            <w:pPr>
              <w:spacing w:before="0" w:after="0" w:line="360" w:lineRule="auto"/>
              <w:ind w:left="360" w:firstLine="360"/>
              <w:textAlignment w:val="baseline"/>
              <w:rPr>
                <w:rFonts w:ascii="Times New Roman" w:eastAsia="Times New Roman" w:hAnsi="Times New Roman" w:cs="Times New Roman"/>
              </w:rPr>
            </w:pPr>
            <w:r w:rsidRPr="007D4CB3">
              <w:rPr>
                <w:rFonts w:ascii="Times New Roman" w:eastAsia="Times New Roman" w:hAnsi="Times New Roman" w:cs="Times New Roman"/>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D9D9D9"/>
            <w:hideMark/>
          </w:tcPr>
          <w:p w14:paraId="2E0A93CE" w14:textId="77777777" w:rsidR="00E43B12" w:rsidRPr="007D4CB3" w:rsidRDefault="00E43B12" w:rsidP="00FC7CE6">
            <w:pPr>
              <w:spacing w:before="0" w:after="0" w:line="360" w:lineRule="auto"/>
              <w:ind w:left="360" w:firstLine="360"/>
              <w:textAlignment w:val="baseline"/>
              <w:rPr>
                <w:rFonts w:ascii="Times New Roman" w:eastAsia="Times New Roman" w:hAnsi="Times New Roman" w:cs="Times New Roman"/>
              </w:rPr>
            </w:pPr>
            <w:r w:rsidRPr="007D4CB3">
              <w:rPr>
                <w:rFonts w:ascii="Times New Roman" w:eastAsia="Times New Roman" w:hAnsi="Times New Roman" w:cs="Times New Roman"/>
              </w:rPr>
              <w:t> </w:t>
            </w:r>
          </w:p>
        </w:tc>
      </w:tr>
      <w:tr w:rsidR="004E620B" w:rsidRPr="007D4CB3" w14:paraId="3628DA49" w14:textId="77777777" w:rsidTr="007E7BD7">
        <w:trPr>
          <w:trHeight w:val="490"/>
        </w:trPr>
        <w:tc>
          <w:tcPr>
            <w:tcW w:w="2692" w:type="dxa"/>
            <w:tcBorders>
              <w:top w:val="single" w:sz="6" w:space="0" w:color="000000"/>
              <w:left w:val="single" w:sz="6" w:space="0" w:color="000000"/>
              <w:bottom w:val="single" w:sz="6" w:space="0" w:color="000000"/>
              <w:right w:val="single" w:sz="6" w:space="0" w:color="000000"/>
            </w:tcBorders>
            <w:shd w:val="clear" w:color="auto" w:fill="auto"/>
            <w:hideMark/>
          </w:tcPr>
          <w:p w14:paraId="1835CCA5" w14:textId="06C97256"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Coffin et al., 2020</w:t>
            </w:r>
            <w:r w:rsidR="00011E76" w:rsidRPr="007D4CB3">
              <w:rPr>
                <w:rFonts w:ascii="Times New Roman" w:eastAsia="Times New Roman" w:hAnsi="Times New Roman" w:cs="Times New Roman"/>
              </w:rPr>
              <w:fldChar w:fldCharType="begin"/>
            </w:r>
            <w:r w:rsidR="00011E76" w:rsidRPr="007D4CB3">
              <w:rPr>
                <w:rFonts w:ascii="Times New Roman" w:eastAsia="Times New Roman" w:hAnsi="Times New Roman" w:cs="Times New Roman"/>
              </w:rPr>
              <w:instrText xml:space="preserve"> ADDIN ZOTERO_ITEM CSL_CITATION {"citationID":"Q5q4F9pk","properties":{"formattedCitation":"\\super 126\\nosupersub{}","plainCitation":"126","noteIndex":0},"citationItems":[{"id":1879,"uris":["http://zotero.org/groups/4862100/items/XUXPJRG8"],"itemData":{"id":1879,"type":"article-journal","abstract":"Methamphetamine use is increasingly prevalent and associated with HIV transmission. A previous phase 2a study of mirtazapine demonstrated reductions in methamphetamine use and sexual risk behaviors among men who have sex with men.To determine the efficacy of mirtazapine for treatment of methamphetamine use disorder and reduction in HIV risk behaviors.This double-blind randomized clinical trial of mirtazapine vs placebo took place from August 2013 to September 2017 in an outpatient research clinic in San Francisco, California. Participants were community-recruited adults who were sexually active; cisgender men, transgender men, and transgender women who (1) had sex with men, (2) had methamphetamine use disorder, and (3) were actively using methamphetamine were eligible. Participants were randomized to receive the study drug or placebo for 24 weeks, with 12 more weeks of follow-up. Data analysis took place from February to June 2018.Mirtazapine, 30 mg, or matched placebo orally once daily for 24 weeks, with background counseling.Positive urine test results for methamphetamine over 12, 24, and 36 weeks (primary outcomes) and sexual risk behaviors (secondary outcomes). Sleep, methamphetamine craving, dependence severity, and adverse events were assessed.Of 241 persons assessed, 120 were enrolled (5 transgender women and 115 cisgender men). The mean (SD) age was 43.3 (9.8) years; 61 (50.8%) were white, 31 (25.8%) were African American, and 15 (12.5%) were Latinx. A mean (SD) of 66% (47%) of visits were completed overall. By week 12, the rate of methamphetamine-positive urine test results significantly declined among participants randomized to mirtazapine vs placebo (risk ratio [RR], 0.67 [95% CI, 0.51-0.87]). Mirtazapine resulted in reductions in positive urine test results at 24 weeks (RR, 0.75 [95% CI, 0.56-1.00]) and 36 weeks (RR, 0.73 [95% CI, 0.57-0.96]) vs placebo. Mean (SD) medication adherence by WisePill dispenser was 38.5% (27.0%) in the mirtazapine group vs 39.5% (26.2%) in the placebo group (P = .77) over 2 to 12 weeks and 28.1% (23.4%) vs 38.5% (27.0%) (P = .59) over 13 to 24 weeks. Changes in sexual risk behaviors were not significantly different by study arm at 12 weeks, but those assigned to receive mirtazapine had fewer sexual partners (RR, 0.52 [95% CI, 0.27-0.97]; P = .04), fewer episodes of condomless anal sex with partners who were serodiscordant (RR, 0.47 [95% CI, 0.23-0.97]; P = .04), and fewer episodes of condomless receptive anal sex with partners who were serodiscordant (RR, 0.37 [95% CI, 0.14-0.93]; P = .04) at week 24. Participants assigned to mirtazapine had net reductions in depressive symptoms (Center for Epidemiologic Studies Depression Scale score, 6.2 [95% CI, 1.3-11.1] points lower; P = .01) and insomnia severity (Athens score, 1.4 [95% CI, 0.1-2.7] points lower; P = .04) at week 24. There were no serious adverse events associated with the study drug.In this expanded replication trial, adding mirtazapine to substance use counseling reduced methamphetamine use and some HIV risk behaviors among cisgender men and transgender women who have sex with men, with benefits extending after treatment despite suboptimal medication adherence.ClinicalTrials.gov identifier: NCT01888835","container-title":"JAMA Psychiatry","DOI":"10.1001/jamapsychiatry.2019.3655","ISSN":"2168-622X","issue":"3","journalAbbreviation":"JAMA Psychiatry","page":"246-255","source":"Silverchair","title":"Effects of mirtazapine for methamphetamine use disorder among cisgender men and transgender women who have sex with men: A placebo-controlled randomized clinical trial","title-short":"Effects of Mirtazapine for Methamphetamine Use Disorder Among Cisgender Men and Transgender Women Who Have Sex With Men","volume":"77","author":[{"family":"Coffin","given":"Phillip O."},{"family":"Santos","given":"Glenn-Milo"},{"family":"Hern","given":"Jaclyn"},{"family":"Vittinghoff","given":"Eric"},{"family":"Walker","given":"John E."},{"family":"Matheson","given":"Tim"},{"family":"Santos","given":"Deirdre"},{"family":"Colfax","given":"Grant"},{"family":"Batki","given":"Steven L."}],"issued":{"date-parts":[["2020",3,1]]}}}],"schema":"https://github.com/citation-style-language/schema/raw/master/csl-citation.json"} </w:instrText>
            </w:r>
            <w:r w:rsidR="00011E76" w:rsidRPr="007D4CB3">
              <w:rPr>
                <w:rFonts w:ascii="Times New Roman" w:eastAsia="Times New Roman" w:hAnsi="Times New Roman" w:cs="Times New Roman"/>
              </w:rPr>
              <w:fldChar w:fldCharType="separate"/>
            </w:r>
            <w:r w:rsidR="00011E76" w:rsidRPr="007D4CB3">
              <w:rPr>
                <w:rFonts w:ascii="Times New Roman" w:hAnsi="Times New Roman" w:cs="Times New Roman"/>
                <w:vertAlign w:val="superscript"/>
              </w:rPr>
              <w:t>126</w:t>
            </w:r>
            <w:r w:rsidR="00011E76" w:rsidRPr="007D4CB3">
              <w:rPr>
                <w:rFonts w:ascii="Times New Roman" w:eastAsia="Times New Roman" w:hAnsi="Times New Roman" w:cs="Times New Roman"/>
              </w:rPr>
              <w:fldChar w:fldCharType="end"/>
            </w:r>
            <w:r w:rsidRPr="007D4CB3">
              <w:rPr>
                <w:rFonts w:ascii="Times New Roman" w:eastAsia="Times New Roman" w:hAnsi="Times New Roman" w:cs="Times New Roman"/>
              </w:rPr>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62F8921B"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Mirtazapine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750A108A"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30 mg/d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1E296C34"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Methamphetamine </w:t>
            </w:r>
          </w:p>
        </w:tc>
      </w:tr>
      <w:tr w:rsidR="004E620B" w:rsidRPr="007D4CB3" w14:paraId="6DFCDC2B" w14:textId="77777777" w:rsidTr="007E7BD7">
        <w:trPr>
          <w:trHeight w:val="490"/>
        </w:trPr>
        <w:tc>
          <w:tcPr>
            <w:tcW w:w="2692" w:type="dxa"/>
            <w:tcBorders>
              <w:top w:val="single" w:sz="6" w:space="0" w:color="000000"/>
              <w:left w:val="single" w:sz="6" w:space="0" w:color="000000"/>
              <w:bottom w:val="single" w:sz="6" w:space="0" w:color="000000"/>
              <w:right w:val="single" w:sz="6" w:space="0" w:color="000000"/>
            </w:tcBorders>
            <w:shd w:val="clear" w:color="auto" w:fill="auto"/>
            <w:hideMark/>
          </w:tcPr>
          <w:p w14:paraId="584B02BA" w14:textId="1181CEFD"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Colfax et al., 2011</w:t>
            </w:r>
            <w:r w:rsidR="009D02BA" w:rsidRPr="007D4CB3">
              <w:rPr>
                <w:rFonts w:ascii="Times New Roman" w:eastAsia="Times New Roman" w:hAnsi="Times New Roman" w:cs="Times New Roman"/>
              </w:rPr>
              <w:fldChar w:fldCharType="begin"/>
            </w:r>
            <w:r w:rsidR="009D02BA" w:rsidRPr="007D4CB3">
              <w:rPr>
                <w:rFonts w:ascii="Times New Roman" w:eastAsia="Times New Roman" w:hAnsi="Times New Roman" w:cs="Times New Roman"/>
              </w:rPr>
              <w:instrText xml:space="preserve"> ADDIN ZOTERO_ITEM CSL_CITATION {"citationID":"3S737VFg","properties":{"formattedCitation":"\\super 127\\nosupersub{}","plainCitation":"127","noteIndex":0},"citationItems":[{"id":1793,"uris":["http://zotero.org/groups/4862100/items/VEWIQ3ZX"],"itemData":{"id":1793,"type":"article-journal","abstract":"No approved pharmacologic treatments for methamphetamine dependence exist. Methamphetamine use is associated with high morbidity and is a major cofactor in the human immunodeficiency virus epidemic among men who have sex with men (MSM).To determine whether mirtazapine would reduce methamphetamine use among MSM who are actively using methamphetamine.Double-blind, randomized, controlled, 12-week trial of mirtazapine vs placebo conducted from September 5, 2007, to March 4, 2010.San Francisco Department of Public Health.Participants were actively using, methamphetamine-dependent, sexually active MSM seen weekly for urine sample collection and substance use counseling.Random assignment to daily oral mirtazapine (30 mg) or placebo; both arms included 30-minute weekly substance use counseling.The primary study outcome was reduction in methamphetamine-positive urine test results. Secondary outcomes were study medication adherence (by self-report and medication event monitoring systems) and sexual risk behavior.Sixty MSM were randomized, 85% of follow-up visits were completed, and 56 participants (93%) completed the final visit. In the primary intent-to-treat analysis, participants assigned to the mirtazapine group had fewer methamphetamine-positive urine test results compared with participants assigned to the placebo group (relative risk, 0.57; 95% CI, 0.35-0.93, P = .02). Urine positivity decreased from 67% (20 of 30 participants) to 63% (17 of 27) in the placebo arm and from 73% (22 of 30) to 44% (12 of 27) in the mirtazapine arm. The number needed to treat to achieve a negative weekly urine test result was 3.1. Adherence was 48.5% by medication event monitoring systems and 74.7% by self-report; adherence measures were not significantly different between arms (medication event monitoring systems, P = .82; self-report, P = .92). Most sexual risk behaviors decreased significantly more among participants taking mirtazapine compared with those taking placebo (number of male partners with whom methamphetamine was used, P = .009; number of male partners, P = .04; episodes of anal sex with serodiscordant partners, P = .003; episodes of unprotected anal sex with serodiscordant partners, P = .003; episodes of insertive anal sex with serodiscordant partners, P = .001). There were no serious adverse events related to study drug or significant differences in adverse events by arm (P ≥ .99).The addition of mirtazapine to substance use counseling decreased methamphetamine use among active users and was associated with decreases in sexual risk despite low to moderate medication adherence.clinicalTrials.gov Identifier NCT00497081","container-title":"Archives of General Psychiatry","DOI":"10.1001/archgenpsychiatry.2011.124","ISSN":"0003-990X","issue":"11","journalAbbreviation":"Arch Gen Psychiatry","page":"1168-1175","source":"Silverchair","title":"Mirtazapine to reduce methamphetamine use: A randomized controlled trial","title-short":"Mirtazapine to Reduce Methamphetamine Use","volume":"68","author":[{"family":"Colfax","given":"Grant N."},{"family":"Santos","given":"Glenn-Milo"},{"family":"Das","given":"Moupali"},{"family":"Santos","given":"Deirdre McDermott"},{"family":"Matheson","given":"Tim"},{"family":"Gasper","given":"James"},{"family":"Shoptaw","given":"Steve"},{"family":"Vittinghoff","given":"Eric"}],"issued":{"date-parts":[["2011",11,1]]}}}],"schema":"https://github.com/citation-style-language/schema/raw/master/csl-citation.json"} </w:instrText>
            </w:r>
            <w:r w:rsidR="009D02BA" w:rsidRPr="007D4CB3">
              <w:rPr>
                <w:rFonts w:ascii="Times New Roman" w:eastAsia="Times New Roman" w:hAnsi="Times New Roman" w:cs="Times New Roman"/>
              </w:rPr>
              <w:fldChar w:fldCharType="separate"/>
            </w:r>
            <w:r w:rsidR="009D02BA" w:rsidRPr="007D4CB3">
              <w:rPr>
                <w:rFonts w:ascii="Times New Roman" w:hAnsi="Times New Roman" w:cs="Times New Roman"/>
                <w:vertAlign w:val="superscript"/>
              </w:rPr>
              <w:t>127</w:t>
            </w:r>
            <w:r w:rsidR="009D02BA" w:rsidRPr="007D4CB3">
              <w:rPr>
                <w:rFonts w:ascii="Times New Roman" w:eastAsia="Times New Roman" w:hAnsi="Times New Roman" w:cs="Times New Roman"/>
              </w:rPr>
              <w:fldChar w:fldCharType="end"/>
            </w:r>
            <w:r w:rsidRPr="007D4CB3">
              <w:rPr>
                <w:rFonts w:ascii="Times New Roman" w:eastAsia="Times New Roman" w:hAnsi="Times New Roman" w:cs="Times New Roman"/>
              </w:rPr>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50B47C1A"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Mirtazapine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3709C5D1"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30 mg/d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0CF6AAA3"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Methamphetamine </w:t>
            </w:r>
          </w:p>
        </w:tc>
      </w:tr>
      <w:tr w:rsidR="004E620B" w:rsidRPr="007D4CB3" w14:paraId="54CD7936" w14:textId="77777777" w:rsidTr="007E7BD7">
        <w:trPr>
          <w:trHeight w:val="490"/>
        </w:trPr>
        <w:tc>
          <w:tcPr>
            <w:tcW w:w="2692" w:type="dxa"/>
            <w:tcBorders>
              <w:top w:val="single" w:sz="6" w:space="0" w:color="000000"/>
              <w:left w:val="single" w:sz="6" w:space="0" w:color="000000"/>
              <w:bottom w:val="single" w:sz="6" w:space="0" w:color="000000"/>
              <w:right w:val="single" w:sz="6" w:space="0" w:color="000000"/>
            </w:tcBorders>
            <w:shd w:val="clear" w:color="auto" w:fill="auto"/>
            <w:hideMark/>
          </w:tcPr>
          <w:p w14:paraId="18975D3A" w14:textId="3FA9F753"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Cruickshank et al., 2008</w:t>
            </w:r>
            <w:r w:rsidR="00364F37" w:rsidRPr="007D4CB3">
              <w:rPr>
                <w:rFonts w:ascii="Times New Roman" w:eastAsia="Times New Roman" w:hAnsi="Times New Roman" w:cs="Times New Roman"/>
              </w:rPr>
              <w:fldChar w:fldCharType="begin"/>
            </w:r>
            <w:r w:rsidR="00364F37" w:rsidRPr="007D4CB3">
              <w:rPr>
                <w:rFonts w:ascii="Times New Roman" w:eastAsia="Times New Roman" w:hAnsi="Times New Roman" w:cs="Times New Roman"/>
              </w:rPr>
              <w:instrText xml:space="preserve"> ADDIN ZOTERO_ITEM CSL_CITATION {"citationID":"dke9OyRO","properties":{"formattedCitation":"\\super 390\\nosupersub{}","plainCitation":"390","noteIndex":0},"citationItems":[{"id":1947,"uris":["http://zotero.org/groups/4862100/items/92VFREIL"],"itemData":{"id":1947,"type":"article-journal","abstract":"Introduction and Aims. As an antidepressant with sedative and anxiolytic properties, mirtazapine may be an appropriate pharmacotherapy for methamphetamine withdrawal. This study sought to examine whether mirtazapine improves retention and alleviates methamphetamine withdrawal symptoms in an out-patient setting. Design and Methods. An out-patient double-blind, randomised placebo-controlled trial of mirtazapine for the treatment of methamphetamine withdrawal was conducted (15 mg nocte for 2 days, 30 mg nocte for 12 days). Both groups were offered narrative therapy counselling. Measures recorded on days 0, 3, 7, 14 and 35 included: treatment retention, Amphetamine Cessation Symptoms Assessment, the Athens Insomnia Scale, the Brief Symptom Inventory, the Depression – Anxiety – Stress Scale (DASS), Severity of Dependence scale and the Opiate Treatment Index Drug Use subscale. Results. Thirty-one participants were recruited (18 placebo, 13 mirtazapine) and 52% completed the 2-week medication phase. No significant differences between the mirtazapine and placebo groups in retention, or any symptom measure were observed, except greater DASS – anxiety and longer sleep duration were measured at baseline among the mirtazapine group. Discussion and Conclusions. Results suggest that mirtazapine does not facilitate retention or recruitment in out-patient methamphetamine withdrawal treatment, although recruitment may have been insufficient to identify a significant treatment effect. The potential role of narrative therapy for methamphetamine dependent patients deserves further exploration. [Cruikshank CC, Montebello ME, Dyer KR, Quigley A, Blaszczyk J, Tomkins S, Shand D. A placebo-controlled trial of mirtazapine for the management of methamphetamine withdrawal. Drug Alcohol Rev 2008;27:326–333]","container-title":"Drug and Alcohol Review","DOI":"10.1080/09595230801935672","ISSN":"0959-5236","issue":"3","journalAbbreviation":"Drug Alcohol Rev","note":"publisher: Taylor &amp; Francis\n_eprint: https://www.tandfonline.com/doi/pdf/10.1080/09595230801935672\nPMID: 18368615","page":"326-333","source":"Taylor and Francis+NEJM","title":"A placebo-controlled trial of mirtazapine for the management of methamphetamine withdrawal","volume":"27","author":[{"family":"Cruickshank","given":"Christopher C."},{"family":"Montebello","given":"Mark E."},{"family":"Dyer","given":"Kyle R."},{"family":"Quigley","given":"Allan"},{"family":"Blaszczyk","given":"Jozef"},{"family":"Tomkins","given":"Sally"},{"family":"Shand","given":"Diana"}],"issued":{"date-parts":[["2008",1,1]]}}}],"schema":"https://github.com/citation-style-language/schema/raw/master/csl-citation.json"} </w:instrText>
            </w:r>
            <w:r w:rsidR="00364F37" w:rsidRPr="007D4CB3">
              <w:rPr>
                <w:rFonts w:ascii="Times New Roman" w:eastAsia="Times New Roman" w:hAnsi="Times New Roman" w:cs="Times New Roman"/>
              </w:rPr>
              <w:fldChar w:fldCharType="separate"/>
            </w:r>
            <w:r w:rsidR="00364F37" w:rsidRPr="007D4CB3">
              <w:rPr>
                <w:rFonts w:ascii="Times New Roman" w:hAnsi="Times New Roman" w:cs="Times New Roman"/>
                <w:vertAlign w:val="superscript"/>
              </w:rPr>
              <w:t>390</w:t>
            </w:r>
            <w:r w:rsidR="00364F37" w:rsidRPr="007D4CB3">
              <w:rPr>
                <w:rFonts w:ascii="Times New Roman" w:eastAsia="Times New Roman" w:hAnsi="Times New Roman" w:cs="Times New Roman"/>
              </w:rPr>
              <w:fldChar w:fldCharType="end"/>
            </w:r>
            <w:r w:rsidRPr="007D4CB3">
              <w:rPr>
                <w:rFonts w:ascii="Times New Roman" w:eastAsia="Times New Roman" w:hAnsi="Times New Roman" w:cs="Times New Roman"/>
              </w:rPr>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01E03A70"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Mirtazapine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122E8F4A"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30 mg/d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1F3BD0FF"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Methamphetamine </w:t>
            </w:r>
          </w:p>
        </w:tc>
      </w:tr>
      <w:tr w:rsidR="004E620B" w:rsidRPr="007D4CB3" w14:paraId="3D2E2AFA" w14:textId="77777777" w:rsidTr="007E7BD7">
        <w:trPr>
          <w:trHeight w:val="490"/>
        </w:trPr>
        <w:tc>
          <w:tcPr>
            <w:tcW w:w="2692" w:type="dxa"/>
            <w:tcBorders>
              <w:top w:val="single" w:sz="6" w:space="0" w:color="000000"/>
              <w:left w:val="single" w:sz="6" w:space="0" w:color="000000"/>
              <w:bottom w:val="single" w:sz="6" w:space="0" w:color="000000"/>
              <w:right w:val="single" w:sz="6" w:space="0" w:color="000000"/>
            </w:tcBorders>
            <w:shd w:val="clear" w:color="auto" w:fill="auto"/>
            <w:hideMark/>
          </w:tcPr>
          <w:p w14:paraId="69AFFDC2" w14:textId="72EFA586"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Kongsakon et al., 2005</w:t>
            </w:r>
            <w:r w:rsidR="008D6082" w:rsidRPr="007D4CB3">
              <w:rPr>
                <w:rFonts w:ascii="Times New Roman" w:eastAsia="Times New Roman" w:hAnsi="Times New Roman" w:cs="Times New Roman"/>
              </w:rPr>
              <w:fldChar w:fldCharType="begin"/>
            </w:r>
            <w:r w:rsidR="008D6082" w:rsidRPr="007D4CB3">
              <w:rPr>
                <w:rFonts w:ascii="Times New Roman" w:eastAsia="Times New Roman" w:hAnsi="Times New Roman" w:cs="Times New Roman"/>
              </w:rPr>
              <w:instrText xml:space="preserve"> ADDIN ZOTERO_ITEM CSL_CITATION {"citationID":"kcU2KpNB","properties":{"formattedCitation":"\\super 391\\nosupersub{}","plainCitation":"391","noteIndex":0},"citationItems":[{"id":1792,"uris":["http://zotero.org/groups/4862100/items/LMS8JX8P"],"itemData":{"id":1792,"type":"article-journal","abstract":"The present study aimed to assess the safety and efficacy of mirtazapine in amphetamine detoxification in a 14-day randomized, placebo-controlled pilot trial in a Thai population. Subjects retained at a Specialized Probation Center, Department of Probation, Ministry of Justice, Thailand (n=20), who met DSM-IV criteria for amphetamine dependence and the inclusion criteria of the study, were randomized for either mirtazapine treatment or placebo. Efficacy was assessed by the Amphetamine Withdrawal Questionnaire (AWQ) for amphetamine withdrawal symptoms and the Montgomery–Åsberg Depression rating scale (MADRS) for depression. Mirtazapine safety was assessed by interview during each follow-up period on days 3 and 14 after treatment. Nine subjects were randomized to the mirtazapine group and 11 to the placebo group. Among the initial 20 subjects, 16 (seven in the mirtazapine and nine in the placebo group) completed the study. There were significant improvements in the total AWQ score changes in the mirtazapine group versus placebo both at days 3 (P&lt;0.005) and 14 (P&lt;0.030). Significant improvements in favour of mirtazapine were also seen in the hyperarousal and the anxiety subscale score changes at days 3 (P&lt;0.029) and 14 (P&lt;0.018), respectively. No significant differences were seen (P&gt;0.05) in the MADRS scores changes within or between the groups. Mild adverse events, such as headache, sedation, nausea and vomiting, were reported. In conclusion, despite its small sample size, this randomized, placebo-controlled pilot trial lends support to the hypothesis that mirtazapine may be an option in the meager armamentarium of amphetamine detoxification treatment.","container-title":"International Clinical Psychopharmacology","DOI":"10.1097/01.yic.0000166815.83017.d8","ISSN":"0268-1315","issue":"5","journalAbbreviation":"Int Clin Psychopharmacol","language":"en-US","page":"253–256","source":"journals.lww.com","title":"Mirtazapine in amphetamine detoxification: a placebo-controlled pilot study","title-short":"Mirtazapine in amphetamine detoxification","volume":"20","author":[{"family":"Kongsakon","given":"Ronnachai"},{"family":"Papadopoulos","given":"Konstantinos I."},{"family":"Saguansiritham","given":"Rapeepun"}],"issued":{"date-parts":[["2005",9]]}}}],"schema":"https://github.com/citation-style-language/schema/raw/master/csl-citation.json"} </w:instrText>
            </w:r>
            <w:r w:rsidR="008D6082" w:rsidRPr="007D4CB3">
              <w:rPr>
                <w:rFonts w:ascii="Times New Roman" w:eastAsia="Times New Roman" w:hAnsi="Times New Roman" w:cs="Times New Roman"/>
              </w:rPr>
              <w:fldChar w:fldCharType="separate"/>
            </w:r>
            <w:r w:rsidR="008D6082" w:rsidRPr="007D4CB3">
              <w:rPr>
                <w:rFonts w:ascii="Times New Roman" w:hAnsi="Times New Roman" w:cs="Times New Roman"/>
                <w:vertAlign w:val="superscript"/>
              </w:rPr>
              <w:t>391</w:t>
            </w:r>
            <w:r w:rsidR="008D6082" w:rsidRPr="007D4CB3">
              <w:rPr>
                <w:rFonts w:ascii="Times New Roman" w:eastAsia="Times New Roman" w:hAnsi="Times New Roman" w:cs="Times New Roman"/>
              </w:rPr>
              <w:fldChar w:fldCharType="end"/>
            </w:r>
            <w:r w:rsidRPr="007D4CB3">
              <w:rPr>
                <w:rFonts w:ascii="Times New Roman" w:eastAsia="Times New Roman" w:hAnsi="Times New Roman" w:cs="Times New Roman"/>
              </w:rPr>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1FA6DFF5"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Mirtazapine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5FEA83BB"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15-60 mg/d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42CC92F2"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Amphetamine </w:t>
            </w:r>
          </w:p>
        </w:tc>
      </w:tr>
      <w:tr w:rsidR="004E620B" w:rsidRPr="007D4CB3" w14:paraId="15A3BBCF" w14:textId="77777777" w:rsidTr="007E7BD7">
        <w:trPr>
          <w:trHeight w:val="490"/>
        </w:trPr>
        <w:tc>
          <w:tcPr>
            <w:tcW w:w="2692" w:type="dxa"/>
            <w:tcBorders>
              <w:top w:val="single" w:sz="6" w:space="0" w:color="000000"/>
              <w:left w:val="single" w:sz="6" w:space="0" w:color="000000"/>
              <w:bottom w:val="single" w:sz="6" w:space="0" w:color="000000"/>
              <w:right w:val="single" w:sz="6" w:space="0" w:color="000000"/>
            </w:tcBorders>
            <w:shd w:val="clear" w:color="auto" w:fill="auto"/>
            <w:hideMark/>
          </w:tcPr>
          <w:p w14:paraId="2F33833A" w14:textId="151430BF"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McGregor et al., 2008</w:t>
            </w:r>
            <w:r w:rsidR="00585BCC" w:rsidRPr="007D4CB3">
              <w:rPr>
                <w:rFonts w:ascii="Times New Roman" w:eastAsia="Times New Roman" w:hAnsi="Times New Roman" w:cs="Times New Roman"/>
              </w:rPr>
              <w:fldChar w:fldCharType="begin"/>
            </w:r>
            <w:r w:rsidR="00585BCC" w:rsidRPr="007D4CB3">
              <w:rPr>
                <w:rFonts w:ascii="Times New Roman" w:eastAsia="Times New Roman" w:hAnsi="Times New Roman" w:cs="Times New Roman"/>
              </w:rPr>
              <w:instrText xml:space="preserve"> ADDIN ZOTERO_ITEM CSL_CITATION {"citationID":"wFIvMkzW","properties":{"formattedCitation":"\\super 289\\nosupersub{}","plainCitation":"289","noteIndex":0},"citationItems":[{"id":1654,"uris":["http://zotero.org/groups/4862100/items/4XAX9CV2"],"itemData":{"id":1654,"type":"article-journal","abstract":"The safety and tolerability of modafinil (400 mg/day, n = 14) and mirtazapine (60 mg/day, n = 13) in inpatient methamphetamine withdrawal treatment were compared to a historical comparison group receiving treatment as usual (pericyazine, 2.5–10 mg/day, n = 22). Modafinil and mirtazapine were well tolerated, producing minimal positive subjective effects and no discontinuation effects in this open-label study. Side effects were mild and transient. Aches and pains were most commonly reported by participants receiving mirtazapine, whereas headache was reported by modafinil-treated participants. Modafinil-treated participants had a milder withdrawal syndrome as measured by the Amphetamine Cessation Symptom Assessment and less sleep disturbance in comparison to mirtazapine. Pericyazine was associated with a more severe withdrawal syndrome in comparison to mirtazapine and modafinil. Both modafinil and mirtazapine were safe and well tolerated in methamphetamine withdrawal treatment. However, these early findings of efficacy in symptom amelioration should be replicated in an adequately powered, randomized, placebo-controlled double-blind design.","container-title":"Journal of Substance Abuse Treatment","DOI":"10.1016/j.jsat.2007.12.003","ISSN":"0740-5472","issue":"3","journalAbbreviation":"J Subst Use Addict Treat","language":"en","page":"334-342","source":"ScienceDirect","title":"Symptoms and sleep patterns during inpatient treatment of methamphetamine withdrawal: A comparison of mirtazapine and modafinil with treatment as usual","title-short":"Symptoms and sleep patterns during inpatient treatment of methamphetamine withdrawal","volume":"35","author":[{"family":"McGregor","given":"Catherine"},{"family":"Srisurapanont","given":"Manit"},{"family":"Mitchell","given":"Amanda"},{"family":"Wickes","given":"Wendy"},{"family":"White","given":"Jason M."}],"issued":{"date-parts":[["2008",10,1]]}}}],"schema":"https://github.com/citation-style-language/schema/raw/master/csl-citation.json"} </w:instrText>
            </w:r>
            <w:r w:rsidR="00585BCC" w:rsidRPr="007D4CB3">
              <w:rPr>
                <w:rFonts w:ascii="Times New Roman" w:eastAsia="Times New Roman" w:hAnsi="Times New Roman" w:cs="Times New Roman"/>
              </w:rPr>
              <w:fldChar w:fldCharType="separate"/>
            </w:r>
            <w:r w:rsidR="00585BCC" w:rsidRPr="007D4CB3">
              <w:rPr>
                <w:rFonts w:ascii="Times New Roman" w:hAnsi="Times New Roman" w:cs="Times New Roman"/>
                <w:vertAlign w:val="superscript"/>
              </w:rPr>
              <w:t>289</w:t>
            </w:r>
            <w:r w:rsidR="00585BCC" w:rsidRPr="007D4CB3">
              <w:rPr>
                <w:rFonts w:ascii="Times New Roman" w:eastAsia="Times New Roman" w:hAnsi="Times New Roman" w:cs="Times New Roman"/>
              </w:rPr>
              <w:fldChar w:fldCharType="end"/>
            </w:r>
            <w:r w:rsidRPr="007D4CB3">
              <w:rPr>
                <w:rFonts w:ascii="Times New Roman" w:eastAsia="Times New Roman" w:hAnsi="Times New Roman" w:cs="Times New Roman"/>
              </w:rPr>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663E09B5"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Mirtazapine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75074316"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60 mg/d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32A59722"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Methamphetamine </w:t>
            </w:r>
          </w:p>
        </w:tc>
      </w:tr>
      <w:tr w:rsidR="00E43B12" w:rsidRPr="007D4CB3" w14:paraId="5EACDEB6" w14:textId="77777777" w:rsidTr="00225626">
        <w:trPr>
          <w:trHeight w:val="490"/>
        </w:trPr>
        <w:tc>
          <w:tcPr>
            <w:tcW w:w="10432" w:type="dxa"/>
            <w:gridSpan w:val="4"/>
            <w:tcBorders>
              <w:top w:val="single" w:sz="6" w:space="0" w:color="000000"/>
              <w:left w:val="single" w:sz="6" w:space="0" w:color="000000"/>
              <w:bottom w:val="single" w:sz="6" w:space="0" w:color="000000"/>
              <w:right w:val="single" w:sz="6" w:space="0" w:color="000000"/>
            </w:tcBorders>
            <w:shd w:val="clear" w:color="auto" w:fill="D9D9D9"/>
            <w:hideMark/>
          </w:tcPr>
          <w:p w14:paraId="4568C07A" w14:textId="3974EE93"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lastRenderedPageBreak/>
              <w:t>Topiramate</w:t>
            </w:r>
          </w:p>
        </w:tc>
      </w:tr>
      <w:tr w:rsidR="004E620B" w:rsidRPr="007D4CB3" w14:paraId="17FD6B58" w14:textId="77777777" w:rsidTr="007E7BD7">
        <w:trPr>
          <w:trHeight w:val="490"/>
        </w:trPr>
        <w:tc>
          <w:tcPr>
            <w:tcW w:w="2692" w:type="dxa"/>
            <w:tcBorders>
              <w:top w:val="single" w:sz="6" w:space="0" w:color="000000"/>
              <w:left w:val="single" w:sz="6" w:space="0" w:color="000000"/>
              <w:bottom w:val="single" w:sz="6" w:space="0" w:color="000000"/>
              <w:right w:val="single" w:sz="6" w:space="0" w:color="000000"/>
            </w:tcBorders>
            <w:shd w:val="clear" w:color="auto" w:fill="auto"/>
            <w:hideMark/>
          </w:tcPr>
          <w:p w14:paraId="28E8D684" w14:textId="07383C6D"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Baldacara et al., 2016</w:t>
            </w:r>
            <w:r w:rsidR="00CF22AD" w:rsidRPr="007D4CB3">
              <w:rPr>
                <w:rFonts w:ascii="Times New Roman" w:eastAsia="Times New Roman" w:hAnsi="Times New Roman" w:cs="Times New Roman"/>
              </w:rPr>
              <w:fldChar w:fldCharType="begin"/>
            </w:r>
            <w:r w:rsidR="00CF22AD" w:rsidRPr="007D4CB3">
              <w:rPr>
                <w:rFonts w:ascii="Times New Roman" w:eastAsia="Times New Roman" w:hAnsi="Times New Roman" w:cs="Times New Roman"/>
              </w:rPr>
              <w:instrText xml:space="preserve"> ADDIN ZOTERO_ITEM CSL_CITATION {"citationID":"Mvef9msq","properties":{"formattedCitation":"\\super 392\\nosupersub{}","plainCitation":"392","noteIndex":0},"citationItems":[{"id":3006,"uris":["http://zotero.org/groups/4862100/items/FMGMESYX"],"itemData":{"id":3006,"type":"article-journal","abstract":"Article Abstract  Objective: We performed a double-blind, randomized, placebo-controlled trial to assess the efficacy of topiramate in the treatment of crack cocaine dependence. Method: Sixty men who were dependent on cocaine (DSM-IV) (exclusive use of crack cocaine) were selected. The subjects were randomly assigned to either a topiramate group (subjects received 50-200 mg of topiramate per day for 12 weeks) or a control group (subjects received placebo). The initial daily treatment dose was 50 mg, and this dose was increased weekly at increments of 25 to 50 mg, based on the subject's tolerability, to a maximum of 200 mg. All of the subjects also participated in motivational interviews and group therapy. The primary outcome measures were detection of benzoylecgonine in the urine, study retention, frequency of cocaine smoking, amount of cocaine use, and mean amount of money spent on cocaine per week. The study was conducted from February 2013 to February 2014. Results: Twenty-nine subjects in the topiramate group and 29 subjects in the control group completed the study. Longitudinal assessment revealed that retention was not significant (odds ratio = 1.072, P = .908) between the 2 groups. Negative results from a urine test for benzoylecgonine (a cocaine metabolite), which is a measure of cocaine abstinence, were more frequently obtained from the topiramate group (OR = 8.687, P &lt; .001). Topiramate reduced the quantity of cocaine used (mean reduction = −3.108 g, P &lt; .001), the frequency of cocaine use (mean = −0.784 times per week, P = .005), and the amount of money spent on cocaine (mean = −$25.38, P = .015; this variable did not achieve statistical significance after Bonferroni correction) compared with the placebo during the 12 weeks (or 84 days) of the assessment. However, the differences in reductions between the 2 groups in the quantity of cocaine used, the frequency of cocaine use, and money spent on cocaine over time (time × group interaction) were present only during the first 4 weeks, and none of these variables by 12 weeks. The studied groups did not differ with regard to secondary end points, such as study dropout and the number of subjects who reported side effects. Conclusions: The present findings indicate that topiramate is effective and safe and thus reinforce previous data suggesting that topiramate is a potentially useful treatment for crack cocaine dependence. However, we found that topiramate is only useful as an adjunctive treatment during the first 4 weeks of the treatment. Future studies with larger samples are needed to confirm these results. Trial Registration: Registro Brasileiro de Ensaios Clí­nicos (ReBEC) RBR-3vwfjs and UTN: U1111-1131-4443","container-title":"The Journal of Clinical Psychiatry","DOI":"10.4088/JCP.14m09377","ISSN":"0160-6689","issue":"3","journalAbbreviation":"J Clin Psychiatry","language":"English","note":"publisher: Physicians Postgraduate Press, Inc.","page":"6282","source":"www.psychiatrist.com","title":"Efficacy of Topiramate in the Treatment of Crack Cocaine Dependence: A Double-Blind, Randomized, Placebo-Controlled Trial","title-short":"Efficacy of Topiramate in the Treatment of Crack Cocaine Dependence","volume":"77","author":[{"family":"Baldaçara","given":"Leonardo"},{"family":"Cogo-Moreira","given":"Hugo"},{"family":"Parreira","given":"Bruna Leal"},{"family":"Diniz","given":"Thaynne Almeida"},{"family":"Milhomem","given":"Jaqueline Jerônimo"},{"family":"Fernandes","given":"Camila Campitelli"},{"family":"Lacerda","given":"Acioly Luiz Tavares"}],"issued":{"date-parts":[["2016",3,23]]}}}],"schema":"https://github.com/citation-style-language/schema/raw/master/csl-citation.json"} </w:instrText>
            </w:r>
            <w:r w:rsidR="00CF22AD" w:rsidRPr="007D4CB3">
              <w:rPr>
                <w:rFonts w:ascii="Times New Roman" w:eastAsia="Times New Roman" w:hAnsi="Times New Roman" w:cs="Times New Roman"/>
              </w:rPr>
              <w:fldChar w:fldCharType="separate"/>
            </w:r>
            <w:r w:rsidR="00CF22AD" w:rsidRPr="007D4CB3">
              <w:rPr>
                <w:rFonts w:ascii="Times New Roman" w:hAnsi="Times New Roman" w:cs="Times New Roman"/>
                <w:vertAlign w:val="superscript"/>
              </w:rPr>
              <w:t>392</w:t>
            </w:r>
            <w:r w:rsidR="00CF22AD" w:rsidRPr="007D4CB3">
              <w:rPr>
                <w:rFonts w:ascii="Times New Roman" w:eastAsia="Times New Roman" w:hAnsi="Times New Roman" w:cs="Times New Roman"/>
              </w:rPr>
              <w:fldChar w:fldCharType="end"/>
            </w:r>
            <w:r w:rsidRPr="007D4CB3">
              <w:rPr>
                <w:rFonts w:ascii="Times New Roman" w:eastAsia="Times New Roman" w:hAnsi="Times New Roman" w:cs="Times New Roman"/>
              </w:rPr>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077A5D19"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Topiramate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7C524512"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200 mg/d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7B30BE32"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Cocaine </w:t>
            </w:r>
          </w:p>
        </w:tc>
      </w:tr>
      <w:tr w:rsidR="004E620B" w:rsidRPr="007D4CB3" w14:paraId="275E14CC" w14:textId="77777777" w:rsidTr="007E7BD7">
        <w:trPr>
          <w:trHeight w:val="490"/>
        </w:trPr>
        <w:tc>
          <w:tcPr>
            <w:tcW w:w="2692" w:type="dxa"/>
            <w:tcBorders>
              <w:top w:val="single" w:sz="6" w:space="0" w:color="000000"/>
              <w:left w:val="single" w:sz="6" w:space="0" w:color="000000"/>
              <w:bottom w:val="single" w:sz="6" w:space="0" w:color="000000"/>
              <w:right w:val="single" w:sz="6" w:space="0" w:color="000000"/>
            </w:tcBorders>
            <w:shd w:val="clear" w:color="auto" w:fill="auto"/>
            <w:hideMark/>
          </w:tcPr>
          <w:p w14:paraId="700BC716" w14:textId="3096A562"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Elkashef et al., 2012</w:t>
            </w:r>
            <w:r w:rsidR="00000BBF" w:rsidRPr="007D4CB3">
              <w:rPr>
                <w:rFonts w:ascii="Times New Roman" w:eastAsia="Times New Roman" w:hAnsi="Times New Roman" w:cs="Times New Roman"/>
              </w:rPr>
              <w:fldChar w:fldCharType="begin"/>
            </w:r>
            <w:r w:rsidR="00000BBF" w:rsidRPr="007D4CB3">
              <w:rPr>
                <w:rFonts w:ascii="Times New Roman" w:eastAsia="Times New Roman" w:hAnsi="Times New Roman" w:cs="Times New Roman"/>
              </w:rPr>
              <w:instrText xml:space="preserve"> ADDIN ZOTERO_ITEM CSL_CITATION {"citationID":"edICc8Ff","properties":{"formattedCitation":"\\super 123\\nosupersub{}","plainCitation":"123","noteIndex":0},"citationItems":[{"id":2997,"uris":["http://zotero.org/groups/4862100/items/HRMNNRB5"],"itemData":{"id":2997,"type":"article-journal","abstract":"Aims\nTopiramate has shown efficacy at facilitating abstinence from alcohol and cocaine abuse. This double-blind, placebo-controlled outpatient trial tested topiramate for treating methamphetamine addiction.\n\nDesign\nParticipants (N=140) were randomized to receive topiramate or placebo (13 weeks) in escalating doses from 50 mg/day to the target maintenance of 200 mg/day in weeks 6–12 (tapered in week 13). Medication was combined with weekly brief behavioral compliance enhancement treatment.\n\nSetting\nThe trial was conducted at eight medical centers in the United States.\n\nParticipants\nOne hundred forty methamphetamine-dependent adults took part in the trial.\n\nMeasurements\nThe primary outcome was abstinence from methamphetamine during weeks 6 – 12. Secondary outcomes included use reduction versus baseline, as well as psychosocial variables.\n\nFindings\nIn the intent-to-treat analysis, topiramate did not increase abstinence from methamphetamine during weeks 6–12. For secondary outcomes, topiramate reduced weekly median urine methamphetamine levels and observer-rated severity of dependence scores significantly. Subjects with negative urine before randomization (N=26) had significantly greater abstinence on topiramate versus placebo during study weeks 6–12. Topiramate was safe and well tolerated.\n\nConclusions\nTopiramate does not appear to promote abstinence in methamphetamine users but can reduce the amount taken and reduce relapse rates in those who are already abstinent.","container-title":"Addiction (Abingdon, England)","DOI":"10.1111/j.1360-0443.2011.03771.x","ISSN":"0965-2140","issue":"7","journalAbbreviation":"Addiction","note":"PMID: 22221594\nPMCID: PMC3331916","page":"1297-1306","source":"PubMed Central","title":"Topiramate for the treatment of methamphetamine addiction: a multi-center placebo-controlled trial","title-short":"Topiramate for the treatment of methamphetamine addiction","volume":"107","author":[{"family":"Elkashef","given":"Ahmed"},{"family":"Kahn","given":"Roberta"},{"family":"Yu","given":"Elmer"},{"family":"Iturriaga","given":"Erin"},{"family":"Li","given":"Shou-Hua"},{"family":"Anderson","given":"Ann"},{"family":"Chiang","given":"Nora"},{"family":"Ait-Daoud","given":"Nassima"},{"family":"Weiss","given":"David"},{"family":"McSherry","given":"Frances"},{"family":"Serpi","given":"Tracey"},{"family":"Rawson","given":"Richard"},{"family":"Hrymoc","given":"Mark"},{"family":"Weis","given":"Dennis"},{"family":"McCann","given":"Michael"},{"family":"Pham","given":"Tony"},{"family":"Stock","given":"Christopher"},{"family":"Dickinson","given":"Ruth"},{"family":"Campbell","given":"Jan"},{"family":"Gorodetzky","given":"Charles"},{"family":"Haning","given":"William"},{"family":"Carlton","given":"Barry"},{"family":"Mawhinney","given":"Joseph"},{"family":"Li","given":"Ming D."},{"family":"Johnson","given":"Bankole A."}],"issued":{"date-parts":[["2012",7]]}}}],"schema":"https://github.com/citation-style-language/schema/raw/master/csl-citation.json"} </w:instrText>
            </w:r>
            <w:r w:rsidR="00000BBF" w:rsidRPr="007D4CB3">
              <w:rPr>
                <w:rFonts w:ascii="Times New Roman" w:eastAsia="Times New Roman" w:hAnsi="Times New Roman" w:cs="Times New Roman"/>
              </w:rPr>
              <w:fldChar w:fldCharType="separate"/>
            </w:r>
            <w:r w:rsidR="00000BBF" w:rsidRPr="007D4CB3">
              <w:rPr>
                <w:rFonts w:ascii="Times New Roman" w:hAnsi="Times New Roman" w:cs="Times New Roman"/>
                <w:vertAlign w:val="superscript"/>
              </w:rPr>
              <w:t>123</w:t>
            </w:r>
            <w:r w:rsidR="00000BBF" w:rsidRPr="007D4CB3">
              <w:rPr>
                <w:rFonts w:ascii="Times New Roman" w:eastAsia="Times New Roman" w:hAnsi="Times New Roman" w:cs="Times New Roman"/>
              </w:rPr>
              <w:fldChar w:fldCharType="end"/>
            </w:r>
            <w:r w:rsidRPr="007D4CB3">
              <w:rPr>
                <w:rFonts w:ascii="Times New Roman" w:eastAsia="Times New Roman" w:hAnsi="Times New Roman" w:cs="Times New Roman"/>
              </w:rPr>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0EE19912"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Topiramate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7FBA0799"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200 mg/d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1EC28467"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Methamphetamine </w:t>
            </w:r>
          </w:p>
        </w:tc>
      </w:tr>
      <w:tr w:rsidR="004E620B" w:rsidRPr="007D4CB3" w14:paraId="31BE01A1" w14:textId="77777777" w:rsidTr="007E7BD7">
        <w:trPr>
          <w:trHeight w:val="490"/>
        </w:trPr>
        <w:tc>
          <w:tcPr>
            <w:tcW w:w="2692" w:type="dxa"/>
            <w:tcBorders>
              <w:top w:val="single" w:sz="6" w:space="0" w:color="000000"/>
              <w:left w:val="single" w:sz="6" w:space="0" w:color="000000"/>
              <w:bottom w:val="single" w:sz="6" w:space="0" w:color="000000"/>
              <w:right w:val="single" w:sz="6" w:space="0" w:color="000000"/>
            </w:tcBorders>
            <w:shd w:val="clear" w:color="auto" w:fill="auto"/>
            <w:hideMark/>
          </w:tcPr>
          <w:p w14:paraId="5F50A47C" w14:textId="402A79DC"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Johnson et al., 2013</w:t>
            </w:r>
            <w:r w:rsidR="0012159B" w:rsidRPr="007D4CB3">
              <w:rPr>
                <w:rFonts w:ascii="Times New Roman" w:eastAsia="Times New Roman" w:hAnsi="Times New Roman" w:cs="Times New Roman"/>
              </w:rPr>
              <w:fldChar w:fldCharType="begin"/>
            </w:r>
            <w:r w:rsidR="0012159B" w:rsidRPr="007D4CB3">
              <w:rPr>
                <w:rFonts w:ascii="Times New Roman" w:eastAsia="Times New Roman" w:hAnsi="Times New Roman" w:cs="Times New Roman"/>
              </w:rPr>
              <w:instrText xml:space="preserve"> ADDIN ZOTERO_ITEM CSL_CITATION {"citationID":"FS3ixtnD","properties":{"formattedCitation":"\\super 393\\nosupersub{}","plainCitation":"393","noteIndex":0},"citationItems":[{"id":3007,"uris":["http://zotero.org/groups/4862100/items/TDMVG7HV"],"itemData":{"id":3007,"type":"article-journal","abstract":"No medication has been established as an efficacious treatment for cocaine dependence. We hypothesized that dual modulation of the mesocorticolimbic dopamine system by topiramate—a glutamate receptor antagonist and γ-aminobutyric acid receptor agonist—would result in efficacious treatment for cocaine dependence compared with placebo.To determine the efficacy of topiramate vs placebo as a treatment for cocaine dependence.Double-blind, randomized, placebo-controlled, 12-week trial of 142 cocaine-dependent adults in clinical research facilities at the University of Virginia between November 22, 2005, and July 25, 2011.Topiramate (n = 71) or placebo (n = 71) in escalating doses from 50 mg/d to the target maintenance dose of 300 mg/d in weeks 6 to 12, combined with weekly cognitive-behavioral treatment.For the efficacy period, weeks 6 to 12, the primary outcome was the weekly difference from baseline in the proportion of cocaine nonuse days; the secondary outcome was urinary cocaine-free weeks, and exploratory outcomes included craving and self- and observer-rated global functioning on the Clinical Global Impression scales.Using an intent-to-treat analysis, topiramate was more efficacious than placebo at increasing the weekly proportion of cocaine nonuse days, irrespective of whether missing data were not or were imputed conservatively to the baseline value (13.3% vs 5.3%, 95% CI for the estimated mean difference, 1.4%-14.6%, P = .02 or 8.9% vs 3.7%, 95% CI for the estimated mean difference, 0.2%-10.1%, P = .04, respectively). Topiramate also was associated, significantly more than placebo, with increasing the likelihood of urinary cocaine-free weeks (16.6% vs 5.8%; odds ratio, 3.21; 95% CI, 1.24-8.32; P = .02), as well as decreasing craving and improving observer-rated global functioning (all P &amp;lt; .05).Topiramate is more efficacious than placebo at increasing the mean weekly proportion of cocaine nonuse days and associated measures of clinical improvement among cocaine-dependent individuals.clinicaltrials.gov Identifier: NCT00249691","container-title":"JAMA Psychiatry","DOI":"10.1001/jamapsychiatry.2013.2295","ISSN":"2168-622X","issue":"12","journalAbbreviation":"JAMA Psychiatry","page":"1338-1346","source":"Silverchair","title":"Topiramate for the Treatment of Cocaine Addiction: A Randomized Clinical Trial","title-short":"Topiramate for the Treatment of Cocaine Addiction","volume":"70","author":[{"family":"Johnson","given":"Bankole A."},{"family":"Ait-Daoud","given":"Nassima"},{"family":"Wang","given":"Xin-Qun"},{"family":"Penberthy","given":"J. Kim"},{"family":"Javors","given":"Martin A."},{"family":"Seneviratne","given":"Chamindi"},{"family":"Liu","given":"Lei"}],"issued":{"date-parts":[["2013",12,1]]}}}],"schema":"https://github.com/citation-style-language/schema/raw/master/csl-citation.json"} </w:instrText>
            </w:r>
            <w:r w:rsidR="0012159B" w:rsidRPr="007D4CB3">
              <w:rPr>
                <w:rFonts w:ascii="Times New Roman" w:eastAsia="Times New Roman" w:hAnsi="Times New Roman" w:cs="Times New Roman"/>
              </w:rPr>
              <w:fldChar w:fldCharType="separate"/>
            </w:r>
            <w:r w:rsidR="0012159B" w:rsidRPr="007D4CB3">
              <w:rPr>
                <w:rFonts w:ascii="Times New Roman" w:hAnsi="Times New Roman" w:cs="Times New Roman"/>
                <w:vertAlign w:val="superscript"/>
              </w:rPr>
              <w:t>393</w:t>
            </w:r>
            <w:r w:rsidR="0012159B" w:rsidRPr="007D4CB3">
              <w:rPr>
                <w:rFonts w:ascii="Times New Roman" w:eastAsia="Times New Roman" w:hAnsi="Times New Roman" w:cs="Times New Roman"/>
              </w:rPr>
              <w:fldChar w:fldCharType="end"/>
            </w:r>
            <w:r w:rsidRPr="007D4CB3">
              <w:rPr>
                <w:rFonts w:ascii="Times New Roman" w:eastAsia="Times New Roman" w:hAnsi="Times New Roman" w:cs="Times New Roman"/>
              </w:rPr>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33C302BD"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Topiramate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5B4CD065"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100-150 mg bid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2CE39453"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Cocaine </w:t>
            </w:r>
          </w:p>
        </w:tc>
      </w:tr>
      <w:tr w:rsidR="004E620B" w:rsidRPr="007D4CB3" w14:paraId="53505197" w14:textId="77777777" w:rsidTr="007E7BD7">
        <w:trPr>
          <w:trHeight w:val="490"/>
        </w:trPr>
        <w:tc>
          <w:tcPr>
            <w:tcW w:w="2692" w:type="dxa"/>
            <w:tcBorders>
              <w:top w:val="single" w:sz="6" w:space="0" w:color="000000"/>
              <w:left w:val="single" w:sz="6" w:space="0" w:color="000000"/>
              <w:bottom w:val="single" w:sz="6" w:space="0" w:color="000000"/>
              <w:right w:val="single" w:sz="6" w:space="0" w:color="000000"/>
            </w:tcBorders>
            <w:shd w:val="clear" w:color="auto" w:fill="auto"/>
            <w:hideMark/>
          </w:tcPr>
          <w:p w14:paraId="61515048" w14:textId="1C6CE015"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Kampman et al., 2004</w:t>
            </w:r>
            <w:r w:rsidR="000F0C7D" w:rsidRPr="007D4CB3">
              <w:rPr>
                <w:rFonts w:ascii="Times New Roman" w:eastAsia="Times New Roman" w:hAnsi="Times New Roman" w:cs="Times New Roman"/>
              </w:rPr>
              <w:fldChar w:fldCharType="begin"/>
            </w:r>
            <w:r w:rsidR="000F0C7D" w:rsidRPr="007D4CB3">
              <w:rPr>
                <w:rFonts w:ascii="Times New Roman" w:eastAsia="Times New Roman" w:hAnsi="Times New Roman" w:cs="Times New Roman"/>
              </w:rPr>
              <w:instrText xml:space="preserve"> ADDIN ZOTERO_ITEM CSL_CITATION {"citationID":"nwvbUc16","properties":{"formattedCitation":"\\super 394\\nosupersub{}","plainCitation":"394","noteIndex":0},"citationItems":[{"id":6816,"uris":["http://zotero.org/groups/4862100/items/9C6XZMWH"],"itemData":{"id":6816,"type":"article-journal","container-title":"Drug and Alcohol Dependence","DOI":"10.1016/j.drugalcdep.2004.03.008","ISSN":"03768716","issue":"3","journalAbbreviation":"Drug Alcohol Depend","language":"en","page":"233-240","source":"DOI.org (Crossref)","title":"A pilot trial of topiramate for the treatment of cocaine dependence","volume":"75","author":[{"family":"Kampman","given":"Kyle M"},{"family":"Pettinati","given":"Helen"},{"family":"Lynch","given":"Kevin G"},{"family":"Dackis","given":"Charles"},{"family":"Sparkman","given":"Thorne"},{"family":"Weigley","given":"Catherine"},{"family":"O’Brien","given":"Charles P"}],"issued":{"date-parts":[["2004",9,6]]}}}],"schema":"https://github.com/citation-style-language/schema/raw/master/csl-citation.json"} </w:instrText>
            </w:r>
            <w:r w:rsidR="000F0C7D" w:rsidRPr="007D4CB3">
              <w:rPr>
                <w:rFonts w:ascii="Times New Roman" w:eastAsia="Times New Roman" w:hAnsi="Times New Roman" w:cs="Times New Roman"/>
              </w:rPr>
              <w:fldChar w:fldCharType="separate"/>
            </w:r>
            <w:r w:rsidR="000F0C7D" w:rsidRPr="007D4CB3">
              <w:rPr>
                <w:rFonts w:ascii="Times New Roman" w:hAnsi="Times New Roman" w:cs="Times New Roman"/>
                <w:vertAlign w:val="superscript"/>
              </w:rPr>
              <w:t>394</w:t>
            </w:r>
            <w:r w:rsidR="000F0C7D" w:rsidRPr="007D4CB3">
              <w:rPr>
                <w:rFonts w:ascii="Times New Roman" w:eastAsia="Times New Roman" w:hAnsi="Times New Roman" w:cs="Times New Roman"/>
              </w:rPr>
              <w:fldChar w:fldCharType="end"/>
            </w:r>
            <w:r w:rsidRPr="007D4CB3">
              <w:rPr>
                <w:rFonts w:ascii="Times New Roman" w:eastAsia="Times New Roman" w:hAnsi="Times New Roman" w:cs="Times New Roman"/>
              </w:rPr>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0781CF59"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Topiramate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19FC401B"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200 mg/d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7D341D2D"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Cocaine </w:t>
            </w:r>
          </w:p>
        </w:tc>
      </w:tr>
      <w:tr w:rsidR="004E620B" w:rsidRPr="007D4CB3" w14:paraId="4E379B85" w14:textId="77777777" w:rsidTr="007E7BD7">
        <w:trPr>
          <w:trHeight w:val="490"/>
        </w:trPr>
        <w:tc>
          <w:tcPr>
            <w:tcW w:w="2692" w:type="dxa"/>
            <w:tcBorders>
              <w:top w:val="single" w:sz="6" w:space="0" w:color="000000"/>
              <w:left w:val="single" w:sz="6" w:space="0" w:color="000000"/>
              <w:bottom w:val="single" w:sz="6" w:space="0" w:color="000000"/>
              <w:right w:val="single" w:sz="6" w:space="0" w:color="000000"/>
            </w:tcBorders>
            <w:shd w:val="clear" w:color="auto" w:fill="auto"/>
            <w:hideMark/>
          </w:tcPr>
          <w:p w14:paraId="4B56ECA4" w14:textId="269DB75E"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Kampman et al., 2013</w:t>
            </w:r>
            <w:r w:rsidR="005302BE" w:rsidRPr="007D4CB3">
              <w:rPr>
                <w:rFonts w:ascii="Times New Roman" w:eastAsia="Times New Roman" w:hAnsi="Times New Roman" w:cs="Times New Roman"/>
              </w:rPr>
              <w:fldChar w:fldCharType="begin"/>
            </w:r>
            <w:r w:rsidR="005302BE" w:rsidRPr="007D4CB3">
              <w:rPr>
                <w:rFonts w:ascii="Times New Roman" w:eastAsia="Times New Roman" w:hAnsi="Times New Roman" w:cs="Times New Roman"/>
              </w:rPr>
              <w:instrText xml:space="preserve"> ADDIN ZOTERO_ITEM CSL_CITATION {"citationID":"ZkGPQ24H","properties":{"formattedCitation":"\\super 395\\nosupersub{}","plainCitation":"395","noteIndex":0},"citationItems":[{"id":3004,"uris":["http://zotero.org/groups/4862100/items/R532RTEM"],"itemData":{"id":3004,"type":"article-journal","abstract":"Background\nTopiramate increases GABAergic activity and antagonizes the AMPA/kainate subtype of glutamate receptors. Through these mechanisms of action, topiramate may reduce alcohol and cocaine reward and may reduce alcohol and cocaine craving. Topiramate has been shown to reduce drinking in persons with alcohol dependence, and reduce relapse in stimulant-dependent patients. The current trial was intended to test the ability of topiramate to promote cocaine and alcohol abstinence among patients addicted to both drugs.\nMethods\nThe study was a double-blind, placebo-controlled, 13-week trial involving 170 cocaine and alcohol dependent subjects. After achieving a period of cocaine and alcohol abstinence, subjects were randomized to topiramate, 300mg daily, or identical placebo capsules. In addition, subjects received weekly individual psychotherapy. Primary outcome measures included self-reported alcohol and cocaine use, and thrice weekly urine drug screens. Secondary outcome measures included cocaine and alcohol craving, Addiction Severity Index results, cocaine withdrawal symptoms, and clinical global improvement ratings.\nResults\nTopiramate was not better than placebo in reducing cocaine use on the a priori primary outcome measure, or in reducing alcohol use. Topiramate was not better than placebo in reducing cocaine craving. Topiramate-treated subjects, compared to placebo-treated subjects, were more likely to be retained in treatment and more likely to be abstinent from cocaine during the last three weeks of the trial. Subjects who entered treatment with more severe cocaine withdrawal symptoms responded better to topiramate.\nDiscussion\nTopiramate plus cognitive behavioral therapy may reduce cocaine use for some patients with comorbid cocaine and alcohol dependence.","container-title":"Drug and Alcohol Dependence","DOI":"10.1016/j.drugalcdep.2013.05.026","ISSN":"0376-8716","issue":"1","journalAbbreviation":"Drug and Alcohol Dependence","language":"en","page":"94-99","source":"ScienceDirect","title":"A double-blind, placebo-controlled trial of topiramate for the treatment of comorbid cocaine and alcohol dependence","volume":"133","author":[{"family":"Kampman","given":"Kyle M."},{"family":"Pettinati","given":"Helen M."},{"family":"Lynch","given":"Kevin G."},{"family":"Spratt","given":"Kelly"},{"family":"Wierzbicki","given":"Michael R."},{"family":"O’Brien","given":"Charles P."}],"issued":{"date-parts":[["2013",11,1]]}}}],"schema":"https://github.com/citation-style-language/schema/raw/master/csl-citation.json"} </w:instrText>
            </w:r>
            <w:r w:rsidR="005302BE" w:rsidRPr="007D4CB3">
              <w:rPr>
                <w:rFonts w:ascii="Times New Roman" w:eastAsia="Times New Roman" w:hAnsi="Times New Roman" w:cs="Times New Roman"/>
              </w:rPr>
              <w:fldChar w:fldCharType="separate"/>
            </w:r>
            <w:r w:rsidR="005302BE" w:rsidRPr="007D4CB3">
              <w:rPr>
                <w:rFonts w:ascii="Times New Roman" w:hAnsi="Times New Roman" w:cs="Times New Roman"/>
                <w:vertAlign w:val="superscript"/>
              </w:rPr>
              <w:t>395</w:t>
            </w:r>
            <w:r w:rsidR="005302BE" w:rsidRPr="007D4CB3">
              <w:rPr>
                <w:rFonts w:ascii="Times New Roman" w:eastAsia="Times New Roman" w:hAnsi="Times New Roman" w:cs="Times New Roman"/>
              </w:rPr>
              <w:fldChar w:fldCharType="end"/>
            </w:r>
            <w:r w:rsidRPr="007D4CB3">
              <w:rPr>
                <w:rFonts w:ascii="Times New Roman" w:eastAsia="Times New Roman" w:hAnsi="Times New Roman" w:cs="Times New Roman"/>
              </w:rPr>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60C120CC"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Topiramate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6C142E6A"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150 mg bid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5D457F75"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Cocaine/ Alcohol </w:t>
            </w:r>
          </w:p>
        </w:tc>
      </w:tr>
      <w:tr w:rsidR="004E620B" w:rsidRPr="007D4CB3" w14:paraId="3CBC63C8" w14:textId="77777777" w:rsidTr="007E7BD7">
        <w:trPr>
          <w:trHeight w:val="490"/>
        </w:trPr>
        <w:tc>
          <w:tcPr>
            <w:tcW w:w="2692" w:type="dxa"/>
            <w:tcBorders>
              <w:top w:val="single" w:sz="6" w:space="0" w:color="000000"/>
              <w:left w:val="single" w:sz="6" w:space="0" w:color="000000"/>
              <w:bottom w:val="single" w:sz="6" w:space="0" w:color="000000"/>
              <w:right w:val="single" w:sz="6" w:space="0" w:color="000000"/>
            </w:tcBorders>
            <w:shd w:val="clear" w:color="auto" w:fill="auto"/>
            <w:hideMark/>
          </w:tcPr>
          <w:p w14:paraId="46562C5C" w14:textId="7DEF6F64"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Nuijten et al., 2014</w:t>
            </w:r>
            <w:r w:rsidR="00CD1CC5" w:rsidRPr="007D4CB3">
              <w:rPr>
                <w:rFonts w:ascii="Times New Roman" w:eastAsia="Times New Roman" w:hAnsi="Times New Roman" w:cs="Times New Roman"/>
              </w:rPr>
              <w:fldChar w:fldCharType="begin"/>
            </w:r>
            <w:r w:rsidR="00CD1CC5" w:rsidRPr="007D4CB3">
              <w:rPr>
                <w:rFonts w:ascii="Times New Roman" w:eastAsia="Times New Roman" w:hAnsi="Times New Roman" w:cs="Times New Roman"/>
              </w:rPr>
              <w:instrText xml:space="preserve"> ADDIN ZOTERO_ITEM CSL_CITATION {"citationID":"V9lmhPbB","properties":{"formattedCitation":"\\super 396\\nosupersub{}","plainCitation":"396","noteIndex":0},"citationItems":[{"id":3005,"uris":["http://zotero.org/groups/4862100/items/N7JXQUEK"],"itemData":{"id":3005,"type":"article-journal","abstract":"Background\nCrack-cocaine dependence is a complex disorder with limited treatment options. Topiramate is one of the promising medications with reported reductions in cocaine use and craving in former studies. The present study evaluated the acceptance and effectiveness of topiramate as an add-on to cognitive behavioral therapy (CBT) in crack-cocaine dependent patients.\nMethods\nSeventy-four crack-cocaine dependent outpatients participated in an open-label, randomized feasibility trial. They were randomized to receive either 12-week CBT plus topiramate (200mg/day) or 12-week CBT only. The primary outcome measure was treatment retention. Secondary outcomes included medication adherence, safety, cocaine and other substance use, health, social functioning, and patient satisfaction.\nResults\nAdherence to topiramate treatment was low. In the intent-to-treat analyses, topiramate neither improved treatment retention nor reduced cocaine and other substance use. Post hoc, exploratory analyses suggested a moderation effect of comorbid opioid dependence, with a significant effect of topiramate on cocaine use reduction only in crack-cocaine dependent patients with comorbid opioid dependence.\nConclusions\nTopiramate was safe and well-tolerated in this sample of crack-cocaine dependent patients, but efficacy was not supported probably due to low acceptance of the treatment. Given the equivocal results of previous studies and the negative findings in our study, the potential of topiramate in the treatment of cocaine dependence seems limited.","container-title":"Drug and Alcohol Dependence","DOI":"10.1016/j.drugalcdep.2014.02.024","ISSN":"0376-8716","journalAbbreviation":"Drug and Alcohol Dependence","language":"en","page":"177-184","source":"ScienceDirect","title":"Treatment of crack-cocaine dependence with topiramate: A randomized controlled feasibility trial in The Netherlands","title-short":"Treatment of crack-cocaine dependence with topiramate","volume":"138","author":[{"family":"Nuijten","given":"Mascha"},{"family":"Blanken","given":"Peter"},{"family":"Brink","given":"Wim","non-dropping-particle":"van den"},{"family":"Hendriks","given":"Vincent"}],"issued":{"date-parts":[["2014",5,1]]}}}],"schema":"https://github.com/citation-style-language/schema/raw/master/csl-citation.json"} </w:instrText>
            </w:r>
            <w:r w:rsidR="00CD1CC5" w:rsidRPr="007D4CB3">
              <w:rPr>
                <w:rFonts w:ascii="Times New Roman" w:eastAsia="Times New Roman" w:hAnsi="Times New Roman" w:cs="Times New Roman"/>
              </w:rPr>
              <w:fldChar w:fldCharType="separate"/>
            </w:r>
            <w:r w:rsidR="00CD1CC5" w:rsidRPr="007D4CB3">
              <w:rPr>
                <w:rFonts w:ascii="Times New Roman" w:hAnsi="Times New Roman" w:cs="Times New Roman"/>
                <w:vertAlign w:val="superscript"/>
              </w:rPr>
              <w:t>396</w:t>
            </w:r>
            <w:r w:rsidR="00CD1CC5" w:rsidRPr="007D4CB3">
              <w:rPr>
                <w:rFonts w:ascii="Times New Roman" w:eastAsia="Times New Roman" w:hAnsi="Times New Roman" w:cs="Times New Roman"/>
              </w:rPr>
              <w:fldChar w:fldCharType="end"/>
            </w:r>
            <w:r w:rsidRPr="007D4CB3">
              <w:rPr>
                <w:rFonts w:ascii="Times New Roman" w:eastAsia="Times New Roman" w:hAnsi="Times New Roman" w:cs="Times New Roman"/>
              </w:rPr>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72F0A69A"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Topiramate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15345257"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200 mg/d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134798C4"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Cocaine </w:t>
            </w:r>
          </w:p>
        </w:tc>
      </w:tr>
      <w:tr w:rsidR="004E620B" w:rsidRPr="007D4CB3" w14:paraId="0C9D4D9F" w14:textId="77777777" w:rsidTr="007E7BD7">
        <w:trPr>
          <w:trHeight w:val="490"/>
        </w:trPr>
        <w:tc>
          <w:tcPr>
            <w:tcW w:w="2692" w:type="dxa"/>
            <w:tcBorders>
              <w:top w:val="single" w:sz="6" w:space="0" w:color="000000"/>
              <w:left w:val="single" w:sz="6" w:space="0" w:color="000000"/>
              <w:bottom w:val="single" w:sz="6" w:space="0" w:color="000000"/>
              <w:right w:val="single" w:sz="6" w:space="0" w:color="000000"/>
            </w:tcBorders>
            <w:shd w:val="clear" w:color="auto" w:fill="auto"/>
            <w:hideMark/>
          </w:tcPr>
          <w:p w14:paraId="224CBB90" w14:textId="4C33F59D"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Rezaei et al, 2016</w:t>
            </w:r>
            <w:r w:rsidR="004F6118" w:rsidRPr="007D4CB3">
              <w:rPr>
                <w:rFonts w:ascii="Times New Roman" w:eastAsia="Times New Roman" w:hAnsi="Times New Roman" w:cs="Times New Roman"/>
              </w:rPr>
              <w:fldChar w:fldCharType="begin"/>
            </w:r>
            <w:r w:rsidR="004F6118" w:rsidRPr="007D4CB3">
              <w:rPr>
                <w:rFonts w:ascii="Times New Roman" w:eastAsia="Times New Roman" w:hAnsi="Times New Roman" w:cs="Times New Roman"/>
              </w:rPr>
              <w:instrText xml:space="preserve"> ADDIN ZOTERO_ITEM CSL_CITATION {"citationID":"PxamAAms","properties":{"formattedCitation":"\\super 397\\nosupersub{}","plainCitation":"397","noteIndex":0},"citationItems":[{"id":2999,"uris":["http://zotero.org/groups/4862100/items/KDFA34XU"],"itemData":{"id":2999,"type":"article-journal","abstract":"To date, no medication has been approved as an effective treatment for methamphetamine dependence. Topiramate has attracted considerable attention as a treatment for the dependence on alcohol and stimulants. Therefore, this study aimed to evaluate the effect of topiramate for methamphetamine dependence. This study was a double-blind, randomized, placebo-controlled trial. In the present investigation, 62 methamphetamine-dependent adults were enrolled and randomized into two groups, and received topiramate or a placebo for 10 weeks in escalating doses from 50 mg/day to the target maintenance dose of 200 mg/day. Addiction severity index (ASI) and craving scores were registered every week. The Beck questionnaire was also given to each participant at baseline and every 2 weeks during the treatment. Urine samples were collected at baseline and every 2 weeks during the treatment. Fifty-seven patients completed 10 weeks of the trial. There was no significant difference between both groups in the mean percentage of prescribed capsules taken by the participants. At week six, the topiramate group showed a significantly lower proportion of methamphetamine-positive urine tests in comparison with the placebo group (P = 0.01). In addition, there were significantly lower scores in the topiramate group in comparison with the placebo group in two domains of ASI: drug use severity (P &lt; 0.001) and drug need (P &lt; 0.001). Furthermore, the craving score (duration) significantly declined in the topiramate patients compared to those receiving the placebo. In conclusion, the results of this trial suggest that topiramate may be beneficial for the treatment of methamphetamine dependence.","container-title":"Fundamental &amp; Clinical Pharmacology","DOI":"10.1111/fcp.12178","ISSN":"1472-8206","issue":"3","language":"en","note":"_eprint: https://onlinelibrary.wiley.com/doi/pdf/10.1111/fcp.12178","page":"282-289","source":"Wiley Online Library","title":"Topiramate for the management of methamphetamine dependence: a pilot randomized, double-blind, placebo-controlled trial","title-short":"Topiramate for the management of methamphetamine dependence","volume":"30","author":[{"family":"Rezaei","given":"Farzin"},{"family":"Ghaderi","given":"Ebrahim"},{"family":"Mardani","given":"Roya"},{"family":"Hamidi","given":"Seiran"},{"family":"Hassanzadeh","given":"Kambiz"}],"issued":{"date-parts":[["2016"]]}}}],"schema":"https://github.com/citation-style-language/schema/raw/master/csl-citation.json"} </w:instrText>
            </w:r>
            <w:r w:rsidR="004F6118" w:rsidRPr="007D4CB3">
              <w:rPr>
                <w:rFonts w:ascii="Times New Roman" w:eastAsia="Times New Roman" w:hAnsi="Times New Roman" w:cs="Times New Roman"/>
              </w:rPr>
              <w:fldChar w:fldCharType="separate"/>
            </w:r>
            <w:r w:rsidR="004F6118" w:rsidRPr="007D4CB3">
              <w:rPr>
                <w:rFonts w:ascii="Times New Roman" w:hAnsi="Times New Roman" w:cs="Times New Roman"/>
                <w:vertAlign w:val="superscript"/>
              </w:rPr>
              <w:t>397</w:t>
            </w:r>
            <w:r w:rsidR="004F6118" w:rsidRPr="007D4CB3">
              <w:rPr>
                <w:rFonts w:ascii="Times New Roman" w:eastAsia="Times New Roman" w:hAnsi="Times New Roman" w:cs="Times New Roman"/>
              </w:rPr>
              <w:fldChar w:fldCharType="end"/>
            </w:r>
            <w:r w:rsidRPr="007D4CB3">
              <w:rPr>
                <w:rFonts w:ascii="Times New Roman" w:eastAsia="Times New Roman" w:hAnsi="Times New Roman" w:cs="Times New Roman"/>
              </w:rPr>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74C436DC"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Topiramate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267994ED"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200 mg/d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21531D71"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Methamphetamine </w:t>
            </w:r>
          </w:p>
        </w:tc>
      </w:tr>
      <w:tr w:rsidR="004E620B" w:rsidRPr="007D4CB3" w14:paraId="01574F92" w14:textId="77777777" w:rsidTr="007E7BD7">
        <w:trPr>
          <w:trHeight w:val="490"/>
        </w:trPr>
        <w:tc>
          <w:tcPr>
            <w:tcW w:w="2692" w:type="dxa"/>
            <w:tcBorders>
              <w:top w:val="single" w:sz="6" w:space="0" w:color="000000"/>
              <w:left w:val="single" w:sz="6" w:space="0" w:color="000000"/>
              <w:bottom w:val="single" w:sz="6" w:space="0" w:color="000000"/>
              <w:right w:val="single" w:sz="6" w:space="0" w:color="000000"/>
            </w:tcBorders>
            <w:shd w:val="clear" w:color="auto" w:fill="auto"/>
            <w:hideMark/>
          </w:tcPr>
          <w:p w14:paraId="09B790E0" w14:textId="0CF5A56C"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Umbricht et al., 2014</w:t>
            </w:r>
            <w:r w:rsidR="00EF4BE7" w:rsidRPr="007D4CB3">
              <w:rPr>
                <w:rFonts w:ascii="Times New Roman" w:eastAsia="Times New Roman" w:hAnsi="Times New Roman" w:cs="Times New Roman"/>
              </w:rPr>
              <w:fldChar w:fldCharType="begin"/>
            </w:r>
            <w:r w:rsidR="00EF4BE7" w:rsidRPr="007D4CB3">
              <w:rPr>
                <w:rFonts w:ascii="Times New Roman" w:eastAsia="Times New Roman" w:hAnsi="Times New Roman" w:cs="Times New Roman"/>
              </w:rPr>
              <w:instrText xml:space="preserve"> ADDIN ZOTERO_ITEM CSL_CITATION {"citationID":"xlkWMIEA","properties":{"formattedCitation":"\\super 398\\nosupersub{}","plainCitation":"398","noteIndex":0},"citationItems":[{"id":2659,"uris":["http://zotero.org/groups/4862100/items/DT3U4INZ"],"itemData":{"id":2659,"type":"article-journal","container-title":"Drug and Alcohol Dependence","DOI":"10.1016/j.drugalcdep.2014.03.033","ISSN":"03768716","journalAbbreviation":"Drug and Alcohol Dependence","language":"en","page":"92-100","source":"DOI.org (Crossref)","title":"Topiramate for cocaine dependence during methadone maintenance treatment: A randomized controlled trial","title-short":"Topiramate for cocaine dependence during methadone maintenance treatment","volume":"140","author":[{"family":"Umbricht","given":"Annie"},{"family":"DeFulio","given":"Anthony"},{"family":"Winstanley","given":"Erin L."},{"family":"Tompkins","given":"D. Andrew"},{"family":"Peirce","given":"Jessica"},{"family":"Mintzer","given":"Miriam Z."},{"family":"Strain","given":"Eric C."},{"family":"Bigelow","given":"George E."}],"issued":{"date-parts":[["2014",7]]}}}],"schema":"https://github.com/citation-style-language/schema/raw/master/csl-citation.json"} </w:instrText>
            </w:r>
            <w:r w:rsidR="00EF4BE7" w:rsidRPr="007D4CB3">
              <w:rPr>
                <w:rFonts w:ascii="Times New Roman" w:eastAsia="Times New Roman" w:hAnsi="Times New Roman" w:cs="Times New Roman"/>
              </w:rPr>
              <w:fldChar w:fldCharType="separate"/>
            </w:r>
            <w:r w:rsidR="00EF4BE7" w:rsidRPr="007D4CB3">
              <w:rPr>
                <w:rFonts w:ascii="Times New Roman" w:hAnsi="Times New Roman" w:cs="Times New Roman"/>
                <w:vertAlign w:val="superscript"/>
              </w:rPr>
              <w:t>398</w:t>
            </w:r>
            <w:r w:rsidR="00EF4BE7" w:rsidRPr="007D4CB3">
              <w:rPr>
                <w:rFonts w:ascii="Times New Roman" w:eastAsia="Times New Roman" w:hAnsi="Times New Roman" w:cs="Times New Roman"/>
              </w:rPr>
              <w:fldChar w:fldCharType="end"/>
            </w:r>
            <w:r w:rsidRPr="007D4CB3">
              <w:rPr>
                <w:rFonts w:ascii="Times New Roman" w:eastAsia="Times New Roman" w:hAnsi="Times New Roman" w:cs="Times New Roman"/>
              </w:rPr>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623D991F"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Topiramate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7028197E"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150 mg bid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4D66F1CE" w14:textId="77777777" w:rsidR="00E43B12" w:rsidRPr="007D4CB3" w:rsidRDefault="00E43B12" w:rsidP="00FC7CE6">
            <w:pPr>
              <w:spacing w:before="0" w:after="0" w:line="360" w:lineRule="auto"/>
              <w:textAlignment w:val="baseline"/>
              <w:rPr>
                <w:rFonts w:ascii="Times New Roman" w:eastAsia="Times New Roman" w:hAnsi="Times New Roman" w:cs="Times New Roman"/>
              </w:rPr>
            </w:pPr>
            <w:r w:rsidRPr="007D4CB3">
              <w:rPr>
                <w:rFonts w:ascii="Times New Roman" w:eastAsia="Times New Roman" w:hAnsi="Times New Roman" w:cs="Times New Roman"/>
              </w:rPr>
              <w:t>Cocaine/ Opioid </w:t>
            </w:r>
          </w:p>
        </w:tc>
      </w:tr>
    </w:tbl>
    <w:p w14:paraId="2325FF5B" w14:textId="531B6D7E" w:rsidR="00107741" w:rsidRPr="007D4CB3" w:rsidRDefault="00D100D4" w:rsidP="00FC7CE6">
      <w:pPr>
        <w:spacing w:before="0" w:after="0" w:line="360" w:lineRule="auto"/>
        <w:ind w:left="360"/>
        <w:rPr>
          <w:rFonts w:ascii="Times New Roman" w:hAnsi="Times New Roman" w:cs="Times New Roman"/>
          <w:b/>
          <w:bCs/>
        </w:rPr>
      </w:pPr>
      <w:r w:rsidRPr="007D4CB3">
        <w:rPr>
          <w:rStyle w:val="normaltextrun"/>
          <w:rFonts w:ascii="Times New Roman" w:hAnsi="Times New Roman" w:cs="Times New Roman"/>
          <w:color w:val="000000"/>
          <w:shd w:val="clear" w:color="auto" w:fill="FFFFFF"/>
        </w:rPr>
        <w:t>B</w:t>
      </w:r>
      <w:r w:rsidR="002578FC" w:rsidRPr="007D4CB3">
        <w:rPr>
          <w:rStyle w:val="normaltextrun"/>
          <w:rFonts w:ascii="Times New Roman" w:hAnsi="Times New Roman" w:cs="Times New Roman"/>
          <w:color w:val="000000"/>
          <w:shd w:val="clear" w:color="auto" w:fill="FFFFFF"/>
        </w:rPr>
        <w:t>id</w:t>
      </w:r>
      <w:r w:rsidRPr="007D4CB3">
        <w:rPr>
          <w:rStyle w:val="normaltextrun"/>
          <w:rFonts w:ascii="Times New Roman" w:hAnsi="Times New Roman" w:cs="Times New Roman"/>
          <w:color w:val="000000"/>
          <w:shd w:val="clear" w:color="auto" w:fill="FFFFFF"/>
        </w:rPr>
        <w:t>,</w:t>
      </w:r>
      <w:r w:rsidR="002578FC" w:rsidRPr="007D4CB3">
        <w:rPr>
          <w:rStyle w:val="normaltextrun"/>
          <w:rFonts w:ascii="Times New Roman" w:hAnsi="Times New Roman" w:cs="Times New Roman"/>
          <w:color w:val="000000"/>
          <w:shd w:val="clear" w:color="auto" w:fill="FFFFFF"/>
        </w:rPr>
        <w:t xml:space="preserve"> twice a day</w:t>
      </w:r>
      <w:r w:rsidRPr="007D4CB3">
        <w:rPr>
          <w:rStyle w:val="normaltextrun"/>
          <w:rFonts w:ascii="Times New Roman" w:hAnsi="Times New Roman" w:cs="Times New Roman"/>
          <w:color w:val="000000"/>
          <w:shd w:val="clear" w:color="auto" w:fill="FFFFFF"/>
        </w:rPr>
        <w:t>;</w:t>
      </w:r>
      <w:r w:rsidR="002578FC" w:rsidRPr="007D4CB3">
        <w:rPr>
          <w:rStyle w:val="normaltextrun"/>
          <w:rFonts w:ascii="Times New Roman" w:hAnsi="Times New Roman" w:cs="Times New Roman"/>
          <w:color w:val="000000"/>
          <w:shd w:val="clear" w:color="auto" w:fill="FFFFFF"/>
        </w:rPr>
        <w:t xml:space="preserve"> ER</w:t>
      </w:r>
      <w:r w:rsidRPr="007D4CB3">
        <w:rPr>
          <w:rStyle w:val="normaltextrun"/>
          <w:rFonts w:ascii="Times New Roman" w:hAnsi="Times New Roman" w:cs="Times New Roman"/>
          <w:color w:val="000000"/>
          <w:shd w:val="clear" w:color="auto" w:fill="FFFFFF"/>
        </w:rPr>
        <w:t>,</w:t>
      </w:r>
      <w:r w:rsidR="002578FC" w:rsidRPr="007D4CB3">
        <w:rPr>
          <w:rStyle w:val="normaltextrun"/>
          <w:rFonts w:ascii="Times New Roman" w:hAnsi="Times New Roman" w:cs="Times New Roman"/>
          <w:color w:val="000000"/>
          <w:shd w:val="clear" w:color="auto" w:fill="FFFFFF"/>
        </w:rPr>
        <w:t xml:space="preserve"> extended-release</w:t>
      </w:r>
      <w:r w:rsidRPr="007D4CB3">
        <w:rPr>
          <w:rStyle w:val="normaltextrun"/>
          <w:rFonts w:ascii="Times New Roman" w:hAnsi="Times New Roman" w:cs="Times New Roman"/>
          <w:color w:val="000000"/>
          <w:shd w:val="clear" w:color="auto" w:fill="FFFFFF"/>
        </w:rPr>
        <w:t>;</w:t>
      </w:r>
      <w:r w:rsidR="002578FC" w:rsidRPr="007D4CB3">
        <w:rPr>
          <w:rStyle w:val="normaltextrun"/>
          <w:rFonts w:ascii="Times New Roman" w:hAnsi="Times New Roman" w:cs="Times New Roman"/>
          <w:color w:val="000000"/>
          <w:shd w:val="clear" w:color="auto" w:fill="FFFFFF"/>
        </w:rPr>
        <w:t xml:space="preserve"> SR</w:t>
      </w:r>
      <w:r w:rsidRPr="007D4CB3">
        <w:rPr>
          <w:rStyle w:val="normaltextrun"/>
          <w:rFonts w:ascii="Times New Roman" w:hAnsi="Times New Roman" w:cs="Times New Roman"/>
          <w:color w:val="000000"/>
          <w:shd w:val="clear" w:color="auto" w:fill="FFFFFF"/>
        </w:rPr>
        <w:t>,</w:t>
      </w:r>
      <w:r w:rsidR="002578FC" w:rsidRPr="007D4CB3">
        <w:rPr>
          <w:rStyle w:val="normaltextrun"/>
          <w:rFonts w:ascii="Times New Roman" w:hAnsi="Times New Roman" w:cs="Times New Roman"/>
          <w:color w:val="000000"/>
          <w:shd w:val="clear" w:color="auto" w:fill="FFFFFF"/>
        </w:rPr>
        <w:t xml:space="preserve"> sustained release</w:t>
      </w:r>
      <w:r w:rsidRPr="007D4CB3">
        <w:rPr>
          <w:rStyle w:val="normaltextrun"/>
          <w:rFonts w:ascii="Times New Roman" w:hAnsi="Times New Roman" w:cs="Times New Roman"/>
          <w:color w:val="000000"/>
          <w:shd w:val="clear" w:color="auto" w:fill="FFFFFF"/>
        </w:rPr>
        <w:t>;</w:t>
      </w:r>
      <w:r w:rsidR="002578FC" w:rsidRPr="007D4CB3">
        <w:rPr>
          <w:rStyle w:val="normaltextrun"/>
          <w:rFonts w:ascii="Times New Roman" w:hAnsi="Times New Roman" w:cs="Times New Roman"/>
          <w:color w:val="000000"/>
          <w:shd w:val="clear" w:color="auto" w:fill="FFFFFF"/>
        </w:rPr>
        <w:t xml:space="preserve"> tid</w:t>
      </w:r>
      <w:r w:rsidR="00ED3B9B" w:rsidRPr="007D4CB3">
        <w:rPr>
          <w:rStyle w:val="normaltextrun"/>
          <w:rFonts w:ascii="Times New Roman" w:hAnsi="Times New Roman" w:cs="Times New Roman"/>
          <w:color w:val="000000"/>
          <w:shd w:val="clear" w:color="auto" w:fill="FFFFFF"/>
        </w:rPr>
        <w:t>,</w:t>
      </w:r>
      <w:r w:rsidR="002578FC" w:rsidRPr="007D4CB3">
        <w:rPr>
          <w:rStyle w:val="normaltextrun"/>
          <w:rFonts w:ascii="Times New Roman" w:hAnsi="Times New Roman" w:cs="Times New Roman"/>
          <w:color w:val="000000"/>
          <w:shd w:val="clear" w:color="auto" w:fill="FFFFFF"/>
        </w:rPr>
        <w:t xml:space="preserve"> three times a day</w:t>
      </w:r>
      <w:r w:rsidR="00ED3B9B" w:rsidRPr="007D4CB3">
        <w:rPr>
          <w:rStyle w:val="normaltextrun"/>
          <w:rFonts w:ascii="Times New Roman" w:hAnsi="Times New Roman" w:cs="Times New Roman"/>
          <w:color w:val="000000"/>
          <w:shd w:val="clear" w:color="auto" w:fill="FFFFFF"/>
        </w:rPr>
        <w:t>;</w:t>
      </w:r>
      <w:r w:rsidR="002578FC" w:rsidRPr="007D4CB3">
        <w:rPr>
          <w:rStyle w:val="normaltextrun"/>
          <w:rFonts w:ascii="Times New Roman" w:hAnsi="Times New Roman" w:cs="Times New Roman"/>
          <w:color w:val="000000"/>
          <w:shd w:val="clear" w:color="auto" w:fill="FFFFFF"/>
        </w:rPr>
        <w:t xml:space="preserve"> XL extended-release</w:t>
      </w:r>
      <w:r w:rsidR="00107741" w:rsidRPr="007D4CB3">
        <w:rPr>
          <w:rFonts w:ascii="Times New Roman" w:hAnsi="Times New Roman" w:cs="Times New Roman"/>
        </w:rPr>
        <w:br w:type="page"/>
      </w:r>
    </w:p>
    <w:p w14:paraId="351747E5" w14:textId="56F22944" w:rsidR="002D3858" w:rsidRPr="007D4CB3" w:rsidRDefault="002D3858" w:rsidP="00FC7CE6">
      <w:pPr>
        <w:pStyle w:val="Heading1"/>
        <w:spacing w:before="0" w:after="0" w:line="360" w:lineRule="auto"/>
        <w:rPr>
          <w:rFonts w:ascii="Times New Roman" w:hAnsi="Times New Roman" w:cs="Times New Roman"/>
          <w:sz w:val="24"/>
          <w:szCs w:val="24"/>
        </w:rPr>
      </w:pPr>
      <w:r w:rsidRPr="007D4CB3">
        <w:rPr>
          <w:rFonts w:ascii="Times New Roman" w:hAnsi="Times New Roman" w:cs="Times New Roman"/>
          <w:sz w:val="24"/>
          <w:szCs w:val="24"/>
        </w:rPr>
        <w:lastRenderedPageBreak/>
        <w:t xml:space="preserve">Appendix </w:t>
      </w:r>
      <w:r w:rsidR="001C37D3" w:rsidRPr="007D4CB3">
        <w:rPr>
          <w:rFonts w:ascii="Times New Roman" w:hAnsi="Times New Roman" w:cs="Times New Roman"/>
          <w:sz w:val="24"/>
          <w:szCs w:val="24"/>
        </w:rPr>
        <w:t>L</w:t>
      </w:r>
      <w:r w:rsidRPr="007D4CB3">
        <w:rPr>
          <w:rFonts w:ascii="Times New Roman" w:hAnsi="Times New Roman" w:cs="Times New Roman"/>
          <w:sz w:val="24"/>
          <w:szCs w:val="24"/>
        </w:rPr>
        <w:t xml:space="preserve">. Acute Issues and </w:t>
      </w:r>
      <w:r w:rsidR="00522488" w:rsidRPr="007D4CB3">
        <w:rPr>
          <w:rFonts w:ascii="Times New Roman" w:hAnsi="Times New Roman" w:cs="Times New Roman"/>
          <w:sz w:val="24"/>
          <w:szCs w:val="24"/>
        </w:rPr>
        <w:t>C</w:t>
      </w:r>
      <w:r w:rsidRPr="007D4CB3">
        <w:rPr>
          <w:rFonts w:ascii="Times New Roman" w:hAnsi="Times New Roman" w:cs="Times New Roman"/>
          <w:sz w:val="24"/>
          <w:szCs w:val="24"/>
        </w:rPr>
        <w:t xml:space="preserve">omplications of </w:t>
      </w:r>
      <w:r w:rsidR="00522488" w:rsidRPr="007D4CB3">
        <w:rPr>
          <w:rFonts w:ascii="Times New Roman" w:hAnsi="Times New Roman" w:cs="Times New Roman"/>
          <w:sz w:val="24"/>
          <w:szCs w:val="24"/>
        </w:rPr>
        <w:t>S</w:t>
      </w:r>
      <w:r w:rsidRPr="007D4CB3">
        <w:rPr>
          <w:rFonts w:ascii="Times New Roman" w:hAnsi="Times New Roman" w:cs="Times New Roman"/>
          <w:sz w:val="24"/>
          <w:szCs w:val="24"/>
        </w:rPr>
        <w:t xml:space="preserve">timulant </w:t>
      </w:r>
      <w:r w:rsidR="00522488" w:rsidRPr="007D4CB3">
        <w:rPr>
          <w:rFonts w:ascii="Times New Roman" w:hAnsi="Times New Roman" w:cs="Times New Roman"/>
          <w:sz w:val="24"/>
          <w:szCs w:val="24"/>
        </w:rPr>
        <w:t>I</w:t>
      </w:r>
      <w:r w:rsidRPr="007D4CB3">
        <w:rPr>
          <w:rFonts w:ascii="Times New Roman" w:hAnsi="Times New Roman" w:cs="Times New Roman"/>
          <w:sz w:val="24"/>
          <w:szCs w:val="24"/>
        </w:rPr>
        <w:t xml:space="preserve">ntoxication and </w:t>
      </w:r>
      <w:r w:rsidR="00522488" w:rsidRPr="007D4CB3">
        <w:rPr>
          <w:rFonts w:ascii="Times New Roman" w:hAnsi="Times New Roman" w:cs="Times New Roman"/>
          <w:sz w:val="24"/>
          <w:szCs w:val="24"/>
        </w:rPr>
        <w:t>W</w:t>
      </w:r>
      <w:r w:rsidRPr="007D4CB3">
        <w:rPr>
          <w:rFonts w:ascii="Times New Roman" w:hAnsi="Times New Roman" w:cs="Times New Roman"/>
          <w:sz w:val="24"/>
          <w:szCs w:val="24"/>
        </w:rPr>
        <w:t>ithdrawal</w:t>
      </w:r>
      <w:bookmarkEnd w:id="25"/>
    </w:p>
    <w:p w14:paraId="592DEC83" w14:textId="54F3165B" w:rsidR="002D3858" w:rsidRPr="007D4CB3" w:rsidRDefault="002D3858" w:rsidP="00FC7CE6">
      <w:pPr>
        <w:spacing w:before="0" w:after="0" w:line="360" w:lineRule="auto"/>
        <w:rPr>
          <w:rStyle w:val="Strong"/>
          <w:rFonts w:ascii="Times New Roman" w:hAnsi="Times New Roman" w:cs="Times New Roman"/>
          <w:b w:val="0"/>
        </w:rPr>
      </w:pPr>
      <w:r w:rsidRPr="007D4CB3">
        <w:rPr>
          <w:rStyle w:val="Strong"/>
          <w:rFonts w:ascii="Times New Roman" w:hAnsi="Times New Roman" w:cs="Times New Roman"/>
          <w:b w:val="0"/>
        </w:rPr>
        <w:t xml:space="preserve">Acute issues and complications of stimulant intoxication and withdrawal include but </w:t>
      </w:r>
      <w:proofErr w:type="gramStart"/>
      <w:r w:rsidRPr="007D4CB3">
        <w:rPr>
          <w:rStyle w:val="Strong"/>
          <w:rFonts w:ascii="Times New Roman" w:hAnsi="Times New Roman" w:cs="Times New Roman"/>
          <w:b w:val="0"/>
        </w:rPr>
        <w:t>are not limited</w:t>
      </w:r>
      <w:proofErr w:type="gramEnd"/>
      <w:r w:rsidRPr="007D4CB3">
        <w:rPr>
          <w:rStyle w:val="Strong"/>
          <w:rFonts w:ascii="Times New Roman" w:hAnsi="Times New Roman" w:cs="Times New Roman"/>
          <w:b w:val="0"/>
        </w:rPr>
        <w:t xml:space="preserve"> to:</w:t>
      </w:r>
    </w:p>
    <w:p w14:paraId="51D75300" w14:textId="4DC58E14" w:rsidR="002D3858" w:rsidRPr="007D4CB3" w:rsidRDefault="00C9044F"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e</w:t>
      </w:r>
      <w:r w:rsidR="002D3858" w:rsidRPr="007D4CB3">
        <w:rPr>
          <w:rFonts w:ascii="Times New Roman" w:hAnsi="Times New Roman" w:cs="Times New Roman"/>
        </w:rPr>
        <w:t>lectrolyte and fluid imbalance</w:t>
      </w:r>
      <w:r w:rsidRPr="007D4CB3">
        <w:rPr>
          <w:rFonts w:ascii="Times New Roman" w:hAnsi="Times New Roman" w:cs="Times New Roman"/>
        </w:rPr>
        <w:t>s</w:t>
      </w:r>
      <w:r w:rsidR="002D3858" w:rsidRPr="007D4CB3">
        <w:rPr>
          <w:rFonts w:ascii="Times New Roman" w:hAnsi="Times New Roman" w:cs="Times New Roman"/>
        </w:rPr>
        <w:t xml:space="preserve"> </w:t>
      </w:r>
      <w:r w:rsidRPr="007D4CB3">
        <w:rPr>
          <w:rFonts w:ascii="Times New Roman" w:hAnsi="Times New Roman" w:cs="Times New Roman"/>
        </w:rPr>
        <w:t>(</w:t>
      </w:r>
      <w:r w:rsidR="002928C5" w:rsidRPr="007D4CB3">
        <w:rPr>
          <w:rFonts w:ascii="Times New Roman" w:hAnsi="Times New Roman" w:cs="Times New Roman"/>
        </w:rPr>
        <w:t>e.g.</w:t>
      </w:r>
      <w:r w:rsidR="00CF4DF0" w:rsidRPr="007D4CB3">
        <w:rPr>
          <w:rFonts w:ascii="Times New Roman" w:hAnsi="Times New Roman" w:cs="Times New Roman"/>
        </w:rPr>
        <w:t>, d</w:t>
      </w:r>
      <w:r w:rsidR="002D3858" w:rsidRPr="007D4CB3">
        <w:rPr>
          <w:rFonts w:ascii="Times New Roman" w:hAnsi="Times New Roman" w:cs="Times New Roman"/>
        </w:rPr>
        <w:t>ehydration, acidosis, hyperkalemia, hyponatremia</w:t>
      </w:r>
      <w:r w:rsidR="00CF4DF0" w:rsidRPr="007D4CB3">
        <w:rPr>
          <w:rFonts w:ascii="Times New Roman" w:hAnsi="Times New Roman" w:cs="Times New Roman"/>
        </w:rPr>
        <w:t>)</w:t>
      </w:r>
      <w:r w:rsidR="003C7BA6" w:rsidRPr="007D4CB3">
        <w:rPr>
          <w:rFonts w:ascii="Times New Roman" w:hAnsi="Times New Roman" w:cs="Times New Roman"/>
        </w:rPr>
        <w:t>;</w:t>
      </w:r>
    </w:p>
    <w:p w14:paraId="4C98190A" w14:textId="2A8DB1C3" w:rsidR="002D3858" w:rsidRPr="007D4CB3" w:rsidRDefault="003C7BA6"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h</w:t>
      </w:r>
      <w:r w:rsidR="002D3858" w:rsidRPr="007D4CB3">
        <w:rPr>
          <w:rFonts w:ascii="Times New Roman" w:hAnsi="Times New Roman" w:cs="Times New Roman"/>
        </w:rPr>
        <w:t>yperthermia</w:t>
      </w:r>
      <w:r w:rsidRPr="007D4CB3">
        <w:rPr>
          <w:rFonts w:ascii="Times New Roman" w:hAnsi="Times New Roman" w:cs="Times New Roman"/>
        </w:rPr>
        <w:t>;</w:t>
      </w:r>
    </w:p>
    <w:p w14:paraId="02058002" w14:textId="18E95F9B" w:rsidR="002D3858" w:rsidRPr="007D4CB3" w:rsidRDefault="003C7BA6"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a</w:t>
      </w:r>
      <w:r w:rsidR="002D3858" w:rsidRPr="007D4CB3">
        <w:rPr>
          <w:rFonts w:ascii="Times New Roman" w:hAnsi="Times New Roman" w:cs="Times New Roman"/>
        </w:rPr>
        <w:t>gitation</w:t>
      </w:r>
      <w:r w:rsidRPr="007D4CB3">
        <w:rPr>
          <w:rFonts w:ascii="Times New Roman" w:hAnsi="Times New Roman" w:cs="Times New Roman"/>
        </w:rPr>
        <w:t>;</w:t>
      </w:r>
    </w:p>
    <w:p w14:paraId="280C8B5E" w14:textId="4C058803" w:rsidR="002D3858" w:rsidRPr="007D4CB3" w:rsidRDefault="003C7BA6"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p</w:t>
      </w:r>
      <w:r w:rsidR="002D3858" w:rsidRPr="007D4CB3">
        <w:rPr>
          <w:rFonts w:ascii="Times New Roman" w:hAnsi="Times New Roman" w:cs="Times New Roman"/>
        </w:rPr>
        <w:t>sychosis</w:t>
      </w:r>
      <w:r w:rsidRPr="007D4CB3">
        <w:rPr>
          <w:rFonts w:ascii="Times New Roman" w:hAnsi="Times New Roman" w:cs="Times New Roman"/>
        </w:rPr>
        <w:t>;</w:t>
      </w:r>
    </w:p>
    <w:p w14:paraId="044B694D" w14:textId="0B37FC3F" w:rsidR="002D3858" w:rsidRPr="007D4CB3" w:rsidRDefault="003C7BA6"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c</w:t>
      </w:r>
      <w:r w:rsidR="002D3858" w:rsidRPr="007D4CB3">
        <w:rPr>
          <w:rFonts w:ascii="Times New Roman" w:hAnsi="Times New Roman" w:cs="Times New Roman"/>
        </w:rPr>
        <w:t xml:space="preserve">ardiovascular dysfunction such as cardiac </w:t>
      </w:r>
      <w:r w:rsidR="00611EE5" w:rsidRPr="007D4CB3">
        <w:rPr>
          <w:rFonts w:ascii="Times New Roman" w:hAnsi="Times New Roman" w:cs="Times New Roman"/>
        </w:rPr>
        <w:t>arrhythmias</w:t>
      </w:r>
      <w:r w:rsidR="00200C50" w:rsidRPr="007D4CB3">
        <w:rPr>
          <w:rFonts w:ascii="Times New Roman" w:hAnsi="Times New Roman" w:cs="Times New Roman"/>
        </w:rPr>
        <w:t>,</w:t>
      </w:r>
      <w:r w:rsidR="002D3858" w:rsidRPr="007D4CB3">
        <w:rPr>
          <w:rFonts w:ascii="Times New Roman" w:hAnsi="Times New Roman" w:cs="Times New Roman"/>
        </w:rPr>
        <w:t xml:space="preserve"> hypertensive emergency, acute decompensated heart failure, </w:t>
      </w:r>
      <w:r w:rsidR="00C13CE0" w:rsidRPr="007D4CB3">
        <w:rPr>
          <w:rFonts w:ascii="Times New Roman" w:hAnsi="Times New Roman" w:cs="Times New Roman"/>
        </w:rPr>
        <w:t xml:space="preserve">and </w:t>
      </w:r>
      <w:r w:rsidR="002D3858" w:rsidRPr="007D4CB3">
        <w:rPr>
          <w:rFonts w:ascii="Times New Roman" w:hAnsi="Times New Roman" w:cs="Times New Roman"/>
        </w:rPr>
        <w:t>takotsubo cardiomyopathy</w:t>
      </w:r>
      <w:r w:rsidR="00C13CE0" w:rsidRPr="007D4CB3">
        <w:rPr>
          <w:rFonts w:ascii="Times New Roman" w:hAnsi="Times New Roman" w:cs="Times New Roman"/>
        </w:rPr>
        <w:t>;</w:t>
      </w:r>
    </w:p>
    <w:p w14:paraId="5C13526A" w14:textId="2CF244F3" w:rsidR="002D3858" w:rsidRPr="007D4CB3" w:rsidRDefault="00C13CE0"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a</w:t>
      </w:r>
      <w:r w:rsidR="002D3858" w:rsidRPr="007D4CB3">
        <w:rPr>
          <w:rFonts w:ascii="Times New Roman" w:hAnsi="Times New Roman" w:cs="Times New Roman"/>
        </w:rPr>
        <w:t xml:space="preserve">cute neurologic complications such as seizures </w:t>
      </w:r>
      <w:r w:rsidR="000A2402" w:rsidRPr="007D4CB3">
        <w:rPr>
          <w:rFonts w:ascii="Times New Roman" w:hAnsi="Times New Roman" w:cs="Times New Roman"/>
        </w:rPr>
        <w:t xml:space="preserve">and </w:t>
      </w:r>
      <w:r w:rsidR="002D3858" w:rsidRPr="007D4CB3">
        <w:rPr>
          <w:rFonts w:ascii="Times New Roman" w:hAnsi="Times New Roman" w:cs="Times New Roman"/>
        </w:rPr>
        <w:t>cerebrovascular accidents</w:t>
      </w:r>
      <w:r w:rsidRPr="007D4CB3">
        <w:rPr>
          <w:rFonts w:ascii="Times New Roman" w:hAnsi="Times New Roman" w:cs="Times New Roman"/>
        </w:rPr>
        <w:t>;</w:t>
      </w:r>
    </w:p>
    <w:p w14:paraId="6C4D831F" w14:textId="11C34139" w:rsidR="002D3858" w:rsidRPr="007D4CB3" w:rsidRDefault="00C13CE0"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s</w:t>
      </w:r>
      <w:r w:rsidR="002D3858" w:rsidRPr="007D4CB3">
        <w:rPr>
          <w:rFonts w:ascii="Times New Roman" w:hAnsi="Times New Roman" w:cs="Times New Roman"/>
        </w:rPr>
        <w:t>erious infections such as infective endocarditis, osteomyelitis, epidural a</w:t>
      </w:r>
      <w:r w:rsidRPr="007D4CB3">
        <w:rPr>
          <w:rFonts w:ascii="Times New Roman" w:hAnsi="Times New Roman" w:cs="Times New Roman"/>
        </w:rPr>
        <w:t>b</w:t>
      </w:r>
      <w:r w:rsidR="00936526" w:rsidRPr="007D4CB3">
        <w:rPr>
          <w:rFonts w:ascii="Times New Roman" w:hAnsi="Times New Roman" w:cs="Times New Roman"/>
        </w:rPr>
        <w:t>s</w:t>
      </w:r>
      <w:r w:rsidR="002D3858" w:rsidRPr="007D4CB3">
        <w:rPr>
          <w:rFonts w:ascii="Times New Roman" w:hAnsi="Times New Roman" w:cs="Times New Roman"/>
        </w:rPr>
        <w:t>cess</w:t>
      </w:r>
      <w:r w:rsidR="000A2402" w:rsidRPr="007D4CB3">
        <w:rPr>
          <w:rFonts w:ascii="Times New Roman" w:hAnsi="Times New Roman" w:cs="Times New Roman"/>
        </w:rPr>
        <w:t>es</w:t>
      </w:r>
      <w:r w:rsidR="002D3858" w:rsidRPr="007D4CB3">
        <w:rPr>
          <w:rFonts w:ascii="Times New Roman" w:hAnsi="Times New Roman" w:cs="Times New Roman"/>
        </w:rPr>
        <w:t>, septic arthritis, serious skin infections, bacteremia, and sepsis</w:t>
      </w:r>
      <w:r w:rsidR="00936526" w:rsidRPr="007D4CB3">
        <w:rPr>
          <w:rFonts w:ascii="Times New Roman" w:hAnsi="Times New Roman" w:cs="Times New Roman"/>
        </w:rPr>
        <w:t>;</w:t>
      </w:r>
    </w:p>
    <w:p w14:paraId="74AC3B90" w14:textId="0AA9D797" w:rsidR="002D3858" w:rsidRPr="007D4CB3" w:rsidRDefault="00936526"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r</w:t>
      </w:r>
      <w:r w:rsidR="002D3858" w:rsidRPr="007D4CB3">
        <w:rPr>
          <w:rFonts w:ascii="Times New Roman" w:hAnsi="Times New Roman" w:cs="Times New Roman"/>
        </w:rPr>
        <w:t>habdomyolysis</w:t>
      </w:r>
      <w:r w:rsidRPr="007D4CB3">
        <w:rPr>
          <w:rFonts w:ascii="Times New Roman" w:hAnsi="Times New Roman" w:cs="Times New Roman"/>
        </w:rPr>
        <w:t>;</w:t>
      </w:r>
    </w:p>
    <w:p w14:paraId="0E75F488" w14:textId="30C071F4" w:rsidR="002D3858" w:rsidRPr="007D4CB3" w:rsidRDefault="00936526"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m</w:t>
      </w:r>
      <w:r w:rsidR="002D3858" w:rsidRPr="007D4CB3">
        <w:rPr>
          <w:rFonts w:ascii="Times New Roman" w:hAnsi="Times New Roman" w:cs="Times New Roman"/>
        </w:rPr>
        <w:t>ovement disorders</w:t>
      </w:r>
      <w:r w:rsidRPr="007D4CB3">
        <w:rPr>
          <w:rFonts w:ascii="Times New Roman" w:hAnsi="Times New Roman" w:cs="Times New Roman"/>
        </w:rPr>
        <w:t>;</w:t>
      </w:r>
    </w:p>
    <w:p w14:paraId="5E32CA90" w14:textId="61E07D06" w:rsidR="002D3858" w:rsidRPr="007D4CB3" w:rsidRDefault="00936526"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g</w:t>
      </w:r>
      <w:r w:rsidR="002D3858" w:rsidRPr="007D4CB3">
        <w:rPr>
          <w:rFonts w:ascii="Times New Roman" w:hAnsi="Times New Roman" w:cs="Times New Roman"/>
        </w:rPr>
        <w:t>astrointestinal perforation</w:t>
      </w:r>
      <w:r w:rsidRPr="007D4CB3">
        <w:rPr>
          <w:rFonts w:ascii="Times New Roman" w:hAnsi="Times New Roman" w:cs="Times New Roman"/>
        </w:rPr>
        <w:t>;</w:t>
      </w:r>
    </w:p>
    <w:p w14:paraId="5D91E940" w14:textId="7C2931C8" w:rsidR="002D3858" w:rsidRPr="007D4CB3" w:rsidRDefault="00936526"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t</w:t>
      </w:r>
      <w:r w:rsidR="002D3858" w:rsidRPr="007D4CB3">
        <w:rPr>
          <w:rFonts w:ascii="Times New Roman" w:hAnsi="Times New Roman" w:cs="Times New Roman"/>
        </w:rPr>
        <w:t>rauma and trauma-related complications</w:t>
      </w:r>
      <w:r w:rsidRPr="007D4CB3">
        <w:rPr>
          <w:rFonts w:ascii="Times New Roman" w:hAnsi="Times New Roman" w:cs="Times New Roman"/>
        </w:rPr>
        <w:t>; and</w:t>
      </w:r>
    </w:p>
    <w:p w14:paraId="6EDF4DDD" w14:textId="5367C75B" w:rsidR="00522488" w:rsidRPr="007D4CB3" w:rsidRDefault="00936526" w:rsidP="00FC7CE6">
      <w:pPr>
        <w:pStyle w:val="StUDEtDbullets"/>
        <w:spacing w:before="0" w:after="0" w:line="360" w:lineRule="auto"/>
        <w:rPr>
          <w:rStyle w:val="Strong"/>
          <w:rFonts w:ascii="Times New Roman" w:hAnsi="Times New Roman" w:cs="Times New Roman"/>
          <w:b w:val="0"/>
          <w:bCs w:val="0"/>
        </w:rPr>
      </w:pPr>
      <w:r w:rsidRPr="007D4CB3">
        <w:rPr>
          <w:rFonts w:ascii="Times New Roman" w:hAnsi="Times New Roman" w:cs="Times New Roman"/>
        </w:rPr>
        <w:t>r</w:t>
      </w:r>
      <w:r w:rsidR="002D3858" w:rsidRPr="007D4CB3">
        <w:rPr>
          <w:rFonts w:ascii="Times New Roman" w:hAnsi="Times New Roman" w:cs="Times New Roman"/>
        </w:rPr>
        <w:t>isk for harm to self or others</w:t>
      </w:r>
      <w:r w:rsidRPr="007D4CB3">
        <w:rPr>
          <w:rFonts w:ascii="Times New Roman" w:hAnsi="Times New Roman" w:cs="Times New Roman"/>
        </w:rPr>
        <w:t>.</w:t>
      </w:r>
    </w:p>
    <w:p w14:paraId="2B4D9C94" w14:textId="77777777" w:rsidR="00F71E37" w:rsidRPr="007D4CB3" w:rsidRDefault="00F71E37" w:rsidP="00FC7CE6">
      <w:pPr>
        <w:spacing w:before="0" w:after="0" w:line="360" w:lineRule="auto"/>
        <w:rPr>
          <w:rStyle w:val="Strong"/>
          <w:rFonts w:ascii="Times New Roman" w:hAnsi="Times New Roman" w:cs="Times New Roman"/>
          <w:b w:val="0"/>
          <w:bCs w:val="0"/>
        </w:rPr>
        <w:sectPr w:rsidR="00F71E37" w:rsidRPr="007D4CB3" w:rsidSect="00E6227A">
          <w:footnotePr>
            <w:numFmt w:val="chicago"/>
          </w:footnotePr>
          <w:type w:val="continuous"/>
          <w:pgSz w:w="12240" w:h="15840"/>
          <w:pgMar w:top="1440" w:right="1440" w:bottom="1440" w:left="1440" w:header="720" w:footer="720" w:gutter="0"/>
          <w:cols w:space="720"/>
          <w:docGrid w:linePitch="360"/>
        </w:sectPr>
      </w:pPr>
    </w:p>
    <w:p w14:paraId="43D7D15B" w14:textId="77777777" w:rsidR="00107741" w:rsidRPr="007D4CB3" w:rsidRDefault="00107741" w:rsidP="00FC7CE6">
      <w:pPr>
        <w:spacing w:before="0" w:after="0" w:line="360" w:lineRule="auto"/>
        <w:ind w:left="360" w:firstLine="360"/>
        <w:rPr>
          <w:rFonts w:ascii="Times New Roman" w:hAnsi="Times New Roman" w:cs="Times New Roman"/>
          <w:b/>
          <w:bCs/>
        </w:rPr>
      </w:pPr>
      <w:bookmarkStart w:id="26" w:name="_Toc144381395"/>
      <w:r w:rsidRPr="007D4CB3">
        <w:rPr>
          <w:rFonts w:ascii="Times New Roman" w:hAnsi="Times New Roman" w:cs="Times New Roman"/>
        </w:rPr>
        <w:br w:type="page"/>
      </w:r>
    </w:p>
    <w:p w14:paraId="14A4DD39" w14:textId="5255E24F" w:rsidR="002D3858" w:rsidRPr="007D4CB3" w:rsidRDefault="002D3858" w:rsidP="00FC7CE6">
      <w:pPr>
        <w:pStyle w:val="Heading1"/>
        <w:spacing w:before="0" w:after="0" w:line="360" w:lineRule="auto"/>
        <w:rPr>
          <w:rFonts w:ascii="Times New Roman" w:hAnsi="Times New Roman" w:cs="Times New Roman"/>
          <w:sz w:val="24"/>
          <w:szCs w:val="24"/>
        </w:rPr>
      </w:pPr>
      <w:r w:rsidRPr="007D4CB3">
        <w:rPr>
          <w:rFonts w:ascii="Times New Roman" w:hAnsi="Times New Roman" w:cs="Times New Roman"/>
          <w:sz w:val="24"/>
          <w:szCs w:val="24"/>
        </w:rPr>
        <w:lastRenderedPageBreak/>
        <w:t xml:space="preserve">Appendix </w:t>
      </w:r>
      <w:r w:rsidR="001C37D3" w:rsidRPr="007D4CB3">
        <w:rPr>
          <w:rFonts w:ascii="Times New Roman" w:hAnsi="Times New Roman" w:cs="Times New Roman"/>
          <w:sz w:val="24"/>
          <w:szCs w:val="24"/>
        </w:rPr>
        <w:t>M</w:t>
      </w:r>
      <w:r w:rsidRPr="007D4CB3">
        <w:rPr>
          <w:rFonts w:ascii="Times New Roman" w:hAnsi="Times New Roman" w:cs="Times New Roman"/>
          <w:sz w:val="24"/>
          <w:szCs w:val="24"/>
        </w:rPr>
        <w:t xml:space="preserve">. </w:t>
      </w:r>
      <w:r w:rsidRPr="007D4CB3">
        <w:rPr>
          <w:rStyle w:val="Strong"/>
          <w:rFonts w:ascii="Times New Roman" w:hAnsi="Times New Roman" w:cs="Times New Roman"/>
          <w:b/>
          <w:bCs/>
          <w:sz w:val="24"/>
          <w:szCs w:val="24"/>
        </w:rPr>
        <w:t xml:space="preserve">Non-acute </w:t>
      </w:r>
      <w:r w:rsidR="00522488" w:rsidRPr="007D4CB3">
        <w:rPr>
          <w:rStyle w:val="Strong"/>
          <w:rFonts w:ascii="Times New Roman" w:hAnsi="Times New Roman" w:cs="Times New Roman"/>
          <w:b/>
          <w:bCs/>
          <w:sz w:val="24"/>
          <w:szCs w:val="24"/>
        </w:rPr>
        <w:t>I</w:t>
      </w:r>
      <w:r w:rsidRPr="007D4CB3">
        <w:rPr>
          <w:rStyle w:val="Strong"/>
          <w:rFonts w:ascii="Times New Roman" w:hAnsi="Times New Roman" w:cs="Times New Roman"/>
          <w:b/>
          <w:bCs/>
          <w:sz w:val="24"/>
          <w:szCs w:val="24"/>
        </w:rPr>
        <w:t xml:space="preserve">ssues and </w:t>
      </w:r>
      <w:r w:rsidR="00522488" w:rsidRPr="007D4CB3">
        <w:rPr>
          <w:rStyle w:val="Strong"/>
          <w:rFonts w:ascii="Times New Roman" w:hAnsi="Times New Roman" w:cs="Times New Roman"/>
          <w:b/>
          <w:bCs/>
          <w:sz w:val="24"/>
          <w:szCs w:val="24"/>
        </w:rPr>
        <w:t>C</w:t>
      </w:r>
      <w:r w:rsidRPr="007D4CB3">
        <w:rPr>
          <w:rStyle w:val="Strong"/>
          <w:rFonts w:ascii="Times New Roman" w:hAnsi="Times New Roman" w:cs="Times New Roman"/>
          <w:b/>
          <w:bCs/>
          <w:sz w:val="24"/>
          <w:szCs w:val="24"/>
        </w:rPr>
        <w:t xml:space="preserve">omplications </w:t>
      </w:r>
      <w:r w:rsidRPr="007D4CB3">
        <w:rPr>
          <w:rFonts w:ascii="Times New Roman" w:hAnsi="Times New Roman" w:cs="Times New Roman"/>
          <w:sz w:val="24"/>
          <w:szCs w:val="24"/>
        </w:rPr>
        <w:t xml:space="preserve">of </w:t>
      </w:r>
      <w:r w:rsidR="00522488" w:rsidRPr="007D4CB3">
        <w:rPr>
          <w:rFonts w:ascii="Times New Roman" w:hAnsi="Times New Roman" w:cs="Times New Roman"/>
          <w:sz w:val="24"/>
          <w:szCs w:val="24"/>
        </w:rPr>
        <w:t>S</w:t>
      </w:r>
      <w:r w:rsidRPr="007D4CB3">
        <w:rPr>
          <w:rFonts w:ascii="Times New Roman" w:hAnsi="Times New Roman" w:cs="Times New Roman"/>
          <w:sz w:val="24"/>
          <w:szCs w:val="24"/>
        </w:rPr>
        <w:t xml:space="preserve">timulant </w:t>
      </w:r>
      <w:r w:rsidR="00522488" w:rsidRPr="007D4CB3">
        <w:rPr>
          <w:rFonts w:ascii="Times New Roman" w:hAnsi="Times New Roman" w:cs="Times New Roman"/>
          <w:sz w:val="24"/>
          <w:szCs w:val="24"/>
        </w:rPr>
        <w:t>U</w:t>
      </w:r>
      <w:r w:rsidRPr="007D4CB3">
        <w:rPr>
          <w:rFonts w:ascii="Times New Roman" w:hAnsi="Times New Roman" w:cs="Times New Roman"/>
          <w:sz w:val="24"/>
          <w:szCs w:val="24"/>
        </w:rPr>
        <w:t>se</w:t>
      </w:r>
      <w:bookmarkEnd w:id="26"/>
    </w:p>
    <w:p w14:paraId="13C79A98" w14:textId="6DA7C3FE" w:rsidR="002D3858" w:rsidRPr="007D4CB3" w:rsidRDefault="002D3858" w:rsidP="00FC7CE6">
      <w:pPr>
        <w:spacing w:before="0" w:after="0" w:line="360" w:lineRule="auto"/>
        <w:rPr>
          <w:rFonts w:ascii="Times New Roman" w:hAnsi="Times New Roman" w:cs="Times New Roman"/>
        </w:rPr>
      </w:pPr>
      <w:r w:rsidRPr="007D4CB3">
        <w:rPr>
          <w:rFonts w:ascii="Times New Roman" w:hAnsi="Times New Roman" w:cs="Times New Roman"/>
        </w:rPr>
        <w:t xml:space="preserve">Patients with stimulant intoxication should </w:t>
      </w:r>
      <w:proofErr w:type="gramStart"/>
      <w:r w:rsidRPr="007D4CB3">
        <w:rPr>
          <w:rFonts w:ascii="Times New Roman" w:hAnsi="Times New Roman" w:cs="Times New Roman"/>
        </w:rPr>
        <w:t>be routinely assessed</w:t>
      </w:r>
      <w:proofErr w:type="gramEnd"/>
      <w:r w:rsidRPr="007D4CB3">
        <w:rPr>
          <w:rFonts w:ascii="Times New Roman" w:hAnsi="Times New Roman" w:cs="Times New Roman"/>
        </w:rPr>
        <w:t xml:space="preserve"> for complications and sequalae of stimulant use and factors </w:t>
      </w:r>
      <w:r w:rsidR="00752430" w:rsidRPr="007D4CB3">
        <w:rPr>
          <w:rFonts w:ascii="Times New Roman" w:hAnsi="Times New Roman" w:cs="Times New Roman"/>
        </w:rPr>
        <w:t xml:space="preserve">that </w:t>
      </w:r>
      <w:r w:rsidRPr="007D4CB3">
        <w:rPr>
          <w:rFonts w:ascii="Times New Roman" w:hAnsi="Times New Roman" w:cs="Times New Roman"/>
        </w:rPr>
        <w:t xml:space="preserve">impact treatment planning. Assess or refer for an assessment of these relevant conditions and issues and treat or refer </w:t>
      </w:r>
      <w:r w:rsidR="00752430" w:rsidRPr="007D4CB3">
        <w:rPr>
          <w:rFonts w:ascii="Times New Roman" w:hAnsi="Times New Roman" w:cs="Times New Roman"/>
        </w:rPr>
        <w:t>f</w:t>
      </w:r>
      <w:r w:rsidRPr="007D4CB3">
        <w:rPr>
          <w:rFonts w:ascii="Times New Roman" w:hAnsi="Times New Roman" w:cs="Times New Roman"/>
        </w:rPr>
        <w:t>o</w:t>
      </w:r>
      <w:r w:rsidR="00752430" w:rsidRPr="007D4CB3">
        <w:rPr>
          <w:rFonts w:ascii="Times New Roman" w:hAnsi="Times New Roman" w:cs="Times New Roman"/>
        </w:rPr>
        <w:t>r</w:t>
      </w:r>
      <w:r w:rsidRPr="007D4CB3">
        <w:rPr>
          <w:rFonts w:ascii="Times New Roman" w:hAnsi="Times New Roman" w:cs="Times New Roman"/>
        </w:rPr>
        <w:t xml:space="preserve"> treatment in an appropriate medical or psychiatric setting when these conditions and issues </w:t>
      </w:r>
      <w:proofErr w:type="gramStart"/>
      <w:r w:rsidRPr="007D4CB3">
        <w:rPr>
          <w:rFonts w:ascii="Times New Roman" w:hAnsi="Times New Roman" w:cs="Times New Roman"/>
        </w:rPr>
        <w:t>are identified</w:t>
      </w:r>
      <w:proofErr w:type="gramEnd"/>
      <w:r w:rsidRPr="007D4CB3">
        <w:rPr>
          <w:rFonts w:ascii="Times New Roman" w:hAnsi="Times New Roman" w:cs="Times New Roman"/>
        </w:rPr>
        <w:t>.</w:t>
      </w:r>
      <w:r w:rsidR="0026139D" w:rsidRPr="007D4CB3">
        <w:rPr>
          <w:rFonts w:ascii="Times New Roman" w:hAnsi="Times New Roman" w:cs="Times New Roman"/>
        </w:rPr>
        <w:t xml:space="preserve"> </w:t>
      </w:r>
      <w:r w:rsidR="00EB16E9" w:rsidRPr="007D4CB3">
        <w:rPr>
          <w:rFonts w:ascii="Times New Roman" w:hAnsi="Times New Roman" w:cs="Times New Roman"/>
        </w:rPr>
        <w:t xml:space="preserve">Non-acute issues and complications of stimulant use include but </w:t>
      </w:r>
      <w:proofErr w:type="gramStart"/>
      <w:r w:rsidR="00EB16E9" w:rsidRPr="007D4CB3">
        <w:rPr>
          <w:rFonts w:ascii="Times New Roman" w:hAnsi="Times New Roman" w:cs="Times New Roman"/>
        </w:rPr>
        <w:t>are not limited</w:t>
      </w:r>
      <w:proofErr w:type="gramEnd"/>
      <w:r w:rsidR="00EB16E9" w:rsidRPr="007D4CB3">
        <w:rPr>
          <w:rFonts w:ascii="Times New Roman" w:hAnsi="Times New Roman" w:cs="Times New Roman"/>
        </w:rPr>
        <w:t xml:space="preserve"> to:</w:t>
      </w:r>
    </w:p>
    <w:p w14:paraId="6B826640" w14:textId="6D480AA7" w:rsidR="002D3858" w:rsidRPr="007D4CB3" w:rsidRDefault="00B7736D"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general</w:t>
      </w:r>
      <w:r w:rsidR="002D3858" w:rsidRPr="007D4CB3">
        <w:rPr>
          <w:rFonts w:ascii="Times New Roman" w:hAnsi="Times New Roman" w:cs="Times New Roman"/>
        </w:rPr>
        <w:t xml:space="preserve"> complications</w:t>
      </w:r>
      <w:r w:rsidR="007D1B82" w:rsidRPr="007D4CB3">
        <w:rPr>
          <w:rFonts w:ascii="Times New Roman" w:hAnsi="Times New Roman" w:cs="Times New Roman"/>
        </w:rPr>
        <w:t>,</w:t>
      </w:r>
      <w:r w:rsidR="002D3858" w:rsidRPr="007D4CB3">
        <w:rPr>
          <w:rFonts w:ascii="Times New Roman" w:hAnsi="Times New Roman" w:cs="Times New Roman"/>
        </w:rPr>
        <w:t xml:space="preserve"> including weight change (</w:t>
      </w:r>
      <w:r w:rsidR="002928C5" w:rsidRPr="007D4CB3">
        <w:rPr>
          <w:rFonts w:ascii="Times New Roman" w:hAnsi="Times New Roman" w:cs="Times New Roman"/>
        </w:rPr>
        <w:t>e.g.</w:t>
      </w:r>
      <w:r w:rsidR="002D3858" w:rsidRPr="007D4CB3">
        <w:rPr>
          <w:rFonts w:ascii="Times New Roman" w:hAnsi="Times New Roman" w:cs="Times New Roman"/>
        </w:rPr>
        <w:t>,</w:t>
      </w:r>
      <w:r w:rsidR="00DB02AE" w:rsidRPr="007D4CB3">
        <w:rPr>
          <w:rFonts w:ascii="Times New Roman" w:hAnsi="Times New Roman" w:cs="Times New Roman"/>
        </w:rPr>
        <w:t> </w:t>
      </w:r>
      <w:r w:rsidR="002D3858" w:rsidRPr="007D4CB3">
        <w:rPr>
          <w:rFonts w:ascii="Times New Roman" w:hAnsi="Times New Roman" w:cs="Times New Roman"/>
        </w:rPr>
        <w:t>body mass index [BMI]) and deficits in hygiene</w:t>
      </w:r>
      <w:r w:rsidRPr="007D4CB3">
        <w:rPr>
          <w:rFonts w:ascii="Times New Roman" w:hAnsi="Times New Roman" w:cs="Times New Roman"/>
        </w:rPr>
        <w:t>;</w:t>
      </w:r>
    </w:p>
    <w:p w14:paraId="04998576" w14:textId="29CD5F82" w:rsidR="002D3858" w:rsidRPr="007D4CB3" w:rsidRDefault="00B7736D"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cardiovascula</w:t>
      </w:r>
      <w:r w:rsidR="002D3858" w:rsidRPr="007D4CB3">
        <w:rPr>
          <w:rFonts w:ascii="Times New Roman" w:hAnsi="Times New Roman" w:cs="Times New Roman"/>
        </w:rPr>
        <w:t>r complications</w:t>
      </w:r>
      <w:r w:rsidR="008926FD" w:rsidRPr="007D4CB3">
        <w:rPr>
          <w:rFonts w:ascii="Times New Roman" w:hAnsi="Times New Roman" w:cs="Times New Roman"/>
        </w:rPr>
        <w:t>,</w:t>
      </w:r>
      <w:r w:rsidR="002D3858" w:rsidRPr="007D4CB3">
        <w:rPr>
          <w:rFonts w:ascii="Times New Roman" w:hAnsi="Times New Roman" w:cs="Times New Roman"/>
        </w:rPr>
        <w:t xml:space="preserve"> such as hypertension, arrhythmia, ischemia, pulmonary hypertension, </w:t>
      </w:r>
      <w:r w:rsidR="00F84FA1" w:rsidRPr="007D4CB3">
        <w:rPr>
          <w:rFonts w:ascii="Times New Roman" w:hAnsi="Times New Roman" w:cs="Times New Roman"/>
        </w:rPr>
        <w:t xml:space="preserve">and </w:t>
      </w:r>
      <w:r w:rsidR="002D3858" w:rsidRPr="007D4CB3">
        <w:rPr>
          <w:rFonts w:ascii="Times New Roman" w:hAnsi="Times New Roman" w:cs="Times New Roman"/>
        </w:rPr>
        <w:t>heart failure</w:t>
      </w:r>
      <w:r w:rsidRPr="007D4CB3">
        <w:rPr>
          <w:rFonts w:ascii="Times New Roman" w:hAnsi="Times New Roman" w:cs="Times New Roman"/>
        </w:rPr>
        <w:t>;</w:t>
      </w:r>
    </w:p>
    <w:p w14:paraId="10A1BC0A" w14:textId="4AA08E4C" w:rsidR="002D3858" w:rsidRPr="007D4CB3" w:rsidRDefault="00B7736D"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 xml:space="preserve">dental </w:t>
      </w:r>
      <w:r w:rsidR="002D3858" w:rsidRPr="007D4CB3">
        <w:rPr>
          <w:rFonts w:ascii="Times New Roman" w:hAnsi="Times New Roman" w:cs="Times New Roman"/>
        </w:rPr>
        <w:t xml:space="preserve">complications, such as poor dentition, dental caries, </w:t>
      </w:r>
      <w:r w:rsidR="00F84FA1" w:rsidRPr="007D4CB3">
        <w:rPr>
          <w:rFonts w:ascii="Times New Roman" w:hAnsi="Times New Roman" w:cs="Times New Roman"/>
        </w:rPr>
        <w:t xml:space="preserve">and </w:t>
      </w:r>
      <w:r w:rsidR="002D3858" w:rsidRPr="007D4CB3">
        <w:rPr>
          <w:rFonts w:ascii="Times New Roman" w:hAnsi="Times New Roman" w:cs="Times New Roman"/>
        </w:rPr>
        <w:t>abscesses</w:t>
      </w:r>
      <w:r w:rsidRPr="007D4CB3">
        <w:rPr>
          <w:rFonts w:ascii="Times New Roman" w:hAnsi="Times New Roman" w:cs="Times New Roman"/>
        </w:rPr>
        <w:t>;</w:t>
      </w:r>
    </w:p>
    <w:p w14:paraId="27B779A4" w14:textId="5B37BFA8" w:rsidR="002D3858" w:rsidRPr="007D4CB3" w:rsidRDefault="00B7736D"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dermatolo</w:t>
      </w:r>
      <w:r w:rsidR="002D3858" w:rsidRPr="007D4CB3">
        <w:rPr>
          <w:rFonts w:ascii="Times New Roman" w:hAnsi="Times New Roman" w:cs="Times New Roman"/>
        </w:rPr>
        <w:t>gic complication</w:t>
      </w:r>
      <w:r w:rsidR="008926FD" w:rsidRPr="007D4CB3">
        <w:rPr>
          <w:rFonts w:ascii="Times New Roman" w:hAnsi="Times New Roman" w:cs="Times New Roman"/>
        </w:rPr>
        <w:t>s</w:t>
      </w:r>
      <w:r w:rsidR="002D3858" w:rsidRPr="007D4CB3">
        <w:rPr>
          <w:rFonts w:ascii="Times New Roman" w:hAnsi="Times New Roman" w:cs="Times New Roman"/>
        </w:rPr>
        <w:t>, such as picking, neurodermatitis, cellulitis</w:t>
      </w:r>
      <w:r w:rsidR="00AE39C2" w:rsidRPr="007D4CB3">
        <w:rPr>
          <w:rFonts w:ascii="Times New Roman" w:hAnsi="Times New Roman" w:cs="Times New Roman"/>
        </w:rPr>
        <w:t xml:space="preserve">, </w:t>
      </w:r>
      <w:r w:rsidR="002D3858" w:rsidRPr="007D4CB3">
        <w:rPr>
          <w:rFonts w:ascii="Times New Roman" w:hAnsi="Times New Roman" w:cs="Times New Roman"/>
        </w:rPr>
        <w:t>abscess</w:t>
      </w:r>
      <w:r w:rsidR="004A2CFF" w:rsidRPr="007D4CB3">
        <w:rPr>
          <w:rFonts w:ascii="Times New Roman" w:hAnsi="Times New Roman" w:cs="Times New Roman"/>
        </w:rPr>
        <w:t>es,</w:t>
      </w:r>
      <w:r w:rsidR="002D3858" w:rsidRPr="007D4CB3">
        <w:rPr>
          <w:rFonts w:ascii="Times New Roman" w:hAnsi="Times New Roman" w:cs="Times New Roman"/>
        </w:rPr>
        <w:t xml:space="preserve"> and other skin</w:t>
      </w:r>
      <w:r w:rsidR="004A2CFF" w:rsidRPr="007D4CB3">
        <w:rPr>
          <w:rFonts w:ascii="Times New Roman" w:hAnsi="Times New Roman" w:cs="Times New Roman"/>
        </w:rPr>
        <w:t xml:space="preserve"> or </w:t>
      </w:r>
      <w:r w:rsidR="002D3858" w:rsidRPr="007D4CB3">
        <w:rPr>
          <w:rFonts w:ascii="Times New Roman" w:hAnsi="Times New Roman" w:cs="Times New Roman"/>
        </w:rPr>
        <w:t>soft tissue infections</w:t>
      </w:r>
      <w:r w:rsidRPr="007D4CB3">
        <w:rPr>
          <w:rFonts w:ascii="Times New Roman" w:hAnsi="Times New Roman" w:cs="Times New Roman"/>
        </w:rPr>
        <w:t>;</w:t>
      </w:r>
    </w:p>
    <w:p w14:paraId="44C25049" w14:textId="67676156" w:rsidR="002D3858" w:rsidRPr="007D4CB3" w:rsidRDefault="00B7736D"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hepatic</w:t>
      </w:r>
      <w:r w:rsidR="002D3858" w:rsidRPr="007D4CB3">
        <w:rPr>
          <w:rFonts w:ascii="Times New Roman" w:hAnsi="Times New Roman" w:cs="Times New Roman"/>
        </w:rPr>
        <w:t xml:space="preserve"> complications, such as drug-induced hepatitis</w:t>
      </w:r>
      <w:r w:rsidR="004A2CFF" w:rsidRPr="007D4CB3">
        <w:rPr>
          <w:rFonts w:ascii="Times New Roman" w:hAnsi="Times New Roman" w:cs="Times New Roman"/>
        </w:rPr>
        <w:t>;</w:t>
      </w:r>
    </w:p>
    <w:p w14:paraId="6D8ED3D6" w14:textId="3BD25EC1" w:rsidR="002D3858" w:rsidRPr="007D4CB3" w:rsidRDefault="00B7736D"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infectiou</w:t>
      </w:r>
      <w:r w:rsidR="002D3858" w:rsidRPr="007D4CB3">
        <w:rPr>
          <w:rFonts w:ascii="Times New Roman" w:hAnsi="Times New Roman" w:cs="Times New Roman"/>
        </w:rPr>
        <w:t xml:space="preserve">s complications, including </w:t>
      </w:r>
      <w:r w:rsidR="004A2CFF" w:rsidRPr="007D4CB3">
        <w:rPr>
          <w:rFonts w:ascii="Times New Roman" w:hAnsi="Times New Roman" w:cs="Times New Roman"/>
        </w:rPr>
        <w:t>STIs</w:t>
      </w:r>
      <w:r w:rsidR="002D3858" w:rsidRPr="007D4CB3">
        <w:rPr>
          <w:rFonts w:ascii="Times New Roman" w:hAnsi="Times New Roman" w:cs="Times New Roman"/>
        </w:rPr>
        <w:t xml:space="preserve"> (</w:t>
      </w:r>
      <w:r w:rsidR="002928C5" w:rsidRPr="007D4CB3">
        <w:rPr>
          <w:rFonts w:ascii="Times New Roman" w:hAnsi="Times New Roman" w:cs="Times New Roman"/>
        </w:rPr>
        <w:t>e.g.</w:t>
      </w:r>
      <w:r w:rsidR="004A2CFF" w:rsidRPr="007D4CB3">
        <w:rPr>
          <w:rFonts w:ascii="Times New Roman" w:hAnsi="Times New Roman" w:cs="Times New Roman"/>
        </w:rPr>
        <w:t xml:space="preserve">, HIV, </w:t>
      </w:r>
      <w:r w:rsidR="007D29BB" w:rsidRPr="007D4CB3">
        <w:rPr>
          <w:rFonts w:ascii="Times New Roman" w:hAnsi="Times New Roman" w:cs="Times New Roman"/>
        </w:rPr>
        <w:t>HCV</w:t>
      </w:r>
      <w:r w:rsidR="002D3858" w:rsidRPr="007D4CB3">
        <w:rPr>
          <w:rFonts w:ascii="Times New Roman" w:hAnsi="Times New Roman" w:cs="Times New Roman"/>
        </w:rPr>
        <w:t>)</w:t>
      </w:r>
      <w:r w:rsidRPr="007D4CB3">
        <w:rPr>
          <w:rFonts w:ascii="Times New Roman" w:hAnsi="Times New Roman" w:cs="Times New Roman"/>
        </w:rPr>
        <w:t>;</w:t>
      </w:r>
    </w:p>
    <w:p w14:paraId="1B61B859" w14:textId="66722578" w:rsidR="002D3858" w:rsidRPr="007D4CB3" w:rsidRDefault="00B7736D"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neurolog</w:t>
      </w:r>
      <w:r w:rsidR="002D3858" w:rsidRPr="007D4CB3">
        <w:rPr>
          <w:rFonts w:ascii="Times New Roman" w:hAnsi="Times New Roman" w:cs="Times New Roman"/>
        </w:rPr>
        <w:t>ic complications, such as involuntary movement disorders, rigidity, tremor</w:t>
      </w:r>
      <w:r w:rsidR="004A2CFF" w:rsidRPr="007D4CB3">
        <w:rPr>
          <w:rFonts w:ascii="Times New Roman" w:hAnsi="Times New Roman" w:cs="Times New Roman"/>
        </w:rPr>
        <w:t>,</w:t>
      </w:r>
      <w:r w:rsidR="002D3858" w:rsidRPr="007D4CB3">
        <w:rPr>
          <w:rFonts w:ascii="Times New Roman" w:hAnsi="Times New Roman" w:cs="Times New Roman"/>
        </w:rPr>
        <w:t xml:space="preserve"> seizures</w:t>
      </w:r>
      <w:r w:rsidR="00C34ACE" w:rsidRPr="007D4CB3">
        <w:rPr>
          <w:rFonts w:ascii="Times New Roman" w:hAnsi="Times New Roman" w:cs="Times New Roman"/>
        </w:rPr>
        <w:t>,</w:t>
      </w:r>
      <w:r w:rsidR="002D3858" w:rsidRPr="007D4CB3">
        <w:rPr>
          <w:rFonts w:ascii="Times New Roman" w:hAnsi="Times New Roman" w:cs="Times New Roman"/>
        </w:rPr>
        <w:t xml:space="preserve"> stroke</w:t>
      </w:r>
      <w:r w:rsidR="00C34ACE" w:rsidRPr="007D4CB3">
        <w:rPr>
          <w:rFonts w:ascii="Times New Roman" w:hAnsi="Times New Roman" w:cs="Times New Roman"/>
        </w:rPr>
        <w:t>, and</w:t>
      </w:r>
      <w:r w:rsidR="002D3858" w:rsidRPr="007D4CB3">
        <w:rPr>
          <w:rFonts w:ascii="Times New Roman" w:hAnsi="Times New Roman" w:cs="Times New Roman"/>
        </w:rPr>
        <w:t xml:space="preserve"> cognitive impairment (</w:t>
      </w:r>
      <w:r w:rsidR="002928C5" w:rsidRPr="007D4CB3">
        <w:rPr>
          <w:rFonts w:ascii="Times New Roman" w:hAnsi="Times New Roman" w:cs="Times New Roman"/>
        </w:rPr>
        <w:t>e.g.</w:t>
      </w:r>
      <w:r w:rsidR="00C34ACE" w:rsidRPr="007D4CB3">
        <w:rPr>
          <w:rFonts w:ascii="Times New Roman" w:hAnsi="Times New Roman" w:cs="Times New Roman"/>
        </w:rPr>
        <w:t xml:space="preserve">, deficits in </w:t>
      </w:r>
      <w:r w:rsidR="002D3858" w:rsidRPr="007D4CB3">
        <w:rPr>
          <w:rFonts w:ascii="Times New Roman" w:hAnsi="Times New Roman" w:cs="Times New Roman"/>
        </w:rPr>
        <w:t xml:space="preserve">memory </w:t>
      </w:r>
      <w:r w:rsidR="00C34ACE" w:rsidRPr="007D4CB3">
        <w:rPr>
          <w:rFonts w:ascii="Times New Roman" w:hAnsi="Times New Roman" w:cs="Times New Roman"/>
        </w:rPr>
        <w:t>and/or</w:t>
      </w:r>
      <w:r w:rsidR="002D3858" w:rsidRPr="007D4CB3">
        <w:rPr>
          <w:rFonts w:ascii="Times New Roman" w:hAnsi="Times New Roman" w:cs="Times New Roman"/>
        </w:rPr>
        <w:t xml:space="preserve"> attention)</w:t>
      </w:r>
      <w:r w:rsidRPr="007D4CB3">
        <w:rPr>
          <w:rFonts w:ascii="Times New Roman" w:hAnsi="Times New Roman" w:cs="Times New Roman"/>
        </w:rPr>
        <w:t>;</w:t>
      </w:r>
    </w:p>
    <w:p w14:paraId="0EE9EEB3" w14:textId="6A98680F" w:rsidR="002D3858" w:rsidRPr="007D4CB3" w:rsidRDefault="00B7736D"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nutriti</w:t>
      </w:r>
      <w:r w:rsidR="002D3858" w:rsidRPr="007D4CB3">
        <w:rPr>
          <w:rFonts w:ascii="Times New Roman" w:hAnsi="Times New Roman" w:cs="Times New Roman"/>
        </w:rPr>
        <w:t>onal deficits, such as malnutrition, cachexia, and sequalae involving specific vitamin deficiencies</w:t>
      </w:r>
      <w:r w:rsidRPr="007D4CB3">
        <w:rPr>
          <w:rFonts w:ascii="Times New Roman" w:hAnsi="Times New Roman" w:cs="Times New Roman"/>
        </w:rPr>
        <w:t>;</w:t>
      </w:r>
    </w:p>
    <w:p w14:paraId="3F76FDA1" w14:textId="07A9528E" w:rsidR="002D3858" w:rsidRPr="007D4CB3" w:rsidRDefault="00B7736D"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oropharyn</w:t>
      </w:r>
      <w:r w:rsidR="002D3858" w:rsidRPr="007D4CB3">
        <w:rPr>
          <w:rFonts w:ascii="Times New Roman" w:hAnsi="Times New Roman" w:cs="Times New Roman"/>
        </w:rPr>
        <w:t xml:space="preserve">geal complications, such as teeth grinding and jaw clenching, earache, headache, </w:t>
      </w:r>
      <w:r w:rsidR="0019123C" w:rsidRPr="007D4CB3">
        <w:rPr>
          <w:rFonts w:ascii="Times New Roman" w:hAnsi="Times New Roman" w:cs="Times New Roman"/>
        </w:rPr>
        <w:t xml:space="preserve">and </w:t>
      </w:r>
      <w:r w:rsidR="002D3858" w:rsidRPr="007D4CB3">
        <w:rPr>
          <w:rFonts w:ascii="Times New Roman" w:hAnsi="Times New Roman" w:cs="Times New Roman"/>
        </w:rPr>
        <w:t>facial pain</w:t>
      </w:r>
      <w:r w:rsidRPr="007D4CB3">
        <w:rPr>
          <w:rFonts w:ascii="Times New Roman" w:hAnsi="Times New Roman" w:cs="Times New Roman"/>
        </w:rPr>
        <w:t>;</w:t>
      </w:r>
    </w:p>
    <w:p w14:paraId="52ECD098" w14:textId="19E3A83D" w:rsidR="002D3858" w:rsidRPr="007D4CB3" w:rsidRDefault="00B7736D"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rena</w:t>
      </w:r>
      <w:r w:rsidR="002D3858" w:rsidRPr="007D4CB3">
        <w:rPr>
          <w:rFonts w:ascii="Times New Roman" w:hAnsi="Times New Roman" w:cs="Times New Roman"/>
        </w:rPr>
        <w:t xml:space="preserve">l complications, such as acute kidney injury </w:t>
      </w:r>
      <w:r w:rsidR="0019123C" w:rsidRPr="007D4CB3">
        <w:rPr>
          <w:rFonts w:ascii="Times New Roman" w:hAnsi="Times New Roman" w:cs="Times New Roman"/>
        </w:rPr>
        <w:t>and</w:t>
      </w:r>
      <w:r w:rsidR="002D3858" w:rsidRPr="007D4CB3">
        <w:rPr>
          <w:rFonts w:ascii="Times New Roman" w:hAnsi="Times New Roman" w:cs="Times New Roman"/>
        </w:rPr>
        <w:t xml:space="preserve"> chronic kidney disease</w:t>
      </w:r>
      <w:r w:rsidR="0019123C" w:rsidRPr="007D4CB3">
        <w:rPr>
          <w:rFonts w:ascii="Times New Roman" w:hAnsi="Times New Roman" w:cs="Times New Roman"/>
        </w:rPr>
        <w:t>;</w:t>
      </w:r>
    </w:p>
    <w:p w14:paraId="620B3F84" w14:textId="032E929D" w:rsidR="002D3858" w:rsidRPr="007D4CB3" w:rsidRDefault="00B7736D"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rhinolog</w:t>
      </w:r>
      <w:r w:rsidR="002D3858" w:rsidRPr="007D4CB3">
        <w:rPr>
          <w:rFonts w:ascii="Times New Roman" w:hAnsi="Times New Roman" w:cs="Times New Roman"/>
        </w:rPr>
        <w:t xml:space="preserve">ic complications such as rhinitis, mucosal atrophy, rhinorrhea, </w:t>
      </w:r>
      <w:r w:rsidR="000F1982" w:rsidRPr="007D4CB3">
        <w:rPr>
          <w:rFonts w:ascii="Times New Roman" w:hAnsi="Times New Roman" w:cs="Times New Roman"/>
        </w:rPr>
        <w:t>anosmia</w:t>
      </w:r>
      <w:r w:rsidR="002D3858" w:rsidRPr="007D4CB3">
        <w:rPr>
          <w:rFonts w:ascii="Times New Roman" w:hAnsi="Times New Roman" w:cs="Times New Roman"/>
        </w:rPr>
        <w:t xml:space="preserve">, oronasal fistula, </w:t>
      </w:r>
      <w:r w:rsidR="0024303E" w:rsidRPr="007D4CB3">
        <w:rPr>
          <w:rFonts w:ascii="Times New Roman" w:hAnsi="Times New Roman" w:cs="Times New Roman"/>
        </w:rPr>
        <w:t xml:space="preserve">and </w:t>
      </w:r>
      <w:r w:rsidR="002D3858" w:rsidRPr="007D4CB3">
        <w:rPr>
          <w:rFonts w:ascii="Times New Roman" w:hAnsi="Times New Roman" w:cs="Times New Roman"/>
        </w:rPr>
        <w:t>septum perforation</w:t>
      </w:r>
      <w:r w:rsidRPr="007D4CB3">
        <w:rPr>
          <w:rFonts w:ascii="Times New Roman" w:hAnsi="Times New Roman" w:cs="Times New Roman"/>
        </w:rPr>
        <w:t>; and</w:t>
      </w:r>
    </w:p>
    <w:p w14:paraId="73E7E771" w14:textId="2E31C0C9" w:rsidR="00522488" w:rsidRPr="007D4CB3" w:rsidRDefault="00B7736D" w:rsidP="00FC7CE6">
      <w:pPr>
        <w:pStyle w:val="StUDEtDbullets"/>
        <w:spacing w:before="0" w:after="0" w:line="360" w:lineRule="auto"/>
        <w:rPr>
          <w:rFonts w:ascii="Times New Roman" w:hAnsi="Times New Roman" w:cs="Times New Roman"/>
        </w:rPr>
      </w:pPr>
      <w:r w:rsidRPr="007D4CB3">
        <w:rPr>
          <w:rFonts w:ascii="Times New Roman" w:hAnsi="Times New Roman" w:cs="Times New Roman"/>
        </w:rPr>
        <w:t>sexual</w:t>
      </w:r>
      <w:r w:rsidR="002D3858" w:rsidRPr="007D4CB3">
        <w:rPr>
          <w:rFonts w:ascii="Times New Roman" w:hAnsi="Times New Roman" w:cs="Times New Roman"/>
        </w:rPr>
        <w:t xml:space="preserve"> dysfunction</w:t>
      </w:r>
      <w:r w:rsidR="00F26F10" w:rsidRPr="007D4CB3">
        <w:rPr>
          <w:rFonts w:ascii="Times New Roman" w:hAnsi="Times New Roman" w:cs="Times New Roman"/>
        </w:rPr>
        <w:t xml:space="preserve"> (</w:t>
      </w:r>
      <w:r w:rsidR="002D3858" w:rsidRPr="007D4CB3">
        <w:rPr>
          <w:rFonts w:ascii="Times New Roman" w:hAnsi="Times New Roman" w:cs="Times New Roman"/>
        </w:rPr>
        <w:t>us</w:t>
      </w:r>
      <w:r w:rsidR="00F26F10" w:rsidRPr="007D4CB3">
        <w:rPr>
          <w:rFonts w:ascii="Times New Roman" w:hAnsi="Times New Roman" w:cs="Times New Roman"/>
        </w:rPr>
        <w:t>e</w:t>
      </w:r>
      <w:r w:rsidR="002D3858" w:rsidRPr="007D4CB3">
        <w:rPr>
          <w:rFonts w:ascii="Times New Roman" w:hAnsi="Times New Roman" w:cs="Times New Roman"/>
        </w:rPr>
        <w:t xml:space="preserve"> trauma-</w:t>
      </w:r>
      <w:r w:rsidR="005066A9" w:rsidRPr="007D4CB3">
        <w:rPr>
          <w:rFonts w:ascii="Times New Roman" w:hAnsi="Times New Roman" w:cs="Times New Roman"/>
        </w:rPr>
        <w:t xml:space="preserve">sensitive </w:t>
      </w:r>
      <w:r w:rsidR="002D3858" w:rsidRPr="007D4CB3">
        <w:rPr>
          <w:rFonts w:ascii="Times New Roman" w:hAnsi="Times New Roman" w:cs="Times New Roman"/>
        </w:rPr>
        <w:t>screening practices</w:t>
      </w:r>
      <w:r w:rsidR="00F26F10" w:rsidRPr="007D4CB3">
        <w:rPr>
          <w:rFonts w:ascii="Times New Roman" w:hAnsi="Times New Roman" w:cs="Times New Roman"/>
        </w:rPr>
        <w:t>)</w:t>
      </w:r>
      <w:r w:rsidR="002D3858" w:rsidRPr="007D4CB3">
        <w:rPr>
          <w:rFonts w:ascii="Times New Roman" w:hAnsi="Times New Roman" w:cs="Times New Roman"/>
        </w:rPr>
        <w:t>.</w:t>
      </w:r>
    </w:p>
    <w:p w14:paraId="571224C8" w14:textId="77777777" w:rsidR="00F71E37" w:rsidRPr="007D4CB3" w:rsidRDefault="00F71E37" w:rsidP="00FC7CE6">
      <w:pPr>
        <w:spacing w:before="0" w:after="0" w:line="360" w:lineRule="auto"/>
        <w:rPr>
          <w:rFonts w:ascii="Times New Roman" w:hAnsi="Times New Roman" w:cs="Times New Roman"/>
        </w:rPr>
        <w:sectPr w:rsidR="00F71E37" w:rsidRPr="007D4CB3" w:rsidSect="00E6227A">
          <w:footnotePr>
            <w:numFmt w:val="chicago"/>
          </w:footnotePr>
          <w:type w:val="continuous"/>
          <w:pgSz w:w="12240" w:h="15840"/>
          <w:pgMar w:top="1440" w:right="1440" w:bottom="1440" w:left="1440" w:header="720" w:footer="720" w:gutter="0"/>
          <w:cols w:space="720"/>
          <w:docGrid w:linePitch="360"/>
        </w:sectPr>
      </w:pPr>
    </w:p>
    <w:p w14:paraId="01D8EFC9" w14:textId="77777777" w:rsidR="00107741" w:rsidRPr="007D4CB3" w:rsidRDefault="00107741" w:rsidP="00FC7CE6">
      <w:pPr>
        <w:spacing w:before="0" w:after="0" w:line="360" w:lineRule="auto"/>
        <w:ind w:left="360" w:firstLine="360"/>
        <w:rPr>
          <w:rFonts w:ascii="Times New Roman" w:hAnsi="Times New Roman" w:cs="Times New Roman"/>
          <w:b/>
          <w:bCs/>
        </w:rPr>
      </w:pPr>
      <w:bookmarkStart w:id="27" w:name="_Toc144381396"/>
      <w:r w:rsidRPr="007D4CB3">
        <w:rPr>
          <w:rFonts w:ascii="Times New Roman" w:hAnsi="Times New Roman" w:cs="Times New Roman"/>
        </w:rPr>
        <w:br w:type="page"/>
      </w:r>
    </w:p>
    <w:p w14:paraId="3A0474E3" w14:textId="0A15CFFE" w:rsidR="00E1157D" w:rsidRPr="007D4CB3" w:rsidRDefault="000B6754" w:rsidP="00FC7CE6">
      <w:pPr>
        <w:pStyle w:val="Heading1"/>
        <w:spacing w:before="0" w:after="0" w:line="360" w:lineRule="auto"/>
        <w:rPr>
          <w:rFonts w:ascii="Times New Roman" w:hAnsi="Times New Roman" w:cs="Times New Roman"/>
          <w:sz w:val="24"/>
          <w:szCs w:val="24"/>
        </w:rPr>
      </w:pPr>
      <w:r w:rsidRPr="007D4CB3">
        <w:rPr>
          <w:rFonts w:ascii="Times New Roman" w:hAnsi="Times New Roman" w:cs="Times New Roman"/>
          <w:sz w:val="24"/>
          <w:szCs w:val="24"/>
        </w:rPr>
        <w:lastRenderedPageBreak/>
        <w:t xml:space="preserve">Appendix </w:t>
      </w:r>
      <w:r w:rsidR="001C37D3" w:rsidRPr="007D4CB3">
        <w:rPr>
          <w:rFonts w:ascii="Times New Roman" w:hAnsi="Times New Roman" w:cs="Times New Roman"/>
          <w:sz w:val="24"/>
          <w:szCs w:val="24"/>
        </w:rPr>
        <w:t>N</w:t>
      </w:r>
      <w:r w:rsidR="00FB5D3E" w:rsidRPr="007D4CB3">
        <w:rPr>
          <w:rFonts w:ascii="Times New Roman" w:hAnsi="Times New Roman" w:cs="Times New Roman"/>
          <w:sz w:val="24"/>
          <w:szCs w:val="24"/>
        </w:rPr>
        <w:t xml:space="preserve">. </w:t>
      </w:r>
      <w:r w:rsidR="00C8002D" w:rsidRPr="007D4CB3">
        <w:rPr>
          <w:rFonts w:ascii="Times New Roman" w:hAnsi="Times New Roman" w:cs="Times New Roman"/>
          <w:sz w:val="24"/>
          <w:szCs w:val="24"/>
        </w:rPr>
        <w:t>Medications for Managing Intoxication</w:t>
      </w:r>
      <w:bookmarkEnd w:id="27"/>
    </w:p>
    <w:p w14:paraId="1418D872" w14:textId="44AFC30A" w:rsidR="00477AC4" w:rsidRPr="007D4CB3" w:rsidRDefault="0033369F" w:rsidP="00FC7CE6">
      <w:pPr>
        <w:spacing w:before="0" w:after="0" w:line="360" w:lineRule="auto"/>
        <w:rPr>
          <w:rFonts w:ascii="Times New Roman" w:hAnsi="Times New Roman" w:cs="Times New Roman"/>
        </w:rPr>
      </w:pPr>
      <w:r w:rsidRPr="007D4CB3">
        <w:rPr>
          <w:rFonts w:ascii="Times New Roman" w:hAnsi="Times New Roman" w:cs="Times New Roman"/>
        </w:rPr>
        <w:t>Th</w:t>
      </w:r>
      <w:r w:rsidR="008B77E9" w:rsidRPr="007D4CB3">
        <w:rPr>
          <w:rFonts w:ascii="Times New Roman" w:hAnsi="Times New Roman" w:cs="Times New Roman"/>
        </w:rPr>
        <w:t>e</w:t>
      </w:r>
      <w:r w:rsidRPr="007D4CB3">
        <w:rPr>
          <w:rFonts w:ascii="Times New Roman" w:hAnsi="Times New Roman" w:cs="Times New Roman"/>
        </w:rPr>
        <w:t xml:space="preserve"> </w:t>
      </w:r>
      <w:r w:rsidR="005066A9" w:rsidRPr="007D4CB3">
        <w:rPr>
          <w:rFonts w:ascii="Times New Roman" w:hAnsi="Times New Roman" w:cs="Times New Roman"/>
        </w:rPr>
        <w:t>information in this</w:t>
      </w:r>
      <w:r w:rsidRPr="007D4CB3">
        <w:rPr>
          <w:rFonts w:ascii="Times New Roman" w:hAnsi="Times New Roman" w:cs="Times New Roman"/>
        </w:rPr>
        <w:t xml:space="preserve"> table </w:t>
      </w:r>
      <w:proofErr w:type="gramStart"/>
      <w:r w:rsidRPr="007D4CB3">
        <w:rPr>
          <w:rFonts w:ascii="Times New Roman" w:hAnsi="Times New Roman" w:cs="Times New Roman"/>
        </w:rPr>
        <w:t>is intended</w:t>
      </w:r>
      <w:proofErr w:type="gramEnd"/>
      <w:r w:rsidRPr="007D4CB3">
        <w:rPr>
          <w:rFonts w:ascii="Times New Roman" w:hAnsi="Times New Roman" w:cs="Times New Roman"/>
        </w:rPr>
        <w:t xml:space="preserve"> to guide </w:t>
      </w:r>
      <w:r w:rsidR="003D48BC" w:rsidRPr="007D4CB3">
        <w:rPr>
          <w:rFonts w:ascii="Times New Roman" w:hAnsi="Times New Roman" w:cs="Times New Roman"/>
        </w:rPr>
        <w:t xml:space="preserve">management of stimulant intoxication in </w:t>
      </w:r>
      <w:r w:rsidR="00A90F44" w:rsidRPr="007D4CB3">
        <w:rPr>
          <w:rFonts w:ascii="Times New Roman" w:hAnsi="Times New Roman" w:cs="Times New Roman"/>
        </w:rPr>
        <w:t>a variety of</w:t>
      </w:r>
      <w:r w:rsidR="003D48BC" w:rsidRPr="007D4CB3">
        <w:rPr>
          <w:rFonts w:ascii="Times New Roman" w:hAnsi="Times New Roman" w:cs="Times New Roman"/>
        </w:rPr>
        <w:t xml:space="preserve"> settings. The choice of medication, </w:t>
      </w:r>
      <w:r w:rsidR="00074B1A" w:rsidRPr="007D4CB3">
        <w:rPr>
          <w:rFonts w:ascii="Times New Roman" w:hAnsi="Times New Roman" w:cs="Times New Roman"/>
        </w:rPr>
        <w:t xml:space="preserve">medication </w:t>
      </w:r>
      <w:r w:rsidR="003D48BC" w:rsidRPr="007D4CB3">
        <w:rPr>
          <w:rFonts w:ascii="Times New Roman" w:hAnsi="Times New Roman" w:cs="Times New Roman"/>
        </w:rPr>
        <w:t>dos</w:t>
      </w:r>
      <w:r w:rsidR="00074B1A" w:rsidRPr="007D4CB3">
        <w:rPr>
          <w:rFonts w:ascii="Times New Roman" w:hAnsi="Times New Roman" w:cs="Times New Roman"/>
        </w:rPr>
        <w:t>ing (including initial and redosing)</w:t>
      </w:r>
      <w:r w:rsidR="003D48BC" w:rsidRPr="007D4CB3">
        <w:rPr>
          <w:rFonts w:ascii="Times New Roman" w:hAnsi="Times New Roman" w:cs="Times New Roman"/>
        </w:rPr>
        <w:t xml:space="preserve">, and route of administration should </w:t>
      </w:r>
      <w:proofErr w:type="gramStart"/>
      <w:r w:rsidR="003D48BC" w:rsidRPr="007D4CB3">
        <w:rPr>
          <w:rFonts w:ascii="Times New Roman" w:hAnsi="Times New Roman" w:cs="Times New Roman"/>
        </w:rPr>
        <w:t>be guided</w:t>
      </w:r>
      <w:proofErr w:type="gramEnd"/>
      <w:r w:rsidR="003D48BC" w:rsidRPr="007D4CB3">
        <w:rPr>
          <w:rFonts w:ascii="Times New Roman" w:hAnsi="Times New Roman" w:cs="Times New Roman"/>
        </w:rPr>
        <w:t xml:space="preserve"> by the patient’s signs and symptoms</w:t>
      </w:r>
      <w:r w:rsidR="00074B1A" w:rsidRPr="007D4CB3">
        <w:rPr>
          <w:rFonts w:ascii="Times New Roman" w:hAnsi="Times New Roman" w:cs="Times New Roman"/>
        </w:rPr>
        <w:t>, degree of intoxication,</w:t>
      </w:r>
      <w:r w:rsidR="003D48BC" w:rsidRPr="007D4CB3">
        <w:rPr>
          <w:rFonts w:ascii="Times New Roman" w:hAnsi="Times New Roman" w:cs="Times New Roman"/>
        </w:rPr>
        <w:t xml:space="preserve"> </w:t>
      </w:r>
      <w:r w:rsidR="00C24B83" w:rsidRPr="007D4CB3">
        <w:rPr>
          <w:rFonts w:ascii="Times New Roman" w:hAnsi="Times New Roman" w:cs="Times New Roman"/>
        </w:rPr>
        <w:t xml:space="preserve">the level of care, </w:t>
      </w:r>
      <w:r w:rsidR="003D48BC" w:rsidRPr="007D4CB3">
        <w:rPr>
          <w:rFonts w:ascii="Times New Roman" w:hAnsi="Times New Roman" w:cs="Times New Roman"/>
        </w:rPr>
        <w:t xml:space="preserve">and the </w:t>
      </w:r>
      <w:r w:rsidR="00C24B83" w:rsidRPr="007D4CB3">
        <w:rPr>
          <w:rFonts w:ascii="Times New Roman" w:hAnsi="Times New Roman" w:cs="Times New Roman"/>
        </w:rPr>
        <w:t>resources</w:t>
      </w:r>
      <w:r w:rsidR="003D48BC" w:rsidRPr="007D4CB3">
        <w:rPr>
          <w:rFonts w:ascii="Times New Roman" w:hAnsi="Times New Roman" w:cs="Times New Roman"/>
        </w:rPr>
        <w:t xml:space="preserve"> of the setting.</w:t>
      </w:r>
      <w:r w:rsidR="00C24B83" w:rsidRPr="007D4CB3">
        <w:rPr>
          <w:rFonts w:ascii="Times New Roman" w:hAnsi="Times New Roman" w:cs="Times New Roman"/>
        </w:rPr>
        <w:t xml:space="preserve"> This does not represent a comprehensive list but rather provides illustrative examples of medications discussed in the narrative.</w:t>
      </w:r>
    </w:p>
    <w:tbl>
      <w:tblPr>
        <w:tblStyle w:val="TableGrid"/>
        <w:tblW w:w="10075" w:type="dxa"/>
        <w:tblLayout w:type="fixed"/>
        <w:tblCellMar>
          <w:left w:w="58" w:type="dxa"/>
          <w:right w:w="58" w:type="dxa"/>
        </w:tblCellMar>
        <w:tblLook w:val="06A0" w:firstRow="1" w:lastRow="0" w:firstColumn="1" w:lastColumn="0" w:noHBand="1" w:noVBand="1"/>
      </w:tblPr>
      <w:tblGrid>
        <w:gridCol w:w="1885"/>
        <w:gridCol w:w="1350"/>
        <w:gridCol w:w="2070"/>
        <w:gridCol w:w="2250"/>
        <w:gridCol w:w="2520"/>
      </w:tblGrid>
      <w:tr w:rsidR="003365AE" w:rsidRPr="007D4CB3" w14:paraId="51E08B5E" w14:textId="77777777" w:rsidTr="00C740AC">
        <w:trPr>
          <w:cantSplit/>
          <w:trHeight w:val="300"/>
          <w:tblHeader/>
        </w:trPr>
        <w:tc>
          <w:tcPr>
            <w:tcW w:w="1885" w:type="dxa"/>
            <w:shd w:val="clear" w:color="auto" w:fill="D9D9D9" w:themeFill="background1" w:themeFillShade="D9"/>
          </w:tcPr>
          <w:p w14:paraId="6F21A59A" w14:textId="399DC734" w:rsidR="003365AE" w:rsidRPr="007D4CB3" w:rsidRDefault="003365AE" w:rsidP="00FC7CE6">
            <w:pPr>
              <w:pStyle w:val="StUDTableText"/>
              <w:spacing w:before="0" w:after="0" w:line="360" w:lineRule="auto"/>
              <w:rPr>
                <w:rFonts w:ascii="Times New Roman" w:hAnsi="Times New Roman" w:cs="Times New Roman"/>
                <w:b/>
                <w:sz w:val="24"/>
              </w:rPr>
            </w:pPr>
            <w:r w:rsidRPr="007D4CB3">
              <w:rPr>
                <w:rFonts w:ascii="Times New Roman" w:hAnsi="Times New Roman" w:cs="Times New Roman"/>
                <w:b/>
                <w:sz w:val="24"/>
              </w:rPr>
              <w:t>Agent/Class</w:t>
            </w:r>
          </w:p>
        </w:tc>
        <w:tc>
          <w:tcPr>
            <w:tcW w:w="1350" w:type="dxa"/>
            <w:shd w:val="clear" w:color="auto" w:fill="D9D9D9" w:themeFill="background1" w:themeFillShade="D9"/>
          </w:tcPr>
          <w:p w14:paraId="78DAFA21" w14:textId="77777777" w:rsidR="003365AE" w:rsidRPr="007D4CB3" w:rsidRDefault="003365AE" w:rsidP="00FC7CE6">
            <w:pPr>
              <w:pStyle w:val="StUDTableText"/>
              <w:spacing w:before="0" w:after="0" w:line="360" w:lineRule="auto"/>
              <w:rPr>
                <w:rFonts w:ascii="Times New Roman" w:hAnsi="Times New Roman" w:cs="Times New Roman"/>
                <w:b/>
                <w:sz w:val="24"/>
              </w:rPr>
            </w:pPr>
            <w:r w:rsidRPr="007D4CB3">
              <w:rPr>
                <w:rFonts w:ascii="Times New Roman" w:hAnsi="Times New Roman" w:cs="Times New Roman"/>
                <w:b/>
                <w:sz w:val="24"/>
              </w:rPr>
              <w:t>Mechanism</w:t>
            </w:r>
          </w:p>
        </w:tc>
        <w:tc>
          <w:tcPr>
            <w:tcW w:w="2070" w:type="dxa"/>
            <w:shd w:val="clear" w:color="auto" w:fill="D9D9D9" w:themeFill="background1" w:themeFillShade="D9"/>
          </w:tcPr>
          <w:p w14:paraId="03BAC77E" w14:textId="77777777" w:rsidR="003365AE" w:rsidRPr="007D4CB3" w:rsidRDefault="003365AE" w:rsidP="00FC7CE6">
            <w:pPr>
              <w:pStyle w:val="StUDTableText"/>
              <w:spacing w:before="0" w:after="0" w:line="360" w:lineRule="auto"/>
              <w:rPr>
                <w:rFonts w:ascii="Times New Roman" w:hAnsi="Times New Roman" w:cs="Times New Roman"/>
                <w:b/>
                <w:sz w:val="24"/>
              </w:rPr>
            </w:pPr>
            <w:r w:rsidRPr="007D4CB3">
              <w:rPr>
                <w:rFonts w:ascii="Times New Roman" w:hAnsi="Times New Roman" w:cs="Times New Roman"/>
                <w:b/>
                <w:sz w:val="24"/>
              </w:rPr>
              <w:t>Example dosing</w:t>
            </w:r>
          </w:p>
        </w:tc>
        <w:tc>
          <w:tcPr>
            <w:tcW w:w="2250" w:type="dxa"/>
            <w:shd w:val="clear" w:color="auto" w:fill="D9D9D9" w:themeFill="background1" w:themeFillShade="D9"/>
          </w:tcPr>
          <w:p w14:paraId="2F83D7DC" w14:textId="77777777" w:rsidR="003365AE" w:rsidRPr="007D4CB3" w:rsidRDefault="003365AE" w:rsidP="00FC7CE6">
            <w:pPr>
              <w:pStyle w:val="StUDTableText"/>
              <w:spacing w:before="0" w:after="0" w:line="360" w:lineRule="auto"/>
              <w:rPr>
                <w:rFonts w:ascii="Times New Roman" w:hAnsi="Times New Roman" w:cs="Times New Roman"/>
                <w:b/>
                <w:sz w:val="24"/>
              </w:rPr>
            </w:pPr>
            <w:r w:rsidRPr="007D4CB3">
              <w:rPr>
                <w:rFonts w:ascii="Times New Roman" w:hAnsi="Times New Roman" w:cs="Times New Roman"/>
                <w:b/>
                <w:sz w:val="24"/>
              </w:rPr>
              <w:t>Indications</w:t>
            </w:r>
          </w:p>
        </w:tc>
        <w:tc>
          <w:tcPr>
            <w:tcW w:w="2520" w:type="dxa"/>
            <w:shd w:val="clear" w:color="auto" w:fill="D9D9D9" w:themeFill="background1" w:themeFillShade="D9"/>
          </w:tcPr>
          <w:p w14:paraId="6FFCD767" w14:textId="77777777" w:rsidR="003365AE" w:rsidRPr="007D4CB3" w:rsidRDefault="003365AE" w:rsidP="00FC7CE6">
            <w:pPr>
              <w:pStyle w:val="StUDTableText"/>
              <w:spacing w:before="0" w:after="0" w:line="360" w:lineRule="auto"/>
              <w:rPr>
                <w:rFonts w:ascii="Times New Roman" w:hAnsi="Times New Roman" w:cs="Times New Roman"/>
                <w:b/>
                <w:sz w:val="24"/>
              </w:rPr>
            </w:pPr>
            <w:r w:rsidRPr="007D4CB3">
              <w:rPr>
                <w:rFonts w:ascii="Times New Roman" w:hAnsi="Times New Roman" w:cs="Times New Roman"/>
                <w:b/>
                <w:sz w:val="24"/>
              </w:rPr>
              <w:t>Other considerations</w:t>
            </w:r>
          </w:p>
        </w:tc>
      </w:tr>
      <w:tr w:rsidR="003365AE" w:rsidRPr="007D4CB3" w14:paraId="3BDCC97E" w14:textId="77777777" w:rsidTr="00C740AC">
        <w:trPr>
          <w:cantSplit/>
          <w:trHeight w:val="300"/>
        </w:trPr>
        <w:tc>
          <w:tcPr>
            <w:tcW w:w="10075" w:type="dxa"/>
            <w:gridSpan w:val="5"/>
          </w:tcPr>
          <w:p w14:paraId="2E4F8637" w14:textId="77777777" w:rsidR="003365AE" w:rsidRPr="007D4CB3" w:rsidRDefault="003365AE" w:rsidP="00FC7CE6">
            <w:pPr>
              <w:pStyle w:val="StUDTableText"/>
              <w:spacing w:before="0" w:after="0" w:line="360" w:lineRule="auto"/>
              <w:rPr>
                <w:rFonts w:ascii="Times New Roman" w:hAnsi="Times New Roman" w:cs="Times New Roman"/>
                <w:b/>
                <w:i/>
                <w:sz w:val="24"/>
              </w:rPr>
            </w:pPr>
            <w:r w:rsidRPr="007D4CB3">
              <w:rPr>
                <w:rFonts w:ascii="Times New Roman" w:hAnsi="Times New Roman" w:cs="Times New Roman"/>
                <w:b/>
                <w:i/>
                <w:sz w:val="24"/>
              </w:rPr>
              <w:t>Sedatives</w:t>
            </w:r>
          </w:p>
        </w:tc>
      </w:tr>
      <w:tr w:rsidR="003365AE" w:rsidRPr="007D4CB3" w14:paraId="196B3D60" w14:textId="77777777" w:rsidTr="00C740AC">
        <w:trPr>
          <w:cantSplit/>
          <w:trHeight w:val="300"/>
        </w:trPr>
        <w:tc>
          <w:tcPr>
            <w:tcW w:w="1885" w:type="dxa"/>
          </w:tcPr>
          <w:p w14:paraId="202AB4A0" w14:textId="74EFD700"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Benzodiazepines (BZDs) (first line)</w:t>
            </w:r>
          </w:p>
        </w:tc>
        <w:tc>
          <w:tcPr>
            <w:tcW w:w="1350" w:type="dxa"/>
          </w:tcPr>
          <w:p w14:paraId="21602D67" w14:textId="5571EA24"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GABA</w:t>
            </w:r>
            <w:r w:rsidR="005F1964" w:rsidRPr="007D4CB3">
              <w:rPr>
                <w:rFonts w:ascii="Times New Roman" w:hAnsi="Times New Roman" w:cs="Times New Roman"/>
                <w:sz w:val="24"/>
              </w:rPr>
              <w:t>ergic</w:t>
            </w:r>
          </w:p>
        </w:tc>
        <w:tc>
          <w:tcPr>
            <w:tcW w:w="2070" w:type="dxa"/>
          </w:tcPr>
          <w:p w14:paraId="5F386223" w14:textId="593DCF50" w:rsidR="00040896" w:rsidRPr="007D4CB3" w:rsidRDefault="00040896"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Initial dosing:</w:t>
            </w:r>
          </w:p>
          <w:p w14:paraId="01BA82A4" w14:textId="274362F7" w:rsidR="003365AE" w:rsidRPr="007D4CB3" w:rsidRDefault="00260EB9"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Lorazepam</w:t>
            </w:r>
            <w:r w:rsidR="003365AE" w:rsidRPr="007D4CB3">
              <w:rPr>
                <w:rFonts w:ascii="Times New Roman" w:hAnsi="Times New Roman" w:cs="Times New Roman"/>
                <w:sz w:val="24"/>
              </w:rPr>
              <w:t xml:space="preserve"> 1</w:t>
            </w:r>
            <w:r w:rsidR="00054FE3" w:rsidRPr="007D4CB3">
              <w:rPr>
                <w:rFonts w:ascii="Times New Roman" w:hAnsi="Times New Roman" w:cs="Times New Roman"/>
                <w:sz w:val="24"/>
              </w:rPr>
              <w:t>–</w:t>
            </w:r>
            <w:r w:rsidR="003365AE" w:rsidRPr="007D4CB3">
              <w:rPr>
                <w:rFonts w:ascii="Times New Roman" w:hAnsi="Times New Roman" w:cs="Times New Roman"/>
                <w:sz w:val="24"/>
              </w:rPr>
              <w:t>2</w:t>
            </w:r>
            <w:r w:rsidR="00054FE3" w:rsidRPr="007D4CB3">
              <w:rPr>
                <w:rFonts w:ascii="Times New Roman" w:hAnsi="Times New Roman" w:cs="Times New Roman"/>
                <w:sz w:val="24"/>
              </w:rPr>
              <w:t> </w:t>
            </w:r>
            <w:r w:rsidR="003365AE" w:rsidRPr="007D4CB3">
              <w:rPr>
                <w:rFonts w:ascii="Times New Roman" w:hAnsi="Times New Roman" w:cs="Times New Roman"/>
                <w:sz w:val="24"/>
              </w:rPr>
              <w:t>mg IV based on clinical signs and symptoms and duration of effects</w:t>
            </w:r>
          </w:p>
          <w:p w14:paraId="6B328639" w14:textId="6DDCA3C8" w:rsidR="003365AE" w:rsidRPr="007D4CB3" w:rsidRDefault="00260EB9"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Diazepam</w:t>
            </w:r>
            <w:r w:rsidR="003365AE" w:rsidRPr="007D4CB3">
              <w:rPr>
                <w:rFonts w:ascii="Times New Roman" w:hAnsi="Times New Roman" w:cs="Times New Roman"/>
                <w:sz w:val="24"/>
              </w:rPr>
              <w:t xml:space="preserve"> 5</w:t>
            </w:r>
            <w:r w:rsidR="00054FE3" w:rsidRPr="007D4CB3">
              <w:rPr>
                <w:rFonts w:ascii="Times New Roman" w:hAnsi="Times New Roman" w:cs="Times New Roman"/>
                <w:sz w:val="24"/>
              </w:rPr>
              <w:t>–</w:t>
            </w:r>
            <w:r w:rsidR="003365AE" w:rsidRPr="007D4CB3">
              <w:rPr>
                <w:rFonts w:ascii="Times New Roman" w:hAnsi="Times New Roman" w:cs="Times New Roman"/>
                <w:sz w:val="24"/>
              </w:rPr>
              <w:t>10</w:t>
            </w:r>
            <w:r w:rsidR="00054FE3" w:rsidRPr="007D4CB3">
              <w:rPr>
                <w:rFonts w:ascii="Times New Roman" w:hAnsi="Times New Roman" w:cs="Times New Roman"/>
                <w:sz w:val="24"/>
              </w:rPr>
              <w:t> </w:t>
            </w:r>
            <w:r w:rsidR="003365AE" w:rsidRPr="007D4CB3">
              <w:rPr>
                <w:rFonts w:ascii="Times New Roman" w:hAnsi="Times New Roman" w:cs="Times New Roman"/>
                <w:sz w:val="24"/>
              </w:rPr>
              <w:t xml:space="preserve">mg </w:t>
            </w:r>
            <w:r w:rsidR="0042613C" w:rsidRPr="007D4CB3">
              <w:rPr>
                <w:rFonts w:ascii="Times New Roman" w:hAnsi="Times New Roman" w:cs="Times New Roman"/>
                <w:sz w:val="24"/>
              </w:rPr>
              <w:t xml:space="preserve">PO </w:t>
            </w:r>
            <w:r w:rsidR="003365AE" w:rsidRPr="007D4CB3">
              <w:rPr>
                <w:rFonts w:ascii="Times New Roman" w:hAnsi="Times New Roman" w:cs="Times New Roman"/>
                <w:sz w:val="24"/>
              </w:rPr>
              <w:t>for less severe symptoms based on patient parameters</w:t>
            </w:r>
          </w:p>
          <w:p w14:paraId="53AFB92B" w14:textId="02E4470B"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Midazolam 5</w:t>
            </w:r>
            <w:r w:rsidR="00054FE3" w:rsidRPr="007D4CB3">
              <w:rPr>
                <w:rFonts w:ascii="Times New Roman" w:hAnsi="Times New Roman" w:cs="Times New Roman"/>
                <w:sz w:val="24"/>
              </w:rPr>
              <w:t> </w:t>
            </w:r>
            <w:r w:rsidRPr="007D4CB3">
              <w:rPr>
                <w:rFonts w:ascii="Times New Roman" w:hAnsi="Times New Roman" w:cs="Times New Roman"/>
                <w:sz w:val="24"/>
              </w:rPr>
              <w:t xml:space="preserve">mg IM </w:t>
            </w:r>
            <w:r w:rsidR="00141C48" w:rsidRPr="007D4CB3">
              <w:rPr>
                <w:rFonts w:ascii="Times New Roman" w:hAnsi="Times New Roman" w:cs="Times New Roman"/>
                <w:sz w:val="24"/>
              </w:rPr>
              <w:t xml:space="preserve">or </w:t>
            </w:r>
            <w:r w:rsidR="00063882" w:rsidRPr="007D4CB3">
              <w:rPr>
                <w:rFonts w:ascii="Times New Roman" w:hAnsi="Times New Roman" w:cs="Times New Roman"/>
                <w:sz w:val="24"/>
              </w:rPr>
              <w:t>0.01-0.05</w:t>
            </w:r>
            <w:r w:rsidR="00141C48" w:rsidRPr="007D4CB3">
              <w:rPr>
                <w:rFonts w:ascii="Times New Roman" w:hAnsi="Times New Roman" w:cs="Times New Roman"/>
                <w:sz w:val="24"/>
              </w:rPr>
              <w:t xml:space="preserve"> mg</w:t>
            </w:r>
            <w:r w:rsidR="00063882" w:rsidRPr="007D4CB3">
              <w:rPr>
                <w:rFonts w:ascii="Times New Roman" w:hAnsi="Times New Roman" w:cs="Times New Roman"/>
                <w:sz w:val="24"/>
              </w:rPr>
              <w:t>/kg</w:t>
            </w:r>
            <w:r w:rsidR="00141C48" w:rsidRPr="007D4CB3">
              <w:rPr>
                <w:rFonts w:ascii="Times New Roman" w:hAnsi="Times New Roman" w:cs="Times New Roman"/>
                <w:sz w:val="24"/>
              </w:rPr>
              <w:t xml:space="preserve"> IV </w:t>
            </w:r>
            <w:r w:rsidRPr="007D4CB3">
              <w:rPr>
                <w:rFonts w:ascii="Times New Roman" w:hAnsi="Times New Roman" w:cs="Times New Roman"/>
                <w:sz w:val="24"/>
              </w:rPr>
              <w:t>for acute agitation in adult patients</w:t>
            </w:r>
          </w:p>
          <w:p w14:paraId="0C541ED7" w14:textId="0C1BDDBD" w:rsidR="00040896" w:rsidRPr="007D4CB3" w:rsidRDefault="00040896"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 xml:space="preserve">Redosing </w:t>
            </w:r>
            <w:r w:rsidR="003906CA" w:rsidRPr="007D4CB3">
              <w:rPr>
                <w:rFonts w:ascii="Times New Roman" w:hAnsi="Times New Roman" w:cs="Times New Roman"/>
                <w:sz w:val="24"/>
              </w:rPr>
              <w:t xml:space="preserve">frequency and dose </w:t>
            </w:r>
            <w:r w:rsidR="00DE1F6D" w:rsidRPr="007D4CB3">
              <w:rPr>
                <w:rFonts w:ascii="Times New Roman" w:hAnsi="Times New Roman" w:cs="Times New Roman"/>
                <w:sz w:val="24"/>
              </w:rPr>
              <w:t xml:space="preserve">should </w:t>
            </w:r>
            <w:proofErr w:type="gramStart"/>
            <w:r w:rsidR="00DE1F6D" w:rsidRPr="007D4CB3">
              <w:rPr>
                <w:rFonts w:ascii="Times New Roman" w:hAnsi="Times New Roman" w:cs="Times New Roman"/>
                <w:sz w:val="24"/>
              </w:rPr>
              <w:t>be guided</w:t>
            </w:r>
            <w:proofErr w:type="gramEnd"/>
            <w:r w:rsidR="00DE1F6D" w:rsidRPr="007D4CB3">
              <w:rPr>
                <w:rFonts w:ascii="Times New Roman" w:hAnsi="Times New Roman" w:cs="Times New Roman"/>
                <w:sz w:val="24"/>
              </w:rPr>
              <w:t xml:space="preserve"> by the degree and duration of the clinical effects of the initial dose</w:t>
            </w:r>
          </w:p>
        </w:tc>
        <w:tc>
          <w:tcPr>
            <w:tcW w:w="2250" w:type="dxa"/>
          </w:tcPr>
          <w:p w14:paraId="122FD854" w14:textId="77777777"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Excitatory symptoms</w:t>
            </w:r>
          </w:p>
          <w:p w14:paraId="508AC729" w14:textId="77777777"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Anxiety/Agitation</w:t>
            </w:r>
          </w:p>
          <w:p w14:paraId="77075605" w14:textId="77777777"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Neuromuscular excitation</w:t>
            </w:r>
          </w:p>
          <w:p w14:paraId="6F7BEDC2" w14:textId="77777777"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Seizures</w:t>
            </w:r>
          </w:p>
        </w:tc>
        <w:tc>
          <w:tcPr>
            <w:tcW w:w="2520" w:type="dxa"/>
          </w:tcPr>
          <w:p w14:paraId="005D13B5" w14:textId="6F53AA10"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Parenteral vs</w:t>
            </w:r>
            <w:r w:rsidR="00C6541D" w:rsidRPr="007D4CB3">
              <w:rPr>
                <w:rFonts w:ascii="Times New Roman" w:hAnsi="Times New Roman" w:cs="Times New Roman"/>
                <w:sz w:val="24"/>
              </w:rPr>
              <w:t>.</w:t>
            </w:r>
            <w:r w:rsidRPr="007D4CB3">
              <w:rPr>
                <w:rFonts w:ascii="Times New Roman" w:hAnsi="Times New Roman" w:cs="Times New Roman"/>
                <w:sz w:val="24"/>
              </w:rPr>
              <w:t xml:space="preserve"> </w:t>
            </w:r>
            <w:r w:rsidR="00C6541D" w:rsidRPr="007D4CB3">
              <w:rPr>
                <w:rFonts w:ascii="Times New Roman" w:hAnsi="Times New Roman" w:cs="Times New Roman"/>
                <w:sz w:val="24"/>
              </w:rPr>
              <w:t>PO</w:t>
            </w:r>
            <w:r w:rsidRPr="007D4CB3">
              <w:rPr>
                <w:rFonts w:ascii="Times New Roman" w:hAnsi="Times New Roman" w:cs="Times New Roman"/>
                <w:sz w:val="24"/>
              </w:rPr>
              <w:t xml:space="preserve"> administration based on signs and symptom severity and drug availability (</w:t>
            </w:r>
            <w:r w:rsidR="002928C5" w:rsidRPr="007D4CB3">
              <w:rPr>
                <w:rFonts w:ascii="Times New Roman" w:hAnsi="Times New Roman" w:cs="Times New Roman"/>
                <w:sz w:val="24"/>
              </w:rPr>
              <w:t>e.g.</w:t>
            </w:r>
            <w:r w:rsidRPr="007D4CB3">
              <w:rPr>
                <w:rFonts w:ascii="Times New Roman" w:hAnsi="Times New Roman" w:cs="Times New Roman"/>
                <w:sz w:val="24"/>
              </w:rPr>
              <w:t>,</w:t>
            </w:r>
            <w:r w:rsidR="00054FE3" w:rsidRPr="007D4CB3">
              <w:rPr>
                <w:rFonts w:ascii="Times New Roman" w:hAnsi="Times New Roman" w:cs="Times New Roman"/>
                <w:sz w:val="24"/>
              </w:rPr>
              <w:t> </w:t>
            </w:r>
            <w:r w:rsidRPr="007D4CB3">
              <w:rPr>
                <w:rFonts w:ascii="Times New Roman" w:hAnsi="Times New Roman" w:cs="Times New Roman"/>
                <w:sz w:val="24"/>
              </w:rPr>
              <w:t>parenteral BZD shortages)</w:t>
            </w:r>
            <w:r w:rsidR="000F4ECE" w:rsidRPr="007D4CB3">
              <w:rPr>
                <w:rFonts w:ascii="Times New Roman" w:hAnsi="Times New Roman" w:cs="Times New Roman"/>
                <w:sz w:val="24"/>
              </w:rPr>
              <w:t xml:space="preserve">. IM administration </w:t>
            </w:r>
            <w:r w:rsidR="0033369F" w:rsidRPr="007D4CB3">
              <w:rPr>
                <w:rFonts w:ascii="Times New Roman" w:hAnsi="Times New Roman" w:cs="Times New Roman"/>
                <w:sz w:val="24"/>
              </w:rPr>
              <w:t>allows for administration in agitated patients without IV access.</w:t>
            </w:r>
          </w:p>
          <w:p w14:paraId="0DC9AD58" w14:textId="55233A4D" w:rsidR="003365AE" w:rsidRPr="007D4CB3" w:rsidRDefault="00260EB9"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Lorazepam</w:t>
            </w:r>
            <w:r w:rsidR="003365AE" w:rsidRPr="007D4CB3">
              <w:rPr>
                <w:rFonts w:ascii="Times New Roman" w:hAnsi="Times New Roman" w:cs="Times New Roman"/>
                <w:sz w:val="24"/>
              </w:rPr>
              <w:t xml:space="preserve"> has </w:t>
            </w:r>
            <w:proofErr w:type="gramStart"/>
            <w:r w:rsidR="003365AE" w:rsidRPr="007D4CB3">
              <w:rPr>
                <w:rFonts w:ascii="Times New Roman" w:hAnsi="Times New Roman" w:cs="Times New Roman"/>
                <w:sz w:val="24"/>
              </w:rPr>
              <w:t>very slow</w:t>
            </w:r>
            <w:proofErr w:type="gramEnd"/>
            <w:r w:rsidR="003365AE" w:rsidRPr="007D4CB3">
              <w:rPr>
                <w:rFonts w:ascii="Times New Roman" w:hAnsi="Times New Roman" w:cs="Times New Roman"/>
                <w:sz w:val="24"/>
              </w:rPr>
              <w:t xml:space="preserve"> </w:t>
            </w:r>
            <w:r w:rsidR="00FF5E38" w:rsidRPr="007D4CB3">
              <w:rPr>
                <w:rFonts w:ascii="Times New Roman" w:hAnsi="Times New Roman" w:cs="Times New Roman"/>
                <w:sz w:val="24"/>
              </w:rPr>
              <w:t xml:space="preserve">IM </w:t>
            </w:r>
            <w:r w:rsidR="003365AE" w:rsidRPr="007D4CB3">
              <w:rPr>
                <w:rFonts w:ascii="Times New Roman" w:hAnsi="Times New Roman" w:cs="Times New Roman"/>
                <w:sz w:val="24"/>
              </w:rPr>
              <w:t>onset (15</w:t>
            </w:r>
            <w:r w:rsidR="00054FE3" w:rsidRPr="007D4CB3">
              <w:rPr>
                <w:rFonts w:ascii="Times New Roman" w:hAnsi="Times New Roman" w:cs="Times New Roman"/>
                <w:sz w:val="24"/>
              </w:rPr>
              <w:t>–</w:t>
            </w:r>
            <w:r w:rsidR="003365AE" w:rsidRPr="007D4CB3">
              <w:rPr>
                <w:rFonts w:ascii="Times New Roman" w:hAnsi="Times New Roman" w:cs="Times New Roman"/>
                <w:sz w:val="24"/>
              </w:rPr>
              <w:t>30</w:t>
            </w:r>
            <w:r w:rsidR="00054FE3" w:rsidRPr="007D4CB3">
              <w:rPr>
                <w:rFonts w:ascii="Times New Roman" w:hAnsi="Times New Roman" w:cs="Times New Roman"/>
                <w:sz w:val="24"/>
              </w:rPr>
              <w:t> </w:t>
            </w:r>
            <w:r w:rsidR="003365AE" w:rsidRPr="007D4CB3">
              <w:rPr>
                <w:rFonts w:ascii="Times New Roman" w:hAnsi="Times New Roman" w:cs="Times New Roman"/>
                <w:sz w:val="24"/>
              </w:rPr>
              <w:t>min)</w:t>
            </w:r>
          </w:p>
          <w:p w14:paraId="1C64A28E" w14:textId="24165DFA" w:rsidR="00CF0305" w:rsidRPr="007D4CB3" w:rsidRDefault="00CF0305"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Midazolam has</w:t>
            </w:r>
            <w:r w:rsidR="0061101F" w:rsidRPr="007D4CB3">
              <w:rPr>
                <w:rFonts w:ascii="Times New Roman" w:hAnsi="Times New Roman" w:cs="Times New Roman"/>
                <w:sz w:val="24"/>
              </w:rPr>
              <w:t xml:space="preserve"> very rapid </w:t>
            </w:r>
            <w:r w:rsidR="00141C48" w:rsidRPr="007D4CB3">
              <w:rPr>
                <w:rFonts w:ascii="Times New Roman" w:hAnsi="Times New Roman" w:cs="Times New Roman"/>
                <w:sz w:val="24"/>
              </w:rPr>
              <w:t xml:space="preserve">IV </w:t>
            </w:r>
            <w:r w:rsidR="0061101F" w:rsidRPr="007D4CB3">
              <w:rPr>
                <w:rFonts w:ascii="Times New Roman" w:hAnsi="Times New Roman" w:cs="Times New Roman"/>
                <w:sz w:val="24"/>
              </w:rPr>
              <w:t>onset</w:t>
            </w:r>
            <w:r w:rsidR="00750B63" w:rsidRPr="007D4CB3">
              <w:rPr>
                <w:rFonts w:ascii="Times New Roman" w:hAnsi="Times New Roman" w:cs="Times New Roman"/>
                <w:sz w:val="24"/>
              </w:rPr>
              <w:t>,</w:t>
            </w:r>
            <w:r w:rsidR="00730F7D" w:rsidRPr="007D4CB3">
              <w:rPr>
                <w:rFonts w:ascii="Times New Roman" w:hAnsi="Times New Roman" w:cs="Times New Roman"/>
                <w:sz w:val="24"/>
              </w:rPr>
              <w:t xml:space="preserve"> allowing for easy titration</w:t>
            </w:r>
            <w:r w:rsidR="00750B63" w:rsidRPr="007D4CB3">
              <w:rPr>
                <w:rFonts w:ascii="Times New Roman" w:hAnsi="Times New Roman" w:cs="Times New Roman"/>
                <w:sz w:val="24"/>
              </w:rPr>
              <w:t>,</w:t>
            </w:r>
            <w:r w:rsidR="00141C48" w:rsidRPr="007D4CB3">
              <w:rPr>
                <w:rFonts w:ascii="Times New Roman" w:hAnsi="Times New Roman" w:cs="Times New Roman"/>
                <w:sz w:val="24"/>
              </w:rPr>
              <w:t xml:space="preserve"> and a </w:t>
            </w:r>
            <w:proofErr w:type="gramStart"/>
            <w:r w:rsidR="00141C48" w:rsidRPr="007D4CB3">
              <w:rPr>
                <w:rFonts w:ascii="Times New Roman" w:hAnsi="Times New Roman" w:cs="Times New Roman"/>
                <w:sz w:val="24"/>
              </w:rPr>
              <w:t>relatively fast</w:t>
            </w:r>
            <w:proofErr w:type="gramEnd"/>
            <w:r w:rsidR="00141C48" w:rsidRPr="007D4CB3">
              <w:rPr>
                <w:rFonts w:ascii="Times New Roman" w:hAnsi="Times New Roman" w:cs="Times New Roman"/>
                <w:sz w:val="24"/>
              </w:rPr>
              <w:t xml:space="preserve"> IM onset</w:t>
            </w:r>
          </w:p>
          <w:p w14:paraId="0D0BD15B" w14:textId="368348F6"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 xml:space="preserve">If </w:t>
            </w:r>
            <w:r w:rsidR="00FF5E38" w:rsidRPr="007D4CB3">
              <w:rPr>
                <w:rFonts w:ascii="Times New Roman" w:hAnsi="Times New Roman" w:cs="Times New Roman"/>
                <w:sz w:val="24"/>
              </w:rPr>
              <w:t xml:space="preserve">psychosis is </w:t>
            </w:r>
            <w:r w:rsidRPr="007D4CB3">
              <w:rPr>
                <w:rFonts w:ascii="Times New Roman" w:hAnsi="Times New Roman" w:cs="Times New Roman"/>
                <w:sz w:val="24"/>
              </w:rPr>
              <w:t xml:space="preserve">primary symptom, antipsychotics should </w:t>
            </w:r>
            <w:proofErr w:type="gramStart"/>
            <w:r w:rsidRPr="007D4CB3">
              <w:rPr>
                <w:rFonts w:ascii="Times New Roman" w:hAnsi="Times New Roman" w:cs="Times New Roman"/>
                <w:sz w:val="24"/>
              </w:rPr>
              <w:t>be considered</w:t>
            </w:r>
            <w:proofErr w:type="gramEnd"/>
            <w:r w:rsidRPr="007D4CB3">
              <w:rPr>
                <w:rFonts w:ascii="Times New Roman" w:hAnsi="Times New Roman" w:cs="Times New Roman"/>
                <w:sz w:val="24"/>
              </w:rPr>
              <w:t xml:space="preserve"> primarily or adjunctively</w:t>
            </w:r>
          </w:p>
        </w:tc>
      </w:tr>
      <w:tr w:rsidR="003365AE" w:rsidRPr="007D4CB3" w14:paraId="443252EA" w14:textId="77777777" w:rsidTr="00C740AC">
        <w:trPr>
          <w:cantSplit/>
          <w:trHeight w:val="300"/>
        </w:trPr>
        <w:tc>
          <w:tcPr>
            <w:tcW w:w="1885" w:type="dxa"/>
          </w:tcPr>
          <w:p w14:paraId="421E4314" w14:textId="77777777"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lastRenderedPageBreak/>
              <w:t>Phenobarbital (PBO)</w:t>
            </w:r>
          </w:p>
        </w:tc>
        <w:tc>
          <w:tcPr>
            <w:tcW w:w="1350" w:type="dxa"/>
          </w:tcPr>
          <w:p w14:paraId="1E0032F0" w14:textId="7D2437CD" w:rsidR="003365AE" w:rsidRPr="007D4CB3" w:rsidRDefault="00366645"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GABAergic</w:t>
            </w:r>
          </w:p>
        </w:tc>
        <w:tc>
          <w:tcPr>
            <w:tcW w:w="2070" w:type="dxa"/>
          </w:tcPr>
          <w:p w14:paraId="08AED09F" w14:textId="1D2C185F"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Incremental 1</w:t>
            </w:r>
            <w:r w:rsidR="00B37D73" w:rsidRPr="007D4CB3">
              <w:rPr>
                <w:rFonts w:ascii="Times New Roman" w:hAnsi="Times New Roman" w:cs="Times New Roman"/>
                <w:sz w:val="24"/>
              </w:rPr>
              <w:t>30</w:t>
            </w:r>
            <w:r w:rsidR="00054FE3" w:rsidRPr="007D4CB3">
              <w:rPr>
                <w:rFonts w:ascii="Times New Roman" w:hAnsi="Times New Roman" w:cs="Times New Roman"/>
                <w:sz w:val="24"/>
              </w:rPr>
              <w:t>–</w:t>
            </w:r>
            <w:r w:rsidR="00B37D73" w:rsidRPr="007D4CB3">
              <w:rPr>
                <w:rFonts w:ascii="Times New Roman" w:hAnsi="Times New Roman" w:cs="Times New Roman"/>
                <w:sz w:val="24"/>
              </w:rPr>
              <w:t>260</w:t>
            </w:r>
            <w:r w:rsidR="00054FE3" w:rsidRPr="007D4CB3">
              <w:rPr>
                <w:rFonts w:ascii="Times New Roman" w:hAnsi="Times New Roman" w:cs="Times New Roman"/>
                <w:sz w:val="24"/>
              </w:rPr>
              <w:t> </w:t>
            </w:r>
            <w:r w:rsidRPr="007D4CB3">
              <w:rPr>
                <w:rFonts w:ascii="Times New Roman" w:hAnsi="Times New Roman" w:cs="Times New Roman"/>
                <w:sz w:val="24"/>
              </w:rPr>
              <w:t>mg parenteral/IV/</w:t>
            </w:r>
            <w:r w:rsidR="0042613C" w:rsidRPr="007D4CB3">
              <w:rPr>
                <w:rFonts w:ascii="Times New Roman" w:hAnsi="Times New Roman" w:cs="Times New Roman"/>
                <w:sz w:val="24"/>
              </w:rPr>
              <w:t xml:space="preserve">PO </w:t>
            </w:r>
            <w:r w:rsidRPr="007D4CB3">
              <w:rPr>
                <w:rFonts w:ascii="Times New Roman" w:hAnsi="Times New Roman" w:cs="Times New Roman"/>
                <w:sz w:val="24"/>
              </w:rPr>
              <w:t>based on symptoms and patient parameters</w:t>
            </w:r>
          </w:p>
          <w:p w14:paraId="0B7C67A1" w14:textId="3A354FF0"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Loading strategy (</w:t>
            </w:r>
            <w:r w:rsidR="002928C5" w:rsidRPr="007D4CB3">
              <w:rPr>
                <w:rFonts w:ascii="Times New Roman" w:hAnsi="Times New Roman" w:cs="Times New Roman"/>
                <w:sz w:val="24"/>
              </w:rPr>
              <w:t>e.g.</w:t>
            </w:r>
            <w:r w:rsidRPr="007D4CB3">
              <w:rPr>
                <w:rFonts w:ascii="Times New Roman" w:hAnsi="Times New Roman" w:cs="Times New Roman"/>
                <w:sz w:val="24"/>
              </w:rPr>
              <w:t>, 5-10 mg/kg)</w:t>
            </w:r>
          </w:p>
          <w:p w14:paraId="3586166A" w14:textId="145C038E" w:rsidR="00A32446" w:rsidRPr="007D4CB3" w:rsidRDefault="00A32446"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Titrate based on clinical effects</w:t>
            </w:r>
          </w:p>
        </w:tc>
        <w:tc>
          <w:tcPr>
            <w:tcW w:w="2250" w:type="dxa"/>
          </w:tcPr>
          <w:p w14:paraId="7416B240" w14:textId="77777777"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BZD shortages or contraindications</w:t>
            </w:r>
          </w:p>
          <w:p w14:paraId="25C147F9" w14:textId="45340CD4"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Patient not responding to escalating doses of BZDs</w:t>
            </w:r>
          </w:p>
          <w:p w14:paraId="02F2E5B7" w14:textId="77777777"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Severe sympathomimetic intoxication</w:t>
            </w:r>
          </w:p>
        </w:tc>
        <w:tc>
          <w:tcPr>
            <w:tcW w:w="2520" w:type="dxa"/>
          </w:tcPr>
          <w:p w14:paraId="3B63512E" w14:textId="4B64B71F"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High oral bioavailability</w:t>
            </w:r>
            <w:r w:rsidR="00FF5E38" w:rsidRPr="007D4CB3">
              <w:rPr>
                <w:rFonts w:ascii="Times New Roman" w:hAnsi="Times New Roman" w:cs="Times New Roman"/>
                <w:sz w:val="24"/>
              </w:rPr>
              <w:t>;</w:t>
            </w:r>
            <w:r w:rsidRPr="007D4CB3">
              <w:rPr>
                <w:rFonts w:ascii="Times New Roman" w:hAnsi="Times New Roman" w:cs="Times New Roman"/>
                <w:sz w:val="24"/>
              </w:rPr>
              <w:t xml:space="preserve"> </w:t>
            </w:r>
            <w:r w:rsidR="00C57CA8" w:rsidRPr="007D4CB3">
              <w:rPr>
                <w:rFonts w:ascii="Times New Roman" w:hAnsi="Times New Roman" w:cs="Times New Roman"/>
                <w:sz w:val="24"/>
              </w:rPr>
              <w:t xml:space="preserve">PO </w:t>
            </w:r>
            <w:r w:rsidRPr="007D4CB3">
              <w:rPr>
                <w:rFonts w:ascii="Times New Roman" w:hAnsi="Times New Roman" w:cs="Times New Roman"/>
                <w:sz w:val="24"/>
              </w:rPr>
              <w:t xml:space="preserve">dosing can be </w:t>
            </w:r>
            <w:proofErr w:type="gramStart"/>
            <w:r w:rsidRPr="007D4CB3">
              <w:rPr>
                <w:rFonts w:ascii="Times New Roman" w:hAnsi="Times New Roman" w:cs="Times New Roman"/>
                <w:sz w:val="24"/>
              </w:rPr>
              <w:t>similar to</w:t>
            </w:r>
            <w:proofErr w:type="gramEnd"/>
            <w:r w:rsidRPr="007D4CB3">
              <w:rPr>
                <w:rFonts w:ascii="Times New Roman" w:hAnsi="Times New Roman" w:cs="Times New Roman"/>
                <w:sz w:val="24"/>
              </w:rPr>
              <w:t xml:space="preserve"> parenteral dosing</w:t>
            </w:r>
          </w:p>
          <w:p w14:paraId="6C2E384A" w14:textId="71D201AA"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 xml:space="preserve">Onset of effects, while slower than IV, is still </w:t>
            </w:r>
            <w:proofErr w:type="gramStart"/>
            <w:r w:rsidRPr="007D4CB3">
              <w:rPr>
                <w:rFonts w:ascii="Times New Roman" w:hAnsi="Times New Roman" w:cs="Times New Roman"/>
                <w:sz w:val="24"/>
              </w:rPr>
              <w:t>fairly quick</w:t>
            </w:r>
            <w:proofErr w:type="gramEnd"/>
            <w:r w:rsidRPr="007D4CB3">
              <w:rPr>
                <w:rFonts w:ascii="Times New Roman" w:hAnsi="Times New Roman" w:cs="Times New Roman"/>
                <w:sz w:val="24"/>
              </w:rPr>
              <w:t xml:space="preserve"> compared to other </w:t>
            </w:r>
            <w:r w:rsidR="0010457B" w:rsidRPr="007D4CB3">
              <w:rPr>
                <w:rFonts w:ascii="Times New Roman" w:hAnsi="Times New Roman" w:cs="Times New Roman"/>
                <w:sz w:val="24"/>
              </w:rPr>
              <w:t xml:space="preserve">PO </w:t>
            </w:r>
            <w:r w:rsidRPr="007D4CB3">
              <w:rPr>
                <w:rFonts w:ascii="Times New Roman" w:hAnsi="Times New Roman" w:cs="Times New Roman"/>
                <w:sz w:val="24"/>
              </w:rPr>
              <w:t>medications</w:t>
            </w:r>
          </w:p>
        </w:tc>
      </w:tr>
      <w:tr w:rsidR="003365AE" w:rsidRPr="007D4CB3" w14:paraId="52B6297B" w14:textId="77777777" w:rsidTr="00C740AC">
        <w:trPr>
          <w:cantSplit/>
          <w:trHeight w:val="300"/>
        </w:trPr>
        <w:tc>
          <w:tcPr>
            <w:tcW w:w="1885" w:type="dxa"/>
            <w:tcBorders>
              <w:bottom w:val="single" w:sz="4" w:space="0" w:color="000000" w:themeColor="text1"/>
            </w:tcBorders>
          </w:tcPr>
          <w:p w14:paraId="59A3A15D" w14:textId="30181549"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Propofol</w:t>
            </w:r>
          </w:p>
        </w:tc>
        <w:tc>
          <w:tcPr>
            <w:tcW w:w="1350" w:type="dxa"/>
            <w:tcBorders>
              <w:bottom w:val="single" w:sz="4" w:space="0" w:color="000000" w:themeColor="text1"/>
            </w:tcBorders>
          </w:tcPr>
          <w:p w14:paraId="75725C20" w14:textId="06ADD2E6"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GABAergic + NMDA receptor antagonism</w:t>
            </w:r>
          </w:p>
        </w:tc>
        <w:tc>
          <w:tcPr>
            <w:tcW w:w="2070" w:type="dxa"/>
            <w:tcBorders>
              <w:bottom w:val="single" w:sz="4" w:space="0" w:color="000000" w:themeColor="text1"/>
            </w:tcBorders>
          </w:tcPr>
          <w:p w14:paraId="3F4534AE" w14:textId="2A6F6AB0"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10</w:t>
            </w:r>
            <w:r w:rsidR="00054FE3" w:rsidRPr="007D4CB3">
              <w:rPr>
                <w:rFonts w:ascii="Times New Roman" w:hAnsi="Times New Roman" w:cs="Times New Roman"/>
                <w:sz w:val="24"/>
              </w:rPr>
              <w:t>–</w:t>
            </w:r>
            <w:r w:rsidRPr="007D4CB3">
              <w:rPr>
                <w:rFonts w:ascii="Times New Roman" w:hAnsi="Times New Roman" w:cs="Times New Roman"/>
                <w:sz w:val="24"/>
              </w:rPr>
              <w:t>50</w:t>
            </w:r>
            <w:r w:rsidR="00054FE3" w:rsidRPr="007D4CB3">
              <w:rPr>
                <w:rFonts w:ascii="Times New Roman" w:hAnsi="Times New Roman" w:cs="Times New Roman"/>
                <w:sz w:val="24"/>
              </w:rPr>
              <w:t> </w:t>
            </w:r>
            <w:r w:rsidR="00C92AC5" w:rsidRPr="007D4CB3">
              <w:rPr>
                <w:rFonts w:ascii="Times New Roman" w:hAnsi="Times New Roman" w:cs="Times New Roman"/>
                <w:sz w:val="24"/>
              </w:rPr>
              <w:t>µ</w:t>
            </w:r>
            <w:r w:rsidRPr="007D4CB3">
              <w:rPr>
                <w:rFonts w:ascii="Times New Roman" w:hAnsi="Times New Roman" w:cs="Times New Roman"/>
                <w:sz w:val="24"/>
              </w:rPr>
              <w:t>g/kg/min based on symptoms and patient parameters</w:t>
            </w:r>
          </w:p>
        </w:tc>
        <w:tc>
          <w:tcPr>
            <w:tcW w:w="2250" w:type="dxa"/>
            <w:tcBorders>
              <w:bottom w:val="single" w:sz="4" w:space="0" w:color="000000" w:themeColor="text1"/>
            </w:tcBorders>
          </w:tcPr>
          <w:p w14:paraId="5D02D731" w14:textId="77777777"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For critically ill patients in the ICU</w:t>
            </w:r>
          </w:p>
          <w:p w14:paraId="510666CA" w14:textId="77777777"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Severe sympathomimetic intoxication not responding to other agents</w:t>
            </w:r>
          </w:p>
        </w:tc>
        <w:tc>
          <w:tcPr>
            <w:tcW w:w="2520" w:type="dxa"/>
            <w:tcBorders>
              <w:bottom w:val="single" w:sz="4" w:space="0" w:color="000000" w:themeColor="text1"/>
            </w:tcBorders>
          </w:tcPr>
          <w:p w14:paraId="199E19F1" w14:textId="23B4BD8F"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 xml:space="preserve">Patients can </w:t>
            </w:r>
            <w:proofErr w:type="gramStart"/>
            <w:r w:rsidRPr="007D4CB3">
              <w:rPr>
                <w:rFonts w:ascii="Times New Roman" w:hAnsi="Times New Roman" w:cs="Times New Roman"/>
                <w:sz w:val="24"/>
              </w:rPr>
              <w:t>be administered</w:t>
            </w:r>
            <w:proofErr w:type="gramEnd"/>
            <w:r w:rsidRPr="007D4CB3">
              <w:rPr>
                <w:rFonts w:ascii="Times New Roman" w:hAnsi="Times New Roman" w:cs="Times New Roman"/>
                <w:sz w:val="24"/>
              </w:rPr>
              <w:t xml:space="preserve"> BZDs, PBO</w:t>
            </w:r>
            <w:r w:rsidR="0010457B" w:rsidRPr="007D4CB3">
              <w:rPr>
                <w:rFonts w:ascii="Times New Roman" w:hAnsi="Times New Roman" w:cs="Times New Roman"/>
                <w:sz w:val="24"/>
              </w:rPr>
              <w:t>,</w:t>
            </w:r>
            <w:r w:rsidRPr="007D4CB3">
              <w:rPr>
                <w:rFonts w:ascii="Times New Roman" w:hAnsi="Times New Roman" w:cs="Times New Roman"/>
                <w:sz w:val="24"/>
              </w:rPr>
              <w:t xml:space="preserve"> and/or propofol concomitantly</w:t>
            </w:r>
          </w:p>
          <w:p w14:paraId="7DA2341D" w14:textId="5CCFE094" w:rsidR="003365AE" w:rsidRPr="007D4CB3" w:rsidRDefault="00715512"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 xml:space="preserve">Intubation is </w:t>
            </w:r>
            <w:proofErr w:type="gramStart"/>
            <w:r w:rsidRPr="007D4CB3">
              <w:rPr>
                <w:rFonts w:ascii="Times New Roman" w:hAnsi="Times New Roman" w:cs="Times New Roman"/>
                <w:sz w:val="24"/>
              </w:rPr>
              <w:t>almost always</w:t>
            </w:r>
            <w:proofErr w:type="gramEnd"/>
            <w:r w:rsidRPr="007D4CB3">
              <w:rPr>
                <w:rFonts w:ascii="Times New Roman" w:hAnsi="Times New Roman" w:cs="Times New Roman"/>
                <w:sz w:val="24"/>
              </w:rPr>
              <w:t xml:space="preserve"> required for propofol administration</w:t>
            </w:r>
          </w:p>
        </w:tc>
      </w:tr>
      <w:tr w:rsidR="003365AE" w:rsidRPr="007D4CB3" w14:paraId="7C2124D1" w14:textId="77777777" w:rsidTr="00C740AC">
        <w:trPr>
          <w:cantSplit/>
          <w:trHeight w:val="359"/>
        </w:trPr>
        <w:tc>
          <w:tcPr>
            <w:tcW w:w="10075" w:type="dxa"/>
            <w:gridSpan w:val="5"/>
            <w:tcBorders>
              <w:top w:val="nil"/>
            </w:tcBorders>
          </w:tcPr>
          <w:p w14:paraId="68BB7FC2" w14:textId="16486F15" w:rsidR="003365AE" w:rsidRPr="007D4CB3" w:rsidRDefault="001F5D77" w:rsidP="00FC7CE6">
            <w:pPr>
              <w:pStyle w:val="StUDTableText"/>
              <w:spacing w:before="0" w:after="0" w:line="360" w:lineRule="auto"/>
              <w:rPr>
                <w:rFonts w:ascii="Times New Roman" w:hAnsi="Times New Roman" w:cs="Times New Roman"/>
                <w:b/>
                <w:i/>
                <w:sz w:val="24"/>
              </w:rPr>
            </w:pPr>
            <w:r w:rsidRPr="007D4CB3">
              <w:rPr>
                <w:rFonts w:ascii="Times New Roman" w:hAnsi="Times New Roman" w:cs="Times New Roman"/>
                <w:b/>
                <w:bCs/>
                <w:i/>
                <w:iCs/>
                <w:sz w:val="24"/>
              </w:rPr>
              <w:t>Sympatholytics</w:t>
            </w:r>
          </w:p>
        </w:tc>
      </w:tr>
      <w:tr w:rsidR="003365AE" w:rsidRPr="007D4CB3" w14:paraId="4CD98DE3" w14:textId="77777777" w:rsidTr="00C740AC">
        <w:trPr>
          <w:cantSplit/>
          <w:trHeight w:val="300"/>
        </w:trPr>
        <w:tc>
          <w:tcPr>
            <w:tcW w:w="1885" w:type="dxa"/>
          </w:tcPr>
          <w:p w14:paraId="1E8E62FC" w14:textId="77777777"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Clonidine</w:t>
            </w:r>
          </w:p>
        </w:tc>
        <w:tc>
          <w:tcPr>
            <w:tcW w:w="1350" w:type="dxa"/>
          </w:tcPr>
          <w:p w14:paraId="5778172A" w14:textId="06AFA82D"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Alpha</w:t>
            </w:r>
            <w:r w:rsidR="00054FE3" w:rsidRPr="007D4CB3">
              <w:rPr>
                <w:rFonts w:ascii="Times New Roman" w:hAnsi="Times New Roman" w:cs="Times New Roman"/>
                <w:sz w:val="24"/>
              </w:rPr>
              <w:noBreakHyphen/>
            </w:r>
            <w:r w:rsidRPr="007D4CB3">
              <w:rPr>
                <w:rFonts w:ascii="Times New Roman" w:hAnsi="Times New Roman" w:cs="Times New Roman"/>
                <w:sz w:val="24"/>
              </w:rPr>
              <w:t>2</w:t>
            </w:r>
            <w:r w:rsidR="006D41FD" w:rsidRPr="007D4CB3">
              <w:rPr>
                <w:rFonts w:ascii="Times New Roman" w:hAnsi="Times New Roman" w:cs="Times New Roman"/>
                <w:sz w:val="24"/>
              </w:rPr>
              <w:t xml:space="preserve"> </w:t>
            </w:r>
            <w:r w:rsidRPr="007D4CB3">
              <w:rPr>
                <w:rFonts w:ascii="Times New Roman" w:hAnsi="Times New Roman" w:cs="Times New Roman"/>
                <w:sz w:val="24"/>
              </w:rPr>
              <w:t xml:space="preserve">agonism +/- </w:t>
            </w:r>
            <w:r w:rsidR="00C57CA8" w:rsidRPr="007D4CB3">
              <w:rPr>
                <w:rFonts w:ascii="Times New Roman" w:hAnsi="Times New Roman" w:cs="Times New Roman"/>
                <w:sz w:val="24"/>
              </w:rPr>
              <w:t>o</w:t>
            </w:r>
            <w:r w:rsidRPr="007D4CB3">
              <w:rPr>
                <w:rFonts w:ascii="Times New Roman" w:hAnsi="Times New Roman" w:cs="Times New Roman"/>
                <w:sz w:val="24"/>
              </w:rPr>
              <w:t>ther</w:t>
            </w:r>
          </w:p>
        </w:tc>
        <w:tc>
          <w:tcPr>
            <w:tcW w:w="2070" w:type="dxa"/>
          </w:tcPr>
          <w:p w14:paraId="351D9A3F" w14:textId="656FDA8C"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0.1</w:t>
            </w:r>
            <w:r w:rsidR="00054FE3" w:rsidRPr="007D4CB3">
              <w:rPr>
                <w:rFonts w:ascii="Times New Roman" w:hAnsi="Times New Roman" w:cs="Times New Roman"/>
                <w:sz w:val="24"/>
              </w:rPr>
              <w:t>–</w:t>
            </w:r>
            <w:r w:rsidRPr="007D4CB3">
              <w:rPr>
                <w:rFonts w:ascii="Times New Roman" w:hAnsi="Times New Roman" w:cs="Times New Roman"/>
                <w:sz w:val="24"/>
              </w:rPr>
              <w:t>0.2</w:t>
            </w:r>
            <w:r w:rsidR="00054FE3" w:rsidRPr="007D4CB3">
              <w:rPr>
                <w:rFonts w:ascii="Times New Roman" w:hAnsi="Times New Roman" w:cs="Times New Roman"/>
                <w:sz w:val="24"/>
              </w:rPr>
              <w:t> </w:t>
            </w:r>
            <w:r w:rsidR="00C57CA8" w:rsidRPr="007D4CB3">
              <w:rPr>
                <w:rFonts w:ascii="Times New Roman" w:hAnsi="Times New Roman" w:cs="Times New Roman"/>
                <w:sz w:val="24"/>
              </w:rPr>
              <w:t xml:space="preserve">mg </w:t>
            </w:r>
            <w:r w:rsidR="0042613C" w:rsidRPr="007D4CB3">
              <w:rPr>
                <w:rFonts w:ascii="Times New Roman" w:hAnsi="Times New Roman" w:cs="Times New Roman"/>
                <w:sz w:val="24"/>
              </w:rPr>
              <w:t xml:space="preserve">PO </w:t>
            </w:r>
            <w:r w:rsidR="006D41FD" w:rsidRPr="007D4CB3">
              <w:rPr>
                <w:rFonts w:ascii="Times New Roman" w:hAnsi="Times New Roman" w:cs="Times New Roman"/>
                <w:sz w:val="24"/>
              </w:rPr>
              <w:t xml:space="preserve">every </w:t>
            </w:r>
            <w:r w:rsidRPr="007D4CB3">
              <w:rPr>
                <w:rFonts w:ascii="Times New Roman" w:hAnsi="Times New Roman" w:cs="Times New Roman"/>
                <w:sz w:val="24"/>
              </w:rPr>
              <w:t>4</w:t>
            </w:r>
            <w:r w:rsidR="006D41FD" w:rsidRPr="007D4CB3">
              <w:rPr>
                <w:rFonts w:ascii="Times New Roman" w:hAnsi="Times New Roman" w:cs="Times New Roman"/>
                <w:sz w:val="24"/>
              </w:rPr>
              <w:t> </w:t>
            </w:r>
            <w:r w:rsidRPr="007D4CB3">
              <w:rPr>
                <w:rFonts w:ascii="Times New Roman" w:hAnsi="Times New Roman" w:cs="Times New Roman"/>
                <w:sz w:val="24"/>
              </w:rPr>
              <w:t xml:space="preserve">hours </w:t>
            </w:r>
            <w:r w:rsidR="006D41FD" w:rsidRPr="007D4CB3">
              <w:rPr>
                <w:rFonts w:ascii="Times New Roman" w:hAnsi="Times New Roman" w:cs="Times New Roman"/>
                <w:sz w:val="24"/>
              </w:rPr>
              <w:t>as needed</w:t>
            </w:r>
          </w:p>
        </w:tc>
        <w:tc>
          <w:tcPr>
            <w:tcW w:w="2250" w:type="dxa"/>
          </w:tcPr>
          <w:p w14:paraId="4BB3439E" w14:textId="7C0FDBE7"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Anxiety</w:t>
            </w:r>
          </w:p>
        </w:tc>
        <w:tc>
          <w:tcPr>
            <w:tcW w:w="2520" w:type="dxa"/>
          </w:tcPr>
          <w:p w14:paraId="3735F158" w14:textId="18ED33AE"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Useful medication adjunct to BZD</w:t>
            </w:r>
            <w:r w:rsidR="006152CD" w:rsidRPr="007D4CB3">
              <w:rPr>
                <w:rFonts w:ascii="Times New Roman" w:hAnsi="Times New Roman" w:cs="Times New Roman"/>
                <w:sz w:val="24"/>
              </w:rPr>
              <w:t>s</w:t>
            </w:r>
          </w:p>
          <w:p w14:paraId="2B789ADB" w14:textId="77777777"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Maintain hydration to avoid orthostatic symptoms</w:t>
            </w:r>
          </w:p>
        </w:tc>
      </w:tr>
      <w:tr w:rsidR="003365AE" w:rsidRPr="007D4CB3" w14:paraId="3ED780C6" w14:textId="77777777" w:rsidTr="00C740AC">
        <w:trPr>
          <w:cantSplit/>
          <w:trHeight w:val="300"/>
        </w:trPr>
        <w:tc>
          <w:tcPr>
            <w:tcW w:w="1885" w:type="dxa"/>
          </w:tcPr>
          <w:p w14:paraId="51251E7F" w14:textId="2C183FAB" w:rsidR="003365AE" w:rsidRPr="007D4CB3" w:rsidRDefault="00F35F56"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lastRenderedPageBreak/>
              <w:t>Dexmedetomidine</w:t>
            </w:r>
          </w:p>
        </w:tc>
        <w:tc>
          <w:tcPr>
            <w:tcW w:w="1350" w:type="dxa"/>
          </w:tcPr>
          <w:p w14:paraId="180FD098" w14:textId="0D36B532" w:rsidR="003365AE" w:rsidRPr="007D4CB3" w:rsidRDefault="009E1E92"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Alpha</w:t>
            </w:r>
            <w:r w:rsidRPr="007D4CB3">
              <w:rPr>
                <w:rFonts w:ascii="Times New Roman" w:hAnsi="Times New Roman" w:cs="Times New Roman"/>
                <w:sz w:val="24"/>
              </w:rPr>
              <w:noBreakHyphen/>
            </w:r>
            <w:proofErr w:type="gramStart"/>
            <w:r w:rsidRPr="007D4CB3">
              <w:rPr>
                <w:rFonts w:ascii="Times New Roman" w:hAnsi="Times New Roman" w:cs="Times New Roman"/>
                <w:sz w:val="24"/>
              </w:rPr>
              <w:t>2</w:t>
            </w:r>
            <w:proofErr w:type="gramEnd"/>
            <w:r w:rsidRPr="007D4CB3">
              <w:rPr>
                <w:rFonts w:ascii="Times New Roman" w:hAnsi="Times New Roman" w:cs="Times New Roman"/>
                <w:sz w:val="24"/>
              </w:rPr>
              <w:t xml:space="preserve"> agonism</w:t>
            </w:r>
          </w:p>
        </w:tc>
        <w:tc>
          <w:tcPr>
            <w:tcW w:w="2070" w:type="dxa"/>
          </w:tcPr>
          <w:p w14:paraId="290D7ACE" w14:textId="688A49CB"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Start at 0.2</w:t>
            </w:r>
            <w:r w:rsidR="00054FE3" w:rsidRPr="007D4CB3">
              <w:rPr>
                <w:rFonts w:ascii="Times New Roman" w:hAnsi="Times New Roman" w:cs="Times New Roman"/>
                <w:sz w:val="24"/>
              </w:rPr>
              <w:t>–</w:t>
            </w:r>
            <w:r w:rsidRPr="007D4CB3">
              <w:rPr>
                <w:rFonts w:ascii="Times New Roman" w:hAnsi="Times New Roman" w:cs="Times New Roman"/>
                <w:sz w:val="24"/>
              </w:rPr>
              <w:t xml:space="preserve">0.4 </w:t>
            </w:r>
            <w:r w:rsidR="00C92AC5" w:rsidRPr="007D4CB3">
              <w:rPr>
                <w:rFonts w:ascii="Times New Roman" w:hAnsi="Times New Roman" w:cs="Times New Roman"/>
                <w:sz w:val="24"/>
              </w:rPr>
              <w:t>µ</w:t>
            </w:r>
            <w:r w:rsidRPr="007D4CB3">
              <w:rPr>
                <w:rFonts w:ascii="Times New Roman" w:hAnsi="Times New Roman" w:cs="Times New Roman"/>
                <w:sz w:val="24"/>
              </w:rPr>
              <w:t>g/kg/hr and titrate every 30</w:t>
            </w:r>
            <w:r w:rsidR="00054FE3" w:rsidRPr="007D4CB3">
              <w:rPr>
                <w:rFonts w:ascii="Times New Roman" w:hAnsi="Times New Roman" w:cs="Times New Roman"/>
                <w:sz w:val="24"/>
              </w:rPr>
              <w:t> </w:t>
            </w:r>
            <w:r w:rsidRPr="007D4CB3">
              <w:rPr>
                <w:rFonts w:ascii="Times New Roman" w:hAnsi="Times New Roman" w:cs="Times New Roman"/>
                <w:sz w:val="24"/>
              </w:rPr>
              <w:t>min up to maximum of 1.5</w:t>
            </w:r>
            <w:r w:rsidR="00054FE3" w:rsidRPr="007D4CB3">
              <w:rPr>
                <w:rFonts w:ascii="Times New Roman" w:hAnsi="Times New Roman" w:cs="Times New Roman"/>
                <w:sz w:val="24"/>
              </w:rPr>
              <w:t> </w:t>
            </w:r>
            <w:r w:rsidR="00C92AC5" w:rsidRPr="007D4CB3">
              <w:rPr>
                <w:rFonts w:ascii="Times New Roman" w:hAnsi="Times New Roman" w:cs="Times New Roman"/>
                <w:sz w:val="24"/>
              </w:rPr>
              <w:t>µ</w:t>
            </w:r>
            <w:r w:rsidRPr="007D4CB3">
              <w:rPr>
                <w:rFonts w:ascii="Times New Roman" w:hAnsi="Times New Roman" w:cs="Times New Roman"/>
                <w:sz w:val="24"/>
              </w:rPr>
              <w:t>g/kg/hr</w:t>
            </w:r>
          </w:p>
        </w:tc>
        <w:tc>
          <w:tcPr>
            <w:tcW w:w="2250" w:type="dxa"/>
          </w:tcPr>
          <w:p w14:paraId="052CE73D" w14:textId="77777777"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For critically ill patients in the ED or ICU as primary or secondary medication for sedation</w:t>
            </w:r>
          </w:p>
        </w:tc>
        <w:tc>
          <w:tcPr>
            <w:tcW w:w="2520" w:type="dxa"/>
          </w:tcPr>
          <w:p w14:paraId="26AFCB84" w14:textId="721C68B3"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Useful medication adjunct to BZD</w:t>
            </w:r>
            <w:r w:rsidR="006152CD" w:rsidRPr="007D4CB3">
              <w:rPr>
                <w:rFonts w:ascii="Times New Roman" w:hAnsi="Times New Roman" w:cs="Times New Roman"/>
                <w:sz w:val="24"/>
              </w:rPr>
              <w:t>s</w:t>
            </w:r>
            <w:r w:rsidRPr="007D4CB3">
              <w:rPr>
                <w:rFonts w:ascii="Times New Roman" w:hAnsi="Times New Roman" w:cs="Times New Roman"/>
                <w:sz w:val="24"/>
              </w:rPr>
              <w:t xml:space="preserve"> or other sedation agents</w:t>
            </w:r>
          </w:p>
          <w:p w14:paraId="411F5990" w14:textId="24E80754"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 xml:space="preserve">Onset of effects generally </w:t>
            </w:r>
            <w:r w:rsidR="00054FE3" w:rsidRPr="007D4CB3">
              <w:rPr>
                <w:rFonts w:ascii="Times New Roman" w:hAnsi="Times New Roman" w:cs="Times New Roman"/>
                <w:sz w:val="24"/>
              </w:rPr>
              <w:br/>
            </w:r>
            <w:r w:rsidRPr="007D4CB3">
              <w:rPr>
                <w:rFonts w:ascii="Times New Roman" w:hAnsi="Times New Roman" w:cs="Times New Roman"/>
                <w:sz w:val="24"/>
              </w:rPr>
              <w:t>30</w:t>
            </w:r>
            <w:r w:rsidR="00054FE3" w:rsidRPr="007D4CB3">
              <w:rPr>
                <w:rFonts w:ascii="Times New Roman" w:hAnsi="Times New Roman" w:cs="Times New Roman"/>
                <w:sz w:val="24"/>
              </w:rPr>
              <w:t>–</w:t>
            </w:r>
            <w:r w:rsidRPr="007D4CB3">
              <w:rPr>
                <w:rFonts w:ascii="Times New Roman" w:hAnsi="Times New Roman" w:cs="Times New Roman"/>
                <w:sz w:val="24"/>
              </w:rPr>
              <w:t>60</w:t>
            </w:r>
            <w:r w:rsidR="00054FE3" w:rsidRPr="007D4CB3">
              <w:rPr>
                <w:rFonts w:ascii="Times New Roman" w:hAnsi="Times New Roman" w:cs="Times New Roman"/>
                <w:sz w:val="24"/>
              </w:rPr>
              <w:t> </w:t>
            </w:r>
            <w:r w:rsidRPr="007D4CB3">
              <w:rPr>
                <w:rFonts w:ascii="Times New Roman" w:hAnsi="Times New Roman" w:cs="Times New Roman"/>
                <w:sz w:val="24"/>
              </w:rPr>
              <w:t>min</w:t>
            </w:r>
          </w:p>
          <w:p w14:paraId="6ABBB9E5" w14:textId="77777777"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Sedation without impairments in ventilation</w:t>
            </w:r>
          </w:p>
        </w:tc>
      </w:tr>
      <w:tr w:rsidR="003365AE" w:rsidRPr="007D4CB3" w14:paraId="3AFF9D60" w14:textId="77777777" w:rsidTr="00C740AC">
        <w:trPr>
          <w:cantSplit/>
          <w:trHeight w:val="300"/>
        </w:trPr>
        <w:tc>
          <w:tcPr>
            <w:tcW w:w="10075" w:type="dxa"/>
            <w:gridSpan w:val="5"/>
          </w:tcPr>
          <w:p w14:paraId="6C740C0F" w14:textId="77777777" w:rsidR="003365AE" w:rsidRPr="007D4CB3" w:rsidRDefault="003365AE" w:rsidP="00FC7CE6">
            <w:pPr>
              <w:pStyle w:val="StUDTableText"/>
              <w:spacing w:before="0" w:after="0" w:line="360" w:lineRule="auto"/>
              <w:rPr>
                <w:rFonts w:ascii="Times New Roman" w:hAnsi="Times New Roman" w:cs="Times New Roman"/>
                <w:b/>
                <w:i/>
                <w:sz w:val="24"/>
              </w:rPr>
            </w:pPr>
            <w:r w:rsidRPr="007D4CB3">
              <w:rPr>
                <w:rFonts w:ascii="Times New Roman" w:hAnsi="Times New Roman" w:cs="Times New Roman"/>
                <w:b/>
                <w:i/>
                <w:sz w:val="24"/>
              </w:rPr>
              <w:t>Antipsychotics</w:t>
            </w:r>
          </w:p>
        </w:tc>
      </w:tr>
      <w:tr w:rsidR="003365AE" w:rsidRPr="007D4CB3" w14:paraId="4AA9D6CC" w14:textId="77777777" w:rsidTr="00C740AC">
        <w:trPr>
          <w:cantSplit/>
          <w:trHeight w:val="300"/>
        </w:trPr>
        <w:tc>
          <w:tcPr>
            <w:tcW w:w="1885" w:type="dxa"/>
          </w:tcPr>
          <w:p w14:paraId="7B454483" w14:textId="5BF9CCB1" w:rsidR="003365AE" w:rsidRPr="007D4CB3" w:rsidRDefault="00932F5B"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Butyrophenones</w:t>
            </w:r>
            <w:r w:rsidR="003365AE" w:rsidRPr="007D4CB3">
              <w:rPr>
                <w:rFonts w:ascii="Times New Roman" w:hAnsi="Times New Roman" w:cs="Times New Roman"/>
                <w:sz w:val="24"/>
              </w:rPr>
              <w:t xml:space="preserve"> (</w:t>
            </w:r>
            <w:proofErr w:type="gramStart"/>
            <w:r w:rsidR="003365AE" w:rsidRPr="007D4CB3">
              <w:rPr>
                <w:rFonts w:ascii="Times New Roman" w:hAnsi="Times New Roman" w:cs="Times New Roman"/>
                <w:sz w:val="24"/>
              </w:rPr>
              <w:t>2nd</w:t>
            </w:r>
            <w:proofErr w:type="gramEnd"/>
            <w:r w:rsidR="003365AE" w:rsidRPr="007D4CB3">
              <w:rPr>
                <w:rFonts w:ascii="Times New Roman" w:hAnsi="Times New Roman" w:cs="Times New Roman"/>
                <w:sz w:val="24"/>
              </w:rPr>
              <w:t xml:space="preserve"> gen)</w:t>
            </w:r>
          </w:p>
        </w:tc>
        <w:tc>
          <w:tcPr>
            <w:tcW w:w="1350" w:type="dxa"/>
          </w:tcPr>
          <w:p w14:paraId="2B625139" w14:textId="41D90317"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Dopamine antagonism</w:t>
            </w:r>
          </w:p>
        </w:tc>
        <w:tc>
          <w:tcPr>
            <w:tcW w:w="2070" w:type="dxa"/>
          </w:tcPr>
          <w:p w14:paraId="75D2C674" w14:textId="77BA0A39"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Haloperidol or droperidol 5</w:t>
            </w:r>
            <w:r w:rsidR="00054FE3" w:rsidRPr="007D4CB3">
              <w:rPr>
                <w:rFonts w:ascii="Times New Roman" w:hAnsi="Times New Roman" w:cs="Times New Roman"/>
                <w:sz w:val="24"/>
              </w:rPr>
              <w:t> </w:t>
            </w:r>
            <w:r w:rsidRPr="007D4CB3">
              <w:rPr>
                <w:rFonts w:ascii="Times New Roman" w:hAnsi="Times New Roman" w:cs="Times New Roman"/>
                <w:sz w:val="24"/>
              </w:rPr>
              <w:t>mg IM</w:t>
            </w:r>
          </w:p>
        </w:tc>
        <w:tc>
          <w:tcPr>
            <w:tcW w:w="2250" w:type="dxa"/>
          </w:tcPr>
          <w:p w14:paraId="32144CAC" w14:textId="77777777"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Acute agitation with psychosis</w:t>
            </w:r>
          </w:p>
          <w:p w14:paraId="4FCE3820" w14:textId="77777777"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Agitation not responding to BZDs</w:t>
            </w:r>
          </w:p>
          <w:p w14:paraId="354C1511" w14:textId="77777777"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Toxic psychosis</w:t>
            </w:r>
          </w:p>
        </w:tc>
        <w:tc>
          <w:tcPr>
            <w:tcW w:w="2520" w:type="dxa"/>
          </w:tcPr>
          <w:p w14:paraId="42D1072A" w14:textId="77777777"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Consider atypical or newer generation antipsychotics as alternatives</w:t>
            </w:r>
          </w:p>
          <w:p w14:paraId="680CB5DD" w14:textId="77777777"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Consider risk of QT prolongation</w:t>
            </w:r>
          </w:p>
        </w:tc>
      </w:tr>
      <w:tr w:rsidR="003365AE" w:rsidRPr="007D4CB3" w14:paraId="1519115F" w14:textId="77777777" w:rsidTr="00C740AC">
        <w:trPr>
          <w:cantSplit/>
          <w:trHeight w:val="300"/>
        </w:trPr>
        <w:tc>
          <w:tcPr>
            <w:tcW w:w="1885" w:type="dxa"/>
          </w:tcPr>
          <w:p w14:paraId="70A21F15" w14:textId="77777777"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Atypical</w:t>
            </w:r>
          </w:p>
        </w:tc>
        <w:tc>
          <w:tcPr>
            <w:tcW w:w="1350" w:type="dxa"/>
          </w:tcPr>
          <w:p w14:paraId="168F53B4" w14:textId="0AAD26E2"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 xml:space="preserve">Dopamine antagonism +/- </w:t>
            </w:r>
            <w:r w:rsidR="00C57CA8" w:rsidRPr="007D4CB3">
              <w:rPr>
                <w:rFonts w:ascii="Times New Roman" w:hAnsi="Times New Roman" w:cs="Times New Roman"/>
                <w:sz w:val="24"/>
              </w:rPr>
              <w:t>o</w:t>
            </w:r>
            <w:r w:rsidRPr="007D4CB3">
              <w:rPr>
                <w:rFonts w:ascii="Times New Roman" w:hAnsi="Times New Roman" w:cs="Times New Roman"/>
                <w:sz w:val="24"/>
              </w:rPr>
              <w:t>ther</w:t>
            </w:r>
          </w:p>
        </w:tc>
        <w:tc>
          <w:tcPr>
            <w:tcW w:w="2070" w:type="dxa"/>
          </w:tcPr>
          <w:p w14:paraId="138AE999" w14:textId="0F5E0EE8"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Olanzapine 5</w:t>
            </w:r>
            <w:r w:rsidR="00054FE3" w:rsidRPr="007D4CB3">
              <w:rPr>
                <w:rFonts w:ascii="Times New Roman" w:hAnsi="Times New Roman" w:cs="Times New Roman"/>
                <w:sz w:val="24"/>
              </w:rPr>
              <w:t> </w:t>
            </w:r>
            <w:r w:rsidRPr="007D4CB3">
              <w:rPr>
                <w:rFonts w:ascii="Times New Roman" w:hAnsi="Times New Roman" w:cs="Times New Roman"/>
                <w:sz w:val="24"/>
              </w:rPr>
              <w:t xml:space="preserve">mg </w:t>
            </w:r>
            <w:r w:rsidR="00C57CA8" w:rsidRPr="007D4CB3">
              <w:rPr>
                <w:rFonts w:ascii="Times New Roman" w:hAnsi="Times New Roman" w:cs="Times New Roman"/>
                <w:sz w:val="24"/>
              </w:rPr>
              <w:t>PO</w:t>
            </w:r>
          </w:p>
          <w:p w14:paraId="533057D1" w14:textId="270B071E"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Quetiapine 50</w:t>
            </w:r>
            <w:r w:rsidR="00054FE3" w:rsidRPr="007D4CB3">
              <w:rPr>
                <w:rFonts w:ascii="Times New Roman" w:hAnsi="Times New Roman" w:cs="Times New Roman"/>
                <w:sz w:val="24"/>
              </w:rPr>
              <w:t>–</w:t>
            </w:r>
            <w:r w:rsidRPr="007D4CB3">
              <w:rPr>
                <w:rFonts w:ascii="Times New Roman" w:hAnsi="Times New Roman" w:cs="Times New Roman"/>
                <w:sz w:val="24"/>
              </w:rPr>
              <w:t>100</w:t>
            </w:r>
            <w:r w:rsidR="00A3114B" w:rsidRPr="007D4CB3">
              <w:rPr>
                <w:rFonts w:ascii="Times New Roman" w:hAnsi="Times New Roman" w:cs="Times New Roman"/>
                <w:sz w:val="24"/>
              </w:rPr>
              <w:t xml:space="preserve"> </w:t>
            </w:r>
            <w:r w:rsidRPr="007D4CB3">
              <w:rPr>
                <w:rFonts w:ascii="Times New Roman" w:hAnsi="Times New Roman" w:cs="Times New Roman"/>
                <w:sz w:val="24"/>
              </w:rPr>
              <w:t xml:space="preserve">mg </w:t>
            </w:r>
            <w:r w:rsidR="00355D4A" w:rsidRPr="007D4CB3">
              <w:rPr>
                <w:rFonts w:ascii="Times New Roman" w:hAnsi="Times New Roman" w:cs="Times New Roman"/>
                <w:sz w:val="24"/>
              </w:rPr>
              <w:t xml:space="preserve">PO </w:t>
            </w:r>
            <w:r w:rsidRPr="007D4CB3">
              <w:rPr>
                <w:rFonts w:ascii="Times New Roman" w:hAnsi="Times New Roman" w:cs="Times New Roman"/>
                <w:sz w:val="24"/>
              </w:rPr>
              <w:t>at night</w:t>
            </w:r>
          </w:p>
        </w:tc>
        <w:tc>
          <w:tcPr>
            <w:tcW w:w="2250" w:type="dxa"/>
          </w:tcPr>
          <w:p w14:paraId="00A5C07A" w14:textId="77777777"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Anxiety or agitation with psychotic features</w:t>
            </w:r>
          </w:p>
          <w:p w14:paraId="71D5A9BC" w14:textId="77777777"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Stimulant-induced psychosis</w:t>
            </w:r>
          </w:p>
          <w:p w14:paraId="2CDD91F4" w14:textId="77777777"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Stimulant-induced sleep derangements</w:t>
            </w:r>
          </w:p>
        </w:tc>
        <w:tc>
          <w:tcPr>
            <w:tcW w:w="2520" w:type="dxa"/>
          </w:tcPr>
          <w:p w14:paraId="4B34F802" w14:textId="6AFA35E1"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Consider risk of QT prolongation</w:t>
            </w:r>
          </w:p>
          <w:p w14:paraId="4A1B51AC" w14:textId="549238B7"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 xml:space="preserve">For olanzapine, degree of symptoms to balance </w:t>
            </w:r>
            <w:r w:rsidR="002928C5" w:rsidRPr="007D4CB3">
              <w:rPr>
                <w:rFonts w:ascii="Times New Roman" w:hAnsi="Times New Roman" w:cs="Times New Roman"/>
                <w:sz w:val="24"/>
              </w:rPr>
              <w:t>needs</w:t>
            </w:r>
            <w:r w:rsidRPr="007D4CB3">
              <w:rPr>
                <w:rFonts w:ascii="Times New Roman" w:hAnsi="Times New Roman" w:cs="Times New Roman"/>
                <w:sz w:val="24"/>
              </w:rPr>
              <w:t xml:space="preserve"> for </w:t>
            </w:r>
            <w:r w:rsidR="00C57CA8" w:rsidRPr="007D4CB3">
              <w:rPr>
                <w:rFonts w:ascii="Times New Roman" w:hAnsi="Times New Roman" w:cs="Times New Roman"/>
                <w:sz w:val="24"/>
              </w:rPr>
              <w:t>PO</w:t>
            </w:r>
            <w:r w:rsidR="00556379" w:rsidRPr="007D4CB3">
              <w:rPr>
                <w:rFonts w:ascii="Times New Roman" w:hAnsi="Times New Roman" w:cs="Times New Roman"/>
                <w:sz w:val="24"/>
              </w:rPr>
              <w:t xml:space="preserve"> vs. </w:t>
            </w:r>
            <w:r w:rsidRPr="007D4CB3">
              <w:rPr>
                <w:rFonts w:ascii="Times New Roman" w:hAnsi="Times New Roman" w:cs="Times New Roman"/>
                <w:sz w:val="24"/>
              </w:rPr>
              <w:t>IM</w:t>
            </w:r>
          </w:p>
        </w:tc>
      </w:tr>
      <w:tr w:rsidR="003365AE" w:rsidRPr="007D4CB3" w14:paraId="381DA023" w14:textId="77777777" w:rsidTr="00C740AC">
        <w:trPr>
          <w:cantSplit/>
          <w:trHeight w:val="300"/>
        </w:trPr>
        <w:tc>
          <w:tcPr>
            <w:tcW w:w="10075" w:type="dxa"/>
            <w:gridSpan w:val="5"/>
          </w:tcPr>
          <w:p w14:paraId="7DBC33D6" w14:textId="77777777" w:rsidR="003365AE" w:rsidRPr="007D4CB3" w:rsidRDefault="003365AE" w:rsidP="00FC7CE6">
            <w:pPr>
              <w:pStyle w:val="StUDTableText"/>
              <w:spacing w:before="0" w:after="0" w:line="360" w:lineRule="auto"/>
              <w:rPr>
                <w:rFonts w:ascii="Times New Roman" w:hAnsi="Times New Roman" w:cs="Times New Roman"/>
                <w:b/>
                <w:i/>
                <w:sz w:val="24"/>
              </w:rPr>
            </w:pPr>
            <w:r w:rsidRPr="007D4CB3">
              <w:rPr>
                <w:rFonts w:ascii="Times New Roman" w:hAnsi="Times New Roman" w:cs="Times New Roman"/>
                <w:b/>
                <w:i/>
                <w:sz w:val="24"/>
              </w:rPr>
              <w:t>Other</w:t>
            </w:r>
          </w:p>
        </w:tc>
      </w:tr>
      <w:tr w:rsidR="003365AE" w:rsidRPr="007D4CB3" w14:paraId="5F2A5380" w14:textId="77777777" w:rsidTr="00C740AC">
        <w:trPr>
          <w:cantSplit/>
          <w:trHeight w:val="300"/>
        </w:trPr>
        <w:tc>
          <w:tcPr>
            <w:tcW w:w="1885" w:type="dxa"/>
          </w:tcPr>
          <w:p w14:paraId="6395413E" w14:textId="77777777"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Ketamine</w:t>
            </w:r>
          </w:p>
        </w:tc>
        <w:tc>
          <w:tcPr>
            <w:tcW w:w="1350" w:type="dxa"/>
          </w:tcPr>
          <w:p w14:paraId="6FF4E241" w14:textId="490E94F6"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NMD</w:t>
            </w:r>
            <w:r w:rsidR="0086055C" w:rsidRPr="007D4CB3">
              <w:rPr>
                <w:rFonts w:ascii="Times New Roman" w:hAnsi="Times New Roman" w:cs="Times New Roman"/>
                <w:sz w:val="24"/>
              </w:rPr>
              <w:t>A</w:t>
            </w:r>
            <w:r w:rsidRPr="007D4CB3">
              <w:rPr>
                <w:rFonts w:ascii="Times New Roman" w:hAnsi="Times New Roman" w:cs="Times New Roman"/>
                <w:sz w:val="24"/>
              </w:rPr>
              <w:t xml:space="preserve"> receptor antagonism</w:t>
            </w:r>
          </w:p>
        </w:tc>
        <w:tc>
          <w:tcPr>
            <w:tcW w:w="2070" w:type="dxa"/>
          </w:tcPr>
          <w:p w14:paraId="2098C5AF" w14:textId="13D0F69C"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1</w:t>
            </w:r>
            <w:r w:rsidR="00054FE3" w:rsidRPr="007D4CB3">
              <w:rPr>
                <w:rFonts w:ascii="Times New Roman" w:hAnsi="Times New Roman" w:cs="Times New Roman"/>
                <w:sz w:val="24"/>
              </w:rPr>
              <w:t>–</w:t>
            </w:r>
            <w:r w:rsidRPr="007D4CB3">
              <w:rPr>
                <w:rFonts w:ascii="Times New Roman" w:hAnsi="Times New Roman" w:cs="Times New Roman"/>
                <w:sz w:val="24"/>
              </w:rPr>
              <w:t>5</w:t>
            </w:r>
            <w:r w:rsidR="00054FE3" w:rsidRPr="007D4CB3">
              <w:rPr>
                <w:rFonts w:ascii="Times New Roman" w:hAnsi="Times New Roman" w:cs="Times New Roman"/>
                <w:sz w:val="24"/>
              </w:rPr>
              <w:t> </w:t>
            </w:r>
            <w:r w:rsidRPr="007D4CB3">
              <w:rPr>
                <w:rFonts w:ascii="Times New Roman" w:hAnsi="Times New Roman" w:cs="Times New Roman"/>
                <w:sz w:val="24"/>
              </w:rPr>
              <w:t>mg/kg IM depending on degree of agitation</w:t>
            </w:r>
          </w:p>
        </w:tc>
        <w:tc>
          <w:tcPr>
            <w:tcW w:w="2250" w:type="dxa"/>
          </w:tcPr>
          <w:p w14:paraId="1FE49DF9" w14:textId="77777777"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For severe agitation as primary or secondary agent</w:t>
            </w:r>
          </w:p>
        </w:tc>
        <w:tc>
          <w:tcPr>
            <w:tcW w:w="2520" w:type="dxa"/>
          </w:tcPr>
          <w:p w14:paraId="208D134E" w14:textId="797F04C9" w:rsidR="003365AE" w:rsidRPr="007D4CB3" w:rsidRDefault="003365AE" w:rsidP="00FC7CE6">
            <w:pPr>
              <w:pStyle w:val="StUDTableText"/>
              <w:spacing w:before="0" w:after="0" w:line="360" w:lineRule="auto"/>
              <w:rPr>
                <w:rFonts w:ascii="Times New Roman" w:hAnsi="Times New Roman" w:cs="Times New Roman"/>
                <w:sz w:val="24"/>
              </w:rPr>
            </w:pPr>
            <w:r w:rsidRPr="007D4CB3">
              <w:rPr>
                <w:rFonts w:ascii="Times New Roman" w:hAnsi="Times New Roman" w:cs="Times New Roman"/>
                <w:sz w:val="24"/>
              </w:rPr>
              <w:t xml:space="preserve">Rapid </w:t>
            </w:r>
            <w:r w:rsidR="00235FDB" w:rsidRPr="007D4CB3">
              <w:rPr>
                <w:rFonts w:ascii="Times New Roman" w:hAnsi="Times New Roman" w:cs="Times New Roman"/>
                <w:sz w:val="24"/>
              </w:rPr>
              <w:t xml:space="preserve">IM </w:t>
            </w:r>
            <w:r w:rsidRPr="007D4CB3">
              <w:rPr>
                <w:rFonts w:ascii="Times New Roman" w:hAnsi="Times New Roman" w:cs="Times New Roman"/>
                <w:sz w:val="24"/>
              </w:rPr>
              <w:t>onset of action compared to other agents</w:t>
            </w:r>
          </w:p>
        </w:tc>
      </w:tr>
    </w:tbl>
    <w:p w14:paraId="359A514E" w14:textId="15DD7AB4" w:rsidR="00E06E3A" w:rsidRPr="007D4CB3" w:rsidRDefault="00503F39" w:rsidP="00FC7CE6">
      <w:pPr>
        <w:pStyle w:val="NoSpacing"/>
        <w:spacing w:before="0" w:line="360" w:lineRule="auto"/>
        <w:ind w:left="0" w:firstLine="0"/>
        <w:rPr>
          <w:rFonts w:ascii="Times New Roman" w:hAnsi="Times New Roman" w:cs="Times New Roman"/>
          <w:sz w:val="24"/>
          <w:szCs w:val="24"/>
        </w:rPr>
      </w:pPr>
      <w:r w:rsidRPr="007D4CB3">
        <w:rPr>
          <w:rFonts w:ascii="Times New Roman" w:hAnsi="Times New Roman" w:cs="Times New Roman"/>
          <w:sz w:val="24"/>
          <w:szCs w:val="24"/>
        </w:rPr>
        <w:t>BZD</w:t>
      </w:r>
      <w:r w:rsidR="006755E2" w:rsidRPr="007D4CB3">
        <w:rPr>
          <w:rFonts w:ascii="Times New Roman" w:hAnsi="Times New Roman" w:cs="Times New Roman"/>
          <w:sz w:val="24"/>
          <w:szCs w:val="24"/>
        </w:rPr>
        <w:t>,</w:t>
      </w:r>
      <w:r w:rsidRPr="007D4CB3">
        <w:rPr>
          <w:rFonts w:ascii="Times New Roman" w:hAnsi="Times New Roman" w:cs="Times New Roman"/>
          <w:sz w:val="24"/>
          <w:szCs w:val="24"/>
        </w:rPr>
        <w:t xml:space="preserve"> </w:t>
      </w:r>
      <w:r w:rsidR="006755E2" w:rsidRPr="007D4CB3">
        <w:rPr>
          <w:rFonts w:ascii="Times New Roman" w:hAnsi="Times New Roman" w:cs="Times New Roman"/>
          <w:sz w:val="24"/>
          <w:szCs w:val="24"/>
        </w:rPr>
        <w:t>b</w:t>
      </w:r>
      <w:r w:rsidRPr="007D4CB3">
        <w:rPr>
          <w:rFonts w:ascii="Times New Roman" w:hAnsi="Times New Roman" w:cs="Times New Roman"/>
          <w:sz w:val="24"/>
          <w:szCs w:val="24"/>
        </w:rPr>
        <w:t>enzodiazepine; ED</w:t>
      </w:r>
      <w:r w:rsidR="006755E2" w:rsidRPr="007D4CB3">
        <w:rPr>
          <w:rFonts w:ascii="Times New Roman" w:hAnsi="Times New Roman" w:cs="Times New Roman"/>
          <w:sz w:val="24"/>
          <w:szCs w:val="24"/>
        </w:rPr>
        <w:t>,</w:t>
      </w:r>
      <w:r w:rsidRPr="007D4CB3">
        <w:rPr>
          <w:rFonts w:ascii="Times New Roman" w:hAnsi="Times New Roman" w:cs="Times New Roman"/>
          <w:sz w:val="24"/>
          <w:szCs w:val="24"/>
        </w:rPr>
        <w:t xml:space="preserve"> </w:t>
      </w:r>
      <w:r w:rsidR="006755E2" w:rsidRPr="007D4CB3">
        <w:rPr>
          <w:rFonts w:ascii="Times New Roman" w:hAnsi="Times New Roman" w:cs="Times New Roman"/>
          <w:sz w:val="24"/>
          <w:szCs w:val="24"/>
        </w:rPr>
        <w:t>e</w:t>
      </w:r>
      <w:r w:rsidRPr="007D4CB3">
        <w:rPr>
          <w:rFonts w:ascii="Times New Roman" w:hAnsi="Times New Roman" w:cs="Times New Roman"/>
          <w:sz w:val="24"/>
          <w:szCs w:val="24"/>
        </w:rPr>
        <w:t xml:space="preserve">mergency </w:t>
      </w:r>
      <w:r w:rsidR="006755E2" w:rsidRPr="007D4CB3">
        <w:rPr>
          <w:rFonts w:ascii="Times New Roman" w:hAnsi="Times New Roman" w:cs="Times New Roman"/>
          <w:sz w:val="24"/>
          <w:szCs w:val="24"/>
        </w:rPr>
        <w:t>d</w:t>
      </w:r>
      <w:r w:rsidRPr="007D4CB3">
        <w:rPr>
          <w:rFonts w:ascii="Times New Roman" w:hAnsi="Times New Roman" w:cs="Times New Roman"/>
          <w:sz w:val="24"/>
          <w:szCs w:val="24"/>
        </w:rPr>
        <w:t>epartment</w:t>
      </w:r>
      <w:r w:rsidR="002E3DC0" w:rsidRPr="007D4CB3">
        <w:rPr>
          <w:rFonts w:ascii="Times New Roman" w:hAnsi="Times New Roman" w:cs="Times New Roman"/>
          <w:sz w:val="24"/>
          <w:szCs w:val="24"/>
        </w:rPr>
        <w:t xml:space="preserve">; </w:t>
      </w:r>
      <w:r w:rsidRPr="007D4CB3">
        <w:rPr>
          <w:rFonts w:ascii="Times New Roman" w:hAnsi="Times New Roman" w:cs="Times New Roman"/>
          <w:sz w:val="24"/>
          <w:szCs w:val="24"/>
        </w:rPr>
        <w:t>ICU</w:t>
      </w:r>
      <w:r w:rsidR="006755E2" w:rsidRPr="007D4CB3">
        <w:rPr>
          <w:rFonts w:ascii="Times New Roman" w:hAnsi="Times New Roman" w:cs="Times New Roman"/>
          <w:sz w:val="24"/>
          <w:szCs w:val="24"/>
        </w:rPr>
        <w:t>,</w:t>
      </w:r>
      <w:r w:rsidRPr="007D4CB3">
        <w:rPr>
          <w:rFonts w:ascii="Times New Roman" w:hAnsi="Times New Roman" w:cs="Times New Roman"/>
          <w:sz w:val="24"/>
          <w:szCs w:val="24"/>
        </w:rPr>
        <w:t xml:space="preserve"> </w:t>
      </w:r>
      <w:r w:rsidR="006755E2" w:rsidRPr="007D4CB3">
        <w:rPr>
          <w:rFonts w:ascii="Times New Roman" w:hAnsi="Times New Roman" w:cs="Times New Roman"/>
          <w:sz w:val="24"/>
          <w:szCs w:val="24"/>
        </w:rPr>
        <w:t>i</w:t>
      </w:r>
      <w:r w:rsidRPr="007D4CB3">
        <w:rPr>
          <w:rFonts w:ascii="Times New Roman" w:hAnsi="Times New Roman" w:cs="Times New Roman"/>
          <w:sz w:val="24"/>
          <w:szCs w:val="24"/>
        </w:rPr>
        <w:t xml:space="preserve">ntensive </w:t>
      </w:r>
      <w:r w:rsidR="006755E2" w:rsidRPr="007D4CB3">
        <w:rPr>
          <w:rFonts w:ascii="Times New Roman" w:hAnsi="Times New Roman" w:cs="Times New Roman"/>
          <w:sz w:val="24"/>
          <w:szCs w:val="24"/>
        </w:rPr>
        <w:t>c</w:t>
      </w:r>
      <w:r w:rsidRPr="007D4CB3">
        <w:rPr>
          <w:rFonts w:ascii="Times New Roman" w:hAnsi="Times New Roman" w:cs="Times New Roman"/>
          <w:sz w:val="24"/>
          <w:szCs w:val="24"/>
        </w:rPr>
        <w:t xml:space="preserve">are </w:t>
      </w:r>
      <w:r w:rsidR="006755E2" w:rsidRPr="007D4CB3">
        <w:rPr>
          <w:rFonts w:ascii="Times New Roman" w:hAnsi="Times New Roman" w:cs="Times New Roman"/>
          <w:sz w:val="24"/>
          <w:szCs w:val="24"/>
        </w:rPr>
        <w:t>u</w:t>
      </w:r>
      <w:r w:rsidRPr="007D4CB3">
        <w:rPr>
          <w:rFonts w:ascii="Times New Roman" w:hAnsi="Times New Roman" w:cs="Times New Roman"/>
          <w:sz w:val="24"/>
          <w:szCs w:val="24"/>
        </w:rPr>
        <w:t>nit</w:t>
      </w:r>
      <w:r w:rsidR="002E3DC0" w:rsidRPr="007D4CB3">
        <w:rPr>
          <w:rFonts w:ascii="Times New Roman" w:hAnsi="Times New Roman" w:cs="Times New Roman"/>
          <w:sz w:val="24"/>
          <w:szCs w:val="24"/>
        </w:rPr>
        <w:t xml:space="preserve">; </w:t>
      </w:r>
      <w:r w:rsidRPr="007D4CB3">
        <w:rPr>
          <w:rFonts w:ascii="Times New Roman" w:hAnsi="Times New Roman" w:cs="Times New Roman"/>
          <w:sz w:val="24"/>
          <w:szCs w:val="24"/>
        </w:rPr>
        <w:t>IM</w:t>
      </w:r>
      <w:r w:rsidR="006755E2" w:rsidRPr="007D4CB3">
        <w:rPr>
          <w:rFonts w:ascii="Times New Roman" w:hAnsi="Times New Roman" w:cs="Times New Roman"/>
          <w:sz w:val="24"/>
          <w:szCs w:val="24"/>
        </w:rPr>
        <w:t>,</w:t>
      </w:r>
      <w:r w:rsidRPr="007D4CB3">
        <w:rPr>
          <w:rFonts w:ascii="Times New Roman" w:hAnsi="Times New Roman" w:cs="Times New Roman"/>
          <w:sz w:val="24"/>
          <w:szCs w:val="24"/>
        </w:rPr>
        <w:t xml:space="preserve"> </w:t>
      </w:r>
      <w:r w:rsidR="005D6582" w:rsidRPr="007D4CB3">
        <w:rPr>
          <w:rFonts w:ascii="Times New Roman" w:hAnsi="Times New Roman" w:cs="Times New Roman"/>
          <w:sz w:val="24"/>
          <w:szCs w:val="24"/>
        </w:rPr>
        <w:t>i</w:t>
      </w:r>
      <w:r w:rsidRPr="007D4CB3">
        <w:rPr>
          <w:rFonts w:ascii="Times New Roman" w:hAnsi="Times New Roman" w:cs="Times New Roman"/>
          <w:sz w:val="24"/>
          <w:szCs w:val="24"/>
        </w:rPr>
        <w:t>ntramuscular</w:t>
      </w:r>
      <w:r w:rsidR="002E3DC0" w:rsidRPr="007D4CB3">
        <w:rPr>
          <w:rFonts w:ascii="Times New Roman" w:hAnsi="Times New Roman" w:cs="Times New Roman"/>
          <w:sz w:val="24"/>
          <w:szCs w:val="24"/>
        </w:rPr>
        <w:t xml:space="preserve">; </w:t>
      </w:r>
      <w:r w:rsidRPr="007D4CB3">
        <w:rPr>
          <w:rFonts w:ascii="Times New Roman" w:hAnsi="Times New Roman" w:cs="Times New Roman"/>
          <w:sz w:val="24"/>
          <w:szCs w:val="24"/>
        </w:rPr>
        <w:t>IV</w:t>
      </w:r>
      <w:r w:rsidR="005D6582" w:rsidRPr="007D4CB3">
        <w:rPr>
          <w:rFonts w:ascii="Times New Roman" w:hAnsi="Times New Roman" w:cs="Times New Roman"/>
          <w:sz w:val="24"/>
          <w:szCs w:val="24"/>
        </w:rPr>
        <w:t>,</w:t>
      </w:r>
      <w:r w:rsidRPr="007D4CB3">
        <w:rPr>
          <w:rFonts w:ascii="Times New Roman" w:hAnsi="Times New Roman" w:cs="Times New Roman"/>
          <w:sz w:val="24"/>
          <w:szCs w:val="24"/>
        </w:rPr>
        <w:t xml:space="preserve"> </w:t>
      </w:r>
      <w:r w:rsidR="005D6582" w:rsidRPr="007D4CB3">
        <w:rPr>
          <w:rFonts w:ascii="Times New Roman" w:hAnsi="Times New Roman" w:cs="Times New Roman"/>
          <w:sz w:val="24"/>
          <w:szCs w:val="24"/>
        </w:rPr>
        <w:t>i</w:t>
      </w:r>
      <w:r w:rsidRPr="007D4CB3">
        <w:rPr>
          <w:rFonts w:ascii="Times New Roman" w:hAnsi="Times New Roman" w:cs="Times New Roman"/>
          <w:sz w:val="24"/>
          <w:szCs w:val="24"/>
        </w:rPr>
        <w:t>ntravenous</w:t>
      </w:r>
      <w:r w:rsidR="005D6582" w:rsidRPr="007D4CB3">
        <w:rPr>
          <w:rFonts w:ascii="Times New Roman" w:hAnsi="Times New Roman" w:cs="Times New Roman"/>
          <w:sz w:val="24"/>
          <w:szCs w:val="24"/>
        </w:rPr>
        <w:t xml:space="preserve">; </w:t>
      </w:r>
      <w:r w:rsidRPr="007D4CB3">
        <w:rPr>
          <w:rFonts w:ascii="Times New Roman" w:hAnsi="Times New Roman" w:cs="Times New Roman"/>
          <w:sz w:val="24"/>
          <w:szCs w:val="24"/>
        </w:rPr>
        <w:t>NMDA</w:t>
      </w:r>
      <w:r w:rsidR="00470C85" w:rsidRPr="007D4CB3">
        <w:rPr>
          <w:rFonts w:ascii="Times New Roman" w:hAnsi="Times New Roman" w:cs="Times New Roman"/>
          <w:sz w:val="24"/>
          <w:szCs w:val="24"/>
        </w:rPr>
        <w:t>,</w:t>
      </w:r>
      <w:r w:rsidR="008266EB" w:rsidRPr="007D4CB3">
        <w:rPr>
          <w:rFonts w:ascii="Times New Roman" w:hAnsi="Times New Roman" w:cs="Times New Roman"/>
          <w:sz w:val="24"/>
          <w:szCs w:val="24"/>
        </w:rPr>
        <w:t xml:space="preserve"> N-methyl-D-aspartate</w:t>
      </w:r>
      <w:r w:rsidR="00470C85" w:rsidRPr="007D4CB3">
        <w:rPr>
          <w:rFonts w:ascii="Times New Roman" w:hAnsi="Times New Roman" w:cs="Times New Roman"/>
          <w:sz w:val="24"/>
          <w:szCs w:val="24"/>
        </w:rPr>
        <w:t xml:space="preserve">; </w:t>
      </w:r>
      <w:r w:rsidRPr="007D4CB3">
        <w:rPr>
          <w:rFonts w:ascii="Times New Roman" w:hAnsi="Times New Roman" w:cs="Times New Roman"/>
          <w:sz w:val="24"/>
          <w:szCs w:val="24"/>
        </w:rPr>
        <w:t>PBO</w:t>
      </w:r>
      <w:r w:rsidR="00470C85" w:rsidRPr="007D4CB3">
        <w:rPr>
          <w:rFonts w:ascii="Times New Roman" w:hAnsi="Times New Roman" w:cs="Times New Roman"/>
          <w:sz w:val="24"/>
          <w:szCs w:val="24"/>
        </w:rPr>
        <w:t>,</w:t>
      </w:r>
      <w:r w:rsidRPr="007D4CB3">
        <w:rPr>
          <w:rFonts w:ascii="Times New Roman" w:hAnsi="Times New Roman" w:cs="Times New Roman"/>
          <w:sz w:val="24"/>
          <w:szCs w:val="24"/>
        </w:rPr>
        <w:t xml:space="preserve"> </w:t>
      </w:r>
      <w:r w:rsidR="00470C85" w:rsidRPr="007D4CB3">
        <w:rPr>
          <w:rFonts w:ascii="Times New Roman" w:hAnsi="Times New Roman" w:cs="Times New Roman"/>
          <w:sz w:val="24"/>
          <w:szCs w:val="24"/>
        </w:rPr>
        <w:t>p</w:t>
      </w:r>
      <w:r w:rsidRPr="007D4CB3">
        <w:rPr>
          <w:rFonts w:ascii="Times New Roman" w:hAnsi="Times New Roman" w:cs="Times New Roman"/>
          <w:sz w:val="24"/>
          <w:szCs w:val="24"/>
        </w:rPr>
        <w:t>henobarbital</w:t>
      </w:r>
      <w:r w:rsidR="0042613C" w:rsidRPr="007D4CB3">
        <w:rPr>
          <w:rFonts w:ascii="Times New Roman" w:hAnsi="Times New Roman" w:cs="Times New Roman"/>
          <w:sz w:val="24"/>
          <w:szCs w:val="24"/>
        </w:rPr>
        <w:t xml:space="preserve">; PO, </w:t>
      </w:r>
      <w:r w:rsidR="0042613C" w:rsidRPr="007D4CB3">
        <w:rPr>
          <w:rFonts w:ascii="Times New Roman" w:hAnsi="Times New Roman" w:cs="Times New Roman"/>
          <w:i/>
          <w:iCs/>
          <w:sz w:val="24"/>
          <w:szCs w:val="24"/>
        </w:rPr>
        <w:t>per os</w:t>
      </w:r>
      <w:r w:rsidR="0042613C" w:rsidRPr="007D4CB3">
        <w:rPr>
          <w:rFonts w:ascii="Times New Roman" w:hAnsi="Times New Roman" w:cs="Times New Roman"/>
          <w:sz w:val="24"/>
          <w:szCs w:val="24"/>
        </w:rPr>
        <w:t xml:space="preserve"> (by mouth</w:t>
      </w:r>
      <w:r w:rsidR="0010457B" w:rsidRPr="007D4CB3">
        <w:rPr>
          <w:rFonts w:ascii="Times New Roman" w:hAnsi="Times New Roman" w:cs="Times New Roman"/>
          <w:sz w:val="24"/>
          <w:szCs w:val="24"/>
        </w:rPr>
        <w:t>/oral</w:t>
      </w:r>
      <w:r w:rsidR="0042613C" w:rsidRPr="007D4CB3">
        <w:rPr>
          <w:rFonts w:ascii="Times New Roman" w:hAnsi="Times New Roman" w:cs="Times New Roman"/>
          <w:sz w:val="24"/>
          <w:szCs w:val="24"/>
        </w:rPr>
        <w:t>)</w:t>
      </w:r>
    </w:p>
    <w:sectPr w:rsidR="00E06E3A" w:rsidRPr="007D4CB3" w:rsidSect="00E6227A">
      <w:footnotePr>
        <w:numFmt w:val="chicago"/>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D38DE" w14:textId="77777777" w:rsidR="00792F3E" w:rsidRDefault="00792F3E" w:rsidP="00530DD7">
      <w:r>
        <w:separator/>
      </w:r>
    </w:p>
  </w:endnote>
  <w:endnote w:type="continuationSeparator" w:id="0">
    <w:p w14:paraId="61B499CF" w14:textId="77777777" w:rsidR="00792F3E" w:rsidRDefault="00792F3E" w:rsidP="00530DD7">
      <w:r>
        <w:continuationSeparator/>
      </w:r>
    </w:p>
  </w:endnote>
  <w:endnote w:type="continuationNotice" w:id="1">
    <w:p w14:paraId="3032914C" w14:textId="77777777" w:rsidR="00792F3E" w:rsidRDefault="00792F3E" w:rsidP="00530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Pro">
    <w:charset w:val="00"/>
    <w:family w:val="roman"/>
    <w:pitch w:val="variable"/>
    <w:sig w:usb0="800002AF" w:usb1="00000003"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8DA5" w14:textId="6DE1E34C" w:rsidR="004111CA" w:rsidRDefault="00411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762152"/>
      <w:docPartObj>
        <w:docPartGallery w:val="Page Numbers (Bottom of Page)"/>
        <w:docPartUnique/>
      </w:docPartObj>
    </w:sdtPr>
    <w:sdtEndPr>
      <w:rPr>
        <w:noProof/>
      </w:rPr>
    </w:sdtEndPr>
    <w:sdtContent>
      <w:p w14:paraId="2B3192F3" w14:textId="1104024D" w:rsidR="00FA3EFD" w:rsidRPr="00477F98" w:rsidRDefault="00FA3EFD">
        <w:pPr>
          <w:pStyle w:val="Footer"/>
          <w:jc w:val="center"/>
        </w:pPr>
        <w:r w:rsidRPr="00477F98">
          <w:fldChar w:fldCharType="begin"/>
        </w:r>
        <w:r w:rsidRPr="00477F98">
          <w:instrText xml:space="preserve"> PAGE   \* MERGEFORMAT </w:instrText>
        </w:r>
        <w:r w:rsidRPr="00477F98">
          <w:fldChar w:fldCharType="separate"/>
        </w:r>
        <w:r w:rsidRPr="00477F98">
          <w:rPr>
            <w:noProof/>
          </w:rPr>
          <w:t>2</w:t>
        </w:r>
        <w:r w:rsidRPr="00477F98">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B382" w14:textId="78088230" w:rsidR="004111CA" w:rsidRDefault="00411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B8134" w14:textId="77777777" w:rsidR="00792F3E" w:rsidRDefault="00792F3E" w:rsidP="00530DD7">
      <w:r>
        <w:separator/>
      </w:r>
    </w:p>
  </w:footnote>
  <w:footnote w:type="continuationSeparator" w:id="0">
    <w:p w14:paraId="6E7C17FB" w14:textId="77777777" w:rsidR="00792F3E" w:rsidRDefault="00792F3E" w:rsidP="00530DD7">
      <w:r>
        <w:continuationSeparator/>
      </w:r>
    </w:p>
  </w:footnote>
  <w:footnote w:type="continuationNotice" w:id="1">
    <w:p w14:paraId="04F3A29D" w14:textId="77777777" w:rsidR="00792F3E" w:rsidRDefault="00792F3E" w:rsidP="00530D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8770" w14:textId="60F5135B" w:rsidR="00356D66" w:rsidRPr="00477F98" w:rsidRDefault="006733D6" w:rsidP="00FA3EFD">
    <w:pPr>
      <w:pStyle w:val="Header"/>
      <w:jc w:val="center"/>
      <w:rPr>
        <w:color w:val="595959" w:themeColor="text1" w:themeTint="A6"/>
      </w:rPr>
    </w:pPr>
    <w:r w:rsidRPr="00477F98">
      <w:rPr>
        <w:color w:val="595959" w:themeColor="text1" w:themeTint="A6"/>
      </w:rPr>
      <w:t>The ASAM/AAAP Clinical Practice Guideline on the</w:t>
    </w:r>
    <w:r w:rsidR="00FA3EFD" w:rsidRPr="00477F98">
      <w:rPr>
        <w:color w:val="595959" w:themeColor="text1" w:themeTint="A6"/>
      </w:rPr>
      <w:t xml:space="preserve"> </w:t>
    </w:r>
    <w:r w:rsidRPr="00477F98">
      <w:rPr>
        <w:color w:val="595959" w:themeColor="text1" w:themeTint="A6"/>
      </w:rPr>
      <w:t>Management of Stimulant Use Disorder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DE731" w14:textId="0DD9CFE0" w:rsidR="004111CA" w:rsidRDefault="004111CA">
    <w:pPr>
      <w:pStyle w:val="Header"/>
    </w:pPr>
  </w:p>
</w:hdr>
</file>

<file path=word/intelligence2.xml><?xml version="1.0" encoding="utf-8"?>
<int2:intelligence xmlns:int2="http://schemas.microsoft.com/office/intelligence/2020/intelligence" xmlns:oel="http://schemas.microsoft.com/office/2019/extlst">
  <int2:observations>
    <int2:textHash int2:hashCode="x1LsRcRln3Oxm3" int2:id="9KUJhini">
      <int2:state int2:value="Rejected" int2:type="LegacyProofing"/>
    </int2:textHash>
    <int2:textHash int2:hashCode="9459Or1Oc8CYMW" int2:id="QdXxKq2o">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5B5"/>
    <w:multiLevelType w:val="hybridMultilevel"/>
    <w:tmpl w:val="7EBE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A3A45"/>
    <w:multiLevelType w:val="hybridMultilevel"/>
    <w:tmpl w:val="136202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D522FE"/>
    <w:multiLevelType w:val="hybridMultilevel"/>
    <w:tmpl w:val="4340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30870"/>
    <w:multiLevelType w:val="hybridMultilevel"/>
    <w:tmpl w:val="D07A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D71AC"/>
    <w:multiLevelType w:val="multilevel"/>
    <w:tmpl w:val="ECBEBBA2"/>
    <w:name w:val="RecommendationList2222222222"/>
    <w:lvl w:ilvl="0">
      <w:start w:val="1"/>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2.%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710501"/>
    <w:multiLevelType w:val="hybridMultilevel"/>
    <w:tmpl w:val="D566307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BBE19E0"/>
    <w:multiLevelType w:val="hybridMultilevel"/>
    <w:tmpl w:val="E728753C"/>
    <w:name w:val="RecommendationList22222222223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A1930"/>
    <w:multiLevelType w:val="hybridMultilevel"/>
    <w:tmpl w:val="D8BC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60EC7"/>
    <w:multiLevelType w:val="hybridMultilevel"/>
    <w:tmpl w:val="43C4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D402A"/>
    <w:multiLevelType w:val="hybridMultilevel"/>
    <w:tmpl w:val="8CEA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26EB6"/>
    <w:multiLevelType w:val="hybridMultilevel"/>
    <w:tmpl w:val="7F9860F4"/>
    <w:lvl w:ilvl="0" w:tplc="F3F0E4D4">
      <w:start w:val="1"/>
      <w:numFmt w:val="bullet"/>
      <w:pStyle w:val="StUDEtDbullets"/>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561FB7"/>
    <w:multiLevelType w:val="hybridMultilevel"/>
    <w:tmpl w:val="B8B8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60CC3"/>
    <w:multiLevelType w:val="hybridMultilevel"/>
    <w:tmpl w:val="FE5A5624"/>
    <w:name w:val="RecommendationList2222222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50DE4"/>
    <w:multiLevelType w:val="hybridMultilevel"/>
    <w:tmpl w:val="44FA9D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C2827A8"/>
    <w:multiLevelType w:val="hybridMultilevel"/>
    <w:tmpl w:val="2CDA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54D08"/>
    <w:multiLevelType w:val="hybridMultilevel"/>
    <w:tmpl w:val="D56630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8B7F29"/>
    <w:multiLevelType w:val="hybridMultilevel"/>
    <w:tmpl w:val="1E14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107A8"/>
    <w:multiLevelType w:val="hybridMultilevel"/>
    <w:tmpl w:val="E624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16C57"/>
    <w:multiLevelType w:val="hybridMultilevel"/>
    <w:tmpl w:val="FA7E4F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CF6565"/>
    <w:multiLevelType w:val="hybridMultilevel"/>
    <w:tmpl w:val="441E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7030B"/>
    <w:multiLevelType w:val="multilevel"/>
    <w:tmpl w:val="C878161C"/>
    <w:name w:val="RecommendationList2222222222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6211C9"/>
    <w:multiLevelType w:val="hybridMultilevel"/>
    <w:tmpl w:val="E836FBA0"/>
    <w:lvl w:ilvl="0" w:tplc="EE8863AE">
      <w:start w:val="1"/>
      <w:numFmt w:val="lowerLetter"/>
      <w:lvlText w:val="%1."/>
      <w:lvlJc w:val="left"/>
      <w:pPr>
        <w:ind w:left="144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420095"/>
    <w:multiLevelType w:val="hybridMultilevel"/>
    <w:tmpl w:val="D566307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7E23086"/>
    <w:multiLevelType w:val="hybridMultilevel"/>
    <w:tmpl w:val="779A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20DD0"/>
    <w:multiLevelType w:val="hybridMultilevel"/>
    <w:tmpl w:val="D234BE02"/>
    <w:lvl w:ilvl="0" w:tplc="AB66FE78">
      <w:start w:val="1"/>
      <w:numFmt w:val="decimal"/>
      <w:pStyle w:val="StUDRecs"/>
      <w:lvlText w:val="%1."/>
      <w:lvlJc w:val="left"/>
      <w:pPr>
        <w:ind w:left="360" w:hanging="360"/>
      </w:pPr>
      <w:rPr>
        <w:rFonts w:hint="default"/>
        <w:sz w:val="24"/>
        <w:szCs w:val="24"/>
      </w:rPr>
    </w:lvl>
    <w:lvl w:ilvl="1" w:tplc="EE8863AE">
      <w:start w:val="1"/>
      <w:numFmt w:val="lowerLetter"/>
      <w:lvlText w:val="%2."/>
      <w:lvlJc w:val="left"/>
      <w:pPr>
        <w:ind w:left="1080" w:hanging="360"/>
      </w:pPr>
      <w:rPr>
        <w:rFonts w:ascii="Cambria" w:hAnsi="Cambria"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80092F"/>
    <w:multiLevelType w:val="hybridMultilevel"/>
    <w:tmpl w:val="E40E75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EF43ED"/>
    <w:multiLevelType w:val="hybridMultilevel"/>
    <w:tmpl w:val="3844FF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57A43DA"/>
    <w:multiLevelType w:val="hybridMultilevel"/>
    <w:tmpl w:val="7A9C3174"/>
    <w:lvl w:ilvl="0" w:tplc="EE8863AE">
      <w:start w:val="1"/>
      <w:numFmt w:val="lowerLetter"/>
      <w:lvlText w:val="%1."/>
      <w:lvlJc w:val="left"/>
      <w:pPr>
        <w:ind w:left="108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960682"/>
    <w:multiLevelType w:val="hybridMultilevel"/>
    <w:tmpl w:val="790406A8"/>
    <w:name w:val="RecommendationList22222222223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A679B"/>
    <w:multiLevelType w:val="hybridMultilevel"/>
    <w:tmpl w:val="DEE21CDE"/>
    <w:name w:val="RecommendationList2222222222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3A768B"/>
    <w:multiLevelType w:val="hybridMultilevel"/>
    <w:tmpl w:val="FF6E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D80E85"/>
    <w:multiLevelType w:val="hybridMultilevel"/>
    <w:tmpl w:val="8FAE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472A7B"/>
    <w:multiLevelType w:val="hybridMultilevel"/>
    <w:tmpl w:val="C042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9128EA"/>
    <w:multiLevelType w:val="hybridMultilevel"/>
    <w:tmpl w:val="A932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AE3063"/>
    <w:multiLevelType w:val="hybridMultilevel"/>
    <w:tmpl w:val="E9B0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83D84"/>
    <w:multiLevelType w:val="hybridMultilevel"/>
    <w:tmpl w:val="7A36EE7A"/>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3A1C6E"/>
    <w:multiLevelType w:val="hybridMultilevel"/>
    <w:tmpl w:val="CCC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5F1712"/>
    <w:multiLevelType w:val="hybridMultilevel"/>
    <w:tmpl w:val="5F3E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CA386C"/>
    <w:multiLevelType w:val="hybridMultilevel"/>
    <w:tmpl w:val="7248D0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20067964">
    <w:abstractNumId w:val="24"/>
  </w:num>
  <w:num w:numId="2" w16cid:durableId="1295527862">
    <w:abstractNumId w:val="10"/>
  </w:num>
  <w:num w:numId="3" w16cid:durableId="1657220822">
    <w:abstractNumId w:val="24"/>
  </w:num>
  <w:num w:numId="4" w16cid:durableId="500006716">
    <w:abstractNumId w:val="24"/>
  </w:num>
  <w:num w:numId="5" w16cid:durableId="1606645811">
    <w:abstractNumId w:val="24"/>
    <w:lvlOverride w:ilvl="0">
      <w:startOverride w:val="1"/>
    </w:lvlOverride>
  </w:num>
  <w:num w:numId="6" w16cid:durableId="384375629">
    <w:abstractNumId w:val="24"/>
    <w:lvlOverride w:ilvl="0">
      <w:startOverride w:val="1"/>
    </w:lvlOverride>
  </w:num>
  <w:num w:numId="7" w16cid:durableId="710616877">
    <w:abstractNumId w:val="24"/>
  </w:num>
  <w:num w:numId="8" w16cid:durableId="467893077">
    <w:abstractNumId w:val="24"/>
  </w:num>
  <w:num w:numId="9" w16cid:durableId="1343438860">
    <w:abstractNumId w:val="24"/>
  </w:num>
  <w:num w:numId="10" w16cid:durableId="1022705899">
    <w:abstractNumId w:val="24"/>
  </w:num>
  <w:num w:numId="11" w16cid:durableId="1411390951">
    <w:abstractNumId w:val="24"/>
  </w:num>
  <w:num w:numId="12" w16cid:durableId="1302148172">
    <w:abstractNumId w:val="24"/>
    <w:lvlOverride w:ilvl="0">
      <w:startOverride w:val="1"/>
    </w:lvlOverride>
  </w:num>
  <w:num w:numId="13" w16cid:durableId="1195654613">
    <w:abstractNumId w:val="24"/>
  </w:num>
  <w:num w:numId="14" w16cid:durableId="565267005">
    <w:abstractNumId w:val="24"/>
  </w:num>
  <w:num w:numId="15" w16cid:durableId="361437701">
    <w:abstractNumId w:val="24"/>
    <w:lvlOverride w:ilvl="0">
      <w:startOverride w:val="1"/>
    </w:lvlOverride>
  </w:num>
  <w:num w:numId="16" w16cid:durableId="1467619849">
    <w:abstractNumId w:val="24"/>
  </w:num>
  <w:num w:numId="17" w16cid:durableId="924538918">
    <w:abstractNumId w:val="24"/>
    <w:lvlOverride w:ilvl="0">
      <w:startOverride w:val="1"/>
    </w:lvlOverride>
  </w:num>
  <w:num w:numId="18" w16cid:durableId="1891571988">
    <w:abstractNumId w:val="24"/>
  </w:num>
  <w:num w:numId="19" w16cid:durableId="338503294">
    <w:abstractNumId w:val="24"/>
  </w:num>
  <w:num w:numId="20" w16cid:durableId="650719323">
    <w:abstractNumId w:val="24"/>
    <w:lvlOverride w:ilvl="0">
      <w:startOverride w:val="1"/>
    </w:lvlOverride>
  </w:num>
  <w:num w:numId="21" w16cid:durableId="2001738850">
    <w:abstractNumId w:val="24"/>
  </w:num>
  <w:num w:numId="22" w16cid:durableId="1402295527">
    <w:abstractNumId w:val="24"/>
    <w:lvlOverride w:ilvl="0">
      <w:startOverride w:val="1"/>
    </w:lvlOverride>
  </w:num>
  <w:num w:numId="23" w16cid:durableId="259341183">
    <w:abstractNumId w:val="24"/>
  </w:num>
  <w:num w:numId="24" w16cid:durableId="1143236017">
    <w:abstractNumId w:val="24"/>
  </w:num>
  <w:num w:numId="25" w16cid:durableId="1735003764">
    <w:abstractNumId w:val="24"/>
  </w:num>
  <w:num w:numId="26" w16cid:durableId="1631594212">
    <w:abstractNumId w:val="24"/>
  </w:num>
  <w:num w:numId="27" w16cid:durableId="962077188">
    <w:abstractNumId w:val="24"/>
    <w:lvlOverride w:ilvl="0">
      <w:startOverride w:val="1"/>
    </w:lvlOverride>
  </w:num>
  <w:num w:numId="28" w16cid:durableId="216210276">
    <w:abstractNumId w:val="24"/>
    <w:lvlOverride w:ilvl="0">
      <w:startOverride w:val="1"/>
    </w:lvlOverride>
  </w:num>
  <w:num w:numId="29" w16cid:durableId="2109809122">
    <w:abstractNumId w:val="24"/>
  </w:num>
  <w:num w:numId="30" w16cid:durableId="57898657">
    <w:abstractNumId w:val="24"/>
    <w:lvlOverride w:ilvl="0">
      <w:startOverride w:val="1"/>
    </w:lvlOverride>
  </w:num>
  <w:num w:numId="31" w16cid:durableId="250429752">
    <w:abstractNumId w:val="24"/>
    <w:lvlOverride w:ilvl="0">
      <w:startOverride w:val="1"/>
    </w:lvlOverride>
  </w:num>
  <w:num w:numId="32" w16cid:durableId="1684824105">
    <w:abstractNumId w:val="24"/>
    <w:lvlOverride w:ilvl="0">
      <w:startOverride w:val="1"/>
    </w:lvlOverride>
  </w:num>
  <w:num w:numId="33" w16cid:durableId="1620530248">
    <w:abstractNumId w:val="24"/>
    <w:lvlOverride w:ilvl="0">
      <w:startOverride w:val="1"/>
    </w:lvlOverride>
  </w:num>
  <w:num w:numId="34" w16cid:durableId="1814134278">
    <w:abstractNumId w:val="24"/>
  </w:num>
  <w:num w:numId="35" w16cid:durableId="947006041">
    <w:abstractNumId w:val="24"/>
  </w:num>
  <w:num w:numId="36" w16cid:durableId="655036157">
    <w:abstractNumId w:val="24"/>
  </w:num>
  <w:num w:numId="37" w16cid:durableId="911350338">
    <w:abstractNumId w:val="24"/>
    <w:lvlOverride w:ilvl="0">
      <w:startOverride w:val="1"/>
    </w:lvlOverride>
  </w:num>
  <w:num w:numId="38" w16cid:durableId="1817799165">
    <w:abstractNumId w:val="24"/>
  </w:num>
  <w:num w:numId="39" w16cid:durableId="1591232068">
    <w:abstractNumId w:val="24"/>
    <w:lvlOverride w:ilvl="0">
      <w:startOverride w:val="1"/>
    </w:lvlOverride>
  </w:num>
  <w:num w:numId="40" w16cid:durableId="1203787087">
    <w:abstractNumId w:val="24"/>
    <w:lvlOverride w:ilvl="0">
      <w:startOverride w:val="1"/>
    </w:lvlOverride>
  </w:num>
  <w:num w:numId="41" w16cid:durableId="455100543">
    <w:abstractNumId w:val="24"/>
  </w:num>
  <w:num w:numId="42" w16cid:durableId="853303297">
    <w:abstractNumId w:val="24"/>
    <w:lvlOverride w:ilvl="0">
      <w:startOverride w:val="1"/>
    </w:lvlOverride>
  </w:num>
  <w:num w:numId="43" w16cid:durableId="622074929">
    <w:abstractNumId w:val="24"/>
  </w:num>
  <w:num w:numId="44" w16cid:durableId="69356481">
    <w:abstractNumId w:val="24"/>
  </w:num>
  <w:num w:numId="45" w16cid:durableId="168300938">
    <w:abstractNumId w:val="24"/>
  </w:num>
  <w:num w:numId="46" w16cid:durableId="341248729">
    <w:abstractNumId w:val="24"/>
  </w:num>
  <w:num w:numId="47" w16cid:durableId="1631937371">
    <w:abstractNumId w:val="24"/>
  </w:num>
  <w:num w:numId="48" w16cid:durableId="2025206917">
    <w:abstractNumId w:val="24"/>
    <w:lvlOverride w:ilvl="0">
      <w:startOverride w:val="1"/>
    </w:lvlOverride>
  </w:num>
  <w:num w:numId="49" w16cid:durableId="2018655738">
    <w:abstractNumId w:val="24"/>
    <w:lvlOverride w:ilvl="0">
      <w:startOverride w:val="1"/>
    </w:lvlOverride>
  </w:num>
  <w:num w:numId="50" w16cid:durableId="53243720">
    <w:abstractNumId w:val="24"/>
  </w:num>
  <w:num w:numId="51" w16cid:durableId="1991979824">
    <w:abstractNumId w:val="24"/>
    <w:lvlOverride w:ilvl="0">
      <w:startOverride w:val="1"/>
    </w:lvlOverride>
  </w:num>
  <w:num w:numId="52" w16cid:durableId="2115780403">
    <w:abstractNumId w:val="24"/>
    <w:lvlOverride w:ilvl="0">
      <w:startOverride w:val="1"/>
    </w:lvlOverride>
  </w:num>
  <w:num w:numId="53" w16cid:durableId="1161502442">
    <w:abstractNumId w:val="24"/>
    <w:lvlOverride w:ilvl="0">
      <w:startOverride w:val="1"/>
    </w:lvlOverride>
  </w:num>
  <w:num w:numId="54" w16cid:durableId="920602848">
    <w:abstractNumId w:val="24"/>
    <w:lvlOverride w:ilvl="0">
      <w:startOverride w:val="1"/>
    </w:lvlOverride>
  </w:num>
  <w:num w:numId="55" w16cid:durableId="784278655">
    <w:abstractNumId w:val="24"/>
    <w:lvlOverride w:ilvl="0">
      <w:startOverride w:val="1"/>
    </w:lvlOverride>
  </w:num>
  <w:num w:numId="56" w16cid:durableId="721709603">
    <w:abstractNumId w:val="24"/>
    <w:lvlOverride w:ilvl="0">
      <w:startOverride w:val="1"/>
    </w:lvlOverride>
  </w:num>
  <w:num w:numId="57" w16cid:durableId="2124420613">
    <w:abstractNumId w:val="24"/>
    <w:lvlOverride w:ilvl="0">
      <w:startOverride w:val="1"/>
    </w:lvlOverride>
  </w:num>
  <w:num w:numId="58" w16cid:durableId="731781374">
    <w:abstractNumId w:val="24"/>
    <w:lvlOverride w:ilvl="0">
      <w:startOverride w:val="1"/>
    </w:lvlOverride>
  </w:num>
  <w:num w:numId="59" w16cid:durableId="1630473490">
    <w:abstractNumId w:val="24"/>
    <w:lvlOverride w:ilvl="0">
      <w:startOverride w:val="1"/>
    </w:lvlOverride>
  </w:num>
  <w:num w:numId="60" w16cid:durableId="1977225359">
    <w:abstractNumId w:val="1"/>
  </w:num>
  <w:num w:numId="61" w16cid:durableId="2132436669">
    <w:abstractNumId w:val="25"/>
  </w:num>
  <w:num w:numId="62" w16cid:durableId="1123886316">
    <w:abstractNumId w:val="18"/>
  </w:num>
  <w:num w:numId="63" w16cid:durableId="1019507534">
    <w:abstractNumId w:val="26"/>
  </w:num>
  <w:num w:numId="64" w16cid:durableId="77603429">
    <w:abstractNumId w:val="38"/>
  </w:num>
  <w:num w:numId="65" w16cid:durableId="1901817175">
    <w:abstractNumId w:val="35"/>
  </w:num>
  <w:num w:numId="66" w16cid:durableId="360280244">
    <w:abstractNumId w:val="27"/>
  </w:num>
  <w:num w:numId="67" w16cid:durableId="2109352075">
    <w:abstractNumId w:val="15"/>
  </w:num>
  <w:num w:numId="68" w16cid:durableId="688916814">
    <w:abstractNumId w:val="5"/>
  </w:num>
  <w:num w:numId="69" w16cid:durableId="790854672">
    <w:abstractNumId w:val="13"/>
  </w:num>
  <w:num w:numId="70" w16cid:durableId="949119021">
    <w:abstractNumId w:val="22"/>
  </w:num>
  <w:num w:numId="71" w16cid:durableId="1244143710">
    <w:abstractNumId w:val="24"/>
    <w:lvlOverride w:ilvl="0">
      <w:startOverride w:val="1"/>
    </w:lvlOverride>
  </w:num>
  <w:num w:numId="72" w16cid:durableId="1120566021">
    <w:abstractNumId w:val="21"/>
  </w:num>
  <w:num w:numId="73" w16cid:durableId="1584878076">
    <w:abstractNumId w:val="24"/>
    <w:lvlOverride w:ilvl="0">
      <w:startOverride w:val="1"/>
    </w:lvlOverride>
  </w:num>
  <w:num w:numId="74" w16cid:durableId="1105073339">
    <w:abstractNumId w:val="24"/>
  </w:num>
  <w:num w:numId="75" w16cid:durableId="1033116888">
    <w:abstractNumId w:val="24"/>
    <w:lvlOverride w:ilvl="0">
      <w:startOverride w:val="1"/>
    </w:lvlOverride>
  </w:num>
  <w:num w:numId="76" w16cid:durableId="331490831">
    <w:abstractNumId w:val="24"/>
    <w:lvlOverride w:ilvl="0">
      <w:startOverride w:val="1"/>
    </w:lvlOverride>
  </w:num>
  <w:num w:numId="77" w16cid:durableId="1899366323">
    <w:abstractNumId w:val="24"/>
  </w:num>
  <w:num w:numId="78" w16cid:durableId="1773819456">
    <w:abstractNumId w:val="24"/>
  </w:num>
  <w:num w:numId="79" w16cid:durableId="565651436">
    <w:abstractNumId w:val="24"/>
  </w:num>
  <w:num w:numId="80" w16cid:durableId="1722709737">
    <w:abstractNumId w:val="24"/>
  </w:num>
  <w:num w:numId="81" w16cid:durableId="1317369781">
    <w:abstractNumId w:val="24"/>
  </w:num>
  <w:num w:numId="82" w16cid:durableId="1030960663">
    <w:abstractNumId w:val="24"/>
  </w:num>
  <w:num w:numId="83" w16cid:durableId="22707385">
    <w:abstractNumId w:val="24"/>
  </w:num>
  <w:num w:numId="84" w16cid:durableId="1461001227">
    <w:abstractNumId w:val="24"/>
  </w:num>
  <w:num w:numId="85" w16cid:durableId="310989036">
    <w:abstractNumId w:val="24"/>
  </w:num>
  <w:num w:numId="86" w16cid:durableId="1061292075">
    <w:abstractNumId w:val="24"/>
  </w:num>
  <w:num w:numId="87" w16cid:durableId="1779639101">
    <w:abstractNumId w:val="24"/>
  </w:num>
  <w:num w:numId="88" w16cid:durableId="2128235872">
    <w:abstractNumId w:val="24"/>
    <w:lvlOverride w:ilvl="0">
      <w:startOverride w:val="1"/>
    </w:lvlOverride>
  </w:num>
  <w:num w:numId="89" w16cid:durableId="563182905">
    <w:abstractNumId w:val="24"/>
  </w:num>
  <w:num w:numId="90" w16cid:durableId="823736029">
    <w:abstractNumId w:val="24"/>
  </w:num>
  <w:num w:numId="91" w16cid:durableId="519321501">
    <w:abstractNumId w:val="24"/>
  </w:num>
  <w:num w:numId="92" w16cid:durableId="927615545">
    <w:abstractNumId w:val="24"/>
  </w:num>
  <w:num w:numId="93" w16cid:durableId="1320770518">
    <w:abstractNumId w:val="24"/>
    <w:lvlOverride w:ilvl="0">
      <w:startOverride w:val="1"/>
    </w:lvlOverride>
  </w:num>
  <w:num w:numId="94" w16cid:durableId="1055083013">
    <w:abstractNumId w:val="24"/>
  </w:num>
  <w:num w:numId="95" w16cid:durableId="1921987143">
    <w:abstractNumId w:val="24"/>
  </w:num>
  <w:num w:numId="96" w16cid:durableId="486171041">
    <w:abstractNumId w:val="24"/>
    <w:lvlOverride w:ilvl="0">
      <w:startOverride w:val="1"/>
    </w:lvlOverride>
  </w:num>
  <w:num w:numId="97" w16cid:durableId="1156072074">
    <w:abstractNumId w:val="24"/>
  </w:num>
  <w:num w:numId="98" w16cid:durableId="1315179241">
    <w:abstractNumId w:val="24"/>
    <w:lvlOverride w:ilvl="0">
      <w:startOverride w:val="1"/>
    </w:lvlOverride>
  </w:num>
  <w:num w:numId="99" w16cid:durableId="2085570538">
    <w:abstractNumId w:val="24"/>
    <w:lvlOverride w:ilvl="0">
      <w:startOverride w:val="1"/>
    </w:lvlOverride>
  </w:num>
  <w:num w:numId="100" w16cid:durableId="1960986091">
    <w:abstractNumId w:val="24"/>
  </w:num>
  <w:num w:numId="101" w16cid:durableId="49426871">
    <w:abstractNumId w:val="24"/>
    <w:lvlOverride w:ilvl="0">
      <w:startOverride w:val="1"/>
    </w:lvlOverride>
  </w:num>
  <w:num w:numId="102" w16cid:durableId="924656628">
    <w:abstractNumId w:val="24"/>
    <w:lvlOverride w:ilvl="0">
      <w:startOverride w:val="1"/>
    </w:lvlOverride>
  </w:num>
  <w:num w:numId="103" w16cid:durableId="1036392794">
    <w:abstractNumId w:val="24"/>
    <w:lvlOverride w:ilvl="0">
      <w:startOverride w:val="1"/>
    </w:lvlOverride>
  </w:num>
  <w:num w:numId="104" w16cid:durableId="1636255200">
    <w:abstractNumId w:val="24"/>
    <w:lvlOverride w:ilvl="0">
      <w:startOverride w:val="1"/>
    </w:lvlOverride>
  </w:num>
  <w:num w:numId="105" w16cid:durableId="1802573377">
    <w:abstractNumId w:val="24"/>
  </w:num>
  <w:num w:numId="106" w16cid:durableId="1958364169">
    <w:abstractNumId w:val="24"/>
  </w:num>
  <w:num w:numId="107" w16cid:durableId="1303384023">
    <w:abstractNumId w:val="24"/>
  </w:num>
  <w:num w:numId="108" w16cid:durableId="932709218">
    <w:abstractNumId w:val="24"/>
    <w:lvlOverride w:ilvl="0">
      <w:startOverride w:val="1"/>
    </w:lvlOverride>
  </w:num>
  <w:num w:numId="109" w16cid:durableId="717516058">
    <w:abstractNumId w:val="24"/>
  </w:num>
  <w:num w:numId="110" w16cid:durableId="1726106610">
    <w:abstractNumId w:val="24"/>
    <w:lvlOverride w:ilvl="0">
      <w:startOverride w:val="1"/>
    </w:lvlOverride>
  </w:num>
  <w:num w:numId="111" w16cid:durableId="463887184">
    <w:abstractNumId w:val="24"/>
    <w:lvlOverride w:ilvl="0">
      <w:startOverride w:val="1"/>
    </w:lvlOverride>
  </w:num>
  <w:num w:numId="112" w16cid:durableId="308559320">
    <w:abstractNumId w:val="24"/>
  </w:num>
  <w:num w:numId="113" w16cid:durableId="661470578">
    <w:abstractNumId w:val="24"/>
    <w:lvlOverride w:ilvl="0">
      <w:startOverride w:val="1"/>
    </w:lvlOverride>
  </w:num>
  <w:num w:numId="114" w16cid:durableId="1993636378">
    <w:abstractNumId w:val="24"/>
  </w:num>
  <w:num w:numId="115" w16cid:durableId="1480028978">
    <w:abstractNumId w:val="24"/>
  </w:num>
  <w:num w:numId="116" w16cid:durableId="1899971087">
    <w:abstractNumId w:val="24"/>
  </w:num>
  <w:num w:numId="117" w16cid:durableId="59906967">
    <w:abstractNumId w:val="24"/>
  </w:num>
  <w:num w:numId="118" w16cid:durableId="2094667628">
    <w:abstractNumId w:val="24"/>
  </w:num>
  <w:num w:numId="119" w16cid:durableId="1791707091">
    <w:abstractNumId w:val="6"/>
  </w:num>
  <w:num w:numId="120" w16cid:durableId="1502968326">
    <w:abstractNumId w:val="3"/>
  </w:num>
  <w:num w:numId="121" w16cid:durableId="586038382">
    <w:abstractNumId w:val="34"/>
  </w:num>
  <w:num w:numId="122" w16cid:durableId="1415054232">
    <w:abstractNumId w:val="9"/>
  </w:num>
  <w:num w:numId="123" w16cid:durableId="1713457723">
    <w:abstractNumId w:val="0"/>
  </w:num>
  <w:num w:numId="124" w16cid:durableId="407272115">
    <w:abstractNumId w:val="37"/>
  </w:num>
  <w:num w:numId="125" w16cid:durableId="1924490854">
    <w:abstractNumId w:val="11"/>
  </w:num>
  <w:num w:numId="126" w16cid:durableId="2051105455">
    <w:abstractNumId w:val="14"/>
  </w:num>
  <w:num w:numId="127" w16cid:durableId="1647200002">
    <w:abstractNumId w:val="23"/>
  </w:num>
  <w:num w:numId="128" w16cid:durableId="1562055313">
    <w:abstractNumId w:val="2"/>
  </w:num>
  <w:num w:numId="129" w16cid:durableId="2057971252">
    <w:abstractNumId w:val="16"/>
  </w:num>
  <w:num w:numId="130" w16cid:durableId="554505663">
    <w:abstractNumId w:val="31"/>
  </w:num>
  <w:num w:numId="131" w16cid:durableId="1208681880">
    <w:abstractNumId w:val="17"/>
  </w:num>
  <w:num w:numId="132" w16cid:durableId="1651589740">
    <w:abstractNumId w:val="32"/>
  </w:num>
  <w:num w:numId="133" w16cid:durableId="966470550">
    <w:abstractNumId w:val="19"/>
  </w:num>
  <w:num w:numId="134" w16cid:durableId="787698843">
    <w:abstractNumId w:val="33"/>
  </w:num>
  <w:num w:numId="135" w16cid:durableId="1580095670">
    <w:abstractNumId w:val="7"/>
  </w:num>
  <w:num w:numId="136" w16cid:durableId="10572081">
    <w:abstractNumId w:val="8"/>
  </w:num>
  <w:num w:numId="137" w16cid:durableId="1465342764">
    <w:abstractNumId w:val="30"/>
  </w:num>
  <w:num w:numId="138" w16cid:durableId="2138909264">
    <w:abstractNumId w:val="36"/>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hdrShapeDefaults>
    <o:shapedefaults v:ext="edit" spidmax="2050"/>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1EBA13"/>
    <w:rsid w:val="000002B4"/>
    <w:rsid w:val="00000428"/>
    <w:rsid w:val="00000645"/>
    <w:rsid w:val="0000068E"/>
    <w:rsid w:val="00000707"/>
    <w:rsid w:val="00000BBF"/>
    <w:rsid w:val="00000BFB"/>
    <w:rsid w:val="00000D12"/>
    <w:rsid w:val="00000E4B"/>
    <w:rsid w:val="00000F1D"/>
    <w:rsid w:val="00001076"/>
    <w:rsid w:val="00001169"/>
    <w:rsid w:val="00001175"/>
    <w:rsid w:val="0000123D"/>
    <w:rsid w:val="0000136A"/>
    <w:rsid w:val="0000144C"/>
    <w:rsid w:val="00001677"/>
    <w:rsid w:val="00001763"/>
    <w:rsid w:val="00001769"/>
    <w:rsid w:val="0000198A"/>
    <w:rsid w:val="000019C0"/>
    <w:rsid w:val="000019C4"/>
    <w:rsid w:val="00001AB5"/>
    <w:rsid w:val="00001C7E"/>
    <w:rsid w:val="00001C90"/>
    <w:rsid w:val="00001CCD"/>
    <w:rsid w:val="00001F12"/>
    <w:rsid w:val="00002019"/>
    <w:rsid w:val="00002028"/>
    <w:rsid w:val="00002264"/>
    <w:rsid w:val="0000231D"/>
    <w:rsid w:val="00002335"/>
    <w:rsid w:val="00002368"/>
    <w:rsid w:val="00002536"/>
    <w:rsid w:val="00002765"/>
    <w:rsid w:val="000029D5"/>
    <w:rsid w:val="00002B92"/>
    <w:rsid w:val="00002C9F"/>
    <w:rsid w:val="00002D3C"/>
    <w:rsid w:val="00003069"/>
    <w:rsid w:val="00003233"/>
    <w:rsid w:val="000037B6"/>
    <w:rsid w:val="00003810"/>
    <w:rsid w:val="00003917"/>
    <w:rsid w:val="00003A18"/>
    <w:rsid w:val="00003D5C"/>
    <w:rsid w:val="00003E2F"/>
    <w:rsid w:val="00003EB8"/>
    <w:rsid w:val="00004037"/>
    <w:rsid w:val="0000418B"/>
    <w:rsid w:val="00004197"/>
    <w:rsid w:val="00004245"/>
    <w:rsid w:val="00004369"/>
    <w:rsid w:val="000043EA"/>
    <w:rsid w:val="0000450A"/>
    <w:rsid w:val="00004573"/>
    <w:rsid w:val="00004661"/>
    <w:rsid w:val="000047F3"/>
    <w:rsid w:val="00004892"/>
    <w:rsid w:val="0000489C"/>
    <w:rsid w:val="00004900"/>
    <w:rsid w:val="00004945"/>
    <w:rsid w:val="00004A83"/>
    <w:rsid w:val="00004BA5"/>
    <w:rsid w:val="00004E50"/>
    <w:rsid w:val="00005183"/>
    <w:rsid w:val="000051CE"/>
    <w:rsid w:val="00005342"/>
    <w:rsid w:val="00005532"/>
    <w:rsid w:val="000055BF"/>
    <w:rsid w:val="000057D9"/>
    <w:rsid w:val="00005841"/>
    <w:rsid w:val="000059C1"/>
    <w:rsid w:val="00005A44"/>
    <w:rsid w:val="00005B97"/>
    <w:rsid w:val="00005BA2"/>
    <w:rsid w:val="00005E92"/>
    <w:rsid w:val="00005F3A"/>
    <w:rsid w:val="0000606E"/>
    <w:rsid w:val="00006085"/>
    <w:rsid w:val="00006128"/>
    <w:rsid w:val="000063B5"/>
    <w:rsid w:val="000064F8"/>
    <w:rsid w:val="0000663A"/>
    <w:rsid w:val="00006779"/>
    <w:rsid w:val="00006799"/>
    <w:rsid w:val="000068AB"/>
    <w:rsid w:val="00006961"/>
    <w:rsid w:val="00006965"/>
    <w:rsid w:val="00006AD2"/>
    <w:rsid w:val="00006B05"/>
    <w:rsid w:val="00006B36"/>
    <w:rsid w:val="00006E42"/>
    <w:rsid w:val="00006EC2"/>
    <w:rsid w:val="00006F3A"/>
    <w:rsid w:val="00007016"/>
    <w:rsid w:val="00007069"/>
    <w:rsid w:val="0000706D"/>
    <w:rsid w:val="000070C8"/>
    <w:rsid w:val="00007267"/>
    <w:rsid w:val="0000726F"/>
    <w:rsid w:val="000074BA"/>
    <w:rsid w:val="000074D1"/>
    <w:rsid w:val="00007608"/>
    <w:rsid w:val="000076E6"/>
    <w:rsid w:val="00007750"/>
    <w:rsid w:val="00007904"/>
    <w:rsid w:val="00007925"/>
    <w:rsid w:val="00007972"/>
    <w:rsid w:val="00007B77"/>
    <w:rsid w:val="00007B94"/>
    <w:rsid w:val="00007BDE"/>
    <w:rsid w:val="00007D78"/>
    <w:rsid w:val="00007DF1"/>
    <w:rsid w:val="00007F49"/>
    <w:rsid w:val="00007F89"/>
    <w:rsid w:val="00010233"/>
    <w:rsid w:val="000102A1"/>
    <w:rsid w:val="00010352"/>
    <w:rsid w:val="00010396"/>
    <w:rsid w:val="000103F9"/>
    <w:rsid w:val="00010548"/>
    <w:rsid w:val="00010927"/>
    <w:rsid w:val="00010C2A"/>
    <w:rsid w:val="00010CED"/>
    <w:rsid w:val="00010D7D"/>
    <w:rsid w:val="00010F8A"/>
    <w:rsid w:val="00010FB9"/>
    <w:rsid w:val="00010FC1"/>
    <w:rsid w:val="0001101F"/>
    <w:rsid w:val="000110B7"/>
    <w:rsid w:val="000110F1"/>
    <w:rsid w:val="0001118D"/>
    <w:rsid w:val="00011206"/>
    <w:rsid w:val="00011207"/>
    <w:rsid w:val="00011256"/>
    <w:rsid w:val="00011295"/>
    <w:rsid w:val="00011358"/>
    <w:rsid w:val="0001138D"/>
    <w:rsid w:val="00011568"/>
    <w:rsid w:val="000115AF"/>
    <w:rsid w:val="00011749"/>
    <w:rsid w:val="0001182F"/>
    <w:rsid w:val="00011A49"/>
    <w:rsid w:val="00011A61"/>
    <w:rsid w:val="00011B5F"/>
    <w:rsid w:val="00011C0A"/>
    <w:rsid w:val="00011C3A"/>
    <w:rsid w:val="00011C54"/>
    <w:rsid w:val="00011C9C"/>
    <w:rsid w:val="00011D4C"/>
    <w:rsid w:val="00011E76"/>
    <w:rsid w:val="00011EBD"/>
    <w:rsid w:val="00011EDE"/>
    <w:rsid w:val="00011F61"/>
    <w:rsid w:val="00011F93"/>
    <w:rsid w:val="00012014"/>
    <w:rsid w:val="0001215C"/>
    <w:rsid w:val="000121E5"/>
    <w:rsid w:val="00012217"/>
    <w:rsid w:val="000124AE"/>
    <w:rsid w:val="00012559"/>
    <w:rsid w:val="00012615"/>
    <w:rsid w:val="00012846"/>
    <w:rsid w:val="00012A11"/>
    <w:rsid w:val="00012A91"/>
    <w:rsid w:val="00012B3A"/>
    <w:rsid w:val="00012CB2"/>
    <w:rsid w:val="00012EBF"/>
    <w:rsid w:val="00012EDA"/>
    <w:rsid w:val="0001319C"/>
    <w:rsid w:val="000131C6"/>
    <w:rsid w:val="00013237"/>
    <w:rsid w:val="000132FE"/>
    <w:rsid w:val="00013317"/>
    <w:rsid w:val="00013452"/>
    <w:rsid w:val="0001354D"/>
    <w:rsid w:val="00013665"/>
    <w:rsid w:val="00013D36"/>
    <w:rsid w:val="00013D95"/>
    <w:rsid w:val="00013E0A"/>
    <w:rsid w:val="00013E46"/>
    <w:rsid w:val="00013EC0"/>
    <w:rsid w:val="00013FA4"/>
    <w:rsid w:val="0001411E"/>
    <w:rsid w:val="0001417D"/>
    <w:rsid w:val="000141EF"/>
    <w:rsid w:val="0001430B"/>
    <w:rsid w:val="000143BB"/>
    <w:rsid w:val="00014604"/>
    <w:rsid w:val="00014693"/>
    <w:rsid w:val="00014985"/>
    <w:rsid w:val="00014A2D"/>
    <w:rsid w:val="00014D09"/>
    <w:rsid w:val="00014DA7"/>
    <w:rsid w:val="00014DC9"/>
    <w:rsid w:val="00014DDE"/>
    <w:rsid w:val="00014DF0"/>
    <w:rsid w:val="00014E5E"/>
    <w:rsid w:val="00014F5B"/>
    <w:rsid w:val="00014F7B"/>
    <w:rsid w:val="00014FF9"/>
    <w:rsid w:val="00015312"/>
    <w:rsid w:val="00015325"/>
    <w:rsid w:val="00015577"/>
    <w:rsid w:val="000155A5"/>
    <w:rsid w:val="0001585D"/>
    <w:rsid w:val="000159BE"/>
    <w:rsid w:val="00015D71"/>
    <w:rsid w:val="00015E21"/>
    <w:rsid w:val="00015EC9"/>
    <w:rsid w:val="0001613F"/>
    <w:rsid w:val="0001620F"/>
    <w:rsid w:val="0001621C"/>
    <w:rsid w:val="00016348"/>
    <w:rsid w:val="0001634E"/>
    <w:rsid w:val="0001635A"/>
    <w:rsid w:val="00016813"/>
    <w:rsid w:val="00016B1B"/>
    <w:rsid w:val="00016B65"/>
    <w:rsid w:val="00016BB4"/>
    <w:rsid w:val="00016D9B"/>
    <w:rsid w:val="000170C0"/>
    <w:rsid w:val="00017363"/>
    <w:rsid w:val="00017541"/>
    <w:rsid w:val="000175DF"/>
    <w:rsid w:val="0001780F"/>
    <w:rsid w:val="000178C1"/>
    <w:rsid w:val="000178C5"/>
    <w:rsid w:val="00017A31"/>
    <w:rsid w:val="00017A94"/>
    <w:rsid w:val="00017C80"/>
    <w:rsid w:val="00017E84"/>
    <w:rsid w:val="00017F0D"/>
    <w:rsid w:val="000201AD"/>
    <w:rsid w:val="0002057A"/>
    <w:rsid w:val="0002070C"/>
    <w:rsid w:val="0002077D"/>
    <w:rsid w:val="000208C4"/>
    <w:rsid w:val="00020A0C"/>
    <w:rsid w:val="000211CD"/>
    <w:rsid w:val="00021200"/>
    <w:rsid w:val="00021337"/>
    <w:rsid w:val="0002133B"/>
    <w:rsid w:val="000214DC"/>
    <w:rsid w:val="0002157E"/>
    <w:rsid w:val="0002161C"/>
    <w:rsid w:val="0002169C"/>
    <w:rsid w:val="00021787"/>
    <w:rsid w:val="00021938"/>
    <w:rsid w:val="00021990"/>
    <w:rsid w:val="00021991"/>
    <w:rsid w:val="000219EC"/>
    <w:rsid w:val="00021A0D"/>
    <w:rsid w:val="00021ACA"/>
    <w:rsid w:val="00021AD4"/>
    <w:rsid w:val="00021BD8"/>
    <w:rsid w:val="00021C2C"/>
    <w:rsid w:val="00021DE1"/>
    <w:rsid w:val="00021F56"/>
    <w:rsid w:val="00022048"/>
    <w:rsid w:val="00022186"/>
    <w:rsid w:val="00022410"/>
    <w:rsid w:val="00022412"/>
    <w:rsid w:val="00022506"/>
    <w:rsid w:val="00022595"/>
    <w:rsid w:val="00022723"/>
    <w:rsid w:val="00022B99"/>
    <w:rsid w:val="00022BB8"/>
    <w:rsid w:val="00022C58"/>
    <w:rsid w:val="00022C85"/>
    <w:rsid w:val="00022DCD"/>
    <w:rsid w:val="000230AD"/>
    <w:rsid w:val="000234AD"/>
    <w:rsid w:val="000234FB"/>
    <w:rsid w:val="0002361C"/>
    <w:rsid w:val="00023622"/>
    <w:rsid w:val="00023636"/>
    <w:rsid w:val="0002366B"/>
    <w:rsid w:val="000237B1"/>
    <w:rsid w:val="000238D0"/>
    <w:rsid w:val="00023942"/>
    <w:rsid w:val="00023978"/>
    <w:rsid w:val="00023B2F"/>
    <w:rsid w:val="00023B6D"/>
    <w:rsid w:val="00023CF7"/>
    <w:rsid w:val="00023DBC"/>
    <w:rsid w:val="00023EF9"/>
    <w:rsid w:val="00023F96"/>
    <w:rsid w:val="00023FA3"/>
    <w:rsid w:val="0002407A"/>
    <w:rsid w:val="0002416B"/>
    <w:rsid w:val="0002426B"/>
    <w:rsid w:val="0002433C"/>
    <w:rsid w:val="000245C6"/>
    <w:rsid w:val="000245EF"/>
    <w:rsid w:val="00024602"/>
    <w:rsid w:val="000246B3"/>
    <w:rsid w:val="000246DF"/>
    <w:rsid w:val="0002480A"/>
    <w:rsid w:val="000248D9"/>
    <w:rsid w:val="00024929"/>
    <w:rsid w:val="00024A30"/>
    <w:rsid w:val="00024B44"/>
    <w:rsid w:val="00024BB4"/>
    <w:rsid w:val="00024CAF"/>
    <w:rsid w:val="00024CD4"/>
    <w:rsid w:val="00024EB7"/>
    <w:rsid w:val="00024F9B"/>
    <w:rsid w:val="000250A2"/>
    <w:rsid w:val="00025151"/>
    <w:rsid w:val="000251FC"/>
    <w:rsid w:val="00025234"/>
    <w:rsid w:val="000252F6"/>
    <w:rsid w:val="00025469"/>
    <w:rsid w:val="00025542"/>
    <w:rsid w:val="000259EF"/>
    <w:rsid w:val="00025A7A"/>
    <w:rsid w:val="00025C1A"/>
    <w:rsid w:val="00025D58"/>
    <w:rsid w:val="00025D91"/>
    <w:rsid w:val="00025E10"/>
    <w:rsid w:val="00025E2A"/>
    <w:rsid w:val="00025F04"/>
    <w:rsid w:val="00025FDA"/>
    <w:rsid w:val="00026092"/>
    <w:rsid w:val="0002618E"/>
    <w:rsid w:val="00026275"/>
    <w:rsid w:val="0002628D"/>
    <w:rsid w:val="000268EF"/>
    <w:rsid w:val="00026A43"/>
    <w:rsid w:val="00026A4B"/>
    <w:rsid w:val="00026B48"/>
    <w:rsid w:val="00026BDC"/>
    <w:rsid w:val="00026BE9"/>
    <w:rsid w:val="00026D5D"/>
    <w:rsid w:val="00026EFF"/>
    <w:rsid w:val="00026FA4"/>
    <w:rsid w:val="00027125"/>
    <w:rsid w:val="00027204"/>
    <w:rsid w:val="0002729A"/>
    <w:rsid w:val="000272D1"/>
    <w:rsid w:val="00027330"/>
    <w:rsid w:val="00027347"/>
    <w:rsid w:val="0002735C"/>
    <w:rsid w:val="0002735D"/>
    <w:rsid w:val="00027595"/>
    <w:rsid w:val="000279A7"/>
    <w:rsid w:val="00027A8D"/>
    <w:rsid w:val="00027ABC"/>
    <w:rsid w:val="00027B8E"/>
    <w:rsid w:val="00027C1D"/>
    <w:rsid w:val="00027F70"/>
    <w:rsid w:val="00030059"/>
    <w:rsid w:val="0003007B"/>
    <w:rsid w:val="000300CF"/>
    <w:rsid w:val="000300E6"/>
    <w:rsid w:val="0003016B"/>
    <w:rsid w:val="000301CD"/>
    <w:rsid w:val="000303C6"/>
    <w:rsid w:val="000303E3"/>
    <w:rsid w:val="00030629"/>
    <w:rsid w:val="00030674"/>
    <w:rsid w:val="000306DB"/>
    <w:rsid w:val="00030797"/>
    <w:rsid w:val="000307D3"/>
    <w:rsid w:val="000309F2"/>
    <w:rsid w:val="000309F7"/>
    <w:rsid w:val="00030A80"/>
    <w:rsid w:val="00030AB9"/>
    <w:rsid w:val="00030DA3"/>
    <w:rsid w:val="00030E9E"/>
    <w:rsid w:val="0003105C"/>
    <w:rsid w:val="000311CD"/>
    <w:rsid w:val="000311F7"/>
    <w:rsid w:val="0003137B"/>
    <w:rsid w:val="000313BB"/>
    <w:rsid w:val="00031534"/>
    <w:rsid w:val="0003166C"/>
    <w:rsid w:val="00031702"/>
    <w:rsid w:val="00031765"/>
    <w:rsid w:val="0003197E"/>
    <w:rsid w:val="00031991"/>
    <w:rsid w:val="00031B74"/>
    <w:rsid w:val="00031C80"/>
    <w:rsid w:val="00031E8F"/>
    <w:rsid w:val="00032068"/>
    <w:rsid w:val="00032186"/>
    <w:rsid w:val="00032360"/>
    <w:rsid w:val="00032494"/>
    <w:rsid w:val="000324D4"/>
    <w:rsid w:val="00032530"/>
    <w:rsid w:val="000325BA"/>
    <w:rsid w:val="00032605"/>
    <w:rsid w:val="00032811"/>
    <w:rsid w:val="00032870"/>
    <w:rsid w:val="00032A3D"/>
    <w:rsid w:val="00032A48"/>
    <w:rsid w:val="00032B25"/>
    <w:rsid w:val="00032D44"/>
    <w:rsid w:val="00032D8C"/>
    <w:rsid w:val="00032E83"/>
    <w:rsid w:val="00032F5D"/>
    <w:rsid w:val="000332BD"/>
    <w:rsid w:val="000332DD"/>
    <w:rsid w:val="0003390D"/>
    <w:rsid w:val="0003392E"/>
    <w:rsid w:val="000339AC"/>
    <w:rsid w:val="000339C0"/>
    <w:rsid w:val="00033B51"/>
    <w:rsid w:val="00033BD5"/>
    <w:rsid w:val="00033D22"/>
    <w:rsid w:val="00033D36"/>
    <w:rsid w:val="00033F97"/>
    <w:rsid w:val="00034044"/>
    <w:rsid w:val="000341AC"/>
    <w:rsid w:val="000343A4"/>
    <w:rsid w:val="000343EB"/>
    <w:rsid w:val="000345C2"/>
    <w:rsid w:val="00034619"/>
    <w:rsid w:val="000347A3"/>
    <w:rsid w:val="000348B2"/>
    <w:rsid w:val="000348FF"/>
    <w:rsid w:val="00034929"/>
    <w:rsid w:val="00034944"/>
    <w:rsid w:val="000349DF"/>
    <w:rsid w:val="00034B0C"/>
    <w:rsid w:val="00034BC8"/>
    <w:rsid w:val="00034D8A"/>
    <w:rsid w:val="00034EC1"/>
    <w:rsid w:val="00035038"/>
    <w:rsid w:val="000352A9"/>
    <w:rsid w:val="00035592"/>
    <w:rsid w:val="000355EC"/>
    <w:rsid w:val="000357ED"/>
    <w:rsid w:val="00035987"/>
    <w:rsid w:val="000359D0"/>
    <w:rsid w:val="00035B37"/>
    <w:rsid w:val="00035B41"/>
    <w:rsid w:val="00035B7C"/>
    <w:rsid w:val="00035DBE"/>
    <w:rsid w:val="00035E73"/>
    <w:rsid w:val="00035E77"/>
    <w:rsid w:val="00035EA2"/>
    <w:rsid w:val="00036025"/>
    <w:rsid w:val="00036089"/>
    <w:rsid w:val="000361D7"/>
    <w:rsid w:val="000362A2"/>
    <w:rsid w:val="00036495"/>
    <w:rsid w:val="000364E5"/>
    <w:rsid w:val="0003654B"/>
    <w:rsid w:val="0003666B"/>
    <w:rsid w:val="00036719"/>
    <w:rsid w:val="0003695B"/>
    <w:rsid w:val="00036A25"/>
    <w:rsid w:val="00036B3F"/>
    <w:rsid w:val="00036BB5"/>
    <w:rsid w:val="00036E9A"/>
    <w:rsid w:val="00036FD5"/>
    <w:rsid w:val="00037387"/>
    <w:rsid w:val="000374DF"/>
    <w:rsid w:val="00037533"/>
    <w:rsid w:val="000376FB"/>
    <w:rsid w:val="0003778E"/>
    <w:rsid w:val="00037881"/>
    <w:rsid w:val="00037C25"/>
    <w:rsid w:val="00040001"/>
    <w:rsid w:val="000400B6"/>
    <w:rsid w:val="0004014A"/>
    <w:rsid w:val="000404F5"/>
    <w:rsid w:val="000406A9"/>
    <w:rsid w:val="000406B2"/>
    <w:rsid w:val="00040717"/>
    <w:rsid w:val="0004081D"/>
    <w:rsid w:val="00040896"/>
    <w:rsid w:val="00040912"/>
    <w:rsid w:val="00040A6A"/>
    <w:rsid w:val="00040AA9"/>
    <w:rsid w:val="00040B45"/>
    <w:rsid w:val="00040B6C"/>
    <w:rsid w:val="00040BA0"/>
    <w:rsid w:val="00040C0F"/>
    <w:rsid w:val="00040C64"/>
    <w:rsid w:val="00040F18"/>
    <w:rsid w:val="00040F91"/>
    <w:rsid w:val="000410C4"/>
    <w:rsid w:val="000411F3"/>
    <w:rsid w:val="00041271"/>
    <w:rsid w:val="0004129E"/>
    <w:rsid w:val="000413E0"/>
    <w:rsid w:val="000413F8"/>
    <w:rsid w:val="00041447"/>
    <w:rsid w:val="000416EE"/>
    <w:rsid w:val="000417F4"/>
    <w:rsid w:val="00041A28"/>
    <w:rsid w:val="00041DD7"/>
    <w:rsid w:val="00042157"/>
    <w:rsid w:val="00042293"/>
    <w:rsid w:val="000422C1"/>
    <w:rsid w:val="000423A4"/>
    <w:rsid w:val="000426B2"/>
    <w:rsid w:val="0004273D"/>
    <w:rsid w:val="00042748"/>
    <w:rsid w:val="00042B3B"/>
    <w:rsid w:val="00042B96"/>
    <w:rsid w:val="00042C00"/>
    <w:rsid w:val="00042CD4"/>
    <w:rsid w:val="00042FF1"/>
    <w:rsid w:val="00043057"/>
    <w:rsid w:val="00043134"/>
    <w:rsid w:val="00043191"/>
    <w:rsid w:val="00043535"/>
    <w:rsid w:val="000435A7"/>
    <w:rsid w:val="000435BA"/>
    <w:rsid w:val="00043625"/>
    <w:rsid w:val="00043774"/>
    <w:rsid w:val="0004390A"/>
    <w:rsid w:val="00043ABB"/>
    <w:rsid w:val="00043B47"/>
    <w:rsid w:val="00043C8F"/>
    <w:rsid w:val="00043D0D"/>
    <w:rsid w:val="00043D8F"/>
    <w:rsid w:val="00043DB3"/>
    <w:rsid w:val="00043DB7"/>
    <w:rsid w:val="00043FBB"/>
    <w:rsid w:val="000440A7"/>
    <w:rsid w:val="000440FF"/>
    <w:rsid w:val="00044203"/>
    <w:rsid w:val="000442E4"/>
    <w:rsid w:val="00044423"/>
    <w:rsid w:val="000444B0"/>
    <w:rsid w:val="00044607"/>
    <w:rsid w:val="0004482C"/>
    <w:rsid w:val="000448CA"/>
    <w:rsid w:val="000448D3"/>
    <w:rsid w:val="000448FC"/>
    <w:rsid w:val="00044965"/>
    <w:rsid w:val="0004496E"/>
    <w:rsid w:val="00044B34"/>
    <w:rsid w:val="00044C80"/>
    <w:rsid w:val="00044C9D"/>
    <w:rsid w:val="00044E96"/>
    <w:rsid w:val="00045092"/>
    <w:rsid w:val="00045115"/>
    <w:rsid w:val="00045120"/>
    <w:rsid w:val="00045314"/>
    <w:rsid w:val="00045316"/>
    <w:rsid w:val="000458DD"/>
    <w:rsid w:val="00045AA3"/>
    <w:rsid w:val="00045B35"/>
    <w:rsid w:val="00045EF4"/>
    <w:rsid w:val="00045F1A"/>
    <w:rsid w:val="00045FED"/>
    <w:rsid w:val="000460A3"/>
    <w:rsid w:val="00046454"/>
    <w:rsid w:val="0004663B"/>
    <w:rsid w:val="000466B8"/>
    <w:rsid w:val="000469EB"/>
    <w:rsid w:val="00046A71"/>
    <w:rsid w:val="00046B2E"/>
    <w:rsid w:val="00046FD0"/>
    <w:rsid w:val="00047069"/>
    <w:rsid w:val="0004706C"/>
    <w:rsid w:val="000476E8"/>
    <w:rsid w:val="000477B9"/>
    <w:rsid w:val="00047916"/>
    <w:rsid w:val="00047B4E"/>
    <w:rsid w:val="00047C1F"/>
    <w:rsid w:val="00047CA1"/>
    <w:rsid w:val="00047D15"/>
    <w:rsid w:val="00047E2E"/>
    <w:rsid w:val="00047E85"/>
    <w:rsid w:val="00050092"/>
    <w:rsid w:val="0005047D"/>
    <w:rsid w:val="00050984"/>
    <w:rsid w:val="000509C8"/>
    <w:rsid w:val="00050B1F"/>
    <w:rsid w:val="00050C39"/>
    <w:rsid w:val="00050C70"/>
    <w:rsid w:val="000510A6"/>
    <w:rsid w:val="0005117F"/>
    <w:rsid w:val="00051353"/>
    <w:rsid w:val="0005152E"/>
    <w:rsid w:val="00051557"/>
    <w:rsid w:val="00051715"/>
    <w:rsid w:val="0005182C"/>
    <w:rsid w:val="00051839"/>
    <w:rsid w:val="0005190E"/>
    <w:rsid w:val="000519B2"/>
    <w:rsid w:val="000519B5"/>
    <w:rsid w:val="00051A44"/>
    <w:rsid w:val="00051B53"/>
    <w:rsid w:val="00051ED5"/>
    <w:rsid w:val="00051EE4"/>
    <w:rsid w:val="00051FD9"/>
    <w:rsid w:val="00051FDE"/>
    <w:rsid w:val="00052283"/>
    <w:rsid w:val="00052506"/>
    <w:rsid w:val="000525AE"/>
    <w:rsid w:val="000525DA"/>
    <w:rsid w:val="0005296D"/>
    <w:rsid w:val="00052BC5"/>
    <w:rsid w:val="00052D43"/>
    <w:rsid w:val="0005343C"/>
    <w:rsid w:val="00053476"/>
    <w:rsid w:val="000534DB"/>
    <w:rsid w:val="000535AC"/>
    <w:rsid w:val="000538DF"/>
    <w:rsid w:val="00053990"/>
    <w:rsid w:val="00053A67"/>
    <w:rsid w:val="00053B4D"/>
    <w:rsid w:val="00053C13"/>
    <w:rsid w:val="00053DB1"/>
    <w:rsid w:val="00053EB7"/>
    <w:rsid w:val="000540D6"/>
    <w:rsid w:val="00054421"/>
    <w:rsid w:val="00054441"/>
    <w:rsid w:val="000544E0"/>
    <w:rsid w:val="000544E2"/>
    <w:rsid w:val="00054650"/>
    <w:rsid w:val="00054717"/>
    <w:rsid w:val="0005475D"/>
    <w:rsid w:val="000547D9"/>
    <w:rsid w:val="000549E5"/>
    <w:rsid w:val="00054B9B"/>
    <w:rsid w:val="00054DC2"/>
    <w:rsid w:val="00054FE3"/>
    <w:rsid w:val="0005513B"/>
    <w:rsid w:val="00055371"/>
    <w:rsid w:val="00055385"/>
    <w:rsid w:val="000553B9"/>
    <w:rsid w:val="000553D8"/>
    <w:rsid w:val="000557C7"/>
    <w:rsid w:val="0005592F"/>
    <w:rsid w:val="0005597B"/>
    <w:rsid w:val="00055B6C"/>
    <w:rsid w:val="00055D22"/>
    <w:rsid w:val="00055D89"/>
    <w:rsid w:val="00055E19"/>
    <w:rsid w:val="00055E1E"/>
    <w:rsid w:val="00055E79"/>
    <w:rsid w:val="0005631C"/>
    <w:rsid w:val="00056448"/>
    <w:rsid w:val="0005644B"/>
    <w:rsid w:val="00056490"/>
    <w:rsid w:val="00056557"/>
    <w:rsid w:val="0005665D"/>
    <w:rsid w:val="00056752"/>
    <w:rsid w:val="00056800"/>
    <w:rsid w:val="000568DC"/>
    <w:rsid w:val="00056AD1"/>
    <w:rsid w:val="00056AF1"/>
    <w:rsid w:val="00056AFC"/>
    <w:rsid w:val="00056B8E"/>
    <w:rsid w:val="00056B9C"/>
    <w:rsid w:val="00056C1F"/>
    <w:rsid w:val="00056C3B"/>
    <w:rsid w:val="00056D4D"/>
    <w:rsid w:val="00056D78"/>
    <w:rsid w:val="00056E43"/>
    <w:rsid w:val="00056FA0"/>
    <w:rsid w:val="00056FD0"/>
    <w:rsid w:val="0005707D"/>
    <w:rsid w:val="0005711D"/>
    <w:rsid w:val="00057184"/>
    <w:rsid w:val="00057314"/>
    <w:rsid w:val="000573A3"/>
    <w:rsid w:val="0005756E"/>
    <w:rsid w:val="000575EA"/>
    <w:rsid w:val="00057760"/>
    <w:rsid w:val="00057AC4"/>
    <w:rsid w:val="00057B12"/>
    <w:rsid w:val="00057C6E"/>
    <w:rsid w:val="00057C8C"/>
    <w:rsid w:val="00057C8E"/>
    <w:rsid w:val="00057F81"/>
    <w:rsid w:val="00060003"/>
    <w:rsid w:val="00060114"/>
    <w:rsid w:val="000601C4"/>
    <w:rsid w:val="00060308"/>
    <w:rsid w:val="00060582"/>
    <w:rsid w:val="00060604"/>
    <w:rsid w:val="00060713"/>
    <w:rsid w:val="00060ABB"/>
    <w:rsid w:val="00060E1F"/>
    <w:rsid w:val="00060E70"/>
    <w:rsid w:val="00060F0C"/>
    <w:rsid w:val="00060F69"/>
    <w:rsid w:val="00061077"/>
    <w:rsid w:val="000610AC"/>
    <w:rsid w:val="00061208"/>
    <w:rsid w:val="00061513"/>
    <w:rsid w:val="0006164B"/>
    <w:rsid w:val="0006167E"/>
    <w:rsid w:val="0006178A"/>
    <w:rsid w:val="000618C5"/>
    <w:rsid w:val="00061914"/>
    <w:rsid w:val="00061932"/>
    <w:rsid w:val="00061C17"/>
    <w:rsid w:val="00061C29"/>
    <w:rsid w:val="00061CB2"/>
    <w:rsid w:val="00061E7F"/>
    <w:rsid w:val="00061F20"/>
    <w:rsid w:val="0006200D"/>
    <w:rsid w:val="000625C2"/>
    <w:rsid w:val="000626B4"/>
    <w:rsid w:val="00062756"/>
    <w:rsid w:val="00062811"/>
    <w:rsid w:val="00062CC2"/>
    <w:rsid w:val="00062E1F"/>
    <w:rsid w:val="00062EAE"/>
    <w:rsid w:val="00062F12"/>
    <w:rsid w:val="0006315E"/>
    <w:rsid w:val="00063176"/>
    <w:rsid w:val="00063290"/>
    <w:rsid w:val="000632F1"/>
    <w:rsid w:val="00063328"/>
    <w:rsid w:val="00063412"/>
    <w:rsid w:val="0006341D"/>
    <w:rsid w:val="000635E1"/>
    <w:rsid w:val="0006361A"/>
    <w:rsid w:val="000636D2"/>
    <w:rsid w:val="00063882"/>
    <w:rsid w:val="000638A9"/>
    <w:rsid w:val="00063B47"/>
    <w:rsid w:val="00063B79"/>
    <w:rsid w:val="00063C22"/>
    <w:rsid w:val="00063D42"/>
    <w:rsid w:val="00063D77"/>
    <w:rsid w:val="00063E51"/>
    <w:rsid w:val="00063F3F"/>
    <w:rsid w:val="000644AE"/>
    <w:rsid w:val="000644EC"/>
    <w:rsid w:val="000644F2"/>
    <w:rsid w:val="00064785"/>
    <w:rsid w:val="000649FD"/>
    <w:rsid w:val="00064B65"/>
    <w:rsid w:val="00064BAC"/>
    <w:rsid w:val="00064BF7"/>
    <w:rsid w:val="00064C2F"/>
    <w:rsid w:val="00064DE8"/>
    <w:rsid w:val="00064FCC"/>
    <w:rsid w:val="00064FE0"/>
    <w:rsid w:val="0006502B"/>
    <w:rsid w:val="0006506B"/>
    <w:rsid w:val="00065098"/>
    <w:rsid w:val="000650E8"/>
    <w:rsid w:val="0006523E"/>
    <w:rsid w:val="00065263"/>
    <w:rsid w:val="0006528E"/>
    <w:rsid w:val="0006531B"/>
    <w:rsid w:val="00065323"/>
    <w:rsid w:val="0006577A"/>
    <w:rsid w:val="00065785"/>
    <w:rsid w:val="00065B16"/>
    <w:rsid w:val="00065C31"/>
    <w:rsid w:val="00065D23"/>
    <w:rsid w:val="00065E29"/>
    <w:rsid w:val="00065E31"/>
    <w:rsid w:val="00066040"/>
    <w:rsid w:val="00066043"/>
    <w:rsid w:val="00066050"/>
    <w:rsid w:val="0006606B"/>
    <w:rsid w:val="00066210"/>
    <w:rsid w:val="0006632B"/>
    <w:rsid w:val="00066372"/>
    <w:rsid w:val="000664CA"/>
    <w:rsid w:val="00066574"/>
    <w:rsid w:val="0006673F"/>
    <w:rsid w:val="0006685F"/>
    <w:rsid w:val="00066893"/>
    <w:rsid w:val="0006691D"/>
    <w:rsid w:val="00066971"/>
    <w:rsid w:val="00066999"/>
    <w:rsid w:val="00066B5B"/>
    <w:rsid w:val="00066E89"/>
    <w:rsid w:val="0006708B"/>
    <w:rsid w:val="000670A3"/>
    <w:rsid w:val="00067587"/>
    <w:rsid w:val="00067651"/>
    <w:rsid w:val="00067666"/>
    <w:rsid w:val="000676C8"/>
    <w:rsid w:val="00067738"/>
    <w:rsid w:val="00067947"/>
    <w:rsid w:val="00067955"/>
    <w:rsid w:val="00067C53"/>
    <w:rsid w:val="00067C5C"/>
    <w:rsid w:val="00067C82"/>
    <w:rsid w:val="00067D6D"/>
    <w:rsid w:val="00067EF8"/>
    <w:rsid w:val="00067F1D"/>
    <w:rsid w:val="0006F06E"/>
    <w:rsid w:val="000701F3"/>
    <w:rsid w:val="000703BF"/>
    <w:rsid w:val="0007040E"/>
    <w:rsid w:val="0007044C"/>
    <w:rsid w:val="000704D0"/>
    <w:rsid w:val="000704EF"/>
    <w:rsid w:val="00070A31"/>
    <w:rsid w:val="00070B91"/>
    <w:rsid w:val="00070FF7"/>
    <w:rsid w:val="00071080"/>
    <w:rsid w:val="0007111E"/>
    <w:rsid w:val="00071122"/>
    <w:rsid w:val="000712F6"/>
    <w:rsid w:val="0007138E"/>
    <w:rsid w:val="00071447"/>
    <w:rsid w:val="000714CD"/>
    <w:rsid w:val="0007156E"/>
    <w:rsid w:val="000717B8"/>
    <w:rsid w:val="00071931"/>
    <w:rsid w:val="00071949"/>
    <w:rsid w:val="00071ACF"/>
    <w:rsid w:val="00071C6F"/>
    <w:rsid w:val="00071D6F"/>
    <w:rsid w:val="00071FF4"/>
    <w:rsid w:val="00072060"/>
    <w:rsid w:val="000720CE"/>
    <w:rsid w:val="0007218C"/>
    <w:rsid w:val="000721A5"/>
    <w:rsid w:val="000722AC"/>
    <w:rsid w:val="00072380"/>
    <w:rsid w:val="0007240A"/>
    <w:rsid w:val="00072514"/>
    <w:rsid w:val="00072665"/>
    <w:rsid w:val="000726A7"/>
    <w:rsid w:val="000726D9"/>
    <w:rsid w:val="000727F4"/>
    <w:rsid w:val="00072838"/>
    <w:rsid w:val="000728A6"/>
    <w:rsid w:val="000728AD"/>
    <w:rsid w:val="000728E9"/>
    <w:rsid w:val="000729A9"/>
    <w:rsid w:val="00072F38"/>
    <w:rsid w:val="00073113"/>
    <w:rsid w:val="00073325"/>
    <w:rsid w:val="00073360"/>
    <w:rsid w:val="00073406"/>
    <w:rsid w:val="000734D6"/>
    <w:rsid w:val="0007356F"/>
    <w:rsid w:val="000735E0"/>
    <w:rsid w:val="000737B6"/>
    <w:rsid w:val="000738D7"/>
    <w:rsid w:val="000739E5"/>
    <w:rsid w:val="00073F4B"/>
    <w:rsid w:val="00074487"/>
    <w:rsid w:val="000744A1"/>
    <w:rsid w:val="000745CA"/>
    <w:rsid w:val="000745F0"/>
    <w:rsid w:val="000746FC"/>
    <w:rsid w:val="00074967"/>
    <w:rsid w:val="00074A52"/>
    <w:rsid w:val="00074AD0"/>
    <w:rsid w:val="00074B1A"/>
    <w:rsid w:val="00074B3C"/>
    <w:rsid w:val="00074CD6"/>
    <w:rsid w:val="00074D9B"/>
    <w:rsid w:val="00074E1E"/>
    <w:rsid w:val="00074EC3"/>
    <w:rsid w:val="00074FB5"/>
    <w:rsid w:val="00075048"/>
    <w:rsid w:val="000750C8"/>
    <w:rsid w:val="00075171"/>
    <w:rsid w:val="000751D9"/>
    <w:rsid w:val="00075293"/>
    <w:rsid w:val="000752A8"/>
    <w:rsid w:val="0007535F"/>
    <w:rsid w:val="0007544B"/>
    <w:rsid w:val="00075568"/>
    <w:rsid w:val="000756C3"/>
    <w:rsid w:val="0007592F"/>
    <w:rsid w:val="00075C31"/>
    <w:rsid w:val="00075C8A"/>
    <w:rsid w:val="00075D93"/>
    <w:rsid w:val="00075D99"/>
    <w:rsid w:val="0007632A"/>
    <w:rsid w:val="00076361"/>
    <w:rsid w:val="0007637E"/>
    <w:rsid w:val="000763EE"/>
    <w:rsid w:val="00076491"/>
    <w:rsid w:val="0007661B"/>
    <w:rsid w:val="00076644"/>
    <w:rsid w:val="000768D8"/>
    <w:rsid w:val="0007690F"/>
    <w:rsid w:val="00076B53"/>
    <w:rsid w:val="00076C8D"/>
    <w:rsid w:val="00076CA6"/>
    <w:rsid w:val="00076EFA"/>
    <w:rsid w:val="000772E0"/>
    <w:rsid w:val="00077322"/>
    <w:rsid w:val="000774D8"/>
    <w:rsid w:val="000774FC"/>
    <w:rsid w:val="0007756F"/>
    <w:rsid w:val="000778CA"/>
    <w:rsid w:val="00077973"/>
    <w:rsid w:val="000779D6"/>
    <w:rsid w:val="00077AD9"/>
    <w:rsid w:val="00077BF1"/>
    <w:rsid w:val="00077C1C"/>
    <w:rsid w:val="00077C9C"/>
    <w:rsid w:val="00077DD7"/>
    <w:rsid w:val="00077E63"/>
    <w:rsid w:val="00077FA8"/>
    <w:rsid w:val="000800F9"/>
    <w:rsid w:val="000803BA"/>
    <w:rsid w:val="000803C1"/>
    <w:rsid w:val="000803D2"/>
    <w:rsid w:val="00080439"/>
    <w:rsid w:val="0008053A"/>
    <w:rsid w:val="00080918"/>
    <w:rsid w:val="00080919"/>
    <w:rsid w:val="0008094C"/>
    <w:rsid w:val="00080C31"/>
    <w:rsid w:val="00080F00"/>
    <w:rsid w:val="00080F36"/>
    <w:rsid w:val="000810BA"/>
    <w:rsid w:val="000810D6"/>
    <w:rsid w:val="000810F7"/>
    <w:rsid w:val="00081103"/>
    <w:rsid w:val="00081140"/>
    <w:rsid w:val="000812DA"/>
    <w:rsid w:val="000812DB"/>
    <w:rsid w:val="00081368"/>
    <w:rsid w:val="000813E8"/>
    <w:rsid w:val="000814D1"/>
    <w:rsid w:val="00081543"/>
    <w:rsid w:val="00081654"/>
    <w:rsid w:val="000816DD"/>
    <w:rsid w:val="0008175C"/>
    <w:rsid w:val="000817D1"/>
    <w:rsid w:val="00081868"/>
    <w:rsid w:val="000818F3"/>
    <w:rsid w:val="00081B5A"/>
    <w:rsid w:val="00081D24"/>
    <w:rsid w:val="00081D66"/>
    <w:rsid w:val="00081ECF"/>
    <w:rsid w:val="00081F1C"/>
    <w:rsid w:val="00082114"/>
    <w:rsid w:val="00082550"/>
    <w:rsid w:val="0008285C"/>
    <w:rsid w:val="00082920"/>
    <w:rsid w:val="00082A73"/>
    <w:rsid w:val="00082B37"/>
    <w:rsid w:val="00082E43"/>
    <w:rsid w:val="00082F55"/>
    <w:rsid w:val="00082FDD"/>
    <w:rsid w:val="0008301E"/>
    <w:rsid w:val="00083046"/>
    <w:rsid w:val="000830D7"/>
    <w:rsid w:val="000830DD"/>
    <w:rsid w:val="0008366F"/>
    <w:rsid w:val="0008369F"/>
    <w:rsid w:val="0008374E"/>
    <w:rsid w:val="000837B5"/>
    <w:rsid w:val="00083915"/>
    <w:rsid w:val="00083966"/>
    <w:rsid w:val="00083A76"/>
    <w:rsid w:val="00083ADB"/>
    <w:rsid w:val="00083F19"/>
    <w:rsid w:val="00083FB6"/>
    <w:rsid w:val="000840FE"/>
    <w:rsid w:val="0008435B"/>
    <w:rsid w:val="00084433"/>
    <w:rsid w:val="00084588"/>
    <w:rsid w:val="0008461A"/>
    <w:rsid w:val="000846DD"/>
    <w:rsid w:val="000847C9"/>
    <w:rsid w:val="00084926"/>
    <w:rsid w:val="00084958"/>
    <w:rsid w:val="00084A7D"/>
    <w:rsid w:val="00084B04"/>
    <w:rsid w:val="00084C2D"/>
    <w:rsid w:val="00084C2E"/>
    <w:rsid w:val="00084C88"/>
    <w:rsid w:val="0008502A"/>
    <w:rsid w:val="0008523A"/>
    <w:rsid w:val="00085291"/>
    <w:rsid w:val="000852F8"/>
    <w:rsid w:val="00085373"/>
    <w:rsid w:val="00085479"/>
    <w:rsid w:val="00085512"/>
    <w:rsid w:val="00085540"/>
    <w:rsid w:val="00085822"/>
    <w:rsid w:val="00085A6C"/>
    <w:rsid w:val="00085C0E"/>
    <w:rsid w:val="00085C2B"/>
    <w:rsid w:val="00085C56"/>
    <w:rsid w:val="00085C92"/>
    <w:rsid w:val="00085E5E"/>
    <w:rsid w:val="00085EDB"/>
    <w:rsid w:val="00085F2B"/>
    <w:rsid w:val="00085F2F"/>
    <w:rsid w:val="00085F39"/>
    <w:rsid w:val="00086056"/>
    <w:rsid w:val="00086653"/>
    <w:rsid w:val="00086768"/>
    <w:rsid w:val="000867AC"/>
    <w:rsid w:val="00086844"/>
    <w:rsid w:val="00086947"/>
    <w:rsid w:val="00086993"/>
    <w:rsid w:val="00086A3D"/>
    <w:rsid w:val="00086BB5"/>
    <w:rsid w:val="00086DAA"/>
    <w:rsid w:val="00086E65"/>
    <w:rsid w:val="00086F24"/>
    <w:rsid w:val="0008701B"/>
    <w:rsid w:val="000870A3"/>
    <w:rsid w:val="000871D8"/>
    <w:rsid w:val="00087239"/>
    <w:rsid w:val="00087241"/>
    <w:rsid w:val="0008735C"/>
    <w:rsid w:val="0008739C"/>
    <w:rsid w:val="000873C3"/>
    <w:rsid w:val="000873E0"/>
    <w:rsid w:val="000874DF"/>
    <w:rsid w:val="00087729"/>
    <w:rsid w:val="000878F6"/>
    <w:rsid w:val="00087903"/>
    <w:rsid w:val="00087921"/>
    <w:rsid w:val="0008799C"/>
    <w:rsid w:val="00087A26"/>
    <w:rsid w:val="00087AED"/>
    <w:rsid w:val="00087B7A"/>
    <w:rsid w:val="00087BAA"/>
    <w:rsid w:val="00087C60"/>
    <w:rsid w:val="00087D83"/>
    <w:rsid w:val="000900FA"/>
    <w:rsid w:val="00090359"/>
    <w:rsid w:val="00090381"/>
    <w:rsid w:val="00090559"/>
    <w:rsid w:val="000909AE"/>
    <w:rsid w:val="00090E40"/>
    <w:rsid w:val="00090E9D"/>
    <w:rsid w:val="00091082"/>
    <w:rsid w:val="0009110A"/>
    <w:rsid w:val="00091147"/>
    <w:rsid w:val="00091178"/>
    <w:rsid w:val="0009130B"/>
    <w:rsid w:val="00091863"/>
    <w:rsid w:val="00091ABD"/>
    <w:rsid w:val="00091B94"/>
    <w:rsid w:val="00091CC9"/>
    <w:rsid w:val="00091ED1"/>
    <w:rsid w:val="0009205B"/>
    <w:rsid w:val="00092200"/>
    <w:rsid w:val="000923A9"/>
    <w:rsid w:val="00092465"/>
    <w:rsid w:val="00092482"/>
    <w:rsid w:val="00092584"/>
    <w:rsid w:val="0009259A"/>
    <w:rsid w:val="000925EE"/>
    <w:rsid w:val="000926AB"/>
    <w:rsid w:val="0009270F"/>
    <w:rsid w:val="00092731"/>
    <w:rsid w:val="000928D5"/>
    <w:rsid w:val="000928DA"/>
    <w:rsid w:val="00092980"/>
    <w:rsid w:val="00092A45"/>
    <w:rsid w:val="00092BCF"/>
    <w:rsid w:val="00092CEB"/>
    <w:rsid w:val="00092D37"/>
    <w:rsid w:val="00092DEE"/>
    <w:rsid w:val="00092E20"/>
    <w:rsid w:val="000930CB"/>
    <w:rsid w:val="0009317C"/>
    <w:rsid w:val="0009322D"/>
    <w:rsid w:val="000934B8"/>
    <w:rsid w:val="00093524"/>
    <w:rsid w:val="0009376D"/>
    <w:rsid w:val="00093788"/>
    <w:rsid w:val="00093823"/>
    <w:rsid w:val="00093864"/>
    <w:rsid w:val="00093AC1"/>
    <w:rsid w:val="00093D6F"/>
    <w:rsid w:val="0009418B"/>
    <w:rsid w:val="000942A1"/>
    <w:rsid w:val="00094494"/>
    <w:rsid w:val="0009465A"/>
    <w:rsid w:val="0009473A"/>
    <w:rsid w:val="000947BD"/>
    <w:rsid w:val="00094A2A"/>
    <w:rsid w:val="00094ACB"/>
    <w:rsid w:val="00094AD3"/>
    <w:rsid w:val="00094B10"/>
    <w:rsid w:val="00094B81"/>
    <w:rsid w:val="00094C21"/>
    <w:rsid w:val="00094CBE"/>
    <w:rsid w:val="00094DA5"/>
    <w:rsid w:val="00094DB0"/>
    <w:rsid w:val="00094DCA"/>
    <w:rsid w:val="00094E13"/>
    <w:rsid w:val="00094F9E"/>
    <w:rsid w:val="00094FE6"/>
    <w:rsid w:val="00095069"/>
    <w:rsid w:val="0009513B"/>
    <w:rsid w:val="0009517C"/>
    <w:rsid w:val="000954BC"/>
    <w:rsid w:val="000954F7"/>
    <w:rsid w:val="000956A1"/>
    <w:rsid w:val="000956CB"/>
    <w:rsid w:val="00095812"/>
    <w:rsid w:val="00095914"/>
    <w:rsid w:val="00095922"/>
    <w:rsid w:val="00095AE8"/>
    <w:rsid w:val="00095B96"/>
    <w:rsid w:val="00095C3E"/>
    <w:rsid w:val="00095D02"/>
    <w:rsid w:val="00096008"/>
    <w:rsid w:val="00096109"/>
    <w:rsid w:val="000961FB"/>
    <w:rsid w:val="00096599"/>
    <w:rsid w:val="000965F0"/>
    <w:rsid w:val="0009679F"/>
    <w:rsid w:val="000967C2"/>
    <w:rsid w:val="00096861"/>
    <w:rsid w:val="000969E0"/>
    <w:rsid w:val="000969F6"/>
    <w:rsid w:val="00096A40"/>
    <w:rsid w:val="00096B61"/>
    <w:rsid w:val="00096C44"/>
    <w:rsid w:val="0009710B"/>
    <w:rsid w:val="00097152"/>
    <w:rsid w:val="000971E9"/>
    <w:rsid w:val="00097218"/>
    <w:rsid w:val="00097256"/>
    <w:rsid w:val="00097271"/>
    <w:rsid w:val="00097350"/>
    <w:rsid w:val="000973E0"/>
    <w:rsid w:val="00097549"/>
    <w:rsid w:val="0009754F"/>
    <w:rsid w:val="00097635"/>
    <w:rsid w:val="00097806"/>
    <w:rsid w:val="00097C75"/>
    <w:rsid w:val="00097C8E"/>
    <w:rsid w:val="00097D32"/>
    <w:rsid w:val="00097D50"/>
    <w:rsid w:val="00097DCE"/>
    <w:rsid w:val="00097F47"/>
    <w:rsid w:val="00097F49"/>
    <w:rsid w:val="000A01E4"/>
    <w:rsid w:val="000A0392"/>
    <w:rsid w:val="000A0393"/>
    <w:rsid w:val="000A04B8"/>
    <w:rsid w:val="000A0663"/>
    <w:rsid w:val="000A073B"/>
    <w:rsid w:val="000A07BF"/>
    <w:rsid w:val="000A07DB"/>
    <w:rsid w:val="000A0809"/>
    <w:rsid w:val="000A0863"/>
    <w:rsid w:val="000A08C0"/>
    <w:rsid w:val="000A0B70"/>
    <w:rsid w:val="000A0BCC"/>
    <w:rsid w:val="000A10A6"/>
    <w:rsid w:val="000A10AD"/>
    <w:rsid w:val="000A10B3"/>
    <w:rsid w:val="000A10F9"/>
    <w:rsid w:val="000A1561"/>
    <w:rsid w:val="000A1574"/>
    <w:rsid w:val="000A157F"/>
    <w:rsid w:val="000A18E6"/>
    <w:rsid w:val="000A1A63"/>
    <w:rsid w:val="000A1AAC"/>
    <w:rsid w:val="000A1B07"/>
    <w:rsid w:val="000A1CAC"/>
    <w:rsid w:val="000A1DED"/>
    <w:rsid w:val="000A1FAF"/>
    <w:rsid w:val="000A20C1"/>
    <w:rsid w:val="000A2402"/>
    <w:rsid w:val="000A242F"/>
    <w:rsid w:val="000A26CF"/>
    <w:rsid w:val="000A270F"/>
    <w:rsid w:val="000A298B"/>
    <w:rsid w:val="000A29D1"/>
    <w:rsid w:val="000A2B59"/>
    <w:rsid w:val="000A2B8B"/>
    <w:rsid w:val="000A2C27"/>
    <w:rsid w:val="000A2C5E"/>
    <w:rsid w:val="000A2CEA"/>
    <w:rsid w:val="000A2DD2"/>
    <w:rsid w:val="000A2E0B"/>
    <w:rsid w:val="000A2F1B"/>
    <w:rsid w:val="000A3227"/>
    <w:rsid w:val="000A327F"/>
    <w:rsid w:val="000A340C"/>
    <w:rsid w:val="000A3411"/>
    <w:rsid w:val="000A3656"/>
    <w:rsid w:val="000A3714"/>
    <w:rsid w:val="000A3766"/>
    <w:rsid w:val="000A3B2A"/>
    <w:rsid w:val="000A3B32"/>
    <w:rsid w:val="000A3B52"/>
    <w:rsid w:val="000A3CB6"/>
    <w:rsid w:val="000A3F8E"/>
    <w:rsid w:val="000A40B4"/>
    <w:rsid w:val="000A4126"/>
    <w:rsid w:val="000A4337"/>
    <w:rsid w:val="000A44F0"/>
    <w:rsid w:val="000A4569"/>
    <w:rsid w:val="000A4634"/>
    <w:rsid w:val="000A47EA"/>
    <w:rsid w:val="000A486D"/>
    <w:rsid w:val="000A48A2"/>
    <w:rsid w:val="000A48C1"/>
    <w:rsid w:val="000A4C8C"/>
    <w:rsid w:val="000A4ECB"/>
    <w:rsid w:val="000A4F5B"/>
    <w:rsid w:val="000A502A"/>
    <w:rsid w:val="000A520D"/>
    <w:rsid w:val="000A527A"/>
    <w:rsid w:val="000A539D"/>
    <w:rsid w:val="000A53A0"/>
    <w:rsid w:val="000A54E3"/>
    <w:rsid w:val="000A554E"/>
    <w:rsid w:val="000A5874"/>
    <w:rsid w:val="000A59D4"/>
    <w:rsid w:val="000A5A4B"/>
    <w:rsid w:val="000A5AC0"/>
    <w:rsid w:val="000A5AE3"/>
    <w:rsid w:val="000A5B4B"/>
    <w:rsid w:val="000A5B53"/>
    <w:rsid w:val="000A5D42"/>
    <w:rsid w:val="000A5DC9"/>
    <w:rsid w:val="000A5DE9"/>
    <w:rsid w:val="000A6036"/>
    <w:rsid w:val="000A6053"/>
    <w:rsid w:val="000A6081"/>
    <w:rsid w:val="000A608E"/>
    <w:rsid w:val="000A625B"/>
    <w:rsid w:val="000A629E"/>
    <w:rsid w:val="000A6420"/>
    <w:rsid w:val="000A64E4"/>
    <w:rsid w:val="000A6515"/>
    <w:rsid w:val="000A65B8"/>
    <w:rsid w:val="000A6639"/>
    <w:rsid w:val="000A6699"/>
    <w:rsid w:val="000A690D"/>
    <w:rsid w:val="000A6915"/>
    <w:rsid w:val="000A6D15"/>
    <w:rsid w:val="000A6DB8"/>
    <w:rsid w:val="000A70DB"/>
    <w:rsid w:val="000A7113"/>
    <w:rsid w:val="000A7145"/>
    <w:rsid w:val="000A736D"/>
    <w:rsid w:val="000A738E"/>
    <w:rsid w:val="000A73D0"/>
    <w:rsid w:val="000A7436"/>
    <w:rsid w:val="000A74BD"/>
    <w:rsid w:val="000A7522"/>
    <w:rsid w:val="000A75BC"/>
    <w:rsid w:val="000A778B"/>
    <w:rsid w:val="000A797B"/>
    <w:rsid w:val="000A7A43"/>
    <w:rsid w:val="000A7AD0"/>
    <w:rsid w:val="000A7B85"/>
    <w:rsid w:val="000A7C9B"/>
    <w:rsid w:val="000A7F3B"/>
    <w:rsid w:val="000B007B"/>
    <w:rsid w:val="000B023F"/>
    <w:rsid w:val="000B03A4"/>
    <w:rsid w:val="000B0482"/>
    <w:rsid w:val="000B0553"/>
    <w:rsid w:val="000B0627"/>
    <w:rsid w:val="000B070D"/>
    <w:rsid w:val="000B09C3"/>
    <w:rsid w:val="000B0BCF"/>
    <w:rsid w:val="000B0D03"/>
    <w:rsid w:val="000B0DAB"/>
    <w:rsid w:val="000B0DCC"/>
    <w:rsid w:val="000B0E8C"/>
    <w:rsid w:val="000B106C"/>
    <w:rsid w:val="000B1085"/>
    <w:rsid w:val="000B112A"/>
    <w:rsid w:val="000B119E"/>
    <w:rsid w:val="000B121E"/>
    <w:rsid w:val="000B13F0"/>
    <w:rsid w:val="000B1482"/>
    <w:rsid w:val="000B14C3"/>
    <w:rsid w:val="000B16B0"/>
    <w:rsid w:val="000B16C6"/>
    <w:rsid w:val="000B1755"/>
    <w:rsid w:val="000B179D"/>
    <w:rsid w:val="000B1818"/>
    <w:rsid w:val="000B193E"/>
    <w:rsid w:val="000B1C81"/>
    <w:rsid w:val="000B1D1F"/>
    <w:rsid w:val="000B1DCA"/>
    <w:rsid w:val="000B1E71"/>
    <w:rsid w:val="000B1EAC"/>
    <w:rsid w:val="000B1EC1"/>
    <w:rsid w:val="000B1EF4"/>
    <w:rsid w:val="000B20AC"/>
    <w:rsid w:val="000B24BA"/>
    <w:rsid w:val="000B24FF"/>
    <w:rsid w:val="000B25C2"/>
    <w:rsid w:val="000B262E"/>
    <w:rsid w:val="000B2794"/>
    <w:rsid w:val="000B27AA"/>
    <w:rsid w:val="000B2872"/>
    <w:rsid w:val="000B289E"/>
    <w:rsid w:val="000B2991"/>
    <w:rsid w:val="000B29F7"/>
    <w:rsid w:val="000B2A1E"/>
    <w:rsid w:val="000B2C6F"/>
    <w:rsid w:val="000B2D93"/>
    <w:rsid w:val="000B2E57"/>
    <w:rsid w:val="000B2ED7"/>
    <w:rsid w:val="000B2F81"/>
    <w:rsid w:val="000B2FCA"/>
    <w:rsid w:val="000B3048"/>
    <w:rsid w:val="000B3096"/>
    <w:rsid w:val="000B3166"/>
    <w:rsid w:val="000B3184"/>
    <w:rsid w:val="000B31C1"/>
    <w:rsid w:val="000B331B"/>
    <w:rsid w:val="000B33A2"/>
    <w:rsid w:val="000B34F7"/>
    <w:rsid w:val="000B3577"/>
    <w:rsid w:val="000B36DC"/>
    <w:rsid w:val="000B3A87"/>
    <w:rsid w:val="000B3B6A"/>
    <w:rsid w:val="000B3E1B"/>
    <w:rsid w:val="000B3E32"/>
    <w:rsid w:val="000B3E80"/>
    <w:rsid w:val="000B4095"/>
    <w:rsid w:val="000B4109"/>
    <w:rsid w:val="000B415C"/>
    <w:rsid w:val="000B421F"/>
    <w:rsid w:val="000B4220"/>
    <w:rsid w:val="000B4277"/>
    <w:rsid w:val="000B43A8"/>
    <w:rsid w:val="000B45FB"/>
    <w:rsid w:val="000B4714"/>
    <w:rsid w:val="000B4C14"/>
    <w:rsid w:val="000B4CFC"/>
    <w:rsid w:val="000B4DC0"/>
    <w:rsid w:val="000B5178"/>
    <w:rsid w:val="000B51A9"/>
    <w:rsid w:val="000B51AB"/>
    <w:rsid w:val="000B5291"/>
    <w:rsid w:val="000B53DD"/>
    <w:rsid w:val="000B540F"/>
    <w:rsid w:val="000B5433"/>
    <w:rsid w:val="000B54C8"/>
    <w:rsid w:val="000B5588"/>
    <w:rsid w:val="000B5826"/>
    <w:rsid w:val="000B58A0"/>
    <w:rsid w:val="000B5ABA"/>
    <w:rsid w:val="000B5B12"/>
    <w:rsid w:val="000B5CCE"/>
    <w:rsid w:val="000B5DD0"/>
    <w:rsid w:val="000B5DDF"/>
    <w:rsid w:val="000B5E2B"/>
    <w:rsid w:val="000B5E96"/>
    <w:rsid w:val="000B618F"/>
    <w:rsid w:val="000B6264"/>
    <w:rsid w:val="000B6357"/>
    <w:rsid w:val="000B6385"/>
    <w:rsid w:val="000B6402"/>
    <w:rsid w:val="000B657D"/>
    <w:rsid w:val="000B6705"/>
    <w:rsid w:val="000B6754"/>
    <w:rsid w:val="000B696F"/>
    <w:rsid w:val="000B6AD0"/>
    <w:rsid w:val="000B6B28"/>
    <w:rsid w:val="000B6CCE"/>
    <w:rsid w:val="000B6D8C"/>
    <w:rsid w:val="000B6EAB"/>
    <w:rsid w:val="000B6EF4"/>
    <w:rsid w:val="000B70CD"/>
    <w:rsid w:val="000B72A9"/>
    <w:rsid w:val="000B74C2"/>
    <w:rsid w:val="000B75D2"/>
    <w:rsid w:val="000B7718"/>
    <w:rsid w:val="000B7738"/>
    <w:rsid w:val="000B77A7"/>
    <w:rsid w:val="000B77C0"/>
    <w:rsid w:val="000B77C1"/>
    <w:rsid w:val="000B7944"/>
    <w:rsid w:val="000B79F5"/>
    <w:rsid w:val="000B7A64"/>
    <w:rsid w:val="000C00AE"/>
    <w:rsid w:val="000C00BA"/>
    <w:rsid w:val="000C00BD"/>
    <w:rsid w:val="000C01CB"/>
    <w:rsid w:val="000C01CE"/>
    <w:rsid w:val="000C0247"/>
    <w:rsid w:val="000C02A9"/>
    <w:rsid w:val="000C0399"/>
    <w:rsid w:val="000C057F"/>
    <w:rsid w:val="000C0589"/>
    <w:rsid w:val="000C0591"/>
    <w:rsid w:val="000C08DC"/>
    <w:rsid w:val="000C09DC"/>
    <w:rsid w:val="000C0AA5"/>
    <w:rsid w:val="000C0B0C"/>
    <w:rsid w:val="000C0E14"/>
    <w:rsid w:val="000C0F0A"/>
    <w:rsid w:val="000C1161"/>
    <w:rsid w:val="000C1182"/>
    <w:rsid w:val="000C120A"/>
    <w:rsid w:val="000C1243"/>
    <w:rsid w:val="000C13C1"/>
    <w:rsid w:val="000C13D7"/>
    <w:rsid w:val="000C1561"/>
    <w:rsid w:val="000C1679"/>
    <w:rsid w:val="000C172C"/>
    <w:rsid w:val="000C1794"/>
    <w:rsid w:val="000C17FD"/>
    <w:rsid w:val="000C1911"/>
    <w:rsid w:val="000C1BFD"/>
    <w:rsid w:val="000C1C5F"/>
    <w:rsid w:val="000C1C8D"/>
    <w:rsid w:val="000C1C99"/>
    <w:rsid w:val="000C1CEF"/>
    <w:rsid w:val="000C1D6A"/>
    <w:rsid w:val="000C2093"/>
    <w:rsid w:val="000C21E0"/>
    <w:rsid w:val="000C2261"/>
    <w:rsid w:val="000C22DC"/>
    <w:rsid w:val="000C2368"/>
    <w:rsid w:val="000C2413"/>
    <w:rsid w:val="000C24EE"/>
    <w:rsid w:val="000C2585"/>
    <w:rsid w:val="000C264E"/>
    <w:rsid w:val="000C26D2"/>
    <w:rsid w:val="000C277A"/>
    <w:rsid w:val="000C285E"/>
    <w:rsid w:val="000C2867"/>
    <w:rsid w:val="000C29A9"/>
    <w:rsid w:val="000C2A85"/>
    <w:rsid w:val="000C2B2A"/>
    <w:rsid w:val="000C2C9E"/>
    <w:rsid w:val="000C2D07"/>
    <w:rsid w:val="000C2E1C"/>
    <w:rsid w:val="000C2F95"/>
    <w:rsid w:val="000C3026"/>
    <w:rsid w:val="000C308E"/>
    <w:rsid w:val="000C30BF"/>
    <w:rsid w:val="000C32D1"/>
    <w:rsid w:val="000C33C1"/>
    <w:rsid w:val="000C3444"/>
    <w:rsid w:val="000C35B0"/>
    <w:rsid w:val="000C37F3"/>
    <w:rsid w:val="000C3852"/>
    <w:rsid w:val="000C385C"/>
    <w:rsid w:val="000C39BE"/>
    <w:rsid w:val="000C3B0B"/>
    <w:rsid w:val="000C3BC0"/>
    <w:rsid w:val="000C3D05"/>
    <w:rsid w:val="000C3FE3"/>
    <w:rsid w:val="000C41E9"/>
    <w:rsid w:val="000C43F8"/>
    <w:rsid w:val="000C4582"/>
    <w:rsid w:val="000C45C2"/>
    <w:rsid w:val="000C4636"/>
    <w:rsid w:val="000C4A91"/>
    <w:rsid w:val="000C4D24"/>
    <w:rsid w:val="000C4D82"/>
    <w:rsid w:val="000C4DAC"/>
    <w:rsid w:val="000C4FAF"/>
    <w:rsid w:val="000C4FD3"/>
    <w:rsid w:val="000C5083"/>
    <w:rsid w:val="000C50E6"/>
    <w:rsid w:val="000C533F"/>
    <w:rsid w:val="000C54C5"/>
    <w:rsid w:val="000C568F"/>
    <w:rsid w:val="000C58CA"/>
    <w:rsid w:val="000C5954"/>
    <w:rsid w:val="000C59B9"/>
    <w:rsid w:val="000C5B86"/>
    <w:rsid w:val="000C5C15"/>
    <w:rsid w:val="000C5F6B"/>
    <w:rsid w:val="000C5F8C"/>
    <w:rsid w:val="000C6008"/>
    <w:rsid w:val="000C60E7"/>
    <w:rsid w:val="000C613B"/>
    <w:rsid w:val="000C61F9"/>
    <w:rsid w:val="000C6330"/>
    <w:rsid w:val="000C6373"/>
    <w:rsid w:val="000C6413"/>
    <w:rsid w:val="000C6511"/>
    <w:rsid w:val="000C660D"/>
    <w:rsid w:val="000C67E9"/>
    <w:rsid w:val="000C6BBE"/>
    <w:rsid w:val="000C6C7E"/>
    <w:rsid w:val="000C70F9"/>
    <w:rsid w:val="000C71A7"/>
    <w:rsid w:val="000C7371"/>
    <w:rsid w:val="000C747B"/>
    <w:rsid w:val="000C7486"/>
    <w:rsid w:val="000C74B3"/>
    <w:rsid w:val="000C7768"/>
    <w:rsid w:val="000C7786"/>
    <w:rsid w:val="000C780C"/>
    <w:rsid w:val="000C7CE0"/>
    <w:rsid w:val="000C7EBA"/>
    <w:rsid w:val="000C7ED3"/>
    <w:rsid w:val="000C7FEA"/>
    <w:rsid w:val="000C7FF8"/>
    <w:rsid w:val="000D00D5"/>
    <w:rsid w:val="000D0244"/>
    <w:rsid w:val="000D0262"/>
    <w:rsid w:val="000D034A"/>
    <w:rsid w:val="000D035A"/>
    <w:rsid w:val="000D0454"/>
    <w:rsid w:val="000D0554"/>
    <w:rsid w:val="000D0674"/>
    <w:rsid w:val="000D08A8"/>
    <w:rsid w:val="000D09DF"/>
    <w:rsid w:val="000D0B2D"/>
    <w:rsid w:val="000D0D8A"/>
    <w:rsid w:val="000D0EF7"/>
    <w:rsid w:val="000D13C9"/>
    <w:rsid w:val="000D148C"/>
    <w:rsid w:val="000D16B4"/>
    <w:rsid w:val="000D1823"/>
    <w:rsid w:val="000D1C62"/>
    <w:rsid w:val="000D1CAD"/>
    <w:rsid w:val="000D1F9E"/>
    <w:rsid w:val="000D1FDD"/>
    <w:rsid w:val="000D201B"/>
    <w:rsid w:val="000D20F4"/>
    <w:rsid w:val="000D21D7"/>
    <w:rsid w:val="000D2216"/>
    <w:rsid w:val="000D252D"/>
    <w:rsid w:val="000D2559"/>
    <w:rsid w:val="000D260F"/>
    <w:rsid w:val="000D2707"/>
    <w:rsid w:val="000D27CA"/>
    <w:rsid w:val="000D28D5"/>
    <w:rsid w:val="000D2A25"/>
    <w:rsid w:val="000D2A39"/>
    <w:rsid w:val="000D2A5A"/>
    <w:rsid w:val="000D2AE3"/>
    <w:rsid w:val="000D2B13"/>
    <w:rsid w:val="000D2B40"/>
    <w:rsid w:val="000D2B94"/>
    <w:rsid w:val="000D2BC7"/>
    <w:rsid w:val="000D2F2E"/>
    <w:rsid w:val="000D300B"/>
    <w:rsid w:val="000D3036"/>
    <w:rsid w:val="000D3092"/>
    <w:rsid w:val="000D30F7"/>
    <w:rsid w:val="000D30FE"/>
    <w:rsid w:val="000D337A"/>
    <w:rsid w:val="000D34A3"/>
    <w:rsid w:val="000D38DD"/>
    <w:rsid w:val="000D3E74"/>
    <w:rsid w:val="000D3E82"/>
    <w:rsid w:val="000D3EFD"/>
    <w:rsid w:val="000D407B"/>
    <w:rsid w:val="000D41B0"/>
    <w:rsid w:val="000D4207"/>
    <w:rsid w:val="000D4299"/>
    <w:rsid w:val="000D4322"/>
    <w:rsid w:val="000D47E1"/>
    <w:rsid w:val="000D482F"/>
    <w:rsid w:val="000D489E"/>
    <w:rsid w:val="000D4B1D"/>
    <w:rsid w:val="000D4B75"/>
    <w:rsid w:val="000D4B9C"/>
    <w:rsid w:val="000D4C47"/>
    <w:rsid w:val="000D4C79"/>
    <w:rsid w:val="000D4E63"/>
    <w:rsid w:val="000D4EEE"/>
    <w:rsid w:val="000D51CF"/>
    <w:rsid w:val="000D527A"/>
    <w:rsid w:val="000D5381"/>
    <w:rsid w:val="000D564C"/>
    <w:rsid w:val="000D5730"/>
    <w:rsid w:val="000D57E8"/>
    <w:rsid w:val="000D5BE9"/>
    <w:rsid w:val="000D5C01"/>
    <w:rsid w:val="000D5DD4"/>
    <w:rsid w:val="000D5E06"/>
    <w:rsid w:val="000D5EFF"/>
    <w:rsid w:val="000D6042"/>
    <w:rsid w:val="000D6043"/>
    <w:rsid w:val="000D6263"/>
    <w:rsid w:val="000D63E8"/>
    <w:rsid w:val="000D63EA"/>
    <w:rsid w:val="000D6432"/>
    <w:rsid w:val="000D654E"/>
    <w:rsid w:val="000D6764"/>
    <w:rsid w:val="000D679D"/>
    <w:rsid w:val="000D68A0"/>
    <w:rsid w:val="000D691E"/>
    <w:rsid w:val="000D697E"/>
    <w:rsid w:val="000D6A52"/>
    <w:rsid w:val="000D6A73"/>
    <w:rsid w:val="000D6A8B"/>
    <w:rsid w:val="000D6BB2"/>
    <w:rsid w:val="000D6CCB"/>
    <w:rsid w:val="000D6CF2"/>
    <w:rsid w:val="000D6E2A"/>
    <w:rsid w:val="000D7014"/>
    <w:rsid w:val="000D721A"/>
    <w:rsid w:val="000D7346"/>
    <w:rsid w:val="000D74B0"/>
    <w:rsid w:val="000D75AF"/>
    <w:rsid w:val="000D75F9"/>
    <w:rsid w:val="000D7693"/>
    <w:rsid w:val="000D783B"/>
    <w:rsid w:val="000D7907"/>
    <w:rsid w:val="000D7B8A"/>
    <w:rsid w:val="000D7C3F"/>
    <w:rsid w:val="000D7F5A"/>
    <w:rsid w:val="000E003F"/>
    <w:rsid w:val="000E010C"/>
    <w:rsid w:val="000E0230"/>
    <w:rsid w:val="000E034B"/>
    <w:rsid w:val="000E0361"/>
    <w:rsid w:val="000E0377"/>
    <w:rsid w:val="000E049F"/>
    <w:rsid w:val="000E05A2"/>
    <w:rsid w:val="000E05E5"/>
    <w:rsid w:val="000E05F4"/>
    <w:rsid w:val="000E0679"/>
    <w:rsid w:val="000E0764"/>
    <w:rsid w:val="000E085B"/>
    <w:rsid w:val="000E08ED"/>
    <w:rsid w:val="000E0AD4"/>
    <w:rsid w:val="000E0B4B"/>
    <w:rsid w:val="000E0BA0"/>
    <w:rsid w:val="000E0D16"/>
    <w:rsid w:val="000E0F50"/>
    <w:rsid w:val="000E103A"/>
    <w:rsid w:val="000E1040"/>
    <w:rsid w:val="000E106D"/>
    <w:rsid w:val="000E112E"/>
    <w:rsid w:val="000E1159"/>
    <w:rsid w:val="000E1336"/>
    <w:rsid w:val="000E139E"/>
    <w:rsid w:val="000E1470"/>
    <w:rsid w:val="000E1515"/>
    <w:rsid w:val="000E16A8"/>
    <w:rsid w:val="000E1B83"/>
    <w:rsid w:val="000E1BED"/>
    <w:rsid w:val="000E207A"/>
    <w:rsid w:val="000E21CF"/>
    <w:rsid w:val="000E221A"/>
    <w:rsid w:val="000E2233"/>
    <w:rsid w:val="000E2413"/>
    <w:rsid w:val="000E2477"/>
    <w:rsid w:val="000E2492"/>
    <w:rsid w:val="000E256B"/>
    <w:rsid w:val="000E27C9"/>
    <w:rsid w:val="000E27DB"/>
    <w:rsid w:val="000E27DE"/>
    <w:rsid w:val="000E286D"/>
    <w:rsid w:val="000E286E"/>
    <w:rsid w:val="000E2887"/>
    <w:rsid w:val="000E2904"/>
    <w:rsid w:val="000E291B"/>
    <w:rsid w:val="000E2A1A"/>
    <w:rsid w:val="000E2A57"/>
    <w:rsid w:val="000E2C7B"/>
    <w:rsid w:val="000E2F3B"/>
    <w:rsid w:val="000E2F49"/>
    <w:rsid w:val="000E335E"/>
    <w:rsid w:val="000E3372"/>
    <w:rsid w:val="000E337E"/>
    <w:rsid w:val="000E33E6"/>
    <w:rsid w:val="000E3451"/>
    <w:rsid w:val="000E345C"/>
    <w:rsid w:val="000E3D12"/>
    <w:rsid w:val="000E3D41"/>
    <w:rsid w:val="000E3F2C"/>
    <w:rsid w:val="000E3F44"/>
    <w:rsid w:val="000E4093"/>
    <w:rsid w:val="000E40AE"/>
    <w:rsid w:val="000E4293"/>
    <w:rsid w:val="000E45B8"/>
    <w:rsid w:val="000E45B9"/>
    <w:rsid w:val="000E4628"/>
    <w:rsid w:val="000E462E"/>
    <w:rsid w:val="000E473E"/>
    <w:rsid w:val="000E4758"/>
    <w:rsid w:val="000E4C50"/>
    <w:rsid w:val="000E4CEE"/>
    <w:rsid w:val="000E4D9D"/>
    <w:rsid w:val="000E4E2F"/>
    <w:rsid w:val="000E4E3C"/>
    <w:rsid w:val="000E4F4E"/>
    <w:rsid w:val="000E4FAB"/>
    <w:rsid w:val="000E50B2"/>
    <w:rsid w:val="000E5241"/>
    <w:rsid w:val="000E5242"/>
    <w:rsid w:val="000E562A"/>
    <w:rsid w:val="000E56BF"/>
    <w:rsid w:val="000E58FF"/>
    <w:rsid w:val="000E59A2"/>
    <w:rsid w:val="000E59F0"/>
    <w:rsid w:val="000E5AB7"/>
    <w:rsid w:val="000E5C33"/>
    <w:rsid w:val="000E5CB8"/>
    <w:rsid w:val="000E5DCE"/>
    <w:rsid w:val="000E5F4B"/>
    <w:rsid w:val="000E5FF3"/>
    <w:rsid w:val="000E6032"/>
    <w:rsid w:val="000E6310"/>
    <w:rsid w:val="000E63CA"/>
    <w:rsid w:val="000E6463"/>
    <w:rsid w:val="000E65AB"/>
    <w:rsid w:val="000E6617"/>
    <w:rsid w:val="000E66AC"/>
    <w:rsid w:val="000E66C5"/>
    <w:rsid w:val="000E66F7"/>
    <w:rsid w:val="000E6718"/>
    <w:rsid w:val="000E6731"/>
    <w:rsid w:val="000E6795"/>
    <w:rsid w:val="000E67D8"/>
    <w:rsid w:val="000E6B6A"/>
    <w:rsid w:val="000E6BEA"/>
    <w:rsid w:val="000E6F04"/>
    <w:rsid w:val="000E7535"/>
    <w:rsid w:val="000E754F"/>
    <w:rsid w:val="000E7737"/>
    <w:rsid w:val="000E7742"/>
    <w:rsid w:val="000E7772"/>
    <w:rsid w:val="000E779D"/>
    <w:rsid w:val="000E786A"/>
    <w:rsid w:val="000E78E0"/>
    <w:rsid w:val="000E7A8A"/>
    <w:rsid w:val="000E7B17"/>
    <w:rsid w:val="000E7B70"/>
    <w:rsid w:val="000E7BF0"/>
    <w:rsid w:val="000E7CC8"/>
    <w:rsid w:val="000E7ECB"/>
    <w:rsid w:val="000E7F48"/>
    <w:rsid w:val="000E7F7E"/>
    <w:rsid w:val="000E7FA5"/>
    <w:rsid w:val="000F00D3"/>
    <w:rsid w:val="000F0450"/>
    <w:rsid w:val="000F0613"/>
    <w:rsid w:val="000F0694"/>
    <w:rsid w:val="000F0741"/>
    <w:rsid w:val="000F0A67"/>
    <w:rsid w:val="000F0C33"/>
    <w:rsid w:val="000F0C7D"/>
    <w:rsid w:val="000F0C9D"/>
    <w:rsid w:val="000F0C9E"/>
    <w:rsid w:val="000F0EE2"/>
    <w:rsid w:val="000F0F2E"/>
    <w:rsid w:val="000F0F6C"/>
    <w:rsid w:val="000F1091"/>
    <w:rsid w:val="000F1169"/>
    <w:rsid w:val="000F11BA"/>
    <w:rsid w:val="000F1619"/>
    <w:rsid w:val="000F16AF"/>
    <w:rsid w:val="000F16CA"/>
    <w:rsid w:val="000F16EC"/>
    <w:rsid w:val="000F1744"/>
    <w:rsid w:val="000F190C"/>
    <w:rsid w:val="000F1931"/>
    <w:rsid w:val="000F1966"/>
    <w:rsid w:val="000F1982"/>
    <w:rsid w:val="000F19CE"/>
    <w:rsid w:val="000F1A22"/>
    <w:rsid w:val="000F1B3A"/>
    <w:rsid w:val="000F1D00"/>
    <w:rsid w:val="000F1D1C"/>
    <w:rsid w:val="000F1D43"/>
    <w:rsid w:val="000F1FB7"/>
    <w:rsid w:val="000F1FE6"/>
    <w:rsid w:val="000F209D"/>
    <w:rsid w:val="000F2329"/>
    <w:rsid w:val="000F253F"/>
    <w:rsid w:val="000F261D"/>
    <w:rsid w:val="000F2648"/>
    <w:rsid w:val="000F27C0"/>
    <w:rsid w:val="000F29F1"/>
    <w:rsid w:val="000F2C85"/>
    <w:rsid w:val="000F2CC4"/>
    <w:rsid w:val="000F2CE5"/>
    <w:rsid w:val="000F2D76"/>
    <w:rsid w:val="000F2ED7"/>
    <w:rsid w:val="000F2F4B"/>
    <w:rsid w:val="000F314A"/>
    <w:rsid w:val="000F3168"/>
    <w:rsid w:val="000F343D"/>
    <w:rsid w:val="000F345F"/>
    <w:rsid w:val="000F34FE"/>
    <w:rsid w:val="000F351F"/>
    <w:rsid w:val="000F3576"/>
    <w:rsid w:val="000F35A9"/>
    <w:rsid w:val="000F3812"/>
    <w:rsid w:val="000F3907"/>
    <w:rsid w:val="000F3994"/>
    <w:rsid w:val="000F3ACA"/>
    <w:rsid w:val="000F3D1E"/>
    <w:rsid w:val="000F3E50"/>
    <w:rsid w:val="000F3FC7"/>
    <w:rsid w:val="000F4136"/>
    <w:rsid w:val="000F424B"/>
    <w:rsid w:val="000F42A1"/>
    <w:rsid w:val="000F4369"/>
    <w:rsid w:val="000F438F"/>
    <w:rsid w:val="000F4539"/>
    <w:rsid w:val="000F458B"/>
    <w:rsid w:val="000F45E5"/>
    <w:rsid w:val="000F4768"/>
    <w:rsid w:val="000F47C9"/>
    <w:rsid w:val="000F47EA"/>
    <w:rsid w:val="000F4805"/>
    <w:rsid w:val="000F4A7B"/>
    <w:rsid w:val="000F4AC9"/>
    <w:rsid w:val="000F4B10"/>
    <w:rsid w:val="000F4B78"/>
    <w:rsid w:val="000F4EC5"/>
    <w:rsid w:val="000F4ECE"/>
    <w:rsid w:val="000F50A1"/>
    <w:rsid w:val="000F513E"/>
    <w:rsid w:val="000F51A7"/>
    <w:rsid w:val="000F51AA"/>
    <w:rsid w:val="000F5313"/>
    <w:rsid w:val="000F5340"/>
    <w:rsid w:val="000F53E9"/>
    <w:rsid w:val="000F549C"/>
    <w:rsid w:val="000F567B"/>
    <w:rsid w:val="000F57B0"/>
    <w:rsid w:val="000F582F"/>
    <w:rsid w:val="000F5867"/>
    <w:rsid w:val="000F58D0"/>
    <w:rsid w:val="000F5AE2"/>
    <w:rsid w:val="000F5AF5"/>
    <w:rsid w:val="000F5B76"/>
    <w:rsid w:val="000F5B8F"/>
    <w:rsid w:val="000F5DED"/>
    <w:rsid w:val="000F5E81"/>
    <w:rsid w:val="000F5EC1"/>
    <w:rsid w:val="000F5EC4"/>
    <w:rsid w:val="000F5FE2"/>
    <w:rsid w:val="000F604A"/>
    <w:rsid w:val="000F60A8"/>
    <w:rsid w:val="000F612D"/>
    <w:rsid w:val="000F6337"/>
    <w:rsid w:val="000F643D"/>
    <w:rsid w:val="000F665A"/>
    <w:rsid w:val="000F6860"/>
    <w:rsid w:val="000F687E"/>
    <w:rsid w:val="000F68E8"/>
    <w:rsid w:val="000F6A73"/>
    <w:rsid w:val="000F6B9E"/>
    <w:rsid w:val="000F6D7C"/>
    <w:rsid w:val="000F6F60"/>
    <w:rsid w:val="000F6F74"/>
    <w:rsid w:val="000F6FAC"/>
    <w:rsid w:val="000F7107"/>
    <w:rsid w:val="000F71E3"/>
    <w:rsid w:val="000F72D0"/>
    <w:rsid w:val="000F7344"/>
    <w:rsid w:val="000F7495"/>
    <w:rsid w:val="000F78FB"/>
    <w:rsid w:val="000F7975"/>
    <w:rsid w:val="000F79B7"/>
    <w:rsid w:val="000F7A2F"/>
    <w:rsid w:val="000F7A3D"/>
    <w:rsid w:val="000F7AC9"/>
    <w:rsid w:val="000F7B56"/>
    <w:rsid w:val="000F7F9D"/>
    <w:rsid w:val="000F7FE9"/>
    <w:rsid w:val="0010018A"/>
    <w:rsid w:val="001002CF"/>
    <w:rsid w:val="00100378"/>
    <w:rsid w:val="0010046B"/>
    <w:rsid w:val="001004D3"/>
    <w:rsid w:val="00100627"/>
    <w:rsid w:val="00100634"/>
    <w:rsid w:val="00100636"/>
    <w:rsid w:val="00100729"/>
    <w:rsid w:val="001008DA"/>
    <w:rsid w:val="00100ADA"/>
    <w:rsid w:val="00100BDE"/>
    <w:rsid w:val="00100C84"/>
    <w:rsid w:val="00100CD9"/>
    <w:rsid w:val="00100FE4"/>
    <w:rsid w:val="001010B3"/>
    <w:rsid w:val="0010129C"/>
    <w:rsid w:val="00101383"/>
    <w:rsid w:val="00101439"/>
    <w:rsid w:val="00101562"/>
    <w:rsid w:val="00101715"/>
    <w:rsid w:val="001017EE"/>
    <w:rsid w:val="00101850"/>
    <w:rsid w:val="001019AB"/>
    <w:rsid w:val="00101A42"/>
    <w:rsid w:val="00101BD0"/>
    <w:rsid w:val="00101D2A"/>
    <w:rsid w:val="00101D9E"/>
    <w:rsid w:val="00101E69"/>
    <w:rsid w:val="00101FF5"/>
    <w:rsid w:val="001025A0"/>
    <w:rsid w:val="00102652"/>
    <w:rsid w:val="001026FA"/>
    <w:rsid w:val="00102B39"/>
    <w:rsid w:val="00102BB1"/>
    <w:rsid w:val="00102D38"/>
    <w:rsid w:val="00102D40"/>
    <w:rsid w:val="00102E97"/>
    <w:rsid w:val="00102EE5"/>
    <w:rsid w:val="00102F1D"/>
    <w:rsid w:val="00102F8D"/>
    <w:rsid w:val="00103028"/>
    <w:rsid w:val="0010305D"/>
    <w:rsid w:val="001031AE"/>
    <w:rsid w:val="001031E8"/>
    <w:rsid w:val="00103263"/>
    <w:rsid w:val="00103289"/>
    <w:rsid w:val="001032E5"/>
    <w:rsid w:val="00103333"/>
    <w:rsid w:val="001033EF"/>
    <w:rsid w:val="00103754"/>
    <w:rsid w:val="00103889"/>
    <w:rsid w:val="00103904"/>
    <w:rsid w:val="001039BA"/>
    <w:rsid w:val="00103B1A"/>
    <w:rsid w:val="00103BE9"/>
    <w:rsid w:val="00103C44"/>
    <w:rsid w:val="00103D0B"/>
    <w:rsid w:val="00103D11"/>
    <w:rsid w:val="00103D53"/>
    <w:rsid w:val="00103D70"/>
    <w:rsid w:val="00103DBF"/>
    <w:rsid w:val="001040C3"/>
    <w:rsid w:val="001044B2"/>
    <w:rsid w:val="00104544"/>
    <w:rsid w:val="0010457B"/>
    <w:rsid w:val="00104664"/>
    <w:rsid w:val="001049BD"/>
    <w:rsid w:val="00104B0B"/>
    <w:rsid w:val="00104C6D"/>
    <w:rsid w:val="00104DCE"/>
    <w:rsid w:val="00104EED"/>
    <w:rsid w:val="00105003"/>
    <w:rsid w:val="00105455"/>
    <w:rsid w:val="00105466"/>
    <w:rsid w:val="001055EF"/>
    <w:rsid w:val="0010563C"/>
    <w:rsid w:val="001056B1"/>
    <w:rsid w:val="00105730"/>
    <w:rsid w:val="0010577E"/>
    <w:rsid w:val="001058D5"/>
    <w:rsid w:val="00105964"/>
    <w:rsid w:val="001059BB"/>
    <w:rsid w:val="00105CDB"/>
    <w:rsid w:val="00105D1E"/>
    <w:rsid w:val="00105ED7"/>
    <w:rsid w:val="00105FE6"/>
    <w:rsid w:val="001060EE"/>
    <w:rsid w:val="00106205"/>
    <w:rsid w:val="00106278"/>
    <w:rsid w:val="001062BF"/>
    <w:rsid w:val="00106334"/>
    <w:rsid w:val="0010670B"/>
    <w:rsid w:val="00106777"/>
    <w:rsid w:val="00106877"/>
    <w:rsid w:val="001068CD"/>
    <w:rsid w:val="0010690D"/>
    <w:rsid w:val="00106972"/>
    <w:rsid w:val="0010697E"/>
    <w:rsid w:val="00106A6A"/>
    <w:rsid w:val="00106B4F"/>
    <w:rsid w:val="00106C57"/>
    <w:rsid w:val="00106EA3"/>
    <w:rsid w:val="00107011"/>
    <w:rsid w:val="00107024"/>
    <w:rsid w:val="0010702E"/>
    <w:rsid w:val="00107041"/>
    <w:rsid w:val="0010713F"/>
    <w:rsid w:val="001071AB"/>
    <w:rsid w:val="001071D5"/>
    <w:rsid w:val="00107307"/>
    <w:rsid w:val="001073C1"/>
    <w:rsid w:val="001075A8"/>
    <w:rsid w:val="0010766E"/>
    <w:rsid w:val="001076B2"/>
    <w:rsid w:val="00107741"/>
    <w:rsid w:val="0010775E"/>
    <w:rsid w:val="001077B6"/>
    <w:rsid w:val="00107882"/>
    <w:rsid w:val="00107A4B"/>
    <w:rsid w:val="00107A7F"/>
    <w:rsid w:val="00107BCE"/>
    <w:rsid w:val="00107C30"/>
    <w:rsid w:val="00107C58"/>
    <w:rsid w:val="00107CED"/>
    <w:rsid w:val="00107D6F"/>
    <w:rsid w:val="00107F7F"/>
    <w:rsid w:val="00110026"/>
    <w:rsid w:val="00110043"/>
    <w:rsid w:val="001100E8"/>
    <w:rsid w:val="0011010D"/>
    <w:rsid w:val="001102A6"/>
    <w:rsid w:val="001102B3"/>
    <w:rsid w:val="0011032E"/>
    <w:rsid w:val="001105A8"/>
    <w:rsid w:val="001107AB"/>
    <w:rsid w:val="001108EA"/>
    <w:rsid w:val="001109F3"/>
    <w:rsid w:val="00110A01"/>
    <w:rsid w:val="00110A29"/>
    <w:rsid w:val="00110AB4"/>
    <w:rsid w:val="00110C16"/>
    <w:rsid w:val="00110D67"/>
    <w:rsid w:val="00110FB2"/>
    <w:rsid w:val="00111051"/>
    <w:rsid w:val="001110EC"/>
    <w:rsid w:val="00111220"/>
    <w:rsid w:val="00111409"/>
    <w:rsid w:val="0011153B"/>
    <w:rsid w:val="00111548"/>
    <w:rsid w:val="001115C3"/>
    <w:rsid w:val="001117A0"/>
    <w:rsid w:val="0011181D"/>
    <w:rsid w:val="001118DD"/>
    <w:rsid w:val="001118FD"/>
    <w:rsid w:val="00111922"/>
    <w:rsid w:val="00111B21"/>
    <w:rsid w:val="00111B85"/>
    <w:rsid w:val="00111BFF"/>
    <w:rsid w:val="00111C1D"/>
    <w:rsid w:val="00111C81"/>
    <w:rsid w:val="00111D8D"/>
    <w:rsid w:val="00111FF7"/>
    <w:rsid w:val="00112075"/>
    <w:rsid w:val="001120C0"/>
    <w:rsid w:val="001120F3"/>
    <w:rsid w:val="00112211"/>
    <w:rsid w:val="00112220"/>
    <w:rsid w:val="001125A8"/>
    <w:rsid w:val="001126C3"/>
    <w:rsid w:val="00112AA9"/>
    <w:rsid w:val="00112B4C"/>
    <w:rsid w:val="00112C62"/>
    <w:rsid w:val="00112EA8"/>
    <w:rsid w:val="00112F13"/>
    <w:rsid w:val="00113137"/>
    <w:rsid w:val="001134F1"/>
    <w:rsid w:val="0011353B"/>
    <w:rsid w:val="001135BA"/>
    <w:rsid w:val="0011395F"/>
    <w:rsid w:val="00113AE5"/>
    <w:rsid w:val="00113B1F"/>
    <w:rsid w:val="00113C43"/>
    <w:rsid w:val="00113CD0"/>
    <w:rsid w:val="00113D53"/>
    <w:rsid w:val="00113D96"/>
    <w:rsid w:val="00113EA0"/>
    <w:rsid w:val="001141ED"/>
    <w:rsid w:val="00114247"/>
    <w:rsid w:val="001145AD"/>
    <w:rsid w:val="001145F3"/>
    <w:rsid w:val="001147D9"/>
    <w:rsid w:val="0011491B"/>
    <w:rsid w:val="00114A67"/>
    <w:rsid w:val="00114AC3"/>
    <w:rsid w:val="00114AE6"/>
    <w:rsid w:val="00114C0F"/>
    <w:rsid w:val="00114C60"/>
    <w:rsid w:val="00114D8C"/>
    <w:rsid w:val="00114DB5"/>
    <w:rsid w:val="00114E45"/>
    <w:rsid w:val="00114EBE"/>
    <w:rsid w:val="00115035"/>
    <w:rsid w:val="001150EC"/>
    <w:rsid w:val="00115221"/>
    <w:rsid w:val="001156DC"/>
    <w:rsid w:val="001156ED"/>
    <w:rsid w:val="00115785"/>
    <w:rsid w:val="00115894"/>
    <w:rsid w:val="001158E7"/>
    <w:rsid w:val="0011592A"/>
    <w:rsid w:val="00115986"/>
    <w:rsid w:val="001159F9"/>
    <w:rsid w:val="00115AFB"/>
    <w:rsid w:val="00115B1A"/>
    <w:rsid w:val="00115B69"/>
    <w:rsid w:val="00115C61"/>
    <w:rsid w:val="00115E7E"/>
    <w:rsid w:val="00115FD3"/>
    <w:rsid w:val="001160E4"/>
    <w:rsid w:val="001161DE"/>
    <w:rsid w:val="00116219"/>
    <w:rsid w:val="001162C2"/>
    <w:rsid w:val="001162D6"/>
    <w:rsid w:val="0011665C"/>
    <w:rsid w:val="00116919"/>
    <w:rsid w:val="00116945"/>
    <w:rsid w:val="00116E73"/>
    <w:rsid w:val="001170C2"/>
    <w:rsid w:val="00117198"/>
    <w:rsid w:val="001171D7"/>
    <w:rsid w:val="001173D6"/>
    <w:rsid w:val="001174D6"/>
    <w:rsid w:val="00117725"/>
    <w:rsid w:val="001179E4"/>
    <w:rsid w:val="001179EE"/>
    <w:rsid w:val="00117DBF"/>
    <w:rsid w:val="00117F7C"/>
    <w:rsid w:val="00117F9A"/>
    <w:rsid w:val="001200B2"/>
    <w:rsid w:val="001201BD"/>
    <w:rsid w:val="001202C3"/>
    <w:rsid w:val="00120413"/>
    <w:rsid w:val="00120443"/>
    <w:rsid w:val="00120795"/>
    <w:rsid w:val="001209AF"/>
    <w:rsid w:val="00120A50"/>
    <w:rsid w:val="00120B03"/>
    <w:rsid w:val="00120D38"/>
    <w:rsid w:val="00120D3A"/>
    <w:rsid w:val="00120D88"/>
    <w:rsid w:val="00120D94"/>
    <w:rsid w:val="00120E3B"/>
    <w:rsid w:val="00120E7A"/>
    <w:rsid w:val="00121041"/>
    <w:rsid w:val="001213E7"/>
    <w:rsid w:val="00121511"/>
    <w:rsid w:val="00121533"/>
    <w:rsid w:val="00121558"/>
    <w:rsid w:val="0012159B"/>
    <w:rsid w:val="00121974"/>
    <w:rsid w:val="00121A13"/>
    <w:rsid w:val="00121AE2"/>
    <w:rsid w:val="00121C40"/>
    <w:rsid w:val="00121C56"/>
    <w:rsid w:val="00121C63"/>
    <w:rsid w:val="00121D35"/>
    <w:rsid w:val="00121E31"/>
    <w:rsid w:val="00121E38"/>
    <w:rsid w:val="00121FF1"/>
    <w:rsid w:val="00122216"/>
    <w:rsid w:val="0012222F"/>
    <w:rsid w:val="0012229B"/>
    <w:rsid w:val="001222E1"/>
    <w:rsid w:val="00122D4D"/>
    <w:rsid w:val="00122D52"/>
    <w:rsid w:val="00122D71"/>
    <w:rsid w:val="00122E6D"/>
    <w:rsid w:val="00122F7F"/>
    <w:rsid w:val="00123066"/>
    <w:rsid w:val="00123333"/>
    <w:rsid w:val="001235DD"/>
    <w:rsid w:val="0012378F"/>
    <w:rsid w:val="001238AF"/>
    <w:rsid w:val="001238E1"/>
    <w:rsid w:val="00123900"/>
    <w:rsid w:val="00123A41"/>
    <w:rsid w:val="00123B63"/>
    <w:rsid w:val="00123BC3"/>
    <w:rsid w:val="00123D15"/>
    <w:rsid w:val="00123E98"/>
    <w:rsid w:val="00123FF3"/>
    <w:rsid w:val="001240FD"/>
    <w:rsid w:val="001243CC"/>
    <w:rsid w:val="001244C6"/>
    <w:rsid w:val="001246C3"/>
    <w:rsid w:val="00124817"/>
    <w:rsid w:val="00124894"/>
    <w:rsid w:val="001248A7"/>
    <w:rsid w:val="001249A7"/>
    <w:rsid w:val="001249FA"/>
    <w:rsid w:val="00124A55"/>
    <w:rsid w:val="00124C8A"/>
    <w:rsid w:val="00124D5B"/>
    <w:rsid w:val="00125059"/>
    <w:rsid w:val="001250DA"/>
    <w:rsid w:val="001251AD"/>
    <w:rsid w:val="001254E7"/>
    <w:rsid w:val="001255DB"/>
    <w:rsid w:val="00125697"/>
    <w:rsid w:val="001256FA"/>
    <w:rsid w:val="001258C3"/>
    <w:rsid w:val="001259F9"/>
    <w:rsid w:val="00125C3D"/>
    <w:rsid w:val="00125C4A"/>
    <w:rsid w:val="00125C5D"/>
    <w:rsid w:val="00125CFA"/>
    <w:rsid w:val="00125D24"/>
    <w:rsid w:val="00125D7A"/>
    <w:rsid w:val="0012604F"/>
    <w:rsid w:val="001260CA"/>
    <w:rsid w:val="00126103"/>
    <w:rsid w:val="00126140"/>
    <w:rsid w:val="0012625B"/>
    <w:rsid w:val="00126305"/>
    <w:rsid w:val="001264C3"/>
    <w:rsid w:val="0012653B"/>
    <w:rsid w:val="00126813"/>
    <w:rsid w:val="00126905"/>
    <w:rsid w:val="0012696A"/>
    <w:rsid w:val="00126972"/>
    <w:rsid w:val="00126C64"/>
    <w:rsid w:val="00126C6D"/>
    <w:rsid w:val="00126CD2"/>
    <w:rsid w:val="00126DA9"/>
    <w:rsid w:val="00126EB0"/>
    <w:rsid w:val="00126F8E"/>
    <w:rsid w:val="00126F93"/>
    <w:rsid w:val="0012709E"/>
    <w:rsid w:val="0012733F"/>
    <w:rsid w:val="001276E0"/>
    <w:rsid w:val="00127882"/>
    <w:rsid w:val="00127B68"/>
    <w:rsid w:val="00127D0C"/>
    <w:rsid w:val="00127D1F"/>
    <w:rsid w:val="00127D7F"/>
    <w:rsid w:val="00127E45"/>
    <w:rsid w:val="00127F26"/>
    <w:rsid w:val="001301B4"/>
    <w:rsid w:val="001301F5"/>
    <w:rsid w:val="0013022B"/>
    <w:rsid w:val="0013051A"/>
    <w:rsid w:val="001305EC"/>
    <w:rsid w:val="00130734"/>
    <w:rsid w:val="00130747"/>
    <w:rsid w:val="00130951"/>
    <w:rsid w:val="001309C7"/>
    <w:rsid w:val="00130DA6"/>
    <w:rsid w:val="00130F20"/>
    <w:rsid w:val="00130F2A"/>
    <w:rsid w:val="00131177"/>
    <w:rsid w:val="001311FF"/>
    <w:rsid w:val="00131381"/>
    <w:rsid w:val="001313A9"/>
    <w:rsid w:val="00131469"/>
    <w:rsid w:val="00131746"/>
    <w:rsid w:val="001318EF"/>
    <w:rsid w:val="001319FD"/>
    <w:rsid w:val="00131A51"/>
    <w:rsid w:val="00131AB5"/>
    <w:rsid w:val="00131B1D"/>
    <w:rsid w:val="00131BEF"/>
    <w:rsid w:val="00131C6F"/>
    <w:rsid w:val="00131D62"/>
    <w:rsid w:val="00131D96"/>
    <w:rsid w:val="00131E09"/>
    <w:rsid w:val="00131E1F"/>
    <w:rsid w:val="00131F7E"/>
    <w:rsid w:val="00132083"/>
    <w:rsid w:val="0013218A"/>
    <w:rsid w:val="0013218C"/>
    <w:rsid w:val="001322E4"/>
    <w:rsid w:val="0013233A"/>
    <w:rsid w:val="0013241F"/>
    <w:rsid w:val="0013243B"/>
    <w:rsid w:val="001325A5"/>
    <w:rsid w:val="001325E4"/>
    <w:rsid w:val="00132655"/>
    <w:rsid w:val="001326BB"/>
    <w:rsid w:val="001327E6"/>
    <w:rsid w:val="00132990"/>
    <w:rsid w:val="001329E0"/>
    <w:rsid w:val="00132B4D"/>
    <w:rsid w:val="00132D60"/>
    <w:rsid w:val="00133083"/>
    <w:rsid w:val="00133109"/>
    <w:rsid w:val="001331C6"/>
    <w:rsid w:val="0013329A"/>
    <w:rsid w:val="001332AA"/>
    <w:rsid w:val="001332BD"/>
    <w:rsid w:val="0013368A"/>
    <w:rsid w:val="00133A42"/>
    <w:rsid w:val="00133C2B"/>
    <w:rsid w:val="00133C3E"/>
    <w:rsid w:val="00133DCF"/>
    <w:rsid w:val="00133F00"/>
    <w:rsid w:val="00133F19"/>
    <w:rsid w:val="00134112"/>
    <w:rsid w:val="00134259"/>
    <w:rsid w:val="001343D6"/>
    <w:rsid w:val="001343DD"/>
    <w:rsid w:val="0013442F"/>
    <w:rsid w:val="0013459E"/>
    <w:rsid w:val="001345C3"/>
    <w:rsid w:val="0013462C"/>
    <w:rsid w:val="0013471B"/>
    <w:rsid w:val="00134722"/>
    <w:rsid w:val="00134805"/>
    <w:rsid w:val="00134AF8"/>
    <w:rsid w:val="00134B73"/>
    <w:rsid w:val="00134CA0"/>
    <w:rsid w:val="00134D3E"/>
    <w:rsid w:val="00134D96"/>
    <w:rsid w:val="00134E2D"/>
    <w:rsid w:val="00134E44"/>
    <w:rsid w:val="00134E8C"/>
    <w:rsid w:val="0013535D"/>
    <w:rsid w:val="00135396"/>
    <w:rsid w:val="00135423"/>
    <w:rsid w:val="00135426"/>
    <w:rsid w:val="001354E1"/>
    <w:rsid w:val="0013554D"/>
    <w:rsid w:val="0013555A"/>
    <w:rsid w:val="001358A0"/>
    <w:rsid w:val="00135B3D"/>
    <w:rsid w:val="00135BCA"/>
    <w:rsid w:val="00135C54"/>
    <w:rsid w:val="00135E27"/>
    <w:rsid w:val="001361CC"/>
    <w:rsid w:val="0013620D"/>
    <w:rsid w:val="00136427"/>
    <w:rsid w:val="00136625"/>
    <w:rsid w:val="00136629"/>
    <w:rsid w:val="00136692"/>
    <w:rsid w:val="001368D9"/>
    <w:rsid w:val="00136A1B"/>
    <w:rsid w:val="00136A24"/>
    <w:rsid w:val="00136A4B"/>
    <w:rsid w:val="00136B7F"/>
    <w:rsid w:val="00136D5C"/>
    <w:rsid w:val="00136EB0"/>
    <w:rsid w:val="00136F33"/>
    <w:rsid w:val="001370C0"/>
    <w:rsid w:val="001371AD"/>
    <w:rsid w:val="00137355"/>
    <w:rsid w:val="001375BE"/>
    <w:rsid w:val="001375E0"/>
    <w:rsid w:val="001377D0"/>
    <w:rsid w:val="0013791A"/>
    <w:rsid w:val="001379E1"/>
    <w:rsid w:val="00137C9A"/>
    <w:rsid w:val="00137CEA"/>
    <w:rsid w:val="00137DE9"/>
    <w:rsid w:val="00137F5D"/>
    <w:rsid w:val="001403C4"/>
    <w:rsid w:val="001403F1"/>
    <w:rsid w:val="0014049C"/>
    <w:rsid w:val="0014050B"/>
    <w:rsid w:val="0014055F"/>
    <w:rsid w:val="00140583"/>
    <w:rsid w:val="001406C5"/>
    <w:rsid w:val="0014074B"/>
    <w:rsid w:val="001407B4"/>
    <w:rsid w:val="0014088A"/>
    <w:rsid w:val="00140BC6"/>
    <w:rsid w:val="00140CA5"/>
    <w:rsid w:val="00140E6F"/>
    <w:rsid w:val="0014101C"/>
    <w:rsid w:val="001410FF"/>
    <w:rsid w:val="00141138"/>
    <w:rsid w:val="00141550"/>
    <w:rsid w:val="001416A5"/>
    <w:rsid w:val="001416BB"/>
    <w:rsid w:val="001417C1"/>
    <w:rsid w:val="00141918"/>
    <w:rsid w:val="0014198E"/>
    <w:rsid w:val="00141ABA"/>
    <w:rsid w:val="00141B28"/>
    <w:rsid w:val="00141C48"/>
    <w:rsid w:val="00141E88"/>
    <w:rsid w:val="001421A3"/>
    <w:rsid w:val="0014245E"/>
    <w:rsid w:val="00142515"/>
    <w:rsid w:val="0014269E"/>
    <w:rsid w:val="0014273B"/>
    <w:rsid w:val="00142798"/>
    <w:rsid w:val="001427D0"/>
    <w:rsid w:val="0014294D"/>
    <w:rsid w:val="00142A85"/>
    <w:rsid w:val="00142AD8"/>
    <w:rsid w:val="00142B05"/>
    <w:rsid w:val="00142BA1"/>
    <w:rsid w:val="00142C5E"/>
    <w:rsid w:val="00142C94"/>
    <w:rsid w:val="00142DC1"/>
    <w:rsid w:val="00142EB4"/>
    <w:rsid w:val="001430AF"/>
    <w:rsid w:val="001431AF"/>
    <w:rsid w:val="0014328F"/>
    <w:rsid w:val="001432EA"/>
    <w:rsid w:val="00143365"/>
    <w:rsid w:val="00143394"/>
    <w:rsid w:val="001433BB"/>
    <w:rsid w:val="00143493"/>
    <w:rsid w:val="0014354A"/>
    <w:rsid w:val="001435FF"/>
    <w:rsid w:val="00143926"/>
    <w:rsid w:val="001439A1"/>
    <w:rsid w:val="00143A81"/>
    <w:rsid w:val="00143AFD"/>
    <w:rsid w:val="00143CA7"/>
    <w:rsid w:val="00143E3B"/>
    <w:rsid w:val="00143F48"/>
    <w:rsid w:val="00143FCA"/>
    <w:rsid w:val="00144368"/>
    <w:rsid w:val="0014441B"/>
    <w:rsid w:val="0014457E"/>
    <w:rsid w:val="00144662"/>
    <w:rsid w:val="0014470C"/>
    <w:rsid w:val="0014479E"/>
    <w:rsid w:val="0014487D"/>
    <w:rsid w:val="00144884"/>
    <w:rsid w:val="00144A54"/>
    <w:rsid w:val="00144A83"/>
    <w:rsid w:val="00144AD5"/>
    <w:rsid w:val="00144AFD"/>
    <w:rsid w:val="00144B2E"/>
    <w:rsid w:val="00144E63"/>
    <w:rsid w:val="00144FBD"/>
    <w:rsid w:val="0014502E"/>
    <w:rsid w:val="001450B5"/>
    <w:rsid w:val="00145102"/>
    <w:rsid w:val="0014513C"/>
    <w:rsid w:val="0014516A"/>
    <w:rsid w:val="0014517E"/>
    <w:rsid w:val="00145280"/>
    <w:rsid w:val="0014531B"/>
    <w:rsid w:val="0014546D"/>
    <w:rsid w:val="001455B1"/>
    <w:rsid w:val="001457CA"/>
    <w:rsid w:val="0014597C"/>
    <w:rsid w:val="00145AA6"/>
    <w:rsid w:val="00145CF7"/>
    <w:rsid w:val="00145D25"/>
    <w:rsid w:val="00145E4F"/>
    <w:rsid w:val="00146167"/>
    <w:rsid w:val="001463B8"/>
    <w:rsid w:val="00146433"/>
    <w:rsid w:val="0014679B"/>
    <w:rsid w:val="001469B1"/>
    <w:rsid w:val="00146B57"/>
    <w:rsid w:val="00146EF9"/>
    <w:rsid w:val="00146FA5"/>
    <w:rsid w:val="00147199"/>
    <w:rsid w:val="001473A1"/>
    <w:rsid w:val="00147459"/>
    <w:rsid w:val="001476BA"/>
    <w:rsid w:val="001477C6"/>
    <w:rsid w:val="00147989"/>
    <w:rsid w:val="00147A24"/>
    <w:rsid w:val="00147BEE"/>
    <w:rsid w:val="00147E6B"/>
    <w:rsid w:val="001502C7"/>
    <w:rsid w:val="00150576"/>
    <w:rsid w:val="00150586"/>
    <w:rsid w:val="00150589"/>
    <w:rsid w:val="001505EE"/>
    <w:rsid w:val="0015060A"/>
    <w:rsid w:val="0015083D"/>
    <w:rsid w:val="00150925"/>
    <w:rsid w:val="00150933"/>
    <w:rsid w:val="00150A8D"/>
    <w:rsid w:val="00150AC6"/>
    <w:rsid w:val="00150AD9"/>
    <w:rsid w:val="00150BA0"/>
    <w:rsid w:val="00150BAE"/>
    <w:rsid w:val="00150C6B"/>
    <w:rsid w:val="00150CDA"/>
    <w:rsid w:val="0015102A"/>
    <w:rsid w:val="0015106E"/>
    <w:rsid w:val="00151208"/>
    <w:rsid w:val="00151633"/>
    <w:rsid w:val="0015165C"/>
    <w:rsid w:val="001516B3"/>
    <w:rsid w:val="00151CC9"/>
    <w:rsid w:val="00151CF4"/>
    <w:rsid w:val="00151D14"/>
    <w:rsid w:val="00151E10"/>
    <w:rsid w:val="00151FD6"/>
    <w:rsid w:val="00151FF4"/>
    <w:rsid w:val="0015204D"/>
    <w:rsid w:val="001520DC"/>
    <w:rsid w:val="001521F1"/>
    <w:rsid w:val="001521FE"/>
    <w:rsid w:val="001522E7"/>
    <w:rsid w:val="0015250D"/>
    <w:rsid w:val="00152561"/>
    <w:rsid w:val="001526BE"/>
    <w:rsid w:val="00152729"/>
    <w:rsid w:val="00152745"/>
    <w:rsid w:val="0015279F"/>
    <w:rsid w:val="00152836"/>
    <w:rsid w:val="0015290B"/>
    <w:rsid w:val="00152BA9"/>
    <w:rsid w:val="00152BED"/>
    <w:rsid w:val="00152C31"/>
    <w:rsid w:val="00152C3E"/>
    <w:rsid w:val="00152CCD"/>
    <w:rsid w:val="00152CF3"/>
    <w:rsid w:val="00152D1D"/>
    <w:rsid w:val="00152D30"/>
    <w:rsid w:val="00152D5D"/>
    <w:rsid w:val="00152D61"/>
    <w:rsid w:val="00152DA0"/>
    <w:rsid w:val="00152DEC"/>
    <w:rsid w:val="00152E05"/>
    <w:rsid w:val="00152F11"/>
    <w:rsid w:val="00152F87"/>
    <w:rsid w:val="001530CE"/>
    <w:rsid w:val="001530DA"/>
    <w:rsid w:val="0015326D"/>
    <w:rsid w:val="0015326E"/>
    <w:rsid w:val="001532CA"/>
    <w:rsid w:val="001535D2"/>
    <w:rsid w:val="001536F2"/>
    <w:rsid w:val="00153734"/>
    <w:rsid w:val="001537CA"/>
    <w:rsid w:val="0015381C"/>
    <w:rsid w:val="00153B91"/>
    <w:rsid w:val="00153C6D"/>
    <w:rsid w:val="00153CD7"/>
    <w:rsid w:val="00153E75"/>
    <w:rsid w:val="00153EB7"/>
    <w:rsid w:val="00153FC5"/>
    <w:rsid w:val="001540B1"/>
    <w:rsid w:val="0015417D"/>
    <w:rsid w:val="001542EB"/>
    <w:rsid w:val="00154368"/>
    <w:rsid w:val="00154419"/>
    <w:rsid w:val="0015441C"/>
    <w:rsid w:val="0015455F"/>
    <w:rsid w:val="001546AE"/>
    <w:rsid w:val="00154833"/>
    <w:rsid w:val="001548A6"/>
    <w:rsid w:val="00154BAB"/>
    <w:rsid w:val="00154D78"/>
    <w:rsid w:val="00155159"/>
    <w:rsid w:val="00155202"/>
    <w:rsid w:val="00155336"/>
    <w:rsid w:val="0015536A"/>
    <w:rsid w:val="001553BE"/>
    <w:rsid w:val="001553E2"/>
    <w:rsid w:val="001554D2"/>
    <w:rsid w:val="00155965"/>
    <w:rsid w:val="00155A25"/>
    <w:rsid w:val="00155BD6"/>
    <w:rsid w:val="00155CA0"/>
    <w:rsid w:val="00155DC5"/>
    <w:rsid w:val="00155E2E"/>
    <w:rsid w:val="00155E73"/>
    <w:rsid w:val="00156018"/>
    <w:rsid w:val="00156148"/>
    <w:rsid w:val="001561D4"/>
    <w:rsid w:val="00156280"/>
    <w:rsid w:val="00156283"/>
    <w:rsid w:val="001562E8"/>
    <w:rsid w:val="00156364"/>
    <w:rsid w:val="00156421"/>
    <w:rsid w:val="001565DC"/>
    <w:rsid w:val="001565F9"/>
    <w:rsid w:val="0015662B"/>
    <w:rsid w:val="001567E4"/>
    <w:rsid w:val="00156885"/>
    <w:rsid w:val="00156A2F"/>
    <w:rsid w:val="00156A52"/>
    <w:rsid w:val="00156EDD"/>
    <w:rsid w:val="001570AC"/>
    <w:rsid w:val="001570DF"/>
    <w:rsid w:val="001570ED"/>
    <w:rsid w:val="001571A1"/>
    <w:rsid w:val="001571B3"/>
    <w:rsid w:val="001571F6"/>
    <w:rsid w:val="00157217"/>
    <w:rsid w:val="00157392"/>
    <w:rsid w:val="00157477"/>
    <w:rsid w:val="001578BD"/>
    <w:rsid w:val="00157A58"/>
    <w:rsid w:val="00157AE0"/>
    <w:rsid w:val="00157B69"/>
    <w:rsid w:val="00157BD7"/>
    <w:rsid w:val="00157C56"/>
    <w:rsid w:val="00157D3F"/>
    <w:rsid w:val="00157EF7"/>
    <w:rsid w:val="00157FF6"/>
    <w:rsid w:val="001600C6"/>
    <w:rsid w:val="001600D6"/>
    <w:rsid w:val="0016015F"/>
    <w:rsid w:val="0016047C"/>
    <w:rsid w:val="001605D5"/>
    <w:rsid w:val="00160696"/>
    <w:rsid w:val="001606A7"/>
    <w:rsid w:val="001607EE"/>
    <w:rsid w:val="00160AA1"/>
    <w:rsid w:val="00160C95"/>
    <w:rsid w:val="00160E89"/>
    <w:rsid w:val="00160F68"/>
    <w:rsid w:val="00160FE4"/>
    <w:rsid w:val="00161255"/>
    <w:rsid w:val="00161280"/>
    <w:rsid w:val="00161484"/>
    <w:rsid w:val="0016150B"/>
    <w:rsid w:val="00161530"/>
    <w:rsid w:val="00161685"/>
    <w:rsid w:val="001617E2"/>
    <w:rsid w:val="001618F7"/>
    <w:rsid w:val="001619AA"/>
    <w:rsid w:val="00161BCB"/>
    <w:rsid w:val="00161CE0"/>
    <w:rsid w:val="00161E21"/>
    <w:rsid w:val="00161F4A"/>
    <w:rsid w:val="001620F7"/>
    <w:rsid w:val="001621BE"/>
    <w:rsid w:val="0016227C"/>
    <w:rsid w:val="0016233E"/>
    <w:rsid w:val="00162373"/>
    <w:rsid w:val="001623F0"/>
    <w:rsid w:val="0016250F"/>
    <w:rsid w:val="00162706"/>
    <w:rsid w:val="001627C5"/>
    <w:rsid w:val="00162920"/>
    <w:rsid w:val="00162A0E"/>
    <w:rsid w:val="00162A46"/>
    <w:rsid w:val="00162BE2"/>
    <w:rsid w:val="00162C29"/>
    <w:rsid w:val="00162C3B"/>
    <w:rsid w:val="00162C4B"/>
    <w:rsid w:val="00162F23"/>
    <w:rsid w:val="00162FC9"/>
    <w:rsid w:val="001630EF"/>
    <w:rsid w:val="001630FB"/>
    <w:rsid w:val="0016310D"/>
    <w:rsid w:val="001633CF"/>
    <w:rsid w:val="00163600"/>
    <w:rsid w:val="00163702"/>
    <w:rsid w:val="001638E6"/>
    <w:rsid w:val="00163B14"/>
    <w:rsid w:val="00163CB9"/>
    <w:rsid w:val="00163DA0"/>
    <w:rsid w:val="00163F5E"/>
    <w:rsid w:val="0016400A"/>
    <w:rsid w:val="00164034"/>
    <w:rsid w:val="0016410A"/>
    <w:rsid w:val="001641FD"/>
    <w:rsid w:val="00164672"/>
    <w:rsid w:val="001647DA"/>
    <w:rsid w:val="0016482C"/>
    <w:rsid w:val="00164A59"/>
    <w:rsid w:val="00164D71"/>
    <w:rsid w:val="00164EE2"/>
    <w:rsid w:val="00164F30"/>
    <w:rsid w:val="00164F41"/>
    <w:rsid w:val="0016508D"/>
    <w:rsid w:val="001651A2"/>
    <w:rsid w:val="00165283"/>
    <w:rsid w:val="00165427"/>
    <w:rsid w:val="00165548"/>
    <w:rsid w:val="0016557D"/>
    <w:rsid w:val="001656C9"/>
    <w:rsid w:val="001659CD"/>
    <w:rsid w:val="00165BE4"/>
    <w:rsid w:val="00165CBF"/>
    <w:rsid w:val="00165D2F"/>
    <w:rsid w:val="00165D87"/>
    <w:rsid w:val="00165E2D"/>
    <w:rsid w:val="00165E4E"/>
    <w:rsid w:val="00165E84"/>
    <w:rsid w:val="00165EBA"/>
    <w:rsid w:val="00165FE2"/>
    <w:rsid w:val="00165FF0"/>
    <w:rsid w:val="001661A7"/>
    <w:rsid w:val="00166282"/>
    <w:rsid w:val="001662D3"/>
    <w:rsid w:val="0016630A"/>
    <w:rsid w:val="00166326"/>
    <w:rsid w:val="00166550"/>
    <w:rsid w:val="00166603"/>
    <w:rsid w:val="001666D8"/>
    <w:rsid w:val="001667EC"/>
    <w:rsid w:val="001667FD"/>
    <w:rsid w:val="001668BF"/>
    <w:rsid w:val="001668FE"/>
    <w:rsid w:val="001669ED"/>
    <w:rsid w:val="00166A33"/>
    <w:rsid w:val="00166B5F"/>
    <w:rsid w:val="00166B6C"/>
    <w:rsid w:val="00166B91"/>
    <w:rsid w:val="00166DEB"/>
    <w:rsid w:val="00166EAA"/>
    <w:rsid w:val="00166EEA"/>
    <w:rsid w:val="001672CD"/>
    <w:rsid w:val="00167737"/>
    <w:rsid w:val="0016774A"/>
    <w:rsid w:val="00167900"/>
    <w:rsid w:val="00167A84"/>
    <w:rsid w:val="00167A8D"/>
    <w:rsid w:val="00167ACE"/>
    <w:rsid w:val="00167BAD"/>
    <w:rsid w:val="00167CFC"/>
    <w:rsid w:val="00167DC6"/>
    <w:rsid w:val="00167EEB"/>
    <w:rsid w:val="00170290"/>
    <w:rsid w:val="0017030B"/>
    <w:rsid w:val="00170641"/>
    <w:rsid w:val="0017064B"/>
    <w:rsid w:val="00170666"/>
    <w:rsid w:val="001706DD"/>
    <w:rsid w:val="00170A40"/>
    <w:rsid w:val="00170A7E"/>
    <w:rsid w:val="00170BC8"/>
    <w:rsid w:val="00170C8A"/>
    <w:rsid w:val="00170D9D"/>
    <w:rsid w:val="00170DFD"/>
    <w:rsid w:val="00170F58"/>
    <w:rsid w:val="00171051"/>
    <w:rsid w:val="001713CA"/>
    <w:rsid w:val="001713D9"/>
    <w:rsid w:val="0017147B"/>
    <w:rsid w:val="00171482"/>
    <w:rsid w:val="001714A2"/>
    <w:rsid w:val="0017158D"/>
    <w:rsid w:val="001715CE"/>
    <w:rsid w:val="001717EA"/>
    <w:rsid w:val="001717EE"/>
    <w:rsid w:val="0017199F"/>
    <w:rsid w:val="00171BAC"/>
    <w:rsid w:val="00171D2A"/>
    <w:rsid w:val="00171E1F"/>
    <w:rsid w:val="00172010"/>
    <w:rsid w:val="001721A1"/>
    <w:rsid w:val="001726CF"/>
    <w:rsid w:val="00172A44"/>
    <w:rsid w:val="00172B2C"/>
    <w:rsid w:val="00172B99"/>
    <w:rsid w:val="00172C78"/>
    <w:rsid w:val="00173014"/>
    <w:rsid w:val="00173129"/>
    <w:rsid w:val="001735CE"/>
    <w:rsid w:val="001735F6"/>
    <w:rsid w:val="001735FD"/>
    <w:rsid w:val="00173620"/>
    <w:rsid w:val="00173784"/>
    <w:rsid w:val="00173933"/>
    <w:rsid w:val="00173BAE"/>
    <w:rsid w:val="00173C98"/>
    <w:rsid w:val="00173CBC"/>
    <w:rsid w:val="00173D79"/>
    <w:rsid w:val="00173D87"/>
    <w:rsid w:val="00173DDF"/>
    <w:rsid w:val="00173DE6"/>
    <w:rsid w:val="00173DEB"/>
    <w:rsid w:val="00173F57"/>
    <w:rsid w:val="001740FD"/>
    <w:rsid w:val="001742B1"/>
    <w:rsid w:val="001745E1"/>
    <w:rsid w:val="00174623"/>
    <w:rsid w:val="00174626"/>
    <w:rsid w:val="00174647"/>
    <w:rsid w:val="0017482F"/>
    <w:rsid w:val="00174862"/>
    <w:rsid w:val="001748A7"/>
    <w:rsid w:val="00174D41"/>
    <w:rsid w:val="00174DBC"/>
    <w:rsid w:val="00174DEF"/>
    <w:rsid w:val="00174EC2"/>
    <w:rsid w:val="00174F0A"/>
    <w:rsid w:val="001751A8"/>
    <w:rsid w:val="0017536A"/>
    <w:rsid w:val="00175378"/>
    <w:rsid w:val="001753D7"/>
    <w:rsid w:val="00175403"/>
    <w:rsid w:val="001758F5"/>
    <w:rsid w:val="00175C42"/>
    <w:rsid w:val="00175DA8"/>
    <w:rsid w:val="00175FC5"/>
    <w:rsid w:val="00176055"/>
    <w:rsid w:val="00176258"/>
    <w:rsid w:val="001763BA"/>
    <w:rsid w:val="00176481"/>
    <w:rsid w:val="001764E5"/>
    <w:rsid w:val="0017668D"/>
    <w:rsid w:val="0017673C"/>
    <w:rsid w:val="00176945"/>
    <w:rsid w:val="001769E1"/>
    <w:rsid w:val="00176A4C"/>
    <w:rsid w:val="00176BA2"/>
    <w:rsid w:val="00176E50"/>
    <w:rsid w:val="00176E9D"/>
    <w:rsid w:val="00176F5A"/>
    <w:rsid w:val="00176FBC"/>
    <w:rsid w:val="0017708E"/>
    <w:rsid w:val="00177690"/>
    <w:rsid w:val="001777FE"/>
    <w:rsid w:val="00177A68"/>
    <w:rsid w:val="00177A7C"/>
    <w:rsid w:val="00177FF6"/>
    <w:rsid w:val="001800D2"/>
    <w:rsid w:val="00180114"/>
    <w:rsid w:val="0018017B"/>
    <w:rsid w:val="001802BC"/>
    <w:rsid w:val="001805C2"/>
    <w:rsid w:val="00180643"/>
    <w:rsid w:val="001807C0"/>
    <w:rsid w:val="00180A4B"/>
    <w:rsid w:val="00180C1B"/>
    <w:rsid w:val="00180C8D"/>
    <w:rsid w:val="00180D55"/>
    <w:rsid w:val="00180F6D"/>
    <w:rsid w:val="00180F8E"/>
    <w:rsid w:val="0018114B"/>
    <w:rsid w:val="001811DE"/>
    <w:rsid w:val="00181250"/>
    <w:rsid w:val="001812BC"/>
    <w:rsid w:val="001813C4"/>
    <w:rsid w:val="001813FD"/>
    <w:rsid w:val="0018157D"/>
    <w:rsid w:val="001815FF"/>
    <w:rsid w:val="00181635"/>
    <w:rsid w:val="001816D1"/>
    <w:rsid w:val="00181747"/>
    <w:rsid w:val="0018179C"/>
    <w:rsid w:val="00181990"/>
    <w:rsid w:val="00181B95"/>
    <w:rsid w:val="00181E92"/>
    <w:rsid w:val="00181F31"/>
    <w:rsid w:val="00181F3D"/>
    <w:rsid w:val="0018217A"/>
    <w:rsid w:val="00182330"/>
    <w:rsid w:val="001823A9"/>
    <w:rsid w:val="001823C0"/>
    <w:rsid w:val="00182866"/>
    <w:rsid w:val="00182BB9"/>
    <w:rsid w:val="00182CFD"/>
    <w:rsid w:val="00182CFE"/>
    <w:rsid w:val="00182DEC"/>
    <w:rsid w:val="00182E2F"/>
    <w:rsid w:val="00182E3E"/>
    <w:rsid w:val="00182E5B"/>
    <w:rsid w:val="00183255"/>
    <w:rsid w:val="00183433"/>
    <w:rsid w:val="001835EC"/>
    <w:rsid w:val="0018372C"/>
    <w:rsid w:val="00183992"/>
    <w:rsid w:val="00183A8D"/>
    <w:rsid w:val="00183B8A"/>
    <w:rsid w:val="00183C06"/>
    <w:rsid w:val="00183C21"/>
    <w:rsid w:val="00183C48"/>
    <w:rsid w:val="00183C51"/>
    <w:rsid w:val="00183DC0"/>
    <w:rsid w:val="00183F10"/>
    <w:rsid w:val="00183FD7"/>
    <w:rsid w:val="0018400F"/>
    <w:rsid w:val="001841CB"/>
    <w:rsid w:val="00184317"/>
    <w:rsid w:val="0018434D"/>
    <w:rsid w:val="001844EB"/>
    <w:rsid w:val="0018457B"/>
    <w:rsid w:val="00184609"/>
    <w:rsid w:val="001846D0"/>
    <w:rsid w:val="00184905"/>
    <w:rsid w:val="00184960"/>
    <w:rsid w:val="001849D8"/>
    <w:rsid w:val="00184BB1"/>
    <w:rsid w:val="00184D25"/>
    <w:rsid w:val="00184D63"/>
    <w:rsid w:val="00184EF7"/>
    <w:rsid w:val="00184F03"/>
    <w:rsid w:val="00184F3E"/>
    <w:rsid w:val="00185549"/>
    <w:rsid w:val="001855B2"/>
    <w:rsid w:val="00185760"/>
    <w:rsid w:val="00185828"/>
    <w:rsid w:val="00185B5E"/>
    <w:rsid w:val="00185D6F"/>
    <w:rsid w:val="00185D8C"/>
    <w:rsid w:val="00185FBE"/>
    <w:rsid w:val="00185FF1"/>
    <w:rsid w:val="001860BE"/>
    <w:rsid w:val="001863D6"/>
    <w:rsid w:val="0018651F"/>
    <w:rsid w:val="001865F6"/>
    <w:rsid w:val="00186744"/>
    <w:rsid w:val="001867A6"/>
    <w:rsid w:val="00186A40"/>
    <w:rsid w:val="00186AD7"/>
    <w:rsid w:val="00186B51"/>
    <w:rsid w:val="00186EEA"/>
    <w:rsid w:val="00186FA2"/>
    <w:rsid w:val="00187001"/>
    <w:rsid w:val="00187097"/>
    <w:rsid w:val="0018725A"/>
    <w:rsid w:val="0018738D"/>
    <w:rsid w:val="00187639"/>
    <w:rsid w:val="0018779C"/>
    <w:rsid w:val="001877CD"/>
    <w:rsid w:val="00187918"/>
    <w:rsid w:val="00187A72"/>
    <w:rsid w:val="00187D1F"/>
    <w:rsid w:val="00187D28"/>
    <w:rsid w:val="00190179"/>
    <w:rsid w:val="0019019D"/>
    <w:rsid w:val="001902C1"/>
    <w:rsid w:val="00190319"/>
    <w:rsid w:val="00190511"/>
    <w:rsid w:val="001905EE"/>
    <w:rsid w:val="001907F7"/>
    <w:rsid w:val="001908FF"/>
    <w:rsid w:val="00190907"/>
    <w:rsid w:val="00190AA2"/>
    <w:rsid w:val="00190B2F"/>
    <w:rsid w:val="00190E51"/>
    <w:rsid w:val="0019117E"/>
    <w:rsid w:val="00191218"/>
    <w:rsid w:val="0019123C"/>
    <w:rsid w:val="0019123E"/>
    <w:rsid w:val="00191430"/>
    <w:rsid w:val="0019156B"/>
    <w:rsid w:val="001915E1"/>
    <w:rsid w:val="00191A98"/>
    <w:rsid w:val="00191B54"/>
    <w:rsid w:val="00191BC1"/>
    <w:rsid w:val="00191C3B"/>
    <w:rsid w:val="00191D9A"/>
    <w:rsid w:val="00191F94"/>
    <w:rsid w:val="001920BB"/>
    <w:rsid w:val="001920EA"/>
    <w:rsid w:val="00192257"/>
    <w:rsid w:val="00192368"/>
    <w:rsid w:val="00192386"/>
    <w:rsid w:val="001923CC"/>
    <w:rsid w:val="00192647"/>
    <w:rsid w:val="001926CA"/>
    <w:rsid w:val="00192707"/>
    <w:rsid w:val="0019272D"/>
    <w:rsid w:val="001927A6"/>
    <w:rsid w:val="001928F0"/>
    <w:rsid w:val="001929F9"/>
    <w:rsid w:val="00192A8C"/>
    <w:rsid w:val="00192AB9"/>
    <w:rsid w:val="00192C29"/>
    <w:rsid w:val="00192CC3"/>
    <w:rsid w:val="00192D08"/>
    <w:rsid w:val="00192D21"/>
    <w:rsid w:val="00192E54"/>
    <w:rsid w:val="00192F70"/>
    <w:rsid w:val="00192F9B"/>
    <w:rsid w:val="001931D2"/>
    <w:rsid w:val="00193287"/>
    <w:rsid w:val="00193288"/>
    <w:rsid w:val="001932E6"/>
    <w:rsid w:val="00193420"/>
    <w:rsid w:val="00193431"/>
    <w:rsid w:val="001935CD"/>
    <w:rsid w:val="0019394F"/>
    <w:rsid w:val="00193EEA"/>
    <w:rsid w:val="00194067"/>
    <w:rsid w:val="001940B5"/>
    <w:rsid w:val="00194198"/>
    <w:rsid w:val="001941C0"/>
    <w:rsid w:val="0019430B"/>
    <w:rsid w:val="00194403"/>
    <w:rsid w:val="0019469F"/>
    <w:rsid w:val="0019497A"/>
    <w:rsid w:val="00194A2C"/>
    <w:rsid w:val="00194AEA"/>
    <w:rsid w:val="00194B7A"/>
    <w:rsid w:val="00194BC7"/>
    <w:rsid w:val="00194E1A"/>
    <w:rsid w:val="00194E64"/>
    <w:rsid w:val="00195175"/>
    <w:rsid w:val="001951F8"/>
    <w:rsid w:val="0019531D"/>
    <w:rsid w:val="00195327"/>
    <w:rsid w:val="0019542D"/>
    <w:rsid w:val="00195490"/>
    <w:rsid w:val="0019599E"/>
    <w:rsid w:val="00195C05"/>
    <w:rsid w:val="00195DD1"/>
    <w:rsid w:val="00195E7C"/>
    <w:rsid w:val="00195F91"/>
    <w:rsid w:val="001961F1"/>
    <w:rsid w:val="001963F8"/>
    <w:rsid w:val="0019650E"/>
    <w:rsid w:val="001969E2"/>
    <w:rsid w:val="00196BA8"/>
    <w:rsid w:val="00196BB7"/>
    <w:rsid w:val="00196DA0"/>
    <w:rsid w:val="00196DD2"/>
    <w:rsid w:val="00196DF1"/>
    <w:rsid w:val="0019709F"/>
    <w:rsid w:val="00197306"/>
    <w:rsid w:val="00197451"/>
    <w:rsid w:val="001979FB"/>
    <w:rsid w:val="00197A0B"/>
    <w:rsid w:val="00197A64"/>
    <w:rsid w:val="00197AB1"/>
    <w:rsid w:val="00197E12"/>
    <w:rsid w:val="00197F60"/>
    <w:rsid w:val="001A011F"/>
    <w:rsid w:val="001A01C3"/>
    <w:rsid w:val="001A0442"/>
    <w:rsid w:val="001A0508"/>
    <w:rsid w:val="001A05DE"/>
    <w:rsid w:val="001A06B7"/>
    <w:rsid w:val="001A07C7"/>
    <w:rsid w:val="001A083B"/>
    <w:rsid w:val="001A0856"/>
    <w:rsid w:val="001A08B6"/>
    <w:rsid w:val="001A0947"/>
    <w:rsid w:val="001A0A9E"/>
    <w:rsid w:val="001A0C4A"/>
    <w:rsid w:val="001A0DBD"/>
    <w:rsid w:val="001A0DEF"/>
    <w:rsid w:val="001A1205"/>
    <w:rsid w:val="001A12F5"/>
    <w:rsid w:val="001A159A"/>
    <w:rsid w:val="001A1623"/>
    <w:rsid w:val="001A1645"/>
    <w:rsid w:val="001A16CB"/>
    <w:rsid w:val="001A18B3"/>
    <w:rsid w:val="001A1A65"/>
    <w:rsid w:val="001A1BFE"/>
    <w:rsid w:val="001A1C6C"/>
    <w:rsid w:val="001A1C9A"/>
    <w:rsid w:val="001A1DC8"/>
    <w:rsid w:val="001A1E79"/>
    <w:rsid w:val="001A2128"/>
    <w:rsid w:val="001A219A"/>
    <w:rsid w:val="001A252C"/>
    <w:rsid w:val="001A25EF"/>
    <w:rsid w:val="001A2C34"/>
    <w:rsid w:val="001A2C4F"/>
    <w:rsid w:val="001A2E07"/>
    <w:rsid w:val="001A2E4D"/>
    <w:rsid w:val="001A2EFF"/>
    <w:rsid w:val="001A305B"/>
    <w:rsid w:val="001A306E"/>
    <w:rsid w:val="001A336A"/>
    <w:rsid w:val="001A3391"/>
    <w:rsid w:val="001A3530"/>
    <w:rsid w:val="001A3562"/>
    <w:rsid w:val="001A35B9"/>
    <w:rsid w:val="001A3825"/>
    <w:rsid w:val="001A39A8"/>
    <w:rsid w:val="001A39CD"/>
    <w:rsid w:val="001A3B86"/>
    <w:rsid w:val="001A3CAF"/>
    <w:rsid w:val="001A3D34"/>
    <w:rsid w:val="001A3D5D"/>
    <w:rsid w:val="001A3DEE"/>
    <w:rsid w:val="001A3E74"/>
    <w:rsid w:val="001A3EA0"/>
    <w:rsid w:val="001A40EF"/>
    <w:rsid w:val="001A40F1"/>
    <w:rsid w:val="001A4392"/>
    <w:rsid w:val="001A451C"/>
    <w:rsid w:val="001A47BA"/>
    <w:rsid w:val="001A4973"/>
    <w:rsid w:val="001A4A41"/>
    <w:rsid w:val="001A4A4A"/>
    <w:rsid w:val="001A4B0B"/>
    <w:rsid w:val="001A4B1B"/>
    <w:rsid w:val="001A4B2D"/>
    <w:rsid w:val="001A4BD3"/>
    <w:rsid w:val="001A4DDF"/>
    <w:rsid w:val="001A4E73"/>
    <w:rsid w:val="001A51FD"/>
    <w:rsid w:val="001A52E0"/>
    <w:rsid w:val="001A538F"/>
    <w:rsid w:val="001A53F6"/>
    <w:rsid w:val="001A55E1"/>
    <w:rsid w:val="001A5AA8"/>
    <w:rsid w:val="001A5DAF"/>
    <w:rsid w:val="001A5E3E"/>
    <w:rsid w:val="001A5EEF"/>
    <w:rsid w:val="001A5F2F"/>
    <w:rsid w:val="001A600A"/>
    <w:rsid w:val="001A6080"/>
    <w:rsid w:val="001A60DE"/>
    <w:rsid w:val="001A61BD"/>
    <w:rsid w:val="001A62C1"/>
    <w:rsid w:val="001A6303"/>
    <w:rsid w:val="001A6342"/>
    <w:rsid w:val="001A653A"/>
    <w:rsid w:val="001A6732"/>
    <w:rsid w:val="001A674E"/>
    <w:rsid w:val="001A6785"/>
    <w:rsid w:val="001A69C4"/>
    <w:rsid w:val="001A6B92"/>
    <w:rsid w:val="001A6DE6"/>
    <w:rsid w:val="001A6FE6"/>
    <w:rsid w:val="001A707C"/>
    <w:rsid w:val="001A7237"/>
    <w:rsid w:val="001A7246"/>
    <w:rsid w:val="001A728D"/>
    <w:rsid w:val="001A72DC"/>
    <w:rsid w:val="001A780C"/>
    <w:rsid w:val="001A7844"/>
    <w:rsid w:val="001A7BD5"/>
    <w:rsid w:val="001A7C63"/>
    <w:rsid w:val="001A7C85"/>
    <w:rsid w:val="001A7CA3"/>
    <w:rsid w:val="001A7DE2"/>
    <w:rsid w:val="001A7E69"/>
    <w:rsid w:val="001A7E71"/>
    <w:rsid w:val="001A7E96"/>
    <w:rsid w:val="001A7ED6"/>
    <w:rsid w:val="001B00FE"/>
    <w:rsid w:val="001B0196"/>
    <w:rsid w:val="001B0385"/>
    <w:rsid w:val="001B03FA"/>
    <w:rsid w:val="001B04FD"/>
    <w:rsid w:val="001B0650"/>
    <w:rsid w:val="001B06E9"/>
    <w:rsid w:val="001B077C"/>
    <w:rsid w:val="001B0AF9"/>
    <w:rsid w:val="001B0BC3"/>
    <w:rsid w:val="001B0CCA"/>
    <w:rsid w:val="001B0EA8"/>
    <w:rsid w:val="001B0F08"/>
    <w:rsid w:val="001B0FB8"/>
    <w:rsid w:val="001B0FCE"/>
    <w:rsid w:val="001B107C"/>
    <w:rsid w:val="001B10D2"/>
    <w:rsid w:val="001B1122"/>
    <w:rsid w:val="001B119C"/>
    <w:rsid w:val="001B1251"/>
    <w:rsid w:val="001B1260"/>
    <w:rsid w:val="001B128C"/>
    <w:rsid w:val="001B14FE"/>
    <w:rsid w:val="001B16C4"/>
    <w:rsid w:val="001B1792"/>
    <w:rsid w:val="001B17D5"/>
    <w:rsid w:val="001B19CB"/>
    <w:rsid w:val="001B1B31"/>
    <w:rsid w:val="001B1BB3"/>
    <w:rsid w:val="001B1E4A"/>
    <w:rsid w:val="001B1E92"/>
    <w:rsid w:val="001B1EB2"/>
    <w:rsid w:val="001B1EB9"/>
    <w:rsid w:val="001B215E"/>
    <w:rsid w:val="001B217B"/>
    <w:rsid w:val="001B2186"/>
    <w:rsid w:val="001B218B"/>
    <w:rsid w:val="001B21A9"/>
    <w:rsid w:val="001B21E0"/>
    <w:rsid w:val="001B241F"/>
    <w:rsid w:val="001B26CF"/>
    <w:rsid w:val="001B2700"/>
    <w:rsid w:val="001B2A54"/>
    <w:rsid w:val="001B2B32"/>
    <w:rsid w:val="001B2EB9"/>
    <w:rsid w:val="001B2F0B"/>
    <w:rsid w:val="001B303F"/>
    <w:rsid w:val="001B318F"/>
    <w:rsid w:val="001B3292"/>
    <w:rsid w:val="001B33DF"/>
    <w:rsid w:val="001B342B"/>
    <w:rsid w:val="001B342D"/>
    <w:rsid w:val="001B3544"/>
    <w:rsid w:val="001B356D"/>
    <w:rsid w:val="001B36A5"/>
    <w:rsid w:val="001B3718"/>
    <w:rsid w:val="001B381A"/>
    <w:rsid w:val="001B38A1"/>
    <w:rsid w:val="001B3940"/>
    <w:rsid w:val="001B3A89"/>
    <w:rsid w:val="001B3D14"/>
    <w:rsid w:val="001B4011"/>
    <w:rsid w:val="001B4138"/>
    <w:rsid w:val="001B417B"/>
    <w:rsid w:val="001B419B"/>
    <w:rsid w:val="001B41F1"/>
    <w:rsid w:val="001B4419"/>
    <w:rsid w:val="001B458E"/>
    <w:rsid w:val="001B4627"/>
    <w:rsid w:val="001B4750"/>
    <w:rsid w:val="001B49BA"/>
    <w:rsid w:val="001B4A0A"/>
    <w:rsid w:val="001B4DA1"/>
    <w:rsid w:val="001B4DB0"/>
    <w:rsid w:val="001B4DE3"/>
    <w:rsid w:val="001B4EC0"/>
    <w:rsid w:val="001B4F1C"/>
    <w:rsid w:val="001B4F2C"/>
    <w:rsid w:val="001B5175"/>
    <w:rsid w:val="001B53B9"/>
    <w:rsid w:val="001B53C0"/>
    <w:rsid w:val="001B54E1"/>
    <w:rsid w:val="001B54EE"/>
    <w:rsid w:val="001B55C7"/>
    <w:rsid w:val="001B5628"/>
    <w:rsid w:val="001B5747"/>
    <w:rsid w:val="001B5860"/>
    <w:rsid w:val="001B5C85"/>
    <w:rsid w:val="001B5CFF"/>
    <w:rsid w:val="001B5D92"/>
    <w:rsid w:val="001B5F62"/>
    <w:rsid w:val="001B60B0"/>
    <w:rsid w:val="001B63BB"/>
    <w:rsid w:val="001B64C5"/>
    <w:rsid w:val="001B6730"/>
    <w:rsid w:val="001B6776"/>
    <w:rsid w:val="001B67FF"/>
    <w:rsid w:val="001B692A"/>
    <w:rsid w:val="001B6AB8"/>
    <w:rsid w:val="001B6B1C"/>
    <w:rsid w:val="001B6E47"/>
    <w:rsid w:val="001B6F1A"/>
    <w:rsid w:val="001B6FDC"/>
    <w:rsid w:val="001B71C5"/>
    <w:rsid w:val="001B7430"/>
    <w:rsid w:val="001B7720"/>
    <w:rsid w:val="001B7743"/>
    <w:rsid w:val="001B788D"/>
    <w:rsid w:val="001B789B"/>
    <w:rsid w:val="001B7A7B"/>
    <w:rsid w:val="001B7B7D"/>
    <w:rsid w:val="001B7B85"/>
    <w:rsid w:val="001B7C72"/>
    <w:rsid w:val="001B7E09"/>
    <w:rsid w:val="001B7EA1"/>
    <w:rsid w:val="001C003F"/>
    <w:rsid w:val="001C01B1"/>
    <w:rsid w:val="001C01BD"/>
    <w:rsid w:val="001C01E0"/>
    <w:rsid w:val="001C0233"/>
    <w:rsid w:val="001C0438"/>
    <w:rsid w:val="001C0542"/>
    <w:rsid w:val="001C0587"/>
    <w:rsid w:val="001C05F3"/>
    <w:rsid w:val="001C0637"/>
    <w:rsid w:val="001C06C0"/>
    <w:rsid w:val="001C08E8"/>
    <w:rsid w:val="001C09CE"/>
    <w:rsid w:val="001C0BED"/>
    <w:rsid w:val="001C0C0E"/>
    <w:rsid w:val="001C0CD3"/>
    <w:rsid w:val="001C0E1E"/>
    <w:rsid w:val="001C0ECF"/>
    <w:rsid w:val="001C0F87"/>
    <w:rsid w:val="001C107C"/>
    <w:rsid w:val="001C109C"/>
    <w:rsid w:val="001C1328"/>
    <w:rsid w:val="001C1551"/>
    <w:rsid w:val="001C155C"/>
    <w:rsid w:val="001C1598"/>
    <w:rsid w:val="001C1864"/>
    <w:rsid w:val="001C186C"/>
    <w:rsid w:val="001C18AD"/>
    <w:rsid w:val="001C1946"/>
    <w:rsid w:val="001C1A4D"/>
    <w:rsid w:val="001C1ACD"/>
    <w:rsid w:val="001C1B98"/>
    <w:rsid w:val="001C1BEF"/>
    <w:rsid w:val="001C1F5F"/>
    <w:rsid w:val="001C1F98"/>
    <w:rsid w:val="001C20A3"/>
    <w:rsid w:val="001C2173"/>
    <w:rsid w:val="001C21BA"/>
    <w:rsid w:val="001C2513"/>
    <w:rsid w:val="001C2741"/>
    <w:rsid w:val="001C27DE"/>
    <w:rsid w:val="001C29C3"/>
    <w:rsid w:val="001C2A19"/>
    <w:rsid w:val="001C2A4B"/>
    <w:rsid w:val="001C2A8B"/>
    <w:rsid w:val="001C2AD5"/>
    <w:rsid w:val="001C2AEB"/>
    <w:rsid w:val="001C2B71"/>
    <w:rsid w:val="001C2BFC"/>
    <w:rsid w:val="001C2CB5"/>
    <w:rsid w:val="001C2D29"/>
    <w:rsid w:val="001C2E4E"/>
    <w:rsid w:val="001C2E55"/>
    <w:rsid w:val="001C2FF6"/>
    <w:rsid w:val="001C3159"/>
    <w:rsid w:val="001C32BE"/>
    <w:rsid w:val="001C3336"/>
    <w:rsid w:val="001C3534"/>
    <w:rsid w:val="001C356D"/>
    <w:rsid w:val="001C3651"/>
    <w:rsid w:val="001C36E3"/>
    <w:rsid w:val="001C37AF"/>
    <w:rsid w:val="001C37D3"/>
    <w:rsid w:val="001C39B5"/>
    <w:rsid w:val="001C39D6"/>
    <w:rsid w:val="001C39F8"/>
    <w:rsid w:val="001C3A5C"/>
    <w:rsid w:val="001C3BAB"/>
    <w:rsid w:val="001C3C54"/>
    <w:rsid w:val="001C3CF8"/>
    <w:rsid w:val="001C4072"/>
    <w:rsid w:val="001C4126"/>
    <w:rsid w:val="001C4340"/>
    <w:rsid w:val="001C49BD"/>
    <w:rsid w:val="001C49BE"/>
    <w:rsid w:val="001C4B61"/>
    <w:rsid w:val="001C4B81"/>
    <w:rsid w:val="001C4CD3"/>
    <w:rsid w:val="001C4D8A"/>
    <w:rsid w:val="001C4FE4"/>
    <w:rsid w:val="001C508D"/>
    <w:rsid w:val="001C519F"/>
    <w:rsid w:val="001C5237"/>
    <w:rsid w:val="001C52CD"/>
    <w:rsid w:val="001C532D"/>
    <w:rsid w:val="001C5386"/>
    <w:rsid w:val="001C5477"/>
    <w:rsid w:val="001C55E1"/>
    <w:rsid w:val="001C5824"/>
    <w:rsid w:val="001C58C3"/>
    <w:rsid w:val="001C58EF"/>
    <w:rsid w:val="001C592D"/>
    <w:rsid w:val="001C5B88"/>
    <w:rsid w:val="001C5BD2"/>
    <w:rsid w:val="001C5E4E"/>
    <w:rsid w:val="001C5FC3"/>
    <w:rsid w:val="001C6121"/>
    <w:rsid w:val="001C6173"/>
    <w:rsid w:val="001C639F"/>
    <w:rsid w:val="001C64D3"/>
    <w:rsid w:val="001C6574"/>
    <w:rsid w:val="001C6587"/>
    <w:rsid w:val="001C65B8"/>
    <w:rsid w:val="001C660B"/>
    <w:rsid w:val="001C6796"/>
    <w:rsid w:val="001C67B1"/>
    <w:rsid w:val="001C67F2"/>
    <w:rsid w:val="001C6810"/>
    <w:rsid w:val="001C68CB"/>
    <w:rsid w:val="001C6C87"/>
    <w:rsid w:val="001C6DF6"/>
    <w:rsid w:val="001C6FA0"/>
    <w:rsid w:val="001C70FA"/>
    <w:rsid w:val="001C718D"/>
    <w:rsid w:val="001C7192"/>
    <w:rsid w:val="001C739E"/>
    <w:rsid w:val="001C74AE"/>
    <w:rsid w:val="001C7588"/>
    <w:rsid w:val="001C76DA"/>
    <w:rsid w:val="001C7810"/>
    <w:rsid w:val="001C793C"/>
    <w:rsid w:val="001C7B10"/>
    <w:rsid w:val="001C7BD3"/>
    <w:rsid w:val="001C7CD3"/>
    <w:rsid w:val="001C7E76"/>
    <w:rsid w:val="001C7E9C"/>
    <w:rsid w:val="001C7EC5"/>
    <w:rsid w:val="001D03A9"/>
    <w:rsid w:val="001D04A7"/>
    <w:rsid w:val="001D06F5"/>
    <w:rsid w:val="001D0892"/>
    <w:rsid w:val="001D0AC8"/>
    <w:rsid w:val="001D0B3B"/>
    <w:rsid w:val="001D0B9F"/>
    <w:rsid w:val="001D0C3F"/>
    <w:rsid w:val="001D0EF0"/>
    <w:rsid w:val="001D10E4"/>
    <w:rsid w:val="001D1221"/>
    <w:rsid w:val="001D134E"/>
    <w:rsid w:val="001D13A0"/>
    <w:rsid w:val="001D1455"/>
    <w:rsid w:val="001D145B"/>
    <w:rsid w:val="001D14D9"/>
    <w:rsid w:val="001D16CD"/>
    <w:rsid w:val="001D175E"/>
    <w:rsid w:val="001D187B"/>
    <w:rsid w:val="001D1BCC"/>
    <w:rsid w:val="001D1CA3"/>
    <w:rsid w:val="001D1E07"/>
    <w:rsid w:val="001D2162"/>
    <w:rsid w:val="001D222E"/>
    <w:rsid w:val="001D2324"/>
    <w:rsid w:val="001D236A"/>
    <w:rsid w:val="001D2431"/>
    <w:rsid w:val="001D24C0"/>
    <w:rsid w:val="001D2508"/>
    <w:rsid w:val="001D2516"/>
    <w:rsid w:val="001D254D"/>
    <w:rsid w:val="001D2573"/>
    <w:rsid w:val="001D2644"/>
    <w:rsid w:val="001D2796"/>
    <w:rsid w:val="001D28ED"/>
    <w:rsid w:val="001D2B24"/>
    <w:rsid w:val="001D2B43"/>
    <w:rsid w:val="001D2CAE"/>
    <w:rsid w:val="001D2D27"/>
    <w:rsid w:val="001D2D60"/>
    <w:rsid w:val="001D2EAC"/>
    <w:rsid w:val="001D3158"/>
    <w:rsid w:val="001D331A"/>
    <w:rsid w:val="001D3490"/>
    <w:rsid w:val="001D3502"/>
    <w:rsid w:val="001D3542"/>
    <w:rsid w:val="001D3561"/>
    <w:rsid w:val="001D37EC"/>
    <w:rsid w:val="001D3895"/>
    <w:rsid w:val="001D3939"/>
    <w:rsid w:val="001D3B5B"/>
    <w:rsid w:val="001D3BE9"/>
    <w:rsid w:val="001D40DF"/>
    <w:rsid w:val="001D4146"/>
    <w:rsid w:val="001D4203"/>
    <w:rsid w:val="001D4300"/>
    <w:rsid w:val="001D453C"/>
    <w:rsid w:val="001D4996"/>
    <w:rsid w:val="001D4A41"/>
    <w:rsid w:val="001D4B2A"/>
    <w:rsid w:val="001D4B9E"/>
    <w:rsid w:val="001D4BA0"/>
    <w:rsid w:val="001D4BE7"/>
    <w:rsid w:val="001D4EA5"/>
    <w:rsid w:val="001D4EEA"/>
    <w:rsid w:val="001D4FF6"/>
    <w:rsid w:val="001D508E"/>
    <w:rsid w:val="001D529A"/>
    <w:rsid w:val="001D5575"/>
    <w:rsid w:val="001D56FD"/>
    <w:rsid w:val="001D5912"/>
    <w:rsid w:val="001D592F"/>
    <w:rsid w:val="001D5A0B"/>
    <w:rsid w:val="001D5A89"/>
    <w:rsid w:val="001D5AA0"/>
    <w:rsid w:val="001D5C37"/>
    <w:rsid w:val="001D60E7"/>
    <w:rsid w:val="001D620E"/>
    <w:rsid w:val="001D649D"/>
    <w:rsid w:val="001D64F5"/>
    <w:rsid w:val="001D67A2"/>
    <w:rsid w:val="001D67C9"/>
    <w:rsid w:val="001D6AD3"/>
    <w:rsid w:val="001D6CE3"/>
    <w:rsid w:val="001D6E47"/>
    <w:rsid w:val="001D6EA0"/>
    <w:rsid w:val="001D6F30"/>
    <w:rsid w:val="001D6FD9"/>
    <w:rsid w:val="001D704D"/>
    <w:rsid w:val="001D713F"/>
    <w:rsid w:val="001D71E9"/>
    <w:rsid w:val="001D7281"/>
    <w:rsid w:val="001D7508"/>
    <w:rsid w:val="001D7661"/>
    <w:rsid w:val="001D766F"/>
    <w:rsid w:val="001D784A"/>
    <w:rsid w:val="001D785D"/>
    <w:rsid w:val="001D79BE"/>
    <w:rsid w:val="001D7F74"/>
    <w:rsid w:val="001E0069"/>
    <w:rsid w:val="001E0458"/>
    <w:rsid w:val="001E066E"/>
    <w:rsid w:val="001E0702"/>
    <w:rsid w:val="001E08C8"/>
    <w:rsid w:val="001E0A55"/>
    <w:rsid w:val="001E0A6A"/>
    <w:rsid w:val="001E0AFA"/>
    <w:rsid w:val="001E0B23"/>
    <w:rsid w:val="001E0DE3"/>
    <w:rsid w:val="001E0FCA"/>
    <w:rsid w:val="001E102E"/>
    <w:rsid w:val="001E103E"/>
    <w:rsid w:val="001E153E"/>
    <w:rsid w:val="001E16EE"/>
    <w:rsid w:val="001E19A6"/>
    <w:rsid w:val="001E19B3"/>
    <w:rsid w:val="001E1AE2"/>
    <w:rsid w:val="001E1B1E"/>
    <w:rsid w:val="001E1EE9"/>
    <w:rsid w:val="001E1EF2"/>
    <w:rsid w:val="001E1F10"/>
    <w:rsid w:val="001E21A6"/>
    <w:rsid w:val="001E21F2"/>
    <w:rsid w:val="001E2299"/>
    <w:rsid w:val="001E2319"/>
    <w:rsid w:val="001E246C"/>
    <w:rsid w:val="001E24D6"/>
    <w:rsid w:val="001E254D"/>
    <w:rsid w:val="001E25AD"/>
    <w:rsid w:val="001E274F"/>
    <w:rsid w:val="001E28A3"/>
    <w:rsid w:val="001E28A4"/>
    <w:rsid w:val="001E2A67"/>
    <w:rsid w:val="001E2BCA"/>
    <w:rsid w:val="001E2C8E"/>
    <w:rsid w:val="001E2CC1"/>
    <w:rsid w:val="001E2DAA"/>
    <w:rsid w:val="001E2ED6"/>
    <w:rsid w:val="001E2FB1"/>
    <w:rsid w:val="001E305F"/>
    <w:rsid w:val="001E309A"/>
    <w:rsid w:val="001E322E"/>
    <w:rsid w:val="001E32D9"/>
    <w:rsid w:val="001E334A"/>
    <w:rsid w:val="001E3455"/>
    <w:rsid w:val="001E34C4"/>
    <w:rsid w:val="001E3611"/>
    <w:rsid w:val="001E3754"/>
    <w:rsid w:val="001E37B2"/>
    <w:rsid w:val="001E3950"/>
    <w:rsid w:val="001E395C"/>
    <w:rsid w:val="001E3B9C"/>
    <w:rsid w:val="001E3BFE"/>
    <w:rsid w:val="001E3C3C"/>
    <w:rsid w:val="001E3C3E"/>
    <w:rsid w:val="001E3C9C"/>
    <w:rsid w:val="001E3D77"/>
    <w:rsid w:val="001E3DFC"/>
    <w:rsid w:val="001E3EEF"/>
    <w:rsid w:val="001E3F63"/>
    <w:rsid w:val="001E4187"/>
    <w:rsid w:val="001E43EB"/>
    <w:rsid w:val="001E443E"/>
    <w:rsid w:val="001E4568"/>
    <w:rsid w:val="001E46EC"/>
    <w:rsid w:val="001E4724"/>
    <w:rsid w:val="001E4756"/>
    <w:rsid w:val="001E491E"/>
    <w:rsid w:val="001E4A26"/>
    <w:rsid w:val="001E4A5D"/>
    <w:rsid w:val="001E4A90"/>
    <w:rsid w:val="001E4AF6"/>
    <w:rsid w:val="001E4B00"/>
    <w:rsid w:val="001E4C96"/>
    <w:rsid w:val="001E4CAD"/>
    <w:rsid w:val="001E4CE2"/>
    <w:rsid w:val="001E4E8F"/>
    <w:rsid w:val="001E4E9B"/>
    <w:rsid w:val="001E4FD1"/>
    <w:rsid w:val="001E4FF6"/>
    <w:rsid w:val="001E51D4"/>
    <w:rsid w:val="001E521C"/>
    <w:rsid w:val="001E5238"/>
    <w:rsid w:val="001E533A"/>
    <w:rsid w:val="001E54B8"/>
    <w:rsid w:val="001E5543"/>
    <w:rsid w:val="001E569B"/>
    <w:rsid w:val="001E5776"/>
    <w:rsid w:val="001E58FA"/>
    <w:rsid w:val="001E5A94"/>
    <w:rsid w:val="001E5B9C"/>
    <w:rsid w:val="001E5BF6"/>
    <w:rsid w:val="001E5DCD"/>
    <w:rsid w:val="001E5EB2"/>
    <w:rsid w:val="001E5FF6"/>
    <w:rsid w:val="001E6045"/>
    <w:rsid w:val="001E60C9"/>
    <w:rsid w:val="001E60CB"/>
    <w:rsid w:val="001E6284"/>
    <w:rsid w:val="001E639D"/>
    <w:rsid w:val="001E643F"/>
    <w:rsid w:val="001E6543"/>
    <w:rsid w:val="001E665D"/>
    <w:rsid w:val="001E6872"/>
    <w:rsid w:val="001E68EE"/>
    <w:rsid w:val="001E6904"/>
    <w:rsid w:val="001E692E"/>
    <w:rsid w:val="001E6BF7"/>
    <w:rsid w:val="001E6D92"/>
    <w:rsid w:val="001E6DDE"/>
    <w:rsid w:val="001E7010"/>
    <w:rsid w:val="001E707A"/>
    <w:rsid w:val="001E73A0"/>
    <w:rsid w:val="001E758A"/>
    <w:rsid w:val="001E75BE"/>
    <w:rsid w:val="001E7639"/>
    <w:rsid w:val="001E7681"/>
    <w:rsid w:val="001E769A"/>
    <w:rsid w:val="001E7775"/>
    <w:rsid w:val="001E77A1"/>
    <w:rsid w:val="001E78DD"/>
    <w:rsid w:val="001E78EB"/>
    <w:rsid w:val="001E78EF"/>
    <w:rsid w:val="001E7C36"/>
    <w:rsid w:val="001E7D1E"/>
    <w:rsid w:val="001E7D79"/>
    <w:rsid w:val="001E7DB0"/>
    <w:rsid w:val="001E7FA5"/>
    <w:rsid w:val="001F005F"/>
    <w:rsid w:val="001F01F4"/>
    <w:rsid w:val="001F02AC"/>
    <w:rsid w:val="001F02F4"/>
    <w:rsid w:val="001F041A"/>
    <w:rsid w:val="001F0449"/>
    <w:rsid w:val="001F0523"/>
    <w:rsid w:val="001F052E"/>
    <w:rsid w:val="001F064D"/>
    <w:rsid w:val="001F07CD"/>
    <w:rsid w:val="001F0842"/>
    <w:rsid w:val="001F0A83"/>
    <w:rsid w:val="001F11F1"/>
    <w:rsid w:val="001F1490"/>
    <w:rsid w:val="001F1A09"/>
    <w:rsid w:val="001F1B8B"/>
    <w:rsid w:val="001F1BBE"/>
    <w:rsid w:val="001F1D6E"/>
    <w:rsid w:val="001F1D85"/>
    <w:rsid w:val="001F1D8E"/>
    <w:rsid w:val="001F1DB1"/>
    <w:rsid w:val="001F2271"/>
    <w:rsid w:val="001F2359"/>
    <w:rsid w:val="001F2484"/>
    <w:rsid w:val="001F2518"/>
    <w:rsid w:val="001F25E0"/>
    <w:rsid w:val="001F276A"/>
    <w:rsid w:val="001F277C"/>
    <w:rsid w:val="001F2818"/>
    <w:rsid w:val="001F296F"/>
    <w:rsid w:val="001F2981"/>
    <w:rsid w:val="001F29E1"/>
    <w:rsid w:val="001F2A28"/>
    <w:rsid w:val="001F2B91"/>
    <w:rsid w:val="001F2BA1"/>
    <w:rsid w:val="001F2C20"/>
    <w:rsid w:val="001F2D64"/>
    <w:rsid w:val="001F305F"/>
    <w:rsid w:val="001F30A1"/>
    <w:rsid w:val="001F31E7"/>
    <w:rsid w:val="001F327F"/>
    <w:rsid w:val="001F3373"/>
    <w:rsid w:val="001F33D9"/>
    <w:rsid w:val="001F3464"/>
    <w:rsid w:val="001F3888"/>
    <w:rsid w:val="001F3BAA"/>
    <w:rsid w:val="001F3E1F"/>
    <w:rsid w:val="001F3ED9"/>
    <w:rsid w:val="001F3FCE"/>
    <w:rsid w:val="001F40F9"/>
    <w:rsid w:val="001F4369"/>
    <w:rsid w:val="001F43B6"/>
    <w:rsid w:val="001F45DA"/>
    <w:rsid w:val="001F45FA"/>
    <w:rsid w:val="001F48FD"/>
    <w:rsid w:val="001F4A2F"/>
    <w:rsid w:val="001F4F1C"/>
    <w:rsid w:val="001F4F8A"/>
    <w:rsid w:val="001F504A"/>
    <w:rsid w:val="001F53FF"/>
    <w:rsid w:val="001F5476"/>
    <w:rsid w:val="001F5502"/>
    <w:rsid w:val="001F59B6"/>
    <w:rsid w:val="001F59CA"/>
    <w:rsid w:val="001F5A2C"/>
    <w:rsid w:val="001F5B1C"/>
    <w:rsid w:val="001F5D77"/>
    <w:rsid w:val="001F611F"/>
    <w:rsid w:val="001F648D"/>
    <w:rsid w:val="001F649B"/>
    <w:rsid w:val="001F64EE"/>
    <w:rsid w:val="001F66F0"/>
    <w:rsid w:val="001F674E"/>
    <w:rsid w:val="001F67DC"/>
    <w:rsid w:val="001F6850"/>
    <w:rsid w:val="001F6911"/>
    <w:rsid w:val="001F6936"/>
    <w:rsid w:val="001F696D"/>
    <w:rsid w:val="001F6DFC"/>
    <w:rsid w:val="001F6E3F"/>
    <w:rsid w:val="001F72D8"/>
    <w:rsid w:val="001F74D1"/>
    <w:rsid w:val="001F75A4"/>
    <w:rsid w:val="001F7EEE"/>
    <w:rsid w:val="00200408"/>
    <w:rsid w:val="00200514"/>
    <w:rsid w:val="002006DC"/>
    <w:rsid w:val="002008A4"/>
    <w:rsid w:val="002008B4"/>
    <w:rsid w:val="002008F4"/>
    <w:rsid w:val="002009BB"/>
    <w:rsid w:val="00200A65"/>
    <w:rsid w:val="00200A95"/>
    <w:rsid w:val="00200A96"/>
    <w:rsid w:val="00200C50"/>
    <w:rsid w:val="00200D13"/>
    <w:rsid w:val="00200E74"/>
    <w:rsid w:val="00200F79"/>
    <w:rsid w:val="00200F7F"/>
    <w:rsid w:val="00200FA2"/>
    <w:rsid w:val="00201209"/>
    <w:rsid w:val="00201226"/>
    <w:rsid w:val="002012E1"/>
    <w:rsid w:val="00201386"/>
    <w:rsid w:val="002013F1"/>
    <w:rsid w:val="00201943"/>
    <w:rsid w:val="0020199D"/>
    <w:rsid w:val="00201A40"/>
    <w:rsid w:val="00201B33"/>
    <w:rsid w:val="00201C01"/>
    <w:rsid w:val="00201CA1"/>
    <w:rsid w:val="00201E65"/>
    <w:rsid w:val="0020203F"/>
    <w:rsid w:val="002022B1"/>
    <w:rsid w:val="00202336"/>
    <w:rsid w:val="002026DD"/>
    <w:rsid w:val="0020279B"/>
    <w:rsid w:val="00202825"/>
    <w:rsid w:val="00202885"/>
    <w:rsid w:val="00202B06"/>
    <w:rsid w:val="00202B59"/>
    <w:rsid w:val="00202DBE"/>
    <w:rsid w:val="00202ED0"/>
    <w:rsid w:val="0020303C"/>
    <w:rsid w:val="00203147"/>
    <w:rsid w:val="00203413"/>
    <w:rsid w:val="0020370B"/>
    <w:rsid w:val="002037B6"/>
    <w:rsid w:val="002038F7"/>
    <w:rsid w:val="0020399E"/>
    <w:rsid w:val="00203A10"/>
    <w:rsid w:val="00203A52"/>
    <w:rsid w:val="00203A53"/>
    <w:rsid w:val="00203EB2"/>
    <w:rsid w:val="00203EF0"/>
    <w:rsid w:val="00203F07"/>
    <w:rsid w:val="00204055"/>
    <w:rsid w:val="00204192"/>
    <w:rsid w:val="0020433B"/>
    <w:rsid w:val="00204941"/>
    <w:rsid w:val="00204A89"/>
    <w:rsid w:val="00204BC0"/>
    <w:rsid w:val="00204BFF"/>
    <w:rsid w:val="00204E1C"/>
    <w:rsid w:val="0020503A"/>
    <w:rsid w:val="0020519B"/>
    <w:rsid w:val="00205258"/>
    <w:rsid w:val="002052AC"/>
    <w:rsid w:val="0020546F"/>
    <w:rsid w:val="002054C5"/>
    <w:rsid w:val="0020567D"/>
    <w:rsid w:val="0020592E"/>
    <w:rsid w:val="00205956"/>
    <w:rsid w:val="00205A51"/>
    <w:rsid w:val="00205B08"/>
    <w:rsid w:val="00205B74"/>
    <w:rsid w:val="00205BE1"/>
    <w:rsid w:val="00205D0E"/>
    <w:rsid w:val="00205E6E"/>
    <w:rsid w:val="00205F1F"/>
    <w:rsid w:val="00205F3E"/>
    <w:rsid w:val="00205FAB"/>
    <w:rsid w:val="002060B1"/>
    <w:rsid w:val="002060F9"/>
    <w:rsid w:val="0020643C"/>
    <w:rsid w:val="002064DC"/>
    <w:rsid w:val="00206548"/>
    <w:rsid w:val="00206622"/>
    <w:rsid w:val="0020662E"/>
    <w:rsid w:val="00206A0A"/>
    <w:rsid w:val="00206B35"/>
    <w:rsid w:val="00206CB1"/>
    <w:rsid w:val="00206D4C"/>
    <w:rsid w:val="00206D57"/>
    <w:rsid w:val="00206E5B"/>
    <w:rsid w:val="00206FE4"/>
    <w:rsid w:val="0020706A"/>
    <w:rsid w:val="0020716B"/>
    <w:rsid w:val="0020729E"/>
    <w:rsid w:val="00207316"/>
    <w:rsid w:val="00207430"/>
    <w:rsid w:val="00207445"/>
    <w:rsid w:val="002074EC"/>
    <w:rsid w:val="00207502"/>
    <w:rsid w:val="00207584"/>
    <w:rsid w:val="0020769D"/>
    <w:rsid w:val="002076A1"/>
    <w:rsid w:val="0020771B"/>
    <w:rsid w:val="0020775C"/>
    <w:rsid w:val="0020776A"/>
    <w:rsid w:val="00207854"/>
    <w:rsid w:val="00207867"/>
    <w:rsid w:val="00207963"/>
    <w:rsid w:val="00207A09"/>
    <w:rsid w:val="00207C69"/>
    <w:rsid w:val="00207E5B"/>
    <w:rsid w:val="00207F06"/>
    <w:rsid w:val="00207F3F"/>
    <w:rsid w:val="0021005C"/>
    <w:rsid w:val="00210072"/>
    <w:rsid w:val="002100B3"/>
    <w:rsid w:val="0021017C"/>
    <w:rsid w:val="002101DF"/>
    <w:rsid w:val="002104DF"/>
    <w:rsid w:val="002105B6"/>
    <w:rsid w:val="002108BF"/>
    <w:rsid w:val="00210B18"/>
    <w:rsid w:val="00210B2A"/>
    <w:rsid w:val="00210B77"/>
    <w:rsid w:val="00210CB5"/>
    <w:rsid w:val="00210CCF"/>
    <w:rsid w:val="00210DF8"/>
    <w:rsid w:val="00210E26"/>
    <w:rsid w:val="00210E5C"/>
    <w:rsid w:val="00210EC9"/>
    <w:rsid w:val="00210EFF"/>
    <w:rsid w:val="00210FD7"/>
    <w:rsid w:val="0021101C"/>
    <w:rsid w:val="00211128"/>
    <w:rsid w:val="00211237"/>
    <w:rsid w:val="00211385"/>
    <w:rsid w:val="0021142F"/>
    <w:rsid w:val="00211606"/>
    <w:rsid w:val="002117F7"/>
    <w:rsid w:val="0021194A"/>
    <w:rsid w:val="0021197E"/>
    <w:rsid w:val="002120A1"/>
    <w:rsid w:val="00212123"/>
    <w:rsid w:val="002121DE"/>
    <w:rsid w:val="002123E4"/>
    <w:rsid w:val="002127D4"/>
    <w:rsid w:val="002128D2"/>
    <w:rsid w:val="00212981"/>
    <w:rsid w:val="00212AA7"/>
    <w:rsid w:val="00212BDE"/>
    <w:rsid w:val="0021309E"/>
    <w:rsid w:val="00213165"/>
    <w:rsid w:val="00213203"/>
    <w:rsid w:val="00213252"/>
    <w:rsid w:val="002132C0"/>
    <w:rsid w:val="0021343F"/>
    <w:rsid w:val="0021344C"/>
    <w:rsid w:val="00213454"/>
    <w:rsid w:val="00213623"/>
    <w:rsid w:val="00213689"/>
    <w:rsid w:val="002136A3"/>
    <w:rsid w:val="002136BF"/>
    <w:rsid w:val="002136C2"/>
    <w:rsid w:val="0021371B"/>
    <w:rsid w:val="00213859"/>
    <w:rsid w:val="00213A6F"/>
    <w:rsid w:val="00213AB7"/>
    <w:rsid w:val="00213AC2"/>
    <w:rsid w:val="00213BA8"/>
    <w:rsid w:val="00213E8A"/>
    <w:rsid w:val="00213FC6"/>
    <w:rsid w:val="002142B5"/>
    <w:rsid w:val="002143F3"/>
    <w:rsid w:val="00214607"/>
    <w:rsid w:val="002148CD"/>
    <w:rsid w:val="00214921"/>
    <w:rsid w:val="00214D18"/>
    <w:rsid w:val="00214D31"/>
    <w:rsid w:val="00214E28"/>
    <w:rsid w:val="00214E2A"/>
    <w:rsid w:val="00214EE0"/>
    <w:rsid w:val="00214F21"/>
    <w:rsid w:val="00215030"/>
    <w:rsid w:val="002151C0"/>
    <w:rsid w:val="00215284"/>
    <w:rsid w:val="0021531C"/>
    <w:rsid w:val="002153A7"/>
    <w:rsid w:val="0021552F"/>
    <w:rsid w:val="00215607"/>
    <w:rsid w:val="00215818"/>
    <w:rsid w:val="00215C7C"/>
    <w:rsid w:val="00215D95"/>
    <w:rsid w:val="00215DBA"/>
    <w:rsid w:val="00215F42"/>
    <w:rsid w:val="00215FC8"/>
    <w:rsid w:val="0021606D"/>
    <w:rsid w:val="002160E5"/>
    <w:rsid w:val="002162A5"/>
    <w:rsid w:val="002162BE"/>
    <w:rsid w:val="0021638E"/>
    <w:rsid w:val="00216539"/>
    <w:rsid w:val="00216640"/>
    <w:rsid w:val="00216810"/>
    <w:rsid w:val="002168A8"/>
    <w:rsid w:val="00216A43"/>
    <w:rsid w:val="00216AF5"/>
    <w:rsid w:val="00216B6A"/>
    <w:rsid w:val="00216D3D"/>
    <w:rsid w:val="00216D76"/>
    <w:rsid w:val="00216DC9"/>
    <w:rsid w:val="00216DF1"/>
    <w:rsid w:val="00216EE9"/>
    <w:rsid w:val="00216F3C"/>
    <w:rsid w:val="00216F88"/>
    <w:rsid w:val="00216FE5"/>
    <w:rsid w:val="00217116"/>
    <w:rsid w:val="0021747F"/>
    <w:rsid w:val="00217505"/>
    <w:rsid w:val="00217776"/>
    <w:rsid w:val="00217913"/>
    <w:rsid w:val="00217BE2"/>
    <w:rsid w:val="00217DE7"/>
    <w:rsid w:val="00217FD3"/>
    <w:rsid w:val="002201A7"/>
    <w:rsid w:val="00220263"/>
    <w:rsid w:val="0022040B"/>
    <w:rsid w:val="002204DF"/>
    <w:rsid w:val="0022053A"/>
    <w:rsid w:val="00220681"/>
    <w:rsid w:val="002207FB"/>
    <w:rsid w:val="0022093B"/>
    <w:rsid w:val="002209B8"/>
    <w:rsid w:val="002209C6"/>
    <w:rsid w:val="00220A8F"/>
    <w:rsid w:val="00220CF8"/>
    <w:rsid w:val="00220DB7"/>
    <w:rsid w:val="00221029"/>
    <w:rsid w:val="00221151"/>
    <w:rsid w:val="002211AA"/>
    <w:rsid w:val="0022137E"/>
    <w:rsid w:val="002213D3"/>
    <w:rsid w:val="00221A16"/>
    <w:rsid w:val="00221B87"/>
    <w:rsid w:val="00221D7D"/>
    <w:rsid w:val="00221DCE"/>
    <w:rsid w:val="00221E02"/>
    <w:rsid w:val="00222038"/>
    <w:rsid w:val="00222123"/>
    <w:rsid w:val="002221A1"/>
    <w:rsid w:val="002221AB"/>
    <w:rsid w:val="00222359"/>
    <w:rsid w:val="0022251D"/>
    <w:rsid w:val="002226A7"/>
    <w:rsid w:val="002226E4"/>
    <w:rsid w:val="00222703"/>
    <w:rsid w:val="002228A2"/>
    <w:rsid w:val="002228D8"/>
    <w:rsid w:val="00222920"/>
    <w:rsid w:val="002229BA"/>
    <w:rsid w:val="002229DD"/>
    <w:rsid w:val="00222B80"/>
    <w:rsid w:val="00222BC1"/>
    <w:rsid w:val="00222D04"/>
    <w:rsid w:val="00222F8E"/>
    <w:rsid w:val="00223428"/>
    <w:rsid w:val="00223641"/>
    <w:rsid w:val="00223A20"/>
    <w:rsid w:val="00223A40"/>
    <w:rsid w:val="00223AA7"/>
    <w:rsid w:val="00223CCA"/>
    <w:rsid w:val="00223D55"/>
    <w:rsid w:val="00223D93"/>
    <w:rsid w:val="00223E52"/>
    <w:rsid w:val="00223FD4"/>
    <w:rsid w:val="00224144"/>
    <w:rsid w:val="002242F6"/>
    <w:rsid w:val="002244AB"/>
    <w:rsid w:val="0022453C"/>
    <w:rsid w:val="00224597"/>
    <w:rsid w:val="002246BC"/>
    <w:rsid w:val="0022474B"/>
    <w:rsid w:val="00224778"/>
    <w:rsid w:val="002247F2"/>
    <w:rsid w:val="002248F6"/>
    <w:rsid w:val="00224905"/>
    <w:rsid w:val="00224A1B"/>
    <w:rsid w:val="00224A69"/>
    <w:rsid w:val="00224AF0"/>
    <w:rsid w:val="00224D9C"/>
    <w:rsid w:val="00224F87"/>
    <w:rsid w:val="00224FC6"/>
    <w:rsid w:val="002251A2"/>
    <w:rsid w:val="0022535C"/>
    <w:rsid w:val="002253C0"/>
    <w:rsid w:val="00225446"/>
    <w:rsid w:val="0022554C"/>
    <w:rsid w:val="00225626"/>
    <w:rsid w:val="002256A0"/>
    <w:rsid w:val="002258C9"/>
    <w:rsid w:val="00225B6F"/>
    <w:rsid w:val="00225C33"/>
    <w:rsid w:val="00225E31"/>
    <w:rsid w:val="0022637B"/>
    <w:rsid w:val="00226609"/>
    <w:rsid w:val="00226617"/>
    <w:rsid w:val="00226627"/>
    <w:rsid w:val="002269F7"/>
    <w:rsid w:val="002269FF"/>
    <w:rsid w:val="00226B1E"/>
    <w:rsid w:val="00226C16"/>
    <w:rsid w:val="00226EA9"/>
    <w:rsid w:val="00227354"/>
    <w:rsid w:val="002273E0"/>
    <w:rsid w:val="0022759B"/>
    <w:rsid w:val="0022763F"/>
    <w:rsid w:val="0022765A"/>
    <w:rsid w:val="00227749"/>
    <w:rsid w:val="002278E4"/>
    <w:rsid w:val="00227900"/>
    <w:rsid w:val="00227960"/>
    <w:rsid w:val="002279B0"/>
    <w:rsid w:val="00227A21"/>
    <w:rsid w:val="00227A99"/>
    <w:rsid w:val="00227B54"/>
    <w:rsid w:val="00227CC4"/>
    <w:rsid w:val="00227F20"/>
    <w:rsid w:val="00227F52"/>
    <w:rsid w:val="0023010B"/>
    <w:rsid w:val="002304C2"/>
    <w:rsid w:val="002305C4"/>
    <w:rsid w:val="00230600"/>
    <w:rsid w:val="00230668"/>
    <w:rsid w:val="0023089D"/>
    <w:rsid w:val="002309F5"/>
    <w:rsid w:val="00230B67"/>
    <w:rsid w:val="00230BBE"/>
    <w:rsid w:val="00230BCD"/>
    <w:rsid w:val="00230CF0"/>
    <w:rsid w:val="00230EDF"/>
    <w:rsid w:val="00230F0C"/>
    <w:rsid w:val="00230FF0"/>
    <w:rsid w:val="002314A9"/>
    <w:rsid w:val="002315C7"/>
    <w:rsid w:val="002315DA"/>
    <w:rsid w:val="0023181E"/>
    <w:rsid w:val="00231882"/>
    <w:rsid w:val="002318C6"/>
    <w:rsid w:val="002319D2"/>
    <w:rsid w:val="002319E5"/>
    <w:rsid w:val="00231ACB"/>
    <w:rsid w:val="00231ADC"/>
    <w:rsid w:val="00231BC9"/>
    <w:rsid w:val="00231BD7"/>
    <w:rsid w:val="00231C01"/>
    <w:rsid w:val="00231C4D"/>
    <w:rsid w:val="00231D27"/>
    <w:rsid w:val="00231EC8"/>
    <w:rsid w:val="0023208A"/>
    <w:rsid w:val="002321B8"/>
    <w:rsid w:val="0023222F"/>
    <w:rsid w:val="00232238"/>
    <w:rsid w:val="0023226F"/>
    <w:rsid w:val="002322A1"/>
    <w:rsid w:val="002323BE"/>
    <w:rsid w:val="0023247D"/>
    <w:rsid w:val="002324AB"/>
    <w:rsid w:val="002324FC"/>
    <w:rsid w:val="00232694"/>
    <w:rsid w:val="0023285A"/>
    <w:rsid w:val="00232888"/>
    <w:rsid w:val="00232981"/>
    <w:rsid w:val="002329AE"/>
    <w:rsid w:val="002329DF"/>
    <w:rsid w:val="00232A36"/>
    <w:rsid w:val="00232AE5"/>
    <w:rsid w:val="00232C48"/>
    <w:rsid w:val="00232EE3"/>
    <w:rsid w:val="002330D4"/>
    <w:rsid w:val="0023343F"/>
    <w:rsid w:val="0023345C"/>
    <w:rsid w:val="0023349A"/>
    <w:rsid w:val="002334E4"/>
    <w:rsid w:val="002334F3"/>
    <w:rsid w:val="0023366B"/>
    <w:rsid w:val="002336A9"/>
    <w:rsid w:val="0023374F"/>
    <w:rsid w:val="00233885"/>
    <w:rsid w:val="002338B8"/>
    <w:rsid w:val="00233A0D"/>
    <w:rsid w:val="00233A43"/>
    <w:rsid w:val="00233B85"/>
    <w:rsid w:val="00233BEC"/>
    <w:rsid w:val="00233C24"/>
    <w:rsid w:val="00233D5C"/>
    <w:rsid w:val="00233DF3"/>
    <w:rsid w:val="00233ED0"/>
    <w:rsid w:val="00234089"/>
    <w:rsid w:val="0023413E"/>
    <w:rsid w:val="002341E6"/>
    <w:rsid w:val="0023425C"/>
    <w:rsid w:val="002343E0"/>
    <w:rsid w:val="00234589"/>
    <w:rsid w:val="002345AE"/>
    <w:rsid w:val="00234683"/>
    <w:rsid w:val="002346DC"/>
    <w:rsid w:val="002346F3"/>
    <w:rsid w:val="00234767"/>
    <w:rsid w:val="00234786"/>
    <w:rsid w:val="00234CAB"/>
    <w:rsid w:val="00234E62"/>
    <w:rsid w:val="00234EAB"/>
    <w:rsid w:val="00234EFF"/>
    <w:rsid w:val="002352F1"/>
    <w:rsid w:val="00235541"/>
    <w:rsid w:val="002355BB"/>
    <w:rsid w:val="0023563F"/>
    <w:rsid w:val="002357FE"/>
    <w:rsid w:val="00235832"/>
    <w:rsid w:val="00235903"/>
    <w:rsid w:val="002359F3"/>
    <w:rsid w:val="00235BE0"/>
    <w:rsid w:val="00235FDB"/>
    <w:rsid w:val="00236212"/>
    <w:rsid w:val="0023635C"/>
    <w:rsid w:val="00236600"/>
    <w:rsid w:val="00236977"/>
    <w:rsid w:val="00236997"/>
    <w:rsid w:val="002369F1"/>
    <w:rsid w:val="00236A47"/>
    <w:rsid w:val="00236AD1"/>
    <w:rsid w:val="00236B11"/>
    <w:rsid w:val="00236B2F"/>
    <w:rsid w:val="00236C26"/>
    <w:rsid w:val="00236E14"/>
    <w:rsid w:val="00236E95"/>
    <w:rsid w:val="00236EAA"/>
    <w:rsid w:val="00236FD0"/>
    <w:rsid w:val="0023723D"/>
    <w:rsid w:val="002372CC"/>
    <w:rsid w:val="002373D1"/>
    <w:rsid w:val="0023752B"/>
    <w:rsid w:val="0023770F"/>
    <w:rsid w:val="002377AA"/>
    <w:rsid w:val="0023783F"/>
    <w:rsid w:val="002378A0"/>
    <w:rsid w:val="00237986"/>
    <w:rsid w:val="00237991"/>
    <w:rsid w:val="00237A68"/>
    <w:rsid w:val="00237B36"/>
    <w:rsid w:val="00237B8D"/>
    <w:rsid w:val="00237C40"/>
    <w:rsid w:val="00237C41"/>
    <w:rsid w:val="00237CA8"/>
    <w:rsid w:val="00240063"/>
    <w:rsid w:val="00240119"/>
    <w:rsid w:val="00240220"/>
    <w:rsid w:val="002402B4"/>
    <w:rsid w:val="00240301"/>
    <w:rsid w:val="002404A9"/>
    <w:rsid w:val="00240555"/>
    <w:rsid w:val="002407C5"/>
    <w:rsid w:val="0024082B"/>
    <w:rsid w:val="00240A76"/>
    <w:rsid w:val="00240CF4"/>
    <w:rsid w:val="00240D71"/>
    <w:rsid w:val="00240DC7"/>
    <w:rsid w:val="00240E86"/>
    <w:rsid w:val="0024107C"/>
    <w:rsid w:val="002412B8"/>
    <w:rsid w:val="002413E6"/>
    <w:rsid w:val="00241561"/>
    <w:rsid w:val="002415F7"/>
    <w:rsid w:val="0024162B"/>
    <w:rsid w:val="00241668"/>
    <w:rsid w:val="00241712"/>
    <w:rsid w:val="0024179E"/>
    <w:rsid w:val="00241A2C"/>
    <w:rsid w:val="00241A2D"/>
    <w:rsid w:val="00241B1D"/>
    <w:rsid w:val="00241C77"/>
    <w:rsid w:val="00241DF3"/>
    <w:rsid w:val="0024206C"/>
    <w:rsid w:val="00242079"/>
    <w:rsid w:val="0024215F"/>
    <w:rsid w:val="002421B2"/>
    <w:rsid w:val="00242350"/>
    <w:rsid w:val="00242354"/>
    <w:rsid w:val="002424A6"/>
    <w:rsid w:val="002424CB"/>
    <w:rsid w:val="0024262E"/>
    <w:rsid w:val="00242691"/>
    <w:rsid w:val="002426B4"/>
    <w:rsid w:val="00242815"/>
    <w:rsid w:val="0024288D"/>
    <w:rsid w:val="00242C0E"/>
    <w:rsid w:val="00242DAF"/>
    <w:rsid w:val="0024303E"/>
    <w:rsid w:val="0024312A"/>
    <w:rsid w:val="0024318E"/>
    <w:rsid w:val="002431AB"/>
    <w:rsid w:val="00243466"/>
    <w:rsid w:val="002434AD"/>
    <w:rsid w:val="002434FF"/>
    <w:rsid w:val="002435FA"/>
    <w:rsid w:val="002436FD"/>
    <w:rsid w:val="00243802"/>
    <w:rsid w:val="0024384F"/>
    <w:rsid w:val="00243A01"/>
    <w:rsid w:val="00243BB0"/>
    <w:rsid w:val="00243DA1"/>
    <w:rsid w:val="00243EC5"/>
    <w:rsid w:val="00243EE4"/>
    <w:rsid w:val="00244054"/>
    <w:rsid w:val="002440AD"/>
    <w:rsid w:val="00244287"/>
    <w:rsid w:val="002443AC"/>
    <w:rsid w:val="00244491"/>
    <w:rsid w:val="00244809"/>
    <w:rsid w:val="00244AC1"/>
    <w:rsid w:val="00244BB0"/>
    <w:rsid w:val="00244C71"/>
    <w:rsid w:val="00244D51"/>
    <w:rsid w:val="002451D6"/>
    <w:rsid w:val="00245221"/>
    <w:rsid w:val="0024533B"/>
    <w:rsid w:val="00245388"/>
    <w:rsid w:val="002453D8"/>
    <w:rsid w:val="00245D95"/>
    <w:rsid w:val="00246593"/>
    <w:rsid w:val="002465BE"/>
    <w:rsid w:val="00246645"/>
    <w:rsid w:val="002467D9"/>
    <w:rsid w:val="00246B42"/>
    <w:rsid w:val="00246D88"/>
    <w:rsid w:val="00246DD3"/>
    <w:rsid w:val="0024700D"/>
    <w:rsid w:val="002470FC"/>
    <w:rsid w:val="00247116"/>
    <w:rsid w:val="002474C8"/>
    <w:rsid w:val="00247693"/>
    <w:rsid w:val="00247768"/>
    <w:rsid w:val="002477FA"/>
    <w:rsid w:val="002477FF"/>
    <w:rsid w:val="00247902"/>
    <w:rsid w:val="00247BBF"/>
    <w:rsid w:val="00247BDC"/>
    <w:rsid w:val="00247D85"/>
    <w:rsid w:val="00247DD9"/>
    <w:rsid w:val="00247E88"/>
    <w:rsid w:val="00247F0A"/>
    <w:rsid w:val="00247F30"/>
    <w:rsid w:val="0025006D"/>
    <w:rsid w:val="00250101"/>
    <w:rsid w:val="002501AC"/>
    <w:rsid w:val="00250368"/>
    <w:rsid w:val="002503FE"/>
    <w:rsid w:val="002505B4"/>
    <w:rsid w:val="002509C4"/>
    <w:rsid w:val="00250A81"/>
    <w:rsid w:val="00250BB9"/>
    <w:rsid w:val="00250FA3"/>
    <w:rsid w:val="00251081"/>
    <w:rsid w:val="00251141"/>
    <w:rsid w:val="00251144"/>
    <w:rsid w:val="00251171"/>
    <w:rsid w:val="002511E7"/>
    <w:rsid w:val="002514E8"/>
    <w:rsid w:val="00251750"/>
    <w:rsid w:val="00251777"/>
    <w:rsid w:val="002517E0"/>
    <w:rsid w:val="002517EB"/>
    <w:rsid w:val="0025199D"/>
    <w:rsid w:val="00251A79"/>
    <w:rsid w:val="00251A91"/>
    <w:rsid w:val="00251C4E"/>
    <w:rsid w:val="00251C6D"/>
    <w:rsid w:val="00251D30"/>
    <w:rsid w:val="00251DEA"/>
    <w:rsid w:val="00251FB1"/>
    <w:rsid w:val="00251FE2"/>
    <w:rsid w:val="00252155"/>
    <w:rsid w:val="00252160"/>
    <w:rsid w:val="00252589"/>
    <w:rsid w:val="00252780"/>
    <w:rsid w:val="002527A4"/>
    <w:rsid w:val="002527FD"/>
    <w:rsid w:val="00252BC9"/>
    <w:rsid w:val="00252E10"/>
    <w:rsid w:val="0025300D"/>
    <w:rsid w:val="0025326D"/>
    <w:rsid w:val="002532F9"/>
    <w:rsid w:val="0025356C"/>
    <w:rsid w:val="002537A7"/>
    <w:rsid w:val="002537C4"/>
    <w:rsid w:val="00253A79"/>
    <w:rsid w:val="00253BA1"/>
    <w:rsid w:val="00253C8F"/>
    <w:rsid w:val="00253DAB"/>
    <w:rsid w:val="00253DC0"/>
    <w:rsid w:val="00253DC6"/>
    <w:rsid w:val="002543CE"/>
    <w:rsid w:val="00254598"/>
    <w:rsid w:val="0025463E"/>
    <w:rsid w:val="002546C9"/>
    <w:rsid w:val="00254947"/>
    <w:rsid w:val="00254B3B"/>
    <w:rsid w:val="00254CF0"/>
    <w:rsid w:val="00254D98"/>
    <w:rsid w:val="00254E17"/>
    <w:rsid w:val="00254E20"/>
    <w:rsid w:val="00254EDB"/>
    <w:rsid w:val="00254FC4"/>
    <w:rsid w:val="002551CB"/>
    <w:rsid w:val="00255221"/>
    <w:rsid w:val="00255326"/>
    <w:rsid w:val="0025555B"/>
    <w:rsid w:val="002555C5"/>
    <w:rsid w:val="00255693"/>
    <w:rsid w:val="00255E09"/>
    <w:rsid w:val="00255E59"/>
    <w:rsid w:val="00256011"/>
    <w:rsid w:val="00256057"/>
    <w:rsid w:val="002560C5"/>
    <w:rsid w:val="00256154"/>
    <w:rsid w:val="002561F0"/>
    <w:rsid w:val="0025623A"/>
    <w:rsid w:val="002562AF"/>
    <w:rsid w:val="00256307"/>
    <w:rsid w:val="0025636C"/>
    <w:rsid w:val="00256438"/>
    <w:rsid w:val="00256528"/>
    <w:rsid w:val="002565AA"/>
    <w:rsid w:val="002565C6"/>
    <w:rsid w:val="00256678"/>
    <w:rsid w:val="00256792"/>
    <w:rsid w:val="0025679B"/>
    <w:rsid w:val="0025694D"/>
    <w:rsid w:val="00256A14"/>
    <w:rsid w:val="00256AD9"/>
    <w:rsid w:val="00256B38"/>
    <w:rsid w:val="00256CB4"/>
    <w:rsid w:val="00256D4E"/>
    <w:rsid w:val="00256ED7"/>
    <w:rsid w:val="00256FBC"/>
    <w:rsid w:val="00257140"/>
    <w:rsid w:val="0025719E"/>
    <w:rsid w:val="0025749B"/>
    <w:rsid w:val="00257632"/>
    <w:rsid w:val="0025774E"/>
    <w:rsid w:val="00257857"/>
    <w:rsid w:val="002578FC"/>
    <w:rsid w:val="00257B0E"/>
    <w:rsid w:val="00257F66"/>
    <w:rsid w:val="0026003C"/>
    <w:rsid w:val="0026006A"/>
    <w:rsid w:val="00260118"/>
    <w:rsid w:val="00260182"/>
    <w:rsid w:val="00260260"/>
    <w:rsid w:val="002602CA"/>
    <w:rsid w:val="00260321"/>
    <w:rsid w:val="002603F1"/>
    <w:rsid w:val="00260503"/>
    <w:rsid w:val="00260547"/>
    <w:rsid w:val="00260583"/>
    <w:rsid w:val="00260679"/>
    <w:rsid w:val="00260834"/>
    <w:rsid w:val="00260850"/>
    <w:rsid w:val="00260A1F"/>
    <w:rsid w:val="00260AA2"/>
    <w:rsid w:val="00260BBD"/>
    <w:rsid w:val="00260C8D"/>
    <w:rsid w:val="00260D46"/>
    <w:rsid w:val="00260EB9"/>
    <w:rsid w:val="0026139D"/>
    <w:rsid w:val="00261595"/>
    <w:rsid w:val="00261705"/>
    <w:rsid w:val="002617DA"/>
    <w:rsid w:val="00261859"/>
    <w:rsid w:val="002618C5"/>
    <w:rsid w:val="00261916"/>
    <w:rsid w:val="00261A29"/>
    <w:rsid w:val="00261AAA"/>
    <w:rsid w:val="00261D3C"/>
    <w:rsid w:val="00261E4E"/>
    <w:rsid w:val="00261E7A"/>
    <w:rsid w:val="00261FB4"/>
    <w:rsid w:val="00261FE9"/>
    <w:rsid w:val="002622F8"/>
    <w:rsid w:val="00262304"/>
    <w:rsid w:val="002623BD"/>
    <w:rsid w:val="0026246B"/>
    <w:rsid w:val="00262503"/>
    <w:rsid w:val="002625F6"/>
    <w:rsid w:val="00262881"/>
    <w:rsid w:val="002628BB"/>
    <w:rsid w:val="002628F8"/>
    <w:rsid w:val="00262969"/>
    <w:rsid w:val="00262A3D"/>
    <w:rsid w:val="00262AD8"/>
    <w:rsid w:val="00262BC3"/>
    <w:rsid w:val="00262D8C"/>
    <w:rsid w:val="00262DE7"/>
    <w:rsid w:val="00262E9A"/>
    <w:rsid w:val="00263063"/>
    <w:rsid w:val="00263074"/>
    <w:rsid w:val="00263151"/>
    <w:rsid w:val="002631D5"/>
    <w:rsid w:val="00263330"/>
    <w:rsid w:val="00263400"/>
    <w:rsid w:val="002635B6"/>
    <w:rsid w:val="00263803"/>
    <w:rsid w:val="00263868"/>
    <w:rsid w:val="002638AF"/>
    <w:rsid w:val="00263B22"/>
    <w:rsid w:val="00263B95"/>
    <w:rsid w:val="00263D54"/>
    <w:rsid w:val="00263DA2"/>
    <w:rsid w:val="00263EC4"/>
    <w:rsid w:val="0026415E"/>
    <w:rsid w:val="00264244"/>
    <w:rsid w:val="0026424D"/>
    <w:rsid w:val="002643CD"/>
    <w:rsid w:val="002643E0"/>
    <w:rsid w:val="00264441"/>
    <w:rsid w:val="00264590"/>
    <w:rsid w:val="00264611"/>
    <w:rsid w:val="00264747"/>
    <w:rsid w:val="0026486F"/>
    <w:rsid w:val="00264883"/>
    <w:rsid w:val="00264904"/>
    <w:rsid w:val="0026496E"/>
    <w:rsid w:val="00264B7A"/>
    <w:rsid w:val="002650AC"/>
    <w:rsid w:val="002653C0"/>
    <w:rsid w:val="002654AF"/>
    <w:rsid w:val="00265555"/>
    <w:rsid w:val="002655C5"/>
    <w:rsid w:val="0026565F"/>
    <w:rsid w:val="0026573F"/>
    <w:rsid w:val="00265B01"/>
    <w:rsid w:val="00265C72"/>
    <w:rsid w:val="00265C77"/>
    <w:rsid w:val="00265CD6"/>
    <w:rsid w:val="00265D22"/>
    <w:rsid w:val="00265D97"/>
    <w:rsid w:val="00265E7B"/>
    <w:rsid w:val="00265F45"/>
    <w:rsid w:val="00265F97"/>
    <w:rsid w:val="00266129"/>
    <w:rsid w:val="00266195"/>
    <w:rsid w:val="00266253"/>
    <w:rsid w:val="002663CE"/>
    <w:rsid w:val="0026641D"/>
    <w:rsid w:val="00266589"/>
    <w:rsid w:val="002667E3"/>
    <w:rsid w:val="002667ED"/>
    <w:rsid w:val="002668E0"/>
    <w:rsid w:val="00266986"/>
    <w:rsid w:val="002669F2"/>
    <w:rsid w:val="00266B26"/>
    <w:rsid w:val="00266B46"/>
    <w:rsid w:val="00266BCA"/>
    <w:rsid w:val="00266E47"/>
    <w:rsid w:val="00266E57"/>
    <w:rsid w:val="00266F13"/>
    <w:rsid w:val="00266FC5"/>
    <w:rsid w:val="002671BE"/>
    <w:rsid w:val="00267503"/>
    <w:rsid w:val="0026754F"/>
    <w:rsid w:val="002675A0"/>
    <w:rsid w:val="002676A1"/>
    <w:rsid w:val="00267750"/>
    <w:rsid w:val="002678C2"/>
    <w:rsid w:val="00267A23"/>
    <w:rsid w:val="00267B04"/>
    <w:rsid w:val="00267C0F"/>
    <w:rsid w:val="00267CF2"/>
    <w:rsid w:val="00267E76"/>
    <w:rsid w:val="002701C1"/>
    <w:rsid w:val="00270270"/>
    <w:rsid w:val="0027065D"/>
    <w:rsid w:val="002706E0"/>
    <w:rsid w:val="002707C3"/>
    <w:rsid w:val="00270852"/>
    <w:rsid w:val="002708FD"/>
    <w:rsid w:val="0027097E"/>
    <w:rsid w:val="00270AED"/>
    <w:rsid w:val="00270CC6"/>
    <w:rsid w:val="00270D90"/>
    <w:rsid w:val="00271144"/>
    <w:rsid w:val="0027123C"/>
    <w:rsid w:val="00271363"/>
    <w:rsid w:val="00271431"/>
    <w:rsid w:val="0027146E"/>
    <w:rsid w:val="002714F6"/>
    <w:rsid w:val="0027158D"/>
    <w:rsid w:val="002717BB"/>
    <w:rsid w:val="002718A8"/>
    <w:rsid w:val="00271A8A"/>
    <w:rsid w:val="00271AC4"/>
    <w:rsid w:val="00271C26"/>
    <w:rsid w:val="00271CDC"/>
    <w:rsid w:val="00271E52"/>
    <w:rsid w:val="00272076"/>
    <w:rsid w:val="002720F6"/>
    <w:rsid w:val="0027215B"/>
    <w:rsid w:val="00272409"/>
    <w:rsid w:val="0027252F"/>
    <w:rsid w:val="0027287C"/>
    <w:rsid w:val="00272910"/>
    <w:rsid w:val="00272AC4"/>
    <w:rsid w:val="00272CC7"/>
    <w:rsid w:val="00272CC8"/>
    <w:rsid w:val="00272D09"/>
    <w:rsid w:val="00272D25"/>
    <w:rsid w:val="00272DD7"/>
    <w:rsid w:val="00272FAA"/>
    <w:rsid w:val="002730F0"/>
    <w:rsid w:val="00273145"/>
    <w:rsid w:val="00273378"/>
    <w:rsid w:val="00273495"/>
    <w:rsid w:val="00273528"/>
    <w:rsid w:val="002735EB"/>
    <w:rsid w:val="00273631"/>
    <w:rsid w:val="0027382C"/>
    <w:rsid w:val="002738B6"/>
    <w:rsid w:val="002738D6"/>
    <w:rsid w:val="00273957"/>
    <w:rsid w:val="00273E10"/>
    <w:rsid w:val="00273EE2"/>
    <w:rsid w:val="00273F16"/>
    <w:rsid w:val="002740DA"/>
    <w:rsid w:val="002744B0"/>
    <w:rsid w:val="002744CB"/>
    <w:rsid w:val="00274510"/>
    <w:rsid w:val="00274A4E"/>
    <w:rsid w:val="00274ADC"/>
    <w:rsid w:val="00274C71"/>
    <w:rsid w:val="00274C8B"/>
    <w:rsid w:val="00274CE5"/>
    <w:rsid w:val="00274D19"/>
    <w:rsid w:val="00274DCA"/>
    <w:rsid w:val="00274FC5"/>
    <w:rsid w:val="0027507B"/>
    <w:rsid w:val="0027518C"/>
    <w:rsid w:val="0027526C"/>
    <w:rsid w:val="00275291"/>
    <w:rsid w:val="002754D3"/>
    <w:rsid w:val="002756A6"/>
    <w:rsid w:val="002757DF"/>
    <w:rsid w:val="002758B1"/>
    <w:rsid w:val="00276086"/>
    <w:rsid w:val="002761A4"/>
    <w:rsid w:val="002761FD"/>
    <w:rsid w:val="0027629B"/>
    <w:rsid w:val="0027656B"/>
    <w:rsid w:val="002766C0"/>
    <w:rsid w:val="002766C3"/>
    <w:rsid w:val="00276762"/>
    <w:rsid w:val="0027677A"/>
    <w:rsid w:val="00276800"/>
    <w:rsid w:val="0027680C"/>
    <w:rsid w:val="002768C7"/>
    <w:rsid w:val="00276950"/>
    <w:rsid w:val="00276978"/>
    <w:rsid w:val="00276B15"/>
    <w:rsid w:val="00276B85"/>
    <w:rsid w:val="00276E62"/>
    <w:rsid w:val="00276F0E"/>
    <w:rsid w:val="00276FD0"/>
    <w:rsid w:val="00277064"/>
    <w:rsid w:val="002770BB"/>
    <w:rsid w:val="00277138"/>
    <w:rsid w:val="00277216"/>
    <w:rsid w:val="00277535"/>
    <w:rsid w:val="0027765F"/>
    <w:rsid w:val="00277666"/>
    <w:rsid w:val="00277676"/>
    <w:rsid w:val="00277700"/>
    <w:rsid w:val="0027796F"/>
    <w:rsid w:val="00277971"/>
    <w:rsid w:val="00277AAD"/>
    <w:rsid w:val="00277B84"/>
    <w:rsid w:val="00277C5B"/>
    <w:rsid w:val="00277CB7"/>
    <w:rsid w:val="00277E15"/>
    <w:rsid w:val="00277FF9"/>
    <w:rsid w:val="00280009"/>
    <w:rsid w:val="00280037"/>
    <w:rsid w:val="0028009A"/>
    <w:rsid w:val="0028023E"/>
    <w:rsid w:val="00280517"/>
    <w:rsid w:val="002805AA"/>
    <w:rsid w:val="00280607"/>
    <w:rsid w:val="002807B9"/>
    <w:rsid w:val="00280AB2"/>
    <w:rsid w:val="00280AB8"/>
    <w:rsid w:val="00280D9D"/>
    <w:rsid w:val="00280F35"/>
    <w:rsid w:val="00280F8A"/>
    <w:rsid w:val="00280FEC"/>
    <w:rsid w:val="002810C9"/>
    <w:rsid w:val="002811F5"/>
    <w:rsid w:val="00281309"/>
    <w:rsid w:val="00281510"/>
    <w:rsid w:val="0028153D"/>
    <w:rsid w:val="00281675"/>
    <w:rsid w:val="002816D6"/>
    <w:rsid w:val="00281A3A"/>
    <w:rsid w:val="00281A61"/>
    <w:rsid w:val="00281CDB"/>
    <w:rsid w:val="00281CEF"/>
    <w:rsid w:val="00281DF2"/>
    <w:rsid w:val="00281E81"/>
    <w:rsid w:val="00281E88"/>
    <w:rsid w:val="00281EC3"/>
    <w:rsid w:val="00282146"/>
    <w:rsid w:val="00282441"/>
    <w:rsid w:val="002826BA"/>
    <w:rsid w:val="00282762"/>
    <w:rsid w:val="00282826"/>
    <w:rsid w:val="002829E6"/>
    <w:rsid w:val="00282B07"/>
    <w:rsid w:val="00282F97"/>
    <w:rsid w:val="00283003"/>
    <w:rsid w:val="0028309D"/>
    <w:rsid w:val="002830A1"/>
    <w:rsid w:val="002830EA"/>
    <w:rsid w:val="002832C0"/>
    <w:rsid w:val="002832F2"/>
    <w:rsid w:val="00283312"/>
    <w:rsid w:val="002834CB"/>
    <w:rsid w:val="00283752"/>
    <w:rsid w:val="002837F4"/>
    <w:rsid w:val="00283A1F"/>
    <w:rsid w:val="00283DE0"/>
    <w:rsid w:val="00283E95"/>
    <w:rsid w:val="00283F79"/>
    <w:rsid w:val="00284054"/>
    <w:rsid w:val="002840FA"/>
    <w:rsid w:val="0028423D"/>
    <w:rsid w:val="00284379"/>
    <w:rsid w:val="002843EB"/>
    <w:rsid w:val="002845A7"/>
    <w:rsid w:val="002845C4"/>
    <w:rsid w:val="00284650"/>
    <w:rsid w:val="00284686"/>
    <w:rsid w:val="002847E6"/>
    <w:rsid w:val="00284AA1"/>
    <w:rsid w:val="00284BB6"/>
    <w:rsid w:val="00284C0A"/>
    <w:rsid w:val="00284FD6"/>
    <w:rsid w:val="002852E9"/>
    <w:rsid w:val="002853CB"/>
    <w:rsid w:val="00285534"/>
    <w:rsid w:val="002855D6"/>
    <w:rsid w:val="002855DF"/>
    <w:rsid w:val="00285749"/>
    <w:rsid w:val="00285A01"/>
    <w:rsid w:val="00285AAE"/>
    <w:rsid w:val="00285C88"/>
    <w:rsid w:val="00285CB7"/>
    <w:rsid w:val="002862E6"/>
    <w:rsid w:val="002863BF"/>
    <w:rsid w:val="002863D2"/>
    <w:rsid w:val="002863F2"/>
    <w:rsid w:val="00286435"/>
    <w:rsid w:val="002864F5"/>
    <w:rsid w:val="00286504"/>
    <w:rsid w:val="00286530"/>
    <w:rsid w:val="00286722"/>
    <w:rsid w:val="002868AF"/>
    <w:rsid w:val="00286CD3"/>
    <w:rsid w:val="00286D82"/>
    <w:rsid w:val="00286DFD"/>
    <w:rsid w:val="00287073"/>
    <w:rsid w:val="00287124"/>
    <w:rsid w:val="00287238"/>
    <w:rsid w:val="00287313"/>
    <w:rsid w:val="00287582"/>
    <w:rsid w:val="00287795"/>
    <w:rsid w:val="00287868"/>
    <w:rsid w:val="0028792B"/>
    <w:rsid w:val="00287C25"/>
    <w:rsid w:val="00287DEE"/>
    <w:rsid w:val="00290203"/>
    <w:rsid w:val="0029040F"/>
    <w:rsid w:val="0029042E"/>
    <w:rsid w:val="0029043F"/>
    <w:rsid w:val="00290532"/>
    <w:rsid w:val="002908EE"/>
    <w:rsid w:val="00290C39"/>
    <w:rsid w:val="00291096"/>
    <w:rsid w:val="00291101"/>
    <w:rsid w:val="002912E0"/>
    <w:rsid w:val="00291454"/>
    <w:rsid w:val="0029153F"/>
    <w:rsid w:val="002916AA"/>
    <w:rsid w:val="00291710"/>
    <w:rsid w:val="002918AA"/>
    <w:rsid w:val="002918B1"/>
    <w:rsid w:val="002918E9"/>
    <w:rsid w:val="00291987"/>
    <w:rsid w:val="00291A2D"/>
    <w:rsid w:val="00291BF5"/>
    <w:rsid w:val="00291CD4"/>
    <w:rsid w:val="00291D0A"/>
    <w:rsid w:val="00291D86"/>
    <w:rsid w:val="00291DF3"/>
    <w:rsid w:val="00291E0D"/>
    <w:rsid w:val="00291ECE"/>
    <w:rsid w:val="00291F10"/>
    <w:rsid w:val="002921BA"/>
    <w:rsid w:val="002923EA"/>
    <w:rsid w:val="00292442"/>
    <w:rsid w:val="0029248E"/>
    <w:rsid w:val="00292629"/>
    <w:rsid w:val="002926B4"/>
    <w:rsid w:val="0029272B"/>
    <w:rsid w:val="002927F1"/>
    <w:rsid w:val="002928C5"/>
    <w:rsid w:val="0029290C"/>
    <w:rsid w:val="0029295C"/>
    <w:rsid w:val="00292966"/>
    <w:rsid w:val="002929A2"/>
    <w:rsid w:val="00292A5C"/>
    <w:rsid w:val="00292BFB"/>
    <w:rsid w:val="00292BFC"/>
    <w:rsid w:val="00292C7F"/>
    <w:rsid w:val="00292E17"/>
    <w:rsid w:val="00292E46"/>
    <w:rsid w:val="002932BE"/>
    <w:rsid w:val="00293551"/>
    <w:rsid w:val="002935E5"/>
    <w:rsid w:val="0029370B"/>
    <w:rsid w:val="002937A0"/>
    <w:rsid w:val="00293915"/>
    <w:rsid w:val="00293990"/>
    <w:rsid w:val="002939BB"/>
    <w:rsid w:val="00293AAC"/>
    <w:rsid w:val="00293B3B"/>
    <w:rsid w:val="00293BDC"/>
    <w:rsid w:val="00293E4A"/>
    <w:rsid w:val="00293ED7"/>
    <w:rsid w:val="0029401A"/>
    <w:rsid w:val="0029403D"/>
    <w:rsid w:val="002941C3"/>
    <w:rsid w:val="002941DC"/>
    <w:rsid w:val="00294321"/>
    <w:rsid w:val="0029450B"/>
    <w:rsid w:val="0029456A"/>
    <w:rsid w:val="002946FB"/>
    <w:rsid w:val="00294796"/>
    <w:rsid w:val="002947B3"/>
    <w:rsid w:val="002947EB"/>
    <w:rsid w:val="00294A8F"/>
    <w:rsid w:val="00294B84"/>
    <w:rsid w:val="00294C2B"/>
    <w:rsid w:val="00294FB8"/>
    <w:rsid w:val="00295288"/>
    <w:rsid w:val="002953E0"/>
    <w:rsid w:val="002953EE"/>
    <w:rsid w:val="002955D4"/>
    <w:rsid w:val="0029576B"/>
    <w:rsid w:val="002959FF"/>
    <w:rsid w:val="00295AE7"/>
    <w:rsid w:val="00295C83"/>
    <w:rsid w:val="00295D12"/>
    <w:rsid w:val="00295DC1"/>
    <w:rsid w:val="00295EC4"/>
    <w:rsid w:val="002960B7"/>
    <w:rsid w:val="00296194"/>
    <w:rsid w:val="00296195"/>
    <w:rsid w:val="002961B0"/>
    <w:rsid w:val="002962B7"/>
    <w:rsid w:val="00296571"/>
    <w:rsid w:val="00296833"/>
    <w:rsid w:val="00296888"/>
    <w:rsid w:val="0029692A"/>
    <w:rsid w:val="00296A72"/>
    <w:rsid w:val="00296AA0"/>
    <w:rsid w:val="00296BCF"/>
    <w:rsid w:val="00296C8F"/>
    <w:rsid w:val="00296D4B"/>
    <w:rsid w:val="00296E5B"/>
    <w:rsid w:val="00296F02"/>
    <w:rsid w:val="00296F83"/>
    <w:rsid w:val="00297025"/>
    <w:rsid w:val="00297165"/>
    <w:rsid w:val="002974E3"/>
    <w:rsid w:val="002975E1"/>
    <w:rsid w:val="00297678"/>
    <w:rsid w:val="0029767B"/>
    <w:rsid w:val="00297745"/>
    <w:rsid w:val="0029777B"/>
    <w:rsid w:val="00297788"/>
    <w:rsid w:val="002977AC"/>
    <w:rsid w:val="002978C2"/>
    <w:rsid w:val="0029795E"/>
    <w:rsid w:val="002979CB"/>
    <w:rsid w:val="002979EA"/>
    <w:rsid w:val="00297C0C"/>
    <w:rsid w:val="00297C69"/>
    <w:rsid w:val="00297C74"/>
    <w:rsid w:val="00297EDB"/>
    <w:rsid w:val="00297FD8"/>
    <w:rsid w:val="002A0198"/>
    <w:rsid w:val="002A01E0"/>
    <w:rsid w:val="002A0243"/>
    <w:rsid w:val="002A0342"/>
    <w:rsid w:val="002A043D"/>
    <w:rsid w:val="002A05F7"/>
    <w:rsid w:val="002A06EC"/>
    <w:rsid w:val="002A07EA"/>
    <w:rsid w:val="002A0A93"/>
    <w:rsid w:val="002A0BDD"/>
    <w:rsid w:val="002A0CA4"/>
    <w:rsid w:val="002A10CF"/>
    <w:rsid w:val="002A11C0"/>
    <w:rsid w:val="002A1299"/>
    <w:rsid w:val="002A1352"/>
    <w:rsid w:val="002A13B4"/>
    <w:rsid w:val="002A14B6"/>
    <w:rsid w:val="002A1543"/>
    <w:rsid w:val="002A156A"/>
    <w:rsid w:val="002A173B"/>
    <w:rsid w:val="002A17FB"/>
    <w:rsid w:val="002A1972"/>
    <w:rsid w:val="002A1C07"/>
    <w:rsid w:val="002A1D38"/>
    <w:rsid w:val="002A1E07"/>
    <w:rsid w:val="002A1E45"/>
    <w:rsid w:val="002A1E98"/>
    <w:rsid w:val="002A1EA0"/>
    <w:rsid w:val="002A203F"/>
    <w:rsid w:val="002A21B0"/>
    <w:rsid w:val="002A21DA"/>
    <w:rsid w:val="002A220F"/>
    <w:rsid w:val="002A2234"/>
    <w:rsid w:val="002A225B"/>
    <w:rsid w:val="002A229A"/>
    <w:rsid w:val="002A23A8"/>
    <w:rsid w:val="002A2487"/>
    <w:rsid w:val="002A288C"/>
    <w:rsid w:val="002A2AEA"/>
    <w:rsid w:val="002A2BA0"/>
    <w:rsid w:val="002A2DD1"/>
    <w:rsid w:val="002A2E4B"/>
    <w:rsid w:val="002A2E5F"/>
    <w:rsid w:val="002A3062"/>
    <w:rsid w:val="002A3094"/>
    <w:rsid w:val="002A31A1"/>
    <w:rsid w:val="002A32B9"/>
    <w:rsid w:val="002A3329"/>
    <w:rsid w:val="002A33D0"/>
    <w:rsid w:val="002A3563"/>
    <w:rsid w:val="002A36B5"/>
    <w:rsid w:val="002A3904"/>
    <w:rsid w:val="002A3A0F"/>
    <w:rsid w:val="002A3BCC"/>
    <w:rsid w:val="002A3CA0"/>
    <w:rsid w:val="002A407C"/>
    <w:rsid w:val="002A40AC"/>
    <w:rsid w:val="002A44C2"/>
    <w:rsid w:val="002A4685"/>
    <w:rsid w:val="002A47E9"/>
    <w:rsid w:val="002A4A8B"/>
    <w:rsid w:val="002A4D42"/>
    <w:rsid w:val="002A4E04"/>
    <w:rsid w:val="002A4E6F"/>
    <w:rsid w:val="002A4ED9"/>
    <w:rsid w:val="002A52D2"/>
    <w:rsid w:val="002A54F7"/>
    <w:rsid w:val="002A5680"/>
    <w:rsid w:val="002A5784"/>
    <w:rsid w:val="002A57F2"/>
    <w:rsid w:val="002A5B53"/>
    <w:rsid w:val="002A5BC1"/>
    <w:rsid w:val="002A5D67"/>
    <w:rsid w:val="002A5E05"/>
    <w:rsid w:val="002A5E28"/>
    <w:rsid w:val="002A5EB9"/>
    <w:rsid w:val="002A5F1C"/>
    <w:rsid w:val="002A5F9E"/>
    <w:rsid w:val="002A62A9"/>
    <w:rsid w:val="002A6305"/>
    <w:rsid w:val="002A67A3"/>
    <w:rsid w:val="002A67B4"/>
    <w:rsid w:val="002A68C5"/>
    <w:rsid w:val="002A6920"/>
    <w:rsid w:val="002A6A04"/>
    <w:rsid w:val="002A6C2C"/>
    <w:rsid w:val="002A6C8B"/>
    <w:rsid w:val="002A6CB1"/>
    <w:rsid w:val="002A6DDF"/>
    <w:rsid w:val="002A72E1"/>
    <w:rsid w:val="002A741F"/>
    <w:rsid w:val="002A744A"/>
    <w:rsid w:val="002A7536"/>
    <w:rsid w:val="002A7568"/>
    <w:rsid w:val="002A774A"/>
    <w:rsid w:val="002A7753"/>
    <w:rsid w:val="002A784E"/>
    <w:rsid w:val="002A7AB3"/>
    <w:rsid w:val="002A7BE8"/>
    <w:rsid w:val="002A7CD0"/>
    <w:rsid w:val="002A7D5A"/>
    <w:rsid w:val="002A7E27"/>
    <w:rsid w:val="002A7F2F"/>
    <w:rsid w:val="002A7F97"/>
    <w:rsid w:val="002B005C"/>
    <w:rsid w:val="002B0283"/>
    <w:rsid w:val="002B039C"/>
    <w:rsid w:val="002B05AF"/>
    <w:rsid w:val="002B071F"/>
    <w:rsid w:val="002B07A0"/>
    <w:rsid w:val="002B097C"/>
    <w:rsid w:val="002B09D8"/>
    <w:rsid w:val="002B0AC6"/>
    <w:rsid w:val="002B0B39"/>
    <w:rsid w:val="002B0E6F"/>
    <w:rsid w:val="002B0F81"/>
    <w:rsid w:val="002B103A"/>
    <w:rsid w:val="002B10D3"/>
    <w:rsid w:val="002B128B"/>
    <w:rsid w:val="002B1291"/>
    <w:rsid w:val="002B129D"/>
    <w:rsid w:val="002B1399"/>
    <w:rsid w:val="002B13B4"/>
    <w:rsid w:val="002B13E4"/>
    <w:rsid w:val="002B15E7"/>
    <w:rsid w:val="002B168F"/>
    <w:rsid w:val="002B1701"/>
    <w:rsid w:val="002B1920"/>
    <w:rsid w:val="002B19AC"/>
    <w:rsid w:val="002B1A34"/>
    <w:rsid w:val="002B1AAE"/>
    <w:rsid w:val="002B1DB4"/>
    <w:rsid w:val="002B1EAF"/>
    <w:rsid w:val="002B2248"/>
    <w:rsid w:val="002B2269"/>
    <w:rsid w:val="002B2413"/>
    <w:rsid w:val="002B24E3"/>
    <w:rsid w:val="002B259B"/>
    <w:rsid w:val="002B26BD"/>
    <w:rsid w:val="002B2755"/>
    <w:rsid w:val="002B29AE"/>
    <w:rsid w:val="002B2A51"/>
    <w:rsid w:val="002B2ACE"/>
    <w:rsid w:val="002B2CA7"/>
    <w:rsid w:val="002B2DA5"/>
    <w:rsid w:val="002B2F47"/>
    <w:rsid w:val="002B2FBA"/>
    <w:rsid w:val="002B306F"/>
    <w:rsid w:val="002B31E8"/>
    <w:rsid w:val="002B3222"/>
    <w:rsid w:val="002B34CF"/>
    <w:rsid w:val="002B3839"/>
    <w:rsid w:val="002B3ACF"/>
    <w:rsid w:val="002B3C60"/>
    <w:rsid w:val="002B3CEA"/>
    <w:rsid w:val="002B3D7B"/>
    <w:rsid w:val="002B3DAF"/>
    <w:rsid w:val="002B3DD6"/>
    <w:rsid w:val="002B40EB"/>
    <w:rsid w:val="002B40F7"/>
    <w:rsid w:val="002B434D"/>
    <w:rsid w:val="002B436D"/>
    <w:rsid w:val="002B439D"/>
    <w:rsid w:val="002B44C4"/>
    <w:rsid w:val="002B44F0"/>
    <w:rsid w:val="002B4509"/>
    <w:rsid w:val="002B4644"/>
    <w:rsid w:val="002B46AD"/>
    <w:rsid w:val="002B473E"/>
    <w:rsid w:val="002B476C"/>
    <w:rsid w:val="002B486A"/>
    <w:rsid w:val="002B48C4"/>
    <w:rsid w:val="002B4927"/>
    <w:rsid w:val="002B49AE"/>
    <w:rsid w:val="002B4AB1"/>
    <w:rsid w:val="002B4C04"/>
    <w:rsid w:val="002B4CAA"/>
    <w:rsid w:val="002B4F80"/>
    <w:rsid w:val="002B5004"/>
    <w:rsid w:val="002B5027"/>
    <w:rsid w:val="002B504D"/>
    <w:rsid w:val="002B516D"/>
    <w:rsid w:val="002B517F"/>
    <w:rsid w:val="002B51B9"/>
    <w:rsid w:val="002B530B"/>
    <w:rsid w:val="002B5388"/>
    <w:rsid w:val="002B53DD"/>
    <w:rsid w:val="002B53FC"/>
    <w:rsid w:val="002B54B6"/>
    <w:rsid w:val="002B558A"/>
    <w:rsid w:val="002B5647"/>
    <w:rsid w:val="002B5A88"/>
    <w:rsid w:val="002B5B31"/>
    <w:rsid w:val="002B5B47"/>
    <w:rsid w:val="002B5BBA"/>
    <w:rsid w:val="002B5D51"/>
    <w:rsid w:val="002B5E46"/>
    <w:rsid w:val="002B5F5C"/>
    <w:rsid w:val="002B63E9"/>
    <w:rsid w:val="002B65A2"/>
    <w:rsid w:val="002B66C8"/>
    <w:rsid w:val="002B67F7"/>
    <w:rsid w:val="002B682E"/>
    <w:rsid w:val="002B6A7C"/>
    <w:rsid w:val="002B6F82"/>
    <w:rsid w:val="002B6FD8"/>
    <w:rsid w:val="002B6FFB"/>
    <w:rsid w:val="002B708E"/>
    <w:rsid w:val="002B70F8"/>
    <w:rsid w:val="002B7173"/>
    <w:rsid w:val="002B7205"/>
    <w:rsid w:val="002B7212"/>
    <w:rsid w:val="002B7374"/>
    <w:rsid w:val="002B745C"/>
    <w:rsid w:val="002B7645"/>
    <w:rsid w:val="002B7793"/>
    <w:rsid w:val="002B7802"/>
    <w:rsid w:val="002B7817"/>
    <w:rsid w:val="002B78F9"/>
    <w:rsid w:val="002B7996"/>
    <w:rsid w:val="002B7AB5"/>
    <w:rsid w:val="002B7B2E"/>
    <w:rsid w:val="002B7BE9"/>
    <w:rsid w:val="002B7C84"/>
    <w:rsid w:val="002B7D9E"/>
    <w:rsid w:val="002B7EE6"/>
    <w:rsid w:val="002C0058"/>
    <w:rsid w:val="002C00A4"/>
    <w:rsid w:val="002C01C5"/>
    <w:rsid w:val="002C0279"/>
    <w:rsid w:val="002C0333"/>
    <w:rsid w:val="002C034E"/>
    <w:rsid w:val="002C03CE"/>
    <w:rsid w:val="002C0422"/>
    <w:rsid w:val="002C0AEB"/>
    <w:rsid w:val="002C0B94"/>
    <w:rsid w:val="002C0C41"/>
    <w:rsid w:val="002C0CEE"/>
    <w:rsid w:val="002C0E8A"/>
    <w:rsid w:val="002C1050"/>
    <w:rsid w:val="002C1177"/>
    <w:rsid w:val="002C1357"/>
    <w:rsid w:val="002C14E0"/>
    <w:rsid w:val="002C18A3"/>
    <w:rsid w:val="002C19D6"/>
    <w:rsid w:val="002C1AB2"/>
    <w:rsid w:val="002C1AC8"/>
    <w:rsid w:val="002C1ACA"/>
    <w:rsid w:val="002C1C31"/>
    <w:rsid w:val="002C1E5C"/>
    <w:rsid w:val="002C1F53"/>
    <w:rsid w:val="002C1F54"/>
    <w:rsid w:val="002C2021"/>
    <w:rsid w:val="002C2102"/>
    <w:rsid w:val="002C23FB"/>
    <w:rsid w:val="002C2531"/>
    <w:rsid w:val="002C259B"/>
    <w:rsid w:val="002C26A8"/>
    <w:rsid w:val="002C2783"/>
    <w:rsid w:val="002C27B7"/>
    <w:rsid w:val="002C28E2"/>
    <w:rsid w:val="002C28F4"/>
    <w:rsid w:val="002C28FA"/>
    <w:rsid w:val="002C2A37"/>
    <w:rsid w:val="002C2D23"/>
    <w:rsid w:val="002C2D71"/>
    <w:rsid w:val="002C2ED1"/>
    <w:rsid w:val="002C2EE2"/>
    <w:rsid w:val="002C3058"/>
    <w:rsid w:val="002C3096"/>
    <w:rsid w:val="002C3417"/>
    <w:rsid w:val="002C343C"/>
    <w:rsid w:val="002C3544"/>
    <w:rsid w:val="002C380D"/>
    <w:rsid w:val="002C38D3"/>
    <w:rsid w:val="002C3933"/>
    <w:rsid w:val="002C39DE"/>
    <w:rsid w:val="002C3A7E"/>
    <w:rsid w:val="002C3A9F"/>
    <w:rsid w:val="002C3BA6"/>
    <w:rsid w:val="002C3DE3"/>
    <w:rsid w:val="002C3E58"/>
    <w:rsid w:val="002C3F9E"/>
    <w:rsid w:val="002C4082"/>
    <w:rsid w:val="002C41DB"/>
    <w:rsid w:val="002C41FA"/>
    <w:rsid w:val="002C43C8"/>
    <w:rsid w:val="002C43E6"/>
    <w:rsid w:val="002C445D"/>
    <w:rsid w:val="002C452B"/>
    <w:rsid w:val="002C469A"/>
    <w:rsid w:val="002C4951"/>
    <w:rsid w:val="002C4983"/>
    <w:rsid w:val="002C4A9C"/>
    <w:rsid w:val="002C4CFE"/>
    <w:rsid w:val="002C4DD1"/>
    <w:rsid w:val="002C4DD7"/>
    <w:rsid w:val="002C4F32"/>
    <w:rsid w:val="002C4FC8"/>
    <w:rsid w:val="002C5119"/>
    <w:rsid w:val="002C51EA"/>
    <w:rsid w:val="002C51EF"/>
    <w:rsid w:val="002C5230"/>
    <w:rsid w:val="002C52A7"/>
    <w:rsid w:val="002C533A"/>
    <w:rsid w:val="002C5647"/>
    <w:rsid w:val="002C5759"/>
    <w:rsid w:val="002C5787"/>
    <w:rsid w:val="002C5A79"/>
    <w:rsid w:val="002C5CBE"/>
    <w:rsid w:val="002C5DD2"/>
    <w:rsid w:val="002C5DDD"/>
    <w:rsid w:val="002C61AB"/>
    <w:rsid w:val="002C61B6"/>
    <w:rsid w:val="002C61E2"/>
    <w:rsid w:val="002C62D6"/>
    <w:rsid w:val="002C657A"/>
    <w:rsid w:val="002C659B"/>
    <w:rsid w:val="002C671A"/>
    <w:rsid w:val="002C6767"/>
    <w:rsid w:val="002C6925"/>
    <w:rsid w:val="002C6B92"/>
    <w:rsid w:val="002C6C54"/>
    <w:rsid w:val="002C6DD2"/>
    <w:rsid w:val="002C6DF2"/>
    <w:rsid w:val="002C6E02"/>
    <w:rsid w:val="002C6E9A"/>
    <w:rsid w:val="002C6F2E"/>
    <w:rsid w:val="002C7235"/>
    <w:rsid w:val="002C72B1"/>
    <w:rsid w:val="002C7313"/>
    <w:rsid w:val="002C7441"/>
    <w:rsid w:val="002C74B5"/>
    <w:rsid w:val="002C752F"/>
    <w:rsid w:val="002C75DF"/>
    <w:rsid w:val="002C79AC"/>
    <w:rsid w:val="002C7A30"/>
    <w:rsid w:val="002C7A54"/>
    <w:rsid w:val="002C7B43"/>
    <w:rsid w:val="002C7BE2"/>
    <w:rsid w:val="002C7F02"/>
    <w:rsid w:val="002D0062"/>
    <w:rsid w:val="002D0064"/>
    <w:rsid w:val="002D0178"/>
    <w:rsid w:val="002D02AB"/>
    <w:rsid w:val="002D02B0"/>
    <w:rsid w:val="002D032B"/>
    <w:rsid w:val="002D032E"/>
    <w:rsid w:val="002D0349"/>
    <w:rsid w:val="002D039B"/>
    <w:rsid w:val="002D0413"/>
    <w:rsid w:val="002D07C6"/>
    <w:rsid w:val="002D0C13"/>
    <w:rsid w:val="002D0E4C"/>
    <w:rsid w:val="002D1251"/>
    <w:rsid w:val="002D12D4"/>
    <w:rsid w:val="002D130C"/>
    <w:rsid w:val="002D1409"/>
    <w:rsid w:val="002D1485"/>
    <w:rsid w:val="002D1489"/>
    <w:rsid w:val="002D1494"/>
    <w:rsid w:val="002D14C0"/>
    <w:rsid w:val="002D14CA"/>
    <w:rsid w:val="002D14FE"/>
    <w:rsid w:val="002D167B"/>
    <w:rsid w:val="002D1736"/>
    <w:rsid w:val="002D191E"/>
    <w:rsid w:val="002D1BC8"/>
    <w:rsid w:val="002D1C9E"/>
    <w:rsid w:val="002D1CBD"/>
    <w:rsid w:val="002D1E7F"/>
    <w:rsid w:val="002D1E95"/>
    <w:rsid w:val="002D1F60"/>
    <w:rsid w:val="002D21BC"/>
    <w:rsid w:val="002D2258"/>
    <w:rsid w:val="002D227D"/>
    <w:rsid w:val="002D23A9"/>
    <w:rsid w:val="002D24DA"/>
    <w:rsid w:val="002D2669"/>
    <w:rsid w:val="002D26FA"/>
    <w:rsid w:val="002D2733"/>
    <w:rsid w:val="002D2A2C"/>
    <w:rsid w:val="002D2BA8"/>
    <w:rsid w:val="002D2DCC"/>
    <w:rsid w:val="002D2E9E"/>
    <w:rsid w:val="002D30CB"/>
    <w:rsid w:val="002D31C5"/>
    <w:rsid w:val="002D324B"/>
    <w:rsid w:val="002D3651"/>
    <w:rsid w:val="002D36CB"/>
    <w:rsid w:val="002D3762"/>
    <w:rsid w:val="002D3775"/>
    <w:rsid w:val="002D37AE"/>
    <w:rsid w:val="002D3818"/>
    <w:rsid w:val="002D3836"/>
    <w:rsid w:val="002D3845"/>
    <w:rsid w:val="002D3858"/>
    <w:rsid w:val="002D38CF"/>
    <w:rsid w:val="002D3908"/>
    <w:rsid w:val="002D3A0F"/>
    <w:rsid w:val="002D3BAB"/>
    <w:rsid w:val="002D3CCD"/>
    <w:rsid w:val="002D3D79"/>
    <w:rsid w:val="002D4185"/>
    <w:rsid w:val="002D41C2"/>
    <w:rsid w:val="002D41E0"/>
    <w:rsid w:val="002D43CF"/>
    <w:rsid w:val="002D44DB"/>
    <w:rsid w:val="002D4561"/>
    <w:rsid w:val="002D4572"/>
    <w:rsid w:val="002D45A5"/>
    <w:rsid w:val="002D45DA"/>
    <w:rsid w:val="002D4714"/>
    <w:rsid w:val="002D4845"/>
    <w:rsid w:val="002D4907"/>
    <w:rsid w:val="002D4929"/>
    <w:rsid w:val="002D4944"/>
    <w:rsid w:val="002D4A92"/>
    <w:rsid w:val="002D4BC6"/>
    <w:rsid w:val="002D4D19"/>
    <w:rsid w:val="002D4D3A"/>
    <w:rsid w:val="002D4D4F"/>
    <w:rsid w:val="002D4E32"/>
    <w:rsid w:val="002D4E6B"/>
    <w:rsid w:val="002D5168"/>
    <w:rsid w:val="002D5195"/>
    <w:rsid w:val="002D53D5"/>
    <w:rsid w:val="002D54B8"/>
    <w:rsid w:val="002D563F"/>
    <w:rsid w:val="002D58FE"/>
    <w:rsid w:val="002D594C"/>
    <w:rsid w:val="002D5967"/>
    <w:rsid w:val="002D5A85"/>
    <w:rsid w:val="002D5AE6"/>
    <w:rsid w:val="002D5AE9"/>
    <w:rsid w:val="002D5BE9"/>
    <w:rsid w:val="002D5C07"/>
    <w:rsid w:val="002D5CD8"/>
    <w:rsid w:val="002D5EB1"/>
    <w:rsid w:val="002D5F59"/>
    <w:rsid w:val="002D606B"/>
    <w:rsid w:val="002D60A1"/>
    <w:rsid w:val="002D62D2"/>
    <w:rsid w:val="002D640D"/>
    <w:rsid w:val="002D6507"/>
    <w:rsid w:val="002D653F"/>
    <w:rsid w:val="002D6685"/>
    <w:rsid w:val="002D66A0"/>
    <w:rsid w:val="002D6722"/>
    <w:rsid w:val="002D67AE"/>
    <w:rsid w:val="002D6801"/>
    <w:rsid w:val="002D6957"/>
    <w:rsid w:val="002D6A3D"/>
    <w:rsid w:val="002D6B7E"/>
    <w:rsid w:val="002D6D91"/>
    <w:rsid w:val="002D6E0E"/>
    <w:rsid w:val="002D6F1C"/>
    <w:rsid w:val="002D6FBB"/>
    <w:rsid w:val="002D70E5"/>
    <w:rsid w:val="002D7579"/>
    <w:rsid w:val="002D7588"/>
    <w:rsid w:val="002D774A"/>
    <w:rsid w:val="002D7894"/>
    <w:rsid w:val="002D790B"/>
    <w:rsid w:val="002D7948"/>
    <w:rsid w:val="002D7A03"/>
    <w:rsid w:val="002D7C83"/>
    <w:rsid w:val="002D7CED"/>
    <w:rsid w:val="002D7D13"/>
    <w:rsid w:val="002D7D49"/>
    <w:rsid w:val="002D7E12"/>
    <w:rsid w:val="002D7E19"/>
    <w:rsid w:val="002D7ECA"/>
    <w:rsid w:val="002E002F"/>
    <w:rsid w:val="002E020C"/>
    <w:rsid w:val="002E0213"/>
    <w:rsid w:val="002E0236"/>
    <w:rsid w:val="002E02D5"/>
    <w:rsid w:val="002E064B"/>
    <w:rsid w:val="002E0688"/>
    <w:rsid w:val="002E0797"/>
    <w:rsid w:val="002E0AE3"/>
    <w:rsid w:val="002E0B57"/>
    <w:rsid w:val="002E0CDF"/>
    <w:rsid w:val="002E0D8E"/>
    <w:rsid w:val="002E0E08"/>
    <w:rsid w:val="002E0F11"/>
    <w:rsid w:val="002E0F7E"/>
    <w:rsid w:val="002E11FF"/>
    <w:rsid w:val="002E1317"/>
    <w:rsid w:val="002E142A"/>
    <w:rsid w:val="002E1430"/>
    <w:rsid w:val="002E1815"/>
    <w:rsid w:val="002E1822"/>
    <w:rsid w:val="002E196D"/>
    <w:rsid w:val="002E1AA1"/>
    <w:rsid w:val="002E1ABF"/>
    <w:rsid w:val="002E1BCF"/>
    <w:rsid w:val="002E1C30"/>
    <w:rsid w:val="002E1D15"/>
    <w:rsid w:val="002E1F0A"/>
    <w:rsid w:val="002E1F72"/>
    <w:rsid w:val="002E214E"/>
    <w:rsid w:val="002E21A4"/>
    <w:rsid w:val="002E227F"/>
    <w:rsid w:val="002E249E"/>
    <w:rsid w:val="002E24BB"/>
    <w:rsid w:val="002E25CB"/>
    <w:rsid w:val="002E2631"/>
    <w:rsid w:val="002E2759"/>
    <w:rsid w:val="002E2896"/>
    <w:rsid w:val="002E2A39"/>
    <w:rsid w:val="002E2A52"/>
    <w:rsid w:val="002E2BBB"/>
    <w:rsid w:val="002E2BCB"/>
    <w:rsid w:val="002E2BCE"/>
    <w:rsid w:val="002E2DEE"/>
    <w:rsid w:val="002E2F02"/>
    <w:rsid w:val="002E31A5"/>
    <w:rsid w:val="002E3234"/>
    <w:rsid w:val="002E3239"/>
    <w:rsid w:val="002E327D"/>
    <w:rsid w:val="002E333F"/>
    <w:rsid w:val="002E3371"/>
    <w:rsid w:val="002E3520"/>
    <w:rsid w:val="002E35E6"/>
    <w:rsid w:val="002E379A"/>
    <w:rsid w:val="002E396A"/>
    <w:rsid w:val="002E3D60"/>
    <w:rsid w:val="002E3DC0"/>
    <w:rsid w:val="002E3E4F"/>
    <w:rsid w:val="002E3F04"/>
    <w:rsid w:val="002E3F8A"/>
    <w:rsid w:val="002E406B"/>
    <w:rsid w:val="002E4221"/>
    <w:rsid w:val="002E42E1"/>
    <w:rsid w:val="002E4467"/>
    <w:rsid w:val="002E4836"/>
    <w:rsid w:val="002E49B0"/>
    <w:rsid w:val="002E4A02"/>
    <w:rsid w:val="002E4A9E"/>
    <w:rsid w:val="002E4C64"/>
    <w:rsid w:val="002E4CC3"/>
    <w:rsid w:val="002E4FC9"/>
    <w:rsid w:val="002E5019"/>
    <w:rsid w:val="002E521B"/>
    <w:rsid w:val="002E522F"/>
    <w:rsid w:val="002E525E"/>
    <w:rsid w:val="002E5295"/>
    <w:rsid w:val="002E544A"/>
    <w:rsid w:val="002E5478"/>
    <w:rsid w:val="002E54A4"/>
    <w:rsid w:val="002E55A0"/>
    <w:rsid w:val="002E5698"/>
    <w:rsid w:val="002E575C"/>
    <w:rsid w:val="002E57B4"/>
    <w:rsid w:val="002E57C4"/>
    <w:rsid w:val="002E582B"/>
    <w:rsid w:val="002E590E"/>
    <w:rsid w:val="002E5923"/>
    <w:rsid w:val="002E5935"/>
    <w:rsid w:val="002E5A21"/>
    <w:rsid w:val="002E5C94"/>
    <w:rsid w:val="002E5CAB"/>
    <w:rsid w:val="002E5D46"/>
    <w:rsid w:val="002E5DA4"/>
    <w:rsid w:val="002E5F6C"/>
    <w:rsid w:val="002E6130"/>
    <w:rsid w:val="002E659D"/>
    <w:rsid w:val="002E6619"/>
    <w:rsid w:val="002E6679"/>
    <w:rsid w:val="002E6686"/>
    <w:rsid w:val="002E66E2"/>
    <w:rsid w:val="002E682A"/>
    <w:rsid w:val="002E6987"/>
    <w:rsid w:val="002E6C7F"/>
    <w:rsid w:val="002E71ED"/>
    <w:rsid w:val="002E724C"/>
    <w:rsid w:val="002E7469"/>
    <w:rsid w:val="002E75E1"/>
    <w:rsid w:val="002E7772"/>
    <w:rsid w:val="002E780E"/>
    <w:rsid w:val="002E7B82"/>
    <w:rsid w:val="002E7C65"/>
    <w:rsid w:val="002E7D89"/>
    <w:rsid w:val="002E7DF5"/>
    <w:rsid w:val="002E7E06"/>
    <w:rsid w:val="002E7F1B"/>
    <w:rsid w:val="002F0036"/>
    <w:rsid w:val="002F0054"/>
    <w:rsid w:val="002F00BB"/>
    <w:rsid w:val="002F039F"/>
    <w:rsid w:val="002F0421"/>
    <w:rsid w:val="002F047B"/>
    <w:rsid w:val="002F04B8"/>
    <w:rsid w:val="002F05F6"/>
    <w:rsid w:val="002F06B1"/>
    <w:rsid w:val="002F0722"/>
    <w:rsid w:val="002F07A7"/>
    <w:rsid w:val="002F08BD"/>
    <w:rsid w:val="002F0A02"/>
    <w:rsid w:val="002F0A24"/>
    <w:rsid w:val="002F0BC4"/>
    <w:rsid w:val="002F0D1E"/>
    <w:rsid w:val="002F0D1F"/>
    <w:rsid w:val="002F0F8A"/>
    <w:rsid w:val="002F1026"/>
    <w:rsid w:val="002F10C7"/>
    <w:rsid w:val="002F13D1"/>
    <w:rsid w:val="002F1474"/>
    <w:rsid w:val="002F1662"/>
    <w:rsid w:val="002F17D8"/>
    <w:rsid w:val="002F1B0E"/>
    <w:rsid w:val="002F1B3B"/>
    <w:rsid w:val="002F1B44"/>
    <w:rsid w:val="002F1BD6"/>
    <w:rsid w:val="002F1D04"/>
    <w:rsid w:val="002F2117"/>
    <w:rsid w:val="002F25BF"/>
    <w:rsid w:val="002F25D8"/>
    <w:rsid w:val="002F26DE"/>
    <w:rsid w:val="002F28F9"/>
    <w:rsid w:val="002F29DB"/>
    <w:rsid w:val="002F29F1"/>
    <w:rsid w:val="002F2C86"/>
    <w:rsid w:val="002F2DDA"/>
    <w:rsid w:val="002F2DED"/>
    <w:rsid w:val="002F2FB7"/>
    <w:rsid w:val="002F3174"/>
    <w:rsid w:val="002F3185"/>
    <w:rsid w:val="002F3187"/>
    <w:rsid w:val="002F36D9"/>
    <w:rsid w:val="002F39E6"/>
    <w:rsid w:val="002F3AE9"/>
    <w:rsid w:val="002F3CD9"/>
    <w:rsid w:val="002F3D20"/>
    <w:rsid w:val="002F3E3C"/>
    <w:rsid w:val="002F3E9E"/>
    <w:rsid w:val="002F3F6F"/>
    <w:rsid w:val="002F40EC"/>
    <w:rsid w:val="002F4206"/>
    <w:rsid w:val="002F43A1"/>
    <w:rsid w:val="002F43A4"/>
    <w:rsid w:val="002F440E"/>
    <w:rsid w:val="002F455E"/>
    <w:rsid w:val="002F486D"/>
    <w:rsid w:val="002F48A1"/>
    <w:rsid w:val="002F48D7"/>
    <w:rsid w:val="002F4A62"/>
    <w:rsid w:val="002F4AB7"/>
    <w:rsid w:val="002F4B10"/>
    <w:rsid w:val="002F4B11"/>
    <w:rsid w:val="002F4CA7"/>
    <w:rsid w:val="002F5012"/>
    <w:rsid w:val="002F504F"/>
    <w:rsid w:val="002F51F8"/>
    <w:rsid w:val="002F5202"/>
    <w:rsid w:val="002F5218"/>
    <w:rsid w:val="002F5336"/>
    <w:rsid w:val="002F53B9"/>
    <w:rsid w:val="002F543D"/>
    <w:rsid w:val="002F5440"/>
    <w:rsid w:val="002F56F5"/>
    <w:rsid w:val="002F576F"/>
    <w:rsid w:val="002F5971"/>
    <w:rsid w:val="002F5ABC"/>
    <w:rsid w:val="002F5B79"/>
    <w:rsid w:val="002F5BC9"/>
    <w:rsid w:val="002F5DFA"/>
    <w:rsid w:val="002F5E08"/>
    <w:rsid w:val="002F5E55"/>
    <w:rsid w:val="002F5EE0"/>
    <w:rsid w:val="002F5F60"/>
    <w:rsid w:val="002F60F3"/>
    <w:rsid w:val="002F61CB"/>
    <w:rsid w:val="002F624D"/>
    <w:rsid w:val="002F635C"/>
    <w:rsid w:val="002F63AE"/>
    <w:rsid w:val="002F64A1"/>
    <w:rsid w:val="002F64F7"/>
    <w:rsid w:val="002F6552"/>
    <w:rsid w:val="002F6772"/>
    <w:rsid w:val="002F67CC"/>
    <w:rsid w:val="002F67DC"/>
    <w:rsid w:val="002F6837"/>
    <w:rsid w:val="002F6847"/>
    <w:rsid w:val="002F68BD"/>
    <w:rsid w:val="002F691C"/>
    <w:rsid w:val="002F6B70"/>
    <w:rsid w:val="002F6BED"/>
    <w:rsid w:val="002F6CB3"/>
    <w:rsid w:val="002F6E11"/>
    <w:rsid w:val="002F6F6B"/>
    <w:rsid w:val="002F6FD7"/>
    <w:rsid w:val="002F7072"/>
    <w:rsid w:val="002F746F"/>
    <w:rsid w:val="002F76A8"/>
    <w:rsid w:val="002F76CB"/>
    <w:rsid w:val="002F779C"/>
    <w:rsid w:val="002F7994"/>
    <w:rsid w:val="002F7C37"/>
    <w:rsid w:val="002F7CF9"/>
    <w:rsid w:val="002F7EA9"/>
    <w:rsid w:val="002F7EEE"/>
    <w:rsid w:val="002F7F39"/>
    <w:rsid w:val="002F7F8B"/>
    <w:rsid w:val="0030015D"/>
    <w:rsid w:val="003002A3"/>
    <w:rsid w:val="003003DE"/>
    <w:rsid w:val="00300588"/>
    <w:rsid w:val="00300693"/>
    <w:rsid w:val="003006E2"/>
    <w:rsid w:val="00300A9D"/>
    <w:rsid w:val="00300ACB"/>
    <w:rsid w:val="00300B0B"/>
    <w:rsid w:val="00300B40"/>
    <w:rsid w:val="00300D0C"/>
    <w:rsid w:val="00300D7B"/>
    <w:rsid w:val="00300DF4"/>
    <w:rsid w:val="00300E27"/>
    <w:rsid w:val="00300E3E"/>
    <w:rsid w:val="00300F68"/>
    <w:rsid w:val="003010E7"/>
    <w:rsid w:val="0030121E"/>
    <w:rsid w:val="00301342"/>
    <w:rsid w:val="003014FD"/>
    <w:rsid w:val="00301517"/>
    <w:rsid w:val="003015E0"/>
    <w:rsid w:val="003016DF"/>
    <w:rsid w:val="0030173C"/>
    <w:rsid w:val="003017B8"/>
    <w:rsid w:val="00301847"/>
    <w:rsid w:val="003018E4"/>
    <w:rsid w:val="00301947"/>
    <w:rsid w:val="00301A6D"/>
    <w:rsid w:val="00301B65"/>
    <w:rsid w:val="00301C61"/>
    <w:rsid w:val="00301CAA"/>
    <w:rsid w:val="00301CDF"/>
    <w:rsid w:val="00301D03"/>
    <w:rsid w:val="00301D2E"/>
    <w:rsid w:val="00301F2F"/>
    <w:rsid w:val="00301F3F"/>
    <w:rsid w:val="00302017"/>
    <w:rsid w:val="0030207F"/>
    <w:rsid w:val="00302081"/>
    <w:rsid w:val="00302144"/>
    <w:rsid w:val="0030216D"/>
    <w:rsid w:val="003024C8"/>
    <w:rsid w:val="0030251D"/>
    <w:rsid w:val="0030259C"/>
    <w:rsid w:val="003026DB"/>
    <w:rsid w:val="003027C2"/>
    <w:rsid w:val="00302884"/>
    <w:rsid w:val="00302CCA"/>
    <w:rsid w:val="00302DDC"/>
    <w:rsid w:val="00302EAA"/>
    <w:rsid w:val="003030F6"/>
    <w:rsid w:val="003032B0"/>
    <w:rsid w:val="003032BA"/>
    <w:rsid w:val="0030340C"/>
    <w:rsid w:val="0030340D"/>
    <w:rsid w:val="0030345F"/>
    <w:rsid w:val="003035B6"/>
    <w:rsid w:val="003035E6"/>
    <w:rsid w:val="003035FD"/>
    <w:rsid w:val="00303608"/>
    <w:rsid w:val="00303639"/>
    <w:rsid w:val="003037B6"/>
    <w:rsid w:val="003037E8"/>
    <w:rsid w:val="0030385C"/>
    <w:rsid w:val="003038D5"/>
    <w:rsid w:val="00303B0C"/>
    <w:rsid w:val="00303B6B"/>
    <w:rsid w:val="00303DC1"/>
    <w:rsid w:val="003040F3"/>
    <w:rsid w:val="00304219"/>
    <w:rsid w:val="0030437E"/>
    <w:rsid w:val="003043AA"/>
    <w:rsid w:val="0030445E"/>
    <w:rsid w:val="0030457A"/>
    <w:rsid w:val="0030476A"/>
    <w:rsid w:val="00304796"/>
    <w:rsid w:val="003047A3"/>
    <w:rsid w:val="00304813"/>
    <w:rsid w:val="003048CE"/>
    <w:rsid w:val="00304A05"/>
    <w:rsid w:val="00304B5E"/>
    <w:rsid w:val="00304CC6"/>
    <w:rsid w:val="00304E2A"/>
    <w:rsid w:val="003050B3"/>
    <w:rsid w:val="003051A7"/>
    <w:rsid w:val="003051E1"/>
    <w:rsid w:val="00305259"/>
    <w:rsid w:val="003052D9"/>
    <w:rsid w:val="0030540A"/>
    <w:rsid w:val="003055A2"/>
    <w:rsid w:val="003055FE"/>
    <w:rsid w:val="003056AF"/>
    <w:rsid w:val="0030571A"/>
    <w:rsid w:val="00305A5D"/>
    <w:rsid w:val="00305C5B"/>
    <w:rsid w:val="00305CA4"/>
    <w:rsid w:val="00305D78"/>
    <w:rsid w:val="00306155"/>
    <w:rsid w:val="003061CE"/>
    <w:rsid w:val="00306222"/>
    <w:rsid w:val="00306284"/>
    <w:rsid w:val="00306326"/>
    <w:rsid w:val="0030660C"/>
    <w:rsid w:val="003066B6"/>
    <w:rsid w:val="003066E2"/>
    <w:rsid w:val="0030674A"/>
    <w:rsid w:val="003067B9"/>
    <w:rsid w:val="0030687C"/>
    <w:rsid w:val="00306A87"/>
    <w:rsid w:val="00306AA6"/>
    <w:rsid w:val="00306DDB"/>
    <w:rsid w:val="003071D2"/>
    <w:rsid w:val="003071F4"/>
    <w:rsid w:val="003074A7"/>
    <w:rsid w:val="00307646"/>
    <w:rsid w:val="00307746"/>
    <w:rsid w:val="00307799"/>
    <w:rsid w:val="00307ACE"/>
    <w:rsid w:val="00307BB1"/>
    <w:rsid w:val="00307D78"/>
    <w:rsid w:val="00307DFD"/>
    <w:rsid w:val="00307F5B"/>
    <w:rsid w:val="00307F73"/>
    <w:rsid w:val="0031000B"/>
    <w:rsid w:val="003100F6"/>
    <w:rsid w:val="00310199"/>
    <w:rsid w:val="003102BE"/>
    <w:rsid w:val="00310510"/>
    <w:rsid w:val="0031068F"/>
    <w:rsid w:val="00310756"/>
    <w:rsid w:val="003107FE"/>
    <w:rsid w:val="00310884"/>
    <w:rsid w:val="00310A08"/>
    <w:rsid w:val="00310AA2"/>
    <w:rsid w:val="00310BB3"/>
    <w:rsid w:val="00310C4E"/>
    <w:rsid w:val="00310C6B"/>
    <w:rsid w:val="00310CE3"/>
    <w:rsid w:val="00310D0B"/>
    <w:rsid w:val="00310DF0"/>
    <w:rsid w:val="00310F4F"/>
    <w:rsid w:val="003110AD"/>
    <w:rsid w:val="00311249"/>
    <w:rsid w:val="0031126C"/>
    <w:rsid w:val="00311332"/>
    <w:rsid w:val="0031138E"/>
    <w:rsid w:val="00311505"/>
    <w:rsid w:val="00311635"/>
    <w:rsid w:val="0031163A"/>
    <w:rsid w:val="0031170D"/>
    <w:rsid w:val="003117B9"/>
    <w:rsid w:val="003118B8"/>
    <w:rsid w:val="00311F12"/>
    <w:rsid w:val="00311F20"/>
    <w:rsid w:val="003121F3"/>
    <w:rsid w:val="00312372"/>
    <w:rsid w:val="00312418"/>
    <w:rsid w:val="00312674"/>
    <w:rsid w:val="003126D6"/>
    <w:rsid w:val="00312746"/>
    <w:rsid w:val="003127F4"/>
    <w:rsid w:val="00312931"/>
    <w:rsid w:val="00312AB3"/>
    <w:rsid w:val="00312C56"/>
    <w:rsid w:val="00312DD9"/>
    <w:rsid w:val="00312FA0"/>
    <w:rsid w:val="0031312C"/>
    <w:rsid w:val="00313323"/>
    <w:rsid w:val="003133CC"/>
    <w:rsid w:val="00313418"/>
    <w:rsid w:val="00313580"/>
    <w:rsid w:val="0031376E"/>
    <w:rsid w:val="0031381D"/>
    <w:rsid w:val="0031397F"/>
    <w:rsid w:val="00313A46"/>
    <w:rsid w:val="00313DFA"/>
    <w:rsid w:val="00313EDC"/>
    <w:rsid w:val="00313EE6"/>
    <w:rsid w:val="00313F15"/>
    <w:rsid w:val="0031410F"/>
    <w:rsid w:val="0031423B"/>
    <w:rsid w:val="00314274"/>
    <w:rsid w:val="003143B8"/>
    <w:rsid w:val="003148E1"/>
    <w:rsid w:val="0031493F"/>
    <w:rsid w:val="00314CBE"/>
    <w:rsid w:val="00314D21"/>
    <w:rsid w:val="00314D5D"/>
    <w:rsid w:val="00314DFB"/>
    <w:rsid w:val="00314ED7"/>
    <w:rsid w:val="00314EEC"/>
    <w:rsid w:val="003152CA"/>
    <w:rsid w:val="003152FC"/>
    <w:rsid w:val="00315450"/>
    <w:rsid w:val="00315456"/>
    <w:rsid w:val="003154BA"/>
    <w:rsid w:val="003155C1"/>
    <w:rsid w:val="003156B5"/>
    <w:rsid w:val="003156F6"/>
    <w:rsid w:val="003159BE"/>
    <w:rsid w:val="00315A60"/>
    <w:rsid w:val="00315D06"/>
    <w:rsid w:val="00315E91"/>
    <w:rsid w:val="00315F07"/>
    <w:rsid w:val="003161F4"/>
    <w:rsid w:val="00316423"/>
    <w:rsid w:val="0031646D"/>
    <w:rsid w:val="00316596"/>
    <w:rsid w:val="003165E4"/>
    <w:rsid w:val="00316638"/>
    <w:rsid w:val="0031676C"/>
    <w:rsid w:val="00316B95"/>
    <w:rsid w:val="00316C8E"/>
    <w:rsid w:val="00316CFA"/>
    <w:rsid w:val="0031709E"/>
    <w:rsid w:val="0031738D"/>
    <w:rsid w:val="00317534"/>
    <w:rsid w:val="00317638"/>
    <w:rsid w:val="00317873"/>
    <w:rsid w:val="0031789D"/>
    <w:rsid w:val="003178BF"/>
    <w:rsid w:val="0031790B"/>
    <w:rsid w:val="0031792A"/>
    <w:rsid w:val="00317B4C"/>
    <w:rsid w:val="00317E32"/>
    <w:rsid w:val="003200C6"/>
    <w:rsid w:val="003202ED"/>
    <w:rsid w:val="00320471"/>
    <w:rsid w:val="0032097F"/>
    <w:rsid w:val="00320C30"/>
    <w:rsid w:val="00320C49"/>
    <w:rsid w:val="00320E1F"/>
    <w:rsid w:val="00320E58"/>
    <w:rsid w:val="00320F8E"/>
    <w:rsid w:val="003213BE"/>
    <w:rsid w:val="0032163C"/>
    <w:rsid w:val="003217F1"/>
    <w:rsid w:val="003218CD"/>
    <w:rsid w:val="00321912"/>
    <w:rsid w:val="0032194E"/>
    <w:rsid w:val="00321AB5"/>
    <w:rsid w:val="00321AB8"/>
    <w:rsid w:val="00321D05"/>
    <w:rsid w:val="00321D38"/>
    <w:rsid w:val="0032201B"/>
    <w:rsid w:val="003220CB"/>
    <w:rsid w:val="0032211E"/>
    <w:rsid w:val="003221BE"/>
    <w:rsid w:val="003221D1"/>
    <w:rsid w:val="003223B9"/>
    <w:rsid w:val="00322447"/>
    <w:rsid w:val="003225D3"/>
    <w:rsid w:val="003226EB"/>
    <w:rsid w:val="003226F8"/>
    <w:rsid w:val="00322705"/>
    <w:rsid w:val="003227C6"/>
    <w:rsid w:val="003227C9"/>
    <w:rsid w:val="00322A50"/>
    <w:rsid w:val="00322D57"/>
    <w:rsid w:val="00322E95"/>
    <w:rsid w:val="00322EB5"/>
    <w:rsid w:val="0032310A"/>
    <w:rsid w:val="00323254"/>
    <w:rsid w:val="0032338E"/>
    <w:rsid w:val="00323401"/>
    <w:rsid w:val="0032354A"/>
    <w:rsid w:val="003236C7"/>
    <w:rsid w:val="0032372F"/>
    <w:rsid w:val="003237CD"/>
    <w:rsid w:val="0032384C"/>
    <w:rsid w:val="0032384F"/>
    <w:rsid w:val="003238A7"/>
    <w:rsid w:val="00323953"/>
    <w:rsid w:val="00323AD4"/>
    <w:rsid w:val="00323BB3"/>
    <w:rsid w:val="00323C84"/>
    <w:rsid w:val="00323D84"/>
    <w:rsid w:val="00323E92"/>
    <w:rsid w:val="00323FB2"/>
    <w:rsid w:val="00324184"/>
    <w:rsid w:val="003242FB"/>
    <w:rsid w:val="00324370"/>
    <w:rsid w:val="003244BB"/>
    <w:rsid w:val="003244D2"/>
    <w:rsid w:val="00324A1B"/>
    <w:rsid w:val="00324C23"/>
    <w:rsid w:val="00324DE6"/>
    <w:rsid w:val="003251B2"/>
    <w:rsid w:val="0032522D"/>
    <w:rsid w:val="00325351"/>
    <w:rsid w:val="00325397"/>
    <w:rsid w:val="00325431"/>
    <w:rsid w:val="00325766"/>
    <w:rsid w:val="003257C9"/>
    <w:rsid w:val="0032598D"/>
    <w:rsid w:val="00325ACE"/>
    <w:rsid w:val="00325C71"/>
    <w:rsid w:val="00325CB4"/>
    <w:rsid w:val="00325CD5"/>
    <w:rsid w:val="00325EA6"/>
    <w:rsid w:val="0032601C"/>
    <w:rsid w:val="00326068"/>
    <w:rsid w:val="00326166"/>
    <w:rsid w:val="00326227"/>
    <w:rsid w:val="00326234"/>
    <w:rsid w:val="003263BD"/>
    <w:rsid w:val="00326634"/>
    <w:rsid w:val="003266B1"/>
    <w:rsid w:val="0032670D"/>
    <w:rsid w:val="00326731"/>
    <w:rsid w:val="003268F9"/>
    <w:rsid w:val="00326A65"/>
    <w:rsid w:val="00326B1B"/>
    <w:rsid w:val="00326BC4"/>
    <w:rsid w:val="00326BEE"/>
    <w:rsid w:val="00326C53"/>
    <w:rsid w:val="00326DAA"/>
    <w:rsid w:val="00326ECC"/>
    <w:rsid w:val="00326F07"/>
    <w:rsid w:val="0032717B"/>
    <w:rsid w:val="003271C7"/>
    <w:rsid w:val="00327246"/>
    <w:rsid w:val="0032725E"/>
    <w:rsid w:val="003272E9"/>
    <w:rsid w:val="003274E5"/>
    <w:rsid w:val="00327727"/>
    <w:rsid w:val="00327916"/>
    <w:rsid w:val="00327917"/>
    <w:rsid w:val="003279D4"/>
    <w:rsid w:val="00327AFD"/>
    <w:rsid w:val="00327CF1"/>
    <w:rsid w:val="00327D0A"/>
    <w:rsid w:val="00327DB6"/>
    <w:rsid w:val="003303B8"/>
    <w:rsid w:val="003304F8"/>
    <w:rsid w:val="0033050C"/>
    <w:rsid w:val="00330664"/>
    <w:rsid w:val="00330732"/>
    <w:rsid w:val="00330778"/>
    <w:rsid w:val="00330973"/>
    <w:rsid w:val="0033098F"/>
    <w:rsid w:val="00330BA8"/>
    <w:rsid w:val="00330BB4"/>
    <w:rsid w:val="00330CD2"/>
    <w:rsid w:val="00330D97"/>
    <w:rsid w:val="00330DA5"/>
    <w:rsid w:val="00330EDA"/>
    <w:rsid w:val="0033116B"/>
    <w:rsid w:val="003313DE"/>
    <w:rsid w:val="00331405"/>
    <w:rsid w:val="00331467"/>
    <w:rsid w:val="003315D2"/>
    <w:rsid w:val="00331728"/>
    <w:rsid w:val="00331A75"/>
    <w:rsid w:val="00331B11"/>
    <w:rsid w:val="00331DC6"/>
    <w:rsid w:val="00331F35"/>
    <w:rsid w:val="00331F4A"/>
    <w:rsid w:val="00332293"/>
    <w:rsid w:val="003322BE"/>
    <w:rsid w:val="00332666"/>
    <w:rsid w:val="003327C7"/>
    <w:rsid w:val="0033288A"/>
    <w:rsid w:val="003328C6"/>
    <w:rsid w:val="0033291D"/>
    <w:rsid w:val="0033293D"/>
    <w:rsid w:val="00332AEE"/>
    <w:rsid w:val="00332C6A"/>
    <w:rsid w:val="00332D8B"/>
    <w:rsid w:val="00332DC0"/>
    <w:rsid w:val="00332F61"/>
    <w:rsid w:val="00333003"/>
    <w:rsid w:val="00333080"/>
    <w:rsid w:val="00333097"/>
    <w:rsid w:val="003330C7"/>
    <w:rsid w:val="003330D4"/>
    <w:rsid w:val="00333208"/>
    <w:rsid w:val="00333403"/>
    <w:rsid w:val="003335CE"/>
    <w:rsid w:val="00333657"/>
    <w:rsid w:val="0033369F"/>
    <w:rsid w:val="003336CF"/>
    <w:rsid w:val="003337AE"/>
    <w:rsid w:val="003338C9"/>
    <w:rsid w:val="00333A45"/>
    <w:rsid w:val="00333DB0"/>
    <w:rsid w:val="00334207"/>
    <w:rsid w:val="00334298"/>
    <w:rsid w:val="003342C4"/>
    <w:rsid w:val="0033432B"/>
    <w:rsid w:val="00334532"/>
    <w:rsid w:val="00334649"/>
    <w:rsid w:val="00334798"/>
    <w:rsid w:val="0033490F"/>
    <w:rsid w:val="00334AA8"/>
    <w:rsid w:val="00334BC1"/>
    <w:rsid w:val="00334D20"/>
    <w:rsid w:val="00334D33"/>
    <w:rsid w:val="00334DC1"/>
    <w:rsid w:val="00334F95"/>
    <w:rsid w:val="00335003"/>
    <w:rsid w:val="00335298"/>
    <w:rsid w:val="0033552B"/>
    <w:rsid w:val="003358EF"/>
    <w:rsid w:val="0033592E"/>
    <w:rsid w:val="00335A15"/>
    <w:rsid w:val="00335A48"/>
    <w:rsid w:val="00335D06"/>
    <w:rsid w:val="00335EE5"/>
    <w:rsid w:val="00335EFB"/>
    <w:rsid w:val="00335F9D"/>
    <w:rsid w:val="003360C9"/>
    <w:rsid w:val="0033619C"/>
    <w:rsid w:val="00336248"/>
    <w:rsid w:val="003362E1"/>
    <w:rsid w:val="0033642A"/>
    <w:rsid w:val="0033646D"/>
    <w:rsid w:val="003364EB"/>
    <w:rsid w:val="003365AE"/>
    <w:rsid w:val="00336654"/>
    <w:rsid w:val="003367C5"/>
    <w:rsid w:val="00336833"/>
    <w:rsid w:val="003368C3"/>
    <w:rsid w:val="003369CF"/>
    <w:rsid w:val="00336DB1"/>
    <w:rsid w:val="00336E1E"/>
    <w:rsid w:val="00336F55"/>
    <w:rsid w:val="00336FB7"/>
    <w:rsid w:val="0033712C"/>
    <w:rsid w:val="00337181"/>
    <w:rsid w:val="0033737A"/>
    <w:rsid w:val="0033739D"/>
    <w:rsid w:val="00337421"/>
    <w:rsid w:val="003375C3"/>
    <w:rsid w:val="0033787B"/>
    <w:rsid w:val="003378C4"/>
    <w:rsid w:val="00337A2B"/>
    <w:rsid w:val="00337A31"/>
    <w:rsid w:val="00337A76"/>
    <w:rsid w:val="00337B87"/>
    <w:rsid w:val="00337D03"/>
    <w:rsid w:val="00337D92"/>
    <w:rsid w:val="00340022"/>
    <w:rsid w:val="0034010B"/>
    <w:rsid w:val="0034012D"/>
    <w:rsid w:val="00340239"/>
    <w:rsid w:val="003402C9"/>
    <w:rsid w:val="0034043A"/>
    <w:rsid w:val="00340511"/>
    <w:rsid w:val="003408DB"/>
    <w:rsid w:val="0034097D"/>
    <w:rsid w:val="00340AB8"/>
    <w:rsid w:val="00340C52"/>
    <w:rsid w:val="00340D20"/>
    <w:rsid w:val="00340EF4"/>
    <w:rsid w:val="00340F06"/>
    <w:rsid w:val="00340F57"/>
    <w:rsid w:val="00341043"/>
    <w:rsid w:val="00341060"/>
    <w:rsid w:val="00341272"/>
    <w:rsid w:val="0034139B"/>
    <w:rsid w:val="00341B5B"/>
    <w:rsid w:val="00341CC1"/>
    <w:rsid w:val="00341DFA"/>
    <w:rsid w:val="00341F65"/>
    <w:rsid w:val="00341F9D"/>
    <w:rsid w:val="003420F7"/>
    <w:rsid w:val="0034233C"/>
    <w:rsid w:val="00342552"/>
    <w:rsid w:val="0034255A"/>
    <w:rsid w:val="003425BE"/>
    <w:rsid w:val="00342789"/>
    <w:rsid w:val="0034289C"/>
    <w:rsid w:val="0034295D"/>
    <w:rsid w:val="00342A7E"/>
    <w:rsid w:val="00342B50"/>
    <w:rsid w:val="00342CA3"/>
    <w:rsid w:val="00342CFD"/>
    <w:rsid w:val="00342EFD"/>
    <w:rsid w:val="00342F51"/>
    <w:rsid w:val="00342F56"/>
    <w:rsid w:val="00342F6B"/>
    <w:rsid w:val="00343027"/>
    <w:rsid w:val="00343095"/>
    <w:rsid w:val="003432CD"/>
    <w:rsid w:val="0034359F"/>
    <w:rsid w:val="003435AC"/>
    <w:rsid w:val="00343689"/>
    <w:rsid w:val="003436E1"/>
    <w:rsid w:val="00343706"/>
    <w:rsid w:val="00343750"/>
    <w:rsid w:val="003439CD"/>
    <w:rsid w:val="00343CAF"/>
    <w:rsid w:val="00343DDF"/>
    <w:rsid w:val="00343F1F"/>
    <w:rsid w:val="00343F4D"/>
    <w:rsid w:val="0034417C"/>
    <w:rsid w:val="00344384"/>
    <w:rsid w:val="003443F2"/>
    <w:rsid w:val="003445A1"/>
    <w:rsid w:val="003445BC"/>
    <w:rsid w:val="003448C4"/>
    <w:rsid w:val="00344916"/>
    <w:rsid w:val="0034499B"/>
    <w:rsid w:val="00344C7D"/>
    <w:rsid w:val="00344D23"/>
    <w:rsid w:val="00344D43"/>
    <w:rsid w:val="00344D6B"/>
    <w:rsid w:val="00344E25"/>
    <w:rsid w:val="00344EB0"/>
    <w:rsid w:val="00345317"/>
    <w:rsid w:val="00345369"/>
    <w:rsid w:val="003454DE"/>
    <w:rsid w:val="003455EE"/>
    <w:rsid w:val="00345626"/>
    <w:rsid w:val="00345773"/>
    <w:rsid w:val="00345845"/>
    <w:rsid w:val="0034596E"/>
    <w:rsid w:val="00345B24"/>
    <w:rsid w:val="00345E78"/>
    <w:rsid w:val="00345F8E"/>
    <w:rsid w:val="003460B1"/>
    <w:rsid w:val="0034613E"/>
    <w:rsid w:val="00346243"/>
    <w:rsid w:val="0034655F"/>
    <w:rsid w:val="003465AD"/>
    <w:rsid w:val="003465E3"/>
    <w:rsid w:val="003466A6"/>
    <w:rsid w:val="003467CF"/>
    <w:rsid w:val="003467FD"/>
    <w:rsid w:val="00346849"/>
    <w:rsid w:val="00346990"/>
    <w:rsid w:val="00346A66"/>
    <w:rsid w:val="00346BCB"/>
    <w:rsid w:val="00346BFC"/>
    <w:rsid w:val="00346D5E"/>
    <w:rsid w:val="00346D6E"/>
    <w:rsid w:val="00346DC2"/>
    <w:rsid w:val="00346EA7"/>
    <w:rsid w:val="003472C0"/>
    <w:rsid w:val="00347375"/>
    <w:rsid w:val="00347385"/>
    <w:rsid w:val="00347543"/>
    <w:rsid w:val="00347593"/>
    <w:rsid w:val="00347657"/>
    <w:rsid w:val="0034789B"/>
    <w:rsid w:val="003478EE"/>
    <w:rsid w:val="0034791F"/>
    <w:rsid w:val="00347B5D"/>
    <w:rsid w:val="00347CCE"/>
    <w:rsid w:val="00347CE6"/>
    <w:rsid w:val="0035007C"/>
    <w:rsid w:val="003500E1"/>
    <w:rsid w:val="00350192"/>
    <w:rsid w:val="00350234"/>
    <w:rsid w:val="00350242"/>
    <w:rsid w:val="00350282"/>
    <w:rsid w:val="0035037C"/>
    <w:rsid w:val="0035050C"/>
    <w:rsid w:val="00350524"/>
    <w:rsid w:val="00350567"/>
    <w:rsid w:val="0035059C"/>
    <w:rsid w:val="0035059F"/>
    <w:rsid w:val="00350645"/>
    <w:rsid w:val="00350789"/>
    <w:rsid w:val="00350828"/>
    <w:rsid w:val="00350B84"/>
    <w:rsid w:val="00350E2D"/>
    <w:rsid w:val="00350FF1"/>
    <w:rsid w:val="00350FF9"/>
    <w:rsid w:val="0035101D"/>
    <w:rsid w:val="003512F5"/>
    <w:rsid w:val="00351306"/>
    <w:rsid w:val="0035140B"/>
    <w:rsid w:val="0035150C"/>
    <w:rsid w:val="003515EF"/>
    <w:rsid w:val="00351741"/>
    <w:rsid w:val="00351896"/>
    <w:rsid w:val="00351A37"/>
    <w:rsid w:val="00351B60"/>
    <w:rsid w:val="00351DA5"/>
    <w:rsid w:val="00351F6D"/>
    <w:rsid w:val="00351FC8"/>
    <w:rsid w:val="0035213C"/>
    <w:rsid w:val="003523CB"/>
    <w:rsid w:val="0035260B"/>
    <w:rsid w:val="0035274A"/>
    <w:rsid w:val="00352884"/>
    <w:rsid w:val="0035297C"/>
    <w:rsid w:val="00352A06"/>
    <w:rsid w:val="00352A97"/>
    <w:rsid w:val="00352BF3"/>
    <w:rsid w:val="00352DB6"/>
    <w:rsid w:val="00352E14"/>
    <w:rsid w:val="00352FF0"/>
    <w:rsid w:val="00353106"/>
    <w:rsid w:val="00353182"/>
    <w:rsid w:val="00353240"/>
    <w:rsid w:val="003532DD"/>
    <w:rsid w:val="003534A2"/>
    <w:rsid w:val="003534C2"/>
    <w:rsid w:val="00353577"/>
    <w:rsid w:val="003537AD"/>
    <w:rsid w:val="003537E2"/>
    <w:rsid w:val="0035390E"/>
    <w:rsid w:val="0035392D"/>
    <w:rsid w:val="00353A02"/>
    <w:rsid w:val="00353AF8"/>
    <w:rsid w:val="00353B24"/>
    <w:rsid w:val="00353C67"/>
    <w:rsid w:val="00354081"/>
    <w:rsid w:val="003541E1"/>
    <w:rsid w:val="00354415"/>
    <w:rsid w:val="003544AB"/>
    <w:rsid w:val="0035452B"/>
    <w:rsid w:val="003545A8"/>
    <w:rsid w:val="0035465D"/>
    <w:rsid w:val="00354788"/>
    <w:rsid w:val="003548FF"/>
    <w:rsid w:val="00354998"/>
    <w:rsid w:val="00354BD4"/>
    <w:rsid w:val="00354D29"/>
    <w:rsid w:val="00354E39"/>
    <w:rsid w:val="00354EAB"/>
    <w:rsid w:val="003554DD"/>
    <w:rsid w:val="003555BF"/>
    <w:rsid w:val="003556A2"/>
    <w:rsid w:val="003557AF"/>
    <w:rsid w:val="00355869"/>
    <w:rsid w:val="00355878"/>
    <w:rsid w:val="003558D5"/>
    <w:rsid w:val="00355A97"/>
    <w:rsid w:val="00355B4A"/>
    <w:rsid w:val="00355B7A"/>
    <w:rsid w:val="00355B92"/>
    <w:rsid w:val="00355BEE"/>
    <w:rsid w:val="00355C36"/>
    <w:rsid w:val="00355C8B"/>
    <w:rsid w:val="00355CA4"/>
    <w:rsid w:val="00355D4A"/>
    <w:rsid w:val="00355DDA"/>
    <w:rsid w:val="00355F6A"/>
    <w:rsid w:val="00355F87"/>
    <w:rsid w:val="003560C6"/>
    <w:rsid w:val="0035614F"/>
    <w:rsid w:val="003563A1"/>
    <w:rsid w:val="003563F5"/>
    <w:rsid w:val="003564F8"/>
    <w:rsid w:val="0035651D"/>
    <w:rsid w:val="0035662A"/>
    <w:rsid w:val="00356779"/>
    <w:rsid w:val="0035677B"/>
    <w:rsid w:val="0035685B"/>
    <w:rsid w:val="00356A05"/>
    <w:rsid w:val="00356C47"/>
    <w:rsid w:val="00356C6A"/>
    <w:rsid w:val="00356D66"/>
    <w:rsid w:val="00356EE6"/>
    <w:rsid w:val="00356F0F"/>
    <w:rsid w:val="00356F34"/>
    <w:rsid w:val="00356F75"/>
    <w:rsid w:val="00356FCB"/>
    <w:rsid w:val="003570BC"/>
    <w:rsid w:val="003572C4"/>
    <w:rsid w:val="00357437"/>
    <w:rsid w:val="003574FD"/>
    <w:rsid w:val="00357581"/>
    <w:rsid w:val="003575D3"/>
    <w:rsid w:val="00357604"/>
    <w:rsid w:val="00357800"/>
    <w:rsid w:val="003578C7"/>
    <w:rsid w:val="00357E37"/>
    <w:rsid w:val="00357E61"/>
    <w:rsid w:val="00357E87"/>
    <w:rsid w:val="00360076"/>
    <w:rsid w:val="003600E2"/>
    <w:rsid w:val="00360118"/>
    <w:rsid w:val="00360323"/>
    <w:rsid w:val="00360664"/>
    <w:rsid w:val="00360710"/>
    <w:rsid w:val="00360760"/>
    <w:rsid w:val="00360905"/>
    <w:rsid w:val="003609F5"/>
    <w:rsid w:val="00360A37"/>
    <w:rsid w:val="00360D10"/>
    <w:rsid w:val="00361164"/>
    <w:rsid w:val="003613FF"/>
    <w:rsid w:val="003614BA"/>
    <w:rsid w:val="003616CA"/>
    <w:rsid w:val="00361737"/>
    <w:rsid w:val="0036184A"/>
    <w:rsid w:val="00361865"/>
    <w:rsid w:val="0036199F"/>
    <w:rsid w:val="00361B54"/>
    <w:rsid w:val="00361D06"/>
    <w:rsid w:val="00361D0D"/>
    <w:rsid w:val="00361FA9"/>
    <w:rsid w:val="00361FC7"/>
    <w:rsid w:val="00362146"/>
    <w:rsid w:val="003621AF"/>
    <w:rsid w:val="003623C1"/>
    <w:rsid w:val="00362478"/>
    <w:rsid w:val="00362532"/>
    <w:rsid w:val="003625A4"/>
    <w:rsid w:val="00362872"/>
    <w:rsid w:val="003628FE"/>
    <w:rsid w:val="0036293A"/>
    <w:rsid w:val="003629B2"/>
    <w:rsid w:val="00362EE6"/>
    <w:rsid w:val="00362EFA"/>
    <w:rsid w:val="0036301B"/>
    <w:rsid w:val="00363053"/>
    <w:rsid w:val="00363095"/>
    <w:rsid w:val="003630E3"/>
    <w:rsid w:val="0036317C"/>
    <w:rsid w:val="003632D6"/>
    <w:rsid w:val="00363599"/>
    <w:rsid w:val="003636A0"/>
    <w:rsid w:val="003636A6"/>
    <w:rsid w:val="00363712"/>
    <w:rsid w:val="00363742"/>
    <w:rsid w:val="003637EC"/>
    <w:rsid w:val="00363853"/>
    <w:rsid w:val="003639F9"/>
    <w:rsid w:val="00363B21"/>
    <w:rsid w:val="00363C46"/>
    <w:rsid w:val="00363D90"/>
    <w:rsid w:val="00363E65"/>
    <w:rsid w:val="00363E95"/>
    <w:rsid w:val="00363EAA"/>
    <w:rsid w:val="00363EB9"/>
    <w:rsid w:val="00364006"/>
    <w:rsid w:val="003641D8"/>
    <w:rsid w:val="00364370"/>
    <w:rsid w:val="00364408"/>
    <w:rsid w:val="003645AD"/>
    <w:rsid w:val="0036460F"/>
    <w:rsid w:val="003646EC"/>
    <w:rsid w:val="003646F8"/>
    <w:rsid w:val="0036496F"/>
    <w:rsid w:val="003649A0"/>
    <w:rsid w:val="00364A02"/>
    <w:rsid w:val="00364A95"/>
    <w:rsid w:val="00364AB3"/>
    <w:rsid w:val="00364C64"/>
    <w:rsid w:val="00364E5D"/>
    <w:rsid w:val="00364EF0"/>
    <w:rsid w:val="00364F04"/>
    <w:rsid w:val="00364F37"/>
    <w:rsid w:val="00364FB3"/>
    <w:rsid w:val="00365034"/>
    <w:rsid w:val="003651E8"/>
    <w:rsid w:val="00365224"/>
    <w:rsid w:val="00365358"/>
    <w:rsid w:val="003654C9"/>
    <w:rsid w:val="0036555D"/>
    <w:rsid w:val="00365618"/>
    <w:rsid w:val="0036581F"/>
    <w:rsid w:val="00365AC2"/>
    <w:rsid w:val="00365C82"/>
    <w:rsid w:val="00365CB9"/>
    <w:rsid w:val="00365DC8"/>
    <w:rsid w:val="00365E50"/>
    <w:rsid w:val="00366047"/>
    <w:rsid w:val="003660A8"/>
    <w:rsid w:val="003660FB"/>
    <w:rsid w:val="00366173"/>
    <w:rsid w:val="0036633A"/>
    <w:rsid w:val="0036647E"/>
    <w:rsid w:val="00366596"/>
    <w:rsid w:val="00366608"/>
    <w:rsid w:val="00366645"/>
    <w:rsid w:val="0036671C"/>
    <w:rsid w:val="00366793"/>
    <w:rsid w:val="003667AE"/>
    <w:rsid w:val="003669DF"/>
    <w:rsid w:val="00366B7B"/>
    <w:rsid w:val="00366EA3"/>
    <w:rsid w:val="00366EF0"/>
    <w:rsid w:val="00366FC1"/>
    <w:rsid w:val="0036717A"/>
    <w:rsid w:val="00367297"/>
    <w:rsid w:val="00367453"/>
    <w:rsid w:val="0036748D"/>
    <w:rsid w:val="003675C2"/>
    <w:rsid w:val="00367B40"/>
    <w:rsid w:val="00367B6B"/>
    <w:rsid w:val="00367C34"/>
    <w:rsid w:val="00367C52"/>
    <w:rsid w:val="00367C60"/>
    <w:rsid w:val="00367D5E"/>
    <w:rsid w:val="00367FF7"/>
    <w:rsid w:val="00370101"/>
    <w:rsid w:val="0037011A"/>
    <w:rsid w:val="0037034D"/>
    <w:rsid w:val="003703AB"/>
    <w:rsid w:val="0037043A"/>
    <w:rsid w:val="0037054B"/>
    <w:rsid w:val="003705C6"/>
    <w:rsid w:val="003706D3"/>
    <w:rsid w:val="0037098F"/>
    <w:rsid w:val="00370BDD"/>
    <w:rsid w:val="00370BE6"/>
    <w:rsid w:val="00370C21"/>
    <w:rsid w:val="00370CE1"/>
    <w:rsid w:val="00370D57"/>
    <w:rsid w:val="00370DBA"/>
    <w:rsid w:val="00370EC3"/>
    <w:rsid w:val="00370F05"/>
    <w:rsid w:val="00371080"/>
    <w:rsid w:val="003710CF"/>
    <w:rsid w:val="0037119A"/>
    <w:rsid w:val="003712FB"/>
    <w:rsid w:val="0037139F"/>
    <w:rsid w:val="0037146D"/>
    <w:rsid w:val="00371699"/>
    <w:rsid w:val="00371778"/>
    <w:rsid w:val="003717EF"/>
    <w:rsid w:val="00371BB6"/>
    <w:rsid w:val="00371BCF"/>
    <w:rsid w:val="00371C11"/>
    <w:rsid w:val="00372237"/>
    <w:rsid w:val="00372296"/>
    <w:rsid w:val="003723CE"/>
    <w:rsid w:val="0037245E"/>
    <w:rsid w:val="00372529"/>
    <w:rsid w:val="0037259E"/>
    <w:rsid w:val="0037263D"/>
    <w:rsid w:val="00372684"/>
    <w:rsid w:val="003727DA"/>
    <w:rsid w:val="0037287C"/>
    <w:rsid w:val="003728B9"/>
    <w:rsid w:val="0037298E"/>
    <w:rsid w:val="003729AE"/>
    <w:rsid w:val="00372ACD"/>
    <w:rsid w:val="00372B66"/>
    <w:rsid w:val="00372D94"/>
    <w:rsid w:val="00373296"/>
    <w:rsid w:val="00373323"/>
    <w:rsid w:val="00373525"/>
    <w:rsid w:val="0037382F"/>
    <w:rsid w:val="00373A1D"/>
    <w:rsid w:val="00373AD0"/>
    <w:rsid w:val="00373BF8"/>
    <w:rsid w:val="00373C7E"/>
    <w:rsid w:val="00373C8F"/>
    <w:rsid w:val="00373C92"/>
    <w:rsid w:val="00374253"/>
    <w:rsid w:val="00374310"/>
    <w:rsid w:val="00374459"/>
    <w:rsid w:val="00374633"/>
    <w:rsid w:val="00374659"/>
    <w:rsid w:val="00374890"/>
    <w:rsid w:val="003749C8"/>
    <w:rsid w:val="00374A2A"/>
    <w:rsid w:val="00374B61"/>
    <w:rsid w:val="00374B6E"/>
    <w:rsid w:val="00374BC7"/>
    <w:rsid w:val="00374D21"/>
    <w:rsid w:val="00374E27"/>
    <w:rsid w:val="00374FB9"/>
    <w:rsid w:val="0037506E"/>
    <w:rsid w:val="0037510D"/>
    <w:rsid w:val="0037519C"/>
    <w:rsid w:val="003751C6"/>
    <w:rsid w:val="0037525C"/>
    <w:rsid w:val="003753B2"/>
    <w:rsid w:val="00375665"/>
    <w:rsid w:val="003756DE"/>
    <w:rsid w:val="003757AC"/>
    <w:rsid w:val="0037581D"/>
    <w:rsid w:val="0037590D"/>
    <w:rsid w:val="00375AB2"/>
    <w:rsid w:val="00375B5A"/>
    <w:rsid w:val="00375BEC"/>
    <w:rsid w:val="00375C89"/>
    <w:rsid w:val="00375D57"/>
    <w:rsid w:val="00375D98"/>
    <w:rsid w:val="00375EDD"/>
    <w:rsid w:val="003760CC"/>
    <w:rsid w:val="00376427"/>
    <w:rsid w:val="003767D8"/>
    <w:rsid w:val="003767F1"/>
    <w:rsid w:val="003769BD"/>
    <w:rsid w:val="00376A3D"/>
    <w:rsid w:val="00376BC8"/>
    <w:rsid w:val="00376F11"/>
    <w:rsid w:val="00376FE4"/>
    <w:rsid w:val="00376FEC"/>
    <w:rsid w:val="00377165"/>
    <w:rsid w:val="00377184"/>
    <w:rsid w:val="0037720D"/>
    <w:rsid w:val="0037742F"/>
    <w:rsid w:val="0037753A"/>
    <w:rsid w:val="00377690"/>
    <w:rsid w:val="00377982"/>
    <w:rsid w:val="00377C4D"/>
    <w:rsid w:val="00377C52"/>
    <w:rsid w:val="00377C92"/>
    <w:rsid w:val="00377D18"/>
    <w:rsid w:val="00377D71"/>
    <w:rsid w:val="00377FE9"/>
    <w:rsid w:val="003800F7"/>
    <w:rsid w:val="003803F3"/>
    <w:rsid w:val="00380708"/>
    <w:rsid w:val="00380784"/>
    <w:rsid w:val="0038079C"/>
    <w:rsid w:val="0038082F"/>
    <w:rsid w:val="00380890"/>
    <w:rsid w:val="003808C5"/>
    <w:rsid w:val="00380921"/>
    <w:rsid w:val="00380922"/>
    <w:rsid w:val="00380ADA"/>
    <w:rsid w:val="00380B99"/>
    <w:rsid w:val="00380D93"/>
    <w:rsid w:val="00380DD9"/>
    <w:rsid w:val="00380DEF"/>
    <w:rsid w:val="00381108"/>
    <w:rsid w:val="0038129A"/>
    <w:rsid w:val="0038133D"/>
    <w:rsid w:val="0038160D"/>
    <w:rsid w:val="003816B6"/>
    <w:rsid w:val="00381783"/>
    <w:rsid w:val="003817C5"/>
    <w:rsid w:val="003819A5"/>
    <w:rsid w:val="00381AF9"/>
    <w:rsid w:val="00381B18"/>
    <w:rsid w:val="00381E21"/>
    <w:rsid w:val="00382024"/>
    <w:rsid w:val="003820FB"/>
    <w:rsid w:val="00382115"/>
    <w:rsid w:val="003821A9"/>
    <w:rsid w:val="0038254D"/>
    <w:rsid w:val="003825F8"/>
    <w:rsid w:val="003825FC"/>
    <w:rsid w:val="00382659"/>
    <w:rsid w:val="00382723"/>
    <w:rsid w:val="003828A7"/>
    <w:rsid w:val="003828DB"/>
    <w:rsid w:val="0038292D"/>
    <w:rsid w:val="00382985"/>
    <w:rsid w:val="00382B15"/>
    <w:rsid w:val="00382B58"/>
    <w:rsid w:val="00382B69"/>
    <w:rsid w:val="00382BED"/>
    <w:rsid w:val="00382BFD"/>
    <w:rsid w:val="00382E0B"/>
    <w:rsid w:val="00382F74"/>
    <w:rsid w:val="00382FB5"/>
    <w:rsid w:val="003831C4"/>
    <w:rsid w:val="00383242"/>
    <w:rsid w:val="00383285"/>
    <w:rsid w:val="003832CD"/>
    <w:rsid w:val="003832DB"/>
    <w:rsid w:val="003832FE"/>
    <w:rsid w:val="00383325"/>
    <w:rsid w:val="0038345F"/>
    <w:rsid w:val="003836C8"/>
    <w:rsid w:val="0038392A"/>
    <w:rsid w:val="00383964"/>
    <w:rsid w:val="003839C5"/>
    <w:rsid w:val="003839C6"/>
    <w:rsid w:val="00383B79"/>
    <w:rsid w:val="00383BA3"/>
    <w:rsid w:val="00383DA7"/>
    <w:rsid w:val="00383F42"/>
    <w:rsid w:val="0038403E"/>
    <w:rsid w:val="003840D0"/>
    <w:rsid w:val="00384254"/>
    <w:rsid w:val="003844ED"/>
    <w:rsid w:val="0038456D"/>
    <w:rsid w:val="003846E0"/>
    <w:rsid w:val="003848FC"/>
    <w:rsid w:val="00384A83"/>
    <w:rsid w:val="00384B2C"/>
    <w:rsid w:val="00384C26"/>
    <w:rsid w:val="00384C64"/>
    <w:rsid w:val="00384CA3"/>
    <w:rsid w:val="00384CB1"/>
    <w:rsid w:val="00384CE5"/>
    <w:rsid w:val="00384DA1"/>
    <w:rsid w:val="00384F7C"/>
    <w:rsid w:val="003850B3"/>
    <w:rsid w:val="00385237"/>
    <w:rsid w:val="003852A7"/>
    <w:rsid w:val="0038539C"/>
    <w:rsid w:val="00385641"/>
    <w:rsid w:val="00385785"/>
    <w:rsid w:val="003857A2"/>
    <w:rsid w:val="003858FD"/>
    <w:rsid w:val="00385A6C"/>
    <w:rsid w:val="00385BB1"/>
    <w:rsid w:val="00385C2D"/>
    <w:rsid w:val="00385D74"/>
    <w:rsid w:val="00385DC7"/>
    <w:rsid w:val="00385DDF"/>
    <w:rsid w:val="00385E6E"/>
    <w:rsid w:val="00385FBE"/>
    <w:rsid w:val="00386358"/>
    <w:rsid w:val="003863C1"/>
    <w:rsid w:val="00386448"/>
    <w:rsid w:val="003864CA"/>
    <w:rsid w:val="0038664E"/>
    <w:rsid w:val="00386656"/>
    <w:rsid w:val="00386711"/>
    <w:rsid w:val="00386769"/>
    <w:rsid w:val="003867E7"/>
    <w:rsid w:val="00386854"/>
    <w:rsid w:val="00386CF2"/>
    <w:rsid w:val="00386DA2"/>
    <w:rsid w:val="00386DD5"/>
    <w:rsid w:val="00386E7F"/>
    <w:rsid w:val="00386F68"/>
    <w:rsid w:val="00386FCA"/>
    <w:rsid w:val="00387004"/>
    <w:rsid w:val="003870FB"/>
    <w:rsid w:val="00387115"/>
    <w:rsid w:val="0038719F"/>
    <w:rsid w:val="0038730F"/>
    <w:rsid w:val="00387411"/>
    <w:rsid w:val="003875C1"/>
    <w:rsid w:val="003875DD"/>
    <w:rsid w:val="0038779C"/>
    <w:rsid w:val="00387810"/>
    <w:rsid w:val="00387A10"/>
    <w:rsid w:val="00387AF3"/>
    <w:rsid w:val="00387D12"/>
    <w:rsid w:val="00387EAE"/>
    <w:rsid w:val="00387FBB"/>
    <w:rsid w:val="00387FE5"/>
    <w:rsid w:val="003902C4"/>
    <w:rsid w:val="00390565"/>
    <w:rsid w:val="00390573"/>
    <w:rsid w:val="00390628"/>
    <w:rsid w:val="003906CA"/>
    <w:rsid w:val="003906FD"/>
    <w:rsid w:val="0039073A"/>
    <w:rsid w:val="0039077B"/>
    <w:rsid w:val="00390AB9"/>
    <w:rsid w:val="00390B75"/>
    <w:rsid w:val="00390BDC"/>
    <w:rsid w:val="00390C7E"/>
    <w:rsid w:val="00390D33"/>
    <w:rsid w:val="00391129"/>
    <w:rsid w:val="003911F6"/>
    <w:rsid w:val="0039135A"/>
    <w:rsid w:val="0039137C"/>
    <w:rsid w:val="0039147C"/>
    <w:rsid w:val="00391482"/>
    <w:rsid w:val="003914E1"/>
    <w:rsid w:val="003916BC"/>
    <w:rsid w:val="0039170E"/>
    <w:rsid w:val="003918CD"/>
    <w:rsid w:val="003918E6"/>
    <w:rsid w:val="003919F5"/>
    <w:rsid w:val="00391AD9"/>
    <w:rsid w:val="00391AED"/>
    <w:rsid w:val="00391C05"/>
    <w:rsid w:val="00391C55"/>
    <w:rsid w:val="00391E33"/>
    <w:rsid w:val="00392169"/>
    <w:rsid w:val="0039217E"/>
    <w:rsid w:val="003921CC"/>
    <w:rsid w:val="00392B3A"/>
    <w:rsid w:val="00392B9E"/>
    <w:rsid w:val="00392D2B"/>
    <w:rsid w:val="0039302D"/>
    <w:rsid w:val="00393610"/>
    <w:rsid w:val="0039373C"/>
    <w:rsid w:val="00393788"/>
    <w:rsid w:val="003937A5"/>
    <w:rsid w:val="003937F7"/>
    <w:rsid w:val="003938F5"/>
    <w:rsid w:val="00393945"/>
    <w:rsid w:val="00393992"/>
    <w:rsid w:val="00393A2F"/>
    <w:rsid w:val="00393BBC"/>
    <w:rsid w:val="00393CEF"/>
    <w:rsid w:val="00393CF1"/>
    <w:rsid w:val="00393D14"/>
    <w:rsid w:val="00393E3B"/>
    <w:rsid w:val="00393F00"/>
    <w:rsid w:val="0039414D"/>
    <w:rsid w:val="0039437A"/>
    <w:rsid w:val="003943B7"/>
    <w:rsid w:val="00394441"/>
    <w:rsid w:val="00394539"/>
    <w:rsid w:val="0039479B"/>
    <w:rsid w:val="003948DF"/>
    <w:rsid w:val="00394915"/>
    <w:rsid w:val="00394B06"/>
    <w:rsid w:val="00394B81"/>
    <w:rsid w:val="00394C4E"/>
    <w:rsid w:val="00394D59"/>
    <w:rsid w:val="00394D63"/>
    <w:rsid w:val="003950D6"/>
    <w:rsid w:val="0039527C"/>
    <w:rsid w:val="003952DC"/>
    <w:rsid w:val="0039554F"/>
    <w:rsid w:val="00395A7F"/>
    <w:rsid w:val="00395B25"/>
    <w:rsid w:val="00395E05"/>
    <w:rsid w:val="00395E51"/>
    <w:rsid w:val="00395E5C"/>
    <w:rsid w:val="00395F6E"/>
    <w:rsid w:val="00395F97"/>
    <w:rsid w:val="00396038"/>
    <w:rsid w:val="0039604E"/>
    <w:rsid w:val="00396162"/>
    <w:rsid w:val="0039625D"/>
    <w:rsid w:val="0039633C"/>
    <w:rsid w:val="003963CB"/>
    <w:rsid w:val="0039647B"/>
    <w:rsid w:val="003968D2"/>
    <w:rsid w:val="00396A5C"/>
    <w:rsid w:val="00396C28"/>
    <w:rsid w:val="00396C33"/>
    <w:rsid w:val="00396D71"/>
    <w:rsid w:val="00396E01"/>
    <w:rsid w:val="00396F8B"/>
    <w:rsid w:val="00397009"/>
    <w:rsid w:val="00397157"/>
    <w:rsid w:val="00397180"/>
    <w:rsid w:val="0039756E"/>
    <w:rsid w:val="003976D4"/>
    <w:rsid w:val="0039776F"/>
    <w:rsid w:val="003977EB"/>
    <w:rsid w:val="003978D0"/>
    <w:rsid w:val="003979AD"/>
    <w:rsid w:val="00397A11"/>
    <w:rsid w:val="00397A54"/>
    <w:rsid w:val="00397B57"/>
    <w:rsid w:val="00397C92"/>
    <w:rsid w:val="00397F66"/>
    <w:rsid w:val="00397FC7"/>
    <w:rsid w:val="00397FE5"/>
    <w:rsid w:val="003A0045"/>
    <w:rsid w:val="003A0065"/>
    <w:rsid w:val="003A0081"/>
    <w:rsid w:val="003A0099"/>
    <w:rsid w:val="003A00DB"/>
    <w:rsid w:val="003A00EA"/>
    <w:rsid w:val="003A03AC"/>
    <w:rsid w:val="003A03DC"/>
    <w:rsid w:val="003A03EA"/>
    <w:rsid w:val="003A0594"/>
    <w:rsid w:val="003A07D1"/>
    <w:rsid w:val="003A0A3E"/>
    <w:rsid w:val="003A0B94"/>
    <w:rsid w:val="003A0D36"/>
    <w:rsid w:val="003A0D39"/>
    <w:rsid w:val="003A0D46"/>
    <w:rsid w:val="003A0D9A"/>
    <w:rsid w:val="003A0D9E"/>
    <w:rsid w:val="003A0E64"/>
    <w:rsid w:val="003A129F"/>
    <w:rsid w:val="003A13B9"/>
    <w:rsid w:val="003A144A"/>
    <w:rsid w:val="003A14D9"/>
    <w:rsid w:val="003A15BA"/>
    <w:rsid w:val="003A1644"/>
    <w:rsid w:val="003A168B"/>
    <w:rsid w:val="003A1745"/>
    <w:rsid w:val="003A1CD7"/>
    <w:rsid w:val="003A1D86"/>
    <w:rsid w:val="003A1E1A"/>
    <w:rsid w:val="003A1F8A"/>
    <w:rsid w:val="003A1FE8"/>
    <w:rsid w:val="003A2282"/>
    <w:rsid w:val="003A2429"/>
    <w:rsid w:val="003A259D"/>
    <w:rsid w:val="003A29E7"/>
    <w:rsid w:val="003A2AAF"/>
    <w:rsid w:val="003A2AF0"/>
    <w:rsid w:val="003A2B8D"/>
    <w:rsid w:val="003A2C02"/>
    <w:rsid w:val="003A2C27"/>
    <w:rsid w:val="003A2C55"/>
    <w:rsid w:val="003A2DCC"/>
    <w:rsid w:val="003A3041"/>
    <w:rsid w:val="003A3082"/>
    <w:rsid w:val="003A321F"/>
    <w:rsid w:val="003A3244"/>
    <w:rsid w:val="003A349A"/>
    <w:rsid w:val="003A353C"/>
    <w:rsid w:val="003A3676"/>
    <w:rsid w:val="003A37D9"/>
    <w:rsid w:val="003A3874"/>
    <w:rsid w:val="003A38FC"/>
    <w:rsid w:val="003A3B52"/>
    <w:rsid w:val="003A3DD9"/>
    <w:rsid w:val="003A3EB6"/>
    <w:rsid w:val="003A40DA"/>
    <w:rsid w:val="003A442B"/>
    <w:rsid w:val="003A45A0"/>
    <w:rsid w:val="003A469E"/>
    <w:rsid w:val="003A46E8"/>
    <w:rsid w:val="003A4757"/>
    <w:rsid w:val="003A47C1"/>
    <w:rsid w:val="003A47F3"/>
    <w:rsid w:val="003A48A5"/>
    <w:rsid w:val="003A48F1"/>
    <w:rsid w:val="003A4A5A"/>
    <w:rsid w:val="003A4C4B"/>
    <w:rsid w:val="003A4E56"/>
    <w:rsid w:val="003A4EB9"/>
    <w:rsid w:val="003A50C7"/>
    <w:rsid w:val="003A51D1"/>
    <w:rsid w:val="003A5393"/>
    <w:rsid w:val="003A57AC"/>
    <w:rsid w:val="003A59B7"/>
    <w:rsid w:val="003A59D5"/>
    <w:rsid w:val="003A59E5"/>
    <w:rsid w:val="003A59FF"/>
    <w:rsid w:val="003A5C5C"/>
    <w:rsid w:val="003A5CD6"/>
    <w:rsid w:val="003A5FAC"/>
    <w:rsid w:val="003A5FDB"/>
    <w:rsid w:val="003A6076"/>
    <w:rsid w:val="003A60B4"/>
    <w:rsid w:val="003A61F1"/>
    <w:rsid w:val="003A672F"/>
    <w:rsid w:val="003A6845"/>
    <w:rsid w:val="003A686C"/>
    <w:rsid w:val="003A68B5"/>
    <w:rsid w:val="003A690A"/>
    <w:rsid w:val="003A696B"/>
    <w:rsid w:val="003A697A"/>
    <w:rsid w:val="003A6A4C"/>
    <w:rsid w:val="003A6BB4"/>
    <w:rsid w:val="003A6CA4"/>
    <w:rsid w:val="003A6E5E"/>
    <w:rsid w:val="003A6F33"/>
    <w:rsid w:val="003A715F"/>
    <w:rsid w:val="003A7385"/>
    <w:rsid w:val="003A77EB"/>
    <w:rsid w:val="003A7B12"/>
    <w:rsid w:val="003A7B33"/>
    <w:rsid w:val="003A7BBF"/>
    <w:rsid w:val="003A7D69"/>
    <w:rsid w:val="003A7E00"/>
    <w:rsid w:val="003A7E87"/>
    <w:rsid w:val="003A7FD4"/>
    <w:rsid w:val="003B0000"/>
    <w:rsid w:val="003B001B"/>
    <w:rsid w:val="003B004B"/>
    <w:rsid w:val="003B008A"/>
    <w:rsid w:val="003B0317"/>
    <w:rsid w:val="003B0567"/>
    <w:rsid w:val="003B05FE"/>
    <w:rsid w:val="003B0661"/>
    <w:rsid w:val="003B0676"/>
    <w:rsid w:val="003B06B9"/>
    <w:rsid w:val="003B083D"/>
    <w:rsid w:val="003B0A7B"/>
    <w:rsid w:val="003B0CAC"/>
    <w:rsid w:val="003B0CE5"/>
    <w:rsid w:val="003B0D3B"/>
    <w:rsid w:val="003B0F21"/>
    <w:rsid w:val="003B0FEC"/>
    <w:rsid w:val="003B1349"/>
    <w:rsid w:val="003B15B4"/>
    <w:rsid w:val="003B15F3"/>
    <w:rsid w:val="003B15FD"/>
    <w:rsid w:val="003B1630"/>
    <w:rsid w:val="003B16F9"/>
    <w:rsid w:val="003B17B2"/>
    <w:rsid w:val="003B17B3"/>
    <w:rsid w:val="003B184A"/>
    <w:rsid w:val="003B1AF6"/>
    <w:rsid w:val="003B1B45"/>
    <w:rsid w:val="003B1BAE"/>
    <w:rsid w:val="003B1BF7"/>
    <w:rsid w:val="003B1ED2"/>
    <w:rsid w:val="003B1F58"/>
    <w:rsid w:val="003B1FFB"/>
    <w:rsid w:val="003B20B6"/>
    <w:rsid w:val="003B227A"/>
    <w:rsid w:val="003B233D"/>
    <w:rsid w:val="003B23CF"/>
    <w:rsid w:val="003B2425"/>
    <w:rsid w:val="003B2528"/>
    <w:rsid w:val="003B2645"/>
    <w:rsid w:val="003B2778"/>
    <w:rsid w:val="003B28F4"/>
    <w:rsid w:val="003B2911"/>
    <w:rsid w:val="003B296D"/>
    <w:rsid w:val="003B2BC5"/>
    <w:rsid w:val="003B2C26"/>
    <w:rsid w:val="003B2DF3"/>
    <w:rsid w:val="003B2E7C"/>
    <w:rsid w:val="003B2F93"/>
    <w:rsid w:val="003B2F96"/>
    <w:rsid w:val="003B30B6"/>
    <w:rsid w:val="003B30E2"/>
    <w:rsid w:val="003B3169"/>
    <w:rsid w:val="003B346D"/>
    <w:rsid w:val="003B353B"/>
    <w:rsid w:val="003B355F"/>
    <w:rsid w:val="003B35C4"/>
    <w:rsid w:val="003B3627"/>
    <w:rsid w:val="003B36FE"/>
    <w:rsid w:val="003B3710"/>
    <w:rsid w:val="003B3A6D"/>
    <w:rsid w:val="003B3B18"/>
    <w:rsid w:val="003B3B79"/>
    <w:rsid w:val="003B3BB8"/>
    <w:rsid w:val="003B3C74"/>
    <w:rsid w:val="003B3D30"/>
    <w:rsid w:val="003B3DB1"/>
    <w:rsid w:val="003B3FE9"/>
    <w:rsid w:val="003B416A"/>
    <w:rsid w:val="003B4284"/>
    <w:rsid w:val="003B441C"/>
    <w:rsid w:val="003B46A6"/>
    <w:rsid w:val="003B4829"/>
    <w:rsid w:val="003B4875"/>
    <w:rsid w:val="003B49CB"/>
    <w:rsid w:val="003B4BCD"/>
    <w:rsid w:val="003B4D53"/>
    <w:rsid w:val="003B4E60"/>
    <w:rsid w:val="003B4EDF"/>
    <w:rsid w:val="003B50B9"/>
    <w:rsid w:val="003B50C0"/>
    <w:rsid w:val="003B524F"/>
    <w:rsid w:val="003B52E6"/>
    <w:rsid w:val="003B52E9"/>
    <w:rsid w:val="003B5337"/>
    <w:rsid w:val="003B5593"/>
    <w:rsid w:val="003B5663"/>
    <w:rsid w:val="003B5708"/>
    <w:rsid w:val="003B59B5"/>
    <w:rsid w:val="003B5A8C"/>
    <w:rsid w:val="003B5DBF"/>
    <w:rsid w:val="003B5E32"/>
    <w:rsid w:val="003B5E9B"/>
    <w:rsid w:val="003B5F3B"/>
    <w:rsid w:val="003B605B"/>
    <w:rsid w:val="003B60E5"/>
    <w:rsid w:val="003B627C"/>
    <w:rsid w:val="003B6351"/>
    <w:rsid w:val="003B6545"/>
    <w:rsid w:val="003B6551"/>
    <w:rsid w:val="003B669F"/>
    <w:rsid w:val="003B66F9"/>
    <w:rsid w:val="003B67B7"/>
    <w:rsid w:val="003B68C0"/>
    <w:rsid w:val="003B6A54"/>
    <w:rsid w:val="003B6DC5"/>
    <w:rsid w:val="003B6F43"/>
    <w:rsid w:val="003B701E"/>
    <w:rsid w:val="003B703A"/>
    <w:rsid w:val="003B71ED"/>
    <w:rsid w:val="003B723C"/>
    <w:rsid w:val="003B72D5"/>
    <w:rsid w:val="003B72EB"/>
    <w:rsid w:val="003B7480"/>
    <w:rsid w:val="003B7721"/>
    <w:rsid w:val="003B782C"/>
    <w:rsid w:val="003B7A99"/>
    <w:rsid w:val="003B7B42"/>
    <w:rsid w:val="003B7D67"/>
    <w:rsid w:val="003B7E42"/>
    <w:rsid w:val="003B7F7C"/>
    <w:rsid w:val="003C01F5"/>
    <w:rsid w:val="003C0315"/>
    <w:rsid w:val="003C039B"/>
    <w:rsid w:val="003C03CF"/>
    <w:rsid w:val="003C0555"/>
    <w:rsid w:val="003C05C3"/>
    <w:rsid w:val="003C08AC"/>
    <w:rsid w:val="003C09F1"/>
    <w:rsid w:val="003C0A56"/>
    <w:rsid w:val="003C0ADA"/>
    <w:rsid w:val="003C0AE3"/>
    <w:rsid w:val="003C0C4C"/>
    <w:rsid w:val="003C0DB0"/>
    <w:rsid w:val="003C0DDD"/>
    <w:rsid w:val="003C0FD0"/>
    <w:rsid w:val="003C11BE"/>
    <w:rsid w:val="003C11CF"/>
    <w:rsid w:val="003C122B"/>
    <w:rsid w:val="003C123E"/>
    <w:rsid w:val="003C12E0"/>
    <w:rsid w:val="003C1434"/>
    <w:rsid w:val="003C1454"/>
    <w:rsid w:val="003C1469"/>
    <w:rsid w:val="003C1483"/>
    <w:rsid w:val="003C193B"/>
    <w:rsid w:val="003C19E1"/>
    <w:rsid w:val="003C1A51"/>
    <w:rsid w:val="003C1AE5"/>
    <w:rsid w:val="003C1BF3"/>
    <w:rsid w:val="003C1D2F"/>
    <w:rsid w:val="003C1DE9"/>
    <w:rsid w:val="003C1DEF"/>
    <w:rsid w:val="003C1E26"/>
    <w:rsid w:val="003C1E6F"/>
    <w:rsid w:val="003C2083"/>
    <w:rsid w:val="003C20AE"/>
    <w:rsid w:val="003C21E5"/>
    <w:rsid w:val="003C24E9"/>
    <w:rsid w:val="003C2520"/>
    <w:rsid w:val="003C26C4"/>
    <w:rsid w:val="003C28ED"/>
    <w:rsid w:val="003C2928"/>
    <w:rsid w:val="003C2AFF"/>
    <w:rsid w:val="003C2B6D"/>
    <w:rsid w:val="003C2B85"/>
    <w:rsid w:val="003C2CE3"/>
    <w:rsid w:val="003C2D7F"/>
    <w:rsid w:val="003C2DA3"/>
    <w:rsid w:val="003C2DE8"/>
    <w:rsid w:val="003C2E80"/>
    <w:rsid w:val="003C2E86"/>
    <w:rsid w:val="003C2EB9"/>
    <w:rsid w:val="003C3198"/>
    <w:rsid w:val="003C31E9"/>
    <w:rsid w:val="003C3580"/>
    <w:rsid w:val="003C35E0"/>
    <w:rsid w:val="003C396F"/>
    <w:rsid w:val="003C39DE"/>
    <w:rsid w:val="003C3AB1"/>
    <w:rsid w:val="003C3CB6"/>
    <w:rsid w:val="003C3D26"/>
    <w:rsid w:val="003C3E00"/>
    <w:rsid w:val="003C4094"/>
    <w:rsid w:val="003C4110"/>
    <w:rsid w:val="003C4267"/>
    <w:rsid w:val="003C4569"/>
    <w:rsid w:val="003C456C"/>
    <w:rsid w:val="003C46C7"/>
    <w:rsid w:val="003C49A4"/>
    <w:rsid w:val="003C4A5B"/>
    <w:rsid w:val="003C4BBC"/>
    <w:rsid w:val="003C4BD8"/>
    <w:rsid w:val="003C4C8A"/>
    <w:rsid w:val="003C4CC6"/>
    <w:rsid w:val="003C4D35"/>
    <w:rsid w:val="003C4D37"/>
    <w:rsid w:val="003C4D69"/>
    <w:rsid w:val="003C4F15"/>
    <w:rsid w:val="003C4F37"/>
    <w:rsid w:val="003C4F8C"/>
    <w:rsid w:val="003C5343"/>
    <w:rsid w:val="003C5430"/>
    <w:rsid w:val="003C570A"/>
    <w:rsid w:val="003C598F"/>
    <w:rsid w:val="003C5B08"/>
    <w:rsid w:val="003C5B10"/>
    <w:rsid w:val="003C5C6D"/>
    <w:rsid w:val="003C5DEE"/>
    <w:rsid w:val="003C5EEC"/>
    <w:rsid w:val="003C5FEF"/>
    <w:rsid w:val="003C6224"/>
    <w:rsid w:val="003C635C"/>
    <w:rsid w:val="003C63F6"/>
    <w:rsid w:val="003C65E8"/>
    <w:rsid w:val="003C664B"/>
    <w:rsid w:val="003C66A4"/>
    <w:rsid w:val="003C674C"/>
    <w:rsid w:val="003C6852"/>
    <w:rsid w:val="003C697A"/>
    <w:rsid w:val="003C6AFE"/>
    <w:rsid w:val="003C6E09"/>
    <w:rsid w:val="003C6E6B"/>
    <w:rsid w:val="003C6E7C"/>
    <w:rsid w:val="003C6FE2"/>
    <w:rsid w:val="003C7074"/>
    <w:rsid w:val="003C70D0"/>
    <w:rsid w:val="003C7106"/>
    <w:rsid w:val="003C7160"/>
    <w:rsid w:val="003C71E8"/>
    <w:rsid w:val="003C739B"/>
    <w:rsid w:val="003C760E"/>
    <w:rsid w:val="003C7618"/>
    <w:rsid w:val="003C7824"/>
    <w:rsid w:val="003C7BA6"/>
    <w:rsid w:val="003C7F24"/>
    <w:rsid w:val="003C7F67"/>
    <w:rsid w:val="003D0218"/>
    <w:rsid w:val="003D04F5"/>
    <w:rsid w:val="003D059E"/>
    <w:rsid w:val="003D0635"/>
    <w:rsid w:val="003D0709"/>
    <w:rsid w:val="003D0858"/>
    <w:rsid w:val="003D08AF"/>
    <w:rsid w:val="003D08BF"/>
    <w:rsid w:val="003D0949"/>
    <w:rsid w:val="003D09A8"/>
    <w:rsid w:val="003D0B8D"/>
    <w:rsid w:val="003D0BF0"/>
    <w:rsid w:val="003D0C18"/>
    <w:rsid w:val="003D0D91"/>
    <w:rsid w:val="003D0DF0"/>
    <w:rsid w:val="003D0F85"/>
    <w:rsid w:val="003D0F9B"/>
    <w:rsid w:val="003D0FA8"/>
    <w:rsid w:val="003D12F2"/>
    <w:rsid w:val="003D1342"/>
    <w:rsid w:val="003D1379"/>
    <w:rsid w:val="003D14DD"/>
    <w:rsid w:val="003D188F"/>
    <w:rsid w:val="003D18D2"/>
    <w:rsid w:val="003D1AF7"/>
    <w:rsid w:val="003D200F"/>
    <w:rsid w:val="003D20A4"/>
    <w:rsid w:val="003D2402"/>
    <w:rsid w:val="003D243F"/>
    <w:rsid w:val="003D2666"/>
    <w:rsid w:val="003D2940"/>
    <w:rsid w:val="003D2AA5"/>
    <w:rsid w:val="003D2CA0"/>
    <w:rsid w:val="003D2CE9"/>
    <w:rsid w:val="003D2DC5"/>
    <w:rsid w:val="003D2EDB"/>
    <w:rsid w:val="003D2F60"/>
    <w:rsid w:val="003D30A0"/>
    <w:rsid w:val="003D3357"/>
    <w:rsid w:val="003D3705"/>
    <w:rsid w:val="003D37DD"/>
    <w:rsid w:val="003D3899"/>
    <w:rsid w:val="003D39AF"/>
    <w:rsid w:val="003D3AD4"/>
    <w:rsid w:val="003D3CD9"/>
    <w:rsid w:val="003D3D23"/>
    <w:rsid w:val="003D3D51"/>
    <w:rsid w:val="003D3EB3"/>
    <w:rsid w:val="003D3F49"/>
    <w:rsid w:val="003D449A"/>
    <w:rsid w:val="003D44F5"/>
    <w:rsid w:val="003D48BC"/>
    <w:rsid w:val="003D4AB7"/>
    <w:rsid w:val="003D4AE2"/>
    <w:rsid w:val="003D4B7C"/>
    <w:rsid w:val="003D4BE9"/>
    <w:rsid w:val="003D4D8F"/>
    <w:rsid w:val="003D4D9A"/>
    <w:rsid w:val="003D4E5B"/>
    <w:rsid w:val="003D4E9B"/>
    <w:rsid w:val="003D4F54"/>
    <w:rsid w:val="003D4FD0"/>
    <w:rsid w:val="003D50CD"/>
    <w:rsid w:val="003D5127"/>
    <w:rsid w:val="003D52C2"/>
    <w:rsid w:val="003D5580"/>
    <w:rsid w:val="003D5672"/>
    <w:rsid w:val="003D5810"/>
    <w:rsid w:val="003D5849"/>
    <w:rsid w:val="003D59BF"/>
    <w:rsid w:val="003D5D1A"/>
    <w:rsid w:val="003D5D78"/>
    <w:rsid w:val="003D5D97"/>
    <w:rsid w:val="003D5E85"/>
    <w:rsid w:val="003D5EA7"/>
    <w:rsid w:val="003D633F"/>
    <w:rsid w:val="003D63CD"/>
    <w:rsid w:val="003D65BB"/>
    <w:rsid w:val="003D67B1"/>
    <w:rsid w:val="003D68FF"/>
    <w:rsid w:val="003D696B"/>
    <w:rsid w:val="003D6995"/>
    <w:rsid w:val="003D69DA"/>
    <w:rsid w:val="003D6B21"/>
    <w:rsid w:val="003D6B90"/>
    <w:rsid w:val="003D6BCD"/>
    <w:rsid w:val="003D6D20"/>
    <w:rsid w:val="003D6DB1"/>
    <w:rsid w:val="003D6F4A"/>
    <w:rsid w:val="003D6F64"/>
    <w:rsid w:val="003D72CC"/>
    <w:rsid w:val="003D74BA"/>
    <w:rsid w:val="003D752F"/>
    <w:rsid w:val="003D76BF"/>
    <w:rsid w:val="003D77BD"/>
    <w:rsid w:val="003D7918"/>
    <w:rsid w:val="003D7A11"/>
    <w:rsid w:val="003D7B2D"/>
    <w:rsid w:val="003D7BD1"/>
    <w:rsid w:val="003D7C0D"/>
    <w:rsid w:val="003D7CBC"/>
    <w:rsid w:val="003D7F2D"/>
    <w:rsid w:val="003D7F43"/>
    <w:rsid w:val="003E002E"/>
    <w:rsid w:val="003E01D7"/>
    <w:rsid w:val="003E01E0"/>
    <w:rsid w:val="003E024A"/>
    <w:rsid w:val="003E0300"/>
    <w:rsid w:val="003E0317"/>
    <w:rsid w:val="003E033C"/>
    <w:rsid w:val="003E0342"/>
    <w:rsid w:val="003E0353"/>
    <w:rsid w:val="003E0391"/>
    <w:rsid w:val="003E03BF"/>
    <w:rsid w:val="003E0469"/>
    <w:rsid w:val="003E0569"/>
    <w:rsid w:val="003E05AB"/>
    <w:rsid w:val="003E05F5"/>
    <w:rsid w:val="003E05F9"/>
    <w:rsid w:val="003E084E"/>
    <w:rsid w:val="003E095B"/>
    <w:rsid w:val="003E09D3"/>
    <w:rsid w:val="003E09DB"/>
    <w:rsid w:val="003E09DD"/>
    <w:rsid w:val="003E0AE0"/>
    <w:rsid w:val="003E0BE9"/>
    <w:rsid w:val="003E0C59"/>
    <w:rsid w:val="003E0C65"/>
    <w:rsid w:val="003E0D9C"/>
    <w:rsid w:val="003E0DB9"/>
    <w:rsid w:val="003E0DFA"/>
    <w:rsid w:val="003E12FA"/>
    <w:rsid w:val="003E1485"/>
    <w:rsid w:val="003E1A1E"/>
    <w:rsid w:val="003E1B44"/>
    <w:rsid w:val="003E1D39"/>
    <w:rsid w:val="003E2035"/>
    <w:rsid w:val="003E231D"/>
    <w:rsid w:val="003E2371"/>
    <w:rsid w:val="003E250A"/>
    <w:rsid w:val="003E257A"/>
    <w:rsid w:val="003E2691"/>
    <w:rsid w:val="003E281F"/>
    <w:rsid w:val="003E2898"/>
    <w:rsid w:val="003E29D2"/>
    <w:rsid w:val="003E2B11"/>
    <w:rsid w:val="003E2B8A"/>
    <w:rsid w:val="003E2F72"/>
    <w:rsid w:val="003E335D"/>
    <w:rsid w:val="003E343D"/>
    <w:rsid w:val="003E34D6"/>
    <w:rsid w:val="003E34E1"/>
    <w:rsid w:val="003E34F9"/>
    <w:rsid w:val="003E3519"/>
    <w:rsid w:val="003E364E"/>
    <w:rsid w:val="003E3998"/>
    <w:rsid w:val="003E3A3C"/>
    <w:rsid w:val="003E3AAD"/>
    <w:rsid w:val="003E3CBE"/>
    <w:rsid w:val="003E3E8A"/>
    <w:rsid w:val="003E3E8C"/>
    <w:rsid w:val="003E3FAD"/>
    <w:rsid w:val="003E3FFA"/>
    <w:rsid w:val="003E415A"/>
    <w:rsid w:val="003E421C"/>
    <w:rsid w:val="003E4303"/>
    <w:rsid w:val="003E45AF"/>
    <w:rsid w:val="003E469A"/>
    <w:rsid w:val="003E4813"/>
    <w:rsid w:val="003E48F0"/>
    <w:rsid w:val="003E4E58"/>
    <w:rsid w:val="003E4F01"/>
    <w:rsid w:val="003E50ED"/>
    <w:rsid w:val="003E53C5"/>
    <w:rsid w:val="003E53CE"/>
    <w:rsid w:val="003E5415"/>
    <w:rsid w:val="003E596D"/>
    <w:rsid w:val="003E59F0"/>
    <w:rsid w:val="003E5B22"/>
    <w:rsid w:val="003E5C3E"/>
    <w:rsid w:val="003E5D3E"/>
    <w:rsid w:val="003E5D91"/>
    <w:rsid w:val="003E5E42"/>
    <w:rsid w:val="003E5E87"/>
    <w:rsid w:val="003E5EC4"/>
    <w:rsid w:val="003E61F7"/>
    <w:rsid w:val="003E62E9"/>
    <w:rsid w:val="003E6381"/>
    <w:rsid w:val="003E64C1"/>
    <w:rsid w:val="003E65A3"/>
    <w:rsid w:val="003E6808"/>
    <w:rsid w:val="003E681C"/>
    <w:rsid w:val="003E699E"/>
    <w:rsid w:val="003E69E1"/>
    <w:rsid w:val="003E6BA0"/>
    <w:rsid w:val="003E6EFF"/>
    <w:rsid w:val="003E6FF0"/>
    <w:rsid w:val="003E7099"/>
    <w:rsid w:val="003E70FD"/>
    <w:rsid w:val="003E73A8"/>
    <w:rsid w:val="003E74F4"/>
    <w:rsid w:val="003E75D1"/>
    <w:rsid w:val="003E77A7"/>
    <w:rsid w:val="003E7853"/>
    <w:rsid w:val="003E7957"/>
    <w:rsid w:val="003E7960"/>
    <w:rsid w:val="003E7ACB"/>
    <w:rsid w:val="003E7C2E"/>
    <w:rsid w:val="003E7D90"/>
    <w:rsid w:val="003E7DFC"/>
    <w:rsid w:val="003E7EFD"/>
    <w:rsid w:val="003F0041"/>
    <w:rsid w:val="003F0088"/>
    <w:rsid w:val="003F0121"/>
    <w:rsid w:val="003F0196"/>
    <w:rsid w:val="003F0206"/>
    <w:rsid w:val="003F0304"/>
    <w:rsid w:val="003F041B"/>
    <w:rsid w:val="003F045D"/>
    <w:rsid w:val="003F05E1"/>
    <w:rsid w:val="003F0647"/>
    <w:rsid w:val="003F06B7"/>
    <w:rsid w:val="003F078F"/>
    <w:rsid w:val="003F07A8"/>
    <w:rsid w:val="003F0962"/>
    <w:rsid w:val="003F0AE0"/>
    <w:rsid w:val="003F0B3D"/>
    <w:rsid w:val="003F0B40"/>
    <w:rsid w:val="003F0C9F"/>
    <w:rsid w:val="003F0FA2"/>
    <w:rsid w:val="003F0FC9"/>
    <w:rsid w:val="003F103D"/>
    <w:rsid w:val="003F114B"/>
    <w:rsid w:val="003F1222"/>
    <w:rsid w:val="003F12B4"/>
    <w:rsid w:val="003F12EF"/>
    <w:rsid w:val="003F161C"/>
    <w:rsid w:val="003F1658"/>
    <w:rsid w:val="003F1682"/>
    <w:rsid w:val="003F1734"/>
    <w:rsid w:val="003F1844"/>
    <w:rsid w:val="003F1943"/>
    <w:rsid w:val="003F1A74"/>
    <w:rsid w:val="003F1BC7"/>
    <w:rsid w:val="003F1BDA"/>
    <w:rsid w:val="003F1C10"/>
    <w:rsid w:val="003F1C62"/>
    <w:rsid w:val="003F1DBC"/>
    <w:rsid w:val="003F1EE1"/>
    <w:rsid w:val="003F1FD6"/>
    <w:rsid w:val="003F1FF3"/>
    <w:rsid w:val="003F2048"/>
    <w:rsid w:val="003F21B6"/>
    <w:rsid w:val="003F21DE"/>
    <w:rsid w:val="003F220C"/>
    <w:rsid w:val="003F2460"/>
    <w:rsid w:val="003F261E"/>
    <w:rsid w:val="003F2804"/>
    <w:rsid w:val="003F2851"/>
    <w:rsid w:val="003F2B6E"/>
    <w:rsid w:val="003F2B8B"/>
    <w:rsid w:val="003F2C6F"/>
    <w:rsid w:val="003F2D18"/>
    <w:rsid w:val="003F2E50"/>
    <w:rsid w:val="003F2F6D"/>
    <w:rsid w:val="003F2F78"/>
    <w:rsid w:val="003F3075"/>
    <w:rsid w:val="003F3262"/>
    <w:rsid w:val="003F32D1"/>
    <w:rsid w:val="003F3331"/>
    <w:rsid w:val="003F36A2"/>
    <w:rsid w:val="003F36CC"/>
    <w:rsid w:val="003F36DB"/>
    <w:rsid w:val="003F372B"/>
    <w:rsid w:val="003F3981"/>
    <w:rsid w:val="003F3A9A"/>
    <w:rsid w:val="003F3AE1"/>
    <w:rsid w:val="003F3CC0"/>
    <w:rsid w:val="003F3E20"/>
    <w:rsid w:val="003F41E0"/>
    <w:rsid w:val="003F435F"/>
    <w:rsid w:val="003F467B"/>
    <w:rsid w:val="003F46AD"/>
    <w:rsid w:val="003F4736"/>
    <w:rsid w:val="003F4794"/>
    <w:rsid w:val="003F47D5"/>
    <w:rsid w:val="003F4A79"/>
    <w:rsid w:val="003F4AAC"/>
    <w:rsid w:val="003F4ABF"/>
    <w:rsid w:val="003F4ADC"/>
    <w:rsid w:val="003F4B08"/>
    <w:rsid w:val="003F4B16"/>
    <w:rsid w:val="003F4B2E"/>
    <w:rsid w:val="003F4D9E"/>
    <w:rsid w:val="003F4E02"/>
    <w:rsid w:val="003F4F44"/>
    <w:rsid w:val="003F4F90"/>
    <w:rsid w:val="003F5049"/>
    <w:rsid w:val="003F50E9"/>
    <w:rsid w:val="003F5103"/>
    <w:rsid w:val="003F5174"/>
    <w:rsid w:val="003F5341"/>
    <w:rsid w:val="003F5493"/>
    <w:rsid w:val="003F552C"/>
    <w:rsid w:val="003F5546"/>
    <w:rsid w:val="003F57CD"/>
    <w:rsid w:val="003F5802"/>
    <w:rsid w:val="003F5843"/>
    <w:rsid w:val="003F5A2B"/>
    <w:rsid w:val="003F5AE2"/>
    <w:rsid w:val="003F5F63"/>
    <w:rsid w:val="003F5FB0"/>
    <w:rsid w:val="003F6167"/>
    <w:rsid w:val="003F6324"/>
    <w:rsid w:val="003F635C"/>
    <w:rsid w:val="003F63E2"/>
    <w:rsid w:val="003F6B5F"/>
    <w:rsid w:val="003F6BD8"/>
    <w:rsid w:val="003F6C7A"/>
    <w:rsid w:val="003F6E77"/>
    <w:rsid w:val="003F6FFF"/>
    <w:rsid w:val="003F7035"/>
    <w:rsid w:val="003F70EA"/>
    <w:rsid w:val="003F7120"/>
    <w:rsid w:val="003F7388"/>
    <w:rsid w:val="003F75C6"/>
    <w:rsid w:val="003F7716"/>
    <w:rsid w:val="003F780A"/>
    <w:rsid w:val="003F78AD"/>
    <w:rsid w:val="003F794C"/>
    <w:rsid w:val="003F7994"/>
    <w:rsid w:val="003F7B7E"/>
    <w:rsid w:val="003F7BA5"/>
    <w:rsid w:val="003F7C1D"/>
    <w:rsid w:val="003F7CA0"/>
    <w:rsid w:val="003F7CD7"/>
    <w:rsid w:val="003F7E43"/>
    <w:rsid w:val="003F7EC0"/>
    <w:rsid w:val="00400092"/>
    <w:rsid w:val="0040009D"/>
    <w:rsid w:val="0040018F"/>
    <w:rsid w:val="004002AE"/>
    <w:rsid w:val="00400748"/>
    <w:rsid w:val="0040074D"/>
    <w:rsid w:val="004008E4"/>
    <w:rsid w:val="00400B66"/>
    <w:rsid w:val="00400BA0"/>
    <w:rsid w:val="00400EE1"/>
    <w:rsid w:val="00400F90"/>
    <w:rsid w:val="00401075"/>
    <w:rsid w:val="0040109E"/>
    <w:rsid w:val="004010FA"/>
    <w:rsid w:val="00401106"/>
    <w:rsid w:val="0040110F"/>
    <w:rsid w:val="0040117A"/>
    <w:rsid w:val="0040131F"/>
    <w:rsid w:val="004015CC"/>
    <w:rsid w:val="004015CE"/>
    <w:rsid w:val="004016F9"/>
    <w:rsid w:val="00401847"/>
    <w:rsid w:val="00401E7D"/>
    <w:rsid w:val="00401F8B"/>
    <w:rsid w:val="00402230"/>
    <w:rsid w:val="0040225E"/>
    <w:rsid w:val="0040237C"/>
    <w:rsid w:val="00402552"/>
    <w:rsid w:val="004029F9"/>
    <w:rsid w:val="00402AEF"/>
    <w:rsid w:val="00402BD7"/>
    <w:rsid w:val="00402CD0"/>
    <w:rsid w:val="00402DBA"/>
    <w:rsid w:val="00402F8C"/>
    <w:rsid w:val="00402FDC"/>
    <w:rsid w:val="00403059"/>
    <w:rsid w:val="00403246"/>
    <w:rsid w:val="00403341"/>
    <w:rsid w:val="004033A2"/>
    <w:rsid w:val="00403676"/>
    <w:rsid w:val="0040377A"/>
    <w:rsid w:val="00403AF9"/>
    <w:rsid w:val="00403B94"/>
    <w:rsid w:val="00403E2A"/>
    <w:rsid w:val="00403EBE"/>
    <w:rsid w:val="00403F46"/>
    <w:rsid w:val="0040412F"/>
    <w:rsid w:val="00404317"/>
    <w:rsid w:val="0040434F"/>
    <w:rsid w:val="004043E6"/>
    <w:rsid w:val="004046A5"/>
    <w:rsid w:val="004046BB"/>
    <w:rsid w:val="004047F8"/>
    <w:rsid w:val="0040484E"/>
    <w:rsid w:val="004048E5"/>
    <w:rsid w:val="00404AE4"/>
    <w:rsid w:val="00404CFF"/>
    <w:rsid w:val="00404F42"/>
    <w:rsid w:val="00404FB1"/>
    <w:rsid w:val="0040500F"/>
    <w:rsid w:val="004051B9"/>
    <w:rsid w:val="0040536F"/>
    <w:rsid w:val="004053A6"/>
    <w:rsid w:val="004056AA"/>
    <w:rsid w:val="004056D9"/>
    <w:rsid w:val="00405745"/>
    <w:rsid w:val="004057F1"/>
    <w:rsid w:val="00405800"/>
    <w:rsid w:val="0040580A"/>
    <w:rsid w:val="0040589B"/>
    <w:rsid w:val="004058A3"/>
    <w:rsid w:val="004059D5"/>
    <w:rsid w:val="00405A8A"/>
    <w:rsid w:val="00405B25"/>
    <w:rsid w:val="00405BCD"/>
    <w:rsid w:val="00405CAE"/>
    <w:rsid w:val="00405D97"/>
    <w:rsid w:val="00405FE3"/>
    <w:rsid w:val="00406134"/>
    <w:rsid w:val="004062BB"/>
    <w:rsid w:val="00406376"/>
    <w:rsid w:val="004064E7"/>
    <w:rsid w:val="00406512"/>
    <w:rsid w:val="00406536"/>
    <w:rsid w:val="00406752"/>
    <w:rsid w:val="0040690D"/>
    <w:rsid w:val="00406DB0"/>
    <w:rsid w:val="00406EDF"/>
    <w:rsid w:val="004071DF"/>
    <w:rsid w:val="004071E3"/>
    <w:rsid w:val="004072DF"/>
    <w:rsid w:val="004074D4"/>
    <w:rsid w:val="0040757D"/>
    <w:rsid w:val="00407B12"/>
    <w:rsid w:val="00407BB8"/>
    <w:rsid w:val="00407C47"/>
    <w:rsid w:val="00407C85"/>
    <w:rsid w:val="00407E63"/>
    <w:rsid w:val="00410070"/>
    <w:rsid w:val="00410109"/>
    <w:rsid w:val="00410115"/>
    <w:rsid w:val="00410124"/>
    <w:rsid w:val="004101F9"/>
    <w:rsid w:val="00410256"/>
    <w:rsid w:val="00410322"/>
    <w:rsid w:val="0041038E"/>
    <w:rsid w:val="00410622"/>
    <w:rsid w:val="004106F7"/>
    <w:rsid w:val="0041071E"/>
    <w:rsid w:val="0041092A"/>
    <w:rsid w:val="00410A60"/>
    <w:rsid w:val="00410D31"/>
    <w:rsid w:val="00410D64"/>
    <w:rsid w:val="00410F28"/>
    <w:rsid w:val="00410F3A"/>
    <w:rsid w:val="0041109E"/>
    <w:rsid w:val="004110B8"/>
    <w:rsid w:val="004110F4"/>
    <w:rsid w:val="00411121"/>
    <w:rsid w:val="004111CA"/>
    <w:rsid w:val="00411248"/>
    <w:rsid w:val="004113BB"/>
    <w:rsid w:val="00411411"/>
    <w:rsid w:val="004114FE"/>
    <w:rsid w:val="004115BD"/>
    <w:rsid w:val="004115EC"/>
    <w:rsid w:val="00411653"/>
    <w:rsid w:val="004116BD"/>
    <w:rsid w:val="00411848"/>
    <w:rsid w:val="004118DE"/>
    <w:rsid w:val="00411989"/>
    <w:rsid w:val="004119BB"/>
    <w:rsid w:val="00411A78"/>
    <w:rsid w:val="00411BCA"/>
    <w:rsid w:val="00411C1D"/>
    <w:rsid w:val="00411C8F"/>
    <w:rsid w:val="00411DA2"/>
    <w:rsid w:val="00411DD2"/>
    <w:rsid w:val="00411E49"/>
    <w:rsid w:val="00411F0E"/>
    <w:rsid w:val="00411F72"/>
    <w:rsid w:val="0041201A"/>
    <w:rsid w:val="00412092"/>
    <w:rsid w:val="00412327"/>
    <w:rsid w:val="004123C4"/>
    <w:rsid w:val="00412482"/>
    <w:rsid w:val="0041251E"/>
    <w:rsid w:val="004125A4"/>
    <w:rsid w:val="004125AA"/>
    <w:rsid w:val="004127C5"/>
    <w:rsid w:val="0041280D"/>
    <w:rsid w:val="004128E2"/>
    <w:rsid w:val="0041291B"/>
    <w:rsid w:val="00412923"/>
    <w:rsid w:val="00412940"/>
    <w:rsid w:val="004129D5"/>
    <w:rsid w:val="00412AB2"/>
    <w:rsid w:val="00412B71"/>
    <w:rsid w:val="00412BFD"/>
    <w:rsid w:val="00412CCC"/>
    <w:rsid w:val="00412F07"/>
    <w:rsid w:val="00412F77"/>
    <w:rsid w:val="00413095"/>
    <w:rsid w:val="00413272"/>
    <w:rsid w:val="0041330B"/>
    <w:rsid w:val="00413340"/>
    <w:rsid w:val="004136D2"/>
    <w:rsid w:val="004136D5"/>
    <w:rsid w:val="004136EE"/>
    <w:rsid w:val="00413725"/>
    <w:rsid w:val="00413841"/>
    <w:rsid w:val="00413924"/>
    <w:rsid w:val="004139AF"/>
    <w:rsid w:val="00413B78"/>
    <w:rsid w:val="00413C89"/>
    <w:rsid w:val="00413DA0"/>
    <w:rsid w:val="00413DC9"/>
    <w:rsid w:val="00413FEA"/>
    <w:rsid w:val="00414052"/>
    <w:rsid w:val="004142E4"/>
    <w:rsid w:val="004144A8"/>
    <w:rsid w:val="004145E0"/>
    <w:rsid w:val="004147D4"/>
    <w:rsid w:val="004148B2"/>
    <w:rsid w:val="004148C4"/>
    <w:rsid w:val="0041490C"/>
    <w:rsid w:val="0041497D"/>
    <w:rsid w:val="004149DE"/>
    <w:rsid w:val="00414A11"/>
    <w:rsid w:val="00414A3F"/>
    <w:rsid w:val="00414C91"/>
    <w:rsid w:val="00414D8C"/>
    <w:rsid w:val="00414FAD"/>
    <w:rsid w:val="0041507D"/>
    <w:rsid w:val="0041509D"/>
    <w:rsid w:val="0041514F"/>
    <w:rsid w:val="00415287"/>
    <w:rsid w:val="00415397"/>
    <w:rsid w:val="00415443"/>
    <w:rsid w:val="00415561"/>
    <w:rsid w:val="00415B4F"/>
    <w:rsid w:val="00415B62"/>
    <w:rsid w:val="00415BD3"/>
    <w:rsid w:val="00415D04"/>
    <w:rsid w:val="00415D8D"/>
    <w:rsid w:val="00415F85"/>
    <w:rsid w:val="00415F8A"/>
    <w:rsid w:val="00416188"/>
    <w:rsid w:val="004161E9"/>
    <w:rsid w:val="0041647E"/>
    <w:rsid w:val="0041653F"/>
    <w:rsid w:val="00416573"/>
    <w:rsid w:val="004165D5"/>
    <w:rsid w:val="0041663E"/>
    <w:rsid w:val="0041671C"/>
    <w:rsid w:val="004167C3"/>
    <w:rsid w:val="00416884"/>
    <w:rsid w:val="00416993"/>
    <w:rsid w:val="00416B7D"/>
    <w:rsid w:val="00416C11"/>
    <w:rsid w:val="00416E97"/>
    <w:rsid w:val="00416F67"/>
    <w:rsid w:val="004173F9"/>
    <w:rsid w:val="004174DD"/>
    <w:rsid w:val="0041759C"/>
    <w:rsid w:val="004175DC"/>
    <w:rsid w:val="00417663"/>
    <w:rsid w:val="0041768C"/>
    <w:rsid w:val="004176CC"/>
    <w:rsid w:val="004177BC"/>
    <w:rsid w:val="004177FE"/>
    <w:rsid w:val="0041796F"/>
    <w:rsid w:val="00417AA0"/>
    <w:rsid w:val="00417B8E"/>
    <w:rsid w:val="00417D2D"/>
    <w:rsid w:val="00420128"/>
    <w:rsid w:val="00420154"/>
    <w:rsid w:val="004201FF"/>
    <w:rsid w:val="00420250"/>
    <w:rsid w:val="004202DD"/>
    <w:rsid w:val="004204C3"/>
    <w:rsid w:val="004204EE"/>
    <w:rsid w:val="004208E8"/>
    <w:rsid w:val="00420920"/>
    <w:rsid w:val="00420A7D"/>
    <w:rsid w:val="00420B93"/>
    <w:rsid w:val="00420B96"/>
    <w:rsid w:val="00420C95"/>
    <w:rsid w:val="0042109C"/>
    <w:rsid w:val="00421253"/>
    <w:rsid w:val="004216BB"/>
    <w:rsid w:val="0042175C"/>
    <w:rsid w:val="0042190A"/>
    <w:rsid w:val="00421969"/>
    <w:rsid w:val="00421B6E"/>
    <w:rsid w:val="00421D1F"/>
    <w:rsid w:val="00421D3F"/>
    <w:rsid w:val="00421E06"/>
    <w:rsid w:val="004221F5"/>
    <w:rsid w:val="00422227"/>
    <w:rsid w:val="004224F5"/>
    <w:rsid w:val="00422673"/>
    <w:rsid w:val="004226A4"/>
    <w:rsid w:val="00422ADE"/>
    <w:rsid w:val="00422AEE"/>
    <w:rsid w:val="00422B31"/>
    <w:rsid w:val="00422B62"/>
    <w:rsid w:val="00422BA1"/>
    <w:rsid w:val="00422D35"/>
    <w:rsid w:val="00422EFB"/>
    <w:rsid w:val="00422F14"/>
    <w:rsid w:val="00422F68"/>
    <w:rsid w:val="00422FF0"/>
    <w:rsid w:val="00423075"/>
    <w:rsid w:val="004231E4"/>
    <w:rsid w:val="0042327D"/>
    <w:rsid w:val="00423357"/>
    <w:rsid w:val="00423590"/>
    <w:rsid w:val="00423604"/>
    <w:rsid w:val="004236D5"/>
    <w:rsid w:val="004237F6"/>
    <w:rsid w:val="00423868"/>
    <w:rsid w:val="004238D7"/>
    <w:rsid w:val="00423C45"/>
    <w:rsid w:val="00423C99"/>
    <w:rsid w:val="00423D2A"/>
    <w:rsid w:val="00423EB9"/>
    <w:rsid w:val="00424111"/>
    <w:rsid w:val="00424125"/>
    <w:rsid w:val="004242D1"/>
    <w:rsid w:val="004242E0"/>
    <w:rsid w:val="00424331"/>
    <w:rsid w:val="004243F2"/>
    <w:rsid w:val="0042464A"/>
    <w:rsid w:val="00424842"/>
    <w:rsid w:val="00424A8D"/>
    <w:rsid w:val="00424B87"/>
    <w:rsid w:val="00424C43"/>
    <w:rsid w:val="00424CB7"/>
    <w:rsid w:val="00424CD2"/>
    <w:rsid w:val="00424E5C"/>
    <w:rsid w:val="00425134"/>
    <w:rsid w:val="004252D5"/>
    <w:rsid w:val="00425471"/>
    <w:rsid w:val="004254AA"/>
    <w:rsid w:val="00425627"/>
    <w:rsid w:val="004257A4"/>
    <w:rsid w:val="004258BE"/>
    <w:rsid w:val="00425BA6"/>
    <w:rsid w:val="00425C79"/>
    <w:rsid w:val="00425CA2"/>
    <w:rsid w:val="00425CAE"/>
    <w:rsid w:val="00425D7B"/>
    <w:rsid w:val="00425EC7"/>
    <w:rsid w:val="0042613C"/>
    <w:rsid w:val="0042640B"/>
    <w:rsid w:val="00426744"/>
    <w:rsid w:val="00426757"/>
    <w:rsid w:val="004269FC"/>
    <w:rsid w:val="00426DD4"/>
    <w:rsid w:val="004270A8"/>
    <w:rsid w:val="004270C9"/>
    <w:rsid w:val="004276E3"/>
    <w:rsid w:val="0042773D"/>
    <w:rsid w:val="004278D3"/>
    <w:rsid w:val="004279E4"/>
    <w:rsid w:val="00427A1B"/>
    <w:rsid w:val="00427B15"/>
    <w:rsid w:val="00427C02"/>
    <w:rsid w:val="00427C68"/>
    <w:rsid w:val="00427E52"/>
    <w:rsid w:val="00430064"/>
    <w:rsid w:val="004301B2"/>
    <w:rsid w:val="004302E9"/>
    <w:rsid w:val="00430525"/>
    <w:rsid w:val="00430666"/>
    <w:rsid w:val="00430775"/>
    <w:rsid w:val="004307F8"/>
    <w:rsid w:val="0043083B"/>
    <w:rsid w:val="004308A7"/>
    <w:rsid w:val="00430913"/>
    <w:rsid w:val="004309AD"/>
    <w:rsid w:val="00430AA8"/>
    <w:rsid w:val="00430CEF"/>
    <w:rsid w:val="0043115F"/>
    <w:rsid w:val="004311B8"/>
    <w:rsid w:val="00431202"/>
    <w:rsid w:val="0043124F"/>
    <w:rsid w:val="00431288"/>
    <w:rsid w:val="004314C7"/>
    <w:rsid w:val="004314D5"/>
    <w:rsid w:val="004314E9"/>
    <w:rsid w:val="00431523"/>
    <w:rsid w:val="004315B1"/>
    <w:rsid w:val="004317DD"/>
    <w:rsid w:val="00431902"/>
    <w:rsid w:val="0043190B"/>
    <w:rsid w:val="004319BF"/>
    <w:rsid w:val="00431A6C"/>
    <w:rsid w:val="00431C86"/>
    <w:rsid w:val="00431DFB"/>
    <w:rsid w:val="00431DFD"/>
    <w:rsid w:val="00431EC3"/>
    <w:rsid w:val="00431F36"/>
    <w:rsid w:val="00431FBE"/>
    <w:rsid w:val="004323F3"/>
    <w:rsid w:val="004327F8"/>
    <w:rsid w:val="00432A1F"/>
    <w:rsid w:val="00432B9A"/>
    <w:rsid w:val="00432C33"/>
    <w:rsid w:val="00432DC5"/>
    <w:rsid w:val="0043316B"/>
    <w:rsid w:val="004331BA"/>
    <w:rsid w:val="00433262"/>
    <w:rsid w:val="0043329B"/>
    <w:rsid w:val="0043330E"/>
    <w:rsid w:val="00433369"/>
    <w:rsid w:val="00433432"/>
    <w:rsid w:val="00433580"/>
    <w:rsid w:val="004338E0"/>
    <w:rsid w:val="004338E4"/>
    <w:rsid w:val="0043394A"/>
    <w:rsid w:val="00433980"/>
    <w:rsid w:val="0043398F"/>
    <w:rsid w:val="00433A10"/>
    <w:rsid w:val="00433B2D"/>
    <w:rsid w:val="00433BBB"/>
    <w:rsid w:val="00433DCF"/>
    <w:rsid w:val="0043410E"/>
    <w:rsid w:val="0043427D"/>
    <w:rsid w:val="004343B1"/>
    <w:rsid w:val="00434510"/>
    <w:rsid w:val="004345E5"/>
    <w:rsid w:val="004347C3"/>
    <w:rsid w:val="00434861"/>
    <w:rsid w:val="00434944"/>
    <w:rsid w:val="004349E7"/>
    <w:rsid w:val="00434D78"/>
    <w:rsid w:val="00434E9C"/>
    <w:rsid w:val="00434F40"/>
    <w:rsid w:val="004350EA"/>
    <w:rsid w:val="004351C7"/>
    <w:rsid w:val="004351E1"/>
    <w:rsid w:val="00435214"/>
    <w:rsid w:val="00435253"/>
    <w:rsid w:val="0043529A"/>
    <w:rsid w:val="004354BD"/>
    <w:rsid w:val="004356E4"/>
    <w:rsid w:val="00435784"/>
    <w:rsid w:val="004357B3"/>
    <w:rsid w:val="004357E2"/>
    <w:rsid w:val="00435866"/>
    <w:rsid w:val="00435D4C"/>
    <w:rsid w:val="00435F1D"/>
    <w:rsid w:val="00435FC5"/>
    <w:rsid w:val="00435FE8"/>
    <w:rsid w:val="0043622C"/>
    <w:rsid w:val="004363A5"/>
    <w:rsid w:val="00436472"/>
    <w:rsid w:val="00436572"/>
    <w:rsid w:val="0043663F"/>
    <w:rsid w:val="00436693"/>
    <w:rsid w:val="004368B5"/>
    <w:rsid w:val="00436905"/>
    <w:rsid w:val="00436A57"/>
    <w:rsid w:val="00436AA1"/>
    <w:rsid w:val="00436F13"/>
    <w:rsid w:val="00436F71"/>
    <w:rsid w:val="004370DF"/>
    <w:rsid w:val="0043726E"/>
    <w:rsid w:val="004372B0"/>
    <w:rsid w:val="0043732F"/>
    <w:rsid w:val="004373C8"/>
    <w:rsid w:val="00437487"/>
    <w:rsid w:val="004374D8"/>
    <w:rsid w:val="0043754F"/>
    <w:rsid w:val="004376A1"/>
    <w:rsid w:val="004376D3"/>
    <w:rsid w:val="004376F0"/>
    <w:rsid w:val="004377A1"/>
    <w:rsid w:val="0043784F"/>
    <w:rsid w:val="00437910"/>
    <w:rsid w:val="004379F9"/>
    <w:rsid w:val="00437A95"/>
    <w:rsid w:val="00437AAC"/>
    <w:rsid w:val="00437AEA"/>
    <w:rsid w:val="00437AFD"/>
    <w:rsid w:val="00437BB0"/>
    <w:rsid w:val="00437C6E"/>
    <w:rsid w:val="00437CA4"/>
    <w:rsid w:val="00437D34"/>
    <w:rsid w:val="0044010E"/>
    <w:rsid w:val="00440271"/>
    <w:rsid w:val="004402CC"/>
    <w:rsid w:val="00440634"/>
    <w:rsid w:val="004406BF"/>
    <w:rsid w:val="00440812"/>
    <w:rsid w:val="00440923"/>
    <w:rsid w:val="00440AB2"/>
    <w:rsid w:val="00440B1D"/>
    <w:rsid w:val="00440C1B"/>
    <w:rsid w:val="00440C4B"/>
    <w:rsid w:val="00441037"/>
    <w:rsid w:val="004412E4"/>
    <w:rsid w:val="00441495"/>
    <w:rsid w:val="004414DC"/>
    <w:rsid w:val="0044163E"/>
    <w:rsid w:val="0044174B"/>
    <w:rsid w:val="0044174C"/>
    <w:rsid w:val="00441757"/>
    <w:rsid w:val="0044178B"/>
    <w:rsid w:val="004417C1"/>
    <w:rsid w:val="00441A00"/>
    <w:rsid w:val="00441A10"/>
    <w:rsid w:val="00441BBC"/>
    <w:rsid w:val="00441CF5"/>
    <w:rsid w:val="00441D0D"/>
    <w:rsid w:val="00441F2C"/>
    <w:rsid w:val="00441FD0"/>
    <w:rsid w:val="00442261"/>
    <w:rsid w:val="0044227C"/>
    <w:rsid w:val="004422B7"/>
    <w:rsid w:val="00442361"/>
    <w:rsid w:val="004424BC"/>
    <w:rsid w:val="004424BF"/>
    <w:rsid w:val="0044256D"/>
    <w:rsid w:val="0044257C"/>
    <w:rsid w:val="004427A6"/>
    <w:rsid w:val="00442BD9"/>
    <w:rsid w:val="00442CEF"/>
    <w:rsid w:val="00442DD4"/>
    <w:rsid w:val="00442F6D"/>
    <w:rsid w:val="00443057"/>
    <w:rsid w:val="004430DA"/>
    <w:rsid w:val="00443150"/>
    <w:rsid w:val="0044317D"/>
    <w:rsid w:val="00443189"/>
    <w:rsid w:val="004431EE"/>
    <w:rsid w:val="004433DB"/>
    <w:rsid w:val="004433F5"/>
    <w:rsid w:val="0044344E"/>
    <w:rsid w:val="00443547"/>
    <w:rsid w:val="0044368E"/>
    <w:rsid w:val="00443810"/>
    <w:rsid w:val="004439AA"/>
    <w:rsid w:val="004439B9"/>
    <w:rsid w:val="00443A28"/>
    <w:rsid w:val="00443C1E"/>
    <w:rsid w:val="00443C84"/>
    <w:rsid w:val="00443C91"/>
    <w:rsid w:val="00443CBD"/>
    <w:rsid w:val="00443EFE"/>
    <w:rsid w:val="0044438C"/>
    <w:rsid w:val="004443E4"/>
    <w:rsid w:val="004444E7"/>
    <w:rsid w:val="004445C0"/>
    <w:rsid w:val="00444607"/>
    <w:rsid w:val="0044468A"/>
    <w:rsid w:val="0044495D"/>
    <w:rsid w:val="00444B9E"/>
    <w:rsid w:val="00444C1D"/>
    <w:rsid w:val="00444D51"/>
    <w:rsid w:val="00444EE5"/>
    <w:rsid w:val="00444F3E"/>
    <w:rsid w:val="00444F48"/>
    <w:rsid w:val="004452C3"/>
    <w:rsid w:val="00445384"/>
    <w:rsid w:val="00445421"/>
    <w:rsid w:val="004457DF"/>
    <w:rsid w:val="004457E4"/>
    <w:rsid w:val="00445832"/>
    <w:rsid w:val="00445941"/>
    <w:rsid w:val="0044597A"/>
    <w:rsid w:val="00445B76"/>
    <w:rsid w:val="00445BEB"/>
    <w:rsid w:val="00445D61"/>
    <w:rsid w:val="00445E72"/>
    <w:rsid w:val="00445E82"/>
    <w:rsid w:val="004461DE"/>
    <w:rsid w:val="00446261"/>
    <w:rsid w:val="004463A2"/>
    <w:rsid w:val="004463C6"/>
    <w:rsid w:val="004465E5"/>
    <w:rsid w:val="004466A5"/>
    <w:rsid w:val="0044675E"/>
    <w:rsid w:val="00446930"/>
    <w:rsid w:val="004469F2"/>
    <w:rsid w:val="00446AF7"/>
    <w:rsid w:val="00446B2B"/>
    <w:rsid w:val="00446C56"/>
    <w:rsid w:val="00446D16"/>
    <w:rsid w:val="00446D40"/>
    <w:rsid w:val="00446E13"/>
    <w:rsid w:val="00447101"/>
    <w:rsid w:val="00447121"/>
    <w:rsid w:val="00447192"/>
    <w:rsid w:val="00447265"/>
    <w:rsid w:val="00447279"/>
    <w:rsid w:val="00447432"/>
    <w:rsid w:val="00447456"/>
    <w:rsid w:val="004474AD"/>
    <w:rsid w:val="004474EA"/>
    <w:rsid w:val="0044759E"/>
    <w:rsid w:val="0044776D"/>
    <w:rsid w:val="00447831"/>
    <w:rsid w:val="00447949"/>
    <w:rsid w:val="00447979"/>
    <w:rsid w:val="00447A4B"/>
    <w:rsid w:val="00447A87"/>
    <w:rsid w:val="00447AAA"/>
    <w:rsid w:val="00447B6F"/>
    <w:rsid w:val="00447BD3"/>
    <w:rsid w:val="00447CB2"/>
    <w:rsid w:val="00447E58"/>
    <w:rsid w:val="004500BB"/>
    <w:rsid w:val="00450187"/>
    <w:rsid w:val="0045027A"/>
    <w:rsid w:val="004503BC"/>
    <w:rsid w:val="0045050D"/>
    <w:rsid w:val="00450541"/>
    <w:rsid w:val="0045063D"/>
    <w:rsid w:val="004506D7"/>
    <w:rsid w:val="00450705"/>
    <w:rsid w:val="00450737"/>
    <w:rsid w:val="00450884"/>
    <w:rsid w:val="004509A9"/>
    <w:rsid w:val="004509F6"/>
    <w:rsid w:val="00450A50"/>
    <w:rsid w:val="00450A74"/>
    <w:rsid w:val="00450AEA"/>
    <w:rsid w:val="00450BF6"/>
    <w:rsid w:val="00450CB5"/>
    <w:rsid w:val="00450DE0"/>
    <w:rsid w:val="00451425"/>
    <w:rsid w:val="0045144B"/>
    <w:rsid w:val="004514B4"/>
    <w:rsid w:val="00451519"/>
    <w:rsid w:val="00451549"/>
    <w:rsid w:val="00451723"/>
    <w:rsid w:val="004517DE"/>
    <w:rsid w:val="004517F0"/>
    <w:rsid w:val="00451882"/>
    <w:rsid w:val="004518FB"/>
    <w:rsid w:val="00451939"/>
    <w:rsid w:val="0045199E"/>
    <w:rsid w:val="00451A15"/>
    <w:rsid w:val="00451A66"/>
    <w:rsid w:val="00451A7C"/>
    <w:rsid w:val="00451C3F"/>
    <w:rsid w:val="00451DAC"/>
    <w:rsid w:val="004520C9"/>
    <w:rsid w:val="00452194"/>
    <w:rsid w:val="004521A6"/>
    <w:rsid w:val="004521C0"/>
    <w:rsid w:val="0045223D"/>
    <w:rsid w:val="00452374"/>
    <w:rsid w:val="004523A0"/>
    <w:rsid w:val="00452599"/>
    <w:rsid w:val="004525B9"/>
    <w:rsid w:val="0045285B"/>
    <w:rsid w:val="00452860"/>
    <w:rsid w:val="00452924"/>
    <w:rsid w:val="00452948"/>
    <w:rsid w:val="00452B88"/>
    <w:rsid w:val="00452BBC"/>
    <w:rsid w:val="00452CFF"/>
    <w:rsid w:val="00452D07"/>
    <w:rsid w:val="00452E6B"/>
    <w:rsid w:val="00452E6E"/>
    <w:rsid w:val="00452EFA"/>
    <w:rsid w:val="00453004"/>
    <w:rsid w:val="00453040"/>
    <w:rsid w:val="0045309C"/>
    <w:rsid w:val="00453327"/>
    <w:rsid w:val="00453342"/>
    <w:rsid w:val="00453752"/>
    <w:rsid w:val="00453A6B"/>
    <w:rsid w:val="00453BF1"/>
    <w:rsid w:val="00453D06"/>
    <w:rsid w:val="00453EFC"/>
    <w:rsid w:val="00453F02"/>
    <w:rsid w:val="004540D2"/>
    <w:rsid w:val="0045411A"/>
    <w:rsid w:val="00454261"/>
    <w:rsid w:val="0045431F"/>
    <w:rsid w:val="00454392"/>
    <w:rsid w:val="004543AA"/>
    <w:rsid w:val="00454506"/>
    <w:rsid w:val="004545EB"/>
    <w:rsid w:val="004546F3"/>
    <w:rsid w:val="00454813"/>
    <w:rsid w:val="00454853"/>
    <w:rsid w:val="00454B12"/>
    <w:rsid w:val="00454BFF"/>
    <w:rsid w:val="00454D65"/>
    <w:rsid w:val="00454DCE"/>
    <w:rsid w:val="00454E6C"/>
    <w:rsid w:val="00454F08"/>
    <w:rsid w:val="004550B8"/>
    <w:rsid w:val="004550FA"/>
    <w:rsid w:val="004551A4"/>
    <w:rsid w:val="004552B7"/>
    <w:rsid w:val="004552C9"/>
    <w:rsid w:val="00455330"/>
    <w:rsid w:val="00455360"/>
    <w:rsid w:val="0045536F"/>
    <w:rsid w:val="004554CC"/>
    <w:rsid w:val="00455590"/>
    <w:rsid w:val="004555F5"/>
    <w:rsid w:val="00455650"/>
    <w:rsid w:val="0045566B"/>
    <w:rsid w:val="0045581B"/>
    <w:rsid w:val="0045590F"/>
    <w:rsid w:val="004559B6"/>
    <w:rsid w:val="00455B8E"/>
    <w:rsid w:val="00455C3C"/>
    <w:rsid w:val="00455D9C"/>
    <w:rsid w:val="004560B3"/>
    <w:rsid w:val="004562D4"/>
    <w:rsid w:val="00456346"/>
    <w:rsid w:val="004564D7"/>
    <w:rsid w:val="0045663B"/>
    <w:rsid w:val="0045664E"/>
    <w:rsid w:val="004567CF"/>
    <w:rsid w:val="004567ED"/>
    <w:rsid w:val="00456867"/>
    <w:rsid w:val="004569D3"/>
    <w:rsid w:val="00456A71"/>
    <w:rsid w:val="00456AE5"/>
    <w:rsid w:val="00456BB0"/>
    <w:rsid w:val="00456C86"/>
    <w:rsid w:val="00456CB9"/>
    <w:rsid w:val="00456CBB"/>
    <w:rsid w:val="00456CD4"/>
    <w:rsid w:val="00456D5C"/>
    <w:rsid w:val="00456EC0"/>
    <w:rsid w:val="00456FA0"/>
    <w:rsid w:val="004570D2"/>
    <w:rsid w:val="00457192"/>
    <w:rsid w:val="00457204"/>
    <w:rsid w:val="0045727A"/>
    <w:rsid w:val="00457304"/>
    <w:rsid w:val="00457316"/>
    <w:rsid w:val="004574B6"/>
    <w:rsid w:val="00457563"/>
    <w:rsid w:val="00457586"/>
    <w:rsid w:val="00457630"/>
    <w:rsid w:val="0045764F"/>
    <w:rsid w:val="0045771A"/>
    <w:rsid w:val="00457734"/>
    <w:rsid w:val="0045789B"/>
    <w:rsid w:val="00457A4A"/>
    <w:rsid w:val="00457C69"/>
    <w:rsid w:val="00457CD0"/>
    <w:rsid w:val="00457CFB"/>
    <w:rsid w:val="00457E5B"/>
    <w:rsid w:val="00457FE7"/>
    <w:rsid w:val="0046033C"/>
    <w:rsid w:val="00460341"/>
    <w:rsid w:val="00460387"/>
    <w:rsid w:val="00460499"/>
    <w:rsid w:val="0046049C"/>
    <w:rsid w:val="00460599"/>
    <w:rsid w:val="004605C9"/>
    <w:rsid w:val="0046063F"/>
    <w:rsid w:val="004607E5"/>
    <w:rsid w:val="004607E9"/>
    <w:rsid w:val="00460814"/>
    <w:rsid w:val="00460A21"/>
    <w:rsid w:val="00460B2F"/>
    <w:rsid w:val="00460B7C"/>
    <w:rsid w:val="00460D5D"/>
    <w:rsid w:val="00460D92"/>
    <w:rsid w:val="00460D9C"/>
    <w:rsid w:val="00460DDA"/>
    <w:rsid w:val="00460E55"/>
    <w:rsid w:val="00460F35"/>
    <w:rsid w:val="0046105B"/>
    <w:rsid w:val="00461193"/>
    <w:rsid w:val="004611CC"/>
    <w:rsid w:val="00461541"/>
    <w:rsid w:val="004615CD"/>
    <w:rsid w:val="004616ED"/>
    <w:rsid w:val="0046174F"/>
    <w:rsid w:val="00461791"/>
    <w:rsid w:val="0046179E"/>
    <w:rsid w:val="004618C7"/>
    <w:rsid w:val="00461966"/>
    <w:rsid w:val="0046197C"/>
    <w:rsid w:val="00461A67"/>
    <w:rsid w:val="00461D02"/>
    <w:rsid w:val="00461F23"/>
    <w:rsid w:val="00461FA1"/>
    <w:rsid w:val="0046223D"/>
    <w:rsid w:val="0046247D"/>
    <w:rsid w:val="004624CC"/>
    <w:rsid w:val="00462656"/>
    <w:rsid w:val="004628A3"/>
    <w:rsid w:val="004628AA"/>
    <w:rsid w:val="0046297C"/>
    <w:rsid w:val="00462A53"/>
    <w:rsid w:val="00462A87"/>
    <w:rsid w:val="00462B4E"/>
    <w:rsid w:val="00462CA0"/>
    <w:rsid w:val="00462D40"/>
    <w:rsid w:val="00462ED0"/>
    <w:rsid w:val="00462F1B"/>
    <w:rsid w:val="00462FB9"/>
    <w:rsid w:val="00462FD8"/>
    <w:rsid w:val="00462FDA"/>
    <w:rsid w:val="0046311E"/>
    <w:rsid w:val="00463203"/>
    <w:rsid w:val="00463321"/>
    <w:rsid w:val="00463393"/>
    <w:rsid w:val="004633DC"/>
    <w:rsid w:val="004634C9"/>
    <w:rsid w:val="004634FE"/>
    <w:rsid w:val="004636ED"/>
    <w:rsid w:val="004637B9"/>
    <w:rsid w:val="004637DF"/>
    <w:rsid w:val="00463ACE"/>
    <w:rsid w:val="00463AE6"/>
    <w:rsid w:val="00463AFF"/>
    <w:rsid w:val="00463C43"/>
    <w:rsid w:val="00463D1C"/>
    <w:rsid w:val="00463D4B"/>
    <w:rsid w:val="00463DDC"/>
    <w:rsid w:val="00463FC6"/>
    <w:rsid w:val="0046402A"/>
    <w:rsid w:val="004640E3"/>
    <w:rsid w:val="004640EF"/>
    <w:rsid w:val="0046422D"/>
    <w:rsid w:val="0046427F"/>
    <w:rsid w:val="004643B2"/>
    <w:rsid w:val="004647A2"/>
    <w:rsid w:val="00464A34"/>
    <w:rsid w:val="00464A4D"/>
    <w:rsid w:val="00464B0B"/>
    <w:rsid w:val="00464B91"/>
    <w:rsid w:val="00464B9B"/>
    <w:rsid w:val="00464BCF"/>
    <w:rsid w:val="00464DA8"/>
    <w:rsid w:val="00464E11"/>
    <w:rsid w:val="00464E7B"/>
    <w:rsid w:val="00464EEB"/>
    <w:rsid w:val="00465060"/>
    <w:rsid w:val="004650A4"/>
    <w:rsid w:val="00465282"/>
    <w:rsid w:val="0046566A"/>
    <w:rsid w:val="00465712"/>
    <w:rsid w:val="0046573E"/>
    <w:rsid w:val="0046581E"/>
    <w:rsid w:val="00465917"/>
    <w:rsid w:val="00465965"/>
    <w:rsid w:val="00465AEE"/>
    <w:rsid w:val="00465E7F"/>
    <w:rsid w:val="00466063"/>
    <w:rsid w:val="0046615A"/>
    <w:rsid w:val="004661CA"/>
    <w:rsid w:val="004663E1"/>
    <w:rsid w:val="0046648B"/>
    <w:rsid w:val="0046668A"/>
    <w:rsid w:val="004666B8"/>
    <w:rsid w:val="004668F7"/>
    <w:rsid w:val="00466B34"/>
    <w:rsid w:val="00466B39"/>
    <w:rsid w:val="00466B6D"/>
    <w:rsid w:val="00466C96"/>
    <w:rsid w:val="00466F16"/>
    <w:rsid w:val="00467020"/>
    <w:rsid w:val="004672FF"/>
    <w:rsid w:val="00467335"/>
    <w:rsid w:val="00467443"/>
    <w:rsid w:val="0046751B"/>
    <w:rsid w:val="004676F2"/>
    <w:rsid w:val="00467746"/>
    <w:rsid w:val="00467796"/>
    <w:rsid w:val="00467823"/>
    <w:rsid w:val="004678E7"/>
    <w:rsid w:val="00467945"/>
    <w:rsid w:val="00467956"/>
    <w:rsid w:val="004679E3"/>
    <w:rsid w:val="00467B03"/>
    <w:rsid w:val="00467D40"/>
    <w:rsid w:val="00467E85"/>
    <w:rsid w:val="00467F25"/>
    <w:rsid w:val="00470054"/>
    <w:rsid w:val="0047032E"/>
    <w:rsid w:val="00470431"/>
    <w:rsid w:val="00470450"/>
    <w:rsid w:val="004704A2"/>
    <w:rsid w:val="00470607"/>
    <w:rsid w:val="00470672"/>
    <w:rsid w:val="00470755"/>
    <w:rsid w:val="00470825"/>
    <w:rsid w:val="00470B0B"/>
    <w:rsid w:val="00470B28"/>
    <w:rsid w:val="00470B60"/>
    <w:rsid w:val="00470BBA"/>
    <w:rsid w:val="00470C85"/>
    <w:rsid w:val="00470D3D"/>
    <w:rsid w:val="00470E72"/>
    <w:rsid w:val="00470F09"/>
    <w:rsid w:val="00470FB9"/>
    <w:rsid w:val="00471177"/>
    <w:rsid w:val="00471195"/>
    <w:rsid w:val="0047127A"/>
    <w:rsid w:val="004712F6"/>
    <w:rsid w:val="0047156F"/>
    <w:rsid w:val="00471815"/>
    <w:rsid w:val="0047189A"/>
    <w:rsid w:val="004719A1"/>
    <w:rsid w:val="00471D3D"/>
    <w:rsid w:val="00471E77"/>
    <w:rsid w:val="00472101"/>
    <w:rsid w:val="0047253E"/>
    <w:rsid w:val="004726E6"/>
    <w:rsid w:val="00472848"/>
    <w:rsid w:val="00472B27"/>
    <w:rsid w:val="00472B5A"/>
    <w:rsid w:val="00472B82"/>
    <w:rsid w:val="00472BB2"/>
    <w:rsid w:val="00473080"/>
    <w:rsid w:val="00473143"/>
    <w:rsid w:val="004731C0"/>
    <w:rsid w:val="004732AF"/>
    <w:rsid w:val="004732B5"/>
    <w:rsid w:val="0047331A"/>
    <w:rsid w:val="004733F6"/>
    <w:rsid w:val="004734DF"/>
    <w:rsid w:val="0047356C"/>
    <w:rsid w:val="0047368F"/>
    <w:rsid w:val="004736A8"/>
    <w:rsid w:val="0047374E"/>
    <w:rsid w:val="00473A94"/>
    <w:rsid w:val="00473B34"/>
    <w:rsid w:val="00473D8B"/>
    <w:rsid w:val="00473D9B"/>
    <w:rsid w:val="00473EAF"/>
    <w:rsid w:val="0047402E"/>
    <w:rsid w:val="00474100"/>
    <w:rsid w:val="00474191"/>
    <w:rsid w:val="004741FA"/>
    <w:rsid w:val="004742DC"/>
    <w:rsid w:val="00474340"/>
    <w:rsid w:val="00474581"/>
    <w:rsid w:val="004745C4"/>
    <w:rsid w:val="004747F3"/>
    <w:rsid w:val="00474886"/>
    <w:rsid w:val="0047490B"/>
    <w:rsid w:val="00474A56"/>
    <w:rsid w:val="00474A9B"/>
    <w:rsid w:val="00474ADC"/>
    <w:rsid w:val="00474B1B"/>
    <w:rsid w:val="00474B2E"/>
    <w:rsid w:val="00474BD5"/>
    <w:rsid w:val="00474DE6"/>
    <w:rsid w:val="00475152"/>
    <w:rsid w:val="00475205"/>
    <w:rsid w:val="0047535B"/>
    <w:rsid w:val="00475419"/>
    <w:rsid w:val="00475706"/>
    <w:rsid w:val="0047598C"/>
    <w:rsid w:val="00475ACF"/>
    <w:rsid w:val="00475C82"/>
    <w:rsid w:val="00475E74"/>
    <w:rsid w:val="0047625D"/>
    <w:rsid w:val="00476266"/>
    <w:rsid w:val="00476323"/>
    <w:rsid w:val="004765BB"/>
    <w:rsid w:val="00476738"/>
    <w:rsid w:val="0047678E"/>
    <w:rsid w:val="00476819"/>
    <w:rsid w:val="0047698E"/>
    <w:rsid w:val="00476B8E"/>
    <w:rsid w:val="00476B91"/>
    <w:rsid w:val="00476E5E"/>
    <w:rsid w:val="00476E79"/>
    <w:rsid w:val="00476F07"/>
    <w:rsid w:val="00476F38"/>
    <w:rsid w:val="00476FED"/>
    <w:rsid w:val="004770DC"/>
    <w:rsid w:val="00477502"/>
    <w:rsid w:val="00477751"/>
    <w:rsid w:val="0047789B"/>
    <w:rsid w:val="00477999"/>
    <w:rsid w:val="00477AC4"/>
    <w:rsid w:val="00477AEC"/>
    <w:rsid w:val="00477F98"/>
    <w:rsid w:val="00480067"/>
    <w:rsid w:val="00480089"/>
    <w:rsid w:val="004800D8"/>
    <w:rsid w:val="004801FA"/>
    <w:rsid w:val="00480332"/>
    <w:rsid w:val="00480502"/>
    <w:rsid w:val="004807C8"/>
    <w:rsid w:val="004809B5"/>
    <w:rsid w:val="004809D3"/>
    <w:rsid w:val="00480D7C"/>
    <w:rsid w:val="00480F14"/>
    <w:rsid w:val="0048113F"/>
    <w:rsid w:val="0048123D"/>
    <w:rsid w:val="0048126D"/>
    <w:rsid w:val="00481331"/>
    <w:rsid w:val="00481620"/>
    <w:rsid w:val="0048163F"/>
    <w:rsid w:val="00481687"/>
    <w:rsid w:val="00481733"/>
    <w:rsid w:val="00481986"/>
    <w:rsid w:val="00481B3D"/>
    <w:rsid w:val="00481C43"/>
    <w:rsid w:val="00481CE7"/>
    <w:rsid w:val="00481D0F"/>
    <w:rsid w:val="00481DB4"/>
    <w:rsid w:val="00481EB8"/>
    <w:rsid w:val="00482017"/>
    <w:rsid w:val="00482025"/>
    <w:rsid w:val="0048219C"/>
    <w:rsid w:val="004822DE"/>
    <w:rsid w:val="0048273C"/>
    <w:rsid w:val="00482B48"/>
    <w:rsid w:val="00482C65"/>
    <w:rsid w:val="00482CA2"/>
    <w:rsid w:val="00482DE7"/>
    <w:rsid w:val="00482EFB"/>
    <w:rsid w:val="0048300C"/>
    <w:rsid w:val="004835FD"/>
    <w:rsid w:val="00483971"/>
    <w:rsid w:val="004839C7"/>
    <w:rsid w:val="00483A28"/>
    <w:rsid w:val="00483A7E"/>
    <w:rsid w:val="00483B4B"/>
    <w:rsid w:val="00483C8C"/>
    <w:rsid w:val="00483D89"/>
    <w:rsid w:val="00483E4F"/>
    <w:rsid w:val="00483F62"/>
    <w:rsid w:val="004840AC"/>
    <w:rsid w:val="004841A2"/>
    <w:rsid w:val="00484473"/>
    <w:rsid w:val="00484617"/>
    <w:rsid w:val="004846A1"/>
    <w:rsid w:val="0048470D"/>
    <w:rsid w:val="00484789"/>
    <w:rsid w:val="004847CC"/>
    <w:rsid w:val="0048485F"/>
    <w:rsid w:val="004849C8"/>
    <w:rsid w:val="00484B60"/>
    <w:rsid w:val="00484F10"/>
    <w:rsid w:val="0048508B"/>
    <w:rsid w:val="00485104"/>
    <w:rsid w:val="0048534C"/>
    <w:rsid w:val="00485454"/>
    <w:rsid w:val="004855F1"/>
    <w:rsid w:val="0048576D"/>
    <w:rsid w:val="00485819"/>
    <w:rsid w:val="0048581E"/>
    <w:rsid w:val="00485879"/>
    <w:rsid w:val="00485885"/>
    <w:rsid w:val="00485A02"/>
    <w:rsid w:val="00485CE5"/>
    <w:rsid w:val="00485F09"/>
    <w:rsid w:val="00486047"/>
    <w:rsid w:val="004861F8"/>
    <w:rsid w:val="004864BA"/>
    <w:rsid w:val="004864FA"/>
    <w:rsid w:val="00486561"/>
    <w:rsid w:val="004866D3"/>
    <w:rsid w:val="0048680E"/>
    <w:rsid w:val="00486835"/>
    <w:rsid w:val="0048683F"/>
    <w:rsid w:val="004869FB"/>
    <w:rsid w:val="00486B16"/>
    <w:rsid w:val="00486B38"/>
    <w:rsid w:val="00486C91"/>
    <w:rsid w:val="00486DDD"/>
    <w:rsid w:val="00487614"/>
    <w:rsid w:val="004877B4"/>
    <w:rsid w:val="0048784F"/>
    <w:rsid w:val="00487878"/>
    <w:rsid w:val="004878E1"/>
    <w:rsid w:val="00487A1B"/>
    <w:rsid w:val="00487A7A"/>
    <w:rsid w:val="00487D11"/>
    <w:rsid w:val="00487DEF"/>
    <w:rsid w:val="00487FFC"/>
    <w:rsid w:val="004901A0"/>
    <w:rsid w:val="00490414"/>
    <w:rsid w:val="00490428"/>
    <w:rsid w:val="00490478"/>
    <w:rsid w:val="004904ED"/>
    <w:rsid w:val="0049050C"/>
    <w:rsid w:val="00490729"/>
    <w:rsid w:val="00490741"/>
    <w:rsid w:val="00490B02"/>
    <w:rsid w:val="00490D5E"/>
    <w:rsid w:val="00490E47"/>
    <w:rsid w:val="004910E4"/>
    <w:rsid w:val="0049118F"/>
    <w:rsid w:val="00491212"/>
    <w:rsid w:val="004912FA"/>
    <w:rsid w:val="004914E7"/>
    <w:rsid w:val="004917E0"/>
    <w:rsid w:val="0049182B"/>
    <w:rsid w:val="00491865"/>
    <w:rsid w:val="0049186B"/>
    <w:rsid w:val="0049193E"/>
    <w:rsid w:val="00491BA7"/>
    <w:rsid w:val="00491E46"/>
    <w:rsid w:val="00491E91"/>
    <w:rsid w:val="00492345"/>
    <w:rsid w:val="00492390"/>
    <w:rsid w:val="00492619"/>
    <w:rsid w:val="0049261B"/>
    <w:rsid w:val="00492641"/>
    <w:rsid w:val="00492856"/>
    <w:rsid w:val="00492977"/>
    <w:rsid w:val="00492A6A"/>
    <w:rsid w:val="00492AB9"/>
    <w:rsid w:val="00492C9E"/>
    <w:rsid w:val="00492DCB"/>
    <w:rsid w:val="00493330"/>
    <w:rsid w:val="004933F0"/>
    <w:rsid w:val="00493809"/>
    <w:rsid w:val="0049395C"/>
    <w:rsid w:val="00493BB1"/>
    <w:rsid w:val="00493D25"/>
    <w:rsid w:val="00493E20"/>
    <w:rsid w:val="00493F1D"/>
    <w:rsid w:val="00494074"/>
    <w:rsid w:val="00494126"/>
    <w:rsid w:val="0049416D"/>
    <w:rsid w:val="004941A1"/>
    <w:rsid w:val="0049420A"/>
    <w:rsid w:val="004942E6"/>
    <w:rsid w:val="00494442"/>
    <w:rsid w:val="00494484"/>
    <w:rsid w:val="0049463C"/>
    <w:rsid w:val="00494B95"/>
    <w:rsid w:val="00494ED2"/>
    <w:rsid w:val="004951D4"/>
    <w:rsid w:val="00495272"/>
    <w:rsid w:val="004955C8"/>
    <w:rsid w:val="00495628"/>
    <w:rsid w:val="0049569E"/>
    <w:rsid w:val="00495790"/>
    <w:rsid w:val="00495937"/>
    <w:rsid w:val="00495A2C"/>
    <w:rsid w:val="00495A87"/>
    <w:rsid w:val="00495B16"/>
    <w:rsid w:val="00495D31"/>
    <w:rsid w:val="00495D8A"/>
    <w:rsid w:val="00495F02"/>
    <w:rsid w:val="00495F36"/>
    <w:rsid w:val="00495FDA"/>
    <w:rsid w:val="0049608A"/>
    <w:rsid w:val="0049624F"/>
    <w:rsid w:val="0049667C"/>
    <w:rsid w:val="00496908"/>
    <w:rsid w:val="00496927"/>
    <w:rsid w:val="00496DE9"/>
    <w:rsid w:val="00496F8D"/>
    <w:rsid w:val="004970F2"/>
    <w:rsid w:val="004970F7"/>
    <w:rsid w:val="0049715F"/>
    <w:rsid w:val="00497186"/>
    <w:rsid w:val="00497223"/>
    <w:rsid w:val="00497543"/>
    <w:rsid w:val="004975B4"/>
    <w:rsid w:val="0049761E"/>
    <w:rsid w:val="004976AF"/>
    <w:rsid w:val="00497871"/>
    <w:rsid w:val="004978A5"/>
    <w:rsid w:val="004978BF"/>
    <w:rsid w:val="004978E2"/>
    <w:rsid w:val="00497A84"/>
    <w:rsid w:val="00497AF9"/>
    <w:rsid w:val="00497B9F"/>
    <w:rsid w:val="00497BCC"/>
    <w:rsid w:val="00497CE2"/>
    <w:rsid w:val="00497E54"/>
    <w:rsid w:val="00497F7F"/>
    <w:rsid w:val="004A002E"/>
    <w:rsid w:val="004A0290"/>
    <w:rsid w:val="004A03A5"/>
    <w:rsid w:val="004A04A2"/>
    <w:rsid w:val="004A04E8"/>
    <w:rsid w:val="004A0837"/>
    <w:rsid w:val="004A0C0E"/>
    <w:rsid w:val="004A0DCF"/>
    <w:rsid w:val="004A0FB7"/>
    <w:rsid w:val="004A104C"/>
    <w:rsid w:val="004A1071"/>
    <w:rsid w:val="004A1817"/>
    <w:rsid w:val="004A1826"/>
    <w:rsid w:val="004A1925"/>
    <w:rsid w:val="004A1BDA"/>
    <w:rsid w:val="004A1D61"/>
    <w:rsid w:val="004A1EBA"/>
    <w:rsid w:val="004A1F68"/>
    <w:rsid w:val="004A2094"/>
    <w:rsid w:val="004A21CC"/>
    <w:rsid w:val="004A21DC"/>
    <w:rsid w:val="004A256C"/>
    <w:rsid w:val="004A25AF"/>
    <w:rsid w:val="004A27EE"/>
    <w:rsid w:val="004A2819"/>
    <w:rsid w:val="004A28B2"/>
    <w:rsid w:val="004A2934"/>
    <w:rsid w:val="004A2A56"/>
    <w:rsid w:val="004A2A8B"/>
    <w:rsid w:val="004A2B2A"/>
    <w:rsid w:val="004A2C35"/>
    <w:rsid w:val="004A2CFF"/>
    <w:rsid w:val="004A2D65"/>
    <w:rsid w:val="004A2E47"/>
    <w:rsid w:val="004A301E"/>
    <w:rsid w:val="004A302F"/>
    <w:rsid w:val="004A35D0"/>
    <w:rsid w:val="004A36AE"/>
    <w:rsid w:val="004A377C"/>
    <w:rsid w:val="004A37E8"/>
    <w:rsid w:val="004A3857"/>
    <w:rsid w:val="004A3AEF"/>
    <w:rsid w:val="004A3B61"/>
    <w:rsid w:val="004A3C18"/>
    <w:rsid w:val="004A3CD5"/>
    <w:rsid w:val="004A3D41"/>
    <w:rsid w:val="004A3F16"/>
    <w:rsid w:val="004A4141"/>
    <w:rsid w:val="004A4440"/>
    <w:rsid w:val="004A451E"/>
    <w:rsid w:val="004A4567"/>
    <w:rsid w:val="004A4798"/>
    <w:rsid w:val="004A4951"/>
    <w:rsid w:val="004A4A52"/>
    <w:rsid w:val="004A4B81"/>
    <w:rsid w:val="004A4CA9"/>
    <w:rsid w:val="004A4DB9"/>
    <w:rsid w:val="004A500B"/>
    <w:rsid w:val="004A5048"/>
    <w:rsid w:val="004A515B"/>
    <w:rsid w:val="004A51B7"/>
    <w:rsid w:val="004A540D"/>
    <w:rsid w:val="004A543B"/>
    <w:rsid w:val="004A54BB"/>
    <w:rsid w:val="004A5533"/>
    <w:rsid w:val="004A55E5"/>
    <w:rsid w:val="004A5607"/>
    <w:rsid w:val="004A5694"/>
    <w:rsid w:val="004A574C"/>
    <w:rsid w:val="004A58D2"/>
    <w:rsid w:val="004A5929"/>
    <w:rsid w:val="004A59FD"/>
    <w:rsid w:val="004A5A6D"/>
    <w:rsid w:val="004A5B40"/>
    <w:rsid w:val="004A5B6A"/>
    <w:rsid w:val="004A5BEE"/>
    <w:rsid w:val="004A5C44"/>
    <w:rsid w:val="004A5CEC"/>
    <w:rsid w:val="004A5F62"/>
    <w:rsid w:val="004A5FB4"/>
    <w:rsid w:val="004A60FD"/>
    <w:rsid w:val="004A624F"/>
    <w:rsid w:val="004A62C1"/>
    <w:rsid w:val="004A6419"/>
    <w:rsid w:val="004A65EF"/>
    <w:rsid w:val="004A6636"/>
    <w:rsid w:val="004A688D"/>
    <w:rsid w:val="004A6977"/>
    <w:rsid w:val="004A6A6C"/>
    <w:rsid w:val="004A6AFF"/>
    <w:rsid w:val="004A6BD8"/>
    <w:rsid w:val="004A6D7B"/>
    <w:rsid w:val="004A6DE7"/>
    <w:rsid w:val="004A6DE9"/>
    <w:rsid w:val="004A6E68"/>
    <w:rsid w:val="004A732F"/>
    <w:rsid w:val="004A73FE"/>
    <w:rsid w:val="004A740A"/>
    <w:rsid w:val="004A75BF"/>
    <w:rsid w:val="004A76B3"/>
    <w:rsid w:val="004A77C1"/>
    <w:rsid w:val="004A7863"/>
    <w:rsid w:val="004A78BF"/>
    <w:rsid w:val="004A78CC"/>
    <w:rsid w:val="004A7A44"/>
    <w:rsid w:val="004A7A97"/>
    <w:rsid w:val="004A7D0A"/>
    <w:rsid w:val="004A7E04"/>
    <w:rsid w:val="004A7EA6"/>
    <w:rsid w:val="004B00D6"/>
    <w:rsid w:val="004B013D"/>
    <w:rsid w:val="004B017E"/>
    <w:rsid w:val="004B01EA"/>
    <w:rsid w:val="004B02E5"/>
    <w:rsid w:val="004B0365"/>
    <w:rsid w:val="004B042A"/>
    <w:rsid w:val="004B0586"/>
    <w:rsid w:val="004B05F8"/>
    <w:rsid w:val="004B05FF"/>
    <w:rsid w:val="004B0671"/>
    <w:rsid w:val="004B07B6"/>
    <w:rsid w:val="004B08AF"/>
    <w:rsid w:val="004B0C42"/>
    <w:rsid w:val="004B0CA7"/>
    <w:rsid w:val="004B0D67"/>
    <w:rsid w:val="004B0DF0"/>
    <w:rsid w:val="004B0FE6"/>
    <w:rsid w:val="004B1118"/>
    <w:rsid w:val="004B145D"/>
    <w:rsid w:val="004B1478"/>
    <w:rsid w:val="004B1556"/>
    <w:rsid w:val="004B166D"/>
    <w:rsid w:val="004B16AD"/>
    <w:rsid w:val="004B1943"/>
    <w:rsid w:val="004B19DF"/>
    <w:rsid w:val="004B1BA4"/>
    <w:rsid w:val="004B1C34"/>
    <w:rsid w:val="004B1C38"/>
    <w:rsid w:val="004B1D16"/>
    <w:rsid w:val="004B1EF1"/>
    <w:rsid w:val="004B1F10"/>
    <w:rsid w:val="004B1F43"/>
    <w:rsid w:val="004B2071"/>
    <w:rsid w:val="004B214B"/>
    <w:rsid w:val="004B232A"/>
    <w:rsid w:val="004B23A1"/>
    <w:rsid w:val="004B2721"/>
    <w:rsid w:val="004B278A"/>
    <w:rsid w:val="004B28D0"/>
    <w:rsid w:val="004B2983"/>
    <w:rsid w:val="004B2A17"/>
    <w:rsid w:val="004B2A7E"/>
    <w:rsid w:val="004B2B44"/>
    <w:rsid w:val="004B2CA9"/>
    <w:rsid w:val="004B2E43"/>
    <w:rsid w:val="004B2F06"/>
    <w:rsid w:val="004B2FAF"/>
    <w:rsid w:val="004B3086"/>
    <w:rsid w:val="004B3221"/>
    <w:rsid w:val="004B3475"/>
    <w:rsid w:val="004B34B2"/>
    <w:rsid w:val="004B351B"/>
    <w:rsid w:val="004B357F"/>
    <w:rsid w:val="004B3616"/>
    <w:rsid w:val="004B3B4D"/>
    <w:rsid w:val="004B3E33"/>
    <w:rsid w:val="004B3F53"/>
    <w:rsid w:val="004B422E"/>
    <w:rsid w:val="004B439E"/>
    <w:rsid w:val="004B43DC"/>
    <w:rsid w:val="004B45D1"/>
    <w:rsid w:val="004B45DB"/>
    <w:rsid w:val="004B483C"/>
    <w:rsid w:val="004B4890"/>
    <w:rsid w:val="004B499E"/>
    <w:rsid w:val="004B4AF9"/>
    <w:rsid w:val="004B4BA3"/>
    <w:rsid w:val="004B4C30"/>
    <w:rsid w:val="004B4C53"/>
    <w:rsid w:val="004B4D43"/>
    <w:rsid w:val="004B4E88"/>
    <w:rsid w:val="004B4FDF"/>
    <w:rsid w:val="004B5283"/>
    <w:rsid w:val="004B536B"/>
    <w:rsid w:val="004B5384"/>
    <w:rsid w:val="004B53C5"/>
    <w:rsid w:val="004B53E7"/>
    <w:rsid w:val="004B55AA"/>
    <w:rsid w:val="004B56DE"/>
    <w:rsid w:val="004B5851"/>
    <w:rsid w:val="004B5990"/>
    <w:rsid w:val="004B5AD9"/>
    <w:rsid w:val="004B5ADB"/>
    <w:rsid w:val="004B5B04"/>
    <w:rsid w:val="004B5B34"/>
    <w:rsid w:val="004B5C58"/>
    <w:rsid w:val="004B5E7A"/>
    <w:rsid w:val="004B5EA6"/>
    <w:rsid w:val="004B5EBD"/>
    <w:rsid w:val="004B614B"/>
    <w:rsid w:val="004B6151"/>
    <w:rsid w:val="004B61FB"/>
    <w:rsid w:val="004B6308"/>
    <w:rsid w:val="004B63F0"/>
    <w:rsid w:val="004B6593"/>
    <w:rsid w:val="004B6615"/>
    <w:rsid w:val="004B6647"/>
    <w:rsid w:val="004B665E"/>
    <w:rsid w:val="004B6905"/>
    <w:rsid w:val="004B6C4A"/>
    <w:rsid w:val="004B6C5A"/>
    <w:rsid w:val="004B6C7B"/>
    <w:rsid w:val="004B6C8B"/>
    <w:rsid w:val="004B6DDE"/>
    <w:rsid w:val="004B6FC2"/>
    <w:rsid w:val="004B7064"/>
    <w:rsid w:val="004B72B2"/>
    <w:rsid w:val="004B7344"/>
    <w:rsid w:val="004B756E"/>
    <w:rsid w:val="004B75DC"/>
    <w:rsid w:val="004B77D2"/>
    <w:rsid w:val="004B78B9"/>
    <w:rsid w:val="004B78E6"/>
    <w:rsid w:val="004B79BA"/>
    <w:rsid w:val="004B7A35"/>
    <w:rsid w:val="004B7A67"/>
    <w:rsid w:val="004B7ADC"/>
    <w:rsid w:val="004B7B46"/>
    <w:rsid w:val="004B7CF8"/>
    <w:rsid w:val="004B7D14"/>
    <w:rsid w:val="004C02FD"/>
    <w:rsid w:val="004C05E3"/>
    <w:rsid w:val="004C0678"/>
    <w:rsid w:val="004C06CD"/>
    <w:rsid w:val="004C06DC"/>
    <w:rsid w:val="004C07C8"/>
    <w:rsid w:val="004C0965"/>
    <w:rsid w:val="004C0A96"/>
    <w:rsid w:val="004C0AC6"/>
    <w:rsid w:val="004C0B83"/>
    <w:rsid w:val="004C0BAF"/>
    <w:rsid w:val="004C0C15"/>
    <w:rsid w:val="004C0CB2"/>
    <w:rsid w:val="004C0D80"/>
    <w:rsid w:val="004C0DA4"/>
    <w:rsid w:val="004C0DF0"/>
    <w:rsid w:val="004C0E43"/>
    <w:rsid w:val="004C0E9E"/>
    <w:rsid w:val="004C0EA1"/>
    <w:rsid w:val="004C10DB"/>
    <w:rsid w:val="004C13E2"/>
    <w:rsid w:val="004C1445"/>
    <w:rsid w:val="004C14F7"/>
    <w:rsid w:val="004C1679"/>
    <w:rsid w:val="004C1717"/>
    <w:rsid w:val="004C1826"/>
    <w:rsid w:val="004C193C"/>
    <w:rsid w:val="004C1A56"/>
    <w:rsid w:val="004C1A6C"/>
    <w:rsid w:val="004C1BAC"/>
    <w:rsid w:val="004C1C0B"/>
    <w:rsid w:val="004C1C0F"/>
    <w:rsid w:val="004C1D70"/>
    <w:rsid w:val="004C1EA3"/>
    <w:rsid w:val="004C1FBC"/>
    <w:rsid w:val="004C2296"/>
    <w:rsid w:val="004C22D2"/>
    <w:rsid w:val="004C22DA"/>
    <w:rsid w:val="004C2410"/>
    <w:rsid w:val="004C2412"/>
    <w:rsid w:val="004C256C"/>
    <w:rsid w:val="004C25FB"/>
    <w:rsid w:val="004C2745"/>
    <w:rsid w:val="004C2770"/>
    <w:rsid w:val="004C286D"/>
    <w:rsid w:val="004C2A3B"/>
    <w:rsid w:val="004C2B97"/>
    <w:rsid w:val="004C2C23"/>
    <w:rsid w:val="004C2E81"/>
    <w:rsid w:val="004C2EA7"/>
    <w:rsid w:val="004C3070"/>
    <w:rsid w:val="004C30C3"/>
    <w:rsid w:val="004C311D"/>
    <w:rsid w:val="004C311E"/>
    <w:rsid w:val="004C3160"/>
    <w:rsid w:val="004C31EA"/>
    <w:rsid w:val="004C323E"/>
    <w:rsid w:val="004C3256"/>
    <w:rsid w:val="004C326E"/>
    <w:rsid w:val="004C32E6"/>
    <w:rsid w:val="004C33F9"/>
    <w:rsid w:val="004C37B1"/>
    <w:rsid w:val="004C37ED"/>
    <w:rsid w:val="004C3A32"/>
    <w:rsid w:val="004C3B50"/>
    <w:rsid w:val="004C3E7F"/>
    <w:rsid w:val="004C3EEC"/>
    <w:rsid w:val="004C3F2E"/>
    <w:rsid w:val="004C3FD5"/>
    <w:rsid w:val="004C4345"/>
    <w:rsid w:val="004C48A4"/>
    <w:rsid w:val="004C4A02"/>
    <w:rsid w:val="004C4C27"/>
    <w:rsid w:val="004C4CAB"/>
    <w:rsid w:val="004C4E1C"/>
    <w:rsid w:val="004C4E80"/>
    <w:rsid w:val="004C4F6E"/>
    <w:rsid w:val="004C53E8"/>
    <w:rsid w:val="004C5430"/>
    <w:rsid w:val="004C5435"/>
    <w:rsid w:val="004C549A"/>
    <w:rsid w:val="004C5723"/>
    <w:rsid w:val="004C57A6"/>
    <w:rsid w:val="004C58F7"/>
    <w:rsid w:val="004C58FC"/>
    <w:rsid w:val="004C5AB8"/>
    <w:rsid w:val="004C5C1D"/>
    <w:rsid w:val="004C5D58"/>
    <w:rsid w:val="004C5D92"/>
    <w:rsid w:val="004C5F25"/>
    <w:rsid w:val="004C5F4F"/>
    <w:rsid w:val="004C5F51"/>
    <w:rsid w:val="004C6113"/>
    <w:rsid w:val="004C6303"/>
    <w:rsid w:val="004C6309"/>
    <w:rsid w:val="004C63BD"/>
    <w:rsid w:val="004C645B"/>
    <w:rsid w:val="004C647D"/>
    <w:rsid w:val="004C6578"/>
    <w:rsid w:val="004C6658"/>
    <w:rsid w:val="004C6728"/>
    <w:rsid w:val="004C690F"/>
    <w:rsid w:val="004C692F"/>
    <w:rsid w:val="004C6B3A"/>
    <w:rsid w:val="004C6BB2"/>
    <w:rsid w:val="004C6D7A"/>
    <w:rsid w:val="004C7178"/>
    <w:rsid w:val="004C76B6"/>
    <w:rsid w:val="004C7727"/>
    <w:rsid w:val="004C77DA"/>
    <w:rsid w:val="004C7813"/>
    <w:rsid w:val="004C78B0"/>
    <w:rsid w:val="004C790C"/>
    <w:rsid w:val="004C7E79"/>
    <w:rsid w:val="004C7F3F"/>
    <w:rsid w:val="004D018A"/>
    <w:rsid w:val="004D0407"/>
    <w:rsid w:val="004D043C"/>
    <w:rsid w:val="004D0838"/>
    <w:rsid w:val="004D0942"/>
    <w:rsid w:val="004D09F1"/>
    <w:rsid w:val="004D0A2C"/>
    <w:rsid w:val="004D0CD1"/>
    <w:rsid w:val="004D0D24"/>
    <w:rsid w:val="004D0D57"/>
    <w:rsid w:val="004D0DF7"/>
    <w:rsid w:val="004D0E18"/>
    <w:rsid w:val="004D0F0F"/>
    <w:rsid w:val="004D0F80"/>
    <w:rsid w:val="004D1005"/>
    <w:rsid w:val="004D1018"/>
    <w:rsid w:val="004D10CB"/>
    <w:rsid w:val="004D10DE"/>
    <w:rsid w:val="004D1103"/>
    <w:rsid w:val="004D167B"/>
    <w:rsid w:val="004D16E8"/>
    <w:rsid w:val="004D1877"/>
    <w:rsid w:val="004D1971"/>
    <w:rsid w:val="004D1A31"/>
    <w:rsid w:val="004D1ACF"/>
    <w:rsid w:val="004D1BA3"/>
    <w:rsid w:val="004D1BD5"/>
    <w:rsid w:val="004D1D19"/>
    <w:rsid w:val="004D1DF5"/>
    <w:rsid w:val="004D1EB8"/>
    <w:rsid w:val="004D205D"/>
    <w:rsid w:val="004D21AB"/>
    <w:rsid w:val="004D2395"/>
    <w:rsid w:val="004D2438"/>
    <w:rsid w:val="004D25A2"/>
    <w:rsid w:val="004D2604"/>
    <w:rsid w:val="004D267F"/>
    <w:rsid w:val="004D26D0"/>
    <w:rsid w:val="004D2771"/>
    <w:rsid w:val="004D29F9"/>
    <w:rsid w:val="004D2B2C"/>
    <w:rsid w:val="004D2B9E"/>
    <w:rsid w:val="004D2BB3"/>
    <w:rsid w:val="004D2C65"/>
    <w:rsid w:val="004D2C67"/>
    <w:rsid w:val="004D2D12"/>
    <w:rsid w:val="004D2E4C"/>
    <w:rsid w:val="004D2F62"/>
    <w:rsid w:val="004D3119"/>
    <w:rsid w:val="004D33DF"/>
    <w:rsid w:val="004D3474"/>
    <w:rsid w:val="004D3495"/>
    <w:rsid w:val="004D354D"/>
    <w:rsid w:val="004D3631"/>
    <w:rsid w:val="004D363A"/>
    <w:rsid w:val="004D37FC"/>
    <w:rsid w:val="004D3821"/>
    <w:rsid w:val="004D389E"/>
    <w:rsid w:val="004D3918"/>
    <w:rsid w:val="004D3960"/>
    <w:rsid w:val="004D3AEB"/>
    <w:rsid w:val="004D3B0D"/>
    <w:rsid w:val="004D3C00"/>
    <w:rsid w:val="004D3DBC"/>
    <w:rsid w:val="004D3E48"/>
    <w:rsid w:val="004D40B3"/>
    <w:rsid w:val="004D427D"/>
    <w:rsid w:val="004D4424"/>
    <w:rsid w:val="004D457E"/>
    <w:rsid w:val="004D45BD"/>
    <w:rsid w:val="004D48B7"/>
    <w:rsid w:val="004D4D70"/>
    <w:rsid w:val="004D4FD3"/>
    <w:rsid w:val="004D57F6"/>
    <w:rsid w:val="004D587E"/>
    <w:rsid w:val="004D5924"/>
    <w:rsid w:val="004D5949"/>
    <w:rsid w:val="004D5A12"/>
    <w:rsid w:val="004D5BF2"/>
    <w:rsid w:val="004D5F25"/>
    <w:rsid w:val="004D603A"/>
    <w:rsid w:val="004D6058"/>
    <w:rsid w:val="004D6261"/>
    <w:rsid w:val="004D62CD"/>
    <w:rsid w:val="004D6370"/>
    <w:rsid w:val="004D64F1"/>
    <w:rsid w:val="004D657A"/>
    <w:rsid w:val="004D6675"/>
    <w:rsid w:val="004D6A8C"/>
    <w:rsid w:val="004D6B55"/>
    <w:rsid w:val="004D6B71"/>
    <w:rsid w:val="004D6B92"/>
    <w:rsid w:val="004D6BCF"/>
    <w:rsid w:val="004D6DF2"/>
    <w:rsid w:val="004D6EC1"/>
    <w:rsid w:val="004D70E2"/>
    <w:rsid w:val="004D71B8"/>
    <w:rsid w:val="004D71ED"/>
    <w:rsid w:val="004D7375"/>
    <w:rsid w:val="004D742A"/>
    <w:rsid w:val="004D74A7"/>
    <w:rsid w:val="004D74B5"/>
    <w:rsid w:val="004D7585"/>
    <w:rsid w:val="004D75DB"/>
    <w:rsid w:val="004D7977"/>
    <w:rsid w:val="004D7ABC"/>
    <w:rsid w:val="004D7AF3"/>
    <w:rsid w:val="004D7B7B"/>
    <w:rsid w:val="004D7BF3"/>
    <w:rsid w:val="004D7CD3"/>
    <w:rsid w:val="004D7DA5"/>
    <w:rsid w:val="004D7DFE"/>
    <w:rsid w:val="004D7E57"/>
    <w:rsid w:val="004D7F97"/>
    <w:rsid w:val="004E009E"/>
    <w:rsid w:val="004E00CF"/>
    <w:rsid w:val="004E02E4"/>
    <w:rsid w:val="004E034A"/>
    <w:rsid w:val="004E03C0"/>
    <w:rsid w:val="004E05F2"/>
    <w:rsid w:val="004E05FD"/>
    <w:rsid w:val="004E06BA"/>
    <w:rsid w:val="004E073A"/>
    <w:rsid w:val="004E0893"/>
    <w:rsid w:val="004E099D"/>
    <w:rsid w:val="004E0A8F"/>
    <w:rsid w:val="004E0AC7"/>
    <w:rsid w:val="004E0B98"/>
    <w:rsid w:val="004E0D77"/>
    <w:rsid w:val="004E0E13"/>
    <w:rsid w:val="004E0F98"/>
    <w:rsid w:val="004E1016"/>
    <w:rsid w:val="004E104F"/>
    <w:rsid w:val="004E13A6"/>
    <w:rsid w:val="004E1461"/>
    <w:rsid w:val="004E146C"/>
    <w:rsid w:val="004E1540"/>
    <w:rsid w:val="004E1692"/>
    <w:rsid w:val="004E1893"/>
    <w:rsid w:val="004E197C"/>
    <w:rsid w:val="004E1A0F"/>
    <w:rsid w:val="004E1AE8"/>
    <w:rsid w:val="004E1C09"/>
    <w:rsid w:val="004E1DDC"/>
    <w:rsid w:val="004E1FBD"/>
    <w:rsid w:val="004E2270"/>
    <w:rsid w:val="004E237F"/>
    <w:rsid w:val="004E23AD"/>
    <w:rsid w:val="004E242A"/>
    <w:rsid w:val="004E2AF8"/>
    <w:rsid w:val="004E2C56"/>
    <w:rsid w:val="004E2EB1"/>
    <w:rsid w:val="004E2ECF"/>
    <w:rsid w:val="004E2F4E"/>
    <w:rsid w:val="004E3085"/>
    <w:rsid w:val="004E3124"/>
    <w:rsid w:val="004E3195"/>
    <w:rsid w:val="004E3211"/>
    <w:rsid w:val="004E3454"/>
    <w:rsid w:val="004E3484"/>
    <w:rsid w:val="004E34D5"/>
    <w:rsid w:val="004E362A"/>
    <w:rsid w:val="004E3682"/>
    <w:rsid w:val="004E3910"/>
    <w:rsid w:val="004E3951"/>
    <w:rsid w:val="004E3EA0"/>
    <w:rsid w:val="004E3F68"/>
    <w:rsid w:val="004E41C4"/>
    <w:rsid w:val="004E422C"/>
    <w:rsid w:val="004E4238"/>
    <w:rsid w:val="004E4330"/>
    <w:rsid w:val="004E438D"/>
    <w:rsid w:val="004E43B4"/>
    <w:rsid w:val="004E43D9"/>
    <w:rsid w:val="004E4421"/>
    <w:rsid w:val="004E44CF"/>
    <w:rsid w:val="004E45C9"/>
    <w:rsid w:val="004E4668"/>
    <w:rsid w:val="004E4752"/>
    <w:rsid w:val="004E47A8"/>
    <w:rsid w:val="004E482E"/>
    <w:rsid w:val="004E4A73"/>
    <w:rsid w:val="004E4AA9"/>
    <w:rsid w:val="004E4D45"/>
    <w:rsid w:val="004E4F7C"/>
    <w:rsid w:val="004E4FC6"/>
    <w:rsid w:val="004E502C"/>
    <w:rsid w:val="004E5076"/>
    <w:rsid w:val="004E52BF"/>
    <w:rsid w:val="004E536F"/>
    <w:rsid w:val="004E551A"/>
    <w:rsid w:val="004E5728"/>
    <w:rsid w:val="004E58A1"/>
    <w:rsid w:val="004E58FF"/>
    <w:rsid w:val="004E5916"/>
    <w:rsid w:val="004E5A9B"/>
    <w:rsid w:val="004E5BD4"/>
    <w:rsid w:val="004E5BF7"/>
    <w:rsid w:val="004E5C04"/>
    <w:rsid w:val="004E5D2C"/>
    <w:rsid w:val="004E5E5E"/>
    <w:rsid w:val="004E615A"/>
    <w:rsid w:val="004E618C"/>
    <w:rsid w:val="004E61FD"/>
    <w:rsid w:val="004E620B"/>
    <w:rsid w:val="004E62EA"/>
    <w:rsid w:val="004E6421"/>
    <w:rsid w:val="004E6654"/>
    <w:rsid w:val="004E66E8"/>
    <w:rsid w:val="004E6C17"/>
    <w:rsid w:val="004E6F5E"/>
    <w:rsid w:val="004E6F8A"/>
    <w:rsid w:val="004E7105"/>
    <w:rsid w:val="004E7198"/>
    <w:rsid w:val="004E722D"/>
    <w:rsid w:val="004E726D"/>
    <w:rsid w:val="004E7376"/>
    <w:rsid w:val="004E7394"/>
    <w:rsid w:val="004E75CF"/>
    <w:rsid w:val="004E75D3"/>
    <w:rsid w:val="004E7726"/>
    <w:rsid w:val="004E77B1"/>
    <w:rsid w:val="004E795E"/>
    <w:rsid w:val="004E7A1B"/>
    <w:rsid w:val="004E7A55"/>
    <w:rsid w:val="004E7BA4"/>
    <w:rsid w:val="004E7EE9"/>
    <w:rsid w:val="004F0001"/>
    <w:rsid w:val="004F019D"/>
    <w:rsid w:val="004F01AB"/>
    <w:rsid w:val="004F02C0"/>
    <w:rsid w:val="004F02C3"/>
    <w:rsid w:val="004F04E6"/>
    <w:rsid w:val="004F0594"/>
    <w:rsid w:val="004F06E4"/>
    <w:rsid w:val="004F0753"/>
    <w:rsid w:val="004F07C1"/>
    <w:rsid w:val="004F088E"/>
    <w:rsid w:val="004F08C4"/>
    <w:rsid w:val="004F09E7"/>
    <w:rsid w:val="004F0A0F"/>
    <w:rsid w:val="004F0B57"/>
    <w:rsid w:val="004F0CD8"/>
    <w:rsid w:val="004F0E73"/>
    <w:rsid w:val="004F0F7F"/>
    <w:rsid w:val="004F10F4"/>
    <w:rsid w:val="004F113E"/>
    <w:rsid w:val="004F11DE"/>
    <w:rsid w:val="004F11E5"/>
    <w:rsid w:val="004F11F4"/>
    <w:rsid w:val="004F12F7"/>
    <w:rsid w:val="004F1491"/>
    <w:rsid w:val="004F1560"/>
    <w:rsid w:val="004F1584"/>
    <w:rsid w:val="004F15A8"/>
    <w:rsid w:val="004F16BB"/>
    <w:rsid w:val="004F177C"/>
    <w:rsid w:val="004F1903"/>
    <w:rsid w:val="004F1EFC"/>
    <w:rsid w:val="004F1EFF"/>
    <w:rsid w:val="004F1FD1"/>
    <w:rsid w:val="004F2042"/>
    <w:rsid w:val="004F20B8"/>
    <w:rsid w:val="004F20F2"/>
    <w:rsid w:val="004F2A09"/>
    <w:rsid w:val="004F2D9E"/>
    <w:rsid w:val="004F2EDB"/>
    <w:rsid w:val="004F2FD6"/>
    <w:rsid w:val="004F31E5"/>
    <w:rsid w:val="004F33E2"/>
    <w:rsid w:val="004F35C1"/>
    <w:rsid w:val="004F35DB"/>
    <w:rsid w:val="004F35E1"/>
    <w:rsid w:val="004F3634"/>
    <w:rsid w:val="004F36EC"/>
    <w:rsid w:val="004F3878"/>
    <w:rsid w:val="004F39B3"/>
    <w:rsid w:val="004F3A68"/>
    <w:rsid w:val="004F3A99"/>
    <w:rsid w:val="004F3AAF"/>
    <w:rsid w:val="004F3B20"/>
    <w:rsid w:val="004F3D9A"/>
    <w:rsid w:val="004F3E56"/>
    <w:rsid w:val="004F3EE2"/>
    <w:rsid w:val="004F3F2A"/>
    <w:rsid w:val="004F407C"/>
    <w:rsid w:val="004F4324"/>
    <w:rsid w:val="004F44BC"/>
    <w:rsid w:val="004F44FC"/>
    <w:rsid w:val="004F4506"/>
    <w:rsid w:val="004F456E"/>
    <w:rsid w:val="004F4577"/>
    <w:rsid w:val="004F47AF"/>
    <w:rsid w:val="004F4807"/>
    <w:rsid w:val="004F48B1"/>
    <w:rsid w:val="004F498A"/>
    <w:rsid w:val="004F4E92"/>
    <w:rsid w:val="004F50CE"/>
    <w:rsid w:val="004F50FE"/>
    <w:rsid w:val="004F51CB"/>
    <w:rsid w:val="004F52CD"/>
    <w:rsid w:val="004F5667"/>
    <w:rsid w:val="004F56F4"/>
    <w:rsid w:val="004F5747"/>
    <w:rsid w:val="004F574E"/>
    <w:rsid w:val="004F5784"/>
    <w:rsid w:val="004F5904"/>
    <w:rsid w:val="004F592F"/>
    <w:rsid w:val="004F59A0"/>
    <w:rsid w:val="004F59CF"/>
    <w:rsid w:val="004F5A18"/>
    <w:rsid w:val="004F5A3D"/>
    <w:rsid w:val="004F5C5D"/>
    <w:rsid w:val="004F5E90"/>
    <w:rsid w:val="004F5E91"/>
    <w:rsid w:val="004F60D2"/>
    <w:rsid w:val="004F6118"/>
    <w:rsid w:val="004F6279"/>
    <w:rsid w:val="004F62F4"/>
    <w:rsid w:val="004F62FD"/>
    <w:rsid w:val="004F6462"/>
    <w:rsid w:val="004F64F3"/>
    <w:rsid w:val="004F6536"/>
    <w:rsid w:val="004F65FE"/>
    <w:rsid w:val="004F671F"/>
    <w:rsid w:val="004F683B"/>
    <w:rsid w:val="004F6850"/>
    <w:rsid w:val="004F6B19"/>
    <w:rsid w:val="004F6BDD"/>
    <w:rsid w:val="004F6E77"/>
    <w:rsid w:val="004F73CF"/>
    <w:rsid w:val="004F7448"/>
    <w:rsid w:val="004F74F3"/>
    <w:rsid w:val="004F7569"/>
    <w:rsid w:val="004F77C1"/>
    <w:rsid w:val="004F7976"/>
    <w:rsid w:val="004F7C94"/>
    <w:rsid w:val="004F7E21"/>
    <w:rsid w:val="004F7F70"/>
    <w:rsid w:val="0050001C"/>
    <w:rsid w:val="0050004B"/>
    <w:rsid w:val="005001AE"/>
    <w:rsid w:val="005006B3"/>
    <w:rsid w:val="00500B72"/>
    <w:rsid w:val="00500BC2"/>
    <w:rsid w:val="00500BD9"/>
    <w:rsid w:val="00500CD0"/>
    <w:rsid w:val="00500DC6"/>
    <w:rsid w:val="00500DF1"/>
    <w:rsid w:val="00500E19"/>
    <w:rsid w:val="00500E76"/>
    <w:rsid w:val="00500F2F"/>
    <w:rsid w:val="0050124E"/>
    <w:rsid w:val="005012CD"/>
    <w:rsid w:val="00501510"/>
    <w:rsid w:val="00501608"/>
    <w:rsid w:val="00501658"/>
    <w:rsid w:val="00501713"/>
    <w:rsid w:val="00501804"/>
    <w:rsid w:val="00501872"/>
    <w:rsid w:val="00501AD7"/>
    <w:rsid w:val="00501B8F"/>
    <w:rsid w:val="00501BBB"/>
    <w:rsid w:val="00501C2F"/>
    <w:rsid w:val="00501DC2"/>
    <w:rsid w:val="005020AE"/>
    <w:rsid w:val="00502147"/>
    <w:rsid w:val="00502193"/>
    <w:rsid w:val="005021B9"/>
    <w:rsid w:val="005021F2"/>
    <w:rsid w:val="00502210"/>
    <w:rsid w:val="0050225E"/>
    <w:rsid w:val="00502431"/>
    <w:rsid w:val="0050247F"/>
    <w:rsid w:val="005025F9"/>
    <w:rsid w:val="005026A2"/>
    <w:rsid w:val="005026E1"/>
    <w:rsid w:val="005026FB"/>
    <w:rsid w:val="00502A29"/>
    <w:rsid w:val="00502BC2"/>
    <w:rsid w:val="00502C23"/>
    <w:rsid w:val="00502D6F"/>
    <w:rsid w:val="00502EEB"/>
    <w:rsid w:val="00503186"/>
    <w:rsid w:val="005031A4"/>
    <w:rsid w:val="00503254"/>
    <w:rsid w:val="00503398"/>
    <w:rsid w:val="0050343E"/>
    <w:rsid w:val="0050357A"/>
    <w:rsid w:val="00503715"/>
    <w:rsid w:val="0050375F"/>
    <w:rsid w:val="0050376E"/>
    <w:rsid w:val="005037D3"/>
    <w:rsid w:val="00503944"/>
    <w:rsid w:val="00503A32"/>
    <w:rsid w:val="00503BEC"/>
    <w:rsid w:val="00503CF7"/>
    <w:rsid w:val="00503CFF"/>
    <w:rsid w:val="00503EDD"/>
    <w:rsid w:val="00503EF1"/>
    <w:rsid w:val="00503EF3"/>
    <w:rsid w:val="00503F39"/>
    <w:rsid w:val="00504079"/>
    <w:rsid w:val="00504239"/>
    <w:rsid w:val="0050433D"/>
    <w:rsid w:val="005043C4"/>
    <w:rsid w:val="00504422"/>
    <w:rsid w:val="005044B9"/>
    <w:rsid w:val="0050454A"/>
    <w:rsid w:val="005045DE"/>
    <w:rsid w:val="005046AB"/>
    <w:rsid w:val="005047FB"/>
    <w:rsid w:val="00504928"/>
    <w:rsid w:val="00504C89"/>
    <w:rsid w:val="005051CC"/>
    <w:rsid w:val="00505454"/>
    <w:rsid w:val="00505478"/>
    <w:rsid w:val="00505510"/>
    <w:rsid w:val="00505511"/>
    <w:rsid w:val="00505895"/>
    <w:rsid w:val="005058A2"/>
    <w:rsid w:val="005058A9"/>
    <w:rsid w:val="00505917"/>
    <w:rsid w:val="0050592D"/>
    <w:rsid w:val="0050592F"/>
    <w:rsid w:val="005059CB"/>
    <w:rsid w:val="00505D19"/>
    <w:rsid w:val="00505F8E"/>
    <w:rsid w:val="00506566"/>
    <w:rsid w:val="00506574"/>
    <w:rsid w:val="005065C0"/>
    <w:rsid w:val="005066A9"/>
    <w:rsid w:val="005067BF"/>
    <w:rsid w:val="005068A9"/>
    <w:rsid w:val="00506904"/>
    <w:rsid w:val="00506A88"/>
    <w:rsid w:val="00506CD9"/>
    <w:rsid w:val="00506D55"/>
    <w:rsid w:val="00506EB2"/>
    <w:rsid w:val="00506F7E"/>
    <w:rsid w:val="0050714A"/>
    <w:rsid w:val="005072C3"/>
    <w:rsid w:val="00507314"/>
    <w:rsid w:val="00507391"/>
    <w:rsid w:val="005074EF"/>
    <w:rsid w:val="005078E1"/>
    <w:rsid w:val="00507A59"/>
    <w:rsid w:val="00507B78"/>
    <w:rsid w:val="00507BB6"/>
    <w:rsid w:val="00507DB7"/>
    <w:rsid w:val="00507E11"/>
    <w:rsid w:val="00507E41"/>
    <w:rsid w:val="00507F2D"/>
    <w:rsid w:val="005100A9"/>
    <w:rsid w:val="00510128"/>
    <w:rsid w:val="00510150"/>
    <w:rsid w:val="00510350"/>
    <w:rsid w:val="005103D3"/>
    <w:rsid w:val="00510586"/>
    <w:rsid w:val="0051078D"/>
    <w:rsid w:val="005108A4"/>
    <w:rsid w:val="005109BF"/>
    <w:rsid w:val="005109F0"/>
    <w:rsid w:val="00510C5B"/>
    <w:rsid w:val="00510C6C"/>
    <w:rsid w:val="00510DDB"/>
    <w:rsid w:val="0051107C"/>
    <w:rsid w:val="005110A1"/>
    <w:rsid w:val="0051127C"/>
    <w:rsid w:val="005112A9"/>
    <w:rsid w:val="005112FD"/>
    <w:rsid w:val="00511459"/>
    <w:rsid w:val="005114DC"/>
    <w:rsid w:val="005115D6"/>
    <w:rsid w:val="005115F1"/>
    <w:rsid w:val="00511698"/>
    <w:rsid w:val="00511744"/>
    <w:rsid w:val="00511867"/>
    <w:rsid w:val="00511985"/>
    <w:rsid w:val="005119C8"/>
    <w:rsid w:val="00511DDD"/>
    <w:rsid w:val="00511E34"/>
    <w:rsid w:val="00511FEC"/>
    <w:rsid w:val="00512110"/>
    <w:rsid w:val="0051215B"/>
    <w:rsid w:val="005122B1"/>
    <w:rsid w:val="005122D6"/>
    <w:rsid w:val="005122ED"/>
    <w:rsid w:val="00512356"/>
    <w:rsid w:val="00512555"/>
    <w:rsid w:val="0051259B"/>
    <w:rsid w:val="005125C3"/>
    <w:rsid w:val="0051264B"/>
    <w:rsid w:val="0051267D"/>
    <w:rsid w:val="005128CF"/>
    <w:rsid w:val="00512A4E"/>
    <w:rsid w:val="00512A5D"/>
    <w:rsid w:val="00512C18"/>
    <w:rsid w:val="0051303E"/>
    <w:rsid w:val="00513056"/>
    <w:rsid w:val="00513084"/>
    <w:rsid w:val="005133F1"/>
    <w:rsid w:val="00513472"/>
    <w:rsid w:val="0051348E"/>
    <w:rsid w:val="005134B7"/>
    <w:rsid w:val="00513702"/>
    <w:rsid w:val="00513738"/>
    <w:rsid w:val="0051374D"/>
    <w:rsid w:val="005137A5"/>
    <w:rsid w:val="005137BC"/>
    <w:rsid w:val="00513A1C"/>
    <w:rsid w:val="00513B5A"/>
    <w:rsid w:val="00513B6B"/>
    <w:rsid w:val="00513B91"/>
    <w:rsid w:val="00513C36"/>
    <w:rsid w:val="00513CF9"/>
    <w:rsid w:val="00513DAC"/>
    <w:rsid w:val="00513E09"/>
    <w:rsid w:val="00513F84"/>
    <w:rsid w:val="0051424C"/>
    <w:rsid w:val="0051427D"/>
    <w:rsid w:val="00514317"/>
    <w:rsid w:val="0051439C"/>
    <w:rsid w:val="005144E1"/>
    <w:rsid w:val="00514588"/>
    <w:rsid w:val="005148D7"/>
    <w:rsid w:val="005149E4"/>
    <w:rsid w:val="00514A53"/>
    <w:rsid w:val="00514C73"/>
    <w:rsid w:val="00514D3E"/>
    <w:rsid w:val="00514D53"/>
    <w:rsid w:val="00514E28"/>
    <w:rsid w:val="00514E9E"/>
    <w:rsid w:val="00514FE0"/>
    <w:rsid w:val="0051533B"/>
    <w:rsid w:val="00515392"/>
    <w:rsid w:val="005153A0"/>
    <w:rsid w:val="005153FC"/>
    <w:rsid w:val="00515403"/>
    <w:rsid w:val="00515432"/>
    <w:rsid w:val="0051544B"/>
    <w:rsid w:val="0051549D"/>
    <w:rsid w:val="00515606"/>
    <w:rsid w:val="005157A3"/>
    <w:rsid w:val="0051580E"/>
    <w:rsid w:val="00515915"/>
    <w:rsid w:val="00515BE7"/>
    <w:rsid w:val="00515C5B"/>
    <w:rsid w:val="00515D94"/>
    <w:rsid w:val="00515EA5"/>
    <w:rsid w:val="00516316"/>
    <w:rsid w:val="0051647E"/>
    <w:rsid w:val="005164A4"/>
    <w:rsid w:val="005164DA"/>
    <w:rsid w:val="005165B5"/>
    <w:rsid w:val="0051665A"/>
    <w:rsid w:val="00516673"/>
    <w:rsid w:val="00516749"/>
    <w:rsid w:val="00516AE9"/>
    <w:rsid w:val="00516EA9"/>
    <w:rsid w:val="005172AE"/>
    <w:rsid w:val="005173ED"/>
    <w:rsid w:val="0051746A"/>
    <w:rsid w:val="00517487"/>
    <w:rsid w:val="005174BA"/>
    <w:rsid w:val="005174EB"/>
    <w:rsid w:val="00517598"/>
    <w:rsid w:val="0051791F"/>
    <w:rsid w:val="00517B8D"/>
    <w:rsid w:val="00517BA5"/>
    <w:rsid w:val="00517BB4"/>
    <w:rsid w:val="00517BFD"/>
    <w:rsid w:val="00517C12"/>
    <w:rsid w:val="00517C84"/>
    <w:rsid w:val="00517E9E"/>
    <w:rsid w:val="00517FBD"/>
    <w:rsid w:val="0052000D"/>
    <w:rsid w:val="00520037"/>
    <w:rsid w:val="005200A4"/>
    <w:rsid w:val="00520251"/>
    <w:rsid w:val="00520626"/>
    <w:rsid w:val="005207A2"/>
    <w:rsid w:val="005209C1"/>
    <w:rsid w:val="00520AF1"/>
    <w:rsid w:val="00520BE1"/>
    <w:rsid w:val="00520C62"/>
    <w:rsid w:val="00520C97"/>
    <w:rsid w:val="00520D05"/>
    <w:rsid w:val="00520F21"/>
    <w:rsid w:val="00520F73"/>
    <w:rsid w:val="0052106B"/>
    <w:rsid w:val="00521098"/>
    <w:rsid w:val="005211DD"/>
    <w:rsid w:val="005211E9"/>
    <w:rsid w:val="005212D7"/>
    <w:rsid w:val="00521572"/>
    <w:rsid w:val="00521603"/>
    <w:rsid w:val="005216AD"/>
    <w:rsid w:val="005216EF"/>
    <w:rsid w:val="0052172F"/>
    <w:rsid w:val="00521735"/>
    <w:rsid w:val="00521BCA"/>
    <w:rsid w:val="00521C06"/>
    <w:rsid w:val="00521D60"/>
    <w:rsid w:val="00521D70"/>
    <w:rsid w:val="00521E20"/>
    <w:rsid w:val="00521EBE"/>
    <w:rsid w:val="00521F66"/>
    <w:rsid w:val="00522148"/>
    <w:rsid w:val="00522294"/>
    <w:rsid w:val="005222B1"/>
    <w:rsid w:val="005222F1"/>
    <w:rsid w:val="00522362"/>
    <w:rsid w:val="00522488"/>
    <w:rsid w:val="00522491"/>
    <w:rsid w:val="0052258C"/>
    <w:rsid w:val="005225F6"/>
    <w:rsid w:val="00522856"/>
    <w:rsid w:val="00522996"/>
    <w:rsid w:val="00522A1F"/>
    <w:rsid w:val="00522ACA"/>
    <w:rsid w:val="00522C87"/>
    <w:rsid w:val="00522DBE"/>
    <w:rsid w:val="00522F3F"/>
    <w:rsid w:val="0052300E"/>
    <w:rsid w:val="00523083"/>
    <w:rsid w:val="005231F1"/>
    <w:rsid w:val="005234FA"/>
    <w:rsid w:val="0052350E"/>
    <w:rsid w:val="0052374A"/>
    <w:rsid w:val="005237F8"/>
    <w:rsid w:val="005237FB"/>
    <w:rsid w:val="005238BC"/>
    <w:rsid w:val="00523B54"/>
    <w:rsid w:val="00523CC9"/>
    <w:rsid w:val="00523D2F"/>
    <w:rsid w:val="00523D74"/>
    <w:rsid w:val="00523E13"/>
    <w:rsid w:val="00523F0A"/>
    <w:rsid w:val="005245C6"/>
    <w:rsid w:val="005246CB"/>
    <w:rsid w:val="00524B93"/>
    <w:rsid w:val="00524BFB"/>
    <w:rsid w:val="00524DE2"/>
    <w:rsid w:val="00524E24"/>
    <w:rsid w:val="00524FC5"/>
    <w:rsid w:val="0052504B"/>
    <w:rsid w:val="005251C0"/>
    <w:rsid w:val="005252AB"/>
    <w:rsid w:val="005252AF"/>
    <w:rsid w:val="00525353"/>
    <w:rsid w:val="005253DD"/>
    <w:rsid w:val="00525461"/>
    <w:rsid w:val="0052546C"/>
    <w:rsid w:val="00525516"/>
    <w:rsid w:val="00525789"/>
    <w:rsid w:val="0052584D"/>
    <w:rsid w:val="0052585E"/>
    <w:rsid w:val="00525912"/>
    <w:rsid w:val="00525B18"/>
    <w:rsid w:val="00525B4C"/>
    <w:rsid w:val="00525E49"/>
    <w:rsid w:val="00525ED7"/>
    <w:rsid w:val="00526121"/>
    <w:rsid w:val="005262CD"/>
    <w:rsid w:val="0052665A"/>
    <w:rsid w:val="0052715D"/>
    <w:rsid w:val="0052723A"/>
    <w:rsid w:val="005272A4"/>
    <w:rsid w:val="005272DF"/>
    <w:rsid w:val="0052735B"/>
    <w:rsid w:val="00527602"/>
    <w:rsid w:val="0052760D"/>
    <w:rsid w:val="00527668"/>
    <w:rsid w:val="005276EA"/>
    <w:rsid w:val="00527715"/>
    <w:rsid w:val="00527830"/>
    <w:rsid w:val="00527880"/>
    <w:rsid w:val="005279A6"/>
    <w:rsid w:val="00527AFE"/>
    <w:rsid w:val="00527B6E"/>
    <w:rsid w:val="00527D7A"/>
    <w:rsid w:val="00527EB9"/>
    <w:rsid w:val="00527F55"/>
    <w:rsid w:val="00527FB3"/>
    <w:rsid w:val="005300CE"/>
    <w:rsid w:val="005302BE"/>
    <w:rsid w:val="00530445"/>
    <w:rsid w:val="005306E8"/>
    <w:rsid w:val="0053081F"/>
    <w:rsid w:val="0053083C"/>
    <w:rsid w:val="0053083F"/>
    <w:rsid w:val="00530897"/>
    <w:rsid w:val="00530A9C"/>
    <w:rsid w:val="00530B08"/>
    <w:rsid w:val="00530B3D"/>
    <w:rsid w:val="00530C13"/>
    <w:rsid w:val="00530C96"/>
    <w:rsid w:val="00530D0B"/>
    <w:rsid w:val="00530DD7"/>
    <w:rsid w:val="00530E53"/>
    <w:rsid w:val="00530F8D"/>
    <w:rsid w:val="00530FB0"/>
    <w:rsid w:val="00531259"/>
    <w:rsid w:val="00531298"/>
    <w:rsid w:val="005312A0"/>
    <w:rsid w:val="005315BE"/>
    <w:rsid w:val="0053179E"/>
    <w:rsid w:val="005317A6"/>
    <w:rsid w:val="0053182A"/>
    <w:rsid w:val="0053191C"/>
    <w:rsid w:val="005319BC"/>
    <w:rsid w:val="00531BF2"/>
    <w:rsid w:val="00531D4B"/>
    <w:rsid w:val="00531DE2"/>
    <w:rsid w:val="00531E9A"/>
    <w:rsid w:val="00531F10"/>
    <w:rsid w:val="00531FA9"/>
    <w:rsid w:val="0053203D"/>
    <w:rsid w:val="00532051"/>
    <w:rsid w:val="0053206F"/>
    <w:rsid w:val="00532276"/>
    <w:rsid w:val="0053238C"/>
    <w:rsid w:val="005323A0"/>
    <w:rsid w:val="00532519"/>
    <w:rsid w:val="00532528"/>
    <w:rsid w:val="0053261B"/>
    <w:rsid w:val="0053272D"/>
    <w:rsid w:val="0053274E"/>
    <w:rsid w:val="005327A4"/>
    <w:rsid w:val="00532813"/>
    <w:rsid w:val="005329F2"/>
    <w:rsid w:val="00532AB8"/>
    <w:rsid w:val="00532B32"/>
    <w:rsid w:val="00532D81"/>
    <w:rsid w:val="00533199"/>
    <w:rsid w:val="0053327A"/>
    <w:rsid w:val="005333AC"/>
    <w:rsid w:val="005333C8"/>
    <w:rsid w:val="005335D6"/>
    <w:rsid w:val="0053362B"/>
    <w:rsid w:val="005336D7"/>
    <w:rsid w:val="005337D0"/>
    <w:rsid w:val="005338EF"/>
    <w:rsid w:val="005339AB"/>
    <w:rsid w:val="00533A72"/>
    <w:rsid w:val="00533AE3"/>
    <w:rsid w:val="00533C11"/>
    <w:rsid w:val="00533D2A"/>
    <w:rsid w:val="00533E41"/>
    <w:rsid w:val="00533E65"/>
    <w:rsid w:val="00533F6B"/>
    <w:rsid w:val="00533FB8"/>
    <w:rsid w:val="005340B1"/>
    <w:rsid w:val="00534134"/>
    <w:rsid w:val="005341AD"/>
    <w:rsid w:val="00534288"/>
    <w:rsid w:val="005342C5"/>
    <w:rsid w:val="005342D8"/>
    <w:rsid w:val="00534514"/>
    <w:rsid w:val="00534581"/>
    <w:rsid w:val="00534607"/>
    <w:rsid w:val="0053476A"/>
    <w:rsid w:val="005348FD"/>
    <w:rsid w:val="00534C58"/>
    <w:rsid w:val="00534C76"/>
    <w:rsid w:val="00534F1A"/>
    <w:rsid w:val="0053502C"/>
    <w:rsid w:val="0053505A"/>
    <w:rsid w:val="00535069"/>
    <w:rsid w:val="0053506D"/>
    <w:rsid w:val="005350B2"/>
    <w:rsid w:val="005350FB"/>
    <w:rsid w:val="005352A7"/>
    <w:rsid w:val="005352CA"/>
    <w:rsid w:val="005352D9"/>
    <w:rsid w:val="0053541D"/>
    <w:rsid w:val="00535590"/>
    <w:rsid w:val="00535678"/>
    <w:rsid w:val="005356B3"/>
    <w:rsid w:val="005357B5"/>
    <w:rsid w:val="005357C4"/>
    <w:rsid w:val="00535969"/>
    <w:rsid w:val="00535999"/>
    <w:rsid w:val="00535B61"/>
    <w:rsid w:val="00535CA4"/>
    <w:rsid w:val="00535F03"/>
    <w:rsid w:val="00535F60"/>
    <w:rsid w:val="00535F73"/>
    <w:rsid w:val="00535F7B"/>
    <w:rsid w:val="00536011"/>
    <w:rsid w:val="00536019"/>
    <w:rsid w:val="005362A7"/>
    <w:rsid w:val="00536624"/>
    <w:rsid w:val="005366AB"/>
    <w:rsid w:val="00536BFB"/>
    <w:rsid w:val="00536F3B"/>
    <w:rsid w:val="00536F7C"/>
    <w:rsid w:val="00536FD3"/>
    <w:rsid w:val="005371AD"/>
    <w:rsid w:val="0053720E"/>
    <w:rsid w:val="00537394"/>
    <w:rsid w:val="005373E4"/>
    <w:rsid w:val="0053747D"/>
    <w:rsid w:val="0053766A"/>
    <w:rsid w:val="00537897"/>
    <w:rsid w:val="00537951"/>
    <w:rsid w:val="005379F8"/>
    <w:rsid w:val="00537A52"/>
    <w:rsid w:val="00537C00"/>
    <w:rsid w:val="00537C30"/>
    <w:rsid w:val="00537D8F"/>
    <w:rsid w:val="00537E30"/>
    <w:rsid w:val="00537E6E"/>
    <w:rsid w:val="00537F17"/>
    <w:rsid w:val="00537F3C"/>
    <w:rsid w:val="00540130"/>
    <w:rsid w:val="0054019E"/>
    <w:rsid w:val="005402C1"/>
    <w:rsid w:val="005403D7"/>
    <w:rsid w:val="005404F7"/>
    <w:rsid w:val="00540574"/>
    <w:rsid w:val="005407E8"/>
    <w:rsid w:val="0054083F"/>
    <w:rsid w:val="005408E7"/>
    <w:rsid w:val="005409A9"/>
    <w:rsid w:val="00540A17"/>
    <w:rsid w:val="00540AFE"/>
    <w:rsid w:val="00540C05"/>
    <w:rsid w:val="00540C45"/>
    <w:rsid w:val="00540CD7"/>
    <w:rsid w:val="00540D64"/>
    <w:rsid w:val="0054101A"/>
    <w:rsid w:val="0054111A"/>
    <w:rsid w:val="00541175"/>
    <w:rsid w:val="0054120D"/>
    <w:rsid w:val="00541284"/>
    <w:rsid w:val="0054163D"/>
    <w:rsid w:val="0054177C"/>
    <w:rsid w:val="005417BE"/>
    <w:rsid w:val="0054181B"/>
    <w:rsid w:val="00541A3C"/>
    <w:rsid w:val="00541B6D"/>
    <w:rsid w:val="00541BD7"/>
    <w:rsid w:val="00541BDF"/>
    <w:rsid w:val="00541D33"/>
    <w:rsid w:val="00541D42"/>
    <w:rsid w:val="00541D7F"/>
    <w:rsid w:val="00541DF5"/>
    <w:rsid w:val="00541E5A"/>
    <w:rsid w:val="00541FEC"/>
    <w:rsid w:val="005423EC"/>
    <w:rsid w:val="00542696"/>
    <w:rsid w:val="005426E5"/>
    <w:rsid w:val="005428A4"/>
    <w:rsid w:val="0054297E"/>
    <w:rsid w:val="00542DD8"/>
    <w:rsid w:val="00543075"/>
    <w:rsid w:val="00543115"/>
    <w:rsid w:val="005431BD"/>
    <w:rsid w:val="005432FB"/>
    <w:rsid w:val="0054349F"/>
    <w:rsid w:val="005434B0"/>
    <w:rsid w:val="005434B1"/>
    <w:rsid w:val="005434FE"/>
    <w:rsid w:val="0054374D"/>
    <w:rsid w:val="005438D5"/>
    <w:rsid w:val="00543BCA"/>
    <w:rsid w:val="00543BDB"/>
    <w:rsid w:val="00543C70"/>
    <w:rsid w:val="00543DB6"/>
    <w:rsid w:val="00543E01"/>
    <w:rsid w:val="00543EAF"/>
    <w:rsid w:val="00543EC8"/>
    <w:rsid w:val="005440C2"/>
    <w:rsid w:val="005440F5"/>
    <w:rsid w:val="00544185"/>
    <w:rsid w:val="0054418B"/>
    <w:rsid w:val="005445AE"/>
    <w:rsid w:val="005445DF"/>
    <w:rsid w:val="005445FD"/>
    <w:rsid w:val="005446F8"/>
    <w:rsid w:val="00544886"/>
    <w:rsid w:val="00544C07"/>
    <w:rsid w:val="00544DBD"/>
    <w:rsid w:val="00544FF5"/>
    <w:rsid w:val="0054547E"/>
    <w:rsid w:val="00545585"/>
    <w:rsid w:val="00545688"/>
    <w:rsid w:val="00545697"/>
    <w:rsid w:val="00545776"/>
    <w:rsid w:val="005458D1"/>
    <w:rsid w:val="00545947"/>
    <w:rsid w:val="005459D7"/>
    <w:rsid w:val="00545A64"/>
    <w:rsid w:val="00545BCD"/>
    <w:rsid w:val="00545BE8"/>
    <w:rsid w:val="00545F05"/>
    <w:rsid w:val="00545F98"/>
    <w:rsid w:val="0054626C"/>
    <w:rsid w:val="005465C9"/>
    <w:rsid w:val="0054667F"/>
    <w:rsid w:val="0054668E"/>
    <w:rsid w:val="005466B4"/>
    <w:rsid w:val="005466CD"/>
    <w:rsid w:val="0054684B"/>
    <w:rsid w:val="00546880"/>
    <w:rsid w:val="005468C0"/>
    <w:rsid w:val="0054694B"/>
    <w:rsid w:val="00546A35"/>
    <w:rsid w:val="00546DFB"/>
    <w:rsid w:val="00546E3F"/>
    <w:rsid w:val="00546EB8"/>
    <w:rsid w:val="00546FBD"/>
    <w:rsid w:val="0054701C"/>
    <w:rsid w:val="005470B1"/>
    <w:rsid w:val="005473D3"/>
    <w:rsid w:val="005476A3"/>
    <w:rsid w:val="00547706"/>
    <w:rsid w:val="005477DC"/>
    <w:rsid w:val="005478F9"/>
    <w:rsid w:val="00547AFD"/>
    <w:rsid w:val="00547B49"/>
    <w:rsid w:val="00547C3B"/>
    <w:rsid w:val="00547C93"/>
    <w:rsid w:val="00547DED"/>
    <w:rsid w:val="00547F96"/>
    <w:rsid w:val="00547FA7"/>
    <w:rsid w:val="00547FE7"/>
    <w:rsid w:val="005500C8"/>
    <w:rsid w:val="00550234"/>
    <w:rsid w:val="005502DA"/>
    <w:rsid w:val="005503DE"/>
    <w:rsid w:val="00550585"/>
    <w:rsid w:val="005505F6"/>
    <w:rsid w:val="005506B7"/>
    <w:rsid w:val="00550863"/>
    <w:rsid w:val="00550A15"/>
    <w:rsid w:val="00550C4B"/>
    <w:rsid w:val="00550D07"/>
    <w:rsid w:val="00550F73"/>
    <w:rsid w:val="0055109E"/>
    <w:rsid w:val="005510D9"/>
    <w:rsid w:val="00551152"/>
    <w:rsid w:val="0055157E"/>
    <w:rsid w:val="00551669"/>
    <w:rsid w:val="0055166F"/>
    <w:rsid w:val="0055177C"/>
    <w:rsid w:val="0055179B"/>
    <w:rsid w:val="00551A90"/>
    <w:rsid w:val="00551B29"/>
    <w:rsid w:val="00551CE6"/>
    <w:rsid w:val="00552107"/>
    <w:rsid w:val="00552125"/>
    <w:rsid w:val="00552136"/>
    <w:rsid w:val="005521F1"/>
    <w:rsid w:val="00552205"/>
    <w:rsid w:val="005522BE"/>
    <w:rsid w:val="0055235F"/>
    <w:rsid w:val="005523A8"/>
    <w:rsid w:val="005524FB"/>
    <w:rsid w:val="00552529"/>
    <w:rsid w:val="00552785"/>
    <w:rsid w:val="0055292B"/>
    <w:rsid w:val="00552969"/>
    <w:rsid w:val="00552B79"/>
    <w:rsid w:val="00552D53"/>
    <w:rsid w:val="00553394"/>
    <w:rsid w:val="005533A8"/>
    <w:rsid w:val="005533DE"/>
    <w:rsid w:val="00553522"/>
    <w:rsid w:val="00553547"/>
    <w:rsid w:val="005535A6"/>
    <w:rsid w:val="0055369F"/>
    <w:rsid w:val="005536DC"/>
    <w:rsid w:val="0055377E"/>
    <w:rsid w:val="005538B3"/>
    <w:rsid w:val="00553945"/>
    <w:rsid w:val="00553A24"/>
    <w:rsid w:val="00553B39"/>
    <w:rsid w:val="00553E6D"/>
    <w:rsid w:val="00553FF1"/>
    <w:rsid w:val="0055403B"/>
    <w:rsid w:val="005540A4"/>
    <w:rsid w:val="00554228"/>
    <w:rsid w:val="005542A5"/>
    <w:rsid w:val="00554497"/>
    <w:rsid w:val="005546B1"/>
    <w:rsid w:val="00554809"/>
    <w:rsid w:val="00554A4F"/>
    <w:rsid w:val="00554C39"/>
    <w:rsid w:val="00554F0B"/>
    <w:rsid w:val="00554F3C"/>
    <w:rsid w:val="00554FBC"/>
    <w:rsid w:val="00554FCA"/>
    <w:rsid w:val="00554FD5"/>
    <w:rsid w:val="005551E8"/>
    <w:rsid w:val="00555227"/>
    <w:rsid w:val="00555449"/>
    <w:rsid w:val="005554A2"/>
    <w:rsid w:val="0055550F"/>
    <w:rsid w:val="00555565"/>
    <w:rsid w:val="0055569D"/>
    <w:rsid w:val="005558C6"/>
    <w:rsid w:val="005558FC"/>
    <w:rsid w:val="00555A43"/>
    <w:rsid w:val="00555AA3"/>
    <w:rsid w:val="00555ABC"/>
    <w:rsid w:val="00555BE6"/>
    <w:rsid w:val="00555C0B"/>
    <w:rsid w:val="00555C23"/>
    <w:rsid w:val="00555CD2"/>
    <w:rsid w:val="00555D6C"/>
    <w:rsid w:val="00555DEB"/>
    <w:rsid w:val="00555F8A"/>
    <w:rsid w:val="00555FE5"/>
    <w:rsid w:val="0055608D"/>
    <w:rsid w:val="005560A2"/>
    <w:rsid w:val="00556158"/>
    <w:rsid w:val="00556379"/>
    <w:rsid w:val="00556535"/>
    <w:rsid w:val="005565BF"/>
    <w:rsid w:val="005565EE"/>
    <w:rsid w:val="00556631"/>
    <w:rsid w:val="0055667D"/>
    <w:rsid w:val="00556758"/>
    <w:rsid w:val="005567DB"/>
    <w:rsid w:val="00556829"/>
    <w:rsid w:val="00556A79"/>
    <w:rsid w:val="00556CF3"/>
    <w:rsid w:val="00556E38"/>
    <w:rsid w:val="00556F15"/>
    <w:rsid w:val="00556FC4"/>
    <w:rsid w:val="00557082"/>
    <w:rsid w:val="0055720B"/>
    <w:rsid w:val="00557270"/>
    <w:rsid w:val="005572DD"/>
    <w:rsid w:val="0055746F"/>
    <w:rsid w:val="005576D2"/>
    <w:rsid w:val="0055772A"/>
    <w:rsid w:val="00557BC3"/>
    <w:rsid w:val="00557CC1"/>
    <w:rsid w:val="00557D5B"/>
    <w:rsid w:val="00557DC6"/>
    <w:rsid w:val="00557E18"/>
    <w:rsid w:val="00557EE0"/>
    <w:rsid w:val="005600D4"/>
    <w:rsid w:val="00560183"/>
    <w:rsid w:val="0056024F"/>
    <w:rsid w:val="0056033B"/>
    <w:rsid w:val="0056040B"/>
    <w:rsid w:val="0056043F"/>
    <w:rsid w:val="00560472"/>
    <w:rsid w:val="00560476"/>
    <w:rsid w:val="005605DA"/>
    <w:rsid w:val="0056063E"/>
    <w:rsid w:val="00560708"/>
    <w:rsid w:val="005607DC"/>
    <w:rsid w:val="005608AE"/>
    <w:rsid w:val="00560AAC"/>
    <w:rsid w:val="00560BA2"/>
    <w:rsid w:val="00560BC6"/>
    <w:rsid w:val="00560FD9"/>
    <w:rsid w:val="00560FE8"/>
    <w:rsid w:val="00561621"/>
    <w:rsid w:val="005617F8"/>
    <w:rsid w:val="00561802"/>
    <w:rsid w:val="0056185E"/>
    <w:rsid w:val="00561963"/>
    <w:rsid w:val="0056197B"/>
    <w:rsid w:val="005619ED"/>
    <w:rsid w:val="00561BBE"/>
    <w:rsid w:val="00561F3C"/>
    <w:rsid w:val="005620D4"/>
    <w:rsid w:val="00562201"/>
    <w:rsid w:val="0056220F"/>
    <w:rsid w:val="0056231A"/>
    <w:rsid w:val="005624C9"/>
    <w:rsid w:val="005625A6"/>
    <w:rsid w:val="0056269B"/>
    <w:rsid w:val="00562A37"/>
    <w:rsid w:val="00562A54"/>
    <w:rsid w:val="00562BA6"/>
    <w:rsid w:val="00562BB2"/>
    <w:rsid w:val="00562CEE"/>
    <w:rsid w:val="00562DB4"/>
    <w:rsid w:val="00562EBF"/>
    <w:rsid w:val="005630A8"/>
    <w:rsid w:val="00563291"/>
    <w:rsid w:val="005632F0"/>
    <w:rsid w:val="00563483"/>
    <w:rsid w:val="005635B8"/>
    <w:rsid w:val="005637E6"/>
    <w:rsid w:val="0056393E"/>
    <w:rsid w:val="00563D2D"/>
    <w:rsid w:val="00563D7A"/>
    <w:rsid w:val="00563E33"/>
    <w:rsid w:val="00564083"/>
    <w:rsid w:val="005643F8"/>
    <w:rsid w:val="005646BD"/>
    <w:rsid w:val="00564953"/>
    <w:rsid w:val="00564A13"/>
    <w:rsid w:val="00564A29"/>
    <w:rsid w:val="00564BCA"/>
    <w:rsid w:val="00564C85"/>
    <w:rsid w:val="00564E75"/>
    <w:rsid w:val="00564F1C"/>
    <w:rsid w:val="0056501E"/>
    <w:rsid w:val="005651AE"/>
    <w:rsid w:val="005651F5"/>
    <w:rsid w:val="005651F9"/>
    <w:rsid w:val="0056525D"/>
    <w:rsid w:val="005653DB"/>
    <w:rsid w:val="0056547A"/>
    <w:rsid w:val="00565892"/>
    <w:rsid w:val="005658E9"/>
    <w:rsid w:val="00565B7C"/>
    <w:rsid w:val="00565CE2"/>
    <w:rsid w:val="00565D74"/>
    <w:rsid w:val="00565DFB"/>
    <w:rsid w:val="00565EE4"/>
    <w:rsid w:val="00565F2A"/>
    <w:rsid w:val="00565F9D"/>
    <w:rsid w:val="00566071"/>
    <w:rsid w:val="0056610B"/>
    <w:rsid w:val="0056640C"/>
    <w:rsid w:val="005664A0"/>
    <w:rsid w:val="00566531"/>
    <w:rsid w:val="00566837"/>
    <w:rsid w:val="0056683E"/>
    <w:rsid w:val="005669AC"/>
    <w:rsid w:val="00566A85"/>
    <w:rsid w:val="00566CC2"/>
    <w:rsid w:val="00566E9B"/>
    <w:rsid w:val="005670B4"/>
    <w:rsid w:val="00567174"/>
    <w:rsid w:val="00567498"/>
    <w:rsid w:val="0056781C"/>
    <w:rsid w:val="0056791F"/>
    <w:rsid w:val="00567949"/>
    <w:rsid w:val="00567A84"/>
    <w:rsid w:val="00567D41"/>
    <w:rsid w:val="00567DA4"/>
    <w:rsid w:val="00567EC9"/>
    <w:rsid w:val="005700A0"/>
    <w:rsid w:val="00570152"/>
    <w:rsid w:val="005702AA"/>
    <w:rsid w:val="005703D5"/>
    <w:rsid w:val="00570421"/>
    <w:rsid w:val="005704A9"/>
    <w:rsid w:val="00570610"/>
    <w:rsid w:val="005707CA"/>
    <w:rsid w:val="005708A1"/>
    <w:rsid w:val="0057094A"/>
    <w:rsid w:val="005709D7"/>
    <w:rsid w:val="00570A25"/>
    <w:rsid w:val="00570A3F"/>
    <w:rsid w:val="00570A6A"/>
    <w:rsid w:val="00570A9E"/>
    <w:rsid w:val="00570AB1"/>
    <w:rsid w:val="00570B61"/>
    <w:rsid w:val="00570D1E"/>
    <w:rsid w:val="00570D27"/>
    <w:rsid w:val="00570E44"/>
    <w:rsid w:val="00570F22"/>
    <w:rsid w:val="0057112D"/>
    <w:rsid w:val="00571154"/>
    <w:rsid w:val="0057121E"/>
    <w:rsid w:val="0057126B"/>
    <w:rsid w:val="005712D2"/>
    <w:rsid w:val="00571450"/>
    <w:rsid w:val="005714C6"/>
    <w:rsid w:val="00571770"/>
    <w:rsid w:val="00571918"/>
    <w:rsid w:val="00571951"/>
    <w:rsid w:val="005719FF"/>
    <w:rsid w:val="00571A70"/>
    <w:rsid w:val="00571A84"/>
    <w:rsid w:val="00571A9C"/>
    <w:rsid w:val="00571E4C"/>
    <w:rsid w:val="005722A8"/>
    <w:rsid w:val="00572352"/>
    <w:rsid w:val="00572597"/>
    <w:rsid w:val="005725AE"/>
    <w:rsid w:val="005725B6"/>
    <w:rsid w:val="0057261D"/>
    <w:rsid w:val="00572620"/>
    <w:rsid w:val="005727A6"/>
    <w:rsid w:val="005727DD"/>
    <w:rsid w:val="00572914"/>
    <w:rsid w:val="00572B08"/>
    <w:rsid w:val="00572CC1"/>
    <w:rsid w:val="00572CE0"/>
    <w:rsid w:val="00572E0D"/>
    <w:rsid w:val="005731A3"/>
    <w:rsid w:val="005735E1"/>
    <w:rsid w:val="00573878"/>
    <w:rsid w:val="005739A9"/>
    <w:rsid w:val="00573A3D"/>
    <w:rsid w:val="00573ACB"/>
    <w:rsid w:val="00573B33"/>
    <w:rsid w:val="00573B41"/>
    <w:rsid w:val="00573BDF"/>
    <w:rsid w:val="00573D69"/>
    <w:rsid w:val="00573E35"/>
    <w:rsid w:val="00573E4C"/>
    <w:rsid w:val="00573EFD"/>
    <w:rsid w:val="00573F42"/>
    <w:rsid w:val="005740DB"/>
    <w:rsid w:val="00574205"/>
    <w:rsid w:val="005744B4"/>
    <w:rsid w:val="00574630"/>
    <w:rsid w:val="005746F0"/>
    <w:rsid w:val="0057485D"/>
    <w:rsid w:val="00574A12"/>
    <w:rsid w:val="00574C25"/>
    <w:rsid w:val="00574E1E"/>
    <w:rsid w:val="00574F3E"/>
    <w:rsid w:val="005750D8"/>
    <w:rsid w:val="00575189"/>
    <w:rsid w:val="005753FD"/>
    <w:rsid w:val="00575672"/>
    <w:rsid w:val="0057568E"/>
    <w:rsid w:val="0057594D"/>
    <w:rsid w:val="00575A5F"/>
    <w:rsid w:val="00575C92"/>
    <w:rsid w:val="00575D18"/>
    <w:rsid w:val="00575E8A"/>
    <w:rsid w:val="00575F6C"/>
    <w:rsid w:val="0057634B"/>
    <w:rsid w:val="005763EC"/>
    <w:rsid w:val="005765B9"/>
    <w:rsid w:val="00576658"/>
    <w:rsid w:val="005766F8"/>
    <w:rsid w:val="005767B5"/>
    <w:rsid w:val="005768B3"/>
    <w:rsid w:val="005768F3"/>
    <w:rsid w:val="00576929"/>
    <w:rsid w:val="00576935"/>
    <w:rsid w:val="00576A11"/>
    <w:rsid w:val="00576A3B"/>
    <w:rsid w:val="00576CEC"/>
    <w:rsid w:val="00576D77"/>
    <w:rsid w:val="00576DF3"/>
    <w:rsid w:val="00576E41"/>
    <w:rsid w:val="00576EE9"/>
    <w:rsid w:val="005772A8"/>
    <w:rsid w:val="005775F6"/>
    <w:rsid w:val="0057763B"/>
    <w:rsid w:val="00577672"/>
    <w:rsid w:val="00577903"/>
    <w:rsid w:val="00577A84"/>
    <w:rsid w:val="00577D3F"/>
    <w:rsid w:val="00577D7A"/>
    <w:rsid w:val="0058004D"/>
    <w:rsid w:val="00580403"/>
    <w:rsid w:val="00580470"/>
    <w:rsid w:val="005805B2"/>
    <w:rsid w:val="005805DA"/>
    <w:rsid w:val="00580645"/>
    <w:rsid w:val="00580AE4"/>
    <w:rsid w:val="00580B51"/>
    <w:rsid w:val="00580B83"/>
    <w:rsid w:val="00580C25"/>
    <w:rsid w:val="00580E05"/>
    <w:rsid w:val="00580E3B"/>
    <w:rsid w:val="00580EAE"/>
    <w:rsid w:val="00580F18"/>
    <w:rsid w:val="00580F28"/>
    <w:rsid w:val="00580FDD"/>
    <w:rsid w:val="005810B7"/>
    <w:rsid w:val="005810B8"/>
    <w:rsid w:val="0058145B"/>
    <w:rsid w:val="00581572"/>
    <w:rsid w:val="00581801"/>
    <w:rsid w:val="00581891"/>
    <w:rsid w:val="00581BAC"/>
    <w:rsid w:val="00581C80"/>
    <w:rsid w:val="00581DFE"/>
    <w:rsid w:val="00581E81"/>
    <w:rsid w:val="00581F62"/>
    <w:rsid w:val="00582120"/>
    <w:rsid w:val="00582212"/>
    <w:rsid w:val="0058244C"/>
    <w:rsid w:val="00582663"/>
    <w:rsid w:val="00582AFC"/>
    <w:rsid w:val="00582B08"/>
    <w:rsid w:val="00582B90"/>
    <w:rsid w:val="00582C20"/>
    <w:rsid w:val="00582C65"/>
    <w:rsid w:val="00582EB2"/>
    <w:rsid w:val="00582FB6"/>
    <w:rsid w:val="00583095"/>
    <w:rsid w:val="00583115"/>
    <w:rsid w:val="0058323E"/>
    <w:rsid w:val="00583321"/>
    <w:rsid w:val="0058334A"/>
    <w:rsid w:val="00583464"/>
    <w:rsid w:val="0058346F"/>
    <w:rsid w:val="005834F8"/>
    <w:rsid w:val="00583598"/>
    <w:rsid w:val="0058366E"/>
    <w:rsid w:val="00583737"/>
    <w:rsid w:val="005837B2"/>
    <w:rsid w:val="005837ED"/>
    <w:rsid w:val="00583806"/>
    <w:rsid w:val="005838E7"/>
    <w:rsid w:val="00583A94"/>
    <w:rsid w:val="00583CEF"/>
    <w:rsid w:val="00583CF6"/>
    <w:rsid w:val="00583D23"/>
    <w:rsid w:val="00583DFD"/>
    <w:rsid w:val="00583E40"/>
    <w:rsid w:val="00583F5C"/>
    <w:rsid w:val="00583F6F"/>
    <w:rsid w:val="00583FD8"/>
    <w:rsid w:val="0058420D"/>
    <w:rsid w:val="005842C9"/>
    <w:rsid w:val="005842D6"/>
    <w:rsid w:val="0058440C"/>
    <w:rsid w:val="0058444D"/>
    <w:rsid w:val="0058472E"/>
    <w:rsid w:val="005849BE"/>
    <w:rsid w:val="005851A6"/>
    <w:rsid w:val="00585226"/>
    <w:rsid w:val="00585281"/>
    <w:rsid w:val="005853D8"/>
    <w:rsid w:val="00585469"/>
    <w:rsid w:val="0058547D"/>
    <w:rsid w:val="005855C3"/>
    <w:rsid w:val="0058577E"/>
    <w:rsid w:val="0058596F"/>
    <w:rsid w:val="00585BA1"/>
    <w:rsid w:val="00585BCC"/>
    <w:rsid w:val="00585BD5"/>
    <w:rsid w:val="00585CDB"/>
    <w:rsid w:val="00585DA9"/>
    <w:rsid w:val="00585F65"/>
    <w:rsid w:val="00585F86"/>
    <w:rsid w:val="00586054"/>
    <w:rsid w:val="0058614F"/>
    <w:rsid w:val="00586469"/>
    <w:rsid w:val="00586614"/>
    <w:rsid w:val="00586762"/>
    <w:rsid w:val="00586849"/>
    <w:rsid w:val="0058688F"/>
    <w:rsid w:val="005868EC"/>
    <w:rsid w:val="005869D3"/>
    <w:rsid w:val="00586BF9"/>
    <w:rsid w:val="00586DAA"/>
    <w:rsid w:val="00586DC7"/>
    <w:rsid w:val="00586DD9"/>
    <w:rsid w:val="00586ECA"/>
    <w:rsid w:val="0058720A"/>
    <w:rsid w:val="00587226"/>
    <w:rsid w:val="005874C6"/>
    <w:rsid w:val="0058782C"/>
    <w:rsid w:val="0058786D"/>
    <w:rsid w:val="00587AED"/>
    <w:rsid w:val="00587C5C"/>
    <w:rsid w:val="00587CA3"/>
    <w:rsid w:val="00587D77"/>
    <w:rsid w:val="00587E14"/>
    <w:rsid w:val="00587E6E"/>
    <w:rsid w:val="005902DD"/>
    <w:rsid w:val="005902E5"/>
    <w:rsid w:val="005903DF"/>
    <w:rsid w:val="00590419"/>
    <w:rsid w:val="00590433"/>
    <w:rsid w:val="00590755"/>
    <w:rsid w:val="00590887"/>
    <w:rsid w:val="00590A02"/>
    <w:rsid w:val="00590A95"/>
    <w:rsid w:val="00590ACB"/>
    <w:rsid w:val="00590C30"/>
    <w:rsid w:val="00590CE1"/>
    <w:rsid w:val="00590D90"/>
    <w:rsid w:val="00590DD7"/>
    <w:rsid w:val="00590DE7"/>
    <w:rsid w:val="00590E02"/>
    <w:rsid w:val="00591202"/>
    <w:rsid w:val="005912C1"/>
    <w:rsid w:val="00591450"/>
    <w:rsid w:val="00591692"/>
    <w:rsid w:val="00591716"/>
    <w:rsid w:val="0059187C"/>
    <w:rsid w:val="00591A04"/>
    <w:rsid w:val="00591A28"/>
    <w:rsid w:val="00591A64"/>
    <w:rsid w:val="00591AC8"/>
    <w:rsid w:val="00591B89"/>
    <w:rsid w:val="00591C2F"/>
    <w:rsid w:val="00591D0A"/>
    <w:rsid w:val="00591DD0"/>
    <w:rsid w:val="00591EA1"/>
    <w:rsid w:val="00591F23"/>
    <w:rsid w:val="00591FF7"/>
    <w:rsid w:val="00592123"/>
    <w:rsid w:val="005922BF"/>
    <w:rsid w:val="005922E0"/>
    <w:rsid w:val="0059247A"/>
    <w:rsid w:val="005926A7"/>
    <w:rsid w:val="00592726"/>
    <w:rsid w:val="005928F3"/>
    <w:rsid w:val="00592916"/>
    <w:rsid w:val="005929E5"/>
    <w:rsid w:val="00592B1D"/>
    <w:rsid w:val="00592C02"/>
    <w:rsid w:val="00592CE3"/>
    <w:rsid w:val="00592E83"/>
    <w:rsid w:val="00592F66"/>
    <w:rsid w:val="00592F74"/>
    <w:rsid w:val="00593199"/>
    <w:rsid w:val="005934EB"/>
    <w:rsid w:val="0059357C"/>
    <w:rsid w:val="005935E2"/>
    <w:rsid w:val="005936E7"/>
    <w:rsid w:val="005938A0"/>
    <w:rsid w:val="00593A60"/>
    <w:rsid w:val="00593E06"/>
    <w:rsid w:val="00593E2E"/>
    <w:rsid w:val="00594131"/>
    <w:rsid w:val="00594183"/>
    <w:rsid w:val="00594200"/>
    <w:rsid w:val="0059421C"/>
    <w:rsid w:val="0059424F"/>
    <w:rsid w:val="005942CD"/>
    <w:rsid w:val="0059434B"/>
    <w:rsid w:val="005943CE"/>
    <w:rsid w:val="00594630"/>
    <w:rsid w:val="005946C7"/>
    <w:rsid w:val="005946E3"/>
    <w:rsid w:val="00594725"/>
    <w:rsid w:val="005948DF"/>
    <w:rsid w:val="00594ADD"/>
    <w:rsid w:val="00594D21"/>
    <w:rsid w:val="00594E1D"/>
    <w:rsid w:val="00595362"/>
    <w:rsid w:val="005955D0"/>
    <w:rsid w:val="0059563E"/>
    <w:rsid w:val="00595658"/>
    <w:rsid w:val="00595719"/>
    <w:rsid w:val="00595803"/>
    <w:rsid w:val="00595BDB"/>
    <w:rsid w:val="00595D32"/>
    <w:rsid w:val="00595D51"/>
    <w:rsid w:val="00595D64"/>
    <w:rsid w:val="00595EBF"/>
    <w:rsid w:val="00595F02"/>
    <w:rsid w:val="00596149"/>
    <w:rsid w:val="00596271"/>
    <w:rsid w:val="005963DD"/>
    <w:rsid w:val="00596494"/>
    <w:rsid w:val="00596525"/>
    <w:rsid w:val="00596556"/>
    <w:rsid w:val="00596655"/>
    <w:rsid w:val="00596676"/>
    <w:rsid w:val="00596725"/>
    <w:rsid w:val="00596796"/>
    <w:rsid w:val="0059699D"/>
    <w:rsid w:val="00596A41"/>
    <w:rsid w:val="00596AE4"/>
    <w:rsid w:val="00596C0E"/>
    <w:rsid w:val="00596C2A"/>
    <w:rsid w:val="00596D45"/>
    <w:rsid w:val="00596E56"/>
    <w:rsid w:val="00596F55"/>
    <w:rsid w:val="00596F93"/>
    <w:rsid w:val="00596FB0"/>
    <w:rsid w:val="00596FFA"/>
    <w:rsid w:val="005971B6"/>
    <w:rsid w:val="005972E5"/>
    <w:rsid w:val="005972FB"/>
    <w:rsid w:val="005973D8"/>
    <w:rsid w:val="005973FB"/>
    <w:rsid w:val="00597574"/>
    <w:rsid w:val="005975D2"/>
    <w:rsid w:val="00597615"/>
    <w:rsid w:val="00597636"/>
    <w:rsid w:val="0059774D"/>
    <w:rsid w:val="005979A8"/>
    <w:rsid w:val="00597AB8"/>
    <w:rsid w:val="00597DF9"/>
    <w:rsid w:val="00597F37"/>
    <w:rsid w:val="00597FF6"/>
    <w:rsid w:val="005A0B8D"/>
    <w:rsid w:val="005A0C32"/>
    <w:rsid w:val="005A0C7F"/>
    <w:rsid w:val="005A0E71"/>
    <w:rsid w:val="005A0F0F"/>
    <w:rsid w:val="005A0FDC"/>
    <w:rsid w:val="005A10E6"/>
    <w:rsid w:val="005A10F4"/>
    <w:rsid w:val="005A11A6"/>
    <w:rsid w:val="005A1215"/>
    <w:rsid w:val="005A155C"/>
    <w:rsid w:val="005A15B5"/>
    <w:rsid w:val="005A17DF"/>
    <w:rsid w:val="005A17F5"/>
    <w:rsid w:val="005A1847"/>
    <w:rsid w:val="005A1858"/>
    <w:rsid w:val="005A19B4"/>
    <w:rsid w:val="005A1A57"/>
    <w:rsid w:val="005A1BFB"/>
    <w:rsid w:val="005A1CEC"/>
    <w:rsid w:val="005A1EBD"/>
    <w:rsid w:val="005A1F54"/>
    <w:rsid w:val="005A1FE5"/>
    <w:rsid w:val="005A203C"/>
    <w:rsid w:val="005A2130"/>
    <w:rsid w:val="005A2215"/>
    <w:rsid w:val="005A221A"/>
    <w:rsid w:val="005A22FD"/>
    <w:rsid w:val="005A2308"/>
    <w:rsid w:val="005A231B"/>
    <w:rsid w:val="005A247C"/>
    <w:rsid w:val="005A249B"/>
    <w:rsid w:val="005A2596"/>
    <w:rsid w:val="005A259C"/>
    <w:rsid w:val="005A2703"/>
    <w:rsid w:val="005A27A7"/>
    <w:rsid w:val="005A2A5E"/>
    <w:rsid w:val="005A2F80"/>
    <w:rsid w:val="005A3225"/>
    <w:rsid w:val="005A352B"/>
    <w:rsid w:val="005A354C"/>
    <w:rsid w:val="005A35D1"/>
    <w:rsid w:val="005A3798"/>
    <w:rsid w:val="005A37B7"/>
    <w:rsid w:val="005A38A2"/>
    <w:rsid w:val="005A3ABB"/>
    <w:rsid w:val="005A3B1F"/>
    <w:rsid w:val="005A3B8B"/>
    <w:rsid w:val="005A3BAE"/>
    <w:rsid w:val="005A3C34"/>
    <w:rsid w:val="005A3C66"/>
    <w:rsid w:val="005A3D97"/>
    <w:rsid w:val="005A3DC0"/>
    <w:rsid w:val="005A3DED"/>
    <w:rsid w:val="005A3E51"/>
    <w:rsid w:val="005A3E58"/>
    <w:rsid w:val="005A3F4F"/>
    <w:rsid w:val="005A4192"/>
    <w:rsid w:val="005A42A9"/>
    <w:rsid w:val="005A436B"/>
    <w:rsid w:val="005A4564"/>
    <w:rsid w:val="005A4693"/>
    <w:rsid w:val="005A4724"/>
    <w:rsid w:val="005A4890"/>
    <w:rsid w:val="005A4B00"/>
    <w:rsid w:val="005A4BB8"/>
    <w:rsid w:val="005A4C37"/>
    <w:rsid w:val="005A4CA5"/>
    <w:rsid w:val="005A4D04"/>
    <w:rsid w:val="005A4ED9"/>
    <w:rsid w:val="005A4FCF"/>
    <w:rsid w:val="005A5363"/>
    <w:rsid w:val="005A5538"/>
    <w:rsid w:val="005A5570"/>
    <w:rsid w:val="005A5804"/>
    <w:rsid w:val="005A5CAA"/>
    <w:rsid w:val="005A5E28"/>
    <w:rsid w:val="005A61F9"/>
    <w:rsid w:val="005A63A4"/>
    <w:rsid w:val="005A6569"/>
    <w:rsid w:val="005A66E0"/>
    <w:rsid w:val="005A6775"/>
    <w:rsid w:val="005A6912"/>
    <w:rsid w:val="005A6976"/>
    <w:rsid w:val="005A6981"/>
    <w:rsid w:val="005A698B"/>
    <w:rsid w:val="005A6AD5"/>
    <w:rsid w:val="005A6BE7"/>
    <w:rsid w:val="005A6CB4"/>
    <w:rsid w:val="005A6CD7"/>
    <w:rsid w:val="005A6D5F"/>
    <w:rsid w:val="005A6DCA"/>
    <w:rsid w:val="005A6F8E"/>
    <w:rsid w:val="005A727E"/>
    <w:rsid w:val="005A7309"/>
    <w:rsid w:val="005A7581"/>
    <w:rsid w:val="005A7664"/>
    <w:rsid w:val="005A76E8"/>
    <w:rsid w:val="005A7751"/>
    <w:rsid w:val="005A7815"/>
    <w:rsid w:val="005A790E"/>
    <w:rsid w:val="005A79DB"/>
    <w:rsid w:val="005A7C23"/>
    <w:rsid w:val="005A7EA0"/>
    <w:rsid w:val="005A81F0"/>
    <w:rsid w:val="005B00D6"/>
    <w:rsid w:val="005B0104"/>
    <w:rsid w:val="005B02B9"/>
    <w:rsid w:val="005B044A"/>
    <w:rsid w:val="005B0461"/>
    <w:rsid w:val="005B06BA"/>
    <w:rsid w:val="005B075D"/>
    <w:rsid w:val="005B082F"/>
    <w:rsid w:val="005B0899"/>
    <w:rsid w:val="005B08B3"/>
    <w:rsid w:val="005B08FA"/>
    <w:rsid w:val="005B0B56"/>
    <w:rsid w:val="005B0F66"/>
    <w:rsid w:val="005B1016"/>
    <w:rsid w:val="005B1076"/>
    <w:rsid w:val="005B1113"/>
    <w:rsid w:val="005B15AA"/>
    <w:rsid w:val="005B1696"/>
    <w:rsid w:val="005B171F"/>
    <w:rsid w:val="005B173A"/>
    <w:rsid w:val="005B1A32"/>
    <w:rsid w:val="005B1B38"/>
    <w:rsid w:val="005B1B3E"/>
    <w:rsid w:val="005B1C99"/>
    <w:rsid w:val="005B1CE2"/>
    <w:rsid w:val="005B1E1A"/>
    <w:rsid w:val="005B1E8F"/>
    <w:rsid w:val="005B1EBC"/>
    <w:rsid w:val="005B1F72"/>
    <w:rsid w:val="005B1F77"/>
    <w:rsid w:val="005B20C2"/>
    <w:rsid w:val="005B211C"/>
    <w:rsid w:val="005B2196"/>
    <w:rsid w:val="005B2294"/>
    <w:rsid w:val="005B248A"/>
    <w:rsid w:val="005B25C8"/>
    <w:rsid w:val="005B2724"/>
    <w:rsid w:val="005B29E5"/>
    <w:rsid w:val="005B2C49"/>
    <w:rsid w:val="005B2DC2"/>
    <w:rsid w:val="005B2E5A"/>
    <w:rsid w:val="005B3053"/>
    <w:rsid w:val="005B30E0"/>
    <w:rsid w:val="005B329F"/>
    <w:rsid w:val="005B3336"/>
    <w:rsid w:val="005B3449"/>
    <w:rsid w:val="005B348F"/>
    <w:rsid w:val="005B352A"/>
    <w:rsid w:val="005B35AF"/>
    <w:rsid w:val="005B3711"/>
    <w:rsid w:val="005B398F"/>
    <w:rsid w:val="005B3BA6"/>
    <w:rsid w:val="005B3BCF"/>
    <w:rsid w:val="005B3D66"/>
    <w:rsid w:val="005B3DA9"/>
    <w:rsid w:val="005B3ED7"/>
    <w:rsid w:val="005B3F08"/>
    <w:rsid w:val="005B4357"/>
    <w:rsid w:val="005B44D3"/>
    <w:rsid w:val="005B450B"/>
    <w:rsid w:val="005B45B3"/>
    <w:rsid w:val="005B479E"/>
    <w:rsid w:val="005B48E9"/>
    <w:rsid w:val="005B49BB"/>
    <w:rsid w:val="005B4AA1"/>
    <w:rsid w:val="005B4B7D"/>
    <w:rsid w:val="005B4BB3"/>
    <w:rsid w:val="005B4BF7"/>
    <w:rsid w:val="005B4BFF"/>
    <w:rsid w:val="005B4C47"/>
    <w:rsid w:val="005B4CFE"/>
    <w:rsid w:val="005B4DD8"/>
    <w:rsid w:val="005B4E20"/>
    <w:rsid w:val="005B4E2B"/>
    <w:rsid w:val="005B4E4B"/>
    <w:rsid w:val="005B4F20"/>
    <w:rsid w:val="005B4F3B"/>
    <w:rsid w:val="005B4F3D"/>
    <w:rsid w:val="005B4F5C"/>
    <w:rsid w:val="005B5037"/>
    <w:rsid w:val="005B52A8"/>
    <w:rsid w:val="005B53AD"/>
    <w:rsid w:val="005B53F2"/>
    <w:rsid w:val="005B54BC"/>
    <w:rsid w:val="005B57D9"/>
    <w:rsid w:val="005B59AE"/>
    <w:rsid w:val="005B59C2"/>
    <w:rsid w:val="005B5A3B"/>
    <w:rsid w:val="005B5AFA"/>
    <w:rsid w:val="005B5B09"/>
    <w:rsid w:val="005B5D19"/>
    <w:rsid w:val="005B5E75"/>
    <w:rsid w:val="005B5FE7"/>
    <w:rsid w:val="005B6015"/>
    <w:rsid w:val="005B60BD"/>
    <w:rsid w:val="005B6148"/>
    <w:rsid w:val="005B62DC"/>
    <w:rsid w:val="005B62E7"/>
    <w:rsid w:val="005B633E"/>
    <w:rsid w:val="005B635F"/>
    <w:rsid w:val="005B6554"/>
    <w:rsid w:val="005B69C7"/>
    <w:rsid w:val="005B6A38"/>
    <w:rsid w:val="005B6D10"/>
    <w:rsid w:val="005B6DDA"/>
    <w:rsid w:val="005B6DE7"/>
    <w:rsid w:val="005B6E97"/>
    <w:rsid w:val="005B6EC8"/>
    <w:rsid w:val="005B6F2A"/>
    <w:rsid w:val="005B6F2C"/>
    <w:rsid w:val="005B718E"/>
    <w:rsid w:val="005B722B"/>
    <w:rsid w:val="005B72A6"/>
    <w:rsid w:val="005B72F0"/>
    <w:rsid w:val="005B7356"/>
    <w:rsid w:val="005B73AF"/>
    <w:rsid w:val="005B74E0"/>
    <w:rsid w:val="005B7653"/>
    <w:rsid w:val="005B76E7"/>
    <w:rsid w:val="005B7782"/>
    <w:rsid w:val="005B77BB"/>
    <w:rsid w:val="005B77C1"/>
    <w:rsid w:val="005B78FC"/>
    <w:rsid w:val="005B7903"/>
    <w:rsid w:val="005B7937"/>
    <w:rsid w:val="005B79A5"/>
    <w:rsid w:val="005B7A40"/>
    <w:rsid w:val="005B7B2A"/>
    <w:rsid w:val="005B7E4F"/>
    <w:rsid w:val="005C016A"/>
    <w:rsid w:val="005C03FB"/>
    <w:rsid w:val="005C051A"/>
    <w:rsid w:val="005C0584"/>
    <w:rsid w:val="005C05AD"/>
    <w:rsid w:val="005C05FF"/>
    <w:rsid w:val="005C084E"/>
    <w:rsid w:val="005C09EF"/>
    <w:rsid w:val="005C0D13"/>
    <w:rsid w:val="005C0DFD"/>
    <w:rsid w:val="005C0F8A"/>
    <w:rsid w:val="005C0FFA"/>
    <w:rsid w:val="005C1257"/>
    <w:rsid w:val="005C1355"/>
    <w:rsid w:val="005C147B"/>
    <w:rsid w:val="005C1601"/>
    <w:rsid w:val="005C17C1"/>
    <w:rsid w:val="005C1866"/>
    <w:rsid w:val="005C1BF1"/>
    <w:rsid w:val="005C1FE7"/>
    <w:rsid w:val="005C202B"/>
    <w:rsid w:val="005C20E3"/>
    <w:rsid w:val="005C2150"/>
    <w:rsid w:val="005C2392"/>
    <w:rsid w:val="005C2673"/>
    <w:rsid w:val="005C27D5"/>
    <w:rsid w:val="005C288E"/>
    <w:rsid w:val="005C28B1"/>
    <w:rsid w:val="005C28B5"/>
    <w:rsid w:val="005C2A25"/>
    <w:rsid w:val="005C2AA4"/>
    <w:rsid w:val="005C2AF2"/>
    <w:rsid w:val="005C2EBC"/>
    <w:rsid w:val="005C305E"/>
    <w:rsid w:val="005C30B0"/>
    <w:rsid w:val="005C3355"/>
    <w:rsid w:val="005C33CE"/>
    <w:rsid w:val="005C33F3"/>
    <w:rsid w:val="005C34EC"/>
    <w:rsid w:val="005C3547"/>
    <w:rsid w:val="005C36A2"/>
    <w:rsid w:val="005C36FA"/>
    <w:rsid w:val="005C37F5"/>
    <w:rsid w:val="005C39DB"/>
    <w:rsid w:val="005C3A67"/>
    <w:rsid w:val="005C3A99"/>
    <w:rsid w:val="005C3ACA"/>
    <w:rsid w:val="005C3B09"/>
    <w:rsid w:val="005C3BB8"/>
    <w:rsid w:val="005C3BCC"/>
    <w:rsid w:val="005C3C0A"/>
    <w:rsid w:val="005C3EC7"/>
    <w:rsid w:val="005C3F8A"/>
    <w:rsid w:val="005C3FC9"/>
    <w:rsid w:val="005C425B"/>
    <w:rsid w:val="005C4335"/>
    <w:rsid w:val="005C4513"/>
    <w:rsid w:val="005C4600"/>
    <w:rsid w:val="005C46ED"/>
    <w:rsid w:val="005C4812"/>
    <w:rsid w:val="005C4828"/>
    <w:rsid w:val="005C48EE"/>
    <w:rsid w:val="005C4994"/>
    <w:rsid w:val="005C4A11"/>
    <w:rsid w:val="005C4A41"/>
    <w:rsid w:val="005C4BD9"/>
    <w:rsid w:val="005C4E99"/>
    <w:rsid w:val="005C506F"/>
    <w:rsid w:val="005C522D"/>
    <w:rsid w:val="005C52FE"/>
    <w:rsid w:val="005C5426"/>
    <w:rsid w:val="005C5901"/>
    <w:rsid w:val="005C5AD6"/>
    <w:rsid w:val="005C5E06"/>
    <w:rsid w:val="005C5EC4"/>
    <w:rsid w:val="005C5F75"/>
    <w:rsid w:val="005C5F8D"/>
    <w:rsid w:val="005C6143"/>
    <w:rsid w:val="005C614A"/>
    <w:rsid w:val="005C623A"/>
    <w:rsid w:val="005C6251"/>
    <w:rsid w:val="005C6360"/>
    <w:rsid w:val="005C65F3"/>
    <w:rsid w:val="005C6648"/>
    <w:rsid w:val="005C674A"/>
    <w:rsid w:val="005C6832"/>
    <w:rsid w:val="005C684C"/>
    <w:rsid w:val="005C68F8"/>
    <w:rsid w:val="005C6936"/>
    <w:rsid w:val="005C6A05"/>
    <w:rsid w:val="005C6B2A"/>
    <w:rsid w:val="005C6BEA"/>
    <w:rsid w:val="005C6C95"/>
    <w:rsid w:val="005C6E21"/>
    <w:rsid w:val="005C6E80"/>
    <w:rsid w:val="005C6F28"/>
    <w:rsid w:val="005C7052"/>
    <w:rsid w:val="005C711D"/>
    <w:rsid w:val="005C7287"/>
    <w:rsid w:val="005C72F6"/>
    <w:rsid w:val="005C747B"/>
    <w:rsid w:val="005C74EF"/>
    <w:rsid w:val="005C7652"/>
    <w:rsid w:val="005C7687"/>
    <w:rsid w:val="005C76F7"/>
    <w:rsid w:val="005C76FC"/>
    <w:rsid w:val="005C770D"/>
    <w:rsid w:val="005C7ABC"/>
    <w:rsid w:val="005C7ADB"/>
    <w:rsid w:val="005C7BDF"/>
    <w:rsid w:val="005C7CF2"/>
    <w:rsid w:val="005C7DC9"/>
    <w:rsid w:val="005C7DEA"/>
    <w:rsid w:val="005C7EE2"/>
    <w:rsid w:val="005C7FA0"/>
    <w:rsid w:val="005D005E"/>
    <w:rsid w:val="005D00ED"/>
    <w:rsid w:val="005D0162"/>
    <w:rsid w:val="005D023F"/>
    <w:rsid w:val="005D02C6"/>
    <w:rsid w:val="005D03CC"/>
    <w:rsid w:val="005D0439"/>
    <w:rsid w:val="005D0538"/>
    <w:rsid w:val="005D0665"/>
    <w:rsid w:val="005D0701"/>
    <w:rsid w:val="005D074E"/>
    <w:rsid w:val="005D07B6"/>
    <w:rsid w:val="005D0831"/>
    <w:rsid w:val="005D093C"/>
    <w:rsid w:val="005D097A"/>
    <w:rsid w:val="005D0B0B"/>
    <w:rsid w:val="005D0C9C"/>
    <w:rsid w:val="005D0D6A"/>
    <w:rsid w:val="005D0EFC"/>
    <w:rsid w:val="005D0F9F"/>
    <w:rsid w:val="005D0FA3"/>
    <w:rsid w:val="005D101B"/>
    <w:rsid w:val="005D105D"/>
    <w:rsid w:val="005D10E5"/>
    <w:rsid w:val="005D1181"/>
    <w:rsid w:val="005D13EE"/>
    <w:rsid w:val="005D16F2"/>
    <w:rsid w:val="005D1A0E"/>
    <w:rsid w:val="005D1A3B"/>
    <w:rsid w:val="005D1A40"/>
    <w:rsid w:val="005D1B19"/>
    <w:rsid w:val="005D1B8C"/>
    <w:rsid w:val="005D1C99"/>
    <w:rsid w:val="005D1CB1"/>
    <w:rsid w:val="005D1E1C"/>
    <w:rsid w:val="005D1E4F"/>
    <w:rsid w:val="005D2049"/>
    <w:rsid w:val="005D20B2"/>
    <w:rsid w:val="005D218B"/>
    <w:rsid w:val="005D2320"/>
    <w:rsid w:val="005D233C"/>
    <w:rsid w:val="005D2521"/>
    <w:rsid w:val="005D26ED"/>
    <w:rsid w:val="005D2904"/>
    <w:rsid w:val="005D2933"/>
    <w:rsid w:val="005D29B5"/>
    <w:rsid w:val="005D2A46"/>
    <w:rsid w:val="005D2AE6"/>
    <w:rsid w:val="005D2AF7"/>
    <w:rsid w:val="005D2C22"/>
    <w:rsid w:val="005D2CC3"/>
    <w:rsid w:val="005D2CE8"/>
    <w:rsid w:val="005D2D29"/>
    <w:rsid w:val="005D2E89"/>
    <w:rsid w:val="005D3166"/>
    <w:rsid w:val="005D3271"/>
    <w:rsid w:val="005D3459"/>
    <w:rsid w:val="005D3488"/>
    <w:rsid w:val="005D35E2"/>
    <w:rsid w:val="005D367D"/>
    <w:rsid w:val="005D36C5"/>
    <w:rsid w:val="005D3ED9"/>
    <w:rsid w:val="005D4175"/>
    <w:rsid w:val="005D41C9"/>
    <w:rsid w:val="005D42E3"/>
    <w:rsid w:val="005D4376"/>
    <w:rsid w:val="005D45B2"/>
    <w:rsid w:val="005D46CC"/>
    <w:rsid w:val="005D4B13"/>
    <w:rsid w:val="005D4B7A"/>
    <w:rsid w:val="005D4CB2"/>
    <w:rsid w:val="005D4CB5"/>
    <w:rsid w:val="005D4D15"/>
    <w:rsid w:val="005D4D34"/>
    <w:rsid w:val="005D4E98"/>
    <w:rsid w:val="005D508B"/>
    <w:rsid w:val="005D51DB"/>
    <w:rsid w:val="005D51F2"/>
    <w:rsid w:val="005D53D6"/>
    <w:rsid w:val="005D54A1"/>
    <w:rsid w:val="005D584E"/>
    <w:rsid w:val="005D5929"/>
    <w:rsid w:val="005D5A47"/>
    <w:rsid w:val="005D5B15"/>
    <w:rsid w:val="005D5B8D"/>
    <w:rsid w:val="005D5BDF"/>
    <w:rsid w:val="005D5D72"/>
    <w:rsid w:val="005D5E3B"/>
    <w:rsid w:val="005D5EF5"/>
    <w:rsid w:val="005D604B"/>
    <w:rsid w:val="005D617A"/>
    <w:rsid w:val="005D6197"/>
    <w:rsid w:val="005D624A"/>
    <w:rsid w:val="005D6278"/>
    <w:rsid w:val="005D633C"/>
    <w:rsid w:val="005D63E8"/>
    <w:rsid w:val="005D64BB"/>
    <w:rsid w:val="005D6582"/>
    <w:rsid w:val="005D6809"/>
    <w:rsid w:val="005D6859"/>
    <w:rsid w:val="005D6A3D"/>
    <w:rsid w:val="005D6AE4"/>
    <w:rsid w:val="005D6CAB"/>
    <w:rsid w:val="005D6D4B"/>
    <w:rsid w:val="005D6E3F"/>
    <w:rsid w:val="005D6F9C"/>
    <w:rsid w:val="005D72F1"/>
    <w:rsid w:val="005D758B"/>
    <w:rsid w:val="005D764F"/>
    <w:rsid w:val="005D792C"/>
    <w:rsid w:val="005D7A3B"/>
    <w:rsid w:val="005D7C0D"/>
    <w:rsid w:val="005D7D37"/>
    <w:rsid w:val="005D7DAF"/>
    <w:rsid w:val="005D7E55"/>
    <w:rsid w:val="005E0029"/>
    <w:rsid w:val="005E0148"/>
    <w:rsid w:val="005E04EA"/>
    <w:rsid w:val="005E05F0"/>
    <w:rsid w:val="005E061E"/>
    <w:rsid w:val="005E06C8"/>
    <w:rsid w:val="005E0925"/>
    <w:rsid w:val="005E0A72"/>
    <w:rsid w:val="005E0C61"/>
    <w:rsid w:val="005E0FB0"/>
    <w:rsid w:val="005E122A"/>
    <w:rsid w:val="005E12D6"/>
    <w:rsid w:val="005E1318"/>
    <w:rsid w:val="005E15D4"/>
    <w:rsid w:val="005E176D"/>
    <w:rsid w:val="005E17C8"/>
    <w:rsid w:val="005E186E"/>
    <w:rsid w:val="005E19D4"/>
    <w:rsid w:val="005E19F4"/>
    <w:rsid w:val="005E1B5C"/>
    <w:rsid w:val="005E1C92"/>
    <w:rsid w:val="005E1E0E"/>
    <w:rsid w:val="005E2146"/>
    <w:rsid w:val="005E21D9"/>
    <w:rsid w:val="005E22E4"/>
    <w:rsid w:val="005E238C"/>
    <w:rsid w:val="005E25CA"/>
    <w:rsid w:val="005E25FB"/>
    <w:rsid w:val="005E2613"/>
    <w:rsid w:val="005E2750"/>
    <w:rsid w:val="005E286D"/>
    <w:rsid w:val="005E2995"/>
    <w:rsid w:val="005E29B2"/>
    <w:rsid w:val="005E2C3E"/>
    <w:rsid w:val="005E2DC6"/>
    <w:rsid w:val="005E2DC9"/>
    <w:rsid w:val="005E31E7"/>
    <w:rsid w:val="005E3261"/>
    <w:rsid w:val="005E328D"/>
    <w:rsid w:val="005E33DE"/>
    <w:rsid w:val="005E3419"/>
    <w:rsid w:val="005E346D"/>
    <w:rsid w:val="005E364A"/>
    <w:rsid w:val="005E3941"/>
    <w:rsid w:val="005E3A4C"/>
    <w:rsid w:val="005E3BC8"/>
    <w:rsid w:val="005E3BF7"/>
    <w:rsid w:val="005E3C1F"/>
    <w:rsid w:val="005E3D93"/>
    <w:rsid w:val="005E3DE5"/>
    <w:rsid w:val="005E3F69"/>
    <w:rsid w:val="005E40FB"/>
    <w:rsid w:val="005E4377"/>
    <w:rsid w:val="005E43EB"/>
    <w:rsid w:val="005E4401"/>
    <w:rsid w:val="005E4438"/>
    <w:rsid w:val="005E4463"/>
    <w:rsid w:val="005E44B0"/>
    <w:rsid w:val="005E464F"/>
    <w:rsid w:val="005E491D"/>
    <w:rsid w:val="005E4A6B"/>
    <w:rsid w:val="005E4B0F"/>
    <w:rsid w:val="005E4B86"/>
    <w:rsid w:val="005E4C14"/>
    <w:rsid w:val="005E4C36"/>
    <w:rsid w:val="005E4EE2"/>
    <w:rsid w:val="005E4F00"/>
    <w:rsid w:val="005E54AF"/>
    <w:rsid w:val="005E55BB"/>
    <w:rsid w:val="005E576A"/>
    <w:rsid w:val="005E5801"/>
    <w:rsid w:val="005E5913"/>
    <w:rsid w:val="005E5A0E"/>
    <w:rsid w:val="005E5A3C"/>
    <w:rsid w:val="005E5CB3"/>
    <w:rsid w:val="005E5D22"/>
    <w:rsid w:val="005E5DF4"/>
    <w:rsid w:val="005E5EF7"/>
    <w:rsid w:val="005E5F91"/>
    <w:rsid w:val="005E607E"/>
    <w:rsid w:val="005E615F"/>
    <w:rsid w:val="005E6306"/>
    <w:rsid w:val="005E646B"/>
    <w:rsid w:val="005E667C"/>
    <w:rsid w:val="005E66FF"/>
    <w:rsid w:val="005E6753"/>
    <w:rsid w:val="005E68C8"/>
    <w:rsid w:val="005E6988"/>
    <w:rsid w:val="005E698C"/>
    <w:rsid w:val="005E6AED"/>
    <w:rsid w:val="005E6B5D"/>
    <w:rsid w:val="005E6C15"/>
    <w:rsid w:val="005E6C3E"/>
    <w:rsid w:val="005E6E3C"/>
    <w:rsid w:val="005E6E79"/>
    <w:rsid w:val="005E6F0D"/>
    <w:rsid w:val="005E7022"/>
    <w:rsid w:val="005E7239"/>
    <w:rsid w:val="005E7294"/>
    <w:rsid w:val="005E7822"/>
    <w:rsid w:val="005E793D"/>
    <w:rsid w:val="005E79FD"/>
    <w:rsid w:val="005E7B61"/>
    <w:rsid w:val="005E7B9A"/>
    <w:rsid w:val="005E7B9F"/>
    <w:rsid w:val="005E7C9D"/>
    <w:rsid w:val="005E7D89"/>
    <w:rsid w:val="005E7E1E"/>
    <w:rsid w:val="005E7E2E"/>
    <w:rsid w:val="005F0070"/>
    <w:rsid w:val="005F00E1"/>
    <w:rsid w:val="005F045C"/>
    <w:rsid w:val="005F05A4"/>
    <w:rsid w:val="005F060E"/>
    <w:rsid w:val="005F061E"/>
    <w:rsid w:val="005F0700"/>
    <w:rsid w:val="005F07E6"/>
    <w:rsid w:val="005F0828"/>
    <w:rsid w:val="005F0938"/>
    <w:rsid w:val="005F0D95"/>
    <w:rsid w:val="005F0DE0"/>
    <w:rsid w:val="005F0F1B"/>
    <w:rsid w:val="005F106A"/>
    <w:rsid w:val="005F12EB"/>
    <w:rsid w:val="005F14A1"/>
    <w:rsid w:val="005F14A4"/>
    <w:rsid w:val="005F1689"/>
    <w:rsid w:val="005F189D"/>
    <w:rsid w:val="005F1956"/>
    <w:rsid w:val="005F1964"/>
    <w:rsid w:val="005F19CA"/>
    <w:rsid w:val="005F1E9B"/>
    <w:rsid w:val="005F1EC4"/>
    <w:rsid w:val="005F22E9"/>
    <w:rsid w:val="005F23ED"/>
    <w:rsid w:val="005F240D"/>
    <w:rsid w:val="005F2443"/>
    <w:rsid w:val="005F2450"/>
    <w:rsid w:val="005F2546"/>
    <w:rsid w:val="005F254F"/>
    <w:rsid w:val="005F26D8"/>
    <w:rsid w:val="005F2834"/>
    <w:rsid w:val="005F28B9"/>
    <w:rsid w:val="005F2A74"/>
    <w:rsid w:val="005F2C35"/>
    <w:rsid w:val="005F2C77"/>
    <w:rsid w:val="005F2CD4"/>
    <w:rsid w:val="005F2CE0"/>
    <w:rsid w:val="005F2D27"/>
    <w:rsid w:val="005F2D77"/>
    <w:rsid w:val="005F2DE8"/>
    <w:rsid w:val="005F2E10"/>
    <w:rsid w:val="005F2F40"/>
    <w:rsid w:val="005F31DD"/>
    <w:rsid w:val="005F3200"/>
    <w:rsid w:val="005F3241"/>
    <w:rsid w:val="005F3495"/>
    <w:rsid w:val="005F3578"/>
    <w:rsid w:val="005F369B"/>
    <w:rsid w:val="005F373D"/>
    <w:rsid w:val="005F38CF"/>
    <w:rsid w:val="005F390D"/>
    <w:rsid w:val="005F393B"/>
    <w:rsid w:val="005F3B2E"/>
    <w:rsid w:val="005F3BAD"/>
    <w:rsid w:val="005F3BBF"/>
    <w:rsid w:val="005F3E55"/>
    <w:rsid w:val="005F3ECE"/>
    <w:rsid w:val="005F40ED"/>
    <w:rsid w:val="005F455B"/>
    <w:rsid w:val="005F48DE"/>
    <w:rsid w:val="005F4AD0"/>
    <w:rsid w:val="005F4AD2"/>
    <w:rsid w:val="005F4D01"/>
    <w:rsid w:val="005F4E39"/>
    <w:rsid w:val="005F4EBC"/>
    <w:rsid w:val="005F4F8A"/>
    <w:rsid w:val="005F5271"/>
    <w:rsid w:val="005F529C"/>
    <w:rsid w:val="005F584E"/>
    <w:rsid w:val="005F5B07"/>
    <w:rsid w:val="005F5B16"/>
    <w:rsid w:val="005F5F79"/>
    <w:rsid w:val="005F5FE7"/>
    <w:rsid w:val="005F5FFB"/>
    <w:rsid w:val="005F6136"/>
    <w:rsid w:val="005F619D"/>
    <w:rsid w:val="005F6235"/>
    <w:rsid w:val="005F64A1"/>
    <w:rsid w:val="005F652B"/>
    <w:rsid w:val="005F6CC6"/>
    <w:rsid w:val="005F6CD5"/>
    <w:rsid w:val="005F6DF5"/>
    <w:rsid w:val="005F6F27"/>
    <w:rsid w:val="005F6F74"/>
    <w:rsid w:val="005F713D"/>
    <w:rsid w:val="005F719F"/>
    <w:rsid w:val="005F71A9"/>
    <w:rsid w:val="005F7544"/>
    <w:rsid w:val="005F75A6"/>
    <w:rsid w:val="005F7755"/>
    <w:rsid w:val="005F78D2"/>
    <w:rsid w:val="005F7B3D"/>
    <w:rsid w:val="005F7BCE"/>
    <w:rsid w:val="005F7C6E"/>
    <w:rsid w:val="005F7CB0"/>
    <w:rsid w:val="005F7D52"/>
    <w:rsid w:val="005F7E62"/>
    <w:rsid w:val="00600119"/>
    <w:rsid w:val="0060011F"/>
    <w:rsid w:val="0060021B"/>
    <w:rsid w:val="0060036C"/>
    <w:rsid w:val="006007C7"/>
    <w:rsid w:val="00600916"/>
    <w:rsid w:val="00600942"/>
    <w:rsid w:val="00600A3E"/>
    <w:rsid w:val="00600A77"/>
    <w:rsid w:val="00600AFA"/>
    <w:rsid w:val="00600B54"/>
    <w:rsid w:val="00600B82"/>
    <w:rsid w:val="00600BDA"/>
    <w:rsid w:val="00600D2D"/>
    <w:rsid w:val="00600E9F"/>
    <w:rsid w:val="00600F84"/>
    <w:rsid w:val="006010AA"/>
    <w:rsid w:val="006010F7"/>
    <w:rsid w:val="006011CF"/>
    <w:rsid w:val="00601256"/>
    <w:rsid w:val="006012B4"/>
    <w:rsid w:val="00601308"/>
    <w:rsid w:val="006013C6"/>
    <w:rsid w:val="0060155A"/>
    <w:rsid w:val="00601564"/>
    <w:rsid w:val="006015A5"/>
    <w:rsid w:val="006015CF"/>
    <w:rsid w:val="006015E4"/>
    <w:rsid w:val="00601739"/>
    <w:rsid w:val="00601875"/>
    <w:rsid w:val="00601B9B"/>
    <w:rsid w:val="00601C53"/>
    <w:rsid w:val="00601D0F"/>
    <w:rsid w:val="00601DF6"/>
    <w:rsid w:val="00601F9B"/>
    <w:rsid w:val="00601FD1"/>
    <w:rsid w:val="00601FE5"/>
    <w:rsid w:val="006020DE"/>
    <w:rsid w:val="00602129"/>
    <w:rsid w:val="006021EC"/>
    <w:rsid w:val="00602344"/>
    <w:rsid w:val="00602431"/>
    <w:rsid w:val="0060248D"/>
    <w:rsid w:val="00602546"/>
    <w:rsid w:val="006025AB"/>
    <w:rsid w:val="00602695"/>
    <w:rsid w:val="00602AD2"/>
    <w:rsid w:val="00602B62"/>
    <w:rsid w:val="00602BDC"/>
    <w:rsid w:val="00602BEA"/>
    <w:rsid w:val="00602C0C"/>
    <w:rsid w:val="00602F67"/>
    <w:rsid w:val="00603048"/>
    <w:rsid w:val="006031F6"/>
    <w:rsid w:val="0060321A"/>
    <w:rsid w:val="00603271"/>
    <w:rsid w:val="00603673"/>
    <w:rsid w:val="00603686"/>
    <w:rsid w:val="00603771"/>
    <w:rsid w:val="00603939"/>
    <w:rsid w:val="00603AFD"/>
    <w:rsid w:val="00603C62"/>
    <w:rsid w:val="00603F0B"/>
    <w:rsid w:val="00603F53"/>
    <w:rsid w:val="00603F89"/>
    <w:rsid w:val="00604014"/>
    <w:rsid w:val="00604067"/>
    <w:rsid w:val="006042E5"/>
    <w:rsid w:val="006046EC"/>
    <w:rsid w:val="00604995"/>
    <w:rsid w:val="006049C5"/>
    <w:rsid w:val="00604C0E"/>
    <w:rsid w:val="00604C81"/>
    <w:rsid w:val="00604D38"/>
    <w:rsid w:val="00604DAA"/>
    <w:rsid w:val="00604E11"/>
    <w:rsid w:val="0060508C"/>
    <w:rsid w:val="006051D7"/>
    <w:rsid w:val="00605234"/>
    <w:rsid w:val="006052F4"/>
    <w:rsid w:val="00605430"/>
    <w:rsid w:val="006054E0"/>
    <w:rsid w:val="00605541"/>
    <w:rsid w:val="00605577"/>
    <w:rsid w:val="00605725"/>
    <w:rsid w:val="00605762"/>
    <w:rsid w:val="0060579F"/>
    <w:rsid w:val="0060594C"/>
    <w:rsid w:val="00605A0F"/>
    <w:rsid w:val="00605A28"/>
    <w:rsid w:val="00605BEE"/>
    <w:rsid w:val="00605D04"/>
    <w:rsid w:val="00605D05"/>
    <w:rsid w:val="00605D26"/>
    <w:rsid w:val="00605FCF"/>
    <w:rsid w:val="006061F7"/>
    <w:rsid w:val="006062AC"/>
    <w:rsid w:val="006063F6"/>
    <w:rsid w:val="006064B2"/>
    <w:rsid w:val="00606718"/>
    <w:rsid w:val="006069B6"/>
    <w:rsid w:val="00606A43"/>
    <w:rsid w:val="00606AF3"/>
    <w:rsid w:val="00606CED"/>
    <w:rsid w:val="00606CF3"/>
    <w:rsid w:val="00607070"/>
    <w:rsid w:val="006071BE"/>
    <w:rsid w:val="00607252"/>
    <w:rsid w:val="006073D2"/>
    <w:rsid w:val="00607550"/>
    <w:rsid w:val="00607634"/>
    <w:rsid w:val="006076D6"/>
    <w:rsid w:val="0060788E"/>
    <w:rsid w:val="00607897"/>
    <w:rsid w:val="006078CB"/>
    <w:rsid w:val="006079E7"/>
    <w:rsid w:val="00607ABC"/>
    <w:rsid w:val="00607B26"/>
    <w:rsid w:val="00607B98"/>
    <w:rsid w:val="00607C0C"/>
    <w:rsid w:val="00607C91"/>
    <w:rsid w:val="00607D2C"/>
    <w:rsid w:val="00607D75"/>
    <w:rsid w:val="00607F99"/>
    <w:rsid w:val="00607FD2"/>
    <w:rsid w:val="006100A2"/>
    <w:rsid w:val="006101C5"/>
    <w:rsid w:val="00610222"/>
    <w:rsid w:val="006103C3"/>
    <w:rsid w:val="006103E4"/>
    <w:rsid w:val="006104A7"/>
    <w:rsid w:val="00610510"/>
    <w:rsid w:val="00610553"/>
    <w:rsid w:val="00610581"/>
    <w:rsid w:val="00610667"/>
    <w:rsid w:val="00610764"/>
    <w:rsid w:val="006107F0"/>
    <w:rsid w:val="006109AC"/>
    <w:rsid w:val="006109CA"/>
    <w:rsid w:val="006109ED"/>
    <w:rsid w:val="00610A9E"/>
    <w:rsid w:val="00610BC1"/>
    <w:rsid w:val="00610E20"/>
    <w:rsid w:val="00610E28"/>
    <w:rsid w:val="0061101F"/>
    <w:rsid w:val="0061109E"/>
    <w:rsid w:val="00611195"/>
    <w:rsid w:val="006111CD"/>
    <w:rsid w:val="006112F2"/>
    <w:rsid w:val="00611480"/>
    <w:rsid w:val="0061159C"/>
    <w:rsid w:val="006117A2"/>
    <w:rsid w:val="0061187D"/>
    <w:rsid w:val="006118B3"/>
    <w:rsid w:val="006119DF"/>
    <w:rsid w:val="00611E03"/>
    <w:rsid w:val="00611EE5"/>
    <w:rsid w:val="006122EB"/>
    <w:rsid w:val="006122EC"/>
    <w:rsid w:val="006123ED"/>
    <w:rsid w:val="00612563"/>
    <w:rsid w:val="006125EC"/>
    <w:rsid w:val="0061268E"/>
    <w:rsid w:val="00612712"/>
    <w:rsid w:val="00612795"/>
    <w:rsid w:val="0061284B"/>
    <w:rsid w:val="00612BBE"/>
    <w:rsid w:val="00612BCC"/>
    <w:rsid w:val="00612C9A"/>
    <w:rsid w:val="00612E20"/>
    <w:rsid w:val="00612E82"/>
    <w:rsid w:val="00612EAF"/>
    <w:rsid w:val="00613104"/>
    <w:rsid w:val="006131FD"/>
    <w:rsid w:val="006132B5"/>
    <w:rsid w:val="006133DF"/>
    <w:rsid w:val="006134CB"/>
    <w:rsid w:val="006134D3"/>
    <w:rsid w:val="006134DB"/>
    <w:rsid w:val="006136BF"/>
    <w:rsid w:val="00613721"/>
    <w:rsid w:val="0061377F"/>
    <w:rsid w:val="00613DFE"/>
    <w:rsid w:val="00613E9F"/>
    <w:rsid w:val="00613F4B"/>
    <w:rsid w:val="006141C9"/>
    <w:rsid w:val="0061449A"/>
    <w:rsid w:val="00614549"/>
    <w:rsid w:val="00614580"/>
    <w:rsid w:val="00614641"/>
    <w:rsid w:val="00614841"/>
    <w:rsid w:val="00614845"/>
    <w:rsid w:val="00614A58"/>
    <w:rsid w:val="00614AC2"/>
    <w:rsid w:val="00614B52"/>
    <w:rsid w:val="00614B71"/>
    <w:rsid w:val="00614B8D"/>
    <w:rsid w:val="00614D10"/>
    <w:rsid w:val="00614EDA"/>
    <w:rsid w:val="00614FA0"/>
    <w:rsid w:val="006150D1"/>
    <w:rsid w:val="006150DE"/>
    <w:rsid w:val="006152CD"/>
    <w:rsid w:val="0061538E"/>
    <w:rsid w:val="00615CD3"/>
    <w:rsid w:val="00615D1B"/>
    <w:rsid w:val="00615DD8"/>
    <w:rsid w:val="00615EC9"/>
    <w:rsid w:val="006161E4"/>
    <w:rsid w:val="00616250"/>
    <w:rsid w:val="0061637F"/>
    <w:rsid w:val="00616409"/>
    <w:rsid w:val="00616410"/>
    <w:rsid w:val="00616514"/>
    <w:rsid w:val="00616817"/>
    <w:rsid w:val="0061687E"/>
    <w:rsid w:val="00616A75"/>
    <w:rsid w:val="00616ABE"/>
    <w:rsid w:val="00616AEA"/>
    <w:rsid w:val="00616C48"/>
    <w:rsid w:val="00616D58"/>
    <w:rsid w:val="00616D97"/>
    <w:rsid w:val="00616DEE"/>
    <w:rsid w:val="00616F16"/>
    <w:rsid w:val="00616FB3"/>
    <w:rsid w:val="006171B7"/>
    <w:rsid w:val="00617695"/>
    <w:rsid w:val="0061775F"/>
    <w:rsid w:val="006177C6"/>
    <w:rsid w:val="00617826"/>
    <w:rsid w:val="00617A45"/>
    <w:rsid w:val="00617AE9"/>
    <w:rsid w:val="00617B05"/>
    <w:rsid w:val="00617B65"/>
    <w:rsid w:val="00617E22"/>
    <w:rsid w:val="00617E8F"/>
    <w:rsid w:val="00617F0C"/>
    <w:rsid w:val="0062006C"/>
    <w:rsid w:val="00620283"/>
    <w:rsid w:val="0062032B"/>
    <w:rsid w:val="006204EC"/>
    <w:rsid w:val="006204FE"/>
    <w:rsid w:val="00620508"/>
    <w:rsid w:val="0062066C"/>
    <w:rsid w:val="0062070E"/>
    <w:rsid w:val="0062076B"/>
    <w:rsid w:val="006207BD"/>
    <w:rsid w:val="0062081D"/>
    <w:rsid w:val="00620856"/>
    <w:rsid w:val="00620B00"/>
    <w:rsid w:val="00620B4B"/>
    <w:rsid w:val="00620E61"/>
    <w:rsid w:val="00620F32"/>
    <w:rsid w:val="00620FDA"/>
    <w:rsid w:val="00620FE8"/>
    <w:rsid w:val="00621022"/>
    <w:rsid w:val="006210FC"/>
    <w:rsid w:val="0062114A"/>
    <w:rsid w:val="006211E7"/>
    <w:rsid w:val="00621209"/>
    <w:rsid w:val="006213C8"/>
    <w:rsid w:val="00621414"/>
    <w:rsid w:val="00621430"/>
    <w:rsid w:val="0062168A"/>
    <w:rsid w:val="00621807"/>
    <w:rsid w:val="00621A65"/>
    <w:rsid w:val="00621ACA"/>
    <w:rsid w:val="00621B2B"/>
    <w:rsid w:val="00621DDF"/>
    <w:rsid w:val="00621E04"/>
    <w:rsid w:val="00621E1D"/>
    <w:rsid w:val="00621E9A"/>
    <w:rsid w:val="00621FD9"/>
    <w:rsid w:val="00621FE1"/>
    <w:rsid w:val="0062210A"/>
    <w:rsid w:val="006222D0"/>
    <w:rsid w:val="00622B3B"/>
    <w:rsid w:val="00622B74"/>
    <w:rsid w:val="00622B8E"/>
    <w:rsid w:val="00622CA5"/>
    <w:rsid w:val="0062308B"/>
    <w:rsid w:val="006230C8"/>
    <w:rsid w:val="00623871"/>
    <w:rsid w:val="0062390E"/>
    <w:rsid w:val="00623D6E"/>
    <w:rsid w:val="00623E6E"/>
    <w:rsid w:val="00623F6A"/>
    <w:rsid w:val="006241ED"/>
    <w:rsid w:val="006242CA"/>
    <w:rsid w:val="006243F0"/>
    <w:rsid w:val="00624439"/>
    <w:rsid w:val="00624463"/>
    <w:rsid w:val="0062452C"/>
    <w:rsid w:val="006245DB"/>
    <w:rsid w:val="006245E4"/>
    <w:rsid w:val="006245ED"/>
    <w:rsid w:val="00624648"/>
    <w:rsid w:val="0062468E"/>
    <w:rsid w:val="006246FA"/>
    <w:rsid w:val="006247B9"/>
    <w:rsid w:val="0062484F"/>
    <w:rsid w:val="00624858"/>
    <w:rsid w:val="00624B71"/>
    <w:rsid w:val="00624DCE"/>
    <w:rsid w:val="00624E10"/>
    <w:rsid w:val="00624EAF"/>
    <w:rsid w:val="00624ECF"/>
    <w:rsid w:val="00625015"/>
    <w:rsid w:val="0062505F"/>
    <w:rsid w:val="00625101"/>
    <w:rsid w:val="00625251"/>
    <w:rsid w:val="00625277"/>
    <w:rsid w:val="00625297"/>
    <w:rsid w:val="006252B8"/>
    <w:rsid w:val="006255FB"/>
    <w:rsid w:val="00625608"/>
    <w:rsid w:val="00625711"/>
    <w:rsid w:val="00625751"/>
    <w:rsid w:val="00625823"/>
    <w:rsid w:val="00625A77"/>
    <w:rsid w:val="00625ABB"/>
    <w:rsid w:val="00625C39"/>
    <w:rsid w:val="00625E22"/>
    <w:rsid w:val="00625F4E"/>
    <w:rsid w:val="0062601C"/>
    <w:rsid w:val="00626113"/>
    <w:rsid w:val="006262C5"/>
    <w:rsid w:val="00626362"/>
    <w:rsid w:val="006266C9"/>
    <w:rsid w:val="006266E3"/>
    <w:rsid w:val="0062670A"/>
    <w:rsid w:val="00626734"/>
    <w:rsid w:val="0062674A"/>
    <w:rsid w:val="00626ACE"/>
    <w:rsid w:val="00626D40"/>
    <w:rsid w:val="00626F10"/>
    <w:rsid w:val="00627132"/>
    <w:rsid w:val="006271E2"/>
    <w:rsid w:val="00627225"/>
    <w:rsid w:val="00627236"/>
    <w:rsid w:val="00627351"/>
    <w:rsid w:val="0062771B"/>
    <w:rsid w:val="006278AD"/>
    <w:rsid w:val="00627A13"/>
    <w:rsid w:val="00627A41"/>
    <w:rsid w:val="00627AD9"/>
    <w:rsid w:val="00627B42"/>
    <w:rsid w:val="00627D79"/>
    <w:rsid w:val="00627E87"/>
    <w:rsid w:val="00627FBC"/>
    <w:rsid w:val="00627FF1"/>
    <w:rsid w:val="006302E7"/>
    <w:rsid w:val="006303A2"/>
    <w:rsid w:val="0063045F"/>
    <w:rsid w:val="006304EE"/>
    <w:rsid w:val="00630792"/>
    <w:rsid w:val="00630798"/>
    <w:rsid w:val="006307BD"/>
    <w:rsid w:val="00630A71"/>
    <w:rsid w:val="00630B02"/>
    <w:rsid w:val="00630C07"/>
    <w:rsid w:val="00630CD2"/>
    <w:rsid w:val="00630DA5"/>
    <w:rsid w:val="00630EB3"/>
    <w:rsid w:val="00630EFE"/>
    <w:rsid w:val="00631019"/>
    <w:rsid w:val="00631162"/>
    <w:rsid w:val="006311A2"/>
    <w:rsid w:val="0063127C"/>
    <w:rsid w:val="0063127F"/>
    <w:rsid w:val="00631417"/>
    <w:rsid w:val="00631467"/>
    <w:rsid w:val="006314CB"/>
    <w:rsid w:val="0063171E"/>
    <w:rsid w:val="006317C8"/>
    <w:rsid w:val="00631851"/>
    <w:rsid w:val="00631891"/>
    <w:rsid w:val="00631900"/>
    <w:rsid w:val="00631958"/>
    <w:rsid w:val="006319DC"/>
    <w:rsid w:val="006319EA"/>
    <w:rsid w:val="00631A71"/>
    <w:rsid w:val="00631B5E"/>
    <w:rsid w:val="00631BA8"/>
    <w:rsid w:val="00631D7B"/>
    <w:rsid w:val="00631EAC"/>
    <w:rsid w:val="00631FEA"/>
    <w:rsid w:val="0063214D"/>
    <w:rsid w:val="0063237F"/>
    <w:rsid w:val="00632548"/>
    <w:rsid w:val="006325A2"/>
    <w:rsid w:val="006328F4"/>
    <w:rsid w:val="00632929"/>
    <w:rsid w:val="00632963"/>
    <w:rsid w:val="00632A73"/>
    <w:rsid w:val="00632C4E"/>
    <w:rsid w:val="00632EF1"/>
    <w:rsid w:val="0063332B"/>
    <w:rsid w:val="006334A2"/>
    <w:rsid w:val="006334BC"/>
    <w:rsid w:val="006334C0"/>
    <w:rsid w:val="00633600"/>
    <w:rsid w:val="0063360A"/>
    <w:rsid w:val="0063393C"/>
    <w:rsid w:val="00633975"/>
    <w:rsid w:val="0063399F"/>
    <w:rsid w:val="006339FD"/>
    <w:rsid w:val="00633A02"/>
    <w:rsid w:val="00633A73"/>
    <w:rsid w:val="00633B0A"/>
    <w:rsid w:val="00633B4E"/>
    <w:rsid w:val="00633D54"/>
    <w:rsid w:val="00634037"/>
    <w:rsid w:val="006340E0"/>
    <w:rsid w:val="00634194"/>
    <w:rsid w:val="006341FB"/>
    <w:rsid w:val="00634367"/>
    <w:rsid w:val="00634370"/>
    <w:rsid w:val="00634398"/>
    <w:rsid w:val="006343B1"/>
    <w:rsid w:val="0063442D"/>
    <w:rsid w:val="0063449F"/>
    <w:rsid w:val="006345B3"/>
    <w:rsid w:val="006346BD"/>
    <w:rsid w:val="006348C2"/>
    <w:rsid w:val="006349B9"/>
    <w:rsid w:val="006349C1"/>
    <w:rsid w:val="00634F7E"/>
    <w:rsid w:val="00635260"/>
    <w:rsid w:val="006353B2"/>
    <w:rsid w:val="0063540C"/>
    <w:rsid w:val="0063543A"/>
    <w:rsid w:val="00635528"/>
    <w:rsid w:val="0063564C"/>
    <w:rsid w:val="00635687"/>
    <w:rsid w:val="00635791"/>
    <w:rsid w:val="0063580C"/>
    <w:rsid w:val="00635935"/>
    <w:rsid w:val="00635E06"/>
    <w:rsid w:val="00635F08"/>
    <w:rsid w:val="0063604A"/>
    <w:rsid w:val="00636158"/>
    <w:rsid w:val="00636172"/>
    <w:rsid w:val="00636291"/>
    <w:rsid w:val="006362A0"/>
    <w:rsid w:val="006362AA"/>
    <w:rsid w:val="00636335"/>
    <w:rsid w:val="00636373"/>
    <w:rsid w:val="00636425"/>
    <w:rsid w:val="00636466"/>
    <w:rsid w:val="006367AE"/>
    <w:rsid w:val="006367C1"/>
    <w:rsid w:val="006367CA"/>
    <w:rsid w:val="00636B21"/>
    <w:rsid w:val="00636C77"/>
    <w:rsid w:val="00636D6F"/>
    <w:rsid w:val="00636E4A"/>
    <w:rsid w:val="00636E51"/>
    <w:rsid w:val="00636F5B"/>
    <w:rsid w:val="00636F89"/>
    <w:rsid w:val="00637031"/>
    <w:rsid w:val="00637074"/>
    <w:rsid w:val="0063715E"/>
    <w:rsid w:val="006372A3"/>
    <w:rsid w:val="006372DA"/>
    <w:rsid w:val="00637450"/>
    <w:rsid w:val="00637592"/>
    <w:rsid w:val="0063769D"/>
    <w:rsid w:val="006379FC"/>
    <w:rsid w:val="00637AB9"/>
    <w:rsid w:val="00637C44"/>
    <w:rsid w:val="00637C65"/>
    <w:rsid w:val="00637C89"/>
    <w:rsid w:val="00637DE4"/>
    <w:rsid w:val="00637EA4"/>
    <w:rsid w:val="006402BD"/>
    <w:rsid w:val="006404CE"/>
    <w:rsid w:val="0064067A"/>
    <w:rsid w:val="00640893"/>
    <w:rsid w:val="006408E4"/>
    <w:rsid w:val="00640918"/>
    <w:rsid w:val="00640971"/>
    <w:rsid w:val="006409B9"/>
    <w:rsid w:val="00640B1B"/>
    <w:rsid w:val="00640EA4"/>
    <w:rsid w:val="00640ED0"/>
    <w:rsid w:val="00640F04"/>
    <w:rsid w:val="00640FCF"/>
    <w:rsid w:val="00641012"/>
    <w:rsid w:val="00641124"/>
    <w:rsid w:val="00641143"/>
    <w:rsid w:val="00641280"/>
    <w:rsid w:val="00641303"/>
    <w:rsid w:val="00641342"/>
    <w:rsid w:val="00641386"/>
    <w:rsid w:val="00641422"/>
    <w:rsid w:val="006415C2"/>
    <w:rsid w:val="006415FC"/>
    <w:rsid w:val="006416D1"/>
    <w:rsid w:val="00641717"/>
    <w:rsid w:val="006417B6"/>
    <w:rsid w:val="006419E0"/>
    <w:rsid w:val="00641B23"/>
    <w:rsid w:val="00641B9D"/>
    <w:rsid w:val="00641C62"/>
    <w:rsid w:val="00641C68"/>
    <w:rsid w:val="00641D04"/>
    <w:rsid w:val="00641EE7"/>
    <w:rsid w:val="00641EF0"/>
    <w:rsid w:val="00642340"/>
    <w:rsid w:val="006423FA"/>
    <w:rsid w:val="00642474"/>
    <w:rsid w:val="00642586"/>
    <w:rsid w:val="0064272F"/>
    <w:rsid w:val="006427FD"/>
    <w:rsid w:val="00642AA7"/>
    <w:rsid w:val="00642CE4"/>
    <w:rsid w:val="00642DC0"/>
    <w:rsid w:val="00643182"/>
    <w:rsid w:val="0064338A"/>
    <w:rsid w:val="00643411"/>
    <w:rsid w:val="0064348A"/>
    <w:rsid w:val="0064362E"/>
    <w:rsid w:val="006436AA"/>
    <w:rsid w:val="006436B0"/>
    <w:rsid w:val="006436EF"/>
    <w:rsid w:val="00643797"/>
    <w:rsid w:val="006437FC"/>
    <w:rsid w:val="00643837"/>
    <w:rsid w:val="00643861"/>
    <w:rsid w:val="006438BD"/>
    <w:rsid w:val="00643A8D"/>
    <w:rsid w:val="00643B14"/>
    <w:rsid w:val="00643BBC"/>
    <w:rsid w:val="00643E22"/>
    <w:rsid w:val="0064418C"/>
    <w:rsid w:val="0064425D"/>
    <w:rsid w:val="006443BA"/>
    <w:rsid w:val="0064444E"/>
    <w:rsid w:val="006445AD"/>
    <w:rsid w:val="00644696"/>
    <w:rsid w:val="0064473C"/>
    <w:rsid w:val="00644A06"/>
    <w:rsid w:val="00644B06"/>
    <w:rsid w:val="00644C4B"/>
    <w:rsid w:val="00644E3D"/>
    <w:rsid w:val="00644EB4"/>
    <w:rsid w:val="00644F16"/>
    <w:rsid w:val="0064517B"/>
    <w:rsid w:val="00645299"/>
    <w:rsid w:val="0064534D"/>
    <w:rsid w:val="00645569"/>
    <w:rsid w:val="00645671"/>
    <w:rsid w:val="006456C2"/>
    <w:rsid w:val="00645770"/>
    <w:rsid w:val="00645775"/>
    <w:rsid w:val="00645875"/>
    <w:rsid w:val="00645892"/>
    <w:rsid w:val="0064593A"/>
    <w:rsid w:val="00645A28"/>
    <w:rsid w:val="00645B74"/>
    <w:rsid w:val="00645D3C"/>
    <w:rsid w:val="00645D4F"/>
    <w:rsid w:val="00645D60"/>
    <w:rsid w:val="00645DC2"/>
    <w:rsid w:val="00646153"/>
    <w:rsid w:val="006461D8"/>
    <w:rsid w:val="006461E9"/>
    <w:rsid w:val="00646211"/>
    <w:rsid w:val="006462E6"/>
    <w:rsid w:val="0064634A"/>
    <w:rsid w:val="00646365"/>
    <w:rsid w:val="00646402"/>
    <w:rsid w:val="0064656D"/>
    <w:rsid w:val="0064674C"/>
    <w:rsid w:val="006467A2"/>
    <w:rsid w:val="006467E6"/>
    <w:rsid w:val="00646A68"/>
    <w:rsid w:val="00646A7B"/>
    <w:rsid w:val="00646ACE"/>
    <w:rsid w:val="00646BFF"/>
    <w:rsid w:val="00646C9F"/>
    <w:rsid w:val="00646CE0"/>
    <w:rsid w:val="00646D1A"/>
    <w:rsid w:val="00646DDC"/>
    <w:rsid w:val="00646DDD"/>
    <w:rsid w:val="00647035"/>
    <w:rsid w:val="0064709D"/>
    <w:rsid w:val="0064733D"/>
    <w:rsid w:val="00647536"/>
    <w:rsid w:val="00647670"/>
    <w:rsid w:val="006478C9"/>
    <w:rsid w:val="006479F1"/>
    <w:rsid w:val="00647BAB"/>
    <w:rsid w:val="00647D19"/>
    <w:rsid w:val="00647D43"/>
    <w:rsid w:val="00647DA2"/>
    <w:rsid w:val="00647DEA"/>
    <w:rsid w:val="00650124"/>
    <w:rsid w:val="00650273"/>
    <w:rsid w:val="006505F5"/>
    <w:rsid w:val="00650748"/>
    <w:rsid w:val="00650950"/>
    <w:rsid w:val="00650A2E"/>
    <w:rsid w:val="00650BD4"/>
    <w:rsid w:val="00650C26"/>
    <w:rsid w:val="00650E16"/>
    <w:rsid w:val="00650F79"/>
    <w:rsid w:val="00651025"/>
    <w:rsid w:val="00651111"/>
    <w:rsid w:val="0065112E"/>
    <w:rsid w:val="00651334"/>
    <w:rsid w:val="00651378"/>
    <w:rsid w:val="006513A6"/>
    <w:rsid w:val="00651408"/>
    <w:rsid w:val="00651486"/>
    <w:rsid w:val="0065174B"/>
    <w:rsid w:val="00651863"/>
    <w:rsid w:val="0065189F"/>
    <w:rsid w:val="00651939"/>
    <w:rsid w:val="006519ED"/>
    <w:rsid w:val="00651AAF"/>
    <w:rsid w:val="00651B37"/>
    <w:rsid w:val="00651B79"/>
    <w:rsid w:val="00651CB6"/>
    <w:rsid w:val="00651DA7"/>
    <w:rsid w:val="00651EC5"/>
    <w:rsid w:val="00651F79"/>
    <w:rsid w:val="006521AA"/>
    <w:rsid w:val="006523E3"/>
    <w:rsid w:val="00652433"/>
    <w:rsid w:val="0065247B"/>
    <w:rsid w:val="00652639"/>
    <w:rsid w:val="00652844"/>
    <w:rsid w:val="00652B19"/>
    <w:rsid w:val="00652C2E"/>
    <w:rsid w:val="00652D3F"/>
    <w:rsid w:val="00652E13"/>
    <w:rsid w:val="00652F48"/>
    <w:rsid w:val="00652F7C"/>
    <w:rsid w:val="00653216"/>
    <w:rsid w:val="006532C8"/>
    <w:rsid w:val="006532CA"/>
    <w:rsid w:val="00653308"/>
    <w:rsid w:val="0065377B"/>
    <w:rsid w:val="00653812"/>
    <w:rsid w:val="00653AFC"/>
    <w:rsid w:val="00653C34"/>
    <w:rsid w:val="00653F8D"/>
    <w:rsid w:val="0065431B"/>
    <w:rsid w:val="0065438E"/>
    <w:rsid w:val="006544C7"/>
    <w:rsid w:val="006546A4"/>
    <w:rsid w:val="0065493A"/>
    <w:rsid w:val="006549F9"/>
    <w:rsid w:val="00654A47"/>
    <w:rsid w:val="00654AD8"/>
    <w:rsid w:val="00654B92"/>
    <w:rsid w:val="00654BD0"/>
    <w:rsid w:val="00654E0A"/>
    <w:rsid w:val="00654EF7"/>
    <w:rsid w:val="00654F6D"/>
    <w:rsid w:val="006550F3"/>
    <w:rsid w:val="006552D6"/>
    <w:rsid w:val="00655325"/>
    <w:rsid w:val="00655572"/>
    <w:rsid w:val="006555D2"/>
    <w:rsid w:val="0065568B"/>
    <w:rsid w:val="00655777"/>
    <w:rsid w:val="006557AA"/>
    <w:rsid w:val="00655899"/>
    <w:rsid w:val="006558CC"/>
    <w:rsid w:val="0065596F"/>
    <w:rsid w:val="006559F0"/>
    <w:rsid w:val="00655A26"/>
    <w:rsid w:val="00655BED"/>
    <w:rsid w:val="00655C10"/>
    <w:rsid w:val="00655CA0"/>
    <w:rsid w:val="00655E99"/>
    <w:rsid w:val="00655F20"/>
    <w:rsid w:val="006561B3"/>
    <w:rsid w:val="006564ED"/>
    <w:rsid w:val="0065683C"/>
    <w:rsid w:val="006568C0"/>
    <w:rsid w:val="006569A8"/>
    <w:rsid w:val="00656A33"/>
    <w:rsid w:val="00656A6E"/>
    <w:rsid w:val="00656BAA"/>
    <w:rsid w:val="00656BDF"/>
    <w:rsid w:val="00656C18"/>
    <w:rsid w:val="00656DD3"/>
    <w:rsid w:val="00656EAD"/>
    <w:rsid w:val="00656EE8"/>
    <w:rsid w:val="006571B9"/>
    <w:rsid w:val="00657274"/>
    <w:rsid w:val="00657359"/>
    <w:rsid w:val="006576A5"/>
    <w:rsid w:val="006578FA"/>
    <w:rsid w:val="0065793D"/>
    <w:rsid w:val="006579F1"/>
    <w:rsid w:val="00657A36"/>
    <w:rsid w:val="00657A9E"/>
    <w:rsid w:val="00657CB3"/>
    <w:rsid w:val="00657CF6"/>
    <w:rsid w:val="00657E0F"/>
    <w:rsid w:val="00657E5F"/>
    <w:rsid w:val="00657EDB"/>
    <w:rsid w:val="00657F00"/>
    <w:rsid w:val="006601CF"/>
    <w:rsid w:val="00660350"/>
    <w:rsid w:val="006603D5"/>
    <w:rsid w:val="0066042D"/>
    <w:rsid w:val="006605DF"/>
    <w:rsid w:val="006605F2"/>
    <w:rsid w:val="0066065C"/>
    <w:rsid w:val="006607AE"/>
    <w:rsid w:val="00660867"/>
    <w:rsid w:val="00660938"/>
    <w:rsid w:val="00660A20"/>
    <w:rsid w:val="00660B7C"/>
    <w:rsid w:val="00660BA2"/>
    <w:rsid w:val="00660BE8"/>
    <w:rsid w:val="00660BEE"/>
    <w:rsid w:val="00660CCD"/>
    <w:rsid w:val="00660D12"/>
    <w:rsid w:val="00660D52"/>
    <w:rsid w:val="00660E6D"/>
    <w:rsid w:val="00660ECD"/>
    <w:rsid w:val="00661061"/>
    <w:rsid w:val="00661063"/>
    <w:rsid w:val="00661418"/>
    <w:rsid w:val="006614B1"/>
    <w:rsid w:val="00661532"/>
    <w:rsid w:val="006616BB"/>
    <w:rsid w:val="00661738"/>
    <w:rsid w:val="00661999"/>
    <w:rsid w:val="00661A0B"/>
    <w:rsid w:val="00661B3B"/>
    <w:rsid w:val="00661BF0"/>
    <w:rsid w:val="00661D09"/>
    <w:rsid w:val="00661E81"/>
    <w:rsid w:val="00661F1A"/>
    <w:rsid w:val="0066200A"/>
    <w:rsid w:val="006622C3"/>
    <w:rsid w:val="00662385"/>
    <w:rsid w:val="006623C8"/>
    <w:rsid w:val="00662450"/>
    <w:rsid w:val="0066284E"/>
    <w:rsid w:val="006628C0"/>
    <w:rsid w:val="00662911"/>
    <w:rsid w:val="0066296A"/>
    <w:rsid w:val="0066296B"/>
    <w:rsid w:val="00662AFD"/>
    <w:rsid w:val="00662B62"/>
    <w:rsid w:val="00662C72"/>
    <w:rsid w:val="00662D22"/>
    <w:rsid w:val="00662DAB"/>
    <w:rsid w:val="00662E83"/>
    <w:rsid w:val="00662F41"/>
    <w:rsid w:val="00663064"/>
    <w:rsid w:val="0066333B"/>
    <w:rsid w:val="00663347"/>
    <w:rsid w:val="00663450"/>
    <w:rsid w:val="0066363B"/>
    <w:rsid w:val="00663654"/>
    <w:rsid w:val="006638C9"/>
    <w:rsid w:val="006638CA"/>
    <w:rsid w:val="006638E7"/>
    <w:rsid w:val="00663985"/>
    <w:rsid w:val="00663B41"/>
    <w:rsid w:val="00663B77"/>
    <w:rsid w:val="00663BBC"/>
    <w:rsid w:val="00663BDF"/>
    <w:rsid w:val="00663C14"/>
    <w:rsid w:val="00663C1E"/>
    <w:rsid w:val="00663CA6"/>
    <w:rsid w:val="006641A0"/>
    <w:rsid w:val="00664290"/>
    <w:rsid w:val="006642CC"/>
    <w:rsid w:val="0066437C"/>
    <w:rsid w:val="006645A3"/>
    <w:rsid w:val="006645D5"/>
    <w:rsid w:val="00664683"/>
    <w:rsid w:val="0066475C"/>
    <w:rsid w:val="00664829"/>
    <w:rsid w:val="00664A26"/>
    <w:rsid w:val="00664A97"/>
    <w:rsid w:val="00664C7E"/>
    <w:rsid w:val="00664DB0"/>
    <w:rsid w:val="00665072"/>
    <w:rsid w:val="00665096"/>
    <w:rsid w:val="006650BA"/>
    <w:rsid w:val="006655F2"/>
    <w:rsid w:val="0066560D"/>
    <w:rsid w:val="00665AF4"/>
    <w:rsid w:val="00665C12"/>
    <w:rsid w:val="00665D3B"/>
    <w:rsid w:val="00665E44"/>
    <w:rsid w:val="00665FCB"/>
    <w:rsid w:val="00666218"/>
    <w:rsid w:val="0066621A"/>
    <w:rsid w:val="006662DC"/>
    <w:rsid w:val="00666338"/>
    <w:rsid w:val="0066653F"/>
    <w:rsid w:val="00666600"/>
    <w:rsid w:val="00666673"/>
    <w:rsid w:val="00666685"/>
    <w:rsid w:val="006668B1"/>
    <w:rsid w:val="006668F2"/>
    <w:rsid w:val="0066697F"/>
    <w:rsid w:val="00666BF8"/>
    <w:rsid w:val="00666CB6"/>
    <w:rsid w:val="00666DF0"/>
    <w:rsid w:val="00666FC8"/>
    <w:rsid w:val="006671B3"/>
    <w:rsid w:val="006671C1"/>
    <w:rsid w:val="0066721E"/>
    <w:rsid w:val="00667395"/>
    <w:rsid w:val="0066760D"/>
    <w:rsid w:val="00667610"/>
    <w:rsid w:val="00667718"/>
    <w:rsid w:val="0066782F"/>
    <w:rsid w:val="00667A88"/>
    <w:rsid w:val="00667BBB"/>
    <w:rsid w:val="00667C91"/>
    <w:rsid w:val="00667DDB"/>
    <w:rsid w:val="00667F1F"/>
    <w:rsid w:val="00667FC5"/>
    <w:rsid w:val="00667FF4"/>
    <w:rsid w:val="00670033"/>
    <w:rsid w:val="0067010F"/>
    <w:rsid w:val="00670143"/>
    <w:rsid w:val="0067050F"/>
    <w:rsid w:val="00670545"/>
    <w:rsid w:val="006705EC"/>
    <w:rsid w:val="0067065B"/>
    <w:rsid w:val="00670854"/>
    <w:rsid w:val="006708B7"/>
    <w:rsid w:val="0067094B"/>
    <w:rsid w:val="00670B3F"/>
    <w:rsid w:val="00670C96"/>
    <w:rsid w:val="00670CDA"/>
    <w:rsid w:val="00670DD6"/>
    <w:rsid w:val="00670E1F"/>
    <w:rsid w:val="0067104B"/>
    <w:rsid w:val="0067126A"/>
    <w:rsid w:val="0067128F"/>
    <w:rsid w:val="00671380"/>
    <w:rsid w:val="006717EB"/>
    <w:rsid w:val="00671929"/>
    <w:rsid w:val="00671982"/>
    <w:rsid w:val="00671ACD"/>
    <w:rsid w:val="00671AF7"/>
    <w:rsid w:val="00671B9E"/>
    <w:rsid w:val="00671BD3"/>
    <w:rsid w:val="00671DAD"/>
    <w:rsid w:val="0067200B"/>
    <w:rsid w:val="0067215E"/>
    <w:rsid w:val="006721B8"/>
    <w:rsid w:val="0067220C"/>
    <w:rsid w:val="00672330"/>
    <w:rsid w:val="0067241E"/>
    <w:rsid w:val="0067257B"/>
    <w:rsid w:val="0067279D"/>
    <w:rsid w:val="006727A3"/>
    <w:rsid w:val="006729F8"/>
    <w:rsid w:val="00672C80"/>
    <w:rsid w:val="00672F19"/>
    <w:rsid w:val="00672FDD"/>
    <w:rsid w:val="006730CE"/>
    <w:rsid w:val="006730F0"/>
    <w:rsid w:val="006732F5"/>
    <w:rsid w:val="006733D6"/>
    <w:rsid w:val="006734A3"/>
    <w:rsid w:val="006734E1"/>
    <w:rsid w:val="00673669"/>
    <w:rsid w:val="006736DE"/>
    <w:rsid w:val="00673744"/>
    <w:rsid w:val="006738CD"/>
    <w:rsid w:val="00673961"/>
    <w:rsid w:val="00673A25"/>
    <w:rsid w:val="00673A4B"/>
    <w:rsid w:val="00673AFD"/>
    <w:rsid w:val="00673BB7"/>
    <w:rsid w:val="00673CE2"/>
    <w:rsid w:val="00673E7E"/>
    <w:rsid w:val="00673FF5"/>
    <w:rsid w:val="0067434A"/>
    <w:rsid w:val="00674705"/>
    <w:rsid w:val="006747BC"/>
    <w:rsid w:val="0067488E"/>
    <w:rsid w:val="006748AA"/>
    <w:rsid w:val="00674A62"/>
    <w:rsid w:val="00674D4A"/>
    <w:rsid w:val="00674DDD"/>
    <w:rsid w:val="00674ED5"/>
    <w:rsid w:val="00674FFC"/>
    <w:rsid w:val="006751A5"/>
    <w:rsid w:val="0067524D"/>
    <w:rsid w:val="006752E1"/>
    <w:rsid w:val="006752E9"/>
    <w:rsid w:val="006754A7"/>
    <w:rsid w:val="006755D9"/>
    <w:rsid w:val="006755DB"/>
    <w:rsid w:val="006755E2"/>
    <w:rsid w:val="00675627"/>
    <w:rsid w:val="00675631"/>
    <w:rsid w:val="006756E9"/>
    <w:rsid w:val="006757E9"/>
    <w:rsid w:val="00675980"/>
    <w:rsid w:val="006759A7"/>
    <w:rsid w:val="00675A49"/>
    <w:rsid w:val="00675C36"/>
    <w:rsid w:val="00675D80"/>
    <w:rsid w:val="00675E26"/>
    <w:rsid w:val="00675E96"/>
    <w:rsid w:val="00675FB3"/>
    <w:rsid w:val="00675FBD"/>
    <w:rsid w:val="006763CB"/>
    <w:rsid w:val="00676526"/>
    <w:rsid w:val="00676831"/>
    <w:rsid w:val="0067687F"/>
    <w:rsid w:val="00676A29"/>
    <w:rsid w:val="00676C70"/>
    <w:rsid w:val="00676CD0"/>
    <w:rsid w:val="00676E68"/>
    <w:rsid w:val="00676E9F"/>
    <w:rsid w:val="00677027"/>
    <w:rsid w:val="006770D5"/>
    <w:rsid w:val="00677437"/>
    <w:rsid w:val="00677648"/>
    <w:rsid w:val="0067766A"/>
    <w:rsid w:val="00677938"/>
    <w:rsid w:val="00677973"/>
    <w:rsid w:val="006779AD"/>
    <w:rsid w:val="00677A7E"/>
    <w:rsid w:val="00677AC3"/>
    <w:rsid w:val="00677B3E"/>
    <w:rsid w:val="00677C5F"/>
    <w:rsid w:val="00677DA6"/>
    <w:rsid w:val="00677E21"/>
    <w:rsid w:val="00677E65"/>
    <w:rsid w:val="00677ED3"/>
    <w:rsid w:val="00677F18"/>
    <w:rsid w:val="00677FB8"/>
    <w:rsid w:val="00680153"/>
    <w:rsid w:val="00680180"/>
    <w:rsid w:val="006801AE"/>
    <w:rsid w:val="006801F5"/>
    <w:rsid w:val="006802AA"/>
    <w:rsid w:val="00680481"/>
    <w:rsid w:val="006804CA"/>
    <w:rsid w:val="006805D4"/>
    <w:rsid w:val="00680697"/>
    <w:rsid w:val="006809D0"/>
    <w:rsid w:val="00680A6B"/>
    <w:rsid w:val="00680A73"/>
    <w:rsid w:val="00680C25"/>
    <w:rsid w:val="00680C43"/>
    <w:rsid w:val="00680D07"/>
    <w:rsid w:val="00680E5A"/>
    <w:rsid w:val="00680F5D"/>
    <w:rsid w:val="00681418"/>
    <w:rsid w:val="00681881"/>
    <w:rsid w:val="006818D4"/>
    <w:rsid w:val="00681AD0"/>
    <w:rsid w:val="00681B19"/>
    <w:rsid w:val="00681B46"/>
    <w:rsid w:val="00681BE3"/>
    <w:rsid w:val="00681CEB"/>
    <w:rsid w:val="00681DF6"/>
    <w:rsid w:val="006821D8"/>
    <w:rsid w:val="006823BE"/>
    <w:rsid w:val="006824D4"/>
    <w:rsid w:val="006825A0"/>
    <w:rsid w:val="006826EA"/>
    <w:rsid w:val="0068279F"/>
    <w:rsid w:val="00682C17"/>
    <w:rsid w:val="00682C7E"/>
    <w:rsid w:val="00682DF9"/>
    <w:rsid w:val="00682F39"/>
    <w:rsid w:val="00683027"/>
    <w:rsid w:val="006830F1"/>
    <w:rsid w:val="00683242"/>
    <w:rsid w:val="00683381"/>
    <w:rsid w:val="00683575"/>
    <w:rsid w:val="0068361E"/>
    <w:rsid w:val="00683633"/>
    <w:rsid w:val="006836C5"/>
    <w:rsid w:val="006836D9"/>
    <w:rsid w:val="00683BBA"/>
    <w:rsid w:val="00683C5A"/>
    <w:rsid w:val="00683D11"/>
    <w:rsid w:val="00683FF5"/>
    <w:rsid w:val="006843B3"/>
    <w:rsid w:val="00684696"/>
    <w:rsid w:val="00684A76"/>
    <w:rsid w:val="00684D43"/>
    <w:rsid w:val="00685033"/>
    <w:rsid w:val="00685150"/>
    <w:rsid w:val="0068533E"/>
    <w:rsid w:val="00685477"/>
    <w:rsid w:val="0068550E"/>
    <w:rsid w:val="0068552C"/>
    <w:rsid w:val="006855B2"/>
    <w:rsid w:val="006855BD"/>
    <w:rsid w:val="00685687"/>
    <w:rsid w:val="00685756"/>
    <w:rsid w:val="006857CF"/>
    <w:rsid w:val="00685959"/>
    <w:rsid w:val="00685D05"/>
    <w:rsid w:val="00685E34"/>
    <w:rsid w:val="00685E9C"/>
    <w:rsid w:val="00686191"/>
    <w:rsid w:val="00686884"/>
    <w:rsid w:val="00686946"/>
    <w:rsid w:val="006869F5"/>
    <w:rsid w:val="00686CC2"/>
    <w:rsid w:val="00686DE2"/>
    <w:rsid w:val="00686E14"/>
    <w:rsid w:val="00686EB2"/>
    <w:rsid w:val="00686FE5"/>
    <w:rsid w:val="00687048"/>
    <w:rsid w:val="0068728E"/>
    <w:rsid w:val="0068753D"/>
    <w:rsid w:val="006876F6"/>
    <w:rsid w:val="00687830"/>
    <w:rsid w:val="006878D2"/>
    <w:rsid w:val="00687902"/>
    <w:rsid w:val="006879AD"/>
    <w:rsid w:val="00687A1B"/>
    <w:rsid w:val="00687B5D"/>
    <w:rsid w:val="00687C78"/>
    <w:rsid w:val="00687D88"/>
    <w:rsid w:val="00687E50"/>
    <w:rsid w:val="00687E57"/>
    <w:rsid w:val="00687E7D"/>
    <w:rsid w:val="006900B6"/>
    <w:rsid w:val="00690184"/>
    <w:rsid w:val="00690216"/>
    <w:rsid w:val="006903F2"/>
    <w:rsid w:val="00690412"/>
    <w:rsid w:val="0069059E"/>
    <w:rsid w:val="0069066A"/>
    <w:rsid w:val="006907A7"/>
    <w:rsid w:val="00690852"/>
    <w:rsid w:val="006909A9"/>
    <w:rsid w:val="006909B1"/>
    <w:rsid w:val="00690AA6"/>
    <w:rsid w:val="00690C71"/>
    <w:rsid w:val="00690D60"/>
    <w:rsid w:val="00690F04"/>
    <w:rsid w:val="0069110E"/>
    <w:rsid w:val="00691164"/>
    <w:rsid w:val="0069116C"/>
    <w:rsid w:val="00691194"/>
    <w:rsid w:val="006911FD"/>
    <w:rsid w:val="006914B6"/>
    <w:rsid w:val="006914FC"/>
    <w:rsid w:val="006915F8"/>
    <w:rsid w:val="006916A7"/>
    <w:rsid w:val="006917E8"/>
    <w:rsid w:val="00691A8A"/>
    <w:rsid w:val="00691C5B"/>
    <w:rsid w:val="00691CB6"/>
    <w:rsid w:val="00691D2D"/>
    <w:rsid w:val="00691D5E"/>
    <w:rsid w:val="00691DA3"/>
    <w:rsid w:val="00691E84"/>
    <w:rsid w:val="00691F67"/>
    <w:rsid w:val="00691FA7"/>
    <w:rsid w:val="00692002"/>
    <w:rsid w:val="00692054"/>
    <w:rsid w:val="0069206B"/>
    <w:rsid w:val="006920D5"/>
    <w:rsid w:val="0069218E"/>
    <w:rsid w:val="00692308"/>
    <w:rsid w:val="0069232C"/>
    <w:rsid w:val="00692349"/>
    <w:rsid w:val="00692452"/>
    <w:rsid w:val="0069245B"/>
    <w:rsid w:val="006924D9"/>
    <w:rsid w:val="00692573"/>
    <w:rsid w:val="006926CD"/>
    <w:rsid w:val="00692727"/>
    <w:rsid w:val="00692774"/>
    <w:rsid w:val="006927A9"/>
    <w:rsid w:val="00692BD8"/>
    <w:rsid w:val="00692CAC"/>
    <w:rsid w:val="00692F94"/>
    <w:rsid w:val="00693150"/>
    <w:rsid w:val="0069366F"/>
    <w:rsid w:val="0069381F"/>
    <w:rsid w:val="006938E1"/>
    <w:rsid w:val="006938E5"/>
    <w:rsid w:val="00693945"/>
    <w:rsid w:val="006939D4"/>
    <w:rsid w:val="00693AB0"/>
    <w:rsid w:val="00693AB6"/>
    <w:rsid w:val="00693BF5"/>
    <w:rsid w:val="00693CA4"/>
    <w:rsid w:val="00693D09"/>
    <w:rsid w:val="006942DE"/>
    <w:rsid w:val="0069439E"/>
    <w:rsid w:val="00694491"/>
    <w:rsid w:val="006944B1"/>
    <w:rsid w:val="006944EE"/>
    <w:rsid w:val="00694749"/>
    <w:rsid w:val="006948DD"/>
    <w:rsid w:val="00694947"/>
    <w:rsid w:val="00694A81"/>
    <w:rsid w:val="00694D74"/>
    <w:rsid w:val="00694F21"/>
    <w:rsid w:val="00694F2E"/>
    <w:rsid w:val="00695016"/>
    <w:rsid w:val="00695093"/>
    <w:rsid w:val="00695129"/>
    <w:rsid w:val="00695358"/>
    <w:rsid w:val="0069569C"/>
    <w:rsid w:val="006957E6"/>
    <w:rsid w:val="00695938"/>
    <w:rsid w:val="0069599B"/>
    <w:rsid w:val="00695A59"/>
    <w:rsid w:val="00695CD5"/>
    <w:rsid w:val="00695D8E"/>
    <w:rsid w:val="00695FC3"/>
    <w:rsid w:val="00696069"/>
    <w:rsid w:val="00696180"/>
    <w:rsid w:val="006961A6"/>
    <w:rsid w:val="00696585"/>
    <w:rsid w:val="00696726"/>
    <w:rsid w:val="0069698D"/>
    <w:rsid w:val="00696A5E"/>
    <w:rsid w:val="00696A95"/>
    <w:rsid w:val="00696BD3"/>
    <w:rsid w:val="00696C19"/>
    <w:rsid w:val="00696D4A"/>
    <w:rsid w:val="006971D0"/>
    <w:rsid w:val="00697233"/>
    <w:rsid w:val="0069731D"/>
    <w:rsid w:val="0069740F"/>
    <w:rsid w:val="0069747E"/>
    <w:rsid w:val="006974D5"/>
    <w:rsid w:val="00697518"/>
    <w:rsid w:val="006975DB"/>
    <w:rsid w:val="00697828"/>
    <w:rsid w:val="00697875"/>
    <w:rsid w:val="00697905"/>
    <w:rsid w:val="00697961"/>
    <w:rsid w:val="006979AB"/>
    <w:rsid w:val="00697A86"/>
    <w:rsid w:val="00697B5B"/>
    <w:rsid w:val="00697D92"/>
    <w:rsid w:val="00697E1D"/>
    <w:rsid w:val="00697F32"/>
    <w:rsid w:val="00697F9F"/>
    <w:rsid w:val="006A00CA"/>
    <w:rsid w:val="006A0109"/>
    <w:rsid w:val="006A010B"/>
    <w:rsid w:val="006A0173"/>
    <w:rsid w:val="006A017F"/>
    <w:rsid w:val="006A0196"/>
    <w:rsid w:val="006A01E3"/>
    <w:rsid w:val="006A0910"/>
    <w:rsid w:val="006A0970"/>
    <w:rsid w:val="006A0BF8"/>
    <w:rsid w:val="006A0C37"/>
    <w:rsid w:val="006A0FD1"/>
    <w:rsid w:val="006A1060"/>
    <w:rsid w:val="006A106A"/>
    <w:rsid w:val="006A107F"/>
    <w:rsid w:val="006A10E3"/>
    <w:rsid w:val="006A11FE"/>
    <w:rsid w:val="006A12F3"/>
    <w:rsid w:val="006A1337"/>
    <w:rsid w:val="006A17D8"/>
    <w:rsid w:val="006A186B"/>
    <w:rsid w:val="006A1A48"/>
    <w:rsid w:val="006A1CE7"/>
    <w:rsid w:val="006A1CF4"/>
    <w:rsid w:val="006A1DCA"/>
    <w:rsid w:val="006A1EBC"/>
    <w:rsid w:val="006A267D"/>
    <w:rsid w:val="006A2783"/>
    <w:rsid w:val="006A2B7E"/>
    <w:rsid w:val="006A2CFB"/>
    <w:rsid w:val="006A2D58"/>
    <w:rsid w:val="006A3004"/>
    <w:rsid w:val="006A30A6"/>
    <w:rsid w:val="006A30E8"/>
    <w:rsid w:val="006A3146"/>
    <w:rsid w:val="006A3152"/>
    <w:rsid w:val="006A3360"/>
    <w:rsid w:val="006A33A0"/>
    <w:rsid w:val="006A38EF"/>
    <w:rsid w:val="006A3966"/>
    <w:rsid w:val="006A3A9C"/>
    <w:rsid w:val="006A3B0D"/>
    <w:rsid w:val="006A3BCC"/>
    <w:rsid w:val="006A3CCD"/>
    <w:rsid w:val="006A3D70"/>
    <w:rsid w:val="006A40DC"/>
    <w:rsid w:val="006A438C"/>
    <w:rsid w:val="006A4469"/>
    <w:rsid w:val="006A44C9"/>
    <w:rsid w:val="006A45AA"/>
    <w:rsid w:val="006A465B"/>
    <w:rsid w:val="006A46DB"/>
    <w:rsid w:val="006A47CC"/>
    <w:rsid w:val="006A47F3"/>
    <w:rsid w:val="006A486A"/>
    <w:rsid w:val="006A4B16"/>
    <w:rsid w:val="006A4B95"/>
    <w:rsid w:val="006A4CBA"/>
    <w:rsid w:val="006A4EC9"/>
    <w:rsid w:val="006A52A0"/>
    <w:rsid w:val="006A553C"/>
    <w:rsid w:val="006A56BA"/>
    <w:rsid w:val="006A5829"/>
    <w:rsid w:val="006A5A04"/>
    <w:rsid w:val="006A5B0D"/>
    <w:rsid w:val="006A5B1B"/>
    <w:rsid w:val="006A5B57"/>
    <w:rsid w:val="006A5C53"/>
    <w:rsid w:val="006A5C72"/>
    <w:rsid w:val="006A5CE5"/>
    <w:rsid w:val="006A5E81"/>
    <w:rsid w:val="006A5F26"/>
    <w:rsid w:val="006A5FA9"/>
    <w:rsid w:val="006A6114"/>
    <w:rsid w:val="006A624E"/>
    <w:rsid w:val="006A6378"/>
    <w:rsid w:val="006A64C1"/>
    <w:rsid w:val="006A64C2"/>
    <w:rsid w:val="006A6610"/>
    <w:rsid w:val="006A66D8"/>
    <w:rsid w:val="006A671D"/>
    <w:rsid w:val="006A675D"/>
    <w:rsid w:val="006A677A"/>
    <w:rsid w:val="006A68C8"/>
    <w:rsid w:val="006A6A31"/>
    <w:rsid w:val="006A6DE2"/>
    <w:rsid w:val="006A6F2A"/>
    <w:rsid w:val="006A7046"/>
    <w:rsid w:val="006A71C9"/>
    <w:rsid w:val="006A737F"/>
    <w:rsid w:val="006A75AC"/>
    <w:rsid w:val="006A763F"/>
    <w:rsid w:val="006A7874"/>
    <w:rsid w:val="006A79BC"/>
    <w:rsid w:val="006A7C82"/>
    <w:rsid w:val="006A7FC6"/>
    <w:rsid w:val="006B0314"/>
    <w:rsid w:val="006B03AD"/>
    <w:rsid w:val="006B049C"/>
    <w:rsid w:val="006B04DB"/>
    <w:rsid w:val="006B07EF"/>
    <w:rsid w:val="006B081A"/>
    <w:rsid w:val="006B0863"/>
    <w:rsid w:val="006B094E"/>
    <w:rsid w:val="006B0A09"/>
    <w:rsid w:val="006B0A3D"/>
    <w:rsid w:val="006B0A63"/>
    <w:rsid w:val="006B0B2C"/>
    <w:rsid w:val="006B0BFE"/>
    <w:rsid w:val="006B0C1A"/>
    <w:rsid w:val="006B0CD3"/>
    <w:rsid w:val="006B0D50"/>
    <w:rsid w:val="006B0D57"/>
    <w:rsid w:val="006B0FA0"/>
    <w:rsid w:val="006B1309"/>
    <w:rsid w:val="006B1376"/>
    <w:rsid w:val="006B1548"/>
    <w:rsid w:val="006B1672"/>
    <w:rsid w:val="006B1688"/>
    <w:rsid w:val="006B1AD6"/>
    <w:rsid w:val="006B1B8B"/>
    <w:rsid w:val="006B1BC7"/>
    <w:rsid w:val="006B1C74"/>
    <w:rsid w:val="006B1CEF"/>
    <w:rsid w:val="006B1D33"/>
    <w:rsid w:val="006B1DCD"/>
    <w:rsid w:val="006B1ED2"/>
    <w:rsid w:val="006B202D"/>
    <w:rsid w:val="006B20D1"/>
    <w:rsid w:val="006B216A"/>
    <w:rsid w:val="006B23AC"/>
    <w:rsid w:val="006B2767"/>
    <w:rsid w:val="006B2825"/>
    <w:rsid w:val="006B2884"/>
    <w:rsid w:val="006B297A"/>
    <w:rsid w:val="006B2A04"/>
    <w:rsid w:val="006B2BB8"/>
    <w:rsid w:val="006B2BDA"/>
    <w:rsid w:val="006B2BDF"/>
    <w:rsid w:val="006B2FE6"/>
    <w:rsid w:val="006B32CD"/>
    <w:rsid w:val="006B33E9"/>
    <w:rsid w:val="006B33EB"/>
    <w:rsid w:val="006B3489"/>
    <w:rsid w:val="006B3615"/>
    <w:rsid w:val="006B3643"/>
    <w:rsid w:val="006B36F0"/>
    <w:rsid w:val="006B3730"/>
    <w:rsid w:val="006B3818"/>
    <w:rsid w:val="006B3823"/>
    <w:rsid w:val="006B3843"/>
    <w:rsid w:val="006B3A4F"/>
    <w:rsid w:val="006B3CB1"/>
    <w:rsid w:val="006B3DE7"/>
    <w:rsid w:val="006B3F2F"/>
    <w:rsid w:val="006B3F35"/>
    <w:rsid w:val="006B40E9"/>
    <w:rsid w:val="006B41D0"/>
    <w:rsid w:val="006B4303"/>
    <w:rsid w:val="006B44DA"/>
    <w:rsid w:val="006B46C9"/>
    <w:rsid w:val="006B4812"/>
    <w:rsid w:val="006B4945"/>
    <w:rsid w:val="006B4A45"/>
    <w:rsid w:val="006B4AFE"/>
    <w:rsid w:val="006B4EDA"/>
    <w:rsid w:val="006B5110"/>
    <w:rsid w:val="006B5242"/>
    <w:rsid w:val="006B5555"/>
    <w:rsid w:val="006B577A"/>
    <w:rsid w:val="006B578C"/>
    <w:rsid w:val="006B5BF5"/>
    <w:rsid w:val="006B5C23"/>
    <w:rsid w:val="006B5E0D"/>
    <w:rsid w:val="006B5E2D"/>
    <w:rsid w:val="006B6013"/>
    <w:rsid w:val="006B60EF"/>
    <w:rsid w:val="006B621A"/>
    <w:rsid w:val="006B6462"/>
    <w:rsid w:val="006B6493"/>
    <w:rsid w:val="006B64A7"/>
    <w:rsid w:val="006B66D1"/>
    <w:rsid w:val="006B6944"/>
    <w:rsid w:val="006B6999"/>
    <w:rsid w:val="006B6A04"/>
    <w:rsid w:val="006B6A37"/>
    <w:rsid w:val="006B6B5C"/>
    <w:rsid w:val="006B6BEB"/>
    <w:rsid w:val="006B6EE9"/>
    <w:rsid w:val="006B7051"/>
    <w:rsid w:val="006B7230"/>
    <w:rsid w:val="006B7324"/>
    <w:rsid w:val="006B73BD"/>
    <w:rsid w:val="006B748C"/>
    <w:rsid w:val="006B765C"/>
    <w:rsid w:val="006B773F"/>
    <w:rsid w:val="006B78CB"/>
    <w:rsid w:val="006B78F7"/>
    <w:rsid w:val="006B79AA"/>
    <w:rsid w:val="006B7A12"/>
    <w:rsid w:val="006B7A44"/>
    <w:rsid w:val="006B7A98"/>
    <w:rsid w:val="006B7BCE"/>
    <w:rsid w:val="006B7BD2"/>
    <w:rsid w:val="006B7F6C"/>
    <w:rsid w:val="006C000B"/>
    <w:rsid w:val="006C0221"/>
    <w:rsid w:val="006C0286"/>
    <w:rsid w:val="006C028F"/>
    <w:rsid w:val="006C02BD"/>
    <w:rsid w:val="006C04EA"/>
    <w:rsid w:val="006C05AC"/>
    <w:rsid w:val="006C05C6"/>
    <w:rsid w:val="006C062F"/>
    <w:rsid w:val="006C0997"/>
    <w:rsid w:val="006C0A61"/>
    <w:rsid w:val="006C0A91"/>
    <w:rsid w:val="006C0A98"/>
    <w:rsid w:val="006C0AF2"/>
    <w:rsid w:val="006C0B74"/>
    <w:rsid w:val="006C0BD6"/>
    <w:rsid w:val="006C0D46"/>
    <w:rsid w:val="006C0E90"/>
    <w:rsid w:val="006C0EDB"/>
    <w:rsid w:val="006C0EE7"/>
    <w:rsid w:val="006C0F8B"/>
    <w:rsid w:val="006C0F94"/>
    <w:rsid w:val="006C1032"/>
    <w:rsid w:val="006C117C"/>
    <w:rsid w:val="006C1455"/>
    <w:rsid w:val="006C14BA"/>
    <w:rsid w:val="006C163F"/>
    <w:rsid w:val="006C16CF"/>
    <w:rsid w:val="006C1847"/>
    <w:rsid w:val="006C1AFC"/>
    <w:rsid w:val="006C1B7A"/>
    <w:rsid w:val="006C1C12"/>
    <w:rsid w:val="006C1DAD"/>
    <w:rsid w:val="006C1FA7"/>
    <w:rsid w:val="006C1FE9"/>
    <w:rsid w:val="006C20CA"/>
    <w:rsid w:val="006C2367"/>
    <w:rsid w:val="006C24F7"/>
    <w:rsid w:val="006C25EF"/>
    <w:rsid w:val="006C271D"/>
    <w:rsid w:val="006C29AD"/>
    <w:rsid w:val="006C29BE"/>
    <w:rsid w:val="006C2B8B"/>
    <w:rsid w:val="006C2E28"/>
    <w:rsid w:val="006C2E7C"/>
    <w:rsid w:val="006C30E2"/>
    <w:rsid w:val="006C3197"/>
    <w:rsid w:val="006C31B4"/>
    <w:rsid w:val="006C3464"/>
    <w:rsid w:val="006C3655"/>
    <w:rsid w:val="006C3909"/>
    <w:rsid w:val="006C3A73"/>
    <w:rsid w:val="006C3A87"/>
    <w:rsid w:val="006C3AA6"/>
    <w:rsid w:val="006C3C26"/>
    <w:rsid w:val="006C3CB3"/>
    <w:rsid w:val="006C3D03"/>
    <w:rsid w:val="006C3D50"/>
    <w:rsid w:val="006C3ED6"/>
    <w:rsid w:val="006C40F9"/>
    <w:rsid w:val="006C413F"/>
    <w:rsid w:val="006C43CC"/>
    <w:rsid w:val="006C43DC"/>
    <w:rsid w:val="006C43FA"/>
    <w:rsid w:val="006C44AF"/>
    <w:rsid w:val="006C4683"/>
    <w:rsid w:val="006C4833"/>
    <w:rsid w:val="006C4A3A"/>
    <w:rsid w:val="006C4C84"/>
    <w:rsid w:val="006C4D89"/>
    <w:rsid w:val="006C4ECA"/>
    <w:rsid w:val="006C4F1F"/>
    <w:rsid w:val="006C5019"/>
    <w:rsid w:val="006C5093"/>
    <w:rsid w:val="006C516B"/>
    <w:rsid w:val="006C51B0"/>
    <w:rsid w:val="006C51CD"/>
    <w:rsid w:val="006C5332"/>
    <w:rsid w:val="006C5387"/>
    <w:rsid w:val="006C5423"/>
    <w:rsid w:val="006C54B4"/>
    <w:rsid w:val="006C558C"/>
    <w:rsid w:val="006C5703"/>
    <w:rsid w:val="006C579A"/>
    <w:rsid w:val="006C57AA"/>
    <w:rsid w:val="006C5801"/>
    <w:rsid w:val="006C5A3F"/>
    <w:rsid w:val="006C5AA4"/>
    <w:rsid w:val="006C5AB8"/>
    <w:rsid w:val="006C5C9C"/>
    <w:rsid w:val="006C5CA6"/>
    <w:rsid w:val="006C5F34"/>
    <w:rsid w:val="006C5FA3"/>
    <w:rsid w:val="006C6029"/>
    <w:rsid w:val="006C61AE"/>
    <w:rsid w:val="006C6290"/>
    <w:rsid w:val="006C6426"/>
    <w:rsid w:val="006C6483"/>
    <w:rsid w:val="006C65A0"/>
    <w:rsid w:val="006C66DA"/>
    <w:rsid w:val="006C6715"/>
    <w:rsid w:val="006C6789"/>
    <w:rsid w:val="006C6A94"/>
    <w:rsid w:val="006C6AD0"/>
    <w:rsid w:val="006C6AF8"/>
    <w:rsid w:val="006C6C85"/>
    <w:rsid w:val="006C6E14"/>
    <w:rsid w:val="006C7023"/>
    <w:rsid w:val="006C7305"/>
    <w:rsid w:val="006C754C"/>
    <w:rsid w:val="006C7557"/>
    <w:rsid w:val="006C7569"/>
    <w:rsid w:val="006C771A"/>
    <w:rsid w:val="006C77B0"/>
    <w:rsid w:val="006C78D8"/>
    <w:rsid w:val="006C78E3"/>
    <w:rsid w:val="006C7B0D"/>
    <w:rsid w:val="006C7C64"/>
    <w:rsid w:val="006C7E0B"/>
    <w:rsid w:val="006C7E66"/>
    <w:rsid w:val="006C7EE4"/>
    <w:rsid w:val="006C7F30"/>
    <w:rsid w:val="006D00D5"/>
    <w:rsid w:val="006D00E6"/>
    <w:rsid w:val="006D0101"/>
    <w:rsid w:val="006D019A"/>
    <w:rsid w:val="006D01EA"/>
    <w:rsid w:val="006D0290"/>
    <w:rsid w:val="006D02E5"/>
    <w:rsid w:val="006D0401"/>
    <w:rsid w:val="006D06C1"/>
    <w:rsid w:val="006D06C2"/>
    <w:rsid w:val="006D0822"/>
    <w:rsid w:val="006D095F"/>
    <w:rsid w:val="006D0A3A"/>
    <w:rsid w:val="006D0B14"/>
    <w:rsid w:val="006D0BF0"/>
    <w:rsid w:val="006D0C92"/>
    <w:rsid w:val="006D0D4F"/>
    <w:rsid w:val="006D0D62"/>
    <w:rsid w:val="006D0E3E"/>
    <w:rsid w:val="006D0E5F"/>
    <w:rsid w:val="006D0E7B"/>
    <w:rsid w:val="006D103B"/>
    <w:rsid w:val="006D104E"/>
    <w:rsid w:val="006D105B"/>
    <w:rsid w:val="006D1091"/>
    <w:rsid w:val="006D10ED"/>
    <w:rsid w:val="006D1119"/>
    <w:rsid w:val="006D1194"/>
    <w:rsid w:val="006D1295"/>
    <w:rsid w:val="006D1511"/>
    <w:rsid w:val="006D1599"/>
    <w:rsid w:val="006D1624"/>
    <w:rsid w:val="006D17D9"/>
    <w:rsid w:val="006D17F7"/>
    <w:rsid w:val="006D184C"/>
    <w:rsid w:val="006D1983"/>
    <w:rsid w:val="006D1C47"/>
    <w:rsid w:val="006D1E5E"/>
    <w:rsid w:val="006D1F18"/>
    <w:rsid w:val="006D23BB"/>
    <w:rsid w:val="006D2479"/>
    <w:rsid w:val="006D2593"/>
    <w:rsid w:val="006D25DA"/>
    <w:rsid w:val="006D27C0"/>
    <w:rsid w:val="006D27C8"/>
    <w:rsid w:val="006D2AAC"/>
    <w:rsid w:val="006D2AF9"/>
    <w:rsid w:val="006D2CFF"/>
    <w:rsid w:val="006D2D4D"/>
    <w:rsid w:val="006D30B6"/>
    <w:rsid w:val="006D3271"/>
    <w:rsid w:val="006D37F6"/>
    <w:rsid w:val="006D3A51"/>
    <w:rsid w:val="006D3BA3"/>
    <w:rsid w:val="006D411B"/>
    <w:rsid w:val="006D41FD"/>
    <w:rsid w:val="006D424A"/>
    <w:rsid w:val="006D4286"/>
    <w:rsid w:val="006D43A9"/>
    <w:rsid w:val="006D44A1"/>
    <w:rsid w:val="006D450A"/>
    <w:rsid w:val="006D458F"/>
    <w:rsid w:val="006D4776"/>
    <w:rsid w:val="006D4885"/>
    <w:rsid w:val="006D4F4C"/>
    <w:rsid w:val="006D4FAE"/>
    <w:rsid w:val="006D512B"/>
    <w:rsid w:val="006D5185"/>
    <w:rsid w:val="006D521A"/>
    <w:rsid w:val="006D526D"/>
    <w:rsid w:val="006D5360"/>
    <w:rsid w:val="006D538E"/>
    <w:rsid w:val="006D5886"/>
    <w:rsid w:val="006D5C5C"/>
    <w:rsid w:val="006D5FFB"/>
    <w:rsid w:val="006D6045"/>
    <w:rsid w:val="006D605D"/>
    <w:rsid w:val="006D60DF"/>
    <w:rsid w:val="006D61A5"/>
    <w:rsid w:val="006D61E5"/>
    <w:rsid w:val="006D6724"/>
    <w:rsid w:val="006D6784"/>
    <w:rsid w:val="006D6813"/>
    <w:rsid w:val="006D685D"/>
    <w:rsid w:val="006D6A28"/>
    <w:rsid w:val="006D6CCF"/>
    <w:rsid w:val="006D6E1C"/>
    <w:rsid w:val="006D702A"/>
    <w:rsid w:val="006D70D3"/>
    <w:rsid w:val="006D718D"/>
    <w:rsid w:val="006D735C"/>
    <w:rsid w:val="006D7532"/>
    <w:rsid w:val="006D7563"/>
    <w:rsid w:val="006D7677"/>
    <w:rsid w:val="006D78AC"/>
    <w:rsid w:val="006D7B36"/>
    <w:rsid w:val="006D7C3B"/>
    <w:rsid w:val="006D7E84"/>
    <w:rsid w:val="006D7F77"/>
    <w:rsid w:val="006E0102"/>
    <w:rsid w:val="006E045F"/>
    <w:rsid w:val="006E0632"/>
    <w:rsid w:val="006E075C"/>
    <w:rsid w:val="006E0811"/>
    <w:rsid w:val="006E088B"/>
    <w:rsid w:val="006E08CC"/>
    <w:rsid w:val="006E0945"/>
    <w:rsid w:val="006E096F"/>
    <w:rsid w:val="006E097D"/>
    <w:rsid w:val="006E0B80"/>
    <w:rsid w:val="006E0BC6"/>
    <w:rsid w:val="006E0ED8"/>
    <w:rsid w:val="006E10AC"/>
    <w:rsid w:val="006E10C8"/>
    <w:rsid w:val="006E111E"/>
    <w:rsid w:val="006E1155"/>
    <w:rsid w:val="006E133E"/>
    <w:rsid w:val="006E140E"/>
    <w:rsid w:val="006E1764"/>
    <w:rsid w:val="006E179D"/>
    <w:rsid w:val="006E184E"/>
    <w:rsid w:val="006E18E5"/>
    <w:rsid w:val="006E19C0"/>
    <w:rsid w:val="006E19D6"/>
    <w:rsid w:val="006E1DAD"/>
    <w:rsid w:val="006E1DC2"/>
    <w:rsid w:val="006E2283"/>
    <w:rsid w:val="006E25C7"/>
    <w:rsid w:val="006E27AA"/>
    <w:rsid w:val="006E2A3A"/>
    <w:rsid w:val="006E2B4C"/>
    <w:rsid w:val="006E2DD7"/>
    <w:rsid w:val="006E2DD9"/>
    <w:rsid w:val="006E2F6B"/>
    <w:rsid w:val="006E2F96"/>
    <w:rsid w:val="006E3208"/>
    <w:rsid w:val="006E3209"/>
    <w:rsid w:val="006E350D"/>
    <w:rsid w:val="006E3525"/>
    <w:rsid w:val="006E361C"/>
    <w:rsid w:val="006E364D"/>
    <w:rsid w:val="006E3692"/>
    <w:rsid w:val="006E3711"/>
    <w:rsid w:val="006E37DD"/>
    <w:rsid w:val="006E37ED"/>
    <w:rsid w:val="006E38B8"/>
    <w:rsid w:val="006E3A10"/>
    <w:rsid w:val="006E3AB7"/>
    <w:rsid w:val="006E3B78"/>
    <w:rsid w:val="006E3BEC"/>
    <w:rsid w:val="006E3C02"/>
    <w:rsid w:val="006E3C3F"/>
    <w:rsid w:val="006E3E82"/>
    <w:rsid w:val="006E3E98"/>
    <w:rsid w:val="006E40EE"/>
    <w:rsid w:val="006E415B"/>
    <w:rsid w:val="006E41FD"/>
    <w:rsid w:val="006E4239"/>
    <w:rsid w:val="006E4291"/>
    <w:rsid w:val="006E4448"/>
    <w:rsid w:val="006E463C"/>
    <w:rsid w:val="006E4812"/>
    <w:rsid w:val="006E4BD3"/>
    <w:rsid w:val="006E4D65"/>
    <w:rsid w:val="006E5099"/>
    <w:rsid w:val="006E511E"/>
    <w:rsid w:val="006E51AB"/>
    <w:rsid w:val="006E545B"/>
    <w:rsid w:val="006E54F9"/>
    <w:rsid w:val="006E57CA"/>
    <w:rsid w:val="006E57FD"/>
    <w:rsid w:val="006E5832"/>
    <w:rsid w:val="006E584B"/>
    <w:rsid w:val="006E58E1"/>
    <w:rsid w:val="006E5B1E"/>
    <w:rsid w:val="006E5B3F"/>
    <w:rsid w:val="006E5C1D"/>
    <w:rsid w:val="006E5C5A"/>
    <w:rsid w:val="006E5D29"/>
    <w:rsid w:val="006E5D6B"/>
    <w:rsid w:val="006E5E45"/>
    <w:rsid w:val="006E5E6A"/>
    <w:rsid w:val="006E5FC0"/>
    <w:rsid w:val="006E5FCA"/>
    <w:rsid w:val="006E60E7"/>
    <w:rsid w:val="006E6248"/>
    <w:rsid w:val="006E638D"/>
    <w:rsid w:val="006E64CC"/>
    <w:rsid w:val="006E6697"/>
    <w:rsid w:val="006E6898"/>
    <w:rsid w:val="006E6FFE"/>
    <w:rsid w:val="006E7250"/>
    <w:rsid w:val="006E7328"/>
    <w:rsid w:val="006E73AB"/>
    <w:rsid w:val="006E750C"/>
    <w:rsid w:val="006E767E"/>
    <w:rsid w:val="006E7723"/>
    <w:rsid w:val="006E77C1"/>
    <w:rsid w:val="006E7C7F"/>
    <w:rsid w:val="006E7C93"/>
    <w:rsid w:val="006E7D98"/>
    <w:rsid w:val="006E7EF5"/>
    <w:rsid w:val="006E7EFB"/>
    <w:rsid w:val="006F0246"/>
    <w:rsid w:val="006F02A6"/>
    <w:rsid w:val="006F0348"/>
    <w:rsid w:val="006F0369"/>
    <w:rsid w:val="006F039A"/>
    <w:rsid w:val="006F0449"/>
    <w:rsid w:val="006F0507"/>
    <w:rsid w:val="006F0573"/>
    <w:rsid w:val="006F06B5"/>
    <w:rsid w:val="006F0780"/>
    <w:rsid w:val="006F07F1"/>
    <w:rsid w:val="006F0AAB"/>
    <w:rsid w:val="006F0B1A"/>
    <w:rsid w:val="006F0BAF"/>
    <w:rsid w:val="006F0D32"/>
    <w:rsid w:val="006F0EED"/>
    <w:rsid w:val="006F13D0"/>
    <w:rsid w:val="006F156D"/>
    <w:rsid w:val="006F162E"/>
    <w:rsid w:val="006F162F"/>
    <w:rsid w:val="006F1688"/>
    <w:rsid w:val="006F1727"/>
    <w:rsid w:val="006F17FA"/>
    <w:rsid w:val="006F188F"/>
    <w:rsid w:val="006F18E9"/>
    <w:rsid w:val="006F18F9"/>
    <w:rsid w:val="006F19A8"/>
    <w:rsid w:val="006F19E1"/>
    <w:rsid w:val="006F1ACE"/>
    <w:rsid w:val="006F1AE2"/>
    <w:rsid w:val="006F1C2F"/>
    <w:rsid w:val="006F1CC2"/>
    <w:rsid w:val="006F1F6D"/>
    <w:rsid w:val="006F1F97"/>
    <w:rsid w:val="006F23B4"/>
    <w:rsid w:val="006F25C4"/>
    <w:rsid w:val="006F26FF"/>
    <w:rsid w:val="006F2C00"/>
    <w:rsid w:val="006F2CA4"/>
    <w:rsid w:val="006F2E38"/>
    <w:rsid w:val="006F2FD4"/>
    <w:rsid w:val="006F307D"/>
    <w:rsid w:val="006F3091"/>
    <w:rsid w:val="006F30C5"/>
    <w:rsid w:val="006F3116"/>
    <w:rsid w:val="006F316D"/>
    <w:rsid w:val="006F35C5"/>
    <w:rsid w:val="006F36C7"/>
    <w:rsid w:val="006F3706"/>
    <w:rsid w:val="006F3866"/>
    <w:rsid w:val="006F3915"/>
    <w:rsid w:val="006F3997"/>
    <w:rsid w:val="006F3A9C"/>
    <w:rsid w:val="006F3D78"/>
    <w:rsid w:val="006F3DFF"/>
    <w:rsid w:val="006F3EE8"/>
    <w:rsid w:val="006F3F34"/>
    <w:rsid w:val="006F3F41"/>
    <w:rsid w:val="006F41A0"/>
    <w:rsid w:val="006F4218"/>
    <w:rsid w:val="006F421D"/>
    <w:rsid w:val="006F45E6"/>
    <w:rsid w:val="006F4994"/>
    <w:rsid w:val="006F4A29"/>
    <w:rsid w:val="006F4AAE"/>
    <w:rsid w:val="006F4B85"/>
    <w:rsid w:val="006F4C0C"/>
    <w:rsid w:val="006F4C2D"/>
    <w:rsid w:val="006F4C2E"/>
    <w:rsid w:val="006F4D49"/>
    <w:rsid w:val="006F5006"/>
    <w:rsid w:val="006F5043"/>
    <w:rsid w:val="006F50B3"/>
    <w:rsid w:val="006F50CB"/>
    <w:rsid w:val="006F5175"/>
    <w:rsid w:val="006F51A9"/>
    <w:rsid w:val="006F51B5"/>
    <w:rsid w:val="006F51D2"/>
    <w:rsid w:val="006F5217"/>
    <w:rsid w:val="006F5247"/>
    <w:rsid w:val="006F5294"/>
    <w:rsid w:val="006F53B2"/>
    <w:rsid w:val="006F5636"/>
    <w:rsid w:val="006F5C0D"/>
    <w:rsid w:val="006F5C8A"/>
    <w:rsid w:val="006F5DB6"/>
    <w:rsid w:val="006F5DDD"/>
    <w:rsid w:val="006F5F54"/>
    <w:rsid w:val="006F5F57"/>
    <w:rsid w:val="006F5FB1"/>
    <w:rsid w:val="006F6027"/>
    <w:rsid w:val="006F61F6"/>
    <w:rsid w:val="006F6207"/>
    <w:rsid w:val="006F62CA"/>
    <w:rsid w:val="006F62DA"/>
    <w:rsid w:val="006F655E"/>
    <w:rsid w:val="006F6575"/>
    <w:rsid w:val="006F663D"/>
    <w:rsid w:val="006F6922"/>
    <w:rsid w:val="006F6B04"/>
    <w:rsid w:val="006F6C2E"/>
    <w:rsid w:val="006F6CD2"/>
    <w:rsid w:val="006F6D10"/>
    <w:rsid w:val="006F6E37"/>
    <w:rsid w:val="006F7275"/>
    <w:rsid w:val="006F72E0"/>
    <w:rsid w:val="006F7369"/>
    <w:rsid w:val="006F7517"/>
    <w:rsid w:val="006F7770"/>
    <w:rsid w:val="006F77AC"/>
    <w:rsid w:val="006F7853"/>
    <w:rsid w:val="006F793C"/>
    <w:rsid w:val="006F7B64"/>
    <w:rsid w:val="006F7CC4"/>
    <w:rsid w:val="006F7E21"/>
    <w:rsid w:val="007000AA"/>
    <w:rsid w:val="007000E8"/>
    <w:rsid w:val="00700218"/>
    <w:rsid w:val="0070029B"/>
    <w:rsid w:val="0070030A"/>
    <w:rsid w:val="007005C2"/>
    <w:rsid w:val="007005EF"/>
    <w:rsid w:val="0070075A"/>
    <w:rsid w:val="00700B00"/>
    <w:rsid w:val="00700B76"/>
    <w:rsid w:val="00700BD4"/>
    <w:rsid w:val="00700F15"/>
    <w:rsid w:val="00700F28"/>
    <w:rsid w:val="00700FB0"/>
    <w:rsid w:val="00701058"/>
    <w:rsid w:val="007010AD"/>
    <w:rsid w:val="0070114C"/>
    <w:rsid w:val="00701472"/>
    <w:rsid w:val="007014C0"/>
    <w:rsid w:val="007014E0"/>
    <w:rsid w:val="00701548"/>
    <w:rsid w:val="0070160B"/>
    <w:rsid w:val="007016F4"/>
    <w:rsid w:val="0070173A"/>
    <w:rsid w:val="007017CD"/>
    <w:rsid w:val="00701896"/>
    <w:rsid w:val="00701F01"/>
    <w:rsid w:val="007021A1"/>
    <w:rsid w:val="00702313"/>
    <w:rsid w:val="0070244E"/>
    <w:rsid w:val="007024BF"/>
    <w:rsid w:val="0070250E"/>
    <w:rsid w:val="00702605"/>
    <w:rsid w:val="00702AA4"/>
    <w:rsid w:val="00702D36"/>
    <w:rsid w:val="00702EBF"/>
    <w:rsid w:val="00702EE2"/>
    <w:rsid w:val="00702F79"/>
    <w:rsid w:val="00703118"/>
    <w:rsid w:val="0070318B"/>
    <w:rsid w:val="00703684"/>
    <w:rsid w:val="00703791"/>
    <w:rsid w:val="007039CA"/>
    <w:rsid w:val="00703B3E"/>
    <w:rsid w:val="00703CDC"/>
    <w:rsid w:val="00703F11"/>
    <w:rsid w:val="00704159"/>
    <w:rsid w:val="0070418A"/>
    <w:rsid w:val="007041CD"/>
    <w:rsid w:val="00704627"/>
    <w:rsid w:val="007046CF"/>
    <w:rsid w:val="0070470D"/>
    <w:rsid w:val="007048F2"/>
    <w:rsid w:val="007048F6"/>
    <w:rsid w:val="00704998"/>
    <w:rsid w:val="00704A10"/>
    <w:rsid w:val="00704B9B"/>
    <w:rsid w:val="00704BAE"/>
    <w:rsid w:val="00704BB9"/>
    <w:rsid w:val="00704C45"/>
    <w:rsid w:val="00704CC1"/>
    <w:rsid w:val="00704D20"/>
    <w:rsid w:val="007050CE"/>
    <w:rsid w:val="00705127"/>
    <w:rsid w:val="007053C5"/>
    <w:rsid w:val="00705593"/>
    <w:rsid w:val="007055E4"/>
    <w:rsid w:val="007055E7"/>
    <w:rsid w:val="0070565E"/>
    <w:rsid w:val="007056F5"/>
    <w:rsid w:val="0070595A"/>
    <w:rsid w:val="00705B34"/>
    <w:rsid w:val="00705BBC"/>
    <w:rsid w:val="00705C05"/>
    <w:rsid w:val="00705CC1"/>
    <w:rsid w:val="00705E30"/>
    <w:rsid w:val="00705E48"/>
    <w:rsid w:val="00705FEC"/>
    <w:rsid w:val="0070603F"/>
    <w:rsid w:val="0070610E"/>
    <w:rsid w:val="0070625A"/>
    <w:rsid w:val="00706327"/>
    <w:rsid w:val="0070640E"/>
    <w:rsid w:val="007064B5"/>
    <w:rsid w:val="007065AC"/>
    <w:rsid w:val="00706827"/>
    <w:rsid w:val="0070691F"/>
    <w:rsid w:val="00706936"/>
    <w:rsid w:val="0070695C"/>
    <w:rsid w:val="0070697D"/>
    <w:rsid w:val="00706CEA"/>
    <w:rsid w:val="0070722B"/>
    <w:rsid w:val="00707452"/>
    <w:rsid w:val="00707538"/>
    <w:rsid w:val="0070775E"/>
    <w:rsid w:val="00707795"/>
    <w:rsid w:val="007079B4"/>
    <w:rsid w:val="00707C07"/>
    <w:rsid w:val="00707D13"/>
    <w:rsid w:val="00707DC0"/>
    <w:rsid w:val="00707E03"/>
    <w:rsid w:val="00707E35"/>
    <w:rsid w:val="00707E4C"/>
    <w:rsid w:val="00707EAB"/>
    <w:rsid w:val="0071013F"/>
    <w:rsid w:val="007104B4"/>
    <w:rsid w:val="007105D4"/>
    <w:rsid w:val="00710746"/>
    <w:rsid w:val="007107D6"/>
    <w:rsid w:val="007108BE"/>
    <w:rsid w:val="007108FA"/>
    <w:rsid w:val="00710911"/>
    <w:rsid w:val="00710923"/>
    <w:rsid w:val="00710AD2"/>
    <w:rsid w:val="00710CFC"/>
    <w:rsid w:val="00710EFC"/>
    <w:rsid w:val="00710F14"/>
    <w:rsid w:val="00710F92"/>
    <w:rsid w:val="00710FAA"/>
    <w:rsid w:val="0071102F"/>
    <w:rsid w:val="007111BC"/>
    <w:rsid w:val="00711272"/>
    <w:rsid w:val="0071127B"/>
    <w:rsid w:val="007113EC"/>
    <w:rsid w:val="007114BD"/>
    <w:rsid w:val="00711510"/>
    <w:rsid w:val="00711535"/>
    <w:rsid w:val="007117A8"/>
    <w:rsid w:val="007118A4"/>
    <w:rsid w:val="007118FA"/>
    <w:rsid w:val="00711934"/>
    <w:rsid w:val="00711967"/>
    <w:rsid w:val="00711A0C"/>
    <w:rsid w:val="00711A1E"/>
    <w:rsid w:val="00711A57"/>
    <w:rsid w:val="00711A8C"/>
    <w:rsid w:val="00711B5A"/>
    <w:rsid w:val="00711B7A"/>
    <w:rsid w:val="00711B98"/>
    <w:rsid w:val="00711BFB"/>
    <w:rsid w:val="00711CE4"/>
    <w:rsid w:val="00711F8C"/>
    <w:rsid w:val="00711F8D"/>
    <w:rsid w:val="00712081"/>
    <w:rsid w:val="007121AC"/>
    <w:rsid w:val="007123C4"/>
    <w:rsid w:val="00712490"/>
    <w:rsid w:val="007124C6"/>
    <w:rsid w:val="00712550"/>
    <w:rsid w:val="007125B0"/>
    <w:rsid w:val="0071262D"/>
    <w:rsid w:val="00712633"/>
    <w:rsid w:val="007126FB"/>
    <w:rsid w:val="00712816"/>
    <w:rsid w:val="00712931"/>
    <w:rsid w:val="00712997"/>
    <w:rsid w:val="007129B6"/>
    <w:rsid w:val="007129D5"/>
    <w:rsid w:val="00712A55"/>
    <w:rsid w:val="00712C89"/>
    <w:rsid w:val="00712D5E"/>
    <w:rsid w:val="00713179"/>
    <w:rsid w:val="007135BD"/>
    <w:rsid w:val="007136EA"/>
    <w:rsid w:val="0071381D"/>
    <w:rsid w:val="007138BC"/>
    <w:rsid w:val="00713A4B"/>
    <w:rsid w:val="00713AA8"/>
    <w:rsid w:val="00713B33"/>
    <w:rsid w:val="00713DB0"/>
    <w:rsid w:val="00713E12"/>
    <w:rsid w:val="007141B9"/>
    <w:rsid w:val="007141EE"/>
    <w:rsid w:val="0071442E"/>
    <w:rsid w:val="00714661"/>
    <w:rsid w:val="00714682"/>
    <w:rsid w:val="00714AE4"/>
    <w:rsid w:val="00714C1B"/>
    <w:rsid w:val="00714D39"/>
    <w:rsid w:val="00714EF0"/>
    <w:rsid w:val="00714F2B"/>
    <w:rsid w:val="00714F8A"/>
    <w:rsid w:val="007150E7"/>
    <w:rsid w:val="007151FF"/>
    <w:rsid w:val="00715323"/>
    <w:rsid w:val="00715373"/>
    <w:rsid w:val="007153AA"/>
    <w:rsid w:val="00715450"/>
    <w:rsid w:val="00715512"/>
    <w:rsid w:val="00715629"/>
    <w:rsid w:val="00715EAF"/>
    <w:rsid w:val="00715F04"/>
    <w:rsid w:val="00716296"/>
    <w:rsid w:val="007165EE"/>
    <w:rsid w:val="0071660B"/>
    <w:rsid w:val="00716695"/>
    <w:rsid w:val="007167F7"/>
    <w:rsid w:val="007167F9"/>
    <w:rsid w:val="00716986"/>
    <w:rsid w:val="007169C5"/>
    <w:rsid w:val="007169FF"/>
    <w:rsid w:val="00716C41"/>
    <w:rsid w:val="00716E08"/>
    <w:rsid w:val="007173E4"/>
    <w:rsid w:val="00717651"/>
    <w:rsid w:val="007177EC"/>
    <w:rsid w:val="007178A9"/>
    <w:rsid w:val="0071795D"/>
    <w:rsid w:val="00717B12"/>
    <w:rsid w:val="00717D49"/>
    <w:rsid w:val="00717E36"/>
    <w:rsid w:val="00717FAC"/>
    <w:rsid w:val="00720018"/>
    <w:rsid w:val="007200FD"/>
    <w:rsid w:val="00720140"/>
    <w:rsid w:val="007201D6"/>
    <w:rsid w:val="00720264"/>
    <w:rsid w:val="00720269"/>
    <w:rsid w:val="00720637"/>
    <w:rsid w:val="0072090A"/>
    <w:rsid w:val="00720AB6"/>
    <w:rsid w:val="00720D7D"/>
    <w:rsid w:val="00720E5D"/>
    <w:rsid w:val="00721162"/>
    <w:rsid w:val="00721265"/>
    <w:rsid w:val="0072145A"/>
    <w:rsid w:val="007215F7"/>
    <w:rsid w:val="00721653"/>
    <w:rsid w:val="00721931"/>
    <w:rsid w:val="0072197E"/>
    <w:rsid w:val="00721BE4"/>
    <w:rsid w:val="00721DD4"/>
    <w:rsid w:val="00721E2E"/>
    <w:rsid w:val="00722132"/>
    <w:rsid w:val="0072224D"/>
    <w:rsid w:val="0072226C"/>
    <w:rsid w:val="0072235E"/>
    <w:rsid w:val="007223A3"/>
    <w:rsid w:val="007223B3"/>
    <w:rsid w:val="00722413"/>
    <w:rsid w:val="007224F2"/>
    <w:rsid w:val="00722574"/>
    <w:rsid w:val="00722589"/>
    <w:rsid w:val="00722697"/>
    <w:rsid w:val="00722707"/>
    <w:rsid w:val="007227B4"/>
    <w:rsid w:val="00722807"/>
    <w:rsid w:val="00722928"/>
    <w:rsid w:val="00722955"/>
    <w:rsid w:val="00722B8A"/>
    <w:rsid w:val="00722C75"/>
    <w:rsid w:val="00722CCD"/>
    <w:rsid w:val="00722CF0"/>
    <w:rsid w:val="00722ED8"/>
    <w:rsid w:val="00723159"/>
    <w:rsid w:val="0072328E"/>
    <w:rsid w:val="0072334E"/>
    <w:rsid w:val="007234C1"/>
    <w:rsid w:val="00723533"/>
    <w:rsid w:val="00723629"/>
    <w:rsid w:val="00723819"/>
    <w:rsid w:val="00723905"/>
    <w:rsid w:val="007239BA"/>
    <w:rsid w:val="007239D5"/>
    <w:rsid w:val="00723AC3"/>
    <w:rsid w:val="00723B6C"/>
    <w:rsid w:val="00723CC9"/>
    <w:rsid w:val="00723D39"/>
    <w:rsid w:val="00723D7B"/>
    <w:rsid w:val="00723D85"/>
    <w:rsid w:val="007240AF"/>
    <w:rsid w:val="00724172"/>
    <w:rsid w:val="00724188"/>
    <w:rsid w:val="007241AD"/>
    <w:rsid w:val="007246BE"/>
    <w:rsid w:val="0072473B"/>
    <w:rsid w:val="00724924"/>
    <w:rsid w:val="00724D2A"/>
    <w:rsid w:val="00724E90"/>
    <w:rsid w:val="00725130"/>
    <w:rsid w:val="007252D8"/>
    <w:rsid w:val="00725534"/>
    <w:rsid w:val="007255C5"/>
    <w:rsid w:val="00725610"/>
    <w:rsid w:val="0072565D"/>
    <w:rsid w:val="00725683"/>
    <w:rsid w:val="00725719"/>
    <w:rsid w:val="00725836"/>
    <w:rsid w:val="00725AF0"/>
    <w:rsid w:val="00725C06"/>
    <w:rsid w:val="00725E5E"/>
    <w:rsid w:val="00725FE7"/>
    <w:rsid w:val="0072600B"/>
    <w:rsid w:val="0072630F"/>
    <w:rsid w:val="00726466"/>
    <w:rsid w:val="00726619"/>
    <w:rsid w:val="00726699"/>
    <w:rsid w:val="007266D1"/>
    <w:rsid w:val="0072678B"/>
    <w:rsid w:val="007267DF"/>
    <w:rsid w:val="00726826"/>
    <w:rsid w:val="007268FD"/>
    <w:rsid w:val="00726AED"/>
    <w:rsid w:val="00726B0D"/>
    <w:rsid w:val="00726BBA"/>
    <w:rsid w:val="00726CDA"/>
    <w:rsid w:val="00726D45"/>
    <w:rsid w:val="00726E58"/>
    <w:rsid w:val="00726FC7"/>
    <w:rsid w:val="007270B4"/>
    <w:rsid w:val="0072717B"/>
    <w:rsid w:val="007271F3"/>
    <w:rsid w:val="0072724F"/>
    <w:rsid w:val="007272F8"/>
    <w:rsid w:val="0072745A"/>
    <w:rsid w:val="00727486"/>
    <w:rsid w:val="007275C2"/>
    <w:rsid w:val="007275E2"/>
    <w:rsid w:val="00727624"/>
    <w:rsid w:val="0072783C"/>
    <w:rsid w:val="00727969"/>
    <w:rsid w:val="007279B8"/>
    <w:rsid w:val="007279D8"/>
    <w:rsid w:val="00727C6E"/>
    <w:rsid w:val="00727C80"/>
    <w:rsid w:val="00727D71"/>
    <w:rsid w:val="00727E03"/>
    <w:rsid w:val="007303DA"/>
    <w:rsid w:val="007303FF"/>
    <w:rsid w:val="007304CB"/>
    <w:rsid w:val="00730728"/>
    <w:rsid w:val="007307B1"/>
    <w:rsid w:val="007309D9"/>
    <w:rsid w:val="00730A14"/>
    <w:rsid w:val="00730DA2"/>
    <w:rsid w:val="00730DD2"/>
    <w:rsid w:val="00730DF8"/>
    <w:rsid w:val="00730E4F"/>
    <w:rsid w:val="00730F7D"/>
    <w:rsid w:val="00731155"/>
    <w:rsid w:val="0073118C"/>
    <w:rsid w:val="007312B7"/>
    <w:rsid w:val="007312DA"/>
    <w:rsid w:val="007312F4"/>
    <w:rsid w:val="00731395"/>
    <w:rsid w:val="007313BB"/>
    <w:rsid w:val="007315D4"/>
    <w:rsid w:val="00731745"/>
    <w:rsid w:val="007318F9"/>
    <w:rsid w:val="00731A44"/>
    <w:rsid w:val="00731E90"/>
    <w:rsid w:val="00731EB3"/>
    <w:rsid w:val="00732204"/>
    <w:rsid w:val="007322AF"/>
    <w:rsid w:val="007322C5"/>
    <w:rsid w:val="007324E8"/>
    <w:rsid w:val="0073273E"/>
    <w:rsid w:val="00732840"/>
    <w:rsid w:val="007329AF"/>
    <w:rsid w:val="00732ACD"/>
    <w:rsid w:val="00732C4F"/>
    <w:rsid w:val="00732DA1"/>
    <w:rsid w:val="00732F58"/>
    <w:rsid w:val="007330A4"/>
    <w:rsid w:val="007330EF"/>
    <w:rsid w:val="00733157"/>
    <w:rsid w:val="0073335C"/>
    <w:rsid w:val="007334C9"/>
    <w:rsid w:val="00733517"/>
    <w:rsid w:val="0073365F"/>
    <w:rsid w:val="00733682"/>
    <w:rsid w:val="007337E0"/>
    <w:rsid w:val="00733943"/>
    <w:rsid w:val="00733A50"/>
    <w:rsid w:val="00733BE5"/>
    <w:rsid w:val="00733CF6"/>
    <w:rsid w:val="00733D17"/>
    <w:rsid w:val="00733F18"/>
    <w:rsid w:val="00733FA4"/>
    <w:rsid w:val="007340C4"/>
    <w:rsid w:val="0073419B"/>
    <w:rsid w:val="0073424D"/>
    <w:rsid w:val="0073439F"/>
    <w:rsid w:val="007343CA"/>
    <w:rsid w:val="00734446"/>
    <w:rsid w:val="007346F6"/>
    <w:rsid w:val="0073472C"/>
    <w:rsid w:val="00734982"/>
    <w:rsid w:val="00734B59"/>
    <w:rsid w:val="00734C4B"/>
    <w:rsid w:val="00734C6A"/>
    <w:rsid w:val="00734CE8"/>
    <w:rsid w:val="00734CF3"/>
    <w:rsid w:val="00734D3E"/>
    <w:rsid w:val="00734DE6"/>
    <w:rsid w:val="00734E09"/>
    <w:rsid w:val="00734F33"/>
    <w:rsid w:val="00734F9A"/>
    <w:rsid w:val="0073505B"/>
    <w:rsid w:val="007351B1"/>
    <w:rsid w:val="00735994"/>
    <w:rsid w:val="00735A10"/>
    <w:rsid w:val="00735B71"/>
    <w:rsid w:val="00735C5E"/>
    <w:rsid w:val="00735D10"/>
    <w:rsid w:val="00735D85"/>
    <w:rsid w:val="00735E14"/>
    <w:rsid w:val="00735F2D"/>
    <w:rsid w:val="00735FCD"/>
    <w:rsid w:val="00736023"/>
    <w:rsid w:val="0073624C"/>
    <w:rsid w:val="007363B2"/>
    <w:rsid w:val="0073651F"/>
    <w:rsid w:val="0073659A"/>
    <w:rsid w:val="00736713"/>
    <w:rsid w:val="007368D5"/>
    <w:rsid w:val="00736951"/>
    <w:rsid w:val="00736B6C"/>
    <w:rsid w:val="00736C0B"/>
    <w:rsid w:val="00736D97"/>
    <w:rsid w:val="00736EF3"/>
    <w:rsid w:val="00736F98"/>
    <w:rsid w:val="00737008"/>
    <w:rsid w:val="007370F9"/>
    <w:rsid w:val="007371C8"/>
    <w:rsid w:val="007373CA"/>
    <w:rsid w:val="00737451"/>
    <w:rsid w:val="00737598"/>
    <w:rsid w:val="00737611"/>
    <w:rsid w:val="0073763E"/>
    <w:rsid w:val="007377FB"/>
    <w:rsid w:val="00737ADB"/>
    <w:rsid w:val="00737EAA"/>
    <w:rsid w:val="00737EAF"/>
    <w:rsid w:val="00737F8A"/>
    <w:rsid w:val="0074005C"/>
    <w:rsid w:val="007401D6"/>
    <w:rsid w:val="00740344"/>
    <w:rsid w:val="007403CF"/>
    <w:rsid w:val="007404A5"/>
    <w:rsid w:val="00740565"/>
    <w:rsid w:val="007405CD"/>
    <w:rsid w:val="00740675"/>
    <w:rsid w:val="00740715"/>
    <w:rsid w:val="007408AF"/>
    <w:rsid w:val="00740918"/>
    <w:rsid w:val="00740A01"/>
    <w:rsid w:val="00740AE5"/>
    <w:rsid w:val="00740B19"/>
    <w:rsid w:val="00740FB9"/>
    <w:rsid w:val="00741013"/>
    <w:rsid w:val="007411FC"/>
    <w:rsid w:val="00741411"/>
    <w:rsid w:val="00741455"/>
    <w:rsid w:val="0074152B"/>
    <w:rsid w:val="00741616"/>
    <w:rsid w:val="00741625"/>
    <w:rsid w:val="00741650"/>
    <w:rsid w:val="007416FD"/>
    <w:rsid w:val="0074174B"/>
    <w:rsid w:val="00741777"/>
    <w:rsid w:val="007417A5"/>
    <w:rsid w:val="00741874"/>
    <w:rsid w:val="007419C3"/>
    <w:rsid w:val="007419CC"/>
    <w:rsid w:val="00741A54"/>
    <w:rsid w:val="00741B46"/>
    <w:rsid w:val="00741DC2"/>
    <w:rsid w:val="00741E03"/>
    <w:rsid w:val="00741F0F"/>
    <w:rsid w:val="00742020"/>
    <w:rsid w:val="007420FD"/>
    <w:rsid w:val="007421D3"/>
    <w:rsid w:val="0074229F"/>
    <w:rsid w:val="00742390"/>
    <w:rsid w:val="00742427"/>
    <w:rsid w:val="00742760"/>
    <w:rsid w:val="0074277A"/>
    <w:rsid w:val="007427BA"/>
    <w:rsid w:val="0074284D"/>
    <w:rsid w:val="0074290C"/>
    <w:rsid w:val="00742C13"/>
    <w:rsid w:val="00742C8A"/>
    <w:rsid w:val="00742CE5"/>
    <w:rsid w:val="00742D63"/>
    <w:rsid w:val="00742DB8"/>
    <w:rsid w:val="00742E9B"/>
    <w:rsid w:val="00742F79"/>
    <w:rsid w:val="007431FD"/>
    <w:rsid w:val="00743320"/>
    <w:rsid w:val="00743331"/>
    <w:rsid w:val="0074334B"/>
    <w:rsid w:val="0074353F"/>
    <w:rsid w:val="0074361F"/>
    <w:rsid w:val="007437BA"/>
    <w:rsid w:val="00743844"/>
    <w:rsid w:val="007438B5"/>
    <w:rsid w:val="007438BA"/>
    <w:rsid w:val="007439DD"/>
    <w:rsid w:val="00743D27"/>
    <w:rsid w:val="00743E33"/>
    <w:rsid w:val="00743F07"/>
    <w:rsid w:val="00744047"/>
    <w:rsid w:val="0074405E"/>
    <w:rsid w:val="007440AE"/>
    <w:rsid w:val="00744128"/>
    <w:rsid w:val="007441EC"/>
    <w:rsid w:val="00744302"/>
    <w:rsid w:val="00744413"/>
    <w:rsid w:val="00744446"/>
    <w:rsid w:val="00744648"/>
    <w:rsid w:val="00744701"/>
    <w:rsid w:val="00744770"/>
    <w:rsid w:val="00744A19"/>
    <w:rsid w:val="00744A43"/>
    <w:rsid w:val="00744B54"/>
    <w:rsid w:val="00744B86"/>
    <w:rsid w:val="00744C2E"/>
    <w:rsid w:val="00744DB9"/>
    <w:rsid w:val="00744E4D"/>
    <w:rsid w:val="00744ED9"/>
    <w:rsid w:val="0074505A"/>
    <w:rsid w:val="00745115"/>
    <w:rsid w:val="007451BC"/>
    <w:rsid w:val="00745413"/>
    <w:rsid w:val="0074550F"/>
    <w:rsid w:val="00745529"/>
    <w:rsid w:val="0074559D"/>
    <w:rsid w:val="007459C1"/>
    <w:rsid w:val="00745A13"/>
    <w:rsid w:val="00745A20"/>
    <w:rsid w:val="00745AC3"/>
    <w:rsid w:val="00745BCA"/>
    <w:rsid w:val="00745DD1"/>
    <w:rsid w:val="00745F2C"/>
    <w:rsid w:val="007461BB"/>
    <w:rsid w:val="007462C8"/>
    <w:rsid w:val="007462EB"/>
    <w:rsid w:val="007462F4"/>
    <w:rsid w:val="00746325"/>
    <w:rsid w:val="0074635C"/>
    <w:rsid w:val="007463D1"/>
    <w:rsid w:val="00746490"/>
    <w:rsid w:val="00746606"/>
    <w:rsid w:val="0074683F"/>
    <w:rsid w:val="00746857"/>
    <w:rsid w:val="00746883"/>
    <w:rsid w:val="00746889"/>
    <w:rsid w:val="0074690B"/>
    <w:rsid w:val="00746988"/>
    <w:rsid w:val="007469E2"/>
    <w:rsid w:val="00746CD0"/>
    <w:rsid w:val="00746E36"/>
    <w:rsid w:val="00746F0F"/>
    <w:rsid w:val="007470A8"/>
    <w:rsid w:val="007472F4"/>
    <w:rsid w:val="00747529"/>
    <w:rsid w:val="007475C7"/>
    <w:rsid w:val="007475E4"/>
    <w:rsid w:val="007476F3"/>
    <w:rsid w:val="00747A4D"/>
    <w:rsid w:val="00747A4F"/>
    <w:rsid w:val="00747AE2"/>
    <w:rsid w:val="00747B43"/>
    <w:rsid w:val="00747C30"/>
    <w:rsid w:val="00747D26"/>
    <w:rsid w:val="00747D9B"/>
    <w:rsid w:val="00747F38"/>
    <w:rsid w:val="0075011A"/>
    <w:rsid w:val="007502BD"/>
    <w:rsid w:val="00750308"/>
    <w:rsid w:val="00750444"/>
    <w:rsid w:val="007504DF"/>
    <w:rsid w:val="0075058C"/>
    <w:rsid w:val="0075070B"/>
    <w:rsid w:val="007508E0"/>
    <w:rsid w:val="007509D1"/>
    <w:rsid w:val="007509F0"/>
    <w:rsid w:val="00750A10"/>
    <w:rsid w:val="00750B43"/>
    <w:rsid w:val="00750B63"/>
    <w:rsid w:val="00750CB5"/>
    <w:rsid w:val="00750D8B"/>
    <w:rsid w:val="00750DEC"/>
    <w:rsid w:val="00750EC2"/>
    <w:rsid w:val="00750F5E"/>
    <w:rsid w:val="00750F8C"/>
    <w:rsid w:val="0075110F"/>
    <w:rsid w:val="00751161"/>
    <w:rsid w:val="007512FF"/>
    <w:rsid w:val="007515EE"/>
    <w:rsid w:val="00751675"/>
    <w:rsid w:val="00751774"/>
    <w:rsid w:val="007517AE"/>
    <w:rsid w:val="00751AAD"/>
    <w:rsid w:val="00751C96"/>
    <w:rsid w:val="00751D36"/>
    <w:rsid w:val="00751F8D"/>
    <w:rsid w:val="00751FE3"/>
    <w:rsid w:val="0075213C"/>
    <w:rsid w:val="007521A1"/>
    <w:rsid w:val="00752349"/>
    <w:rsid w:val="00752430"/>
    <w:rsid w:val="00752438"/>
    <w:rsid w:val="00752743"/>
    <w:rsid w:val="00752854"/>
    <w:rsid w:val="00753118"/>
    <w:rsid w:val="00753220"/>
    <w:rsid w:val="0075323B"/>
    <w:rsid w:val="0075332F"/>
    <w:rsid w:val="0075363C"/>
    <w:rsid w:val="00753747"/>
    <w:rsid w:val="00753748"/>
    <w:rsid w:val="0075376F"/>
    <w:rsid w:val="007537C7"/>
    <w:rsid w:val="007538AB"/>
    <w:rsid w:val="00753905"/>
    <w:rsid w:val="00753C6D"/>
    <w:rsid w:val="00753D45"/>
    <w:rsid w:val="00753E71"/>
    <w:rsid w:val="00754029"/>
    <w:rsid w:val="007541FF"/>
    <w:rsid w:val="00754301"/>
    <w:rsid w:val="007544ED"/>
    <w:rsid w:val="007545BC"/>
    <w:rsid w:val="0075494A"/>
    <w:rsid w:val="00754A6D"/>
    <w:rsid w:val="00754C4E"/>
    <w:rsid w:val="00754DC9"/>
    <w:rsid w:val="00754E6E"/>
    <w:rsid w:val="00754E83"/>
    <w:rsid w:val="00754F6C"/>
    <w:rsid w:val="00755112"/>
    <w:rsid w:val="00755144"/>
    <w:rsid w:val="00755186"/>
    <w:rsid w:val="0075518F"/>
    <w:rsid w:val="0075522B"/>
    <w:rsid w:val="0075526E"/>
    <w:rsid w:val="0075540A"/>
    <w:rsid w:val="00755446"/>
    <w:rsid w:val="00755628"/>
    <w:rsid w:val="00755C11"/>
    <w:rsid w:val="00755C6D"/>
    <w:rsid w:val="007560E6"/>
    <w:rsid w:val="007562F1"/>
    <w:rsid w:val="0075645C"/>
    <w:rsid w:val="007564BD"/>
    <w:rsid w:val="007566A9"/>
    <w:rsid w:val="007566DA"/>
    <w:rsid w:val="00756751"/>
    <w:rsid w:val="00756783"/>
    <w:rsid w:val="007569D7"/>
    <w:rsid w:val="00756AF4"/>
    <w:rsid w:val="00756CBC"/>
    <w:rsid w:val="00756CF4"/>
    <w:rsid w:val="00756D08"/>
    <w:rsid w:val="00756D34"/>
    <w:rsid w:val="00756DEF"/>
    <w:rsid w:val="00756EAF"/>
    <w:rsid w:val="00756EE8"/>
    <w:rsid w:val="00756FB0"/>
    <w:rsid w:val="00757132"/>
    <w:rsid w:val="007571E5"/>
    <w:rsid w:val="00757201"/>
    <w:rsid w:val="00757236"/>
    <w:rsid w:val="007573B9"/>
    <w:rsid w:val="007573CC"/>
    <w:rsid w:val="00757591"/>
    <w:rsid w:val="007576C1"/>
    <w:rsid w:val="00757789"/>
    <w:rsid w:val="00757900"/>
    <w:rsid w:val="0075791A"/>
    <w:rsid w:val="00757A22"/>
    <w:rsid w:val="00757B5A"/>
    <w:rsid w:val="00757D75"/>
    <w:rsid w:val="00757DA7"/>
    <w:rsid w:val="00757F10"/>
    <w:rsid w:val="00757F2D"/>
    <w:rsid w:val="00757F99"/>
    <w:rsid w:val="0076002A"/>
    <w:rsid w:val="0076009B"/>
    <w:rsid w:val="0076012E"/>
    <w:rsid w:val="00760167"/>
    <w:rsid w:val="00760311"/>
    <w:rsid w:val="0076038B"/>
    <w:rsid w:val="00760605"/>
    <w:rsid w:val="00760731"/>
    <w:rsid w:val="007609FD"/>
    <w:rsid w:val="00760ADA"/>
    <w:rsid w:val="00760B79"/>
    <w:rsid w:val="00760BF1"/>
    <w:rsid w:val="00760EC3"/>
    <w:rsid w:val="00760ED3"/>
    <w:rsid w:val="007610E4"/>
    <w:rsid w:val="00761142"/>
    <w:rsid w:val="0076151A"/>
    <w:rsid w:val="007617AD"/>
    <w:rsid w:val="0076184D"/>
    <w:rsid w:val="00761B07"/>
    <w:rsid w:val="00761D1E"/>
    <w:rsid w:val="00761E8F"/>
    <w:rsid w:val="00761FAB"/>
    <w:rsid w:val="00761FED"/>
    <w:rsid w:val="0076213E"/>
    <w:rsid w:val="007621E0"/>
    <w:rsid w:val="00762327"/>
    <w:rsid w:val="007624A8"/>
    <w:rsid w:val="00762618"/>
    <w:rsid w:val="0076267F"/>
    <w:rsid w:val="00762812"/>
    <w:rsid w:val="007628A7"/>
    <w:rsid w:val="007628E4"/>
    <w:rsid w:val="00762C83"/>
    <w:rsid w:val="00762D9E"/>
    <w:rsid w:val="00762EF9"/>
    <w:rsid w:val="00762F53"/>
    <w:rsid w:val="00762F8D"/>
    <w:rsid w:val="0076300E"/>
    <w:rsid w:val="00763021"/>
    <w:rsid w:val="007630C1"/>
    <w:rsid w:val="0076315F"/>
    <w:rsid w:val="0076333B"/>
    <w:rsid w:val="00763391"/>
    <w:rsid w:val="00763607"/>
    <w:rsid w:val="007639BE"/>
    <w:rsid w:val="00763B68"/>
    <w:rsid w:val="00763CFC"/>
    <w:rsid w:val="00763D44"/>
    <w:rsid w:val="00763DFD"/>
    <w:rsid w:val="00763ED6"/>
    <w:rsid w:val="00763F83"/>
    <w:rsid w:val="00764134"/>
    <w:rsid w:val="007642FD"/>
    <w:rsid w:val="00764452"/>
    <w:rsid w:val="007644E9"/>
    <w:rsid w:val="0076458E"/>
    <w:rsid w:val="007645F7"/>
    <w:rsid w:val="007648E0"/>
    <w:rsid w:val="00764A0D"/>
    <w:rsid w:val="00764CA2"/>
    <w:rsid w:val="00764D37"/>
    <w:rsid w:val="00764D67"/>
    <w:rsid w:val="00764FA9"/>
    <w:rsid w:val="007650D9"/>
    <w:rsid w:val="007650F6"/>
    <w:rsid w:val="007651C9"/>
    <w:rsid w:val="0076523E"/>
    <w:rsid w:val="00765304"/>
    <w:rsid w:val="007653D1"/>
    <w:rsid w:val="0076545C"/>
    <w:rsid w:val="00765666"/>
    <w:rsid w:val="0076566A"/>
    <w:rsid w:val="00765753"/>
    <w:rsid w:val="007658D7"/>
    <w:rsid w:val="00765A19"/>
    <w:rsid w:val="00765A40"/>
    <w:rsid w:val="00765AB9"/>
    <w:rsid w:val="00765BCD"/>
    <w:rsid w:val="00765CC7"/>
    <w:rsid w:val="00765DF8"/>
    <w:rsid w:val="00765F88"/>
    <w:rsid w:val="007660A5"/>
    <w:rsid w:val="007660C7"/>
    <w:rsid w:val="007660DC"/>
    <w:rsid w:val="007662B4"/>
    <w:rsid w:val="0076636F"/>
    <w:rsid w:val="007664DD"/>
    <w:rsid w:val="0076668F"/>
    <w:rsid w:val="007666A2"/>
    <w:rsid w:val="007667C3"/>
    <w:rsid w:val="00766886"/>
    <w:rsid w:val="00766966"/>
    <w:rsid w:val="00766970"/>
    <w:rsid w:val="007669A5"/>
    <w:rsid w:val="00766C72"/>
    <w:rsid w:val="00766CF6"/>
    <w:rsid w:val="00766DEF"/>
    <w:rsid w:val="00766FF9"/>
    <w:rsid w:val="00767152"/>
    <w:rsid w:val="007671AD"/>
    <w:rsid w:val="007671DD"/>
    <w:rsid w:val="007671ED"/>
    <w:rsid w:val="0076741B"/>
    <w:rsid w:val="00767575"/>
    <w:rsid w:val="007675EA"/>
    <w:rsid w:val="00767705"/>
    <w:rsid w:val="00767891"/>
    <w:rsid w:val="0076796E"/>
    <w:rsid w:val="00767A6F"/>
    <w:rsid w:val="00767B11"/>
    <w:rsid w:val="00767F5F"/>
    <w:rsid w:val="00767FC0"/>
    <w:rsid w:val="007706D9"/>
    <w:rsid w:val="00770811"/>
    <w:rsid w:val="00770823"/>
    <w:rsid w:val="0077096D"/>
    <w:rsid w:val="00770979"/>
    <w:rsid w:val="007709D0"/>
    <w:rsid w:val="00770DC1"/>
    <w:rsid w:val="00770DE6"/>
    <w:rsid w:val="00770E38"/>
    <w:rsid w:val="00770F5D"/>
    <w:rsid w:val="0077105B"/>
    <w:rsid w:val="00771070"/>
    <w:rsid w:val="00771123"/>
    <w:rsid w:val="00771262"/>
    <w:rsid w:val="00771287"/>
    <w:rsid w:val="0077129A"/>
    <w:rsid w:val="007712AF"/>
    <w:rsid w:val="007717C9"/>
    <w:rsid w:val="007718FE"/>
    <w:rsid w:val="00771934"/>
    <w:rsid w:val="0077193C"/>
    <w:rsid w:val="00771B37"/>
    <w:rsid w:val="00771B4D"/>
    <w:rsid w:val="00771C38"/>
    <w:rsid w:val="00771C5E"/>
    <w:rsid w:val="00771CF1"/>
    <w:rsid w:val="00771DC8"/>
    <w:rsid w:val="00771F19"/>
    <w:rsid w:val="00771FA8"/>
    <w:rsid w:val="007720B6"/>
    <w:rsid w:val="007721F4"/>
    <w:rsid w:val="00772616"/>
    <w:rsid w:val="007726A1"/>
    <w:rsid w:val="007727B2"/>
    <w:rsid w:val="00772892"/>
    <w:rsid w:val="007728E8"/>
    <w:rsid w:val="00772A4F"/>
    <w:rsid w:val="00772AB3"/>
    <w:rsid w:val="00772CFB"/>
    <w:rsid w:val="0077304C"/>
    <w:rsid w:val="007730A4"/>
    <w:rsid w:val="007730DB"/>
    <w:rsid w:val="007731C0"/>
    <w:rsid w:val="0077326D"/>
    <w:rsid w:val="007733E3"/>
    <w:rsid w:val="00773470"/>
    <w:rsid w:val="00773482"/>
    <w:rsid w:val="00773575"/>
    <w:rsid w:val="007735C3"/>
    <w:rsid w:val="00773612"/>
    <w:rsid w:val="00773637"/>
    <w:rsid w:val="0077379F"/>
    <w:rsid w:val="0077394F"/>
    <w:rsid w:val="007739B1"/>
    <w:rsid w:val="00773A7F"/>
    <w:rsid w:val="00773A81"/>
    <w:rsid w:val="00773B8E"/>
    <w:rsid w:val="00773CFB"/>
    <w:rsid w:val="00773D24"/>
    <w:rsid w:val="00773FCE"/>
    <w:rsid w:val="00774153"/>
    <w:rsid w:val="007741AB"/>
    <w:rsid w:val="00774248"/>
    <w:rsid w:val="007744AD"/>
    <w:rsid w:val="007746BC"/>
    <w:rsid w:val="0077472A"/>
    <w:rsid w:val="00774B10"/>
    <w:rsid w:val="00774C3A"/>
    <w:rsid w:val="00774CAB"/>
    <w:rsid w:val="00774CCE"/>
    <w:rsid w:val="00774D13"/>
    <w:rsid w:val="00774F1C"/>
    <w:rsid w:val="0077516F"/>
    <w:rsid w:val="0077523B"/>
    <w:rsid w:val="00775338"/>
    <w:rsid w:val="00775489"/>
    <w:rsid w:val="007754B7"/>
    <w:rsid w:val="007755A1"/>
    <w:rsid w:val="007755F9"/>
    <w:rsid w:val="007756DE"/>
    <w:rsid w:val="0077598C"/>
    <w:rsid w:val="00775D80"/>
    <w:rsid w:val="00775F23"/>
    <w:rsid w:val="007760CF"/>
    <w:rsid w:val="007761A8"/>
    <w:rsid w:val="00776274"/>
    <w:rsid w:val="0077637A"/>
    <w:rsid w:val="00776460"/>
    <w:rsid w:val="007765B3"/>
    <w:rsid w:val="0077662C"/>
    <w:rsid w:val="00776677"/>
    <w:rsid w:val="00776A2C"/>
    <w:rsid w:val="00776E9B"/>
    <w:rsid w:val="00777037"/>
    <w:rsid w:val="00777199"/>
    <w:rsid w:val="007773EB"/>
    <w:rsid w:val="00777587"/>
    <w:rsid w:val="007777C2"/>
    <w:rsid w:val="00777913"/>
    <w:rsid w:val="00777986"/>
    <w:rsid w:val="00777A63"/>
    <w:rsid w:val="00777B4B"/>
    <w:rsid w:val="00777B8D"/>
    <w:rsid w:val="00777F3A"/>
    <w:rsid w:val="0078026C"/>
    <w:rsid w:val="00780433"/>
    <w:rsid w:val="0078048F"/>
    <w:rsid w:val="007804BF"/>
    <w:rsid w:val="007804F2"/>
    <w:rsid w:val="007806A5"/>
    <w:rsid w:val="0078074B"/>
    <w:rsid w:val="007807E1"/>
    <w:rsid w:val="007808ED"/>
    <w:rsid w:val="00780A90"/>
    <w:rsid w:val="00780B94"/>
    <w:rsid w:val="00780BB2"/>
    <w:rsid w:val="00780C7C"/>
    <w:rsid w:val="00780D53"/>
    <w:rsid w:val="0078119B"/>
    <w:rsid w:val="00781309"/>
    <w:rsid w:val="0078133A"/>
    <w:rsid w:val="007813FC"/>
    <w:rsid w:val="00781651"/>
    <w:rsid w:val="007817CC"/>
    <w:rsid w:val="0078187D"/>
    <w:rsid w:val="00781953"/>
    <w:rsid w:val="007819A5"/>
    <w:rsid w:val="00781B63"/>
    <w:rsid w:val="00781DD5"/>
    <w:rsid w:val="00782014"/>
    <w:rsid w:val="00782098"/>
    <w:rsid w:val="007820D5"/>
    <w:rsid w:val="00782119"/>
    <w:rsid w:val="0078239A"/>
    <w:rsid w:val="007827AE"/>
    <w:rsid w:val="007828CC"/>
    <w:rsid w:val="00782982"/>
    <w:rsid w:val="00782A1A"/>
    <w:rsid w:val="00782A5E"/>
    <w:rsid w:val="00782EB2"/>
    <w:rsid w:val="00782EDD"/>
    <w:rsid w:val="00782F25"/>
    <w:rsid w:val="00782F79"/>
    <w:rsid w:val="00782FB0"/>
    <w:rsid w:val="00783154"/>
    <w:rsid w:val="0078326A"/>
    <w:rsid w:val="007833E2"/>
    <w:rsid w:val="007839E0"/>
    <w:rsid w:val="007839ED"/>
    <w:rsid w:val="00783CB4"/>
    <w:rsid w:val="00783D6D"/>
    <w:rsid w:val="00783DF6"/>
    <w:rsid w:val="00783E1A"/>
    <w:rsid w:val="00783F62"/>
    <w:rsid w:val="00784041"/>
    <w:rsid w:val="00784080"/>
    <w:rsid w:val="00784094"/>
    <w:rsid w:val="007840BD"/>
    <w:rsid w:val="00784130"/>
    <w:rsid w:val="0078431B"/>
    <w:rsid w:val="007845DC"/>
    <w:rsid w:val="007846D6"/>
    <w:rsid w:val="0078474B"/>
    <w:rsid w:val="00784786"/>
    <w:rsid w:val="00784884"/>
    <w:rsid w:val="00784A36"/>
    <w:rsid w:val="00784AC0"/>
    <w:rsid w:val="00784C3A"/>
    <w:rsid w:val="00784C44"/>
    <w:rsid w:val="00784CD7"/>
    <w:rsid w:val="00784E80"/>
    <w:rsid w:val="007851F5"/>
    <w:rsid w:val="00785230"/>
    <w:rsid w:val="00785265"/>
    <w:rsid w:val="00785437"/>
    <w:rsid w:val="0078577A"/>
    <w:rsid w:val="0078585D"/>
    <w:rsid w:val="00785A47"/>
    <w:rsid w:val="00785B88"/>
    <w:rsid w:val="00785BB0"/>
    <w:rsid w:val="00785C1A"/>
    <w:rsid w:val="00785E5F"/>
    <w:rsid w:val="00785F90"/>
    <w:rsid w:val="007860DB"/>
    <w:rsid w:val="007860F7"/>
    <w:rsid w:val="00786190"/>
    <w:rsid w:val="007862BC"/>
    <w:rsid w:val="0078660D"/>
    <w:rsid w:val="0078667B"/>
    <w:rsid w:val="0078669A"/>
    <w:rsid w:val="007866BE"/>
    <w:rsid w:val="007869D6"/>
    <w:rsid w:val="00786BBA"/>
    <w:rsid w:val="00786BC3"/>
    <w:rsid w:val="00786D5B"/>
    <w:rsid w:val="00786DFD"/>
    <w:rsid w:val="00786E05"/>
    <w:rsid w:val="00787237"/>
    <w:rsid w:val="00787244"/>
    <w:rsid w:val="007872A7"/>
    <w:rsid w:val="007873CE"/>
    <w:rsid w:val="007874B8"/>
    <w:rsid w:val="007876CC"/>
    <w:rsid w:val="0078789A"/>
    <w:rsid w:val="0078789F"/>
    <w:rsid w:val="00787A2F"/>
    <w:rsid w:val="00787CC0"/>
    <w:rsid w:val="00787D06"/>
    <w:rsid w:val="00787ECA"/>
    <w:rsid w:val="00787F77"/>
    <w:rsid w:val="00787FE8"/>
    <w:rsid w:val="00790103"/>
    <w:rsid w:val="00790146"/>
    <w:rsid w:val="0079022E"/>
    <w:rsid w:val="007902A9"/>
    <w:rsid w:val="0079032C"/>
    <w:rsid w:val="007903B5"/>
    <w:rsid w:val="00790469"/>
    <w:rsid w:val="0079056E"/>
    <w:rsid w:val="0079057E"/>
    <w:rsid w:val="00790922"/>
    <w:rsid w:val="00790960"/>
    <w:rsid w:val="007909F4"/>
    <w:rsid w:val="00790A8E"/>
    <w:rsid w:val="00790ACA"/>
    <w:rsid w:val="00790B4C"/>
    <w:rsid w:val="00790C52"/>
    <w:rsid w:val="00791033"/>
    <w:rsid w:val="007910F4"/>
    <w:rsid w:val="00791200"/>
    <w:rsid w:val="0079125F"/>
    <w:rsid w:val="007912DD"/>
    <w:rsid w:val="00791569"/>
    <w:rsid w:val="007917F8"/>
    <w:rsid w:val="00791936"/>
    <w:rsid w:val="007919F9"/>
    <w:rsid w:val="00791A89"/>
    <w:rsid w:val="00791CBE"/>
    <w:rsid w:val="00791FD3"/>
    <w:rsid w:val="0079208D"/>
    <w:rsid w:val="007920D3"/>
    <w:rsid w:val="0079211C"/>
    <w:rsid w:val="007921B1"/>
    <w:rsid w:val="007921DC"/>
    <w:rsid w:val="00792280"/>
    <w:rsid w:val="00792291"/>
    <w:rsid w:val="007922CE"/>
    <w:rsid w:val="00792322"/>
    <w:rsid w:val="00792472"/>
    <w:rsid w:val="007925A9"/>
    <w:rsid w:val="00792700"/>
    <w:rsid w:val="00792735"/>
    <w:rsid w:val="0079283A"/>
    <w:rsid w:val="0079299A"/>
    <w:rsid w:val="007929F5"/>
    <w:rsid w:val="00792A70"/>
    <w:rsid w:val="00792AAF"/>
    <w:rsid w:val="00792ABB"/>
    <w:rsid w:val="00792ADD"/>
    <w:rsid w:val="00792B10"/>
    <w:rsid w:val="00792D53"/>
    <w:rsid w:val="00792DCD"/>
    <w:rsid w:val="00792EA6"/>
    <w:rsid w:val="00792F10"/>
    <w:rsid w:val="00792F3E"/>
    <w:rsid w:val="007932A0"/>
    <w:rsid w:val="0079339F"/>
    <w:rsid w:val="007934E1"/>
    <w:rsid w:val="007936C1"/>
    <w:rsid w:val="00793869"/>
    <w:rsid w:val="00793881"/>
    <w:rsid w:val="00793998"/>
    <w:rsid w:val="00793A66"/>
    <w:rsid w:val="00793C4D"/>
    <w:rsid w:val="00793CAF"/>
    <w:rsid w:val="00793DB1"/>
    <w:rsid w:val="00793DBD"/>
    <w:rsid w:val="00793ED2"/>
    <w:rsid w:val="00793F09"/>
    <w:rsid w:val="00793F81"/>
    <w:rsid w:val="0079401F"/>
    <w:rsid w:val="007943D6"/>
    <w:rsid w:val="00794522"/>
    <w:rsid w:val="00794690"/>
    <w:rsid w:val="00794A5B"/>
    <w:rsid w:val="00794A61"/>
    <w:rsid w:val="00794B05"/>
    <w:rsid w:val="00794D6A"/>
    <w:rsid w:val="00794DEA"/>
    <w:rsid w:val="00794E4A"/>
    <w:rsid w:val="00794E8B"/>
    <w:rsid w:val="00794F85"/>
    <w:rsid w:val="00795069"/>
    <w:rsid w:val="007950D3"/>
    <w:rsid w:val="007953B4"/>
    <w:rsid w:val="0079559E"/>
    <w:rsid w:val="0079574D"/>
    <w:rsid w:val="00795854"/>
    <w:rsid w:val="00795ADA"/>
    <w:rsid w:val="00795C44"/>
    <w:rsid w:val="00795C8C"/>
    <w:rsid w:val="00795CD2"/>
    <w:rsid w:val="00795D16"/>
    <w:rsid w:val="00795D3B"/>
    <w:rsid w:val="00795E06"/>
    <w:rsid w:val="00795FBE"/>
    <w:rsid w:val="0079602E"/>
    <w:rsid w:val="0079606C"/>
    <w:rsid w:val="007962FE"/>
    <w:rsid w:val="0079655F"/>
    <w:rsid w:val="0079667C"/>
    <w:rsid w:val="00796827"/>
    <w:rsid w:val="0079692B"/>
    <w:rsid w:val="00796A46"/>
    <w:rsid w:val="00796A64"/>
    <w:rsid w:val="00796B09"/>
    <w:rsid w:val="00796B1B"/>
    <w:rsid w:val="00796BB2"/>
    <w:rsid w:val="00796DEA"/>
    <w:rsid w:val="00796E84"/>
    <w:rsid w:val="00796FB2"/>
    <w:rsid w:val="007971B3"/>
    <w:rsid w:val="007972BC"/>
    <w:rsid w:val="00797417"/>
    <w:rsid w:val="00797426"/>
    <w:rsid w:val="007974E2"/>
    <w:rsid w:val="007976FB"/>
    <w:rsid w:val="007979BC"/>
    <w:rsid w:val="00797C33"/>
    <w:rsid w:val="00797D7E"/>
    <w:rsid w:val="00797D9A"/>
    <w:rsid w:val="00797DBC"/>
    <w:rsid w:val="00797E83"/>
    <w:rsid w:val="00797E94"/>
    <w:rsid w:val="007A0029"/>
    <w:rsid w:val="007A045B"/>
    <w:rsid w:val="007A0661"/>
    <w:rsid w:val="007A06E4"/>
    <w:rsid w:val="007A0724"/>
    <w:rsid w:val="007A07B1"/>
    <w:rsid w:val="007A0A47"/>
    <w:rsid w:val="007A0A68"/>
    <w:rsid w:val="007A0D4F"/>
    <w:rsid w:val="007A0DE1"/>
    <w:rsid w:val="007A0E03"/>
    <w:rsid w:val="007A0E1D"/>
    <w:rsid w:val="007A0E41"/>
    <w:rsid w:val="007A0F7E"/>
    <w:rsid w:val="007A1133"/>
    <w:rsid w:val="007A11A5"/>
    <w:rsid w:val="007A121C"/>
    <w:rsid w:val="007A13B9"/>
    <w:rsid w:val="007A14FB"/>
    <w:rsid w:val="007A1639"/>
    <w:rsid w:val="007A1683"/>
    <w:rsid w:val="007A168E"/>
    <w:rsid w:val="007A175A"/>
    <w:rsid w:val="007A183E"/>
    <w:rsid w:val="007A1933"/>
    <w:rsid w:val="007A19D2"/>
    <w:rsid w:val="007A1A1A"/>
    <w:rsid w:val="007A1D57"/>
    <w:rsid w:val="007A1D59"/>
    <w:rsid w:val="007A1DF0"/>
    <w:rsid w:val="007A1E69"/>
    <w:rsid w:val="007A1EFC"/>
    <w:rsid w:val="007A217F"/>
    <w:rsid w:val="007A2215"/>
    <w:rsid w:val="007A2230"/>
    <w:rsid w:val="007A226B"/>
    <w:rsid w:val="007A23B4"/>
    <w:rsid w:val="007A247E"/>
    <w:rsid w:val="007A2599"/>
    <w:rsid w:val="007A25C4"/>
    <w:rsid w:val="007A26A9"/>
    <w:rsid w:val="007A26C9"/>
    <w:rsid w:val="007A283C"/>
    <w:rsid w:val="007A286F"/>
    <w:rsid w:val="007A2930"/>
    <w:rsid w:val="007A29B2"/>
    <w:rsid w:val="007A2A37"/>
    <w:rsid w:val="007A2B8F"/>
    <w:rsid w:val="007A2DAA"/>
    <w:rsid w:val="007A2EED"/>
    <w:rsid w:val="007A330A"/>
    <w:rsid w:val="007A3413"/>
    <w:rsid w:val="007A3587"/>
    <w:rsid w:val="007A35D5"/>
    <w:rsid w:val="007A3705"/>
    <w:rsid w:val="007A378F"/>
    <w:rsid w:val="007A3867"/>
    <w:rsid w:val="007A391E"/>
    <w:rsid w:val="007A3A42"/>
    <w:rsid w:val="007A3C6D"/>
    <w:rsid w:val="007A3D7E"/>
    <w:rsid w:val="007A3DAB"/>
    <w:rsid w:val="007A3E0E"/>
    <w:rsid w:val="007A3E4B"/>
    <w:rsid w:val="007A40D4"/>
    <w:rsid w:val="007A4121"/>
    <w:rsid w:val="007A4193"/>
    <w:rsid w:val="007A4338"/>
    <w:rsid w:val="007A4405"/>
    <w:rsid w:val="007A461E"/>
    <w:rsid w:val="007A46AF"/>
    <w:rsid w:val="007A4891"/>
    <w:rsid w:val="007A4989"/>
    <w:rsid w:val="007A49CC"/>
    <w:rsid w:val="007A49F0"/>
    <w:rsid w:val="007A4A74"/>
    <w:rsid w:val="007A4BF3"/>
    <w:rsid w:val="007A4CBF"/>
    <w:rsid w:val="007A4F1A"/>
    <w:rsid w:val="007A4FB0"/>
    <w:rsid w:val="007A502F"/>
    <w:rsid w:val="007A5055"/>
    <w:rsid w:val="007A514A"/>
    <w:rsid w:val="007A51BC"/>
    <w:rsid w:val="007A5242"/>
    <w:rsid w:val="007A530B"/>
    <w:rsid w:val="007A542E"/>
    <w:rsid w:val="007A575A"/>
    <w:rsid w:val="007A5990"/>
    <w:rsid w:val="007A5A6F"/>
    <w:rsid w:val="007A5A71"/>
    <w:rsid w:val="007A5C52"/>
    <w:rsid w:val="007A5C5B"/>
    <w:rsid w:val="007A5EEF"/>
    <w:rsid w:val="007A61D5"/>
    <w:rsid w:val="007A629F"/>
    <w:rsid w:val="007A62B1"/>
    <w:rsid w:val="007A6435"/>
    <w:rsid w:val="007A6A2D"/>
    <w:rsid w:val="007A6CDB"/>
    <w:rsid w:val="007A6EBC"/>
    <w:rsid w:val="007A6EFA"/>
    <w:rsid w:val="007A6FF9"/>
    <w:rsid w:val="007A7036"/>
    <w:rsid w:val="007A781C"/>
    <w:rsid w:val="007A7A64"/>
    <w:rsid w:val="007A7ACC"/>
    <w:rsid w:val="007A7B58"/>
    <w:rsid w:val="007A7C2B"/>
    <w:rsid w:val="007A7C54"/>
    <w:rsid w:val="007A7D98"/>
    <w:rsid w:val="007A7EDF"/>
    <w:rsid w:val="007A7F00"/>
    <w:rsid w:val="007A7F37"/>
    <w:rsid w:val="007A7FDF"/>
    <w:rsid w:val="007B014E"/>
    <w:rsid w:val="007B03BD"/>
    <w:rsid w:val="007B03C0"/>
    <w:rsid w:val="007B0636"/>
    <w:rsid w:val="007B0A24"/>
    <w:rsid w:val="007B0A52"/>
    <w:rsid w:val="007B0A8D"/>
    <w:rsid w:val="007B0ACD"/>
    <w:rsid w:val="007B0B23"/>
    <w:rsid w:val="007B0BE7"/>
    <w:rsid w:val="007B0E17"/>
    <w:rsid w:val="007B1028"/>
    <w:rsid w:val="007B1044"/>
    <w:rsid w:val="007B10FE"/>
    <w:rsid w:val="007B13E3"/>
    <w:rsid w:val="007B151C"/>
    <w:rsid w:val="007B151F"/>
    <w:rsid w:val="007B187D"/>
    <w:rsid w:val="007B1A1E"/>
    <w:rsid w:val="007B1A61"/>
    <w:rsid w:val="007B1B48"/>
    <w:rsid w:val="007B1B7A"/>
    <w:rsid w:val="007B1D44"/>
    <w:rsid w:val="007B1EDB"/>
    <w:rsid w:val="007B1EDD"/>
    <w:rsid w:val="007B1F60"/>
    <w:rsid w:val="007B217C"/>
    <w:rsid w:val="007B21A6"/>
    <w:rsid w:val="007B233E"/>
    <w:rsid w:val="007B2369"/>
    <w:rsid w:val="007B2523"/>
    <w:rsid w:val="007B25E7"/>
    <w:rsid w:val="007B2737"/>
    <w:rsid w:val="007B2778"/>
    <w:rsid w:val="007B2796"/>
    <w:rsid w:val="007B295F"/>
    <w:rsid w:val="007B2AA1"/>
    <w:rsid w:val="007B2AAC"/>
    <w:rsid w:val="007B2BD1"/>
    <w:rsid w:val="007B2BDB"/>
    <w:rsid w:val="007B2CBE"/>
    <w:rsid w:val="007B2D35"/>
    <w:rsid w:val="007B2DCF"/>
    <w:rsid w:val="007B2E99"/>
    <w:rsid w:val="007B31CD"/>
    <w:rsid w:val="007B31D9"/>
    <w:rsid w:val="007B3234"/>
    <w:rsid w:val="007B325B"/>
    <w:rsid w:val="007B33AE"/>
    <w:rsid w:val="007B33C5"/>
    <w:rsid w:val="007B33F5"/>
    <w:rsid w:val="007B34CC"/>
    <w:rsid w:val="007B3590"/>
    <w:rsid w:val="007B359E"/>
    <w:rsid w:val="007B3722"/>
    <w:rsid w:val="007B385C"/>
    <w:rsid w:val="007B3968"/>
    <w:rsid w:val="007B3A7C"/>
    <w:rsid w:val="007B3BAE"/>
    <w:rsid w:val="007B3BC9"/>
    <w:rsid w:val="007B3C9A"/>
    <w:rsid w:val="007B3D0D"/>
    <w:rsid w:val="007B3D16"/>
    <w:rsid w:val="007B3D62"/>
    <w:rsid w:val="007B3FF2"/>
    <w:rsid w:val="007B40BE"/>
    <w:rsid w:val="007B414F"/>
    <w:rsid w:val="007B4282"/>
    <w:rsid w:val="007B42C1"/>
    <w:rsid w:val="007B4369"/>
    <w:rsid w:val="007B441C"/>
    <w:rsid w:val="007B445F"/>
    <w:rsid w:val="007B448D"/>
    <w:rsid w:val="007B47AF"/>
    <w:rsid w:val="007B47DB"/>
    <w:rsid w:val="007B47ED"/>
    <w:rsid w:val="007B487E"/>
    <w:rsid w:val="007B4993"/>
    <w:rsid w:val="007B4A2B"/>
    <w:rsid w:val="007B4A3F"/>
    <w:rsid w:val="007B4A42"/>
    <w:rsid w:val="007B4A5B"/>
    <w:rsid w:val="007B4B60"/>
    <w:rsid w:val="007B4BDE"/>
    <w:rsid w:val="007B4C94"/>
    <w:rsid w:val="007B4ED1"/>
    <w:rsid w:val="007B4FF3"/>
    <w:rsid w:val="007B5106"/>
    <w:rsid w:val="007B53E5"/>
    <w:rsid w:val="007B5640"/>
    <w:rsid w:val="007B56AF"/>
    <w:rsid w:val="007B5851"/>
    <w:rsid w:val="007B5AE8"/>
    <w:rsid w:val="007B5D99"/>
    <w:rsid w:val="007B6099"/>
    <w:rsid w:val="007B610A"/>
    <w:rsid w:val="007B61A0"/>
    <w:rsid w:val="007B61D2"/>
    <w:rsid w:val="007B62C7"/>
    <w:rsid w:val="007B63BC"/>
    <w:rsid w:val="007B650E"/>
    <w:rsid w:val="007B67C7"/>
    <w:rsid w:val="007B6854"/>
    <w:rsid w:val="007B69A4"/>
    <w:rsid w:val="007B6B8D"/>
    <w:rsid w:val="007B6D99"/>
    <w:rsid w:val="007B6E41"/>
    <w:rsid w:val="007B6E45"/>
    <w:rsid w:val="007B6FE6"/>
    <w:rsid w:val="007B7438"/>
    <w:rsid w:val="007B760F"/>
    <w:rsid w:val="007B7AB7"/>
    <w:rsid w:val="007B7B9A"/>
    <w:rsid w:val="007B7E35"/>
    <w:rsid w:val="007B7E43"/>
    <w:rsid w:val="007B7E60"/>
    <w:rsid w:val="007B7EA5"/>
    <w:rsid w:val="007B7EE6"/>
    <w:rsid w:val="007C00FC"/>
    <w:rsid w:val="007C01D4"/>
    <w:rsid w:val="007C0273"/>
    <w:rsid w:val="007C0339"/>
    <w:rsid w:val="007C038C"/>
    <w:rsid w:val="007C03F2"/>
    <w:rsid w:val="007C04CE"/>
    <w:rsid w:val="007C04F3"/>
    <w:rsid w:val="007C05D1"/>
    <w:rsid w:val="007C06E1"/>
    <w:rsid w:val="007C08E1"/>
    <w:rsid w:val="007C092D"/>
    <w:rsid w:val="007C0CBE"/>
    <w:rsid w:val="007C119A"/>
    <w:rsid w:val="007C11A9"/>
    <w:rsid w:val="007C131C"/>
    <w:rsid w:val="007C1451"/>
    <w:rsid w:val="007C14AB"/>
    <w:rsid w:val="007C159E"/>
    <w:rsid w:val="007C15FD"/>
    <w:rsid w:val="007C1667"/>
    <w:rsid w:val="007C16BF"/>
    <w:rsid w:val="007C1921"/>
    <w:rsid w:val="007C1AD9"/>
    <w:rsid w:val="007C1BE5"/>
    <w:rsid w:val="007C1C93"/>
    <w:rsid w:val="007C1E4C"/>
    <w:rsid w:val="007C1EBC"/>
    <w:rsid w:val="007C20F0"/>
    <w:rsid w:val="007C21A5"/>
    <w:rsid w:val="007C220B"/>
    <w:rsid w:val="007C225B"/>
    <w:rsid w:val="007C229E"/>
    <w:rsid w:val="007C22A4"/>
    <w:rsid w:val="007C22A8"/>
    <w:rsid w:val="007C23C9"/>
    <w:rsid w:val="007C2429"/>
    <w:rsid w:val="007C244A"/>
    <w:rsid w:val="007C24B4"/>
    <w:rsid w:val="007C2619"/>
    <w:rsid w:val="007C290B"/>
    <w:rsid w:val="007C2D2C"/>
    <w:rsid w:val="007C2FED"/>
    <w:rsid w:val="007C306C"/>
    <w:rsid w:val="007C324E"/>
    <w:rsid w:val="007C35C9"/>
    <w:rsid w:val="007C35EA"/>
    <w:rsid w:val="007C36C5"/>
    <w:rsid w:val="007C3701"/>
    <w:rsid w:val="007C3744"/>
    <w:rsid w:val="007C3831"/>
    <w:rsid w:val="007C3837"/>
    <w:rsid w:val="007C3858"/>
    <w:rsid w:val="007C3AE7"/>
    <w:rsid w:val="007C3B35"/>
    <w:rsid w:val="007C3B55"/>
    <w:rsid w:val="007C3D61"/>
    <w:rsid w:val="007C3D6C"/>
    <w:rsid w:val="007C3F22"/>
    <w:rsid w:val="007C4239"/>
    <w:rsid w:val="007C4261"/>
    <w:rsid w:val="007C43AA"/>
    <w:rsid w:val="007C44CD"/>
    <w:rsid w:val="007C46D6"/>
    <w:rsid w:val="007C46E2"/>
    <w:rsid w:val="007C48C1"/>
    <w:rsid w:val="007C4977"/>
    <w:rsid w:val="007C49FA"/>
    <w:rsid w:val="007C4A38"/>
    <w:rsid w:val="007C4D5D"/>
    <w:rsid w:val="007C4EA2"/>
    <w:rsid w:val="007C503A"/>
    <w:rsid w:val="007C5058"/>
    <w:rsid w:val="007C5116"/>
    <w:rsid w:val="007C5119"/>
    <w:rsid w:val="007C5174"/>
    <w:rsid w:val="007C51E1"/>
    <w:rsid w:val="007C5360"/>
    <w:rsid w:val="007C53B6"/>
    <w:rsid w:val="007C5628"/>
    <w:rsid w:val="007C563E"/>
    <w:rsid w:val="007C5761"/>
    <w:rsid w:val="007C57ED"/>
    <w:rsid w:val="007C5828"/>
    <w:rsid w:val="007C590C"/>
    <w:rsid w:val="007C5980"/>
    <w:rsid w:val="007C5A3D"/>
    <w:rsid w:val="007C5A73"/>
    <w:rsid w:val="007C5AA9"/>
    <w:rsid w:val="007C5C0E"/>
    <w:rsid w:val="007C5D1C"/>
    <w:rsid w:val="007C5D4F"/>
    <w:rsid w:val="007C5F91"/>
    <w:rsid w:val="007C6165"/>
    <w:rsid w:val="007C620D"/>
    <w:rsid w:val="007C629D"/>
    <w:rsid w:val="007C6560"/>
    <w:rsid w:val="007C65E7"/>
    <w:rsid w:val="007C662F"/>
    <w:rsid w:val="007C66F0"/>
    <w:rsid w:val="007C67AD"/>
    <w:rsid w:val="007C684A"/>
    <w:rsid w:val="007C69D9"/>
    <w:rsid w:val="007C6B37"/>
    <w:rsid w:val="007C6B60"/>
    <w:rsid w:val="007C6B62"/>
    <w:rsid w:val="007C6BBB"/>
    <w:rsid w:val="007C6FB0"/>
    <w:rsid w:val="007C7006"/>
    <w:rsid w:val="007C70D9"/>
    <w:rsid w:val="007C7157"/>
    <w:rsid w:val="007C735C"/>
    <w:rsid w:val="007C7498"/>
    <w:rsid w:val="007C74AE"/>
    <w:rsid w:val="007C74C2"/>
    <w:rsid w:val="007C752D"/>
    <w:rsid w:val="007C7603"/>
    <w:rsid w:val="007C7A45"/>
    <w:rsid w:val="007C7AFD"/>
    <w:rsid w:val="007C7B23"/>
    <w:rsid w:val="007C7C23"/>
    <w:rsid w:val="007C7C9E"/>
    <w:rsid w:val="007C7DCB"/>
    <w:rsid w:val="007C7E10"/>
    <w:rsid w:val="007C7F96"/>
    <w:rsid w:val="007C7FA3"/>
    <w:rsid w:val="007C7FD3"/>
    <w:rsid w:val="007C7FF3"/>
    <w:rsid w:val="007D010A"/>
    <w:rsid w:val="007D0472"/>
    <w:rsid w:val="007D05C0"/>
    <w:rsid w:val="007D07C5"/>
    <w:rsid w:val="007D0812"/>
    <w:rsid w:val="007D0AAC"/>
    <w:rsid w:val="007D0AE0"/>
    <w:rsid w:val="007D0F58"/>
    <w:rsid w:val="007D10AD"/>
    <w:rsid w:val="007D117E"/>
    <w:rsid w:val="007D11B0"/>
    <w:rsid w:val="007D1281"/>
    <w:rsid w:val="007D1394"/>
    <w:rsid w:val="007D1464"/>
    <w:rsid w:val="007D1510"/>
    <w:rsid w:val="007D151D"/>
    <w:rsid w:val="007D15F4"/>
    <w:rsid w:val="007D162E"/>
    <w:rsid w:val="007D1675"/>
    <w:rsid w:val="007D1679"/>
    <w:rsid w:val="007D1838"/>
    <w:rsid w:val="007D1957"/>
    <w:rsid w:val="007D1ACD"/>
    <w:rsid w:val="007D1B25"/>
    <w:rsid w:val="007D1B82"/>
    <w:rsid w:val="007D1BC6"/>
    <w:rsid w:val="007D1F34"/>
    <w:rsid w:val="007D1FB1"/>
    <w:rsid w:val="007D1FF1"/>
    <w:rsid w:val="007D228D"/>
    <w:rsid w:val="007D2354"/>
    <w:rsid w:val="007D252E"/>
    <w:rsid w:val="007D2861"/>
    <w:rsid w:val="007D288C"/>
    <w:rsid w:val="007D292C"/>
    <w:rsid w:val="007D2930"/>
    <w:rsid w:val="007D29BB"/>
    <w:rsid w:val="007D2A41"/>
    <w:rsid w:val="007D2A98"/>
    <w:rsid w:val="007D2CF5"/>
    <w:rsid w:val="007D2D43"/>
    <w:rsid w:val="007D2D49"/>
    <w:rsid w:val="007D2DB8"/>
    <w:rsid w:val="007D2DD1"/>
    <w:rsid w:val="007D2E55"/>
    <w:rsid w:val="007D30D0"/>
    <w:rsid w:val="007D31E0"/>
    <w:rsid w:val="007D31EA"/>
    <w:rsid w:val="007D32A0"/>
    <w:rsid w:val="007D3463"/>
    <w:rsid w:val="007D3473"/>
    <w:rsid w:val="007D34C1"/>
    <w:rsid w:val="007D3636"/>
    <w:rsid w:val="007D36E3"/>
    <w:rsid w:val="007D371A"/>
    <w:rsid w:val="007D37D4"/>
    <w:rsid w:val="007D38AE"/>
    <w:rsid w:val="007D3926"/>
    <w:rsid w:val="007D39A3"/>
    <w:rsid w:val="007D3B40"/>
    <w:rsid w:val="007D3B5D"/>
    <w:rsid w:val="007D3C80"/>
    <w:rsid w:val="007D3D45"/>
    <w:rsid w:val="007D3D53"/>
    <w:rsid w:val="007D3D69"/>
    <w:rsid w:val="007D3D82"/>
    <w:rsid w:val="007D3DCE"/>
    <w:rsid w:val="007D3F30"/>
    <w:rsid w:val="007D3F59"/>
    <w:rsid w:val="007D3F8C"/>
    <w:rsid w:val="007D3FE2"/>
    <w:rsid w:val="007D40D3"/>
    <w:rsid w:val="007D424A"/>
    <w:rsid w:val="007D4413"/>
    <w:rsid w:val="007D4421"/>
    <w:rsid w:val="007D4470"/>
    <w:rsid w:val="007D474D"/>
    <w:rsid w:val="007D4914"/>
    <w:rsid w:val="007D496F"/>
    <w:rsid w:val="007D49A8"/>
    <w:rsid w:val="007D4A56"/>
    <w:rsid w:val="007D4B19"/>
    <w:rsid w:val="007D4CB3"/>
    <w:rsid w:val="007D4E86"/>
    <w:rsid w:val="007D4ED5"/>
    <w:rsid w:val="007D4F52"/>
    <w:rsid w:val="007D5032"/>
    <w:rsid w:val="007D504D"/>
    <w:rsid w:val="007D50B2"/>
    <w:rsid w:val="007D5120"/>
    <w:rsid w:val="007D5551"/>
    <w:rsid w:val="007D55B9"/>
    <w:rsid w:val="007D58CE"/>
    <w:rsid w:val="007D5A61"/>
    <w:rsid w:val="007D5BA6"/>
    <w:rsid w:val="007D5E0F"/>
    <w:rsid w:val="007D5F9D"/>
    <w:rsid w:val="007D5FBA"/>
    <w:rsid w:val="007D5FE7"/>
    <w:rsid w:val="007D606E"/>
    <w:rsid w:val="007D61E8"/>
    <w:rsid w:val="007D620D"/>
    <w:rsid w:val="007D6263"/>
    <w:rsid w:val="007D6359"/>
    <w:rsid w:val="007D6633"/>
    <w:rsid w:val="007D6697"/>
    <w:rsid w:val="007D66CA"/>
    <w:rsid w:val="007D670C"/>
    <w:rsid w:val="007D6714"/>
    <w:rsid w:val="007D6733"/>
    <w:rsid w:val="007D67A8"/>
    <w:rsid w:val="007D688A"/>
    <w:rsid w:val="007D6B40"/>
    <w:rsid w:val="007D6B77"/>
    <w:rsid w:val="007D6DBA"/>
    <w:rsid w:val="007D6E6B"/>
    <w:rsid w:val="007D6E85"/>
    <w:rsid w:val="007D6EDD"/>
    <w:rsid w:val="007D705A"/>
    <w:rsid w:val="007D7146"/>
    <w:rsid w:val="007D71D1"/>
    <w:rsid w:val="007D7420"/>
    <w:rsid w:val="007D7427"/>
    <w:rsid w:val="007D7456"/>
    <w:rsid w:val="007D745A"/>
    <w:rsid w:val="007D74E4"/>
    <w:rsid w:val="007D75AF"/>
    <w:rsid w:val="007D7628"/>
    <w:rsid w:val="007D76C9"/>
    <w:rsid w:val="007D776E"/>
    <w:rsid w:val="007D77C5"/>
    <w:rsid w:val="007D7903"/>
    <w:rsid w:val="007D7A0E"/>
    <w:rsid w:val="007D7C9E"/>
    <w:rsid w:val="007D7CE7"/>
    <w:rsid w:val="007D7D01"/>
    <w:rsid w:val="007D7E09"/>
    <w:rsid w:val="007E0088"/>
    <w:rsid w:val="007E0202"/>
    <w:rsid w:val="007E031F"/>
    <w:rsid w:val="007E05E9"/>
    <w:rsid w:val="007E0705"/>
    <w:rsid w:val="007E0780"/>
    <w:rsid w:val="007E09BD"/>
    <w:rsid w:val="007E09EB"/>
    <w:rsid w:val="007E0A7E"/>
    <w:rsid w:val="007E0BF3"/>
    <w:rsid w:val="007E0C4F"/>
    <w:rsid w:val="007E0D57"/>
    <w:rsid w:val="007E0D60"/>
    <w:rsid w:val="007E0DCE"/>
    <w:rsid w:val="007E0F68"/>
    <w:rsid w:val="007E10D6"/>
    <w:rsid w:val="007E119C"/>
    <w:rsid w:val="007E1483"/>
    <w:rsid w:val="007E1745"/>
    <w:rsid w:val="007E186D"/>
    <w:rsid w:val="007E18BA"/>
    <w:rsid w:val="007E18CF"/>
    <w:rsid w:val="007E1D9E"/>
    <w:rsid w:val="007E1DF6"/>
    <w:rsid w:val="007E1E62"/>
    <w:rsid w:val="007E22F3"/>
    <w:rsid w:val="007E23BF"/>
    <w:rsid w:val="007E25A7"/>
    <w:rsid w:val="007E270D"/>
    <w:rsid w:val="007E27FC"/>
    <w:rsid w:val="007E28E1"/>
    <w:rsid w:val="007E2A53"/>
    <w:rsid w:val="007E2C05"/>
    <w:rsid w:val="007E2E8A"/>
    <w:rsid w:val="007E30BE"/>
    <w:rsid w:val="007E3233"/>
    <w:rsid w:val="007E33FF"/>
    <w:rsid w:val="007E350B"/>
    <w:rsid w:val="007E355D"/>
    <w:rsid w:val="007E3588"/>
    <w:rsid w:val="007E35E4"/>
    <w:rsid w:val="007E369A"/>
    <w:rsid w:val="007E36FA"/>
    <w:rsid w:val="007E3703"/>
    <w:rsid w:val="007E3737"/>
    <w:rsid w:val="007E3765"/>
    <w:rsid w:val="007E379C"/>
    <w:rsid w:val="007E37B0"/>
    <w:rsid w:val="007E3893"/>
    <w:rsid w:val="007E3B01"/>
    <w:rsid w:val="007E3BC2"/>
    <w:rsid w:val="007E3E0D"/>
    <w:rsid w:val="007E4049"/>
    <w:rsid w:val="007E411B"/>
    <w:rsid w:val="007E413C"/>
    <w:rsid w:val="007E434E"/>
    <w:rsid w:val="007E45C9"/>
    <w:rsid w:val="007E46E0"/>
    <w:rsid w:val="007E49C7"/>
    <w:rsid w:val="007E4AE7"/>
    <w:rsid w:val="007E4C78"/>
    <w:rsid w:val="007E4CDB"/>
    <w:rsid w:val="007E4D12"/>
    <w:rsid w:val="007E4D48"/>
    <w:rsid w:val="007E4FA0"/>
    <w:rsid w:val="007E4FD5"/>
    <w:rsid w:val="007E50AB"/>
    <w:rsid w:val="007E510A"/>
    <w:rsid w:val="007E5120"/>
    <w:rsid w:val="007E5187"/>
    <w:rsid w:val="007E51BF"/>
    <w:rsid w:val="007E5718"/>
    <w:rsid w:val="007E578B"/>
    <w:rsid w:val="007E582C"/>
    <w:rsid w:val="007E5940"/>
    <w:rsid w:val="007E59EE"/>
    <w:rsid w:val="007E5D06"/>
    <w:rsid w:val="007E5DAB"/>
    <w:rsid w:val="007E5DCF"/>
    <w:rsid w:val="007E5FCD"/>
    <w:rsid w:val="007E6358"/>
    <w:rsid w:val="007E65AA"/>
    <w:rsid w:val="007E672E"/>
    <w:rsid w:val="007E67D4"/>
    <w:rsid w:val="007E6916"/>
    <w:rsid w:val="007E6E11"/>
    <w:rsid w:val="007E7025"/>
    <w:rsid w:val="007E709D"/>
    <w:rsid w:val="007E714C"/>
    <w:rsid w:val="007E7358"/>
    <w:rsid w:val="007E740B"/>
    <w:rsid w:val="007E76D4"/>
    <w:rsid w:val="007E7723"/>
    <w:rsid w:val="007E7797"/>
    <w:rsid w:val="007E7799"/>
    <w:rsid w:val="007E77FE"/>
    <w:rsid w:val="007E7B7A"/>
    <w:rsid w:val="007E7BD7"/>
    <w:rsid w:val="007E7C7A"/>
    <w:rsid w:val="007E7C9D"/>
    <w:rsid w:val="007E7E7C"/>
    <w:rsid w:val="007E7E8B"/>
    <w:rsid w:val="007E7F06"/>
    <w:rsid w:val="007E7F81"/>
    <w:rsid w:val="007F013B"/>
    <w:rsid w:val="007F014D"/>
    <w:rsid w:val="007F01C5"/>
    <w:rsid w:val="007F0284"/>
    <w:rsid w:val="007F0361"/>
    <w:rsid w:val="007F0366"/>
    <w:rsid w:val="007F051D"/>
    <w:rsid w:val="007F0736"/>
    <w:rsid w:val="007F07F5"/>
    <w:rsid w:val="007F0A32"/>
    <w:rsid w:val="007F0C2D"/>
    <w:rsid w:val="007F0C59"/>
    <w:rsid w:val="007F0D6A"/>
    <w:rsid w:val="007F0D6F"/>
    <w:rsid w:val="007F0DFA"/>
    <w:rsid w:val="007F0EB1"/>
    <w:rsid w:val="007F0ECC"/>
    <w:rsid w:val="007F0F10"/>
    <w:rsid w:val="007F0FA3"/>
    <w:rsid w:val="007F0FE9"/>
    <w:rsid w:val="007F119B"/>
    <w:rsid w:val="007F12B5"/>
    <w:rsid w:val="007F12C4"/>
    <w:rsid w:val="007F13EB"/>
    <w:rsid w:val="007F1450"/>
    <w:rsid w:val="007F1496"/>
    <w:rsid w:val="007F15E6"/>
    <w:rsid w:val="007F1730"/>
    <w:rsid w:val="007F1744"/>
    <w:rsid w:val="007F17A7"/>
    <w:rsid w:val="007F1AC1"/>
    <w:rsid w:val="007F1B72"/>
    <w:rsid w:val="007F1C4B"/>
    <w:rsid w:val="007F1C81"/>
    <w:rsid w:val="007F1CA7"/>
    <w:rsid w:val="007F2006"/>
    <w:rsid w:val="007F2023"/>
    <w:rsid w:val="007F218A"/>
    <w:rsid w:val="007F218F"/>
    <w:rsid w:val="007F228B"/>
    <w:rsid w:val="007F22C1"/>
    <w:rsid w:val="007F2884"/>
    <w:rsid w:val="007F28B7"/>
    <w:rsid w:val="007F294A"/>
    <w:rsid w:val="007F29A2"/>
    <w:rsid w:val="007F2B61"/>
    <w:rsid w:val="007F2B6D"/>
    <w:rsid w:val="007F2CE1"/>
    <w:rsid w:val="007F2CE3"/>
    <w:rsid w:val="007F2EB6"/>
    <w:rsid w:val="007F2F5C"/>
    <w:rsid w:val="007F2F77"/>
    <w:rsid w:val="007F3127"/>
    <w:rsid w:val="007F3183"/>
    <w:rsid w:val="007F3438"/>
    <w:rsid w:val="007F35BB"/>
    <w:rsid w:val="007F35CF"/>
    <w:rsid w:val="007F3928"/>
    <w:rsid w:val="007F39EB"/>
    <w:rsid w:val="007F3A6F"/>
    <w:rsid w:val="007F3D49"/>
    <w:rsid w:val="007F3E7D"/>
    <w:rsid w:val="007F40D3"/>
    <w:rsid w:val="007F41AE"/>
    <w:rsid w:val="007F43A4"/>
    <w:rsid w:val="007F4427"/>
    <w:rsid w:val="007F446B"/>
    <w:rsid w:val="007F447C"/>
    <w:rsid w:val="007F44E3"/>
    <w:rsid w:val="007F463A"/>
    <w:rsid w:val="007F47E4"/>
    <w:rsid w:val="007F4993"/>
    <w:rsid w:val="007F4A3E"/>
    <w:rsid w:val="007F4C0D"/>
    <w:rsid w:val="007F4E3E"/>
    <w:rsid w:val="007F4F99"/>
    <w:rsid w:val="007F4FA1"/>
    <w:rsid w:val="007F524C"/>
    <w:rsid w:val="007F5284"/>
    <w:rsid w:val="007F5394"/>
    <w:rsid w:val="007F5408"/>
    <w:rsid w:val="007F551C"/>
    <w:rsid w:val="007F584E"/>
    <w:rsid w:val="007F5A05"/>
    <w:rsid w:val="007F5A99"/>
    <w:rsid w:val="007F5AD3"/>
    <w:rsid w:val="007F5AEC"/>
    <w:rsid w:val="007F5C34"/>
    <w:rsid w:val="007F5CDB"/>
    <w:rsid w:val="007F5F4F"/>
    <w:rsid w:val="007F5F84"/>
    <w:rsid w:val="007F5FC2"/>
    <w:rsid w:val="007F5FDA"/>
    <w:rsid w:val="007F609F"/>
    <w:rsid w:val="007F63DF"/>
    <w:rsid w:val="007F63FB"/>
    <w:rsid w:val="007F6504"/>
    <w:rsid w:val="007F667F"/>
    <w:rsid w:val="007F67E7"/>
    <w:rsid w:val="007F6867"/>
    <w:rsid w:val="007F68DB"/>
    <w:rsid w:val="007F6962"/>
    <w:rsid w:val="007F6B28"/>
    <w:rsid w:val="007F6CFB"/>
    <w:rsid w:val="007F6FA1"/>
    <w:rsid w:val="007F71CF"/>
    <w:rsid w:val="007F71E0"/>
    <w:rsid w:val="007F7340"/>
    <w:rsid w:val="007F755B"/>
    <w:rsid w:val="007F7588"/>
    <w:rsid w:val="007F76A8"/>
    <w:rsid w:val="007F7766"/>
    <w:rsid w:val="007F78D5"/>
    <w:rsid w:val="007F799C"/>
    <w:rsid w:val="007F7A99"/>
    <w:rsid w:val="007F7D42"/>
    <w:rsid w:val="007F7D7F"/>
    <w:rsid w:val="007F7F50"/>
    <w:rsid w:val="008006AD"/>
    <w:rsid w:val="00800837"/>
    <w:rsid w:val="00800B99"/>
    <w:rsid w:val="00800E25"/>
    <w:rsid w:val="00800F71"/>
    <w:rsid w:val="0080101B"/>
    <w:rsid w:val="0080119B"/>
    <w:rsid w:val="0080127A"/>
    <w:rsid w:val="00801345"/>
    <w:rsid w:val="00801415"/>
    <w:rsid w:val="0080150F"/>
    <w:rsid w:val="008017B9"/>
    <w:rsid w:val="008019E4"/>
    <w:rsid w:val="00801A09"/>
    <w:rsid w:val="00801A0B"/>
    <w:rsid w:val="00801BA3"/>
    <w:rsid w:val="00801D81"/>
    <w:rsid w:val="00801E7F"/>
    <w:rsid w:val="00802023"/>
    <w:rsid w:val="00802125"/>
    <w:rsid w:val="0080273F"/>
    <w:rsid w:val="008028D0"/>
    <w:rsid w:val="00802910"/>
    <w:rsid w:val="0080294E"/>
    <w:rsid w:val="00802A10"/>
    <w:rsid w:val="00802A4F"/>
    <w:rsid w:val="00802A98"/>
    <w:rsid w:val="00802B66"/>
    <w:rsid w:val="00802C06"/>
    <w:rsid w:val="00802CCE"/>
    <w:rsid w:val="00802CE9"/>
    <w:rsid w:val="00803161"/>
    <w:rsid w:val="00803233"/>
    <w:rsid w:val="0080324E"/>
    <w:rsid w:val="00803270"/>
    <w:rsid w:val="008033CB"/>
    <w:rsid w:val="0080348E"/>
    <w:rsid w:val="008034C7"/>
    <w:rsid w:val="008034E2"/>
    <w:rsid w:val="008035F1"/>
    <w:rsid w:val="008037AB"/>
    <w:rsid w:val="0080387B"/>
    <w:rsid w:val="00803888"/>
    <w:rsid w:val="00803B18"/>
    <w:rsid w:val="00803B5A"/>
    <w:rsid w:val="00803B8D"/>
    <w:rsid w:val="00803BA5"/>
    <w:rsid w:val="00803CAA"/>
    <w:rsid w:val="00803F1C"/>
    <w:rsid w:val="00804020"/>
    <w:rsid w:val="0080414E"/>
    <w:rsid w:val="00804200"/>
    <w:rsid w:val="00804266"/>
    <w:rsid w:val="0080454F"/>
    <w:rsid w:val="00804564"/>
    <w:rsid w:val="00804745"/>
    <w:rsid w:val="00804782"/>
    <w:rsid w:val="008047E4"/>
    <w:rsid w:val="008048A8"/>
    <w:rsid w:val="00804B93"/>
    <w:rsid w:val="00804BD2"/>
    <w:rsid w:val="00804C37"/>
    <w:rsid w:val="00804C7A"/>
    <w:rsid w:val="00804CB8"/>
    <w:rsid w:val="00804DD4"/>
    <w:rsid w:val="00804E1A"/>
    <w:rsid w:val="00804F48"/>
    <w:rsid w:val="00805118"/>
    <w:rsid w:val="008051B9"/>
    <w:rsid w:val="008053AB"/>
    <w:rsid w:val="00805438"/>
    <w:rsid w:val="0080558A"/>
    <w:rsid w:val="0080558C"/>
    <w:rsid w:val="008055EF"/>
    <w:rsid w:val="0080570A"/>
    <w:rsid w:val="0080573E"/>
    <w:rsid w:val="008057B3"/>
    <w:rsid w:val="008057DD"/>
    <w:rsid w:val="008058CB"/>
    <w:rsid w:val="008059C0"/>
    <w:rsid w:val="008059CD"/>
    <w:rsid w:val="00805A91"/>
    <w:rsid w:val="00805AAD"/>
    <w:rsid w:val="00805BC2"/>
    <w:rsid w:val="00805BE1"/>
    <w:rsid w:val="00805CC4"/>
    <w:rsid w:val="00805DB5"/>
    <w:rsid w:val="00805EF8"/>
    <w:rsid w:val="00805F32"/>
    <w:rsid w:val="00805F33"/>
    <w:rsid w:val="00806163"/>
    <w:rsid w:val="008062DC"/>
    <w:rsid w:val="008064BE"/>
    <w:rsid w:val="0080654C"/>
    <w:rsid w:val="00806553"/>
    <w:rsid w:val="00806686"/>
    <w:rsid w:val="0080677D"/>
    <w:rsid w:val="00806894"/>
    <w:rsid w:val="00806983"/>
    <w:rsid w:val="008069C7"/>
    <w:rsid w:val="00806E53"/>
    <w:rsid w:val="00806E78"/>
    <w:rsid w:val="00806FF8"/>
    <w:rsid w:val="008070E6"/>
    <w:rsid w:val="00807181"/>
    <w:rsid w:val="008071B0"/>
    <w:rsid w:val="008071EE"/>
    <w:rsid w:val="008072BA"/>
    <w:rsid w:val="008073BB"/>
    <w:rsid w:val="00807996"/>
    <w:rsid w:val="008079C9"/>
    <w:rsid w:val="00807CE1"/>
    <w:rsid w:val="00807D94"/>
    <w:rsid w:val="00807EA0"/>
    <w:rsid w:val="00807F53"/>
    <w:rsid w:val="00807F8B"/>
    <w:rsid w:val="00810012"/>
    <w:rsid w:val="00810066"/>
    <w:rsid w:val="00810134"/>
    <w:rsid w:val="0081037A"/>
    <w:rsid w:val="008103F1"/>
    <w:rsid w:val="00810485"/>
    <w:rsid w:val="008105CA"/>
    <w:rsid w:val="00810681"/>
    <w:rsid w:val="0081075F"/>
    <w:rsid w:val="00810787"/>
    <w:rsid w:val="0081085C"/>
    <w:rsid w:val="0081091A"/>
    <w:rsid w:val="00810930"/>
    <w:rsid w:val="008109DF"/>
    <w:rsid w:val="00810A41"/>
    <w:rsid w:val="00810BD0"/>
    <w:rsid w:val="00810C92"/>
    <w:rsid w:val="00810D2D"/>
    <w:rsid w:val="00810DB8"/>
    <w:rsid w:val="00810DEB"/>
    <w:rsid w:val="00810FD7"/>
    <w:rsid w:val="00810FF2"/>
    <w:rsid w:val="00810FF5"/>
    <w:rsid w:val="00810FFF"/>
    <w:rsid w:val="00811020"/>
    <w:rsid w:val="00811199"/>
    <w:rsid w:val="008111A3"/>
    <w:rsid w:val="008111C6"/>
    <w:rsid w:val="00811299"/>
    <w:rsid w:val="008113F4"/>
    <w:rsid w:val="008113F8"/>
    <w:rsid w:val="00811430"/>
    <w:rsid w:val="0081143A"/>
    <w:rsid w:val="00811477"/>
    <w:rsid w:val="0081150E"/>
    <w:rsid w:val="00811585"/>
    <w:rsid w:val="00811736"/>
    <w:rsid w:val="008118B1"/>
    <w:rsid w:val="00811AB6"/>
    <w:rsid w:val="00811D3E"/>
    <w:rsid w:val="00811E8D"/>
    <w:rsid w:val="00811FC5"/>
    <w:rsid w:val="00811FEF"/>
    <w:rsid w:val="00812040"/>
    <w:rsid w:val="0081208C"/>
    <w:rsid w:val="00812092"/>
    <w:rsid w:val="00812099"/>
    <w:rsid w:val="008120E3"/>
    <w:rsid w:val="0081235E"/>
    <w:rsid w:val="0081266A"/>
    <w:rsid w:val="00812B71"/>
    <w:rsid w:val="00812CB3"/>
    <w:rsid w:val="00812CCA"/>
    <w:rsid w:val="00812CDF"/>
    <w:rsid w:val="00812D15"/>
    <w:rsid w:val="00812D53"/>
    <w:rsid w:val="00812EE9"/>
    <w:rsid w:val="008130EE"/>
    <w:rsid w:val="00813111"/>
    <w:rsid w:val="0081318C"/>
    <w:rsid w:val="008134E1"/>
    <w:rsid w:val="0081361A"/>
    <w:rsid w:val="00813704"/>
    <w:rsid w:val="008137E1"/>
    <w:rsid w:val="00813938"/>
    <w:rsid w:val="00813991"/>
    <w:rsid w:val="00813B3F"/>
    <w:rsid w:val="00813B7D"/>
    <w:rsid w:val="00813BAE"/>
    <w:rsid w:val="00813E9D"/>
    <w:rsid w:val="00813FE6"/>
    <w:rsid w:val="0081404E"/>
    <w:rsid w:val="0081418B"/>
    <w:rsid w:val="00814214"/>
    <w:rsid w:val="00814710"/>
    <w:rsid w:val="00814801"/>
    <w:rsid w:val="0081488F"/>
    <w:rsid w:val="00814956"/>
    <w:rsid w:val="008149B1"/>
    <w:rsid w:val="008149D8"/>
    <w:rsid w:val="00814ADB"/>
    <w:rsid w:val="00814C3D"/>
    <w:rsid w:val="008150F3"/>
    <w:rsid w:val="00815198"/>
    <w:rsid w:val="008153C0"/>
    <w:rsid w:val="00815619"/>
    <w:rsid w:val="00815693"/>
    <w:rsid w:val="008156AC"/>
    <w:rsid w:val="008158D8"/>
    <w:rsid w:val="00815981"/>
    <w:rsid w:val="008159CA"/>
    <w:rsid w:val="00815A1C"/>
    <w:rsid w:val="00815A2F"/>
    <w:rsid w:val="00815C12"/>
    <w:rsid w:val="00815C17"/>
    <w:rsid w:val="00815D68"/>
    <w:rsid w:val="00815DCA"/>
    <w:rsid w:val="00815E3B"/>
    <w:rsid w:val="00815F16"/>
    <w:rsid w:val="008160DB"/>
    <w:rsid w:val="00816208"/>
    <w:rsid w:val="00816321"/>
    <w:rsid w:val="00816484"/>
    <w:rsid w:val="00816491"/>
    <w:rsid w:val="00816511"/>
    <w:rsid w:val="00816608"/>
    <w:rsid w:val="00816688"/>
    <w:rsid w:val="00816706"/>
    <w:rsid w:val="0081679E"/>
    <w:rsid w:val="008168FD"/>
    <w:rsid w:val="008169C2"/>
    <w:rsid w:val="00816B5C"/>
    <w:rsid w:val="00816F84"/>
    <w:rsid w:val="0081717A"/>
    <w:rsid w:val="00817267"/>
    <w:rsid w:val="00817297"/>
    <w:rsid w:val="00817333"/>
    <w:rsid w:val="00817402"/>
    <w:rsid w:val="00817422"/>
    <w:rsid w:val="008174DC"/>
    <w:rsid w:val="00817589"/>
    <w:rsid w:val="00817765"/>
    <w:rsid w:val="008177A9"/>
    <w:rsid w:val="00817B3F"/>
    <w:rsid w:val="00817B83"/>
    <w:rsid w:val="00817D0B"/>
    <w:rsid w:val="00817DDB"/>
    <w:rsid w:val="00817E79"/>
    <w:rsid w:val="00817F10"/>
    <w:rsid w:val="00820003"/>
    <w:rsid w:val="00820004"/>
    <w:rsid w:val="0082005D"/>
    <w:rsid w:val="00820147"/>
    <w:rsid w:val="00820201"/>
    <w:rsid w:val="00820207"/>
    <w:rsid w:val="008203E2"/>
    <w:rsid w:val="008206DB"/>
    <w:rsid w:val="0082084E"/>
    <w:rsid w:val="00820977"/>
    <w:rsid w:val="008209D2"/>
    <w:rsid w:val="00820A30"/>
    <w:rsid w:val="00820A9E"/>
    <w:rsid w:val="00820AD3"/>
    <w:rsid w:val="00820ADB"/>
    <w:rsid w:val="00820B76"/>
    <w:rsid w:val="00820DB3"/>
    <w:rsid w:val="00820F15"/>
    <w:rsid w:val="00821126"/>
    <w:rsid w:val="0082113A"/>
    <w:rsid w:val="008212AE"/>
    <w:rsid w:val="008213EF"/>
    <w:rsid w:val="0082148A"/>
    <w:rsid w:val="0082151D"/>
    <w:rsid w:val="008216CA"/>
    <w:rsid w:val="00821894"/>
    <w:rsid w:val="008218A3"/>
    <w:rsid w:val="00821BBE"/>
    <w:rsid w:val="00821E6B"/>
    <w:rsid w:val="00822043"/>
    <w:rsid w:val="0082209E"/>
    <w:rsid w:val="00822328"/>
    <w:rsid w:val="00822436"/>
    <w:rsid w:val="008225D9"/>
    <w:rsid w:val="00822663"/>
    <w:rsid w:val="00822B33"/>
    <w:rsid w:val="00822E09"/>
    <w:rsid w:val="00822EED"/>
    <w:rsid w:val="00822F1A"/>
    <w:rsid w:val="00822FDE"/>
    <w:rsid w:val="00823042"/>
    <w:rsid w:val="00823046"/>
    <w:rsid w:val="008230CE"/>
    <w:rsid w:val="008231E0"/>
    <w:rsid w:val="00823411"/>
    <w:rsid w:val="008234A8"/>
    <w:rsid w:val="008234F9"/>
    <w:rsid w:val="0082358C"/>
    <w:rsid w:val="0082369F"/>
    <w:rsid w:val="0082386C"/>
    <w:rsid w:val="008239E4"/>
    <w:rsid w:val="00823AA8"/>
    <w:rsid w:val="00823C35"/>
    <w:rsid w:val="00823D66"/>
    <w:rsid w:val="00823EAA"/>
    <w:rsid w:val="008240A4"/>
    <w:rsid w:val="008240BC"/>
    <w:rsid w:val="008240E0"/>
    <w:rsid w:val="00824244"/>
    <w:rsid w:val="008243E0"/>
    <w:rsid w:val="008245DD"/>
    <w:rsid w:val="008246B2"/>
    <w:rsid w:val="008246C6"/>
    <w:rsid w:val="008247CB"/>
    <w:rsid w:val="008248BA"/>
    <w:rsid w:val="00824A6F"/>
    <w:rsid w:val="00824FB4"/>
    <w:rsid w:val="008250CE"/>
    <w:rsid w:val="008250D0"/>
    <w:rsid w:val="0082511D"/>
    <w:rsid w:val="00825127"/>
    <w:rsid w:val="0082519F"/>
    <w:rsid w:val="0082533D"/>
    <w:rsid w:val="0082536B"/>
    <w:rsid w:val="00825639"/>
    <w:rsid w:val="008257A2"/>
    <w:rsid w:val="008259D8"/>
    <w:rsid w:val="00825A6B"/>
    <w:rsid w:val="00825E1B"/>
    <w:rsid w:val="00825F38"/>
    <w:rsid w:val="00825F45"/>
    <w:rsid w:val="00825F89"/>
    <w:rsid w:val="00825FF7"/>
    <w:rsid w:val="0082616E"/>
    <w:rsid w:val="00826190"/>
    <w:rsid w:val="00826381"/>
    <w:rsid w:val="00826387"/>
    <w:rsid w:val="0082646B"/>
    <w:rsid w:val="008264AC"/>
    <w:rsid w:val="008264DF"/>
    <w:rsid w:val="0082661D"/>
    <w:rsid w:val="008266EB"/>
    <w:rsid w:val="0082695D"/>
    <w:rsid w:val="00826979"/>
    <w:rsid w:val="00826C27"/>
    <w:rsid w:val="00826CD7"/>
    <w:rsid w:val="008270AA"/>
    <w:rsid w:val="0082719C"/>
    <w:rsid w:val="00827275"/>
    <w:rsid w:val="008273C1"/>
    <w:rsid w:val="0082748A"/>
    <w:rsid w:val="0082754A"/>
    <w:rsid w:val="0082758B"/>
    <w:rsid w:val="0082759E"/>
    <w:rsid w:val="00827840"/>
    <w:rsid w:val="00827A87"/>
    <w:rsid w:val="00827CD9"/>
    <w:rsid w:val="00830187"/>
    <w:rsid w:val="0083021B"/>
    <w:rsid w:val="008302F2"/>
    <w:rsid w:val="0083030D"/>
    <w:rsid w:val="0083043B"/>
    <w:rsid w:val="008304B3"/>
    <w:rsid w:val="0083079E"/>
    <w:rsid w:val="00830B5C"/>
    <w:rsid w:val="00830B8F"/>
    <w:rsid w:val="00830C5A"/>
    <w:rsid w:val="00830C9B"/>
    <w:rsid w:val="00830D52"/>
    <w:rsid w:val="00830F58"/>
    <w:rsid w:val="00830F5D"/>
    <w:rsid w:val="00830FAB"/>
    <w:rsid w:val="0083101C"/>
    <w:rsid w:val="0083117F"/>
    <w:rsid w:val="00831240"/>
    <w:rsid w:val="00831242"/>
    <w:rsid w:val="0083126B"/>
    <w:rsid w:val="00831298"/>
    <w:rsid w:val="008315B9"/>
    <w:rsid w:val="0083163E"/>
    <w:rsid w:val="00831656"/>
    <w:rsid w:val="0083177A"/>
    <w:rsid w:val="008318C0"/>
    <w:rsid w:val="00831A4A"/>
    <w:rsid w:val="00831B94"/>
    <w:rsid w:val="00831C35"/>
    <w:rsid w:val="00831DE6"/>
    <w:rsid w:val="008322EB"/>
    <w:rsid w:val="008323EE"/>
    <w:rsid w:val="008324D7"/>
    <w:rsid w:val="00832564"/>
    <w:rsid w:val="00832656"/>
    <w:rsid w:val="008326A5"/>
    <w:rsid w:val="008326F5"/>
    <w:rsid w:val="00832818"/>
    <w:rsid w:val="0083289A"/>
    <w:rsid w:val="008329C1"/>
    <w:rsid w:val="00832A12"/>
    <w:rsid w:val="00832AF7"/>
    <w:rsid w:val="00832B10"/>
    <w:rsid w:val="00832CBE"/>
    <w:rsid w:val="00832D72"/>
    <w:rsid w:val="00832DE5"/>
    <w:rsid w:val="00832DE9"/>
    <w:rsid w:val="00832FC4"/>
    <w:rsid w:val="0083308F"/>
    <w:rsid w:val="008332A7"/>
    <w:rsid w:val="008332E1"/>
    <w:rsid w:val="008332FB"/>
    <w:rsid w:val="008333AB"/>
    <w:rsid w:val="0083346E"/>
    <w:rsid w:val="008336D0"/>
    <w:rsid w:val="00833A71"/>
    <w:rsid w:val="00833B9D"/>
    <w:rsid w:val="00833BEC"/>
    <w:rsid w:val="00833C59"/>
    <w:rsid w:val="00833D0F"/>
    <w:rsid w:val="00833DC6"/>
    <w:rsid w:val="00833E9B"/>
    <w:rsid w:val="00833F31"/>
    <w:rsid w:val="00833F56"/>
    <w:rsid w:val="00833FC8"/>
    <w:rsid w:val="008340DA"/>
    <w:rsid w:val="0083428E"/>
    <w:rsid w:val="008342BC"/>
    <w:rsid w:val="00834342"/>
    <w:rsid w:val="0083434B"/>
    <w:rsid w:val="00834351"/>
    <w:rsid w:val="0083482E"/>
    <w:rsid w:val="0083483B"/>
    <w:rsid w:val="00834890"/>
    <w:rsid w:val="00834A23"/>
    <w:rsid w:val="00834AE6"/>
    <w:rsid w:val="00834D7C"/>
    <w:rsid w:val="00834D9F"/>
    <w:rsid w:val="00834DB1"/>
    <w:rsid w:val="00834E05"/>
    <w:rsid w:val="00834E62"/>
    <w:rsid w:val="0083507C"/>
    <w:rsid w:val="00835449"/>
    <w:rsid w:val="008356C4"/>
    <w:rsid w:val="00835755"/>
    <w:rsid w:val="008357F3"/>
    <w:rsid w:val="00835996"/>
    <w:rsid w:val="00835AEE"/>
    <w:rsid w:val="00835B7F"/>
    <w:rsid w:val="00835C6C"/>
    <w:rsid w:val="00835CDF"/>
    <w:rsid w:val="00835D48"/>
    <w:rsid w:val="00835D84"/>
    <w:rsid w:val="00835E19"/>
    <w:rsid w:val="00835E1A"/>
    <w:rsid w:val="00835E4C"/>
    <w:rsid w:val="00835F9D"/>
    <w:rsid w:val="0083654F"/>
    <w:rsid w:val="00836719"/>
    <w:rsid w:val="00836739"/>
    <w:rsid w:val="0083675C"/>
    <w:rsid w:val="00836989"/>
    <w:rsid w:val="008369D2"/>
    <w:rsid w:val="00836B7E"/>
    <w:rsid w:val="00836C3C"/>
    <w:rsid w:val="00836CE5"/>
    <w:rsid w:val="00836F77"/>
    <w:rsid w:val="0083705C"/>
    <w:rsid w:val="00837064"/>
    <w:rsid w:val="0083709D"/>
    <w:rsid w:val="00837308"/>
    <w:rsid w:val="0083749D"/>
    <w:rsid w:val="0083756E"/>
    <w:rsid w:val="008376EA"/>
    <w:rsid w:val="00837724"/>
    <w:rsid w:val="008377D3"/>
    <w:rsid w:val="00837AB7"/>
    <w:rsid w:val="00837AE9"/>
    <w:rsid w:val="00837B6B"/>
    <w:rsid w:val="00837D75"/>
    <w:rsid w:val="00837F0C"/>
    <w:rsid w:val="00837F31"/>
    <w:rsid w:val="008402A3"/>
    <w:rsid w:val="008402D8"/>
    <w:rsid w:val="008403DA"/>
    <w:rsid w:val="008405E7"/>
    <w:rsid w:val="00840736"/>
    <w:rsid w:val="008408C8"/>
    <w:rsid w:val="0084095A"/>
    <w:rsid w:val="00840AF8"/>
    <w:rsid w:val="00840CB2"/>
    <w:rsid w:val="00840D79"/>
    <w:rsid w:val="00840E0D"/>
    <w:rsid w:val="00840EEF"/>
    <w:rsid w:val="008411F3"/>
    <w:rsid w:val="0084123C"/>
    <w:rsid w:val="008413B9"/>
    <w:rsid w:val="008413DD"/>
    <w:rsid w:val="0084142D"/>
    <w:rsid w:val="00841469"/>
    <w:rsid w:val="00841559"/>
    <w:rsid w:val="00841573"/>
    <w:rsid w:val="00841578"/>
    <w:rsid w:val="00841579"/>
    <w:rsid w:val="00841B2A"/>
    <w:rsid w:val="00841C28"/>
    <w:rsid w:val="00841C5C"/>
    <w:rsid w:val="00841CDC"/>
    <w:rsid w:val="00841D20"/>
    <w:rsid w:val="00841D85"/>
    <w:rsid w:val="00841DF6"/>
    <w:rsid w:val="00841E13"/>
    <w:rsid w:val="00841EA6"/>
    <w:rsid w:val="00842279"/>
    <w:rsid w:val="008424D5"/>
    <w:rsid w:val="0084263F"/>
    <w:rsid w:val="008427DA"/>
    <w:rsid w:val="00842983"/>
    <w:rsid w:val="00842BA2"/>
    <w:rsid w:val="00842BA8"/>
    <w:rsid w:val="00842BC0"/>
    <w:rsid w:val="00842C3E"/>
    <w:rsid w:val="00842D16"/>
    <w:rsid w:val="00842DED"/>
    <w:rsid w:val="00842F3F"/>
    <w:rsid w:val="00842F89"/>
    <w:rsid w:val="00843052"/>
    <w:rsid w:val="00843095"/>
    <w:rsid w:val="00843287"/>
    <w:rsid w:val="00843335"/>
    <w:rsid w:val="00843602"/>
    <w:rsid w:val="00843BC4"/>
    <w:rsid w:val="00843C0C"/>
    <w:rsid w:val="00843CF5"/>
    <w:rsid w:val="00843DF5"/>
    <w:rsid w:val="00843E8E"/>
    <w:rsid w:val="00844107"/>
    <w:rsid w:val="0084414F"/>
    <w:rsid w:val="00844158"/>
    <w:rsid w:val="0084418D"/>
    <w:rsid w:val="00844205"/>
    <w:rsid w:val="00844218"/>
    <w:rsid w:val="0084430D"/>
    <w:rsid w:val="00844321"/>
    <w:rsid w:val="008443C9"/>
    <w:rsid w:val="008444CB"/>
    <w:rsid w:val="0084453D"/>
    <w:rsid w:val="00844975"/>
    <w:rsid w:val="00844ADE"/>
    <w:rsid w:val="00844B6D"/>
    <w:rsid w:val="00844BF7"/>
    <w:rsid w:val="00844E0C"/>
    <w:rsid w:val="00844EAA"/>
    <w:rsid w:val="00844ECA"/>
    <w:rsid w:val="00844FE2"/>
    <w:rsid w:val="0084522D"/>
    <w:rsid w:val="0084525E"/>
    <w:rsid w:val="008453E7"/>
    <w:rsid w:val="0084543C"/>
    <w:rsid w:val="008454B5"/>
    <w:rsid w:val="00845556"/>
    <w:rsid w:val="00845839"/>
    <w:rsid w:val="008458F1"/>
    <w:rsid w:val="00845915"/>
    <w:rsid w:val="008459C3"/>
    <w:rsid w:val="00845AF0"/>
    <w:rsid w:val="00845BB2"/>
    <w:rsid w:val="0084605F"/>
    <w:rsid w:val="008460C6"/>
    <w:rsid w:val="008461D4"/>
    <w:rsid w:val="008463C7"/>
    <w:rsid w:val="008463CB"/>
    <w:rsid w:val="008464B6"/>
    <w:rsid w:val="00846649"/>
    <w:rsid w:val="008468B0"/>
    <w:rsid w:val="008468E1"/>
    <w:rsid w:val="0084692D"/>
    <w:rsid w:val="008469DB"/>
    <w:rsid w:val="00846B6D"/>
    <w:rsid w:val="00846C6A"/>
    <w:rsid w:val="00846E96"/>
    <w:rsid w:val="00846F10"/>
    <w:rsid w:val="0084700D"/>
    <w:rsid w:val="00847079"/>
    <w:rsid w:val="008472CF"/>
    <w:rsid w:val="0084740E"/>
    <w:rsid w:val="008474E1"/>
    <w:rsid w:val="0084766F"/>
    <w:rsid w:val="0084793C"/>
    <w:rsid w:val="00847970"/>
    <w:rsid w:val="00847987"/>
    <w:rsid w:val="00847A58"/>
    <w:rsid w:val="00847B4C"/>
    <w:rsid w:val="00847C8A"/>
    <w:rsid w:val="00847CDA"/>
    <w:rsid w:val="00847D7E"/>
    <w:rsid w:val="00847D94"/>
    <w:rsid w:val="00847E87"/>
    <w:rsid w:val="008500F5"/>
    <w:rsid w:val="00850173"/>
    <w:rsid w:val="00850181"/>
    <w:rsid w:val="00850216"/>
    <w:rsid w:val="00850486"/>
    <w:rsid w:val="008507BF"/>
    <w:rsid w:val="0085087E"/>
    <w:rsid w:val="008508BE"/>
    <w:rsid w:val="00850950"/>
    <w:rsid w:val="008509AC"/>
    <w:rsid w:val="00850BDD"/>
    <w:rsid w:val="00850CFD"/>
    <w:rsid w:val="00850D3E"/>
    <w:rsid w:val="00850F01"/>
    <w:rsid w:val="00850F7A"/>
    <w:rsid w:val="00851086"/>
    <w:rsid w:val="00851164"/>
    <w:rsid w:val="0085119F"/>
    <w:rsid w:val="00851244"/>
    <w:rsid w:val="008512C6"/>
    <w:rsid w:val="0085138D"/>
    <w:rsid w:val="00851469"/>
    <w:rsid w:val="008514E7"/>
    <w:rsid w:val="008514F6"/>
    <w:rsid w:val="008514FE"/>
    <w:rsid w:val="00851570"/>
    <w:rsid w:val="00851770"/>
    <w:rsid w:val="008517B8"/>
    <w:rsid w:val="008517FA"/>
    <w:rsid w:val="00851836"/>
    <w:rsid w:val="00851A09"/>
    <w:rsid w:val="00851A4A"/>
    <w:rsid w:val="00851A4F"/>
    <w:rsid w:val="00852057"/>
    <w:rsid w:val="008521A4"/>
    <w:rsid w:val="00852209"/>
    <w:rsid w:val="008523F9"/>
    <w:rsid w:val="00852426"/>
    <w:rsid w:val="00852472"/>
    <w:rsid w:val="00852615"/>
    <w:rsid w:val="00852C4C"/>
    <w:rsid w:val="00852C83"/>
    <w:rsid w:val="00852D52"/>
    <w:rsid w:val="00852EA6"/>
    <w:rsid w:val="00852F4C"/>
    <w:rsid w:val="00852FB0"/>
    <w:rsid w:val="00852FED"/>
    <w:rsid w:val="00853053"/>
    <w:rsid w:val="008536AC"/>
    <w:rsid w:val="008536D3"/>
    <w:rsid w:val="008537E5"/>
    <w:rsid w:val="0085390A"/>
    <w:rsid w:val="00853938"/>
    <w:rsid w:val="00853D16"/>
    <w:rsid w:val="00853E61"/>
    <w:rsid w:val="00854056"/>
    <w:rsid w:val="00854366"/>
    <w:rsid w:val="0085453A"/>
    <w:rsid w:val="00854552"/>
    <w:rsid w:val="0085463D"/>
    <w:rsid w:val="008547D0"/>
    <w:rsid w:val="00854873"/>
    <w:rsid w:val="00854A6E"/>
    <w:rsid w:val="00854B73"/>
    <w:rsid w:val="00854BB8"/>
    <w:rsid w:val="00854C02"/>
    <w:rsid w:val="00854C20"/>
    <w:rsid w:val="00854C30"/>
    <w:rsid w:val="00854D4D"/>
    <w:rsid w:val="0085510A"/>
    <w:rsid w:val="00855269"/>
    <w:rsid w:val="0085528B"/>
    <w:rsid w:val="0085541E"/>
    <w:rsid w:val="008554D8"/>
    <w:rsid w:val="00855601"/>
    <w:rsid w:val="008559F5"/>
    <w:rsid w:val="00855B03"/>
    <w:rsid w:val="00855C83"/>
    <w:rsid w:val="00855E66"/>
    <w:rsid w:val="00855E7D"/>
    <w:rsid w:val="00855F71"/>
    <w:rsid w:val="00855F87"/>
    <w:rsid w:val="00855F95"/>
    <w:rsid w:val="00855FF1"/>
    <w:rsid w:val="00856162"/>
    <w:rsid w:val="00856201"/>
    <w:rsid w:val="008562C2"/>
    <w:rsid w:val="008562CD"/>
    <w:rsid w:val="00856334"/>
    <w:rsid w:val="00856596"/>
    <w:rsid w:val="0085670E"/>
    <w:rsid w:val="00856884"/>
    <w:rsid w:val="008568E7"/>
    <w:rsid w:val="00856A11"/>
    <w:rsid w:val="00856A30"/>
    <w:rsid w:val="00856ABF"/>
    <w:rsid w:val="00857173"/>
    <w:rsid w:val="008571BE"/>
    <w:rsid w:val="00857270"/>
    <w:rsid w:val="00857331"/>
    <w:rsid w:val="008573C5"/>
    <w:rsid w:val="0085753F"/>
    <w:rsid w:val="0085755B"/>
    <w:rsid w:val="008576D1"/>
    <w:rsid w:val="00857770"/>
    <w:rsid w:val="008578B8"/>
    <w:rsid w:val="00857A0E"/>
    <w:rsid w:val="00857B17"/>
    <w:rsid w:val="00857BE9"/>
    <w:rsid w:val="00857D17"/>
    <w:rsid w:val="00857D2D"/>
    <w:rsid w:val="00857D81"/>
    <w:rsid w:val="00857EFB"/>
    <w:rsid w:val="00857FCE"/>
    <w:rsid w:val="008600D7"/>
    <w:rsid w:val="0086023B"/>
    <w:rsid w:val="0086055C"/>
    <w:rsid w:val="008606B1"/>
    <w:rsid w:val="008607F8"/>
    <w:rsid w:val="008609CA"/>
    <w:rsid w:val="00860AA1"/>
    <w:rsid w:val="00860B7C"/>
    <w:rsid w:val="00860D5E"/>
    <w:rsid w:val="00860EE4"/>
    <w:rsid w:val="0086111B"/>
    <w:rsid w:val="008611A3"/>
    <w:rsid w:val="008612E7"/>
    <w:rsid w:val="00861350"/>
    <w:rsid w:val="00861415"/>
    <w:rsid w:val="00861510"/>
    <w:rsid w:val="008615B5"/>
    <w:rsid w:val="008616E8"/>
    <w:rsid w:val="008617A0"/>
    <w:rsid w:val="00861824"/>
    <w:rsid w:val="0086190A"/>
    <w:rsid w:val="00861A04"/>
    <w:rsid w:val="00861B3D"/>
    <w:rsid w:val="00861CA1"/>
    <w:rsid w:val="00861E16"/>
    <w:rsid w:val="00861E5B"/>
    <w:rsid w:val="00862312"/>
    <w:rsid w:val="0086235F"/>
    <w:rsid w:val="008624BC"/>
    <w:rsid w:val="00862544"/>
    <w:rsid w:val="00862561"/>
    <w:rsid w:val="00862598"/>
    <w:rsid w:val="008625F2"/>
    <w:rsid w:val="00862641"/>
    <w:rsid w:val="0086277D"/>
    <w:rsid w:val="0086296F"/>
    <w:rsid w:val="00862A50"/>
    <w:rsid w:val="00862B33"/>
    <w:rsid w:val="00862C61"/>
    <w:rsid w:val="00862CEE"/>
    <w:rsid w:val="00862EC5"/>
    <w:rsid w:val="00862FB9"/>
    <w:rsid w:val="00863013"/>
    <w:rsid w:val="00863017"/>
    <w:rsid w:val="008630CC"/>
    <w:rsid w:val="008630EF"/>
    <w:rsid w:val="00863150"/>
    <w:rsid w:val="0086333C"/>
    <w:rsid w:val="00863372"/>
    <w:rsid w:val="008635D8"/>
    <w:rsid w:val="00863645"/>
    <w:rsid w:val="00863654"/>
    <w:rsid w:val="0086381E"/>
    <w:rsid w:val="0086388F"/>
    <w:rsid w:val="0086395A"/>
    <w:rsid w:val="008639E8"/>
    <w:rsid w:val="00863A9A"/>
    <w:rsid w:val="00863B83"/>
    <w:rsid w:val="00863BC5"/>
    <w:rsid w:val="00863C48"/>
    <w:rsid w:val="00863D12"/>
    <w:rsid w:val="00863DDD"/>
    <w:rsid w:val="00863F08"/>
    <w:rsid w:val="00864032"/>
    <w:rsid w:val="008640E9"/>
    <w:rsid w:val="008640F5"/>
    <w:rsid w:val="00864104"/>
    <w:rsid w:val="008643E6"/>
    <w:rsid w:val="00864BD6"/>
    <w:rsid w:val="00864E0C"/>
    <w:rsid w:val="00864E6C"/>
    <w:rsid w:val="00864EAB"/>
    <w:rsid w:val="00864F36"/>
    <w:rsid w:val="00864F87"/>
    <w:rsid w:val="00865094"/>
    <w:rsid w:val="008650FB"/>
    <w:rsid w:val="00865181"/>
    <w:rsid w:val="00865280"/>
    <w:rsid w:val="0086529A"/>
    <w:rsid w:val="008656D4"/>
    <w:rsid w:val="00865895"/>
    <w:rsid w:val="008658F9"/>
    <w:rsid w:val="00865A5F"/>
    <w:rsid w:val="00865A99"/>
    <w:rsid w:val="00865D46"/>
    <w:rsid w:val="00865DF3"/>
    <w:rsid w:val="00865F2D"/>
    <w:rsid w:val="00866231"/>
    <w:rsid w:val="00866293"/>
    <w:rsid w:val="00866296"/>
    <w:rsid w:val="008662F7"/>
    <w:rsid w:val="008664BD"/>
    <w:rsid w:val="0086653E"/>
    <w:rsid w:val="008665FA"/>
    <w:rsid w:val="00866933"/>
    <w:rsid w:val="0086693F"/>
    <w:rsid w:val="00866C37"/>
    <w:rsid w:val="00866D0B"/>
    <w:rsid w:val="00866D8E"/>
    <w:rsid w:val="00866EE3"/>
    <w:rsid w:val="00866F68"/>
    <w:rsid w:val="00867075"/>
    <w:rsid w:val="008672B1"/>
    <w:rsid w:val="008672B5"/>
    <w:rsid w:val="008673C0"/>
    <w:rsid w:val="00867405"/>
    <w:rsid w:val="0086742D"/>
    <w:rsid w:val="008674F5"/>
    <w:rsid w:val="0086799A"/>
    <w:rsid w:val="00867B8F"/>
    <w:rsid w:val="00867D10"/>
    <w:rsid w:val="00867D9E"/>
    <w:rsid w:val="00867DD5"/>
    <w:rsid w:val="00867E74"/>
    <w:rsid w:val="00867E88"/>
    <w:rsid w:val="00867F3D"/>
    <w:rsid w:val="00870038"/>
    <w:rsid w:val="008700A6"/>
    <w:rsid w:val="0087058D"/>
    <w:rsid w:val="008706BB"/>
    <w:rsid w:val="00870862"/>
    <w:rsid w:val="00870879"/>
    <w:rsid w:val="00870BB8"/>
    <w:rsid w:val="00870EAE"/>
    <w:rsid w:val="00870ED6"/>
    <w:rsid w:val="00870FB1"/>
    <w:rsid w:val="00871050"/>
    <w:rsid w:val="00871535"/>
    <w:rsid w:val="0087153F"/>
    <w:rsid w:val="00871635"/>
    <w:rsid w:val="008716C9"/>
    <w:rsid w:val="00871873"/>
    <w:rsid w:val="00871944"/>
    <w:rsid w:val="00871A8B"/>
    <w:rsid w:val="00871B82"/>
    <w:rsid w:val="00871C04"/>
    <w:rsid w:val="00871D19"/>
    <w:rsid w:val="00872226"/>
    <w:rsid w:val="00872234"/>
    <w:rsid w:val="0087245B"/>
    <w:rsid w:val="00872492"/>
    <w:rsid w:val="008724CD"/>
    <w:rsid w:val="00872526"/>
    <w:rsid w:val="008726C1"/>
    <w:rsid w:val="008727AA"/>
    <w:rsid w:val="008727F0"/>
    <w:rsid w:val="0087290A"/>
    <w:rsid w:val="00872E13"/>
    <w:rsid w:val="00873070"/>
    <w:rsid w:val="008732EB"/>
    <w:rsid w:val="008733C0"/>
    <w:rsid w:val="0087346E"/>
    <w:rsid w:val="00873571"/>
    <w:rsid w:val="008735A1"/>
    <w:rsid w:val="00873670"/>
    <w:rsid w:val="00873712"/>
    <w:rsid w:val="008737ED"/>
    <w:rsid w:val="00873808"/>
    <w:rsid w:val="00873A09"/>
    <w:rsid w:val="00873A38"/>
    <w:rsid w:val="00873B2A"/>
    <w:rsid w:val="00873B3E"/>
    <w:rsid w:val="00873B6F"/>
    <w:rsid w:val="00873B8F"/>
    <w:rsid w:val="00873C76"/>
    <w:rsid w:val="00873D6C"/>
    <w:rsid w:val="00873D9D"/>
    <w:rsid w:val="00873E48"/>
    <w:rsid w:val="00873E91"/>
    <w:rsid w:val="00874193"/>
    <w:rsid w:val="00874251"/>
    <w:rsid w:val="008744C0"/>
    <w:rsid w:val="00874729"/>
    <w:rsid w:val="0087482E"/>
    <w:rsid w:val="00874859"/>
    <w:rsid w:val="008748B2"/>
    <w:rsid w:val="008748B8"/>
    <w:rsid w:val="00874916"/>
    <w:rsid w:val="00874DC4"/>
    <w:rsid w:val="00874F03"/>
    <w:rsid w:val="0087511C"/>
    <w:rsid w:val="0087543C"/>
    <w:rsid w:val="008756C7"/>
    <w:rsid w:val="008758C1"/>
    <w:rsid w:val="00875A5A"/>
    <w:rsid w:val="00875A7F"/>
    <w:rsid w:val="00875B01"/>
    <w:rsid w:val="00875B92"/>
    <w:rsid w:val="00875D67"/>
    <w:rsid w:val="00875DE6"/>
    <w:rsid w:val="00875E46"/>
    <w:rsid w:val="00875EC6"/>
    <w:rsid w:val="00875FAE"/>
    <w:rsid w:val="00875FDA"/>
    <w:rsid w:val="00876023"/>
    <w:rsid w:val="00876291"/>
    <w:rsid w:val="008762EF"/>
    <w:rsid w:val="0087661A"/>
    <w:rsid w:val="0087668B"/>
    <w:rsid w:val="008766EB"/>
    <w:rsid w:val="00876763"/>
    <w:rsid w:val="008767EA"/>
    <w:rsid w:val="00876808"/>
    <w:rsid w:val="00876859"/>
    <w:rsid w:val="00876890"/>
    <w:rsid w:val="00876909"/>
    <w:rsid w:val="0087690D"/>
    <w:rsid w:val="0087693E"/>
    <w:rsid w:val="0087698B"/>
    <w:rsid w:val="00876B51"/>
    <w:rsid w:val="00876BCB"/>
    <w:rsid w:val="00876BFF"/>
    <w:rsid w:val="00876D6A"/>
    <w:rsid w:val="00876F4A"/>
    <w:rsid w:val="0087733A"/>
    <w:rsid w:val="0087775F"/>
    <w:rsid w:val="008778C7"/>
    <w:rsid w:val="008779F8"/>
    <w:rsid w:val="00877A5C"/>
    <w:rsid w:val="00877B4A"/>
    <w:rsid w:val="00877BB3"/>
    <w:rsid w:val="00877C66"/>
    <w:rsid w:val="00877CF0"/>
    <w:rsid w:val="00877D4E"/>
    <w:rsid w:val="00877D79"/>
    <w:rsid w:val="00877EC7"/>
    <w:rsid w:val="00877FCD"/>
    <w:rsid w:val="008800B8"/>
    <w:rsid w:val="00880551"/>
    <w:rsid w:val="00880654"/>
    <w:rsid w:val="00880790"/>
    <w:rsid w:val="00880968"/>
    <w:rsid w:val="008809C3"/>
    <w:rsid w:val="00880CE1"/>
    <w:rsid w:val="00880E66"/>
    <w:rsid w:val="00880EC0"/>
    <w:rsid w:val="00880F84"/>
    <w:rsid w:val="00880F85"/>
    <w:rsid w:val="008810C0"/>
    <w:rsid w:val="008816FA"/>
    <w:rsid w:val="0088170B"/>
    <w:rsid w:val="00881838"/>
    <w:rsid w:val="00881913"/>
    <w:rsid w:val="00881BD3"/>
    <w:rsid w:val="00881BF1"/>
    <w:rsid w:val="00881CDB"/>
    <w:rsid w:val="00881DCB"/>
    <w:rsid w:val="00881EED"/>
    <w:rsid w:val="00881F34"/>
    <w:rsid w:val="00881F8A"/>
    <w:rsid w:val="00881FFD"/>
    <w:rsid w:val="0088205D"/>
    <w:rsid w:val="00882182"/>
    <w:rsid w:val="008821E8"/>
    <w:rsid w:val="0088230D"/>
    <w:rsid w:val="00882404"/>
    <w:rsid w:val="0088243A"/>
    <w:rsid w:val="008826A7"/>
    <w:rsid w:val="0088270C"/>
    <w:rsid w:val="0088285E"/>
    <w:rsid w:val="008828DC"/>
    <w:rsid w:val="00882B66"/>
    <w:rsid w:val="00882BE4"/>
    <w:rsid w:val="00882C6B"/>
    <w:rsid w:val="00882E8F"/>
    <w:rsid w:val="00882F0B"/>
    <w:rsid w:val="0088304A"/>
    <w:rsid w:val="0088304D"/>
    <w:rsid w:val="0088308F"/>
    <w:rsid w:val="00883215"/>
    <w:rsid w:val="0088321C"/>
    <w:rsid w:val="00883256"/>
    <w:rsid w:val="00883375"/>
    <w:rsid w:val="00883417"/>
    <w:rsid w:val="0088352B"/>
    <w:rsid w:val="008835ED"/>
    <w:rsid w:val="008837A6"/>
    <w:rsid w:val="0088390B"/>
    <w:rsid w:val="00883A30"/>
    <w:rsid w:val="00883AB5"/>
    <w:rsid w:val="00883B0F"/>
    <w:rsid w:val="00883C4B"/>
    <w:rsid w:val="00883CF4"/>
    <w:rsid w:val="00883D62"/>
    <w:rsid w:val="00883E83"/>
    <w:rsid w:val="00884177"/>
    <w:rsid w:val="00884385"/>
    <w:rsid w:val="0088438B"/>
    <w:rsid w:val="008843A0"/>
    <w:rsid w:val="00884413"/>
    <w:rsid w:val="008844D5"/>
    <w:rsid w:val="00884524"/>
    <w:rsid w:val="00884574"/>
    <w:rsid w:val="008845A4"/>
    <w:rsid w:val="0088470A"/>
    <w:rsid w:val="00884808"/>
    <w:rsid w:val="008849A4"/>
    <w:rsid w:val="00884B04"/>
    <w:rsid w:val="00884B13"/>
    <w:rsid w:val="00884B39"/>
    <w:rsid w:val="00884DEB"/>
    <w:rsid w:val="00884FEE"/>
    <w:rsid w:val="00885020"/>
    <w:rsid w:val="008850A6"/>
    <w:rsid w:val="008850B2"/>
    <w:rsid w:val="008850F0"/>
    <w:rsid w:val="008851F9"/>
    <w:rsid w:val="00885734"/>
    <w:rsid w:val="00885A8F"/>
    <w:rsid w:val="00885D3F"/>
    <w:rsid w:val="00885EDD"/>
    <w:rsid w:val="00885EF2"/>
    <w:rsid w:val="00885F1B"/>
    <w:rsid w:val="008862F8"/>
    <w:rsid w:val="008863CB"/>
    <w:rsid w:val="008865DF"/>
    <w:rsid w:val="00886633"/>
    <w:rsid w:val="00886810"/>
    <w:rsid w:val="00886851"/>
    <w:rsid w:val="00886B45"/>
    <w:rsid w:val="00886B5E"/>
    <w:rsid w:val="00886C60"/>
    <w:rsid w:val="00886D43"/>
    <w:rsid w:val="00886DBB"/>
    <w:rsid w:val="00886E0B"/>
    <w:rsid w:val="00886F8C"/>
    <w:rsid w:val="00886FAC"/>
    <w:rsid w:val="00887029"/>
    <w:rsid w:val="00887032"/>
    <w:rsid w:val="008870BD"/>
    <w:rsid w:val="00887213"/>
    <w:rsid w:val="00887275"/>
    <w:rsid w:val="0088737E"/>
    <w:rsid w:val="0088743B"/>
    <w:rsid w:val="0088753E"/>
    <w:rsid w:val="0088758F"/>
    <w:rsid w:val="008875A9"/>
    <w:rsid w:val="008875DE"/>
    <w:rsid w:val="0088770F"/>
    <w:rsid w:val="00887780"/>
    <w:rsid w:val="008877C3"/>
    <w:rsid w:val="00887DA1"/>
    <w:rsid w:val="00887E2D"/>
    <w:rsid w:val="00887FA6"/>
    <w:rsid w:val="00887FCD"/>
    <w:rsid w:val="0089009F"/>
    <w:rsid w:val="00890177"/>
    <w:rsid w:val="008903CD"/>
    <w:rsid w:val="00890406"/>
    <w:rsid w:val="00890427"/>
    <w:rsid w:val="0089044A"/>
    <w:rsid w:val="008904AA"/>
    <w:rsid w:val="00890629"/>
    <w:rsid w:val="00890697"/>
    <w:rsid w:val="008907C6"/>
    <w:rsid w:val="00890831"/>
    <w:rsid w:val="00890874"/>
    <w:rsid w:val="008908C9"/>
    <w:rsid w:val="008909A2"/>
    <w:rsid w:val="00890A29"/>
    <w:rsid w:val="00890A41"/>
    <w:rsid w:val="00890A52"/>
    <w:rsid w:val="00890B0F"/>
    <w:rsid w:val="00890C2D"/>
    <w:rsid w:val="00890C35"/>
    <w:rsid w:val="00890C88"/>
    <w:rsid w:val="00890C9E"/>
    <w:rsid w:val="00890EBC"/>
    <w:rsid w:val="00890FD5"/>
    <w:rsid w:val="008910F1"/>
    <w:rsid w:val="00891143"/>
    <w:rsid w:val="00891144"/>
    <w:rsid w:val="008911D9"/>
    <w:rsid w:val="00891395"/>
    <w:rsid w:val="0089156F"/>
    <w:rsid w:val="008915BA"/>
    <w:rsid w:val="008915F5"/>
    <w:rsid w:val="008919BB"/>
    <w:rsid w:val="00891B3E"/>
    <w:rsid w:val="00891B44"/>
    <w:rsid w:val="00891E1B"/>
    <w:rsid w:val="00891ECD"/>
    <w:rsid w:val="008920F6"/>
    <w:rsid w:val="00892495"/>
    <w:rsid w:val="0089250D"/>
    <w:rsid w:val="00892686"/>
    <w:rsid w:val="00892692"/>
    <w:rsid w:val="008926FD"/>
    <w:rsid w:val="00892B6F"/>
    <w:rsid w:val="00892C49"/>
    <w:rsid w:val="00892D56"/>
    <w:rsid w:val="00892F0F"/>
    <w:rsid w:val="00892F74"/>
    <w:rsid w:val="00893028"/>
    <w:rsid w:val="0089308F"/>
    <w:rsid w:val="00893109"/>
    <w:rsid w:val="00893119"/>
    <w:rsid w:val="00893155"/>
    <w:rsid w:val="00893168"/>
    <w:rsid w:val="00893212"/>
    <w:rsid w:val="0089323B"/>
    <w:rsid w:val="00893539"/>
    <w:rsid w:val="0089368E"/>
    <w:rsid w:val="008938B2"/>
    <w:rsid w:val="008938F7"/>
    <w:rsid w:val="0089398D"/>
    <w:rsid w:val="008939D9"/>
    <w:rsid w:val="00893DF4"/>
    <w:rsid w:val="0089431A"/>
    <w:rsid w:val="0089433F"/>
    <w:rsid w:val="008944B4"/>
    <w:rsid w:val="00894507"/>
    <w:rsid w:val="0089454D"/>
    <w:rsid w:val="00894579"/>
    <w:rsid w:val="0089462C"/>
    <w:rsid w:val="00894724"/>
    <w:rsid w:val="0089485C"/>
    <w:rsid w:val="00894913"/>
    <w:rsid w:val="00894948"/>
    <w:rsid w:val="008949DA"/>
    <w:rsid w:val="00894AC2"/>
    <w:rsid w:val="00894C0E"/>
    <w:rsid w:val="00894EAF"/>
    <w:rsid w:val="00894F60"/>
    <w:rsid w:val="00895156"/>
    <w:rsid w:val="008954B5"/>
    <w:rsid w:val="00895585"/>
    <w:rsid w:val="008955DD"/>
    <w:rsid w:val="0089571C"/>
    <w:rsid w:val="00895779"/>
    <w:rsid w:val="0089577E"/>
    <w:rsid w:val="00895839"/>
    <w:rsid w:val="00895A3A"/>
    <w:rsid w:val="00895AD5"/>
    <w:rsid w:val="00895C7D"/>
    <w:rsid w:val="00895F73"/>
    <w:rsid w:val="0089607D"/>
    <w:rsid w:val="00896133"/>
    <w:rsid w:val="00896180"/>
    <w:rsid w:val="008961CC"/>
    <w:rsid w:val="0089635D"/>
    <w:rsid w:val="00896363"/>
    <w:rsid w:val="0089669B"/>
    <w:rsid w:val="00896842"/>
    <w:rsid w:val="0089697E"/>
    <w:rsid w:val="00896BFF"/>
    <w:rsid w:val="0089700D"/>
    <w:rsid w:val="00897063"/>
    <w:rsid w:val="00897068"/>
    <w:rsid w:val="00897094"/>
    <w:rsid w:val="0089722B"/>
    <w:rsid w:val="00897263"/>
    <w:rsid w:val="008972BA"/>
    <w:rsid w:val="00897465"/>
    <w:rsid w:val="008974CA"/>
    <w:rsid w:val="008975EC"/>
    <w:rsid w:val="00897727"/>
    <w:rsid w:val="0089772A"/>
    <w:rsid w:val="00897829"/>
    <w:rsid w:val="0089784E"/>
    <w:rsid w:val="0089794A"/>
    <w:rsid w:val="00897A35"/>
    <w:rsid w:val="00897B6B"/>
    <w:rsid w:val="00897E44"/>
    <w:rsid w:val="00897F18"/>
    <w:rsid w:val="00897F50"/>
    <w:rsid w:val="00897F83"/>
    <w:rsid w:val="00897FA2"/>
    <w:rsid w:val="00897FCE"/>
    <w:rsid w:val="008A00C9"/>
    <w:rsid w:val="008A0114"/>
    <w:rsid w:val="008A013A"/>
    <w:rsid w:val="008A0193"/>
    <w:rsid w:val="008A02E2"/>
    <w:rsid w:val="008A033C"/>
    <w:rsid w:val="008A0361"/>
    <w:rsid w:val="008A03C8"/>
    <w:rsid w:val="008A0506"/>
    <w:rsid w:val="008A0596"/>
    <w:rsid w:val="008A05EB"/>
    <w:rsid w:val="008A0665"/>
    <w:rsid w:val="008A0867"/>
    <w:rsid w:val="008A0908"/>
    <w:rsid w:val="008A0BAE"/>
    <w:rsid w:val="008A0BEF"/>
    <w:rsid w:val="008A0D41"/>
    <w:rsid w:val="008A0D79"/>
    <w:rsid w:val="008A0E45"/>
    <w:rsid w:val="008A0F4C"/>
    <w:rsid w:val="008A0F5E"/>
    <w:rsid w:val="008A1166"/>
    <w:rsid w:val="008A1345"/>
    <w:rsid w:val="008A145F"/>
    <w:rsid w:val="008A148A"/>
    <w:rsid w:val="008A14F3"/>
    <w:rsid w:val="008A15A9"/>
    <w:rsid w:val="008A15EF"/>
    <w:rsid w:val="008A1628"/>
    <w:rsid w:val="008A1B5B"/>
    <w:rsid w:val="008A1B98"/>
    <w:rsid w:val="008A1EB7"/>
    <w:rsid w:val="008A2244"/>
    <w:rsid w:val="008A22DB"/>
    <w:rsid w:val="008A24B1"/>
    <w:rsid w:val="008A24CD"/>
    <w:rsid w:val="008A24DB"/>
    <w:rsid w:val="008A252A"/>
    <w:rsid w:val="008A2546"/>
    <w:rsid w:val="008A28F6"/>
    <w:rsid w:val="008A299F"/>
    <w:rsid w:val="008A2A02"/>
    <w:rsid w:val="008A2F04"/>
    <w:rsid w:val="008A2F82"/>
    <w:rsid w:val="008A311C"/>
    <w:rsid w:val="008A31AF"/>
    <w:rsid w:val="008A3269"/>
    <w:rsid w:val="008A33CF"/>
    <w:rsid w:val="008A3444"/>
    <w:rsid w:val="008A3447"/>
    <w:rsid w:val="008A3596"/>
    <w:rsid w:val="008A383A"/>
    <w:rsid w:val="008A3A94"/>
    <w:rsid w:val="008A3C89"/>
    <w:rsid w:val="008A3D8D"/>
    <w:rsid w:val="008A3DDB"/>
    <w:rsid w:val="008A3E8B"/>
    <w:rsid w:val="008A3EB3"/>
    <w:rsid w:val="008A3F35"/>
    <w:rsid w:val="008A3F97"/>
    <w:rsid w:val="008A3FC0"/>
    <w:rsid w:val="008A3FCB"/>
    <w:rsid w:val="008A4010"/>
    <w:rsid w:val="008A4244"/>
    <w:rsid w:val="008A43CD"/>
    <w:rsid w:val="008A4987"/>
    <w:rsid w:val="008A4AFD"/>
    <w:rsid w:val="008A4C4A"/>
    <w:rsid w:val="008A4C84"/>
    <w:rsid w:val="008A4CF6"/>
    <w:rsid w:val="008A5047"/>
    <w:rsid w:val="008A5256"/>
    <w:rsid w:val="008A52A1"/>
    <w:rsid w:val="008A5328"/>
    <w:rsid w:val="008A5508"/>
    <w:rsid w:val="008A56F9"/>
    <w:rsid w:val="008A594D"/>
    <w:rsid w:val="008A59A4"/>
    <w:rsid w:val="008A59FE"/>
    <w:rsid w:val="008A5AE4"/>
    <w:rsid w:val="008A5BC0"/>
    <w:rsid w:val="008A5CAA"/>
    <w:rsid w:val="008A5D82"/>
    <w:rsid w:val="008A5F35"/>
    <w:rsid w:val="008A6276"/>
    <w:rsid w:val="008A62B9"/>
    <w:rsid w:val="008A62CF"/>
    <w:rsid w:val="008A6480"/>
    <w:rsid w:val="008A652E"/>
    <w:rsid w:val="008A6535"/>
    <w:rsid w:val="008A67A2"/>
    <w:rsid w:val="008A6995"/>
    <w:rsid w:val="008A6A0A"/>
    <w:rsid w:val="008A6A1E"/>
    <w:rsid w:val="008A6B12"/>
    <w:rsid w:val="008A6B82"/>
    <w:rsid w:val="008A6C09"/>
    <w:rsid w:val="008A723F"/>
    <w:rsid w:val="008A7576"/>
    <w:rsid w:val="008A75CF"/>
    <w:rsid w:val="008A75D7"/>
    <w:rsid w:val="008A75E7"/>
    <w:rsid w:val="008A7638"/>
    <w:rsid w:val="008A790A"/>
    <w:rsid w:val="008A7931"/>
    <w:rsid w:val="008A7BA1"/>
    <w:rsid w:val="008A7F42"/>
    <w:rsid w:val="008A7FF3"/>
    <w:rsid w:val="008B00C8"/>
    <w:rsid w:val="008B00EB"/>
    <w:rsid w:val="008B0159"/>
    <w:rsid w:val="008B03E6"/>
    <w:rsid w:val="008B051D"/>
    <w:rsid w:val="008B05AA"/>
    <w:rsid w:val="008B0697"/>
    <w:rsid w:val="008B06E0"/>
    <w:rsid w:val="008B0812"/>
    <w:rsid w:val="008B0909"/>
    <w:rsid w:val="008B0A6A"/>
    <w:rsid w:val="008B0BE6"/>
    <w:rsid w:val="008B0D3E"/>
    <w:rsid w:val="008B0DA8"/>
    <w:rsid w:val="008B0F53"/>
    <w:rsid w:val="008B0F90"/>
    <w:rsid w:val="008B120A"/>
    <w:rsid w:val="008B1236"/>
    <w:rsid w:val="008B12AE"/>
    <w:rsid w:val="008B14C4"/>
    <w:rsid w:val="008B1753"/>
    <w:rsid w:val="008B17F8"/>
    <w:rsid w:val="008B181A"/>
    <w:rsid w:val="008B1932"/>
    <w:rsid w:val="008B1A4D"/>
    <w:rsid w:val="008B1BE9"/>
    <w:rsid w:val="008B1CD0"/>
    <w:rsid w:val="008B1CFB"/>
    <w:rsid w:val="008B1D5A"/>
    <w:rsid w:val="008B2486"/>
    <w:rsid w:val="008B24BA"/>
    <w:rsid w:val="008B24F7"/>
    <w:rsid w:val="008B2970"/>
    <w:rsid w:val="008B29B1"/>
    <w:rsid w:val="008B2B47"/>
    <w:rsid w:val="008B2E55"/>
    <w:rsid w:val="008B2FD5"/>
    <w:rsid w:val="008B3070"/>
    <w:rsid w:val="008B310D"/>
    <w:rsid w:val="008B31D4"/>
    <w:rsid w:val="008B31F0"/>
    <w:rsid w:val="008B3535"/>
    <w:rsid w:val="008B3540"/>
    <w:rsid w:val="008B355B"/>
    <w:rsid w:val="008B358B"/>
    <w:rsid w:val="008B35C9"/>
    <w:rsid w:val="008B3684"/>
    <w:rsid w:val="008B38CB"/>
    <w:rsid w:val="008B396A"/>
    <w:rsid w:val="008B3B8B"/>
    <w:rsid w:val="008B3D2C"/>
    <w:rsid w:val="008B3DAA"/>
    <w:rsid w:val="008B3DD7"/>
    <w:rsid w:val="008B3F68"/>
    <w:rsid w:val="008B410D"/>
    <w:rsid w:val="008B417F"/>
    <w:rsid w:val="008B41BA"/>
    <w:rsid w:val="008B43EA"/>
    <w:rsid w:val="008B47DD"/>
    <w:rsid w:val="008B488D"/>
    <w:rsid w:val="008B4A64"/>
    <w:rsid w:val="008B4C6B"/>
    <w:rsid w:val="008B4D0E"/>
    <w:rsid w:val="008B4D29"/>
    <w:rsid w:val="008B4E5D"/>
    <w:rsid w:val="008B4ED5"/>
    <w:rsid w:val="008B4F97"/>
    <w:rsid w:val="008B502A"/>
    <w:rsid w:val="008B5071"/>
    <w:rsid w:val="008B5226"/>
    <w:rsid w:val="008B535A"/>
    <w:rsid w:val="008B5374"/>
    <w:rsid w:val="008B5696"/>
    <w:rsid w:val="008B57D2"/>
    <w:rsid w:val="008B5A9C"/>
    <w:rsid w:val="008B5DFC"/>
    <w:rsid w:val="008B5E37"/>
    <w:rsid w:val="008B5F75"/>
    <w:rsid w:val="008B6082"/>
    <w:rsid w:val="008B618E"/>
    <w:rsid w:val="008B6262"/>
    <w:rsid w:val="008B62A0"/>
    <w:rsid w:val="008B6376"/>
    <w:rsid w:val="008B6453"/>
    <w:rsid w:val="008B6598"/>
    <w:rsid w:val="008B65FF"/>
    <w:rsid w:val="008B683A"/>
    <w:rsid w:val="008B69C3"/>
    <w:rsid w:val="008B69C5"/>
    <w:rsid w:val="008B6C68"/>
    <w:rsid w:val="008B6C7F"/>
    <w:rsid w:val="008B6DA3"/>
    <w:rsid w:val="008B6F7F"/>
    <w:rsid w:val="008B7035"/>
    <w:rsid w:val="008B7231"/>
    <w:rsid w:val="008B739C"/>
    <w:rsid w:val="008B73DB"/>
    <w:rsid w:val="008B74AC"/>
    <w:rsid w:val="008B74FD"/>
    <w:rsid w:val="008B76D2"/>
    <w:rsid w:val="008B775D"/>
    <w:rsid w:val="008B77E9"/>
    <w:rsid w:val="008B781D"/>
    <w:rsid w:val="008B7856"/>
    <w:rsid w:val="008B78A9"/>
    <w:rsid w:val="008B7A8A"/>
    <w:rsid w:val="008B7B1F"/>
    <w:rsid w:val="008B7C9D"/>
    <w:rsid w:val="008B7D5D"/>
    <w:rsid w:val="008B7E83"/>
    <w:rsid w:val="008C0045"/>
    <w:rsid w:val="008C00EA"/>
    <w:rsid w:val="008C0184"/>
    <w:rsid w:val="008C02E9"/>
    <w:rsid w:val="008C02FE"/>
    <w:rsid w:val="008C035B"/>
    <w:rsid w:val="008C038E"/>
    <w:rsid w:val="008C058E"/>
    <w:rsid w:val="008C065B"/>
    <w:rsid w:val="008C067E"/>
    <w:rsid w:val="008C07C0"/>
    <w:rsid w:val="008C0950"/>
    <w:rsid w:val="008C0A54"/>
    <w:rsid w:val="008C0B86"/>
    <w:rsid w:val="008C0BAE"/>
    <w:rsid w:val="008C0CC6"/>
    <w:rsid w:val="008C0DCD"/>
    <w:rsid w:val="008C0E74"/>
    <w:rsid w:val="008C0F60"/>
    <w:rsid w:val="008C10A3"/>
    <w:rsid w:val="008C1450"/>
    <w:rsid w:val="008C14B5"/>
    <w:rsid w:val="008C1625"/>
    <w:rsid w:val="008C16E4"/>
    <w:rsid w:val="008C176B"/>
    <w:rsid w:val="008C1852"/>
    <w:rsid w:val="008C1BEA"/>
    <w:rsid w:val="008C1CCB"/>
    <w:rsid w:val="008C1D02"/>
    <w:rsid w:val="008C1D92"/>
    <w:rsid w:val="008C1ECE"/>
    <w:rsid w:val="008C1FB8"/>
    <w:rsid w:val="008C2000"/>
    <w:rsid w:val="008C21BA"/>
    <w:rsid w:val="008C21E8"/>
    <w:rsid w:val="008C224D"/>
    <w:rsid w:val="008C2591"/>
    <w:rsid w:val="008C25CE"/>
    <w:rsid w:val="008C298A"/>
    <w:rsid w:val="008C2B52"/>
    <w:rsid w:val="008C2BEB"/>
    <w:rsid w:val="008C2E05"/>
    <w:rsid w:val="008C2F1D"/>
    <w:rsid w:val="008C32C4"/>
    <w:rsid w:val="008C3361"/>
    <w:rsid w:val="008C33A8"/>
    <w:rsid w:val="008C3519"/>
    <w:rsid w:val="008C3603"/>
    <w:rsid w:val="008C37F6"/>
    <w:rsid w:val="008C3830"/>
    <w:rsid w:val="008C3912"/>
    <w:rsid w:val="008C3BF5"/>
    <w:rsid w:val="008C3D2C"/>
    <w:rsid w:val="008C3D4D"/>
    <w:rsid w:val="008C3DB4"/>
    <w:rsid w:val="008C3FB3"/>
    <w:rsid w:val="008C406C"/>
    <w:rsid w:val="008C410B"/>
    <w:rsid w:val="008C4308"/>
    <w:rsid w:val="008C444D"/>
    <w:rsid w:val="008C446F"/>
    <w:rsid w:val="008C4815"/>
    <w:rsid w:val="008C48F1"/>
    <w:rsid w:val="008C4BAB"/>
    <w:rsid w:val="008C4DE0"/>
    <w:rsid w:val="008C4EFA"/>
    <w:rsid w:val="008C4FAA"/>
    <w:rsid w:val="008C5068"/>
    <w:rsid w:val="008C520F"/>
    <w:rsid w:val="008C5352"/>
    <w:rsid w:val="008C53E4"/>
    <w:rsid w:val="008C5457"/>
    <w:rsid w:val="008C5481"/>
    <w:rsid w:val="008C54C6"/>
    <w:rsid w:val="008C5555"/>
    <w:rsid w:val="008C55E5"/>
    <w:rsid w:val="008C564B"/>
    <w:rsid w:val="008C5A52"/>
    <w:rsid w:val="008C5A77"/>
    <w:rsid w:val="008C5B11"/>
    <w:rsid w:val="008C5FA0"/>
    <w:rsid w:val="008C5FEE"/>
    <w:rsid w:val="008C6077"/>
    <w:rsid w:val="008C60C7"/>
    <w:rsid w:val="008C6134"/>
    <w:rsid w:val="008C6177"/>
    <w:rsid w:val="008C6188"/>
    <w:rsid w:val="008C621E"/>
    <w:rsid w:val="008C62B7"/>
    <w:rsid w:val="008C630B"/>
    <w:rsid w:val="008C630D"/>
    <w:rsid w:val="008C63A3"/>
    <w:rsid w:val="008C64F0"/>
    <w:rsid w:val="008C65CC"/>
    <w:rsid w:val="008C6620"/>
    <w:rsid w:val="008C6703"/>
    <w:rsid w:val="008C684B"/>
    <w:rsid w:val="008C697F"/>
    <w:rsid w:val="008C698C"/>
    <w:rsid w:val="008C6B5F"/>
    <w:rsid w:val="008C6B9E"/>
    <w:rsid w:val="008C6DC8"/>
    <w:rsid w:val="008C6DE7"/>
    <w:rsid w:val="008C6E0A"/>
    <w:rsid w:val="008C6F59"/>
    <w:rsid w:val="008C702D"/>
    <w:rsid w:val="008C705B"/>
    <w:rsid w:val="008C7208"/>
    <w:rsid w:val="008C733C"/>
    <w:rsid w:val="008C73A5"/>
    <w:rsid w:val="008C75A2"/>
    <w:rsid w:val="008C76FA"/>
    <w:rsid w:val="008C7781"/>
    <w:rsid w:val="008C78AE"/>
    <w:rsid w:val="008C78E0"/>
    <w:rsid w:val="008C7916"/>
    <w:rsid w:val="008C7935"/>
    <w:rsid w:val="008C7AA0"/>
    <w:rsid w:val="008C7C19"/>
    <w:rsid w:val="008C7DAA"/>
    <w:rsid w:val="008C7FC2"/>
    <w:rsid w:val="008D0011"/>
    <w:rsid w:val="008D018E"/>
    <w:rsid w:val="008D0247"/>
    <w:rsid w:val="008D02A2"/>
    <w:rsid w:val="008D02AF"/>
    <w:rsid w:val="008D04B9"/>
    <w:rsid w:val="008D04FC"/>
    <w:rsid w:val="008D0626"/>
    <w:rsid w:val="008D06C8"/>
    <w:rsid w:val="008D06CB"/>
    <w:rsid w:val="008D07A2"/>
    <w:rsid w:val="008D07C8"/>
    <w:rsid w:val="008D07D2"/>
    <w:rsid w:val="008D089B"/>
    <w:rsid w:val="008D0A20"/>
    <w:rsid w:val="008D0ACB"/>
    <w:rsid w:val="008D0B2D"/>
    <w:rsid w:val="008D0D4E"/>
    <w:rsid w:val="008D0E42"/>
    <w:rsid w:val="008D0E9B"/>
    <w:rsid w:val="008D0EDF"/>
    <w:rsid w:val="008D0EE8"/>
    <w:rsid w:val="008D0FC6"/>
    <w:rsid w:val="008D102D"/>
    <w:rsid w:val="008D10D7"/>
    <w:rsid w:val="008D13E0"/>
    <w:rsid w:val="008D1419"/>
    <w:rsid w:val="008D1643"/>
    <w:rsid w:val="008D1695"/>
    <w:rsid w:val="008D18B1"/>
    <w:rsid w:val="008D192B"/>
    <w:rsid w:val="008D1A07"/>
    <w:rsid w:val="008D1A3B"/>
    <w:rsid w:val="008D1A83"/>
    <w:rsid w:val="008D1C0C"/>
    <w:rsid w:val="008D1DCB"/>
    <w:rsid w:val="008D200E"/>
    <w:rsid w:val="008D2013"/>
    <w:rsid w:val="008D20D7"/>
    <w:rsid w:val="008D20E8"/>
    <w:rsid w:val="008D21BB"/>
    <w:rsid w:val="008D228D"/>
    <w:rsid w:val="008D23B0"/>
    <w:rsid w:val="008D26E4"/>
    <w:rsid w:val="008D2866"/>
    <w:rsid w:val="008D29EA"/>
    <w:rsid w:val="008D2DAC"/>
    <w:rsid w:val="008D2E0C"/>
    <w:rsid w:val="008D3089"/>
    <w:rsid w:val="008D3148"/>
    <w:rsid w:val="008D33CF"/>
    <w:rsid w:val="008D3763"/>
    <w:rsid w:val="008D3773"/>
    <w:rsid w:val="008D3785"/>
    <w:rsid w:val="008D38C7"/>
    <w:rsid w:val="008D399F"/>
    <w:rsid w:val="008D3A31"/>
    <w:rsid w:val="008D3A43"/>
    <w:rsid w:val="008D3A80"/>
    <w:rsid w:val="008D3AE1"/>
    <w:rsid w:val="008D3CA5"/>
    <w:rsid w:val="008D3DFD"/>
    <w:rsid w:val="008D3E1E"/>
    <w:rsid w:val="008D3F08"/>
    <w:rsid w:val="008D3FC0"/>
    <w:rsid w:val="008D3FFE"/>
    <w:rsid w:val="008D40C2"/>
    <w:rsid w:val="008D411D"/>
    <w:rsid w:val="008D4204"/>
    <w:rsid w:val="008D4345"/>
    <w:rsid w:val="008D45DA"/>
    <w:rsid w:val="008D463E"/>
    <w:rsid w:val="008D4736"/>
    <w:rsid w:val="008D47B1"/>
    <w:rsid w:val="008D4928"/>
    <w:rsid w:val="008D4A3F"/>
    <w:rsid w:val="008D4ACE"/>
    <w:rsid w:val="008D4B4E"/>
    <w:rsid w:val="008D4DEB"/>
    <w:rsid w:val="008D4E00"/>
    <w:rsid w:val="008D4E70"/>
    <w:rsid w:val="008D5054"/>
    <w:rsid w:val="008D524C"/>
    <w:rsid w:val="008D550C"/>
    <w:rsid w:val="008D553F"/>
    <w:rsid w:val="008D5543"/>
    <w:rsid w:val="008D57E3"/>
    <w:rsid w:val="008D5925"/>
    <w:rsid w:val="008D5AA4"/>
    <w:rsid w:val="008D5AE6"/>
    <w:rsid w:val="008D5BC1"/>
    <w:rsid w:val="008D5F20"/>
    <w:rsid w:val="008D5F4D"/>
    <w:rsid w:val="008D5FBB"/>
    <w:rsid w:val="008D5FD8"/>
    <w:rsid w:val="008D6082"/>
    <w:rsid w:val="008D63AA"/>
    <w:rsid w:val="008D63C4"/>
    <w:rsid w:val="008D6467"/>
    <w:rsid w:val="008D6793"/>
    <w:rsid w:val="008D6866"/>
    <w:rsid w:val="008D6912"/>
    <w:rsid w:val="008D69A5"/>
    <w:rsid w:val="008D69D2"/>
    <w:rsid w:val="008D6C6B"/>
    <w:rsid w:val="008D6D85"/>
    <w:rsid w:val="008D6F05"/>
    <w:rsid w:val="008D7292"/>
    <w:rsid w:val="008D7320"/>
    <w:rsid w:val="008D74D9"/>
    <w:rsid w:val="008D752F"/>
    <w:rsid w:val="008D7535"/>
    <w:rsid w:val="008D7571"/>
    <w:rsid w:val="008D75DE"/>
    <w:rsid w:val="008D76A2"/>
    <w:rsid w:val="008D76B6"/>
    <w:rsid w:val="008D770C"/>
    <w:rsid w:val="008D783F"/>
    <w:rsid w:val="008D7987"/>
    <w:rsid w:val="008D79A7"/>
    <w:rsid w:val="008D7CEF"/>
    <w:rsid w:val="008D7D91"/>
    <w:rsid w:val="008D7EE5"/>
    <w:rsid w:val="008E008A"/>
    <w:rsid w:val="008E00B8"/>
    <w:rsid w:val="008E02E5"/>
    <w:rsid w:val="008E04C7"/>
    <w:rsid w:val="008E04E2"/>
    <w:rsid w:val="008E0701"/>
    <w:rsid w:val="008E073A"/>
    <w:rsid w:val="008E078D"/>
    <w:rsid w:val="008E07EE"/>
    <w:rsid w:val="008E0803"/>
    <w:rsid w:val="008E09BB"/>
    <w:rsid w:val="008E0A61"/>
    <w:rsid w:val="008E0B2D"/>
    <w:rsid w:val="008E0BD5"/>
    <w:rsid w:val="008E0D9B"/>
    <w:rsid w:val="008E0DE1"/>
    <w:rsid w:val="008E0F41"/>
    <w:rsid w:val="008E0F56"/>
    <w:rsid w:val="008E0F84"/>
    <w:rsid w:val="008E10EC"/>
    <w:rsid w:val="008E110B"/>
    <w:rsid w:val="008E158B"/>
    <w:rsid w:val="008E1637"/>
    <w:rsid w:val="008E19DB"/>
    <w:rsid w:val="008E1D5F"/>
    <w:rsid w:val="008E1E29"/>
    <w:rsid w:val="008E1E5A"/>
    <w:rsid w:val="008E1F60"/>
    <w:rsid w:val="008E200D"/>
    <w:rsid w:val="008E2135"/>
    <w:rsid w:val="008E2137"/>
    <w:rsid w:val="008E2181"/>
    <w:rsid w:val="008E222A"/>
    <w:rsid w:val="008E2374"/>
    <w:rsid w:val="008E24B7"/>
    <w:rsid w:val="008E24C9"/>
    <w:rsid w:val="008E2529"/>
    <w:rsid w:val="008E2565"/>
    <w:rsid w:val="008E2617"/>
    <w:rsid w:val="008E26A3"/>
    <w:rsid w:val="008E26C9"/>
    <w:rsid w:val="008E2796"/>
    <w:rsid w:val="008E27B6"/>
    <w:rsid w:val="008E27C8"/>
    <w:rsid w:val="008E2874"/>
    <w:rsid w:val="008E28AC"/>
    <w:rsid w:val="008E28DF"/>
    <w:rsid w:val="008E297E"/>
    <w:rsid w:val="008E2BD5"/>
    <w:rsid w:val="008E2DBC"/>
    <w:rsid w:val="008E2EEA"/>
    <w:rsid w:val="008E2F18"/>
    <w:rsid w:val="008E2FA6"/>
    <w:rsid w:val="008E304B"/>
    <w:rsid w:val="008E3072"/>
    <w:rsid w:val="008E3576"/>
    <w:rsid w:val="008E3617"/>
    <w:rsid w:val="008E3653"/>
    <w:rsid w:val="008E3700"/>
    <w:rsid w:val="008E3740"/>
    <w:rsid w:val="008E3775"/>
    <w:rsid w:val="008E3852"/>
    <w:rsid w:val="008E3BC9"/>
    <w:rsid w:val="008E3E1F"/>
    <w:rsid w:val="008E3E85"/>
    <w:rsid w:val="008E3F6D"/>
    <w:rsid w:val="008E40D1"/>
    <w:rsid w:val="008E41E7"/>
    <w:rsid w:val="008E421D"/>
    <w:rsid w:val="008E42C0"/>
    <w:rsid w:val="008E433C"/>
    <w:rsid w:val="008E4435"/>
    <w:rsid w:val="008E449C"/>
    <w:rsid w:val="008E44ED"/>
    <w:rsid w:val="008E45DA"/>
    <w:rsid w:val="008E460B"/>
    <w:rsid w:val="008E4775"/>
    <w:rsid w:val="008E4805"/>
    <w:rsid w:val="008E49CA"/>
    <w:rsid w:val="008E4B3E"/>
    <w:rsid w:val="008E4CD9"/>
    <w:rsid w:val="008E4EE4"/>
    <w:rsid w:val="008E4EE7"/>
    <w:rsid w:val="008E5084"/>
    <w:rsid w:val="008E5315"/>
    <w:rsid w:val="008E557C"/>
    <w:rsid w:val="008E56E2"/>
    <w:rsid w:val="008E5712"/>
    <w:rsid w:val="008E57EC"/>
    <w:rsid w:val="008E5A33"/>
    <w:rsid w:val="008E5B76"/>
    <w:rsid w:val="008E6360"/>
    <w:rsid w:val="008E66A3"/>
    <w:rsid w:val="008E6898"/>
    <w:rsid w:val="008E696E"/>
    <w:rsid w:val="008E6A11"/>
    <w:rsid w:val="008E6B7D"/>
    <w:rsid w:val="008E6BD5"/>
    <w:rsid w:val="008E6C69"/>
    <w:rsid w:val="008E6E43"/>
    <w:rsid w:val="008E6E5E"/>
    <w:rsid w:val="008E7120"/>
    <w:rsid w:val="008E7193"/>
    <w:rsid w:val="008E737F"/>
    <w:rsid w:val="008E757F"/>
    <w:rsid w:val="008E765B"/>
    <w:rsid w:val="008E7662"/>
    <w:rsid w:val="008E78CC"/>
    <w:rsid w:val="008E7948"/>
    <w:rsid w:val="008E7BB0"/>
    <w:rsid w:val="008E7BBA"/>
    <w:rsid w:val="008E7E01"/>
    <w:rsid w:val="008F0033"/>
    <w:rsid w:val="008F01CE"/>
    <w:rsid w:val="008F0285"/>
    <w:rsid w:val="008F03A0"/>
    <w:rsid w:val="008F0453"/>
    <w:rsid w:val="008F046E"/>
    <w:rsid w:val="008F04D0"/>
    <w:rsid w:val="008F0547"/>
    <w:rsid w:val="008F057C"/>
    <w:rsid w:val="008F06AE"/>
    <w:rsid w:val="008F0708"/>
    <w:rsid w:val="008F08CA"/>
    <w:rsid w:val="008F090A"/>
    <w:rsid w:val="008F0A35"/>
    <w:rsid w:val="008F0D73"/>
    <w:rsid w:val="008F0E39"/>
    <w:rsid w:val="008F1103"/>
    <w:rsid w:val="008F1289"/>
    <w:rsid w:val="008F1302"/>
    <w:rsid w:val="008F13A6"/>
    <w:rsid w:val="008F142B"/>
    <w:rsid w:val="008F149F"/>
    <w:rsid w:val="008F14AC"/>
    <w:rsid w:val="008F1675"/>
    <w:rsid w:val="008F172D"/>
    <w:rsid w:val="008F1876"/>
    <w:rsid w:val="008F1936"/>
    <w:rsid w:val="008F1A83"/>
    <w:rsid w:val="008F1B47"/>
    <w:rsid w:val="008F1BB0"/>
    <w:rsid w:val="008F1D90"/>
    <w:rsid w:val="008F1DD5"/>
    <w:rsid w:val="008F1DEF"/>
    <w:rsid w:val="008F1E7D"/>
    <w:rsid w:val="008F1E80"/>
    <w:rsid w:val="008F1E97"/>
    <w:rsid w:val="008F20C9"/>
    <w:rsid w:val="008F20CC"/>
    <w:rsid w:val="008F2180"/>
    <w:rsid w:val="008F21D1"/>
    <w:rsid w:val="008F223C"/>
    <w:rsid w:val="008F24B6"/>
    <w:rsid w:val="008F25CD"/>
    <w:rsid w:val="008F2641"/>
    <w:rsid w:val="008F276F"/>
    <w:rsid w:val="008F27EA"/>
    <w:rsid w:val="008F280C"/>
    <w:rsid w:val="008F28D6"/>
    <w:rsid w:val="008F29D4"/>
    <w:rsid w:val="008F29D7"/>
    <w:rsid w:val="008F2D99"/>
    <w:rsid w:val="008F2DEE"/>
    <w:rsid w:val="008F327D"/>
    <w:rsid w:val="008F328F"/>
    <w:rsid w:val="008F33A2"/>
    <w:rsid w:val="008F35C8"/>
    <w:rsid w:val="008F376B"/>
    <w:rsid w:val="008F3849"/>
    <w:rsid w:val="008F3CEB"/>
    <w:rsid w:val="008F3FDB"/>
    <w:rsid w:val="008F4189"/>
    <w:rsid w:val="008F4342"/>
    <w:rsid w:val="008F4414"/>
    <w:rsid w:val="008F4656"/>
    <w:rsid w:val="008F4805"/>
    <w:rsid w:val="008F4851"/>
    <w:rsid w:val="008F48D8"/>
    <w:rsid w:val="008F48EF"/>
    <w:rsid w:val="008F4A57"/>
    <w:rsid w:val="008F4B9A"/>
    <w:rsid w:val="008F4C22"/>
    <w:rsid w:val="008F4D0D"/>
    <w:rsid w:val="008F4DF5"/>
    <w:rsid w:val="008F4E72"/>
    <w:rsid w:val="008F4EC9"/>
    <w:rsid w:val="008F4F3D"/>
    <w:rsid w:val="008F4FE3"/>
    <w:rsid w:val="008F508E"/>
    <w:rsid w:val="008F516E"/>
    <w:rsid w:val="008F51A1"/>
    <w:rsid w:val="008F51CE"/>
    <w:rsid w:val="008F5281"/>
    <w:rsid w:val="008F5384"/>
    <w:rsid w:val="008F5498"/>
    <w:rsid w:val="008F56D3"/>
    <w:rsid w:val="008F57A7"/>
    <w:rsid w:val="008F59E0"/>
    <w:rsid w:val="008F5A61"/>
    <w:rsid w:val="008F5A78"/>
    <w:rsid w:val="008F5C03"/>
    <w:rsid w:val="008F5C36"/>
    <w:rsid w:val="008F5CB4"/>
    <w:rsid w:val="008F5D88"/>
    <w:rsid w:val="008F5DAA"/>
    <w:rsid w:val="008F6027"/>
    <w:rsid w:val="008F615F"/>
    <w:rsid w:val="008F64AD"/>
    <w:rsid w:val="008F64D8"/>
    <w:rsid w:val="008F6604"/>
    <w:rsid w:val="008F675B"/>
    <w:rsid w:val="008F689B"/>
    <w:rsid w:val="008F699F"/>
    <w:rsid w:val="008F69C8"/>
    <w:rsid w:val="008F6A6B"/>
    <w:rsid w:val="008F6BF6"/>
    <w:rsid w:val="008F6D69"/>
    <w:rsid w:val="008F6DB6"/>
    <w:rsid w:val="008F6E29"/>
    <w:rsid w:val="008F6E2B"/>
    <w:rsid w:val="008F6E5B"/>
    <w:rsid w:val="008F6E6E"/>
    <w:rsid w:val="008F702D"/>
    <w:rsid w:val="008F70D2"/>
    <w:rsid w:val="008F715B"/>
    <w:rsid w:val="008F7286"/>
    <w:rsid w:val="008F7389"/>
    <w:rsid w:val="008F73FB"/>
    <w:rsid w:val="008F74AF"/>
    <w:rsid w:val="008F7715"/>
    <w:rsid w:val="008F7915"/>
    <w:rsid w:val="008F79A1"/>
    <w:rsid w:val="008F7A38"/>
    <w:rsid w:val="008F7A93"/>
    <w:rsid w:val="008F7BA1"/>
    <w:rsid w:val="008F7BC8"/>
    <w:rsid w:val="008F7D40"/>
    <w:rsid w:val="008F7DDE"/>
    <w:rsid w:val="0090009A"/>
    <w:rsid w:val="00900195"/>
    <w:rsid w:val="009001BE"/>
    <w:rsid w:val="0090036C"/>
    <w:rsid w:val="009003F9"/>
    <w:rsid w:val="009004D6"/>
    <w:rsid w:val="009004DB"/>
    <w:rsid w:val="0090051D"/>
    <w:rsid w:val="009005C1"/>
    <w:rsid w:val="009006B0"/>
    <w:rsid w:val="0090080D"/>
    <w:rsid w:val="009008E4"/>
    <w:rsid w:val="00900B46"/>
    <w:rsid w:val="00900C3C"/>
    <w:rsid w:val="00900C43"/>
    <w:rsid w:val="00900E87"/>
    <w:rsid w:val="00901044"/>
    <w:rsid w:val="009011EB"/>
    <w:rsid w:val="0090139E"/>
    <w:rsid w:val="00901416"/>
    <w:rsid w:val="009014EF"/>
    <w:rsid w:val="009017A0"/>
    <w:rsid w:val="00901932"/>
    <w:rsid w:val="00901D73"/>
    <w:rsid w:val="00901E4A"/>
    <w:rsid w:val="00901EA3"/>
    <w:rsid w:val="00901F37"/>
    <w:rsid w:val="0090205B"/>
    <w:rsid w:val="00902141"/>
    <w:rsid w:val="00902242"/>
    <w:rsid w:val="009022F2"/>
    <w:rsid w:val="009024F7"/>
    <w:rsid w:val="00902575"/>
    <w:rsid w:val="0090259C"/>
    <w:rsid w:val="009025B8"/>
    <w:rsid w:val="00902697"/>
    <w:rsid w:val="00902870"/>
    <w:rsid w:val="009029D3"/>
    <w:rsid w:val="00902ABD"/>
    <w:rsid w:val="00902AEF"/>
    <w:rsid w:val="00902D4A"/>
    <w:rsid w:val="00902E2F"/>
    <w:rsid w:val="00902E9C"/>
    <w:rsid w:val="00902F00"/>
    <w:rsid w:val="00902F44"/>
    <w:rsid w:val="00902FBE"/>
    <w:rsid w:val="00902FDB"/>
    <w:rsid w:val="0090346B"/>
    <w:rsid w:val="009037A6"/>
    <w:rsid w:val="00903A16"/>
    <w:rsid w:val="00903A80"/>
    <w:rsid w:val="00903BE4"/>
    <w:rsid w:val="00903D41"/>
    <w:rsid w:val="00903D95"/>
    <w:rsid w:val="00904054"/>
    <w:rsid w:val="009041FF"/>
    <w:rsid w:val="0090423F"/>
    <w:rsid w:val="009042D3"/>
    <w:rsid w:val="00904311"/>
    <w:rsid w:val="00904553"/>
    <w:rsid w:val="009046C3"/>
    <w:rsid w:val="009046DB"/>
    <w:rsid w:val="00904737"/>
    <w:rsid w:val="00904775"/>
    <w:rsid w:val="009047BF"/>
    <w:rsid w:val="00904A9E"/>
    <w:rsid w:val="00904B2B"/>
    <w:rsid w:val="00904B9C"/>
    <w:rsid w:val="009050BA"/>
    <w:rsid w:val="009050FC"/>
    <w:rsid w:val="00905266"/>
    <w:rsid w:val="00905348"/>
    <w:rsid w:val="009053FB"/>
    <w:rsid w:val="00905405"/>
    <w:rsid w:val="00905497"/>
    <w:rsid w:val="00905714"/>
    <w:rsid w:val="00905773"/>
    <w:rsid w:val="009057FD"/>
    <w:rsid w:val="009059BA"/>
    <w:rsid w:val="00905A01"/>
    <w:rsid w:val="00905A89"/>
    <w:rsid w:val="00905CEC"/>
    <w:rsid w:val="00905DB1"/>
    <w:rsid w:val="00906154"/>
    <w:rsid w:val="00906216"/>
    <w:rsid w:val="0090635B"/>
    <w:rsid w:val="009063DE"/>
    <w:rsid w:val="0090651A"/>
    <w:rsid w:val="00906692"/>
    <w:rsid w:val="00906794"/>
    <w:rsid w:val="00906B64"/>
    <w:rsid w:val="00906C98"/>
    <w:rsid w:val="00906D64"/>
    <w:rsid w:val="00906F1D"/>
    <w:rsid w:val="0090703B"/>
    <w:rsid w:val="009070FA"/>
    <w:rsid w:val="009071EC"/>
    <w:rsid w:val="009072D0"/>
    <w:rsid w:val="009072E2"/>
    <w:rsid w:val="0090742A"/>
    <w:rsid w:val="009074D8"/>
    <w:rsid w:val="009075A5"/>
    <w:rsid w:val="00907780"/>
    <w:rsid w:val="009077AE"/>
    <w:rsid w:val="00907865"/>
    <w:rsid w:val="009078F6"/>
    <w:rsid w:val="00907AC7"/>
    <w:rsid w:val="00907BB0"/>
    <w:rsid w:val="00907CFC"/>
    <w:rsid w:val="00907CFD"/>
    <w:rsid w:val="00907D13"/>
    <w:rsid w:val="00907E3E"/>
    <w:rsid w:val="0091002D"/>
    <w:rsid w:val="009100A8"/>
    <w:rsid w:val="00910192"/>
    <w:rsid w:val="0091026F"/>
    <w:rsid w:val="009102AE"/>
    <w:rsid w:val="009102E6"/>
    <w:rsid w:val="009103FC"/>
    <w:rsid w:val="009107BA"/>
    <w:rsid w:val="00910835"/>
    <w:rsid w:val="00910887"/>
    <w:rsid w:val="009109B1"/>
    <w:rsid w:val="00910B4E"/>
    <w:rsid w:val="00910CCC"/>
    <w:rsid w:val="00910D25"/>
    <w:rsid w:val="00910FD7"/>
    <w:rsid w:val="00911118"/>
    <w:rsid w:val="0091130C"/>
    <w:rsid w:val="00911482"/>
    <w:rsid w:val="009114CF"/>
    <w:rsid w:val="00911518"/>
    <w:rsid w:val="00911584"/>
    <w:rsid w:val="009115AF"/>
    <w:rsid w:val="0091165A"/>
    <w:rsid w:val="009118ED"/>
    <w:rsid w:val="00911911"/>
    <w:rsid w:val="00911D07"/>
    <w:rsid w:val="00911D29"/>
    <w:rsid w:val="00911DDD"/>
    <w:rsid w:val="00911E58"/>
    <w:rsid w:val="00911F42"/>
    <w:rsid w:val="0091200D"/>
    <w:rsid w:val="00912319"/>
    <w:rsid w:val="009124FA"/>
    <w:rsid w:val="00912636"/>
    <w:rsid w:val="009126B6"/>
    <w:rsid w:val="009127F8"/>
    <w:rsid w:val="00912BC4"/>
    <w:rsid w:val="00912BEA"/>
    <w:rsid w:val="00912E45"/>
    <w:rsid w:val="00912E77"/>
    <w:rsid w:val="00912FE2"/>
    <w:rsid w:val="0091337E"/>
    <w:rsid w:val="009133FB"/>
    <w:rsid w:val="009135F0"/>
    <w:rsid w:val="009135F9"/>
    <w:rsid w:val="009136BB"/>
    <w:rsid w:val="009137EB"/>
    <w:rsid w:val="0091394D"/>
    <w:rsid w:val="0091395F"/>
    <w:rsid w:val="009139E7"/>
    <w:rsid w:val="00913A9A"/>
    <w:rsid w:val="00913AF9"/>
    <w:rsid w:val="00913C02"/>
    <w:rsid w:val="00913C3A"/>
    <w:rsid w:val="0091412B"/>
    <w:rsid w:val="0091434C"/>
    <w:rsid w:val="009143BA"/>
    <w:rsid w:val="00914514"/>
    <w:rsid w:val="0091452D"/>
    <w:rsid w:val="00914AE8"/>
    <w:rsid w:val="00914BEE"/>
    <w:rsid w:val="00914D25"/>
    <w:rsid w:val="00914E28"/>
    <w:rsid w:val="00914EBF"/>
    <w:rsid w:val="00914F44"/>
    <w:rsid w:val="00914F7D"/>
    <w:rsid w:val="0091526C"/>
    <w:rsid w:val="0091547A"/>
    <w:rsid w:val="009154EB"/>
    <w:rsid w:val="00915504"/>
    <w:rsid w:val="00915596"/>
    <w:rsid w:val="0091564D"/>
    <w:rsid w:val="00915738"/>
    <w:rsid w:val="009157E0"/>
    <w:rsid w:val="0091581C"/>
    <w:rsid w:val="00915955"/>
    <w:rsid w:val="009159CE"/>
    <w:rsid w:val="00915B72"/>
    <w:rsid w:val="00915BB0"/>
    <w:rsid w:val="00915C09"/>
    <w:rsid w:val="00915D43"/>
    <w:rsid w:val="00915D79"/>
    <w:rsid w:val="00915DAA"/>
    <w:rsid w:val="00915DB7"/>
    <w:rsid w:val="00915EB0"/>
    <w:rsid w:val="00915EE2"/>
    <w:rsid w:val="0091605A"/>
    <w:rsid w:val="00916410"/>
    <w:rsid w:val="009166F2"/>
    <w:rsid w:val="0091679E"/>
    <w:rsid w:val="009167AB"/>
    <w:rsid w:val="00916872"/>
    <w:rsid w:val="00916974"/>
    <w:rsid w:val="00916AAC"/>
    <w:rsid w:val="00916AB8"/>
    <w:rsid w:val="00916BBE"/>
    <w:rsid w:val="00916E21"/>
    <w:rsid w:val="00916EED"/>
    <w:rsid w:val="0091725C"/>
    <w:rsid w:val="00917362"/>
    <w:rsid w:val="009173F1"/>
    <w:rsid w:val="0091740C"/>
    <w:rsid w:val="009174E7"/>
    <w:rsid w:val="0091753F"/>
    <w:rsid w:val="00917547"/>
    <w:rsid w:val="009175AF"/>
    <w:rsid w:val="009175FD"/>
    <w:rsid w:val="009176C5"/>
    <w:rsid w:val="00917705"/>
    <w:rsid w:val="00917AA8"/>
    <w:rsid w:val="00917BF0"/>
    <w:rsid w:val="00917D95"/>
    <w:rsid w:val="00917F7D"/>
    <w:rsid w:val="00917F83"/>
    <w:rsid w:val="0092007D"/>
    <w:rsid w:val="009202AA"/>
    <w:rsid w:val="00920327"/>
    <w:rsid w:val="00920348"/>
    <w:rsid w:val="00920533"/>
    <w:rsid w:val="009206B9"/>
    <w:rsid w:val="009209F1"/>
    <w:rsid w:val="00920F8E"/>
    <w:rsid w:val="00920F97"/>
    <w:rsid w:val="00920F98"/>
    <w:rsid w:val="00921309"/>
    <w:rsid w:val="00921326"/>
    <w:rsid w:val="00921348"/>
    <w:rsid w:val="0092139B"/>
    <w:rsid w:val="009213AC"/>
    <w:rsid w:val="00921453"/>
    <w:rsid w:val="00921571"/>
    <w:rsid w:val="009216AF"/>
    <w:rsid w:val="009216E4"/>
    <w:rsid w:val="009216F8"/>
    <w:rsid w:val="00921847"/>
    <w:rsid w:val="0092192B"/>
    <w:rsid w:val="009219FF"/>
    <w:rsid w:val="00921A6B"/>
    <w:rsid w:val="00921CD4"/>
    <w:rsid w:val="00921D5B"/>
    <w:rsid w:val="00921D7E"/>
    <w:rsid w:val="00921E87"/>
    <w:rsid w:val="00921EA5"/>
    <w:rsid w:val="00921EE2"/>
    <w:rsid w:val="00921F8A"/>
    <w:rsid w:val="009220EC"/>
    <w:rsid w:val="009222C4"/>
    <w:rsid w:val="009222E4"/>
    <w:rsid w:val="00922413"/>
    <w:rsid w:val="009224B3"/>
    <w:rsid w:val="00922704"/>
    <w:rsid w:val="00922A63"/>
    <w:rsid w:val="00922B8E"/>
    <w:rsid w:val="00922E23"/>
    <w:rsid w:val="00922EDA"/>
    <w:rsid w:val="0092310C"/>
    <w:rsid w:val="0092324A"/>
    <w:rsid w:val="009233E5"/>
    <w:rsid w:val="0092383E"/>
    <w:rsid w:val="00923B95"/>
    <w:rsid w:val="00923BA8"/>
    <w:rsid w:val="00923CEF"/>
    <w:rsid w:val="00923DD1"/>
    <w:rsid w:val="00923E1F"/>
    <w:rsid w:val="00923EC3"/>
    <w:rsid w:val="0092412A"/>
    <w:rsid w:val="009243DB"/>
    <w:rsid w:val="00924635"/>
    <w:rsid w:val="00924729"/>
    <w:rsid w:val="00924747"/>
    <w:rsid w:val="00924769"/>
    <w:rsid w:val="0092476B"/>
    <w:rsid w:val="0092486C"/>
    <w:rsid w:val="00924879"/>
    <w:rsid w:val="009248E9"/>
    <w:rsid w:val="00924915"/>
    <w:rsid w:val="0092497F"/>
    <w:rsid w:val="009249AB"/>
    <w:rsid w:val="009249EF"/>
    <w:rsid w:val="00924AF8"/>
    <w:rsid w:val="00924C1B"/>
    <w:rsid w:val="00924F0A"/>
    <w:rsid w:val="00924F0B"/>
    <w:rsid w:val="00924FF6"/>
    <w:rsid w:val="00925191"/>
    <w:rsid w:val="009252C7"/>
    <w:rsid w:val="00925345"/>
    <w:rsid w:val="009253EC"/>
    <w:rsid w:val="00925559"/>
    <w:rsid w:val="00925563"/>
    <w:rsid w:val="00925637"/>
    <w:rsid w:val="009256FB"/>
    <w:rsid w:val="00925863"/>
    <w:rsid w:val="009259B6"/>
    <w:rsid w:val="00925BA2"/>
    <w:rsid w:val="00925C10"/>
    <w:rsid w:val="00925D1F"/>
    <w:rsid w:val="00925F76"/>
    <w:rsid w:val="009260CC"/>
    <w:rsid w:val="0092632C"/>
    <w:rsid w:val="0092635A"/>
    <w:rsid w:val="00926415"/>
    <w:rsid w:val="00926427"/>
    <w:rsid w:val="00926548"/>
    <w:rsid w:val="009265F8"/>
    <w:rsid w:val="009269B3"/>
    <w:rsid w:val="00926C7C"/>
    <w:rsid w:val="00926D31"/>
    <w:rsid w:val="00926E82"/>
    <w:rsid w:val="009270EF"/>
    <w:rsid w:val="00927225"/>
    <w:rsid w:val="009272B3"/>
    <w:rsid w:val="0092741E"/>
    <w:rsid w:val="0092755B"/>
    <w:rsid w:val="009276CD"/>
    <w:rsid w:val="0092782E"/>
    <w:rsid w:val="00927C10"/>
    <w:rsid w:val="00927C44"/>
    <w:rsid w:val="00927D8E"/>
    <w:rsid w:val="00927E07"/>
    <w:rsid w:val="00927E5F"/>
    <w:rsid w:val="00927F20"/>
    <w:rsid w:val="0093010E"/>
    <w:rsid w:val="009301D4"/>
    <w:rsid w:val="0093047D"/>
    <w:rsid w:val="009304F4"/>
    <w:rsid w:val="00930500"/>
    <w:rsid w:val="00930586"/>
    <w:rsid w:val="009305E1"/>
    <w:rsid w:val="00930816"/>
    <w:rsid w:val="00930850"/>
    <w:rsid w:val="00930A6D"/>
    <w:rsid w:val="00930CB5"/>
    <w:rsid w:val="00930CDD"/>
    <w:rsid w:val="00930E96"/>
    <w:rsid w:val="00930F02"/>
    <w:rsid w:val="0093106F"/>
    <w:rsid w:val="0093121C"/>
    <w:rsid w:val="009313CB"/>
    <w:rsid w:val="00931664"/>
    <w:rsid w:val="00931B0B"/>
    <w:rsid w:val="00931B4F"/>
    <w:rsid w:val="00931C40"/>
    <w:rsid w:val="0093215B"/>
    <w:rsid w:val="00932196"/>
    <w:rsid w:val="009322DC"/>
    <w:rsid w:val="009323B8"/>
    <w:rsid w:val="0093244E"/>
    <w:rsid w:val="009324CA"/>
    <w:rsid w:val="009326EA"/>
    <w:rsid w:val="00932745"/>
    <w:rsid w:val="009327DB"/>
    <w:rsid w:val="00932928"/>
    <w:rsid w:val="00932C19"/>
    <w:rsid w:val="00932C5B"/>
    <w:rsid w:val="00932D66"/>
    <w:rsid w:val="00932DD4"/>
    <w:rsid w:val="00932F5B"/>
    <w:rsid w:val="00932F81"/>
    <w:rsid w:val="00932FD5"/>
    <w:rsid w:val="00933186"/>
    <w:rsid w:val="00933208"/>
    <w:rsid w:val="009332A9"/>
    <w:rsid w:val="009332AB"/>
    <w:rsid w:val="009335D6"/>
    <w:rsid w:val="009335EF"/>
    <w:rsid w:val="009336CE"/>
    <w:rsid w:val="00933A16"/>
    <w:rsid w:val="00933B3E"/>
    <w:rsid w:val="00933C82"/>
    <w:rsid w:val="00933FC7"/>
    <w:rsid w:val="0093422B"/>
    <w:rsid w:val="00934272"/>
    <w:rsid w:val="009342C6"/>
    <w:rsid w:val="009343E4"/>
    <w:rsid w:val="009344C5"/>
    <w:rsid w:val="00934574"/>
    <w:rsid w:val="009345C5"/>
    <w:rsid w:val="009346D3"/>
    <w:rsid w:val="009348EF"/>
    <w:rsid w:val="0093491B"/>
    <w:rsid w:val="0093495E"/>
    <w:rsid w:val="009349A2"/>
    <w:rsid w:val="009349C6"/>
    <w:rsid w:val="00934A1A"/>
    <w:rsid w:val="00934A53"/>
    <w:rsid w:val="00934B94"/>
    <w:rsid w:val="00934BC6"/>
    <w:rsid w:val="00934C0E"/>
    <w:rsid w:val="00934EFA"/>
    <w:rsid w:val="00934FA0"/>
    <w:rsid w:val="0093502A"/>
    <w:rsid w:val="009350D6"/>
    <w:rsid w:val="0093512A"/>
    <w:rsid w:val="009353D3"/>
    <w:rsid w:val="00935406"/>
    <w:rsid w:val="00935573"/>
    <w:rsid w:val="0093567E"/>
    <w:rsid w:val="00935707"/>
    <w:rsid w:val="00935AF0"/>
    <w:rsid w:val="00935E91"/>
    <w:rsid w:val="0093606F"/>
    <w:rsid w:val="009360B4"/>
    <w:rsid w:val="0093627A"/>
    <w:rsid w:val="0093637C"/>
    <w:rsid w:val="00936391"/>
    <w:rsid w:val="00936410"/>
    <w:rsid w:val="0093644A"/>
    <w:rsid w:val="009364E0"/>
    <w:rsid w:val="00936526"/>
    <w:rsid w:val="0093660B"/>
    <w:rsid w:val="00936650"/>
    <w:rsid w:val="009366F4"/>
    <w:rsid w:val="00936889"/>
    <w:rsid w:val="00936C06"/>
    <w:rsid w:val="00936EB4"/>
    <w:rsid w:val="00936F07"/>
    <w:rsid w:val="00937086"/>
    <w:rsid w:val="009371FB"/>
    <w:rsid w:val="00937295"/>
    <w:rsid w:val="00937325"/>
    <w:rsid w:val="0093743C"/>
    <w:rsid w:val="009374D1"/>
    <w:rsid w:val="00937563"/>
    <w:rsid w:val="0093757D"/>
    <w:rsid w:val="0093764E"/>
    <w:rsid w:val="009376E7"/>
    <w:rsid w:val="00937727"/>
    <w:rsid w:val="00937733"/>
    <w:rsid w:val="00937AC0"/>
    <w:rsid w:val="00937B5B"/>
    <w:rsid w:val="00937B68"/>
    <w:rsid w:val="00937C74"/>
    <w:rsid w:val="0094020E"/>
    <w:rsid w:val="0094022C"/>
    <w:rsid w:val="0094042D"/>
    <w:rsid w:val="0094053F"/>
    <w:rsid w:val="009406B5"/>
    <w:rsid w:val="00940957"/>
    <w:rsid w:val="00940D54"/>
    <w:rsid w:val="00940F4B"/>
    <w:rsid w:val="00940FDC"/>
    <w:rsid w:val="009412FD"/>
    <w:rsid w:val="00941458"/>
    <w:rsid w:val="009415E5"/>
    <w:rsid w:val="00941632"/>
    <w:rsid w:val="00941645"/>
    <w:rsid w:val="00941703"/>
    <w:rsid w:val="0094177B"/>
    <w:rsid w:val="00941790"/>
    <w:rsid w:val="009417E6"/>
    <w:rsid w:val="009419F6"/>
    <w:rsid w:val="00941BA8"/>
    <w:rsid w:val="00941BD3"/>
    <w:rsid w:val="00941BDB"/>
    <w:rsid w:val="00941C5A"/>
    <w:rsid w:val="00941EB5"/>
    <w:rsid w:val="009420F8"/>
    <w:rsid w:val="009427E4"/>
    <w:rsid w:val="00942817"/>
    <w:rsid w:val="00942859"/>
    <w:rsid w:val="00942974"/>
    <w:rsid w:val="009429AB"/>
    <w:rsid w:val="009429D7"/>
    <w:rsid w:val="00942BBC"/>
    <w:rsid w:val="00942E98"/>
    <w:rsid w:val="00942F84"/>
    <w:rsid w:val="00943072"/>
    <w:rsid w:val="009431C4"/>
    <w:rsid w:val="009431DA"/>
    <w:rsid w:val="00943240"/>
    <w:rsid w:val="00943409"/>
    <w:rsid w:val="00943585"/>
    <w:rsid w:val="009435BA"/>
    <w:rsid w:val="009435E8"/>
    <w:rsid w:val="00943750"/>
    <w:rsid w:val="009437EE"/>
    <w:rsid w:val="0094383C"/>
    <w:rsid w:val="0094392D"/>
    <w:rsid w:val="00943C10"/>
    <w:rsid w:val="00943CC1"/>
    <w:rsid w:val="00943E9A"/>
    <w:rsid w:val="00943FCE"/>
    <w:rsid w:val="00944037"/>
    <w:rsid w:val="00944038"/>
    <w:rsid w:val="0094416C"/>
    <w:rsid w:val="0094428E"/>
    <w:rsid w:val="00944325"/>
    <w:rsid w:val="0094437A"/>
    <w:rsid w:val="00944381"/>
    <w:rsid w:val="00944634"/>
    <w:rsid w:val="0094487B"/>
    <w:rsid w:val="00944A11"/>
    <w:rsid w:val="00944B4A"/>
    <w:rsid w:val="00944B54"/>
    <w:rsid w:val="00944CA6"/>
    <w:rsid w:val="00944D4F"/>
    <w:rsid w:val="00944E61"/>
    <w:rsid w:val="00944EAB"/>
    <w:rsid w:val="009451D2"/>
    <w:rsid w:val="00945244"/>
    <w:rsid w:val="00945338"/>
    <w:rsid w:val="009455E4"/>
    <w:rsid w:val="0094569B"/>
    <w:rsid w:val="00945748"/>
    <w:rsid w:val="009457BD"/>
    <w:rsid w:val="009457DA"/>
    <w:rsid w:val="0094582F"/>
    <w:rsid w:val="009459B9"/>
    <w:rsid w:val="00945A1C"/>
    <w:rsid w:val="00945A7E"/>
    <w:rsid w:val="00945AA0"/>
    <w:rsid w:val="00945BAC"/>
    <w:rsid w:val="00945C61"/>
    <w:rsid w:val="00945CD4"/>
    <w:rsid w:val="00945DE4"/>
    <w:rsid w:val="00945ECF"/>
    <w:rsid w:val="00946189"/>
    <w:rsid w:val="00946226"/>
    <w:rsid w:val="009462F3"/>
    <w:rsid w:val="00946445"/>
    <w:rsid w:val="0094645E"/>
    <w:rsid w:val="00946502"/>
    <w:rsid w:val="0094668D"/>
    <w:rsid w:val="009468B2"/>
    <w:rsid w:val="00946ADC"/>
    <w:rsid w:val="00946D31"/>
    <w:rsid w:val="00946D74"/>
    <w:rsid w:val="00946E6B"/>
    <w:rsid w:val="00946EDD"/>
    <w:rsid w:val="00946FBB"/>
    <w:rsid w:val="00947212"/>
    <w:rsid w:val="00947214"/>
    <w:rsid w:val="0094741B"/>
    <w:rsid w:val="009474F3"/>
    <w:rsid w:val="0094766E"/>
    <w:rsid w:val="00947862"/>
    <w:rsid w:val="00947884"/>
    <w:rsid w:val="00947A53"/>
    <w:rsid w:val="00947AB8"/>
    <w:rsid w:val="00947BF5"/>
    <w:rsid w:val="00947C30"/>
    <w:rsid w:val="00947C68"/>
    <w:rsid w:val="00947EFC"/>
    <w:rsid w:val="00950050"/>
    <w:rsid w:val="0095019F"/>
    <w:rsid w:val="009501D7"/>
    <w:rsid w:val="009503DD"/>
    <w:rsid w:val="00950526"/>
    <w:rsid w:val="009505E0"/>
    <w:rsid w:val="00950665"/>
    <w:rsid w:val="00950670"/>
    <w:rsid w:val="009506C6"/>
    <w:rsid w:val="009508AC"/>
    <w:rsid w:val="00950A58"/>
    <w:rsid w:val="00950B3F"/>
    <w:rsid w:val="00950B7C"/>
    <w:rsid w:val="00950B9A"/>
    <w:rsid w:val="00950C06"/>
    <w:rsid w:val="00950D2A"/>
    <w:rsid w:val="00950D4B"/>
    <w:rsid w:val="00950D93"/>
    <w:rsid w:val="00950DB9"/>
    <w:rsid w:val="00950E19"/>
    <w:rsid w:val="0095100E"/>
    <w:rsid w:val="00951150"/>
    <w:rsid w:val="00951460"/>
    <w:rsid w:val="009515A4"/>
    <w:rsid w:val="00951775"/>
    <w:rsid w:val="00951790"/>
    <w:rsid w:val="00951939"/>
    <w:rsid w:val="00951A5B"/>
    <w:rsid w:val="00951DA2"/>
    <w:rsid w:val="00951E07"/>
    <w:rsid w:val="00951E35"/>
    <w:rsid w:val="00952033"/>
    <w:rsid w:val="009523B4"/>
    <w:rsid w:val="009523D9"/>
    <w:rsid w:val="00952605"/>
    <w:rsid w:val="00952743"/>
    <w:rsid w:val="009528CD"/>
    <w:rsid w:val="009529CA"/>
    <w:rsid w:val="00952B86"/>
    <w:rsid w:val="00952C1E"/>
    <w:rsid w:val="00952CF0"/>
    <w:rsid w:val="00952D0F"/>
    <w:rsid w:val="00952D51"/>
    <w:rsid w:val="009530CF"/>
    <w:rsid w:val="00953215"/>
    <w:rsid w:val="00953248"/>
    <w:rsid w:val="009535B5"/>
    <w:rsid w:val="00953699"/>
    <w:rsid w:val="0095381E"/>
    <w:rsid w:val="00953B1F"/>
    <w:rsid w:val="00953DEA"/>
    <w:rsid w:val="00953E62"/>
    <w:rsid w:val="00953F24"/>
    <w:rsid w:val="00954091"/>
    <w:rsid w:val="009540D4"/>
    <w:rsid w:val="00954143"/>
    <w:rsid w:val="00954307"/>
    <w:rsid w:val="0095440B"/>
    <w:rsid w:val="0095459D"/>
    <w:rsid w:val="009545BE"/>
    <w:rsid w:val="009545F6"/>
    <w:rsid w:val="00954600"/>
    <w:rsid w:val="00954769"/>
    <w:rsid w:val="009549E8"/>
    <w:rsid w:val="00954A1D"/>
    <w:rsid w:val="00954A7B"/>
    <w:rsid w:val="00954A95"/>
    <w:rsid w:val="00954C3D"/>
    <w:rsid w:val="00954D7B"/>
    <w:rsid w:val="00954EAF"/>
    <w:rsid w:val="0095516F"/>
    <w:rsid w:val="009551FD"/>
    <w:rsid w:val="0095523B"/>
    <w:rsid w:val="00955419"/>
    <w:rsid w:val="0095558A"/>
    <w:rsid w:val="009556F4"/>
    <w:rsid w:val="00955741"/>
    <w:rsid w:val="00955768"/>
    <w:rsid w:val="009557C2"/>
    <w:rsid w:val="009557DF"/>
    <w:rsid w:val="00955A9F"/>
    <w:rsid w:val="00955AD2"/>
    <w:rsid w:val="00955B53"/>
    <w:rsid w:val="00955B6F"/>
    <w:rsid w:val="00955BB3"/>
    <w:rsid w:val="00955CB7"/>
    <w:rsid w:val="00955FE7"/>
    <w:rsid w:val="00956010"/>
    <w:rsid w:val="0095646A"/>
    <w:rsid w:val="00956558"/>
    <w:rsid w:val="00956559"/>
    <w:rsid w:val="0095656D"/>
    <w:rsid w:val="00956664"/>
    <w:rsid w:val="0095670E"/>
    <w:rsid w:val="009567C8"/>
    <w:rsid w:val="00956B8C"/>
    <w:rsid w:val="00956C48"/>
    <w:rsid w:val="00956C62"/>
    <w:rsid w:val="00956D5C"/>
    <w:rsid w:val="00956F16"/>
    <w:rsid w:val="009570F6"/>
    <w:rsid w:val="009570F8"/>
    <w:rsid w:val="00957218"/>
    <w:rsid w:val="009573E5"/>
    <w:rsid w:val="009574BC"/>
    <w:rsid w:val="0095759A"/>
    <w:rsid w:val="009575E4"/>
    <w:rsid w:val="009576D3"/>
    <w:rsid w:val="009576DD"/>
    <w:rsid w:val="0095774D"/>
    <w:rsid w:val="0095786A"/>
    <w:rsid w:val="00957875"/>
    <w:rsid w:val="00957A90"/>
    <w:rsid w:val="00957AB5"/>
    <w:rsid w:val="00957BF3"/>
    <w:rsid w:val="00957CD8"/>
    <w:rsid w:val="00957CF6"/>
    <w:rsid w:val="00957D3D"/>
    <w:rsid w:val="00957E7C"/>
    <w:rsid w:val="00957F65"/>
    <w:rsid w:val="009600B8"/>
    <w:rsid w:val="009602AC"/>
    <w:rsid w:val="009602CA"/>
    <w:rsid w:val="00960407"/>
    <w:rsid w:val="0096052A"/>
    <w:rsid w:val="0096065F"/>
    <w:rsid w:val="009606FF"/>
    <w:rsid w:val="009609E7"/>
    <w:rsid w:val="00960A15"/>
    <w:rsid w:val="00960A22"/>
    <w:rsid w:val="00960B43"/>
    <w:rsid w:val="00960C0B"/>
    <w:rsid w:val="00960D51"/>
    <w:rsid w:val="00960E7A"/>
    <w:rsid w:val="009610B4"/>
    <w:rsid w:val="00961170"/>
    <w:rsid w:val="009612B5"/>
    <w:rsid w:val="0096134B"/>
    <w:rsid w:val="0096148C"/>
    <w:rsid w:val="00961608"/>
    <w:rsid w:val="009617E7"/>
    <w:rsid w:val="0096195E"/>
    <w:rsid w:val="00961C08"/>
    <w:rsid w:val="00961C81"/>
    <w:rsid w:val="00961CE9"/>
    <w:rsid w:val="00961D68"/>
    <w:rsid w:val="00961ED1"/>
    <w:rsid w:val="0096205A"/>
    <w:rsid w:val="0096229C"/>
    <w:rsid w:val="009622A1"/>
    <w:rsid w:val="009622EB"/>
    <w:rsid w:val="0096235A"/>
    <w:rsid w:val="00962472"/>
    <w:rsid w:val="0096267E"/>
    <w:rsid w:val="009627FD"/>
    <w:rsid w:val="0096297E"/>
    <w:rsid w:val="009629D5"/>
    <w:rsid w:val="00962A9B"/>
    <w:rsid w:val="00962BEC"/>
    <w:rsid w:val="00962C3A"/>
    <w:rsid w:val="00962C43"/>
    <w:rsid w:val="00962D8A"/>
    <w:rsid w:val="00962D9F"/>
    <w:rsid w:val="00962EAB"/>
    <w:rsid w:val="00962EAD"/>
    <w:rsid w:val="009630EB"/>
    <w:rsid w:val="00963103"/>
    <w:rsid w:val="009633AE"/>
    <w:rsid w:val="0096354C"/>
    <w:rsid w:val="0096354D"/>
    <w:rsid w:val="0096358B"/>
    <w:rsid w:val="009635B3"/>
    <w:rsid w:val="009635D9"/>
    <w:rsid w:val="0096367A"/>
    <w:rsid w:val="009637A9"/>
    <w:rsid w:val="00963ADB"/>
    <w:rsid w:val="00963B8B"/>
    <w:rsid w:val="00963EAF"/>
    <w:rsid w:val="00963F5C"/>
    <w:rsid w:val="00963F89"/>
    <w:rsid w:val="00963FC2"/>
    <w:rsid w:val="00963FCA"/>
    <w:rsid w:val="0096412E"/>
    <w:rsid w:val="00964219"/>
    <w:rsid w:val="00964320"/>
    <w:rsid w:val="0096437C"/>
    <w:rsid w:val="009643B1"/>
    <w:rsid w:val="00964580"/>
    <w:rsid w:val="0096474A"/>
    <w:rsid w:val="009647CA"/>
    <w:rsid w:val="00964820"/>
    <w:rsid w:val="0096486A"/>
    <w:rsid w:val="00964945"/>
    <w:rsid w:val="0096499B"/>
    <w:rsid w:val="009649A5"/>
    <w:rsid w:val="009649B7"/>
    <w:rsid w:val="00964A51"/>
    <w:rsid w:val="00964B6E"/>
    <w:rsid w:val="00965141"/>
    <w:rsid w:val="009651A7"/>
    <w:rsid w:val="009651E9"/>
    <w:rsid w:val="0096527C"/>
    <w:rsid w:val="009652BD"/>
    <w:rsid w:val="00965571"/>
    <w:rsid w:val="00965730"/>
    <w:rsid w:val="0096577B"/>
    <w:rsid w:val="009657DE"/>
    <w:rsid w:val="009658C4"/>
    <w:rsid w:val="00965AB3"/>
    <w:rsid w:val="00965BD3"/>
    <w:rsid w:val="00965C45"/>
    <w:rsid w:val="00965F8C"/>
    <w:rsid w:val="00966010"/>
    <w:rsid w:val="009660B2"/>
    <w:rsid w:val="009660E3"/>
    <w:rsid w:val="009661B7"/>
    <w:rsid w:val="009661BA"/>
    <w:rsid w:val="009661F1"/>
    <w:rsid w:val="00966491"/>
    <w:rsid w:val="00966782"/>
    <w:rsid w:val="0096681C"/>
    <w:rsid w:val="0096692C"/>
    <w:rsid w:val="009669C4"/>
    <w:rsid w:val="00966A0B"/>
    <w:rsid w:val="00966A81"/>
    <w:rsid w:val="00966B66"/>
    <w:rsid w:val="00966BA4"/>
    <w:rsid w:val="00966C18"/>
    <w:rsid w:val="00966DC2"/>
    <w:rsid w:val="00966EC4"/>
    <w:rsid w:val="00966F23"/>
    <w:rsid w:val="0096723A"/>
    <w:rsid w:val="009672D5"/>
    <w:rsid w:val="00967342"/>
    <w:rsid w:val="00967362"/>
    <w:rsid w:val="00967410"/>
    <w:rsid w:val="00967412"/>
    <w:rsid w:val="0096761B"/>
    <w:rsid w:val="009676E3"/>
    <w:rsid w:val="0096773C"/>
    <w:rsid w:val="0096774D"/>
    <w:rsid w:val="009677AE"/>
    <w:rsid w:val="00967AAA"/>
    <w:rsid w:val="00967AAD"/>
    <w:rsid w:val="00967ADE"/>
    <w:rsid w:val="00967E1B"/>
    <w:rsid w:val="00967F6B"/>
    <w:rsid w:val="009701B5"/>
    <w:rsid w:val="009704A6"/>
    <w:rsid w:val="009704CD"/>
    <w:rsid w:val="0097055B"/>
    <w:rsid w:val="009707FB"/>
    <w:rsid w:val="00970827"/>
    <w:rsid w:val="009708D0"/>
    <w:rsid w:val="00970AC8"/>
    <w:rsid w:val="00970D42"/>
    <w:rsid w:val="00970D97"/>
    <w:rsid w:val="00970DB3"/>
    <w:rsid w:val="00970EB6"/>
    <w:rsid w:val="009710A5"/>
    <w:rsid w:val="009710FC"/>
    <w:rsid w:val="009712BC"/>
    <w:rsid w:val="009713F4"/>
    <w:rsid w:val="009714D1"/>
    <w:rsid w:val="00971542"/>
    <w:rsid w:val="009715EC"/>
    <w:rsid w:val="009715FA"/>
    <w:rsid w:val="00971674"/>
    <w:rsid w:val="00971698"/>
    <w:rsid w:val="009716CF"/>
    <w:rsid w:val="009718BD"/>
    <w:rsid w:val="00971C25"/>
    <w:rsid w:val="00971D4C"/>
    <w:rsid w:val="00971F97"/>
    <w:rsid w:val="00972046"/>
    <w:rsid w:val="00972110"/>
    <w:rsid w:val="009721A3"/>
    <w:rsid w:val="009721A5"/>
    <w:rsid w:val="009721A8"/>
    <w:rsid w:val="009721BE"/>
    <w:rsid w:val="009722A1"/>
    <w:rsid w:val="009723B9"/>
    <w:rsid w:val="0097241B"/>
    <w:rsid w:val="009725CC"/>
    <w:rsid w:val="009726D6"/>
    <w:rsid w:val="009728F3"/>
    <w:rsid w:val="00972973"/>
    <w:rsid w:val="00972DD0"/>
    <w:rsid w:val="00973058"/>
    <w:rsid w:val="00973186"/>
    <w:rsid w:val="0097318B"/>
    <w:rsid w:val="00973251"/>
    <w:rsid w:val="00973370"/>
    <w:rsid w:val="00973397"/>
    <w:rsid w:val="009733AE"/>
    <w:rsid w:val="0097343A"/>
    <w:rsid w:val="0097346D"/>
    <w:rsid w:val="0097348D"/>
    <w:rsid w:val="00973666"/>
    <w:rsid w:val="009736B3"/>
    <w:rsid w:val="0097386F"/>
    <w:rsid w:val="00973990"/>
    <w:rsid w:val="00973AD8"/>
    <w:rsid w:val="00973AF4"/>
    <w:rsid w:val="00973B15"/>
    <w:rsid w:val="00973B3C"/>
    <w:rsid w:val="00973CFF"/>
    <w:rsid w:val="00973E38"/>
    <w:rsid w:val="00973E90"/>
    <w:rsid w:val="00973F3A"/>
    <w:rsid w:val="00974129"/>
    <w:rsid w:val="00974168"/>
    <w:rsid w:val="00974278"/>
    <w:rsid w:val="009742D1"/>
    <w:rsid w:val="009743A8"/>
    <w:rsid w:val="009746C4"/>
    <w:rsid w:val="00974B0D"/>
    <w:rsid w:val="00974E5B"/>
    <w:rsid w:val="00974EC7"/>
    <w:rsid w:val="009750BE"/>
    <w:rsid w:val="009754AA"/>
    <w:rsid w:val="009754CE"/>
    <w:rsid w:val="00975515"/>
    <w:rsid w:val="0097558C"/>
    <w:rsid w:val="0097562E"/>
    <w:rsid w:val="009757CD"/>
    <w:rsid w:val="0097594A"/>
    <w:rsid w:val="00975A0E"/>
    <w:rsid w:val="00975AF4"/>
    <w:rsid w:val="00975CE6"/>
    <w:rsid w:val="00975DF2"/>
    <w:rsid w:val="00975F86"/>
    <w:rsid w:val="00976030"/>
    <w:rsid w:val="00976046"/>
    <w:rsid w:val="009760DE"/>
    <w:rsid w:val="0097629F"/>
    <w:rsid w:val="009762D0"/>
    <w:rsid w:val="009762E1"/>
    <w:rsid w:val="009766D0"/>
    <w:rsid w:val="00976765"/>
    <w:rsid w:val="00976B24"/>
    <w:rsid w:val="00976BC1"/>
    <w:rsid w:val="00976C7D"/>
    <w:rsid w:val="00976C8F"/>
    <w:rsid w:val="00976E6F"/>
    <w:rsid w:val="00976F29"/>
    <w:rsid w:val="00976F50"/>
    <w:rsid w:val="009772FC"/>
    <w:rsid w:val="009774D5"/>
    <w:rsid w:val="009774F3"/>
    <w:rsid w:val="0097753A"/>
    <w:rsid w:val="009775C9"/>
    <w:rsid w:val="0097775B"/>
    <w:rsid w:val="00977869"/>
    <w:rsid w:val="00977965"/>
    <w:rsid w:val="009779A7"/>
    <w:rsid w:val="00977A49"/>
    <w:rsid w:val="00977ABF"/>
    <w:rsid w:val="00977C0A"/>
    <w:rsid w:val="00977C33"/>
    <w:rsid w:val="00977FD2"/>
    <w:rsid w:val="009800C4"/>
    <w:rsid w:val="009803EF"/>
    <w:rsid w:val="0098046F"/>
    <w:rsid w:val="00980580"/>
    <w:rsid w:val="009805FB"/>
    <w:rsid w:val="0098073A"/>
    <w:rsid w:val="00980824"/>
    <w:rsid w:val="00980847"/>
    <w:rsid w:val="00980A30"/>
    <w:rsid w:val="00980B8E"/>
    <w:rsid w:val="00980D23"/>
    <w:rsid w:val="00980E56"/>
    <w:rsid w:val="00980F31"/>
    <w:rsid w:val="0098113C"/>
    <w:rsid w:val="00981248"/>
    <w:rsid w:val="009812EA"/>
    <w:rsid w:val="0098134D"/>
    <w:rsid w:val="00981A20"/>
    <w:rsid w:val="00981B38"/>
    <w:rsid w:val="00981BB7"/>
    <w:rsid w:val="00981BCE"/>
    <w:rsid w:val="00981CC6"/>
    <w:rsid w:val="0098221B"/>
    <w:rsid w:val="00982472"/>
    <w:rsid w:val="00982605"/>
    <w:rsid w:val="009828FA"/>
    <w:rsid w:val="00982AAF"/>
    <w:rsid w:val="00982BCB"/>
    <w:rsid w:val="00982BF3"/>
    <w:rsid w:val="00982D5C"/>
    <w:rsid w:val="00982D8D"/>
    <w:rsid w:val="00982E71"/>
    <w:rsid w:val="009830C8"/>
    <w:rsid w:val="009830E0"/>
    <w:rsid w:val="0098314A"/>
    <w:rsid w:val="009831E0"/>
    <w:rsid w:val="00983351"/>
    <w:rsid w:val="0098345E"/>
    <w:rsid w:val="009834DF"/>
    <w:rsid w:val="009834FC"/>
    <w:rsid w:val="00983502"/>
    <w:rsid w:val="009835D2"/>
    <w:rsid w:val="009836A3"/>
    <w:rsid w:val="00983792"/>
    <w:rsid w:val="00983A30"/>
    <w:rsid w:val="00983B17"/>
    <w:rsid w:val="00983B7B"/>
    <w:rsid w:val="00983D6F"/>
    <w:rsid w:val="0098401F"/>
    <w:rsid w:val="0098408F"/>
    <w:rsid w:val="0098412F"/>
    <w:rsid w:val="009841E1"/>
    <w:rsid w:val="0098439F"/>
    <w:rsid w:val="009844E4"/>
    <w:rsid w:val="009846F1"/>
    <w:rsid w:val="00984790"/>
    <w:rsid w:val="00984A45"/>
    <w:rsid w:val="00984B38"/>
    <w:rsid w:val="00984C68"/>
    <w:rsid w:val="00984C7A"/>
    <w:rsid w:val="00984D8F"/>
    <w:rsid w:val="00984E0A"/>
    <w:rsid w:val="00984F0F"/>
    <w:rsid w:val="009850B0"/>
    <w:rsid w:val="00985133"/>
    <w:rsid w:val="00985247"/>
    <w:rsid w:val="00985547"/>
    <w:rsid w:val="0098575F"/>
    <w:rsid w:val="0098578C"/>
    <w:rsid w:val="00985800"/>
    <w:rsid w:val="009858F1"/>
    <w:rsid w:val="0098591D"/>
    <w:rsid w:val="009859FC"/>
    <w:rsid w:val="00985A6B"/>
    <w:rsid w:val="00985CE3"/>
    <w:rsid w:val="00985D38"/>
    <w:rsid w:val="00985E00"/>
    <w:rsid w:val="00985ED0"/>
    <w:rsid w:val="00985F36"/>
    <w:rsid w:val="00985FEE"/>
    <w:rsid w:val="00986093"/>
    <w:rsid w:val="00986250"/>
    <w:rsid w:val="009866BB"/>
    <w:rsid w:val="0098676E"/>
    <w:rsid w:val="009867B9"/>
    <w:rsid w:val="0098694C"/>
    <w:rsid w:val="009869AB"/>
    <w:rsid w:val="009869C8"/>
    <w:rsid w:val="00986CCA"/>
    <w:rsid w:val="00986CD9"/>
    <w:rsid w:val="00986D7C"/>
    <w:rsid w:val="00986E63"/>
    <w:rsid w:val="009870DC"/>
    <w:rsid w:val="0098746F"/>
    <w:rsid w:val="00987626"/>
    <w:rsid w:val="009876FC"/>
    <w:rsid w:val="00987764"/>
    <w:rsid w:val="00987778"/>
    <w:rsid w:val="0098789E"/>
    <w:rsid w:val="00987DCF"/>
    <w:rsid w:val="00987E1C"/>
    <w:rsid w:val="00987E88"/>
    <w:rsid w:val="00987EAC"/>
    <w:rsid w:val="00987F1F"/>
    <w:rsid w:val="00987FB2"/>
    <w:rsid w:val="009900B9"/>
    <w:rsid w:val="00990151"/>
    <w:rsid w:val="00990194"/>
    <w:rsid w:val="009902AC"/>
    <w:rsid w:val="0099031D"/>
    <w:rsid w:val="00990372"/>
    <w:rsid w:val="0099051B"/>
    <w:rsid w:val="0099060B"/>
    <w:rsid w:val="00990626"/>
    <w:rsid w:val="0099065A"/>
    <w:rsid w:val="00990742"/>
    <w:rsid w:val="009907E1"/>
    <w:rsid w:val="00990866"/>
    <w:rsid w:val="009909CD"/>
    <w:rsid w:val="00990B72"/>
    <w:rsid w:val="00990D08"/>
    <w:rsid w:val="00990F05"/>
    <w:rsid w:val="0099110E"/>
    <w:rsid w:val="0099112A"/>
    <w:rsid w:val="009911CA"/>
    <w:rsid w:val="0099129A"/>
    <w:rsid w:val="009912D6"/>
    <w:rsid w:val="009913E8"/>
    <w:rsid w:val="00991ABB"/>
    <w:rsid w:val="00991C9F"/>
    <w:rsid w:val="00991CCA"/>
    <w:rsid w:val="00991D2F"/>
    <w:rsid w:val="00991E07"/>
    <w:rsid w:val="00991EC4"/>
    <w:rsid w:val="00991EDE"/>
    <w:rsid w:val="00991EE6"/>
    <w:rsid w:val="00991F30"/>
    <w:rsid w:val="00991FF5"/>
    <w:rsid w:val="009920B0"/>
    <w:rsid w:val="009920ED"/>
    <w:rsid w:val="009922D2"/>
    <w:rsid w:val="00992490"/>
    <w:rsid w:val="009924E9"/>
    <w:rsid w:val="00992707"/>
    <w:rsid w:val="0099275E"/>
    <w:rsid w:val="009928E8"/>
    <w:rsid w:val="00992AE3"/>
    <w:rsid w:val="00992C80"/>
    <w:rsid w:val="00992D84"/>
    <w:rsid w:val="00992EE3"/>
    <w:rsid w:val="00992F03"/>
    <w:rsid w:val="00992F68"/>
    <w:rsid w:val="00992FB4"/>
    <w:rsid w:val="00993049"/>
    <w:rsid w:val="0099339D"/>
    <w:rsid w:val="0099340A"/>
    <w:rsid w:val="00993547"/>
    <w:rsid w:val="009935C1"/>
    <w:rsid w:val="009937F6"/>
    <w:rsid w:val="00993954"/>
    <w:rsid w:val="00993A3F"/>
    <w:rsid w:val="00993A72"/>
    <w:rsid w:val="00993B50"/>
    <w:rsid w:val="00993D53"/>
    <w:rsid w:val="00993D76"/>
    <w:rsid w:val="00993DBF"/>
    <w:rsid w:val="00994035"/>
    <w:rsid w:val="00994212"/>
    <w:rsid w:val="009943E3"/>
    <w:rsid w:val="0099452F"/>
    <w:rsid w:val="009945C7"/>
    <w:rsid w:val="0099460C"/>
    <w:rsid w:val="009947D7"/>
    <w:rsid w:val="00994932"/>
    <w:rsid w:val="00994A33"/>
    <w:rsid w:val="00994DE5"/>
    <w:rsid w:val="00994E31"/>
    <w:rsid w:val="00994F46"/>
    <w:rsid w:val="00995105"/>
    <w:rsid w:val="00995153"/>
    <w:rsid w:val="009952BE"/>
    <w:rsid w:val="009954E4"/>
    <w:rsid w:val="00995592"/>
    <w:rsid w:val="00995656"/>
    <w:rsid w:val="009957D1"/>
    <w:rsid w:val="009958AD"/>
    <w:rsid w:val="00995B6D"/>
    <w:rsid w:val="00995B7A"/>
    <w:rsid w:val="00995D1F"/>
    <w:rsid w:val="00995E0E"/>
    <w:rsid w:val="00995F00"/>
    <w:rsid w:val="009960B0"/>
    <w:rsid w:val="00996103"/>
    <w:rsid w:val="00996479"/>
    <w:rsid w:val="009964A3"/>
    <w:rsid w:val="00996520"/>
    <w:rsid w:val="009965E5"/>
    <w:rsid w:val="009965FB"/>
    <w:rsid w:val="00996617"/>
    <w:rsid w:val="009969FF"/>
    <w:rsid w:val="00996B68"/>
    <w:rsid w:val="00996C80"/>
    <w:rsid w:val="00996D0F"/>
    <w:rsid w:val="00996FC7"/>
    <w:rsid w:val="0099701F"/>
    <w:rsid w:val="00997037"/>
    <w:rsid w:val="0099706D"/>
    <w:rsid w:val="009972DD"/>
    <w:rsid w:val="00997355"/>
    <w:rsid w:val="009974FF"/>
    <w:rsid w:val="00997676"/>
    <w:rsid w:val="009976CF"/>
    <w:rsid w:val="009977B8"/>
    <w:rsid w:val="0099784A"/>
    <w:rsid w:val="0099796C"/>
    <w:rsid w:val="009979A9"/>
    <w:rsid w:val="00997CDD"/>
    <w:rsid w:val="00997D1B"/>
    <w:rsid w:val="00997E22"/>
    <w:rsid w:val="009A004B"/>
    <w:rsid w:val="009A00BE"/>
    <w:rsid w:val="009A0133"/>
    <w:rsid w:val="009A02B7"/>
    <w:rsid w:val="009A0391"/>
    <w:rsid w:val="009A048E"/>
    <w:rsid w:val="009A05A3"/>
    <w:rsid w:val="009A067D"/>
    <w:rsid w:val="009A080C"/>
    <w:rsid w:val="009A0AF0"/>
    <w:rsid w:val="009A10AF"/>
    <w:rsid w:val="009A1417"/>
    <w:rsid w:val="009A1495"/>
    <w:rsid w:val="009A16A3"/>
    <w:rsid w:val="009A16EC"/>
    <w:rsid w:val="009A1817"/>
    <w:rsid w:val="009A1AB2"/>
    <w:rsid w:val="009A1BDB"/>
    <w:rsid w:val="009A1C4C"/>
    <w:rsid w:val="009A1D80"/>
    <w:rsid w:val="009A1DCE"/>
    <w:rsid w:val="009A2086"/>
    <w:rsid w:val="009A2143"/>
    <w:rsid w:val="009A2146"/>
    <w:rsid w:val="009A223A"/>
    <w:rsid w:val="009A227A"/>
    <w:rsid w:val="009A2306"/>
    <w:rsid w:val="009A268A"/>
    <w:rsid w:val="009A2789"/>
    <w:rsid w:val="009A27A5"/>
    <w:rsid w:val="009A28FF"/>
    <w:rsid w:val="009A297B"/>
    <w:rsid w:val="009A2A65"/>
    <w:rsid w:val="009A2BB7"/>
    <w:rsid w:val="009A2BB9"/>
    <w:rsid w:val="009A2D54"/>
    <w:rsid w:val="009A2D60"/>
    <w:rsid w:val="009A2D7E"/>
    <w:rsid w:val="009A2E1F"/>
    <w:rsid w:val="009A2FF2"/>
    <w:rsid w:val="009A31F2"/>
    <w:rsid w:val="009A3308"/>
    <w:rsid w:val="009A3397"/>
    <w:rsid w:val="009A37DF"/>
    <w:rsid w:val="009A381F"/>
    <w:rsid w:val="009A3AA5"/>
    <w:rsid w:val="009A3B2D"/>
    <w:rsid w:val="009A3D4C"/>
    <w:rsid w:val="009A3D5D"/>
    <w:rsid w:val="009A414E"/>
    <w:rsid w:val="009A41B3"/>
    <w:rsid w:val="009A4406"/>
    <w:rsid w:val="009A44A8"/>
    <w:rsid w:val="009A4583"/>
    <w:rsid w:val="009A45AC"/>
    <w:rsid w:val="009A4686"/>
    <w:rsid w:val="009A4A76"/>
    <w:rsid w:val="009A4AFC"/>
    <w:rsid w:val="009A4BC8"/>
    <w:rsid w:val="009A4EA3"/>
    <w:rsid w:val="009A4F3E"/>
    <w:rsid w:val="009A51E3"/>
    <w:rsid w:val="009A524F"/>
    <w:rsid w:val="009A5349"/>
    <w:rsid w:val="009A5619"/>
    <w:rsid w:val="009A5676"/>
    <w:rsid w:val="009A5679"/>
    <w:rsid w:val="009A578B"/>
    <w:rsid w:val="009A5800"/>
    <w:rsid w:val="009A5920"/>
    <w:rsid w:val="009A5966"/>
    <w:rsid w:val="009A5A46"/>
    <w:rsid w:val="009A5AA9"/>
    <w:rsid w:val="009A5AC1"/>
    <w:rsid w:val="009A5AF4"/>
    <w:rsid w:val="009A5C62"/>
    <w:rsid w:val="009A5D68"/>
    <w:rsid w:val="009A5E01"/>
    <w:rsid w:val="009A5E37"/>
    <w:rsid w:val="009A5EB3"/>
    <w:rsid w:val="009A5EB5"/>
    <w:rsid w:val="009A6017"/>
    <w:rsid w:val="009A6024"/>
    <w:rsid w:val="009A621C"/>
    <w:rsid w:val="009A6402"/>
    <w:rsid w:val="009A6427"/>
    <w:rsid w:val="009A6740"/>
    <w:rsid w:val="009A6994"/>
    <w:rsid w:val="009A6B2E"/>
    <w:rsid w:val="009A6BA2"/>
    <w:rsid w:val="009A6C5A"/>
    <w:rsid w:val="009A6E61"/>
    <w:rsid w:val="009A7277"/>
    <w:rsid w:val="009A7379"/>
    <w:rsid w:val="009A7487"/>
    <w:rsid w:val="009A76EA"/>
    <w:rsid w:val="009A7834"/>
    <w:rsid w:val="009A7A42"/>
    <w:rsid w:val="009A7B9E"/>
    <w:rsid w:val="009A7C28"/>
    <w:rsid w:val="009A7F69"/>
    <w:rsid w:val="009A7FF1"/>
    <w:rsid w:val="009B00B8"/>
    <w:rsid w:val="009B0117"/>
    <w:rsid w:val="009B01B5"/>
    <w:rsid w:val="009B03F9"/>
    <w:rsid w:val="009B0417"/>
    <w:rsid w:val="009B044B"/>
    <w:rsid w:val="009B06FF"/>
    <w:rsid w:val="009B07A0"/>
    <w:rsid w:val="009B0808"/>
    <w:rsid w:val="009B08CE"/>
    <w:rsid w:val="009B0A8F"/>
    <w:rsid w:val="009B0A91"/>
    <w:rsid w:val="009B0ADC"/>
    <w:rsid w:val="009B0B58"/>
    <w:rsid w:val="009B0CBC"/>
    <w:rsid w:val="009B0E75"/>
    <w:rsid w:val="009B0FEC"/>
    <w:rsid w:val="009B1156"/>
    <w:rsid w:val="009B11F3"/>
    <w:rsid w:val="009B1312"/>
    <w:rsid w:val="009B1320"/>
    <w:rsid w:val="009B1381"/>
    <w:rsid w:val="009B1404"/>
    <w:rsid w:val="009B148C"/>
    <w:rsid w:val="009B14F6"/>
    <w:rsid w:val="009B155A"/>
    <w:rsid w:val="009B1619"/>
    <w:rsid w:val="009B1684"/>
    <w:rsid w:val="009B16CD"/>
    <w:rsid w:val="009B16CE"/>
    <w:rsid w:val="009B172D"/>
    <w:rsid w:val="009B1898"/>
    <w:rsid w:val="009B18D3"/>
    <w:rsid w:val="009B19E6"/>
    <w:rsid w:val="009B1D36"/>
    <w:rsid w:val="009B1D8D"/>
    <w:rsid w:val="009B20D5"/>
    <w:rsid w:val="009B21CC"/>
    <w:rsid w:val="009B2294"/>
    <w:rsid w:val="009B22A3"/>
    <w:rsid w:val="009B243E"/>
    <w:rsid w:val="009B24FF"/>
    <w:rsid w:val="009B25B1"/>
    <w:rsid w:val="009B2689"/>
    <w:rsid w:val="009B2752"/>
    <w:rsid w:val="009B2803"/>
    <w:rsid w:val="009B28EC"/>
    <w:rsid w:val="009B29A1"/>
    <w:rsid w:val="009B2B5B"/>
    <w:rsid w:val="009B2BC3"/>
    <w:rsid w:val="009B2C57"/>
    <w:rsid w:val="009B2C5C"/>
    <w:rsid w:val="009B2DE4"/>
    <w:rsid w:val="009B2E5E"/>
    <w:rsid w:val="009B2EA2"/>
    <w:rsid w:val="009B2EA8"/>
    <w:rsid w:val="009B2EF1"/>
    <w:rsid w:val="009B2EF3"/>
    <w:rsid w:val="009B3011"/>
    <w:rsid w:val="009B3120"/>
    <w:rsid w:val="009B31E1"/>
    <w:rsid w:val="009B323C"/>
    <w:rsid w:val="009B3508"/>
    <w:rsid w:val="009B35F2"/>
    <w:rsid w:val="009B3714"/>
    <w:rsid w:val="009B38C8"/>
    <w:rsid w:val="009B38EF"/>
    <w:rsid w:val="009B3A97"/>
    <w:rsid w:val="009B3DB8"/>
    <w:rsid w:val="009B4047"/>
    <w:rsid w:val="009B40AA"/>
    <w:rsid w:val="009B41AD"/>
    <w:rsid w:val="009B4418"/>
    <w:rsid w:val="009B4688"/>
    <w:rsid w:val="009B4696"/>
    <w:rsid w:val="009B46E4"/>
    <w:rsid w:val="009B4764"/>
    <w:rsid w:val="009B47AD"/>
    <w:rsid w:val="009B48A7"/>
    <w:rsid w:val="009B49EE"/>
    <w:rsid w:val="009B4D25"/>
    <w:rsid w:val="009B4D9F"/>
    <w:rsid w:val="009B4DFF"/>
    <w:rsid w:val="009B4FC8"/>
    <w:rsid w:val="009B502B"/>
    <w:rsid w:val="009B5208"/>
    <w:rsid w:val="009B54BA"/>
    <w:rsid w:val="009B56B4"/>
    <w:rsid w:val="009B57A5"/>
    <w:rsid w:val="009B5840"/>
    <w:rsid w:val="009B588E"/>
    <w:rsid w:val="009B5953"/>
    <w:rsid w:val="009B5A31"/>
    <w:rsid w:val="009B5A42"/>
    <w:rsid w:val="009B5B32"/>
    <w:rsid w:val="009B5BA1"/>
    <w:rsid w:val="009B5BE1"/>
    <w:rsid w:val="009B5D99"/>
    <w:rsid w:val="009B5E32"/>
    <w:rsid w:val="009B5F97"/>
    <w:rsid w:val="009B6007"/>
    <w:rsid w:val="009B62D7"/>
    <w:rsid w:val="009B66B3"/>
    <w:rsid w:val="009B66BD"/>
    <w:rsid w:val="009B67D6"/>
    <w:rsid w:val="009B6842"/>
    <w:rsid w:val="009B69E3"/>
    <w:rsid w:val="009B6AE0"/>
    <w:rsid w:val="009B6AEE"/>
    <w:rsid w:val="009B6BEF"/>
    <w:rsid w:val="009B6EC0"/>
    <w:rsid w:val="009B6FB3"/>
    <w:rsid w:val="009B6FF2"/>
    <w:rsid w:val="009B6FF6"/>
    <w:rsid w:val="009B7051"/>
    <w:rsid w:val="009B71BE"/>
    <w:rsid w:val="009B7373"/>
    <w:rsid w:val="009B73B0"/>
    <w:rsid w:val="009B773B"/>
    <w:rsid w:val="009B7925"/>
    <w:rsid w:val="009B7A7F"/>
    <w:rsid w:val="009B7A9F"/>
    <w:rsid w:val="009B7BB0"/>
    <w:rsid w:val="009B7CA4"/>
    <w:rsid w:val="009C0022"/>
    <w:rsid w:val="009C002B"/>
    <w:rsid w:val="009C02B3"/>
    <w:rsid w:val="009C03E7"/>
    <w:rsid w:val="009C054E"/>
    <w:rsid w:val="009C0840"/>
    <w:rsid w:val="009C08FC"/>
    <w:rsid w:val="009C0AC1"/>
    <w:rsid w:val="009C0E4C"/>
    <w:rsid w:val="009C0E65"/>
    <w:rsid w:val="009C0E8F"/>
    <w:rsid w:val="009C0FD7"/>
    <w:rsid w:val="009C11F3"/>
    <w:rsid w:val="009C1309"/>
    <w:rsid w:val="009C1312"/>
    <w:rsid w:val="009C134D"/>
    <w:rsid w:val="009C139B"/>
    <w:rsid w:val="009C1465"/>
    <w:rsid w:val="009C1480"/>
    <w:rsid w:val="009C14EB"/>
    <w:rsid w:val="009C1520"/>
    <w:rsid w:val="009C1530"/>
    <w:rsid w:val="009C1597"/>
    <w:rsid w:val="009C15F0"/>
    <w:rsid w:val="009C166B"/>
    <w:rsid w:val="009C16CA"/>
    <w:rsid w:val="009C1761"/>
    <w:rsid w:val="009C17BD"/>
    <w:rsid w:val="009C17DE"/>
    <w:rsid w:val="009C18C4"/>
    <w:rsid w:val="009C1940"/>
    <w:rsid w:val="009C1976"/>
    <w:rsid w:val="009C1B12"/>
    <w:rsid w:val="009C1B47"/>
    <w:rsid w:val="009C1B6F"/>
    <w:rsid w:val="009C1B73"/>
    <w:rsid w:val="009C1CA3"/>
    <w:rsid w:val="009C1D2B"/>
    <w:rsid w:val="009C23B1"/>
    <w:rsid w:val="009C24B5"/>
    <w:rsid w:val="009C261A"/>
    <w:rsid w:val="009C29D5"/>
    <w:rsid w:val="009C2A89"/>
    <w:rsid w:val="009C2AA3"/>
    <w:rsid w:val="009C2AD3"/>
    <w:rsid w:val="009C2B11"/>
    <w:rsid w:val="009C2BD1"/>
    <w:rsid w:val="009C2CD9"/>
    <w:rsid w:val="009C2E62"/>
    <w:rsid w:val="009C2EAF"/>
    <w:rsid w:val="009C2F43"/>
    <w:rsid w:val="009C309E"/>
    <w:rsid w:val="009C3239"/>
    <w:rsid w:val="009C33E0"/>
    <w:rsid w:val="009C3802"/>
    <w:rsid w:val="009C3841"/>
    <w:rsid w:val="009C39DC"/>
    <w:rsid w:val="009C3B76"/>
    <w:rsid w:val="009C3B9A"/>
    <w:rsid w:val="009C3B9C"/>
    <w:rsid w:val="009C3BF4"/>
    <w:rsid w:val="009C3D4D"/>
    <w:rsid w:val="009C3E71"/>
    <w:rsid w:val="009C3F21"/>
    <w:rsid w:val="009C3F26"/>
    <w:rsid w:val="009C4067"/>
    <w:rsid w:val="009C40A6"/>
    <w:rsid w:val="009C4182"/>
    <w:rsid w:val="009C4242"/>
    <w:rsid w:val="009C42A6"/>
    <w:rsid w:val="009C432F"/>
    <w:rsid w:val="009C441C"/>
    <w:rsid w:val="009C4496"/>
    <w:rsid w:val="009C45AD"/>
    <w:rsid w:val="009C45E4"/>
    <w:rsid w:val="009C4691"/>
    <w:rsid w:val="009C48A9"/>
    <w:rsid w:val="009C49AA"/>
    <w:rsid w:val="009C49FE"/>
    <w:rsid w:val="009C4B95"/>
    <w:rsid w:val="009C4CD5"/>
    <w:rsid w:val="009C4DD2"/>
    <w:rsid w:val="009C4E04"/>
    <w:rsid w:val="009C4EBA"/>
    <w:rsid w:val="009C4F8F"/>
    <w:rsid w:val="009C504A"/>
    <w:rsid w:val="009C5188"/>
    <w:rsid w:val="009C52A7"/>
    <w:rsid w:val="009C5317"/>
    <w:rsid w:val="009C54CC"/>
    <w:rsid w:val="009C54EE"/>
    <w:rsid w:val="009C569B"/>
    <w:rsid w:val="009C56AD"/>
    <w:rsid w:val="009C57FF"/>
    <w:rsid w:val="009C581A"/>
    <w:rsid w:val="009C586F"/>
    <w:rsid w:val="009C5930"/>
    <w:rsid w:val="009C5B2C"/>
    <w:rsid w:val="009C5C38"/>
    <w:rsid w:val="009C5D6F"/>
    <w:rsid w:val="009C5E08"/>
    <w:rsid w:val="009C5E19"/>
    <w:rsid w:val="009C5F19"/>
    <w:rsid w:val="009C5FC9"/>
    <w:rsid w:val="009C60DA"/>
    <w:rsid w:val="009C61F8"/>
    <w:rsid w:val="009C63F2"/>
    <w:rsid w:val="009C64B6"/>
    <w:rsid w:val="009C661B"/>
    <w:rsid w:val="009C669B"/>
    <w:rsid w:val="009C66B8"/>
    <w:rsid w:val="009C66BB"/>
    <w:rsid w:val="009C66F9"/>
    <w:rsid w:val="009C6733"/>
    <w:rsid w:val="009C67D8"/>
    <w:rsid w:val="009C690B"/>
    <w:rsid w:val="009C69A1"/>
    <w:rsid w:val="009C6A5F"/>
    <w:rsid w:val="009C6B07"/>
    <w:rsid w:val="009C6C4E"/>
    <w:rsid w:val="009C6DD8"/>
    <w:rsid w:val="009C6DF6"/>
    <w:rsid w:val="009C6E85"/>
    <w:rsid w:val="009C6ED9"/>
    <w:rsid w:val="009C6F05"/>
    <w:rsid w:val="009C7051"/>
    <w:rsid w:val="009C70E9"/>
    <w:rsid w:val="009C7396"/>
    <w:rsid w:val="009C749E"/>
    <w:rsid w:val="009C755B"/>
    <w:rsid w:val="009C764F"/>
    <w:rsid w:val="009C7A0D"/>
    <w:rsid w:val="009C7A23"/>
    <w:rsid w:val="009C7C4D"/>
    <w:rsid w:val="009C7C83"/>
    <w:rsid w:val="009D0289"/>
    <w:rsid w:val="009D02BA"/>
    <w:rsid w:val="009D0490"/>
    <w:rsid w:val="009D04EA"/>
    <w:rsid w:val="009D0537"/>
    <w:rsid w:val="009D06F9"/>
    <w:rsid w:val="009D07F3"/>
    <w:rsid w:val="009D0B00"/>
    <w:rsid w:val="009D0B1D"/>
    <w:rsid w:val="009D0BE9"/>
    <w:rsid w:val="009D0DD0"/>
    <w:rsid w:val="009D0EAA"/>
    <w:rsid w:val="009D0FC4"/>
    <w:rsid w:val="009D129D"/>
    <w:rsid w:val="009D12DD"/>
    <w:rsid w:val="009D1791"/>
    <w:rsid w:val="009D17B4"/>
    <w:rsid w:val="009D1A1E"/>
    <w:rsid w:val="009D1A67"/>
    <w:rsid w:val="009D1AC4"/>
    <w:rsid w:val="009D1B4F"/>
    <w:rsid w:val="009D1C01"/>
    <w:rsid w:val="009D1C41"/>
    <w:rsid w:val="009D1CFA"/>
    <w:rsid w:val="009D1E03"/>
    <w:rsid w:val="009D20FE"/>
    <w:rsid w:val="009D2165"/>
    <w:rsid w:val="009D2649"/>
    <w:rsid w:val="009D2809"/>
    <w:rsid w:val="009D2A62"/>
    <w:rsid w:val="009D2B4A"/>
    <w:rsid w:val="009D2B84"/>
    <w:rsid w:val="009D2BF0"/>
    <w:rsid w:val="009D2D00"/>
    <w:rsid w:val="009D2D8E"/>
    <w:rsid w:val="009D2E07"/>
    <w:rsid w:val="009D2EB9"/>
    <w:rsid w:val="009D2F6D"/>
    <w:rsid w:val="009D3005"/>
    <w:rsid w:val="009D3059"/>
    <w:rsid w:val="009D309C"/>
    <w:rsid w:val="009D344E"/>
    <w:rsid w:val="009D34AD"/>
    <w:rsid w:val="009D34FD"/>
    <w:rsid w:val="009D35F6"/>
    <w:rsid w:val="009D363B"/>
    <w:rsid w:val="009D36C0"/>
    <w:rsid w:val="009D389E"/>
    <w:rsid w:val="009D3974"/>
    <w:rsid w:val="009D3CE5"/>
    <w:rsid w:val="009D429B"/>
    <w:rsid w:val="009D4317"/>
    <w:rsid w:val="009D46EA"/>
    <w:rsid w:val="009D4856"/>
    <w:rsid w:val="009D49A6"/>
    <w:rsid w:val="009D49C1"/>
    <w:rsid w:val="009D4A52"/>
    <w:rsid w:val="009D4D3F"/>
    <w:rsid w:val="009D4D63"/>
    <w:rsid w:val="009D4DF8"/>
    <w:rsid w:val="009D4DFB"/>
    <w:rsid w:val="009D4E0F"/>
    <w:rsid w:val="009D4E70"/>
    <w:rsid w:val="009D507B"/>
    <w:rsid w:val="009D5255"/>
    <w:rsid w:val="009D5392"/>
    <w:rsid w:val="009D55C4"/>
    <w:rsid w:val="009D56A3"/>
    <w:rsid w:val="009D56B2"/>
    <w:rsid w:val="009D56F8"/>
    <w:rsid w:val="009D5837"/>
    <w:rsid w:val="009D59DB"/>
    <w:rsid w:val="009D5AC4"/>
    <w:rsid w:val="009D5BC6"/>
    <w:rsid w:val="009D5C9A"/>
    <w:rsid w:val="009D5D32"/>
    <w:rsid w:val="009D5D69"/>
    <w:rsid w:val="009D5DFA"/>
    <w:rsid w:val="009D5E7E"/>
    <w:rsid w:val="009D5FD1"/>
    <w:rsid w:val="009D60B4"/>
    <w:rsid w:val="009D61D9"/>
    <w:rsid w:val="009D6481"/>
    <w:rsid w:val="009D6483"/>
    <w:rsid w:val="009D659B"/>
    <w:rsid w:val="009D65F3"/>
    <w:rsid w:val="009D66B9"/>
    <w:rsid w:val="009D66C2"/>
    <w:rsid w:val="009D672B"/>
    <w:rsid w:val="009D67D6"/>
    <w:rsid w:val="009D68C0"/>
    <w:rsid w:val="009D68C4"/>
    <w:rsid w:val="009D69A6"/>
    <w:rsid w:val="009D69BE"/>
    <w:rsid w:val="009D6AE7"/>
    <w:rsid w:val="009D6D72"/>
    <w:rsid w:val="009D6F26"/>
    <w:rsid w:val="009D701E"/>
    <w:rsid w:val="009D73CE"/>
    <w:rsid w:val="009D73E6"/>
    <w:rsid w:val="009D74D0"/>
    <w:rsid w:val="009D7746"/>
    <w:rsid w:val="009D77F5"/>
    <w:rsid w:val="009D7A8E"/>
    <w:rsid w:val="009D7AFA"/>
    <w:rsid w:val="009D7B89"/>
    <w:rsid w:val="009D7E85"/>
    <w:rsid w:val="009D7F66"/>
    <w:rsid w:val="009E0018"/>
    <w:rsid w:val="009E00F8"/>
    <w:rsid w:val="009E02FD"/>
    <w:rsid w:val="009E04C9"/>
    <w:rsid w:val="009E0570"/>
    <w:rsid w:val="009E05B1"/>
    <w:rsid w:val="009E0915"/>
    <w:rsid w:val="009E0D0E"/>
    <w:rsid w:val="009E10AE"/>
    <w:rsid w:val="009E10BA"/>
    <w:rsid w:val="009E1186"/>
    <w:rsid w:val="009E1192"/>
    <w:rsid w:val="009E11F7"/>
    <w:rsid w:val="009E136C"/>
    <w:rsid w:val="009E1420"/>
    <w:rsid w:val="009E1439"/>
    <w:rsid w:val="009E14C6"/>
    <w:rsid w:val="009E151A"/>
    <w:rsid w:val="009E1618"/>
    <w:rsid w:val="009E1763"/>
    <w:rsid w:val="009E17F4"/>
    <w:rsid w:val="009E180F"/>
    <w:rsid w:val="009E1825"/>
    <w:rsid w:val="009E184C"/>
    <w:rsid w:val="009E186F"/>
    <w:rsid w:val="009E1C0B"/>
    <w:rsid w:val="009E1D78"/>
    <w:rsid w:val="009E1E51"/>
    <w:rsid w:val="009E1E92"/>
    <w:rsid w:val="009E20E8"/>
    <w:rsid w:val="009E2178"/>
    <w:rsid w:val="009E21A1"/>
    <w:rsid w:val="009E2475"/>
    <w:rsid w:val="009E24B5"/>
    <w:rsid w:val="009E254C"/>
    <w:rsid w:val="009E2645"/>
    <w:rsid w:val="009E2677"/>
    <w:rsid w:val="009E26C7"/>
    <w:rsid w:val="009E280E"/>
    <w:rsid w:val="009E294A"/>
    <w:rsid w:val="009E2B0F"/>
    <w:rsid w:val="009E2B43"/>
    <w:rsid w:val="009E2DFC"/>
    <w:rsid w:val="009E2EF4"/>
    <w:rsid w:val="009E2EFE"/>
    <w:rsid w:val="009E2F47"/>
    <w:rsid w:val="009E2FC7"/>
    <w:rsid w:val="009E31B0"/>
    <w:rsid w:val="009E3263"/>
    <w:rsid w:val="009E326A"/>
    <w:rsid w:val="009E33A0"/>
    <w:rsid w:val="009E33A6"/>
    <w:rsid w:val="009E3516"/>
    <w:rsid w:val="009E3846"/>
    <w:rsid w:val="009E386C"/>
    <w:rsid w:val="009E3901"/>
    <w:rsid w:val="009E3902"/>
    <w:rsid w:val="009E3A2F"/>
    <w:rsid w:val="009E3A47"/>
    <w:rsid w:val="009E3C86"/>
    <w:rsid w:val="009E3E9B"/>
    <w:rsid w:val="009E4183"/>
    <w:rsid w:val="009E41DF"/>
    <w:rsid w:val="009E4207"/>
    <w:rsid w:val="009E433C"/>
    <w:rsid w:val="009E4636"/>
    <w:rsid w:val="009E4898"/>
    <w:rsid w:val="009E495F"/>
    <w:rsid w:val="009E49ED"/>
    <w:rsid w:val="009E4B41"/>
    <w:rsid w:val="009E4B56"/>
    <w:rsid w:val="009E4BFA"/>
    <w:rsid w:val="009E5134"/>
    <w:rsid w:val="009E51E4"/>
    <w:rsid w:val="009E528D"/>
    <w:rsid w:val="009E52F4"/>
    <w:rsid w:val="009E533A"/>
    <w:rsid w:val="009E5347"/>
    <w:rsid w:val="009E5428"/>
    <w:rsid w:val="009E54B2"/>
    <w:rsid w:val="009E55CF"/>
    <w:rsid w:val="009E5706"/>
    <w:rsid w:val="009E5732"/>
    <w:rsid w:val="009E5819"/>
    <w:rsid w:val="009E59FE"/>
    <w:rsid w:val="009E5B89"/>
    <w:rsid w:val="009E5CA9"/>
    <w:rsid w:val="009E5E42"/>
    <w:rsid w:val="009E5EAB"/>
    <w:rsid w:val="009E5F43"/>
    <w:rsid w:val="009E603D"/>
    <w:rsid w:val="009E6077"/>
    <w:rsid w:val="009E60FE"/>
    <w:rsid w:val="009E61FF"/>
    <w:rsid w:val="009E62A1"/>
    <w:rsid w:val="009E62A4"/>
    <w:rsid w:val="009E6502"/>
    <w:rsid w:val="009E66A0"/>
    <w:rsid w:val="009E6770"/>
    <w:rsid w:val="009E67A0"/>
    <w:rsid w:val="009E692B"/>
    <w:rsid w:val="009E69CD"/>
    <w:rsid w:val="009E6AE5"/>
    <w:rsid w:val="009E6C6A"/>
    <w:rsid w:val="009E6D37"/>
    <w:rsid w:val="009E6D9D"/>
    <w:rsid w:val="009E6DCF"/>
    <w:rsid w:val="009E6E4B"/>
    <w:rsid w:val="009E6EFF"/>
    <w:rsid w:val="009E7126"/>
    <w:rsid w:val="009E71DB"/>
    <w:rsid w:val="009E725C"/>
    <w:rsid w:val="009E72E2"/>
    <w:rsid w:val="009E739B"/>
    <w:rsid w:val="009E7490"/>
    <w:rsid w:val="009E752C"/>
    <w:rsid w:val="009E76DC"/>
    <w:rsid w:val="009E7810"/>
    <w:rsid w:val="009E781B"/>
    <w:rsid w:val="009E7907"/>
    <w:rsid w:val="009E7954"/>
    <w:rsid w:val="009E7AB0"/>
    <w:rsid w:val="009E7CFB"/>
    <w:rsid w:val="009E7DE9"/>
    <w:rsid w:val="009E7E95"/>
    <w:rsid w:val="009E7FFD"/>
    <w:rsid w:val="009F0093"/>
    <w:rsid w:val="009F00E5"/>
    <w:rsid w:val="009F0216"/>
    <w:rsid w:val="009F043C"/>
    <w:rsid w:val="009F0878"/>
    <w:rsid w:val="009F0921"/>
    <w:rsid w:val="009F0A00"/>
    <w:rsid w:val="009F0B8C"/>
    <w:rsid w:val="009F0F46"/>
    <w:rsid w:val="009F0F52"/>
    <w:rsid w:val="009F1513"/>
    <w:rsid w:val="009F15A8"/>
    <w:rsid w:val="009F15D8"/>
    <w:rsid w:val="009F15F9"/>
    <w:rsid w:val="009F1687"/>
    <w:rsid w:val="009F172E"/>
    <w:rsid w:val="009F190B"/>
    <w:rsid w:val="009F1A80"/>
    <w:rsid w:val="009F1B16"/>
    <w:rsid w:val="009F1BFB"/>
    <w:rsid w:val="009F1C36"/>
    <w:rsid w:val="009F1DFD"/>
    <w:rsid w:val="009F1E01"/>
    <w:rsid w:val="009F1FAB"/>
    <w:rsid w:val="009F1FAC"/>
    <w:rsid w:val="009F1FEE"/>
    <w:rsid w:val="009F200E"/>
    <w:rsid w:val="009F20B2"/>
    <w:rsid w:val="009F216B"/>
    <w:rsid w:val="009F232A"/>
    <w:rsid w:val="009F2433"/>
    <w:rsid w:val="009F24F2"/>
    <w:rsid w:val="009F250B"/>
    <w:rsid w:val="009F2633"/>
    <w:rsid w:val="009F268B"/>
    <w:rsid w:val="009F2968"/>
    <w:rsid w:val="009F29C3"/>
    <w:rsid w:val="009F2A55"/>
    <w:rsid w:val="009F2BA5"/>
    <w:rsid w:val="009F2BAA"/>
    <w:rsid w:val="009F2BE0"/>
    <w:rsid w:val="009F2BE3"/>
    <w:rsid w:val="009F3020"/>
    <w:rsid w:val="009F3048"/>
    <w:rsid w:val="009F3101"/>
    <w:rsid w:val="009F357A"/>
    <w:rsid w:val="009F371E"/>
    <w:rsid w:val="009F3727"/>
    <w:rsid w:val="009F3B54"/>
    <w:rsid w:val="009F3C28"/>
    <w:rsid w:val="009F3C5C"/>
    <w:rsid w:val="009F3CA5"/>
    <w:rsid w:val="009F3D3E"/>
    <w:rsid w:val="009F3DB3"/>
    <w:rsid w:val="009F3DB5"/>
    <w:rsid w:val="009F3E68"/>
    <w:rsid w:val="009F3F6F"/>
    <w:rsid w:val="009F42CD"/>
    <w:rsid w:val="009F439B"/>
    <w:rsid w:val="009F44EF"/>
    <w:rsid w:val="009F4507"/>
    <w:rsid w:val="009F4522"/>
    <w:rsid w:val="009F474B"/>
    <w:rsid w:val="009F4940"/>
    <w:rsid w:val="009F4941"/>
    <w:rsid w:val="009F4B67"/>
    <w:rsid w:val="009F4CDE"/>
    <w:rsid w:val="009F4D26"/>
    <w:rsid w:val="009F4F81"/>
    <w:rsid w:val="009F535B"/>
    <w:rsid w:val="009F53D5"/>
    <w:rsid w:val="009F55A4"/>
    <w:rsid w:val="009F56ED"/>
    <w:rsid w:val="009F57F1"/>
    <w:rsid w:val="009F5860"/>
    <w:rsid w:val="009F58DB"/>
    <w:rsid w:val="009F58E2"/>
    <w:rsid w:val="009F593F"/>
    <w:rsid w:val="009F59A0"/>
    <w:rsid w:val="009F5AB5"/>
    <w:rsid w:val="009F5AF2"/>
    <w:rsid w:val="009F5BB0"/>
    <w:rsid w:val="009F5D49"/>
    <w:rsid w:val="009F5F2A"/>
    <w:rsid w:val="009F6001"/>
    <w:rsid w:val="009F620C"/>
    <w:rsid w:val="009F62B7"/>
    <w:rsid w:val="009F643B"/>
    <w:rsid w:val="009F646D"/>
    <w:rsid w:val="009F6490"/>
    <w:rsid w:val="009F64C6"/>
    <w:rsid w:val="009F6512"/>
    <w:rsid w:val="009F6575"/>
    <w:rsid w:val="009F659A"/>
    <w:rsid w:val="009F68B1"/>
    <w:rsid w:val="009F6AB8"/>
    <w:rsid w:val="009F6AD1"/>
    <w:rsid w:val="009F6B1B"/>
    <w:rsid w:val="009F6C3F"/>
    <w:rsid w:val="009F6CB1"/>
    <w:rsid w:val="009F6D6E"/>
    <w:rsid w:val="009F6F14"/>
    <w:rsid w:val="009F6F88"/>
    <w:rsid w:val="009F70E9"/>
    <w:rsid w:val="009F7114"/>
    <w:rsid w:val="009F7174"/>
    <w:rsid w:val="009F71A0"/>
    <w:rsid w:val="009F71F4"/>
    <w:rsid w:val="009F7391"/>
    <w:rsid w:val="009F73E7"/>
    <w:rsid w:val="009F7715"/>
    <w:rsid w:val="009F7792"/>
    <w:rsid w:val="009F789B"/>
    <w:rsid w:val="009F7AA6"/>
    <w:rsid w:val="009F7E82"/>
    <w:rsid w:val="009F7FC5"/>
    <w:rsid w:val="00A000BD"/>
    <w:rsid w:val="00A0030D"/>
    <w:rsid w:val="00A004A2"/>
    <w:rsid w:val="00A00656"/>
    <w:rsid w:val="00A0085A"/>
    <w:rsid w:val="00A00ACA"/>
    <w:rsid w:val="00A00B37"/>
    <w:rsid w:val="00A00BF2"/>
    <w:rsid w:val="00A00DAB"/>
    <w:rsid w:val="00A00E99"/>
    <w:rsid w:val="00A00EE0"/>
    <w:rsid w:val="00A00F74"/>
    <w:rsid w:val="00A01001"/>
    <w:rsid w:val="00A010F1"/>
    <w:rsid w:val="00A01115"/>
    <w:rsid w:val="00A0132A"/>
    <w:rsid w:val="00A013CC"/>
    <w:rsid w:val="00A01413"/>
    <w:rsid w:val="00A014D6"/>
    <w:rsid w:val="00A01538"/>
    <w:rsid w:val="00A01714"/>
    <w:rsid w:val="00A019DD"/>
    <w:rsid w:val="00A01A58"/>
    <w:rsid w:val="00A01A70"/>
    <w:rsid w:val="00A01B59"/>
    <w:rsid w:val="00A01C62"/>
    <w:rsid w:val="00A01D67"/>
    <w:rsid w:val="00A01D7B"/>
    <w:rsid w:val="00A01D86"/>
    <w:rsid w:val="00A01E37"/>
    <w:rsid w:val="00A01EED"/>
    <w:rsid w:val="00A01F76"/>
    <w:rsid w:val="00A01FE1"/>
    <w:rsid w:val="00A020C0"/>
    <w:rsid w:val="00A0226E"/>
    <w:rsid w:val="00A025A0"/>
    <w:rsid w:val="00A025B5"/>
    <w:rsid w:val="00A025ED"/>
    <w:rsid w:val="00A02677"/>
    <w:rsid w:val="00A027C7"/>
    <w:rsid w:val="00A02947"/>
    <w:rsid w:val="00A029EB"/>
    <w:rsid w:val="00A02A22"/>
    <w:rsid w:val="00A02AD7"/>
    <w:rsid w:val="00A02C82"/>
    <w:rsid w:val="00A02C83"/>
    <w:rsid w:val="00A030D7"/>
    <w:rsid w:val="00A0320A"/>
    <w:rsid w:val="00A03231"/>
    <w:rsid w:val="00A0328E"/>
    <w:rsid w:val="00A032EA"/>
    <w:rsid w:val="00A034B0"/>
    <w:rsid w:val="00A034B2"/>
    <w:rsid w:val="00A0351A"/>
    <w:rsid w:val="00A036C3"/>
    <w:rsid w:val="00A036EE"/>
    <w:rsid w:val="00A03707"/>
    <w:rsid w:val="00A037BC"/>
    <w:rsid w:val="00A03AD8"/>
    <w:rsid w:val="00A03BCA"/>
    <w:rsid w:val="00A03C16"/>
    <w:rsid w:val="00A03CC6"/>
    <w:rsid w:val="00A03DF1"/>
    <w:rsid w:val="00A03FB3"/>
    <w:rsid w:val="00A04079"/>
    <w:rsid w:val="00A040F8"/>
    <w:rsid w:val="00A041CD"/>
    <w:rsid w:val="00A04237"/>
    <w:rsid w:val="00A0426F"/>
    <w:rsid w:val="00A042CD"/>
    <w:rsid w:val="00A0437D"/>
    <w:rsid w:val="00A04452"/>
    <w:rsid w:val="00A045EC"/>
    <w:rsid w:val="00A0464E"/>
    <w:rsid w:val="00A04892"/>
    <w:rsid w:val="00A04985"/>
    <w:rsid w:val="00A04A4E"/>
    <w:rsid w:val="00A04AD5"/>
    <w:rsid w:val="00A04B04"/>
    <w:rsid w:val="00A04B33"/>
    <w:rsid w:val="00A04C3C"/>
    <w:rsid w:val="00A04DF2"/>
    <w:rsid w:val="00A04E35"/>
    <w:rsid w:val="00A04E8E"/>
    <w:rsid w:val="00A0517F"/>
    <w:rsid w:val="00A05191"/>
    <w:rsid w:val="00A05196"/>
    <w:rsid w:val="00A052C8"/>
    <w:rsid w:val="00A05350"/>
    <w:rsid w:val="00A0535A"/>
    <w:rsid w:val="00A053BC"/>
    <w:rsid w:val="00A053D7"/>
    <w:rsid w:val="00A0557A"/>
    <w:rsid w:val="00A05646"/>
    <w:rsid w:val="00A05765"/>
    <w:rsid w:val="00A05788"/>
    <w:rsid w:val="00A05958"/>
    <w:rsid w:val="00A05A39"/>
    <w:rsid w:val="00A05C14"/>
    <w:rsid w:val="00A05C44"/>
    <w:rsid w:val="00A05C6D"/>
    <w:rsid w:val="00A05F5F"/>
    <w:rsid w:val="00A06032"/>
    <w:rsid w:val="00A06109"/>
    <w:rsid w:val="00A061D1"/>
    <w:rsid w:val="00A06318"/>
    <w:rsid w:val="00A065FB"/>
    <w:rsid w:val="00A067D5"/>
    <w:rsid w:val="00A06826"/>
    <w:rsid w:val="00A06856"/>
    <w:rsid w:val="00A0687F"/>
    <w:rsid w:val="00A06A4E"/>
    <w:rsid w:val="00A06B44"/>
    <w:rsid w:val="00A06C6D"/>
    <w:rsid w:val="00A06F30"/>
    <w:rsid w:val="00A07100"/>
    <w:rsid w:val="00A071E7"/>
    <w:rsid w:val="00A07244"/>
    <w:rsid w:val="00A072BF"/>
    <w:rsid w:val="00A075A2"/>
    <w:rsid w:val="00A077A2"/>
    <w:rsid w:val="00A077E3"/>
    <w:rsid w:val="00A078D3"/>
    <w:rsid w:val="00A07934"/>
    <w:rsid w:val="00A079E6"/>
    <w:rsid w:val="00A07A75"/>
    <w:rsid w:val="00A07AE3"/>
    <w:rsid w:val="00A07B88"/>
    <w:rsid w:val="00A07BE6"/>
    <w:rsid w:val="00A07C42"/>
    <w:rsid w:val="00A07C92"/>
    <w:rsid w:val="00A07CFE"/>
    <w:rsid w:val="00A07D88"/>
    <w:rsid w:val="00A07D90"/>
    <w:rsid w:val="00A07E69"/>
    <w:rsid w:val="00A07E79"/>
    <w:rsid w:val="00A07F00"/>
    <w:rsid w:val="00A1029D"/>
    <w:rsid w:val="00A10438"/>
    <w:rsid w:val="00A104AF"/>
    <w:rsid w:val="00A104C1"/>
    <w:rsid w:val="00A10615"/>
    <w:rsid w:val="00A1063D"/>
    <w:rsid w:val="00A107B4"/>
    <w:rsid w:val="00A10874"/>
    <w:rsid w:val="00A10929"/>
    <w:rsid w:val="00A109EB"/>
    <w:rsid w:val="00A10A46"/>
    <w:rsid w:val="00A10A4C"/>
    <w:rsid w:val="00A10D8A"/>
    <w:rsid w:val="00A10E12"/>
    <w:rsid w:val="00A10ED8"/>
    <w:rsid w:val="00A10F6F"/>
    <w:rsid w:val="00A10FD2"/>
    <w:rsid w:val="00A11003"/>
    <w:rsid w:val="00A111AE"/>
    <w:rsid w:val="00A111E8"/>
    <w:rsid w:val="00A11279"/>
    <w:rsid w:val="00A11326"/>
    <w:rsid w:val="00A11446"/>
    <w:rsid w:val="00A114F8"/>
    <w:rsid w:val="00A1151B"/>
    <w:rsid w:val="00A1162F"/>
    <w:rsid w:val="00A117B9"/>
    <w:rsid w:val="00A117F2"/>
    <w:rsid w:val="00A118CE"/>
    <w:rsid w:val="00A118D2"/>
    <w:rsid w:val="00A11A3E"/>
    <w:rsid w:val="00A11A4C"/>
    <w:rsid w:val="00A11A99"/>
    <w:rsid w:val="00A11C32"/>
    <w:rsid w:val="00A11E3B"/>
    <w:rsid w:val="00A11E76"/>
    <w:rsid w:val="00A11F38"/>
    <w:rsid w:val="00A11F5A"/>
    <w:rsid w:val="00A120D1"/>
    <w:rsid w:val="00A12103"/>
    <w:rsid w:val="00A1252B"/>
    <w:rsid w:val="00A125C9"/>
    <w:rsid w:val="00A12696"/>
    <w:rsid w:val="00A128C6"/>
    <w:rsid w:val="00A12931"/>
    <w:rsid w:val="00A130B2"/>
    <w:rsid w:val="00A13296"/>
    <w:rsid w:val="00A132B9"/>
    <w:rsid w:val="00A132D5"/>
    <w:rsid w:val="00A132EC"/>
    <w:rsid w:val="00A13343"/>
    <w:rsid w:val="00A133A5"/>
    <w:rsid w:val="00A13454"/>
    <w:rsid w:val="00A135FF"/>
    <w:rsid w:val="00A13994"/>
    <w:rsid w:val="00A139BF"/>
    <w:rsid w:val="00A13B64"/>
    <w:rsid w:val="00A13BFC"/>
    <w:rsid w:val="00A13C72"/>
    <w:rsid w:val="00A13C81"/>
    <w:rsid w:val="00A13E39"/>
    <w:rsid w:val="00A1400F"/>
    <w:rsid w:val="00A14099"/>
    <w:rsid w:val="00A140A0"/>
    <w:rsid w:val="00A1419B"/>
    <w:rsid w:val="00A1447E"/>
    <w:rsid w:val="00A14531"/>
    <w:rsid w:val="00A145E2"/>
    <w:rsid w:val="00A1470E"/>
    <w:rsid w:val="00A14745"/>
    <w:rsid w:val="00A1474F"/>
    <w:rsid w:val="00A147EC"/>
    <w:rsid w:val="00A14824"/>
    <w:rsid w:val="00A14921"/>
    <w:rsid w:val="00A1497D"/>
    <w:rsid w:val="00A149FC"/>
    <w:rsid w:val="00A14C9E"/>
    <w:rsid w:val="00A14DDF"/>
    <w:rsid w:val="00A14F72"/>
    <w:rsid w:val="00A15110"/>
    <w:rsid w:val="00A15118"/>
    <w:rsid w:val="00A15164"/>
    <w:rsid w:val="00A15291"/>
    <w:rsid w:val="00A15312"/>
    <w:rsid w:val="00A15368"/>
    <w:rsid w:val="00A15398"/>
    <w:rsid w:val="00A15411"/>
    <w:rsid w:val="00A154DF"/>
    <w:rsid w:val="00A155F2"/>
    <w:rsid w:val="00A15BBB"/>
    <w:rsid w:val="00A15C44"/>
    <w:rsid w:val="00A15D7E"/>
    <w:rsid w:val="00A15DD5"/>
    <w:rsid w:val="00A1605C"/>
    <w:rsid w:val="00A16066"/>
    <w:rsid w:val="00A16096"/>
    <w:rsid w:val="00A160AF"/>
    <w:rsid w:val="00A163A9"/>
    <w:rsid w:val="00A163F6"/>
    <w:rsid w:val="00A16508"/>
    <w:rsid w:val="00A1666F"/>
    <w:rsid w:val="00A1670D"/>
    <w:rsid w:val="00A169DB"/>
    <w:rsid w:val="00A16A12"/>
    <w:rsid w:val="00A16B69"/>
    <w:rsid w:val="00A16C35"/>
    <w:rsid w:val="00A17014"/>
    <w:rsid w:val="00A17020"/>
    <w:rsid w:val="00A1702D"/>
    <w:rsid w:val="00A17199"/>
    <w:rsid w:val="00A17327"/>
    <w:rsid w:val="00A1748A"/>
    <w:rsid w:val="00A175E9"/>
    <w:rsid w:val="00A17756"/>
    <w:rsid w:val="00A1784B"/>
    <w:rsid w:val="00A178CF"/>
    <w:rsid w:val="00A17997"/>
    <w:rsid w:val="00A179C9"/>
    <w:rsid w:val="00A179F3"/>
    <w:rsid w:val="00A17B0F"/>
    <w:rsid w:val="00A17BAE"/>
    <w:rsid w:val="00A17ECF"/>
    <w:rsid w:val="00A20057"/>
    <w:rsid w:val="00A20097"/>
    <w:rsid w:val="00A2034D"/>
    <w:rsid w:val="00A20362"/>
    <w:rsid w:val="00A20532"/>
    <w:rsid w:val="00A2055A"/>
    <w:rsid w:val="00A20698"/>
    <w:rsid w:val="00A20731"/>
    <w:rsid w:val="00A20855"/>
    <w:rsid w:val="00A20ADB"/>
    <w:rsid w:val="00A20D1B"/>
    <w:rsid w:val="00A20D25"/>
    <w:rsid w:val="00A20DA1"/>
    <w:rsid w:val="00A20EAB"/>
    <w:rsid w:val="00A21061"/>
    <w:rsid w:val="00A210E3"/>
    <w:rsid w:val="00A21157"/>
    <w:rsid w:val="00A2145D"/>
    <w:rsid w:val="00A214EE"/>
    <w:rsid w:val="00A21615"/>
    <w:rsid w:val="00A21625"/>
    <w:rsid w:val="00A217EE"/>
    <w:rsid w:val="00A219CD"/>
    <w:rsid w:val="00A21BBB"/>
    <w:rsid w:val="00A21C2A"/>
    <w:rsid w:val="00A21CA3"/>
    <w:rsid w:val="00A21CFA"/>
    <w:rsid w:val="00A21D16"/>
    <w:rsid w:val="00A21D23"/>
    <w:rsid w:val="00A21DF7"/>
    <w:rsid w:val="00A21E60"/>
    <w:rsid w:val="00A21F49"/>
    <w:rsid w:val="00A2224A"/>
    <w:rsid w:val="00A223CB"/>
    <w:rsid w:val="00A2245E"/>
    <w:rsid w:val="00A22472"/>
    <w:rsid w:val="00A22526"/>
    <w:rsid w:val="00A2268A"/>
    <w:rsid w:val="00A226C7"/>
    <w:rsid w:val="00A228C1"/>
    <w:rsid w:val="00A228FE"/>
    <w:rsid w:val="00A229A9"/>
    <w:rsid w:val="00A22A68"/>
    <w:rsid w:val="00A22DC5"/>
    <w:rsid w:val="00A22EA6"/>
    <w:rsid w:val="00A22FF5"/>
    <w:rsid w:val="00A23119"/>
    <w:rsid w:val="00A23245"/>
    <w:rsid w:val="00A2326A"/>
    <w:rsid w:val="00A23453"/>
    <w:rsid w:val="00A23543"/>
    <w:rsid w:val="00A23583"/>
    <w:rsid w:val="00A236AE"/>
    <w:rsid w:val="00A236E9"/>
    <w:rsid w:val="00A237A9"/>
    <w:rsid w:val="00A237F8"/>
    <w:rsid w:val="00A23888"/>
    <w:rsid w:val="00A238EC"/>
    <w:rsid w:val="00A239A3"/>
    <w:rsid w:val="00A239FA"/>
    <w:rsid w:val="00A23A41"/>
    <w:rsid w:val="00A23A43"/>
    <w:rsid w:val="00A23E22"/>
    <w:rsid w:val="00A23E4C"/>
    <w:rsid w:val="00A23F60"/>
    <w:rsid w:val="00A2415A"/>
    <w:rsid w:val="00A241BE"/>
    <w:rsid w:val="00A241F8"/>
    <w:rsid w:val="00A24338"/>
    <w:rsid w:val="00A24375"/>
    <w:rsid w:val="00A243D3"/>
    <w:rsid w:val="00A2467D"/>
    <w:rsid w:val="00A24686"/>
    <w:rsid w:val="00A246F4"/>
    <w:rsid w:val="00A24768"/>
    <w:rsid w:val="00A247AD"/>
    <w:rsid w:val="00A248C6"/>
    <w:rsid w:val="00A249E9"/>
    <w:rsid w:val="00A24A4D"/>
    <w:rsid w:val="00A24AED"/>
    <w:rsid w:val="00A24D06"/>
    <w:rsid w:val="00A24F11"/>
    <w:rsid w:val="00A2537F"/>
    <w:rsid w:val="00A25786"/>
    <w:rsid w:val="00A259C3"/>
    <w:rsid w:val="00A25ADF"/>
    <w:rsid w:val="00A25CEE"/>
    <w:rsid w:val="00A25E70"/>
    <w:rsid w:val="00A260B0"/>
    <w:rsid w:val="00A260B7"/>
    <w:rsid w:val="00A263EC"/>
    <w:rsid w:val="00A26451"/>
    <w:rsid w:val="00A2650B"/>
    <w:rsid w:val="00A26A53"/>
    <w:rsid w:val="00A26B01"/>
    <w:rsid w:val="00A26B48"/>
    <w:rsid w:val="00A26CC5"/>
    <w:rsid w:val="00A26D13"/>
    <w:rsid w:val="00A26DAD"/>
    <w:rsid w:val="00A26DE3"/>
    <w:rsid w:val="00A26DF1"/>
    <w:rsid w:val="00A2701C"/>
    <w:rsid w:val="00A2711A"/>
    <w:rsid w:val="00A272D6"/>
    <w:rsid w:val="00A273CE"/>
    <w:rsid w:val="00A27496"/>
    <w:rsid w:val="00A274E4"/>
    <w:rsid w:val="00A2756E"/>
    <w:rsid w:val="00A27576"/>
    <w:rsid w:val="00A27801"/>
    <w:rsid w:val="00A27868"/>
    <w:rsid w:val="00A27B02"/>
    <w:rsid w:val="00A27B22"/>
    <w:rsid w:val="00A27E6F"/>
    <w:rsid w:val="00A27F30"/>
    <w:rsid w:val="00A27F6F"/>
    <w:rsid w:val="00A27F8F"/>
    <w:rsid w:val="00A27FAA"/>
    <w:rsid w:val="00A27FAC"/>
    <w:rsid w:val="00A27FD9"/>
    <w:rsid w:val="00A300D8"/>
    <w:rsid w:val="00A302D7"/>
    <w:rsid w:val="00A307D6"/>
    <w:rsid w:val="00A3085E"/>
    <w:rsid w:val="00A30964"/>
    <w:rsid w:val="00A30A27"/>
    <w:rsid w:val="00A30A8D"/>
    <w:rsid w:val="00A30B35"/>
    <w:rsid w:val="00A30BBB"/>
    <w:rsid w:val="00A30BC6"/>
    <w:rsid w:val="00A30C4A"/>
    <w:rsid w:val="00A30D01"/>
    <w:rsid w:val="00A30DF5"/>
    <w:rsid w:val="00A3114B"/>
    <w:rsid w:val="00A31259"/>
    <w:rsid w:val="00A312AA"/>
    <w:rsid w:val="00A31559"/>
    <w:rsid w:val="00A31634"/>
    <w:rsid w:val="00A31635"/>
    <w:rsid w:val="00A317DE"/>
    <w:rsid w:val="00A31A07"/>
    <w:rsid w:val="00A31B8B"/>
    <w:rsid w:val="00A31BFC"/>
    <w:rsid w:val="00A31C3C"/>
    <w:rsid w:val="00A31C48"/>
    <w:rsid w:val="00A31E8F"/>
    <w:rsid w:val="00A320B3"/>
    <w:rsid w:val="00A323B0"/>
    <w:rsid w:val="00A323FB"/>
    <w:rsid w:val="00A32446"/>
    <w:rsid w:val="00A3259D"/>
    <w:rsid w:val="00A32754"/>
    <w:rsid w:val="00A329BB"/>
    <w:rsid w:val="00A32B35"/>
    <w:rsid w:val="00A32BC4"/>
    <w:rsid w:val="00A32E01"/>
    <w:rsid w:val="00A32F46"/>
    <w:rsid w:val="00A3301F"/>
    <w:rsid w:val="00A33084"/>
    <w:rsid w:val="00A3309C"/>
    <w:rsid w:val="00A3312F"/>
    <w:rsid w:val="00A331A2"/>
    <w:rsid w:val="00A331FB"/>
    <w:rsid w:val="00A332F9"/>
    <w:rsid w:val="00A333CB"/>
    <w:rsid w:val="00A33428"/>
    <w:rsid w:val="00A33437"/>
    <w:rsid w:val="00A3358E"/>
    <w:rsid w:val="00A3359B"/>
    <w:rsid w:val="00A337B5"/>
    <w:rsid w:val="00A3389A"/>
    <w:rsid w:val="00A33A16"/>
    <w:rsid w:val="00A33BFE"/>
    <w:rsid w:val="00A33E90"/>
    <w:rsid w:val="00A340DD"/>
    <w:rsid w:val="00A34168"/>
    <w:rsid w:val="00A34197"/>
    <w:rsid w:val="00A3443A"/>
    <w:rsid w:val="00A34684"/>
    <w:rsid w:val="00A346A9"/>
    <w:rsid w:val="00A346BB"/>
    <w:rsid w:val="00A346D1"/>
    <w:rsid w:val="00A34738"/>
    <w:rsid w:val="00A34827"/>
    <w:rsid w:val="00A34A7C"/>
    <w:rsid w:val="00A34AAB"/>
    <w:rsid w:val="00A34D45"/>
    <w:rsid w:val="00A34EA4"/>
    <w:rsid w:val="00A34EAF"/>
    <w:rsid w:val="00A351C6"/>
    <w:rsid w:val="00A35410"/>
    <w:rsid w:val="00A35475"/>
    <w:rsid w:val="00A355D0"/>
    <w:rsid w:val="00A35605"/>
    <w:rsid w:val="00A3578D"/>
    <w:rsid w:val="00A35937"/>
    <w:rsid w:val="00A35A72"/>
    <w:rsid w:val="00A35B23"/>
    <w:rsid w:val="00A35F3E"/>
    <w:rsid w:val="00A35F54"/>
    <w:rsid w:val="00A35F72"/>
    <w:rsid w:val="00A3615B"/>
    <w:rsid w:val="00A361FD"/>
    <w:rsid w:val="00A3642A"/>
    <w:rsid w:val="00A36465"/>
    <w:rsid w:val="00A36896"/>
    <w:rsid w:val="00A3695E"/>
    <w:rsid w:val="00A36A0E"/>
    <w:rsid w:val="00A36E42"/>
    <w:rsid w:val="00A37203"/>
    <w:rsid w:val="00A3742B"/>
    <w:rsid w:val="00A37508"/>
    <w:rsid w:val="00A37521"/>
    <w:rsid w:val="00A375CD"/>
    <w:rsid w:val="00A3765E"/>
    <w:rsid w:val="00A377B4"/>
    <w:rsid w:val="00A377EF"/>
    <w:rsid w:val="00A378FC"/>
    <w:rsid w:val="00A3793E"/>
    <w:rsid w:val="00A37977"/>
    <w:rsid w:val="00A37A79"/>
    <w:rsid w:val="00A37B0A"/>
    <w:rsid w:val="00A37C53"/>
    <w:rsid w:val="00A37C8A"/>
    <w:rsid w:val="00A37E49"/>
    <w:rsid w:val="00A4005B"/>
    <w:rsid w:val="00A4024C"/>
    <w:rsid w:val="00A40296"/>
    <w:rsid w:val="00A402BD"/>
    <w:rsid w:val="00A40303"/>
    <w:rsid w:val="00A4040E"/>
    <w:rsid w:val="00A406BB"/>
    <w:rsid w:val="00A407B6"/>
    <w:rsid w:val="00A40824"/>
    <w:rsid w:val="00A40B29"/>
    <w:rsid w:val="00A40B72"/>
    <w:rsid w:val="00A40C32"/>
    <w:rsid w:val="00A40CDA"/>
    <w:rsid w:val="00A40E4E"/>
    <w:rsid w:val="00A40EA9"/>
    <w:rsid w:val="00A41113"/>
    <w:rsid w:val="00A41182"/>
    <w:rsid w:val="00A411C8"/>
    <w:rsid w:val="00A41256"/>
    <w:rsid w:val="00A412D3"/>
    <w:rsid w:val="00A4132C"/>
    <w:rsid w:val="00A413D4"/>
    <w:rsid w:val="00A4175F"/>
    <w:rsid w:val="00A418DC"/>
    <w:rsid w:val="00A4196A"/>
    <w:rsid w:val="00A41978"/>
    <w:rsid w:val="00A419DF"/>
    <w:rsid w:val="00A419F7"/>
    <w:rsid w:val="00A41A6B"/>
    <w:rsid w:val="00A41BAC"/>
    <w:rsid w:val="00A41BE0"/>
    <w:rsid w:val="00A41E4D"/>
    <w:rsid w:val="00A41FED"/>
    <w:rsid w:val="00A422D3"/>
    <w:rsid w:val="00A4231A"/>
    <w:rsid w:val="00A423AC"/>
    <w:rsid w:val="00A423FD"/>
    <w:rsid w:val="00A42425"/>
    <w:rsid w:val="00A424F5"/>
    <w:rsid w:val="00A42530"/>
    <w:rsid w:val="00A42551"/>
    <w:rsid w:val="00A42728"/>
    <w:rsid w:val="00A428A8"/>
    <w:rsid w:val="00A42921"/>
    <w:rsid w:val="00A42AAD"/>
    <w:rsid w:val="00A42C7F"/>
    <w:rsid w:val="00A42D59"/>
    <w:rsid w:val="00A42D85"/>
    <w:rsid w:val="00A42ED6"/>
    <w:rsid w:val="00A42F99"/>
    <w:rsid w:val="00A42FF9"/>
    <w:rsid w:val="00A43144"/>
    <w:rsid w:val="00A4323C"/>
    <w:rsid w:val="00A434FB"/>
    <w:rsid w:val="00A435F5"/>
    <w:rsid w:val="00A4361E"/>
    <w:rsid w:val="00A43863"/>
    <w:rsid w:val="00A43928"/>
    <w:rsid w:val="00A439EE"/>
    <w:rsid w:val="00A43B0E"/>
    <w:rsid w:val="00A43B22"/>
    <w:rsid w:val="00A43B46"/>
    <w:rsid w:val="00A43D4C"/>
    <w:rsid w:val="00A43E7B"/>
    <w:rsid w:val="00A43EB1"/>
    <w:rsid w:val="00A43F17"/>
    <w:rsid w:val="00A43FFF"/>
    <w:rsid w:val="00A44058"/>
    <w:rsid w:val="00A440FD"/>
    <w:rsid w:val="00A4422A"/>
    <w:rsid w:val="00A44248"/>
    <w:rsid w:val="00A44319"/>
    <w:rsid w:val="00A44482"/>
    <w:rsid w:val="00A44651"/>
    <w:rsid w:val="00A447CE"/>
    <w:rsid w:val="00A448ED"/>
    <w:rsid w:val="00A4490C"/>
    <w:rsid w:val="00A44970"/>
    <w:rsid w:val="00A44C43"/>
    <w:rsid w:val="00A44E82"/>
    <w:rsid w:val="00A452CA"/>
    <w:rsid w:val="00A453AE"/>
    <w:rsid w:val="00A453C6"/>
    <w:rsid w:val="00A45471"/>
    <w:rsid w:val="00A45482"/>
    <w:rsid w:val="00A456C5"/>
    <w:rsid w:val="00A45713"/>
    <w:rsid w:val="00A45729"/>
    <w:rsid w:val="00A457B0"/>
    <w:rsid w:val="00A457DC"/>
    <w:rsid w:val="00A45D41"/>
    <w:rsid w:val="00A45D6B"/>
    <w:rsid w:val="00A460FE"/>
    <w:rsid w:val="00A461BD"/>
    <w:rsid w:val="00A4633F"/>
    <w:rsid w:val="00A463FB"/>
    <w:rsid w:val="00A464FB"/>
    <w:rsid w:val="00A46502"/>
    <w:rsid w:val="00A46545"/>
    <w:rsid w:val="00A466AA"/>
    <w:rsid w:val="00A466CB"/>
    <w:rsid w:val="00A4674C"/>
    <w:rsid w:val="00A46922"/>
    <w:rsid w:val="00A4692D"/>
    <w:rsid w:val="00A46A52"/>
    <w:rsid w:val="00A46AFF"/>
    <w:rsid w:val="00A46B34"/>
    <w:rsid w:val="00A46BD9"/>
    <w:rsid w:val="00A46BED"/>
    <w:rsid w:val="00A46C6A"/>
    <w:rsid w:val="00A46E54"/>
    <w:rsid w:val="00A46ED9"/>
    <w:rsid w:val="00A47262"/>
    <w:rsid w:val="00A4726D"/>
    <w:rsid w:val="00A474D4"/>
    <w:rsid w:val="00A4754D"/>
    <w:rsid w:val="00A475F6"/>
    <w:rsid w:val="00A47602"/>
    <w:rsid w:val="00A4769D"/>
    <w:rsid w:val="00A4778E"/>
    <w:rsid w:val="00A47875"/>
    <w:rsid w:val="00A4793B"/>
    <w:rsid w:val="00A47A03"/>
    <w:rsid w:val="00A47A13"/>
    <w:rsid w:val="00A47B2D"/>
    <w:rsid w:val="00A47C14"/>
    <w:rsid w:val="00A47DD0"/>
    <w:rsid w:val="00A47F20"/>
    <w:rsid w:val="00A50465"/>
    <w:rsid w:val="00A5066D"/>
    <w:rsid w:val="00A50751"/>
    <w:rsid w:val="00A50760"/>
    <w:rsid w:val="00A50BC4"/>
    <w:rsid w:val="00A50C6B"/>
    <w:rsid w:val="00A50D42"/>
    <w:rsid w:val="00A50D84"/>
    <w:rsid w:val="00A50EDF"/>
    <w:rsid w:val="00A50EF1"/>
    <w:rsid w:val="00A511D9"/>
    <w:rsid w:val="00A5142D"/>
    <w:rsid w:val="00A514E1"/>
    <w:rsid w:val="00A5150B"/>
    <w:rsid w:val="00A5150F"/>
    <w:rsid w:val="00A5160E"/>
    <w:rsid w:val="00A51703"/>
    <w:rsid w:val="00A5173F"/>
    <w:rsid w:val="00A5175E"/>
    <w:rsid w:val="00A517CA"/>
    <w:rsid w:val="00A5180C"/>
    <w:rsid w:val="00A518B3"/>
    <w:rsid w:val="00A51971"/>
    <w:rsid w:val="00A51972"/>
    <w:rsid w:val="00A51C76"/>
    <w:rsid w:val="00A51C82"/>
    <w:rsid w:val="00A51DB1"/>
    <w:rsid w:val="00A52148"/>
    <w:rsid w:val="00A5218B"/>
    <w:rsid w:val="00A522BA"/>
    <w:rsid w:val="00A52427"/>
    <w:rsid w:val="00A52756"/>
    <w:rsid w:val="00A527B4"/>
    <w:rsid w:val="00A52911"/>
    <w:rsid w:val="00A52A8A"/>
    <w:rsid w:val="00A52BB3"/>
    <w:rsid w:val="00A52C51"/>
    <w:rsid w:val="00A52C63"/>
    <w:rsid w:val="00A52CF8"/>
    <w:rsid w:val="00A52E3A"/>
    <w:rsid w:val="00A52E6F"/>
    <w:rsid w:val="00A52E86"/>
    <w:rsid w:val="00A52F04"/>
    <w:rsid w:val="00A53046"/>
    <w:rsid w:val="00A531C6"/>
    <w:rsid w:val="00A53216"/>
    <w:rsid w:val="00A533E3"/>
    <w:rsid w:val="00A53903"/>
    <w:rsid w:val="00A5392A"/>
    <w:rsid w:val="00A53A85"/>
    <w:rsid w:val="00A53B91"/>
    <w:rsid w:val="00A53C52"/>
    <w:rsid w:val="00A53E64"/>
    <w:rsid w:val="00A53FDF"/>
    <w:rsid w:val="00A54192"/>
    <w:rsid w:val="00A541F4"/>
    <w:rsid w:val="00A54263"/>
    <w:rsid w:val="00A54303"/>
    <w:rsid w:val="00A54417"/>
    <w:rsid w:val="00A5444C"/>
    <w:rsid w:val="00A5463A"/>
    <w:rsid w:val="00A54727"/>
    <w:rsid w:val="00A5475D"/>
    <w:rsid w:val="00A54A91"/>
    <w:rsid w:val="00A54AD8"/>
    <w:rsid w:val="00A54B95"/>
    <w:rsid w:val="00A54BA0"/>
    <w:rsid w:val="00A54C26"/>
    <w:rsid w:val="00A54CD1"/>
    <w:rsid w:val="00A54CF8"/>
    <w:rsid w:val="00A54D32"/>
    <w:rsid w:val="00A54D41"/>
    <w:rsid w:val="00A54E64"/>
    <w:rsid w:val="00A54F6A"/>
    <w:rsid w:val="00A54FBB"/>
    <w:rsid w:val="00A550D4"/>
    <w:rsid w:val="00A553C5"/>
    <w:rsid w:val="00A5546C"/>
    <w:rsid w:val="00A554AC"/>
    <w:rsid w:val="00A55B13"/>
    <w:rsid w:val="00A55C49"/>
    <w:rsid w:val="00A55FF7"/>
    <w:rsid w:val="00A56167"/>
    <w:rsid w:val="00A5621B"/>
    <w:rsid w:val="00A5624E"/>
    <w:rsid w:val="00A5633F"/>
    <w:rsid w:val="00A56658"/>
    <w:rsid w:val="00A566D5"/>
    <w:rsid w:val="00A56736"/>
    <w:rsid w:val="00A56752"/>
    <w:rsid w:val="00A5676B"/>
    <w:rsid w:val="00A567AB"/>
    <w:rsid w:val="00A567C6"/>
    <w:rsid w:val="00A569FC"/>
    <w:rsid w:val="00A56C25"/>
    <w:rsid w:val="00A56D79"/>
    <w:rsid w:val="00A56D94"/>
    <w:rsid w:val="00A56E67"/>
    <w:rsid w:val="00A56EC3"/>
    <w:rsid w:val="00A56FD4"/>
    <w:rsid w:val="00A56FE0"/>
    <w:rsid w:val="00A57031"/>
    <w:rsid w:val="00A571E3"/>
    <w:rsid w:val="00A57231"/>
    <w:rsid w:val="00A574D1"/>
    <w:rsid w:val="00A57518"/>
    <w:rsid w:val="00A57601"/>
    <w:rsid w:val="00A57654"/>
    <w:rsid w:val="00A57717"/>
    <w:rsid w:val="00A579F3"/>
    <w:rsid w:val="00A57A72"/>
    <w:rsid w:val="00A57B11"/>
    <w:rsid w:val="00A57B63"/>
    <w:rsid w:val="00A57C02"/>
    <w:rsid w:val="00A57C0B"/>
    <w:rsid w:val="00A57CB8"/>
    <w:rsid w:val="00A57CE3"/>
    <w:rsid w:val="00A57D96"/>
    <w:rsid w:val="00A57D9A"/>
    <w:rsid w:val="00A57E7A"/>
    <w:rsid w:val="00A57FFE"/>
    <w:rsid w:val="00A6005C"/>
    <w:rsid w:val="00A602CF"/>
    <w:rsid w:val="00A60478"/>
    <w:rsid w:val="00A6058A"/>
    <w:rsid w:val="00A606F7"/>
    <w:rsid w:val="00A6070C"/>
    <w:rsid w:val="00A607A1"/>
    <w:rsid w:val="00A608DF"/>
    <w:rsid w:val="00A60A8D"/>
    <w:rsid w:val="00A60B1D"/>
    <w:rsid w:val="00A60B2A"/>
    <w:rsid w:val="00A60C04"/>
    <w:rsid w:val="00A60E08"/>
    <w:rsid w:val="00A60E9C"/>
    <w:rsid w:val="00A6104F"/>
    <w:rsid w:val="00A612A3"/>
    <w:rsid w:val="00A612BC"/>
    <w:rsid w:val="00A6143B"/>
    <w:rsid w:val="00A6154E"/>
    <w:rsid w:val="00A616AF"/>
    <w:rsid w:val="00A617E7"/>
    <w:rsid w:val="00A61830"/>
    <w:rsid w:val="00A618D4"/>
    <w:rsid w:val="00A61A22"/>
    <w:rsid w:val="00A61AA6"/>
    <w:rsid w:val="00A61C01"/>
    <w:rsid w:val="00A61EB1"/>
    <w:rsid w:val="00A61F26"/>
    <w:rsid w:val="00A6206E"/>
    <w:rsid w:val="00A620E5"/>
    <w:rsid w:val="00A62242"/>
    <w:rsid w:val="00A622FF"/>
    <w:rsid w:val="00A62439"/>
    <w:rsid w:val="00A62468"/>
    <w:rsid w:val="00A624E3"/>
    <w:rsid w:val="00A62505"/>
    <w:rsid w:val="00A62564"/>
    <w:rsid w:val="00A625A3"/>
    <w:rsid w:val="00A62640"/>
    <w:rsid w:val="00A6264B"/>
    <w:rsid w:val="00A62744"/>
    <w:rsid w:val="00A62956"/>
    <w:rsid w:val="00A62971"/>
    <w:rsid w:val="00A629B7"/>
    <w:rsid w:val="00A629E2"/>
    <w:rsid w:val="00A62CA1"/>
    <w:rsid w:val="00A62CBC"/>
    <w:rsid w:val="00A62FFC"/>
    <w:rsid w:val="00A63064"/>
    <w:rsid w:val="00A6306B"/>
    <w:rsid w:val="00A6307D"/>
    <w:rsid w:val="00A631C2"/>
    <w:rsid w:val="00A63231"/>
    <w:rsid w:val="00A63338"/>
    <w:rsid w:val="00A63388"/>
    <w:rsid w:val="00A6346A"/>
    <w:rsid w:val="00A63471"/>
    <w:rsid w:val="00A6364B"/>
    <w:rsid w:val="00A637C5"/>
    <w:rsid w:val="00A637D8"/>
    <w:rsid w:val="00A637F5"/>
    <w:rsid w:val="00A63A17"/>
    <w:rsid w:val="00A63B50"/>
    <w:rsid w:val="00A63B5D"/>
    <w:rsid w:val="00A63DBE"/>
    <w:rsid w:val="00A63E93"/>
    <w:rsid w:val="00A63F11"/>
    <w:rsid w:val="00A63FED"/>
    <w:rsid w:val="00A6446E"/>
    <w:rsid w:val="00A64540"/>
    <w:rsid w:val="00A64561"/>
    <w:rsid w:val="00A6470C"/>
    <w:rsid w:val="00A647A1"/>
    <w:rsid w:val="00A64A3E"/>
    <w:rsid w:val="00A64A5B"/>
    <w:rsid w:val="00A64ADC"/>
    <w:rsid w:val="00A64E70"/>
    <w:rsid w:val="00A64EBF"/>
    <w:rsid w:val="00A64F73"/>
    <w:rsid w:val="00A64F7F"/>
    <w:rsid w:val="00A64FB2"/>
    <w:rsid w:val="00A650F5"/>
    <w:rsid w:val="00A65163"/>
    <w:rsid w:val="00A65178"/>
    <w:rsid w:val="00A653ED"/>
    <w:rsid w:val="00A65496"/>
    <w:rsid w:val="00A655B5"/>
    <w:rsid w:val="00A656C9"/>
    <w:rsid w:val="00A658FF"/>
    <w:rsid w:val="00A65903"/>
    <w:rsid w:val="00A659BB"/>
    <w:rsid w:val="00A65B39"/>
    <w:rsid w:val="00A65B51"/>
    <w:rsid w:val="00A65CCF"/>
    <w:rsid w:val="00A65F79"/>
    <w:rsid w:val="00A661DA"/>
    <w:rsid w:val="00A662A0"/>
    <w:rsid w:val="00A663DA"/>
    <w:rsid w:val="00A663EF"/>
    <w:rsid w:val="00A663F0"/>
    <w:rsid w:val="00A66640"/>
    <w:rsid w:val="00A666CF"/>
    <w:rsid w:val="00A6670A"/>
    <w:rsid w:val="00A66716"/>
    <w:rsid w:val="00A6699D"/>
    <w:rsid w:val="00A66AD0"/>
    <w:rsid w:val="00A66E89"/>
    <w:rsid w:val="00A6704C"/>
    <w:rsid w:val="00A670B3"/>
    <w:rsid w:val="00A67150"/>
    <w:rsid w:val="00A67195"/>
    <w:rsid w:val="00A671C9"/>
    <w:rsid w:val="00A67339"/>
    <w:rsid w:val="00A6743B"/>
    <w:rsid w:val="00A6750F"/>
    <w:rsid w:val="00A675A4"/>
    <w:rsid w:val="00A676B2"/>
    <w:rsid w:val="00A676EE"/>
    <w:rsid w:val="00A67737"/>
    <w:rsid w:val="00A677C4"/>
    <w:rsid w:val="00A67995"/>
    <w:rsid w:val="00A67B7A"/>
    <w:rsid w:val="00A67BFC"/>
    <w:rsid w:val="00A67E8A"/>
    <w:rsid w:val="00A700E7"/>
    <w:rsid w:val="00A700FB"/>
    <w:rsid w:val="00A70232"/>
    <w:rsid w:val="00A702B9"/>
    <w:rsid w:val="00A70497"/>
    <w:rsid w:val="00A70571"/>
    <w:rsid w:val="00A706BC"/>
    <w:rsid w:val="00A70867"/>
    <w:rsid w:val="00A70901"/>
    <w:rsid w:val="00A70B5B"/>
    <w:rsid w:val="00A70BE8"/>
    <w:rsid w:val="00A70C15"/>
    <w:rsid w:val="00A70CE9"/>
    <w:rsid w:val="00A70F4E"/>
    <w:rsid w:val="00A70F5D"/>
    <w:rsid w:val="00A7107B"/>
    <w:rsid w:val="00A71152"/>
    <w:rsid w:val="00A712F9"/>
    <w:rsid w:val="00A7133E"/>
    <w:rsid w:val="00A71374"/>
    <w:rsid w:val="00A7142F"/>
    <w:rsid w:val="00A7157C"/>
    <w:rsid w:val="00A7159F"/>
    <w:rsid w:val="00A716FB"/>
    <w:rsid w:val="00A717F0"/>
    <w:rsid w:val="00A7181B"/>
    <w:rsid w:val="00A718D0"/>
    <w:rsid w:val="00A718EB"/>
    <w:rsid w:val="00A71A10"/>
    <w:rsid w:val="00A71B97"/>
    <w:rsid w:val="00A71DA1"/>
    <w:rsid w:val="00A7215B"/>
    <w:rsid w:val="00A723A4"/>
    <w:rsid w:val="00A725B7"/>
    <w:rsid w:val="00A725F5"/>
    <w:rsid w:val="00A72680"/>
    <w:rsid w:val="00A727DE"/>
    <w:rsid w:val="00A72955"/>
    <w:rsid w:val="00A72A99"/>
    <w:rsid w:val="00A72B60"/>
    <w:rsid w:val="00A72DC7"/>
    <w:rsid w:val="00A73084"/>
    <w:rsid w:val="00A731AB"/>
    <w:rsid w:val="00A733B9"/>
    <w:rsid w:val="00A73480"/>
    <w:rsid w:val="00A734AA"/>
    <w:rsid w:val="00A73516"/>
    <w:rsid w:val="00A73530"/>
    <w:rsid w:val="00A7361C"/>
    <w:rsid w:val="00A7376C"/>
    <w:rsid w:val="00A73A08"/>
    <w:rsid w:val="00A73AF5"/>
    <w:rsid w:val="00A73B16"/>
    <w:rsid w:val="00A73CDB"/>
    <w:rsid w:val="00A73EEB"/>
    <w:rsid w:val="00A73FC4"/>
    <w:rsid w:val="00A740D3"/>
    <w:rsid w:val="00A741B6"/>
    <w:rsid w:val="00A74313"/>
    <w:rsid w:val="00A74347"/>
    <w:rsid w:val="00A744D4"/>
    <w:rsid w:val="00A745D5"/>
    <w:rsid w:val="00A74601"/>
    <w:rsid w:val="00A7467E"/>
    <w:rsid w:val="00A74772"/>
    <w:rsid w:val="00A747BC"/>
    <w:rsid w:val="00A748D9"/>
    <w:rsid w:val="00A74905"/>
    <w:rsid w:val="00A74A1C"/>
    <w:rsid w:val="00A74B52"/>
    <w:rsid w:val="00A74B9E"/>
    <w:rsid w:val="00A74DFF"/>
    <w:rsid w:val="00A7501A"/>
    <w:rsid w:val="00A75187"/>
    <w:rsid w:val="00A752FA"/>
    <w:rsid w:val="00A75496"/>
    <w:rsid w:val="00A754E4"/>
    <w:rsid w:val="00A75584"/>
    <w:rsid w:val="00A7558D"/>
    <w:rsid w:val="00A75645"/>
    <w:rsid w:val="00A758C0"/>
    <w:rsid w:val="00A7591B"/>
    <w:rsid w:val="00A75A04"/>
    <w:rsid w:val="00A75B99"/>
    <w:rsid w:val="00A75DB1"/>
    <w:rsid w:val="00A75E33"/>
    <w:rsid w:val="00A76174"/>
    <w:rsid w:val="00A76223"/>
    <w:rsid w:val="00A76266"/>
    <w:rsid w:val="00A76297"/>
    <w:rsid w:val="00A76510"/>
    <w:rsid w:val="00A76700"/>
    <w:rsid w:val="00A76904"/>
    <w:rsid w:val="00A76ADB"/>
    <w:rsid w:val="00A76DC8"/>
    <w:rsid w:val="00A76EBE"/>
    <w:rsid w:val="00A77016"/>
    <w:rsid w:val="00A7706B"/>
    <w:rsid w:val="00A770BD"/>
    <w:rsid w:val="00A770FC"/>
    <w:rsid w:val="00A77753"/>
    <w:rsid w:val="00A777AA"/>
    <w:rsid w:val="00A7783A"/>
    <w:rsid w:val="00A7790E"/>
    <w:rsid w:val="00A77965"/>
    <w:rsid w:val="00A779BE"/>
    <w:rsid w:val="00A77BD4"/>
    <w:rsid w:val="00A77C37"/>
    <w:rsid w:val="00A77C99"/>
    <w:rsid w:val="00A77E8F"/>
    <w:rsid w:val="00A80004"/>
    <w:rsid w:val="00A800A9"/>
    <w:rsid w:val="00A802F2"/>
    <w:rsid w:val="00A805A9"/>
    <w:rsid w:val="00A8060F"/>
    <w:rsid w:val="00A806B8"/>
    <w:rsid w:val="00A807A4"/>
    <w:rsid w:val="00A807BC"/>
    <w:rsid w:val="00A808DD"/>
    <w:rsid w:val="00A809DD"/>
    <w:rsid w:val="00A80B26"/>
    <w:rsid w:val="00A80D0B"/>
    <w:rsid w:val="00A80D0F"/>
    <w:rsid w:val="00A80D1F"/>
    <w:rsid w:val="00A80D97"/>
    <w:rsid w:val="00A80FD5"/>
    <w:rsid w:val="00A81074"/>
    <w:rsid w:val="00A810BE"/>
    <w:rsid w:val="00A81108"/>
    <w:rsid w:val="00A811C5"/>
    <w:rsid w:val="00A811F4"/>
    <w:rsid w:val="00A81257"/>
    <w:rsid w:val="00A812F8"/>
    <w:rsid w:val="00A81376"/>
    <w:rsid w:val="00A81864"/>
    <w:rsid w:val="00A81ACC"/>
    <w:rsid w:val="00A81AE2"/>
    <w:rsid w:val="00A81BF6"/>
    <w:rsid w:val="00A81E95"/>
    <w:rsid w:val="00A81F5A"/>
    <w:rsid w:val="00A82029"/>
    <w:rsid w:val="00A82134"/>
    <w:rsid w:val="00A82143"/>
    <w:rsid w:val="00A825E0"/>
    <w:rsid w:val="00A82943"/>
    <w:rsid w:val="00A8299E"/>
    <w:rsid w:val="00A82AAD"/>
    <w:rsid w:val="00A82CBD"/>
    <w:rsid w:val="00A82CE4"/>
    <w:rsid w:val="00A830B5"/>
    <w:rsid w:val="00A83177"/>
    <w:rsid w:val="00A8346A"/>
    <w:rsid w:val="00A83627"/>
    <w:rsid w:val="00A83649"/>
    <w:rsid w:val="00A836A5"/>
    <w:rsid w:val="00A838EC"/>
    <w:rsid w:val="00A83A45"/>
    <w:rsid w:val="00A83B6E"/>
    <w:rsid w:val="00A83CC3"/>
    <w:rsid w:val="00A83CFC"/>
    <w:rsid w:val="00A83DF0"/>
    <w:rsid w:val="00A83E1F"/>
    <w:rsid w:val="00A83F37"/>
    <w:rsid w:val="00A83F45"/>
    <w:rsid w:val="00A83FDE"/>
    <w:rsid w:val="00A84466"/>
    <w:rsid w:val="00A844AB"/>
    <w:rsid w:val="00A8456E"/>
    <w:rsid w:val="00A845BF"/>
    <w:rsid w:val="00A84630"/>
    <w:rsid w:val="00A848A3"/>
    <w:rsid w:val="00A84B8B"/>
    <w:rsid w:val="00A84C19"/>
    <w:rsid w:val="00A84C99"/>
    <w:rsid w:val="00A84D15"/>
    <w:rsid w:val="00A84DA2"/>
    <w:rsid w:val="00A84E06"/>
    <w:rsid w:val="00A85222"/>
    <w:rsid w:val="00A85223"/>
    <w:rsid w:val="00A852E2"/>
    <w:rsid w:val="00A8545B"/>
    <w:rsid w:val="00A8566A"/>
    <w:rsid w:val="00A857DB"/>
    <w:rsid w:val="00A857E8"/>
    <w:rsid w:val="00A8584D"/>
    <w:rsid w:val="00A858E9"/>
    <w:rsid w:val="00A85918"/>
    <w:rsid w:val="00A85B12"/>
    <w:rsid w:val="00A85CF5"/>
    <w:rsid w:val="00A85D0B"/>
    <w:rsid w:val="00A85DF7"/>
    <w:rsid w:val="00A85FBD"/>
    <w:rsid w:val="00A86011"/>
    <w:rsid w:val="00A86092"/>
    <w:rsid w:val="00A8617C"/>
    <w:rsid w:val="00A862A5"/>
    <w:rsid w:val="00A86350"/>
    <w:rsid w:val="00A8635A"/>
    <w:rsid w:val="00A864F5"/>
    <w:rsid w:val="00A86572"/>
    <w:rsid w:val="00A86686"/>
    <w:rsid w:val="00A867D2"/>
    <w:rsid w:val="00A867DB"/>
    <w:rsid w:val="00A867E3"/>
    <w:rsid w:val="00A86AB9"/>
    <w:rsid w:val="00A86B90"/>
    <w:rsid w:val="00A86C0E"/>
    <w:rsid w:val="00A86CC8"/>
    <w:rsid w:val="00A86D8E"/>
    <w:rsid w:val="00A86EC4"/>
    <w:rsid w:val="00A86F52"/>
    <w:rsid w:val="00A86FC7"/>
    <w:rsid w:val="00A874A0"/>
    <w:rsid w:val="00A874C6"/>
    <w:rsid w:val="00A87621"/>
    <w:rsid w:val="00A87781"/>
    <w:rsid w:val="00A878E2"/>
    <w:rsid w:val="00A8791C"/>
    <w:rsid w:val="00A87B55"/>
    <w:rsid w:val="00A87CB4"/>
    <w:rsid w:val="00A87D14"/>
    <w:rsid w:val="00A901C1"/>
    <w:rsid w:val="00A90371"/>
    <w:rsid w:val="00A903D6"/>
    <w:rsid w:val="00A903E2"/>
    <w:rsid w:val="00A9075F"/>
    <w:rsid w:val="00A90A57"/>
    <w:rsid w:val="00A90A79"/>
    <w:rsid w:val="00A90B28"/>
    <w:rsid w:val="00A90D28"/>
    <w:rsid w:val="00A90DF6"/>
    <w:rsid w:val="00A90F44"/>
    <w:rsid w:val="00A910AB"/>
    <w:rsid w:val="00A911C7"/>
    <w:rsid w:val="00A91574"/>
    <w:rsid w:val="00A916F2"/>
    <w:rsid w:val="00A916FA"/>
    <w:rsid w:val="00A9180C"/>
    <w:rsid w:val="00A91814"/>
    <w:rsid w:val="00A918C0"/>
    <w:rsid w:val="00A919BD"/>
    <w:rsid w:val="00A91A98"/>
    <w:rsid w:val="00A91AF4"/>
    <w:rsid w:val="00A91AF8"/>
    <w:rsid w:val="00A91B61"/>
    <w:rsid w:val="00A91DB5"/>
    <w:rsid w:val="00A91F00"/>
    <w:rsid w:val="00A91F65"/>
    <w:rsid w:val="00A91FFB"/>
    <w:rsid w:val="00A92005"/>
    <w:rsid w:val="00A92018"/>
    <w:rsid w:val="00A9212C"/>
    <w:rsid w:val="00A92141"/>
    <w:rsid w:val="00A92149"/>
    <w:rsid w:val="00A9231E"/>
    <w:rsid w:val="00A92375"/>
    <w:rsid w:val="00A924D3"/>
    <w:rsid w:val="00A92800"/>
    <w:rsid w:val="00A92A64"/>
    <w:rsid w:val="00A92AD2"/>
    <w:rsid w:val="00A92D5D"/>
    <w:rsid w:val="00A92E01"/>
    <w:rsid w:val="00A92E85"/>
    <w:rsid w:val="00A92EB3"/>
    <w:rsid w:val="00A92F48"/>
    <w:rsid w:val="00A93003"/>
    <w:rsid w:val="00A9301D"/>
    <w:rsid w:val="00A9302F"/>
    <w:rsid w:val="00A9306D"/>
    <w:rsid w:val="00A930B9"/>
    <w:rsid w:val="00A932F9"/>
    <w:rsid w:val="00A93462"/>
    <w:rsid w:val="00A936AB"/>
    <w:rsid w:val="00A9385F"/>
    <w:rsid w:val="00A93922"/>
    <w:rsid w:val="00A9393F"/>
    <w:rsid w:val="00A93A75"/>
    <w:rsid w:val="00A93DD9"/>
    <w:rsid w:val="00A94056"/>
    <w:rsid w:val="00A94230"/>
    <w:rsid w:val="00A942C9"/>
    <w:rsid w:val="00A943AD"/>
    <w:rsid w:val="00A943C8"/>
    <w:rsid w:val="00A94406"/>
    <w:rsid w:val="00A944F2"/>
    <w:rsid w:val="00A94741"/>
    <w:rsid w:val="00A947DA"/>
    <w:rsid w:val="00A948EF"/>
    <w:rsid w:val="00A94937"/>
    <w:rsid w:val="00A94A6F"/>
    <w:rsid w:val="00A94A8B"/>
    <w:rsid w:val="00A94B44"/>
    <w:rsid w:val="00A94E76"/>
    <w:rsid w:val="00A951AC"/>
    <w:rsid w:val="00A95389"/>
    <w:rsid w:val="00A95456"/>
    <w:rsid w:val="00A954A6"/>
    <w:rsid w:val="00A954D1"/>
    <w:rsid w:val="00A95679"/>
    <w:rsid w:val="00A9574D"/>
    <w:rsid w:val="00A958FE"/>
    <w:rsid w:val="00A95DCB"/>
    <w:rsid w:val="00A95E5F"/>
    <w:rsid w:val="00A9677D"/>
    <w:rsid w:val="00A9682D"/>
    <w:rsid w:val="00A9683F"/>
    <w:rsid w:val="00A96906"/>
    <w:rsid w:val="00A9697C"/>
    <w:rsid w:val="00A96A23"/>
    <w:rsid w:val="00A96B84"/>
    <w:rsid w:val="00A96D8F"/>
    <w:rsid w:val="00A96E60"/>
    <w:rsid w:val="00A96FED"/>
    <w:rsid w:val="00A97057"/>
    <w:rsid w:val="00A97098"/>
    <w:rsid w:val="00A970E9"/>
    <w:rsid w:val="00A97236"/>
    <w:rsid w:val="00A97351"/>
    <w:rsid w:val="00A975A7"/>
    <w:rsid w:val="00A97663"/>
    <w:rsid w:val="00A97858"/>
    <w:rsid w:val="00A97983"/>
    <w:rsid w:val="00A97ACC"/>
    <w:rsid w:val="00A97CA8"/>
    <w:rsid w:val="00A97D3F"/>
    <w:rsid w:val="00A97D62"/>
    <w:rsid w:val="00A97D78"/>
    <w:rsid w:val="00AA0120"/>
    <w:rsid w:val="00AA0250"/>
    <w:rsid w:val="00AA0255"/>
    <w:rsid w:val="00AA02E4"/>
    <w:rsid w:val="00AA03E7"/>
    <w:rsid w:val="00AA045F"/>
    <w:rsid w:val="00AA0488"/>
    <w:rsid w:val="00AA0641"/>
    <w:rsid w:val="00AA07A2"/>
    <w:rsid w:val="00AA0855"/>
    <w:rsid w:val="00AA08A0"/>
    <w:rsid w:val="00AA0CB8"/>
    <w:rsid w:val="00AA0D85"/>
    <w:rsid w:val="00AA0E80"/>
    <w:rsid w:val="00AA0EDB"/>
    <w:rsid w:val="00AA0F87"/>
    <w:rsid w:val="00AA0FF5"/>
    <w:rsid w:val="00AA113D"/>
    <w:rsid w:val="00AA12DF"/>
    <w:rsid w:val="00AA13E2"/>
    <w:rsid w:val="00AA145D"/>
    <w:rsid w:val="00AA14DE"/>
    <w:rsid w:val="00AA158D"/>
    <w:rsid w:val="00AA1683"/>
    <w:rsid w:val="00AA1971"/>
    <w:rsid w:val="00AA19D0"/>
    <w:rsid w:val="00AA1A3B"/>
    <w:rsid w:val="00AA1AA2"/>
    <w:rsid w:val="00AA1ACE"/>
    <w:rsid w:val="00AA1B11"/>
    <w:rsid w:val="00AA1BDC"/>
    <w:rsid w:val="00AA1EC7"/>
    <w:rsid w:val="00AA1F0B"/>
    <w:rsid w:val="00AA1F30"/>
    <w:rsid w:val="00AA2020"/>
    <w:rsid w:val="00AA202F"/>
    <w:rsid w:val="00AA203C"/>
    <w:rsid w:val="00AA206F"/>
    <w:rsid w:val="00AA22C5"/>
    <w:rsid w:val="00AA23D3"/>
    <w:rsid w:val="00AA2425"/>
    <w:rsid w:val="00AA2758"/>
    <w:rsid w:val="00AA27CC"/>
    <w:rsid w:val="00AA2870"/>
    <w:rsid w:val="00AA2D85"/>
    <w:rsid w:val="00AA2D99"/>
    <w:rsid w:val="00AA2E4C"/>
    <w:rsid w:val="00AA2E93"/>
    <w:rsid w:val="00AA3033"/>
    <w:rsid w:val="00AA303D"/>
    <w:rsid w:val="00AA30AD"/>
    <w:rsid w:val="00AA30BC"/>
    <w:rsid w:val="00AA31D6"/>
    <w:rsid w:val="00AA32A7"/>
    <w:rsid w:val="00AA34A5"/>
    <w:rsid w:val="00AA3710"/>
    <w:rsid w:val="00AA3B10"/>
    <w:rsid w:val="00AA3B13"/>
    <w:rsid w:val="00AA3FBD"/>
    <w:rsid w:val="00AA40F0"/>
    <w:rsid w:val="00AA4151"/>
    <w:rsid w:val="00AA4334"/>
    <w:rsid w:val="00AA4574"/>
    <w:rsid w:val="00AA45F6"/>
    <w:rsid w:val="00AA4652"/>
    <w:rsid w:val="00AA4748"/>
    <w:rsid w:val="00AA4818"/>
    <w:rsid w:val="00AA4839"/>
    <w:rsid w:val="00AA4889"/>
    <w:rsid w:val="00AA4956"/>
    <w:rsid w:val="00AA49FE"/>
    <w:rsid w:val="00AA4A09"/>
    <w:rsid w:val="00AA4B16"/>
    <w:rsid w:val="00AA4B2A"/>
    <w:rsid w:val="00AA4C57"/>
    <w:rsid w:val="00AA4C9C"/>
    <w:rsid w:val="00AA4DF5"/>
    <w:rsid w:val="00AA4FD9"/>
    <w:rsid w:val="00AA5217"/>
    <w:rsid w:val="00AA52A0"/>
    <w:rsid w:val="00AA560D"/>
    <w:rsid w:val="00AA566D"/>
    <w:rsid w:val="00AA5671"/>
    <w:rsid w:val="00AA571B"/>
    <w:rsid w:val="00AA574B"/>
    <w:rsid w:val="00AA589E"/>
    <w:rsid w:val="00AA596D"/>
    <w:rsid w:val="00AA5C1D"/>
    <w:rsid w:val="00AA5CD0"/>
    <w:rsid w:val="00AA5D49"/>
    <w:rsid w:val="00AA5D74"/>
    <w:rsid w:val="00AA621C"/>
    <w:rsid w:val="00AA631D"/>
    <w:rsid w:val="00AA63DC"/>
    <w:rsid w:val="00AA649E"/>
    <w:rsid w:val="00AA67A2"/>
    <w:rsid w:val="00AA6829"/>
    <w:rsid w:val="00AA6831"/>
    <w:rsid w:val="00AA68A0"/>
    <w:rsid w:val="00AA6C3F"/>
    <w:rsid w:val="00AA6E3E"/>
    <w:rsid w:val="00AA7057"/>
    <w:rsid w:val="00AA733E"/>
    <w:rsid w:val="00AA738E"/>
    <w:rsid w:val="00AA73BC"/>
    <w:rsid w:val="00AA7464"/>
    <w:rsid w:val="00AA7484"/>
    <w:rsid w:val="00AA74B9"/>
    <w:rsid w:val="00AA7566"/>
    <w:rsid w:val="00AA764D"/>
    <w:rsid w:val="00AA77A1"/>
    <w:rsid w:val="00AA77BA"/>
    <w:rsid w:val="00AA78D3"/>
    <w:rsid w:val="00AA78D9"/>
    <w:rsid w:val="00AA7927"/>
    <w:rsid w:val="00AA7A08"/>
    <w:rsid w:val="00AA7B04"/>
    <w:rsid w:val="00AA7CCF"/>
    <w:rsid w:val="00AB01D5"/>
    <w:rsid w:val="00AB0286"/>
    <w:rsid w:val="00AB029C"/>
    <w:rsid w:val="00AB02C2"/>
    <w:rsid w:val="00AB066E"/>
    <w:rsid w:val="00AB06AE"/>
    <w:rsid w:val="00AB06D1"/>
    <w:rsid w:val="00AB095F"/>
    <w:rsid w:val="00AB0BC8"/>
    <w:rsid w:val="00AB0CAA"/>
    <w:rsid w:val="00AB0DB2"/>
    <w:rsid w:val="00AB0E83"/>
    <w:rsid w:val="00AB0E91"/>
    <w:rsid w:val="00AB118A"/>
    <w:rsid w:val="00AB123E"/>
    <w:rsid w:val="00AB13F0"/>
    <w:rsid w:val="00AB13FF"/>
    <w:rsid w:val="00AB1864"/>
    <w:rsid w:val="00AB18CF"/>
    <w:rsid w:val="00AB1E2D"/>
    <w:rsid w:val="00AB1E8C"/>
    <w:rsid w:val="00AB205B"/>
    <w:rsid w:val="00AB206F"/>
    <w:rsid w:val="00AB208C"/>
    <w:rsid w:val="00AB25DA"/>
    <w:rsid w:val="00AB2740"/>
    <w:rsid w:val="00AB2748"/>
    <w:rsid w:val="00AB2753"/>
    <w:rsid w:val="00AB2954"/>
    <w:rsid w:val="00AB2A62"/>
    <w:rsid w:val="00AB2AC6"/>
    <w:rsid w:val="00AB2B1C"/>
    <w:rsid w:val="00AB2D46"/>
    <w:rsid w:val="00AB2DA6"/>
    <w:rsid w:val="00AB2E47"/>
    <w:rsid w:val="00AB3573"/>
    <w:rsid w:val="00AB3699"/>
    <w:rsid w:val="00AB378D"/>
    <w:rsid w:val="00AB38AF"/>
    <w:rsid w:val="00AB3930"/>
    <w:rsid w:val="00AB3B96"/>
    <w:rsid w:val="00AB3BA1"/>
    <w:rsid w:val="00AB3D02"/>
    <w:rsid w:val="00AB3E76"/>
    <w:rsid w:val="00AB4035"/>
    <w:rsid w:val="00AB40DE"/>
    <w:rsid w:val="00AB4266"/>
    <w:rsid w:val="00AB43E4"/>
    <w:rsid w:val="00AB4431"/>
    <w:rsid w:val="00AB46D6"/>
    <w:rsid w:val="00AB4891"/>
    <w:rsid w:val="00AB4B93"/>
    <w:rsid w:val="00AB4C54"/>
    <w:rsid w:val="00AB4C58"/>
    <w:rsid w:val="00AB4CF4"/>
    <w:rsid w:val="00AB4DEF"/>
    <w:rsid w:val="00AB4F7D"/>
    <w:rsid w:val="00AB4F8C"/>
    <w:rsid w:val="00AB5033"/>
    <w:rsid w:val="00AB50DA"/>
    <w:rsid w:val="00AB52AA"/>
    <w:rsid w:val="00AB5344"/>
    <w:rsid w:val="00AB539A"/>
    <w:rsid w:val="00AB54CF"/>
    <w:rsid w:val="00AB5560"/>
    <w:rsid w:val="00AB55A1"/>
    <w:rsid w:val="00AB5754"/>
    <w:rsid w:val="00AB57A4"/>
    <w:rsid w:val="00AB58C4"/>
    <w:rsid w:val="00AB58CE"/>
    <w:rsid w:val="00AB5925"/>
    <w:rsid w:val="00AB5986"/>
    <w:rsid w:val="00AB59B1"/>
    <w:rsid w:val="00AB627A"/>
    <w:rsid w:val="00AB6389"/>
    <w:rsid w:val="00AB649D"/>
    <w:rsid w:val="00AB66BA"/>
    <w:rsid w:val="00AB66D0"/>
    <w:rsid w:val="00AB6721"/>
    <w:rsid w:val="00AB69BB"/>
    <w:rsid w:val="00AB6A76"/>
    <w:rsid w:val="00AB6A93"/>
    <w:rsid w:val="00AB6B60"/>
    <w:rsid w:val="00AB6B77"/>
    <w:rsid w:val="00AB6C4F"/>
    <w:rsid w:val="00AB6CDB"/>
    <w:rsid w:val="00AB6EC4"/>
    <w:rsid w:val="00AB6FE8"/>
    <w:rsid w:val="00AB7075"/>
    <w:rsid w:val="00AB722E"/>
    <w:rsid w:val="00AB7291"/>
    <w:rsid w:val="00AB72E0"/>
    <w:rsid w:val="00AB72F4"/>
    <w:rsid w:val="00AB73F3"/>
    <w:rsid w:val="00AB7521"/>
    <w:rsid w:val="00AB75E4"/>
    <w:rsid w:val="00AB7644"/>
    <w:rsid w:val="00AB7683"/>
    <w:rsid w:val="00AB76A9"/>
    <w:rsid w:val="00AB77A8"/>
    <w:rsid w:val="00AB7862"/>
    <w:rsid w:val="00AB78A6"/>
    <w:rsid w:val="00AB7915"/>
    <w:rsid w:val="00AB7ABF"/>
    <w:rsid w:val="00AB7AC0"/>
    <w:rsid w:val="00AB7AD9"/>
    <w:rsid w:val="00AB7C04"/>
    <w:rsid w:val="00AB7C89"/>
    <w:rsid w:val="00AB7C8A"/>
    <w:rsid w:val="00AB7E30"/>
    <w:rsid w:val="00AB7E8A"/>
    <w:rsid w:val="00AB7EEE"/>
    <w:rsid w:val="00AB7F8E"/>
    <w:rsid w:val="00AC007F"/>
    <w:rsid w:val="00AC00DA"/>
    <w:rsid w:val="00AC0295"/>
    <w:rsid w:val="00AC04F0"/>
    <w:rsid w:val="00AC056E"/>
    <w:rsid w:val="00AC0684"/>
    <w:rsid w:val="00AC0786"/>
    <w:rsid w:val="00AC086D"/>
    <w:rsid w:val="00AC09D2"/>
    <w:rsid w:val="00AC09F4"/>
    <w:rsid w:val="00AC0B1E"/>
    <w:rsid w:val="00AC0BBE"/>
    <w:rsid w:val="00AC0C80"/>
    <w:rsid w:val="00AC0FF4"/>
    <w:rsid w:val="00AC1338"/>
    <w:rsid w:val="00AC14B4"/>
    <w:rsid w:val="00AC16F2"/>
    <w:rsid w:val="00AC1A51"/>
    <w:rsid w:val="00AC1A68"/>
    <w:rsid w:val="00AC1A82"/>
    <w:rsid w:val="00AC1F11"/>
    <w:rsid w:val="00AC1F42"/>
    <w:rsid w:val="00AC211D"/>
    <w:rsid w:val="00AC2130"/>
    <w:rsid w:val="00AC231B"/>
    <w:rsid w:val="00AC2541"/>
    <w:rsid w:val="00AC2553"/>
    <w:rsid w:val="00AC25E2"/>
    <w:rsid w:val="00AC26A9"/>
    <w:rsid w:val="00AC26AB"/>
    <w:rsid w:val="00AC2750"/>
    <w:rsid w:val="00AC281E"/>
    <w:rsid w:val="00AC2B75"/>
    <w:rsid w:val="00AC314C"/>
    <w:rsid w:val="00AC32FE"/>
    <w:rsid w:val="00AC3402"/>
    <w:rsid w:val="00AC370B"/>
    <w:rsid w:val="00AC381A"/>
    <w:rsid w:val="00AC38F9"/>
    <w:rsid w:val="00AC39B6"/>
    <w:rsid w:val="00AC3D99"/>
    <w:rsid w:val="00AC3E9B"/>
    <w:rsid w:val="00AC3FEF"/>
    <w:rsid w:val="00AC4204"/>
    <w:rsid w:val="00AC4208"/>
    <w:rsid w:val="00AC42A6"/>
    <w:rsid w:val="00AC42C0"/>
    <w:rsid w:val="00AC4666"/>
    <w:rsid w:val="00AC46BC"/>
    <w:rsid w:val="00AC47B5"/>
    <w:rsid w:val="00AC4820"/>
    <w:rsid w:val="00AC4918"/>
    <w:rsid w:val="00AC4CE3"/>
    <w:rsid w:val="00AC4D80"/>
    <w:rsid w:val="00AC4D97"/>
    <w:rsid w:val="00AC507B"/>
    <w:rsid w:val="00AC50AD"/>
    <w:rsid w:val="00AC534D"/>
    <w:rsid w:val="00AC5350"/>
    <w:rsid w:val="00AC536A"/>
    <w:rsid w:val="00AC5392"/>
    <w:rsid w:val="00AC5993"/>
    <w:rsid w:val="00AC59EF"/>
    <w:rsid w:val="00AC5AC3"/>
    <w:rsid w:val="00AC5B04"/>
    <w:rsid w:val="00AC5C06"/>
    <w:rsid w:val="00AC5C74"/>
    <w:rsid w:val="00AC6112"/>
    <w:rsid w:val="00AC64BD"/>
    <w:rsid w:val="00AC653D"/>
    <w:rsid w:val="00AC65BB"/>
    <w:rsid w:val="00AC6874"/>
    <w:rsid w:val="00AC6A52"/>
    <w:rsid w:val="00AC6A7A"/>
    <w:rsid w:val="00AC6B12"/>
    <w:rsid w:val="00AC6C0B"/>
    <w:rsid w:val="00AC6C4E"/>
    <w:rsid w:val="00AC6F2D"/>
    <w:rsid w:val="00AC70A1"/>
    <w:rsid w:val="00AC733F"/>
    <w:rsid w:val="00AC73FA"/>
    <w:rsid w:val="00AC7485"/>
    <w:rsid w:val="00AC753D"/>
    <w:rsid w:val="00AC7675"/>
    <w:rsid w:val="00AC7706"/>
    <w:rsid w:val="00AC77F3"/>
    <w:rsid w:val="00AC793D"/>
    <w:rsid w:val="00AC794F"/>
    <w:rsid w:val="00AC7BCC"/>
    <w:rsid w:val="00AC7C8C"/>
    <w:rsid w:val="00AC7DAC"/>
    <w:rsid w:val="00AC7DDC"/>
    <w:rsid w:val="00AC7ED7"/>
    <w:rsid w:val="00AC7F08"/>
    <w:rsid w:val="00AD016B"/>
    <w:rsid w:val="00AD01A9"/>
    <w:rsid w:val="00AD0273"/>
    <w:rsid w:val="00AD0765"/>
    <w:rsid w:val="00AD085A"/>
    <w:rsid w:val="00AD0C73"/>
    <w:rsid w:val="00AD0CC1"/>
    <w:rsid w:val="00AD0D2B"/>
    <w:rsid w:val="00AD0E06"/>
    <w:rsid w:val="00AD0E52"/>
    <w:rsid w:val="00AD0F68"/>
    <w:rsid w:val="00AD11DA"/>
    <w:rsid w:val="00AD12C3"/>
    <w:rsid w:val="00AD1373"/>
    <w:rsid w:val="00AD1721"/>
    <w:rsid w:val="00AD172B"/>
    <w:rsid w:val="00AD182B"/>
    <w:rsid w:val="00AD18EC"/>
    <w:rsid w:val="00AD194F"/>
    <w:rsid w:val="00AD19D9"/>
    <w:rsid w:val="00AD1C92"/>
    <w:rsid w:val="00AD1F40"/>
    <w:rsid w:val="00AD246B"/>
    <w:rsid w:val="00AD254A"/>
    <w:rsid w:val="00AD287E"/>
    <w:rsid w:val="00AD297F"/>
    <w:rsid w:val="00AD2ACF"/>
    <w:rsid w:val="00AD2C31"/>
    <w:rsid w:val="00AD2D65"/>
    <w:rsid w:val="00AD2DFF"/>
    <w:rsid w:val="00AD2E89"/>
    <w:rsid w:val="00AD2EF5"/>
    <w:rsid w:val="00AD3103"/>
    <w:rsid w:val="00AD313A"/>
    <w:rsid w:val="00AD31DF"/>
    <w:rsid w:val="00AD32E7"/>
    <w:rsid w:val="00AD3365"/>
    <w:rsid w:val="00AD34B7"/>
    <w:rsid w:val="00AD34C0"/>
    <w:rsid w:val="00AD34D7"/>
    <w:rsid w:val="00AD36DC"/>
    <w:rsid w:val="00AD3717"/>
    <w:rsid w:val="00AD3733"/>
    <w:rsid w:val="00AD3999"/>
    <w:rsid w:val="00AD39D8"/>
    <w:rsid w:val="00AD3C8C"/>
    <w:rsid w:val="00AD3CB9"/>
    <w:rsid w:val="00AD3CE3"/>
    <w:rsid w:val="00AD3DC3"/>
    <w:rsid w:val="00AD3DDA"/>
    <w:rsid w:val="00AD3E93"/>
    <w:rsid w:val="00AD3ED1"/>
    <w:rsid w:val="00AD3F58"/>
    <w:rsid w:val="00AD40C8"/>
    <w:rsid w:val="00AD40CB"/>
    <w:rsid w:val="00AD40E6"/>
    <w:rsid w:val="00AD44BD"/>
    <w:rsid w:val="00AD4718"/>
    <w:rsid w:val="00AD4AB9"/>
    <w:rsid w:val="00AD4AEE"/>
    <w:rsid w:val="00AD4D17"/>
    <w:rsid w:val="00AD4DD6"/>
    <w:rsid w:val="00AD4EA8"/>
    <w:rsid w:val="00AD5058"/>
    <w:rsid w:val="00AD52F9"/>
    <w:rsid w:val="00AD54C8"/>
    <w:rsid w:val="00AD5586"/>
    <w:rsid w:val="00AD5645"/>
    <w:rsid w:val="00AD5709"/>
    <w:rsid w:val="00AD5768"/>
    <w:rsid w:val="00AD57A3"/>
    <w:rsid w:val="00AD57E5"/>
    <w:rsid w:val="00AD580D"/>
    <w:rsid w:val="00AD5895"/>
    <w:rsid w:val="00AD5A10"/>
    <w:rsid w:val="00AD5A26"/>
    <w:rsid w:val="00AD5A33"/>
    <w:rsid w:val="00AD5B46"/>
    <w:rsid w:val="00AD5B7E"/>
    <w:rsid w:val="00AD5C8E"/>
    <w:rsid w:val="00AD5D00"/>
    <w:rsid w:val="00AD5D16"/>
    <w:rsid w:val="00AD5DC3"/>
    <w:rsid w:val="00AD5F02"/>
    <w:rsid w:val="00AD5FFD"/>
    <w:rsid w:val="00AD607F"/>
    <w:rsid w:val="00AD6383"/>
    <w:rsid w:val="00AD651C"/>
    <w:rsid w:val="00AD6939"/>
    <w:rsid w:val="00AD6AEB"/>
    <w:rsid w:val="00AD6EB6"/>
    <w:rsid w:val="00AD6EBC"/>
    <w:rsid w:val="00AD6EDF"/>
    <w:rsid w:val="00AD6F29"/>
    <w:rsid w:val="00AD6FA1"/>
    <w:rsid w:val="00AD6FCB"/>
    <w:rsid w:val="00AD6FE8"/>
    <w:rsid w:val="00AD7048"/>
    <w:rsid w:val="00AD718B"/>
    <w:rsid w:val="00AD7198"/>
    <w:rsid w:val="00AD73BB"/>
    <w:rsid w:val="00AD7483"/>
    <w:rsid w:val="00AD7553"/>
    <w:rsid w:val="00AD7563"/>
    <w:rsid w:val="00AD7728"/>
    <w:rsid w:val="00AD77E0"/>
    <w:rsid w:val="00AD7830"/>
    <w:rsid w:val="00AD7953"/>
    <w:rsid w:val="00AD7C96"/>
    <w:rsid w:val="00AD7DC8"/>
    <w:rsid w:val="00AD7E16"/>
    <w:rsid w:val="00AD7E56"/>
    <w:rsid w:val="00AD7F30"/>
    <w:rsid w:val="00AD7FCF"/>
    <w:rsid w:val="00AE0690"/>
    <w:rsid w:val="00AE084D"/>
    <w:rsid w:val="00AE0893"/>
    <w:rsid w:val="00AE095A"/>
    <w:rsid w:val="00AE0A87"/>
    <w:rsid w:val="00AE0C55"/>
    <w:rsid w:val="00AE0C6B"/>
    <w:rsid w:val="00AE0CA9"/>
    <w:rsid w:val="00AE0CB4"/>
    <w:rsid w:val="00AE0DA3"/>
    <w:rsid w:val="00AE0E69"/>
    <w:rsid w:val="00AE0EC9"/>
    <w:rsid w:val="00AE108F"/>
    <w:rsid w:val="00AE121C"/>
    <w:rsid w:val="00AE16AD"/>
    <w:rsid w:val="00AE17FD"/>
    <w:rsid w:val="00AE184C"/>
    <w:rsid w:val="00AE1A6C"/>
    <w:rsid w:val="00AE1B57"/>
    <w:rsid w:val="00AE1B59"/>
    <w:rsid w:val="00AE1C09"/>
    <w:rsid w:val="00AE1CCB"/>
    <w:rsid w:val="00AE1F76"/>
    <w:rsid w:val="00AE22DF"/>
    <w:rsid w:val="00AE236C"/>
    <w:rsid w:val="00AE24B0"/>
    <w:rsid w:val="00AE252D"/>
    <w:rsid w:val="00AE257F"/>
    <w:rsid w:val="00AE26B8"/>
    <w:rsid w:val="00AE2834"/>
    <w:rsid w:val="00AE28AD"/>
    <w:rsid w:val="00AE29A2"/>
    <w:rsid w:val="00AE2ADF"/>
    <w:rsid w:val="00AE2C1C"/>
    <w:rsid w:val="00AE2DED"/>
    <w:rsid w:val="00AE2DF8"/>
    <w:rsid w:val="00AE2F3C"/>
    <w:rsid w:val="00AE2F45"/>
    <w:rsid w:val="00AE2FB9"/>
    <w:rsid w:val="00AE323A"/>
    <w:rsid w:val="00AE32B5"/>
    <w:rsid w:val="00AE3334"/>
    <w:rsid w:val="00AE3407"/>
    <w:rsid w:val="00AE3414"/>
    <w:rsid w:val="00AE3619"/>
    <w:rsid w:val="00AE370D"/>
    <w:rsid w:val="00AE38F0"/>
    <w:rsid w:val="00AE38FB"/>
    <w:rsid w:val="00AE39C2"/>
    <w:rsid w:val="00AE3A23"/>
    <w:rsid w:val="00AE3B22"/>
    <w:rsid w:val="00AE3B61"/>
    <w:rsid w:val="00AE3C27"/>
    <w:rsid w:val="00AE3D28"/>
    <w:rsid w:val="00AE3D36"/>
    <w:rsid w:val="00AE3D5F"/>
    <w:rsid w:val="00AE3E9E"/>
    <w:rsid w:val="00AE3EC7"/>
    <w:rsid w:val="00AE417B"/>
    <w:rsid w:val="00AE4286"/>
    <w:rsid w:val="00AE435D"/>
    <w:rsid w:val="00AE44FB"/>
    <w:rsid w:val="00AE4511"/>
    <w:rsid w:val="00AE46DC"/>
    <w:rsid w:val="00AE47A0"/>
    <w:rsid w:val="00AE4A27"/>
    <w:rsid w:val="00AE4C3A"/>
    <w:rsid w:val="00AE4E52"/>
    <w:rsid w:val="00AE4F07"/>
    <w:rsid w:val="00AE5007"/>
    <w:rsid w:val="00AE5107"/>
    <w:rsid w:val="00AE5139"/>
    <w:rsid w:val="00AE51B7"/>
    <w:rsid w:val="00AE5576"/>
    <w:rsid w:val="00AE55CE"/>
    <w:rsid w:val="00AE55DB"/>
    <w:rsid w:val="00AE562C"/>
    <w:rsid w:val="00AE5AA7"/>
    <w:rsid w:val="00AE5B86"/>
    <w:rsid w:val="00AE5C1F"/>
    <w:rsid w:val="00AE5C3B"/>
    <w:rsid w:val="00AE5CD4"/>
    <w:rsid w:val="00AE5F67"/>
    <w:rsid w:val="00AE5F8C"/>
    <w:rsid w:val="00AE6301"/>
    <w:rsid w:val="00AE640E"/>
    <w:rsid w:val="00AE68F2"/>
    <w:rsid w:val="00AE6B7D"/>
    <w:rsid w:val="00AE6C02"/>
    <w:rsid w:val="00AE6C24"/>
    <w:rsid w:val="00AE6C75"/>
    <w:rsid w:val="00AE6CF3"/>
    <w:rsid w:val="00AE6D8B"/>
    <w:rsid w:val="00AE6E9C"/>
    <w:rsid w:val="00AE6F05"/>
    <w:rsid w:val="00AE725D"/>
    <w:rsid w:val="00AE7313"/>
    <w:rsid w:val="00AE7389"/>
    <w:rsid w:val="00AE75CC"/>
    <w:rsid w:val="00AE7626"/>
    <w:rsid w:val="00AE76B8"/>
    <w:rsid w:val="00AE78D3"/>
    <w:rsid w:val="00AE7BF2"/>
    <w:rsid w:val="00AE7DD7"/>
    <w:rsid w:val="00AE7E42"/>
    <w:rsid w:val="00AE7F5F"/>
    <w:rsid w:val="00AE7FE2"/>
    <w:rsid w:val="00AF0123"/>
    <w:rsid w:val="00AF0293"/>
    <w:rsid w:val="00AF0500"/>
    <w:rsid w:val="00AF0548"/>
    <w:rsid w:val="00AF061D"/>
    <w:rsid w:val="00AF090D"/>
    <w:rsid w:val="00AF0A27"/>
    <w:rsid w:val="00AF0B2E"/>
    <w:rsid w:val="00AF0C02"/>
    <w:rsid w:val="00AF0CDD"/>
    <w:rsid w:val="00AF0D3D"/>
    <w:rsid w:val="00AF0F25"/>
    <w:rsid w:val="00AF0F2B"/>
    <w:rsid w:val="00AF10E7"/>
    <w:rsid w:val="00AF11FF"/>
    <w:rsid w:val="00AF137A"/>
    <w:rsid w:val="00AF13D2"/>
    <w:rsid w:val="00AF1452"/>
    <w:rsid w:val="00AF1521"/>
    <w:rsid w:val="00AF1527"/>
    <w:rsid w:val="00AF15F3"/>
    <w:rsid w:val="00AF1784"/>
    <w:rsid w:val="00AF18D4"/>
    <w:rsid w:val="00AF194B"/>
    <w:rsid w:val="00AF1ACF"/>
    <w:rsid w:val="00AF1AE8"/>
    <w:rsid w:val="00AF1E8E"/>
    <w:rsid w:val="00AF1E91"/>
    <w:rsid w:val="00AF1EFD"/>
    <w:rsid w:val="00AF1F8E"/>
    <w:rsid w:val="00AF214A"/>
    <w:rsid w:val="00AF25D4"/>
    <w:rsid w:val="00AF2603"/>
    <w:rsid w:val="00AF2626"/>
    <w:rsid w:val="00AF2734"/>
    <w:rsid w:val="00AF2852"/>
    <w:rsid w:val="00AF2858"/>
    <w:rsid w:val="00AF28CA"/>
    <w:rsid w:val="00AF28D4"/>
    <w:rsid w:val="00AF2A6E"/>
    <w:rsid w:val="00AF2BD9"/>
    <w:rsid w:val="00AF2BFC"/>
    <w:rsid w:val="00AF2E88"/>
    <w:rsid w:val="00AF2EE2"/>
    <w:rsid w:val="00AF2EFD"/>
    <w:rsid w:val="00AF3053"/>
    <w:rsid w:val="00AF30BA"/>
    <w:rsid w:val="00AF33E5"/>
    <w:rsid w:val="00AF3457"/>
    <w:rsid w:val="00AF35C5"/>
    <w:rsid w:val="00AF3648"/>
    <w:rsid w:val="00AF368A"/>
    <w:rsid w:val="00AF36BA"/>
    <w:rsid w:val="00AF36FB"/>
    <w:rsid w:val="00AF3711"/>
    <w:rsid w:val="00AF3886"/>
    <w:rsid w:val="00AF3938"/>
    <w:rsid w:val="00AF3BE8"/>
    <w:rsid w:val="00AF3E3D"/>
    <w:rsid w:val="00AF3E5D"/>
    <w:rsid w:val="00AF3F6B"/>
    <w:rsid w:val="00AF3FC0"/>
    <w:rsid w:val="00AF3FD4"/>
    <w:rsid w:val="00AF40CD"/>
    <w:rsid w:val="00AF433E"/>
    <w:rsid w:val="00AF43A6"/>
    <w:rsid w:val="00AF4477"/>
    <w:rsid w:val="00AF44FC"/>
    <w:rsid w:val="00AF4527"/>
    <w:rsid w:val="00AF458C"/>
    <w:rsid w:val="00AF45B1"/>
    <w:rsid w:val="00AF465D"/>
    <w:rsid w:val="00AF478F"/>
    <w:rsid w:val="00AF48AD"/>
    <w:rsid w:val="00AF4938"/>
    <w:rsid w:val="00AF496D"/>
    <w:rsid w:val="00AF49B8"/>
    <w:rsid w:val="00AF49F2"/>
    <w:rsid w:val="00AF4C7C"/>
    <w:rsid w:val="00AF4D6A"/>
    <w:rsid w:val="00AF4D78"/>
    <w:rsid w:val="00AF4D8E"/>
    <w:rsid w:val="00AF50F4"/>
    <w:rsid w:val="00AF5174"/>
    <w:rsid w:val="00AF5199"/>
    <w:rsid w:val="00AF51B3"/>
    <w:rsid w:val="00AF51E6"/>
    <w:rsid w:val="00AF51F1"/>
    <w:rsid w:val="00AF5227"/>
    <w:rsid w:val="00AF53CC"/>
    <w:rsid w:val="00AF53CF"/>
    <w:rsid w:val="00AF549F"/>
    <w:rsid w:val="00AF54B5"/>
    <w:rsid w:val="00AF54C4"/>
    <w:rsid w:val="00AF555A"/>
    <w:rsid w:val="00AF5706"/>
    <w:rsid w:val="00AF5723"/>
    <w:rsid w:val="00AF5751"/>
    <w:rsid w:val="00AF5760"/>
    <w:rsid w:val="00AF5B46"/>
    <w:rsid w:val="00AF5C62"/>
    <w:rsid w:val="00AF5D26"/>
    <w:rsid w:val="00AF60C6"/>
    <w:rsid w:val="00AF6122"/>
    <w:rsid w:val="00AF6609"/>
    <w:rsid w:val="00AF67CB"/>
    <w:rsid w:val="00AF6944"/>
    <w:rsid w:val="00AF696A"/>
    <w:rsid w:val="00AF6B4B"/>
    <w:rsid w:val="00AF6DC5"/>
    <w:rsid w:val="00AF6EFE"/>
    <w:rsid w:val="00AF6F88"/>
    <w:rsid w:val="00AF7044"/>
    <w:rsid w:val="00AF70AA"/>
    <w:rsid w:val="00AF70EC"/>
    <w:rsid w:val="00AF710F"/>
    <w:rsid w:val="00AF7193"/>
    <w:rsid w:val="00AF7273"/>
    <w:rsid w:val="00AF74CA"/>
    <w:rsid w:val="00AF7765"/>
    <w:rsid w:val="00AF78AA"/>
    <w:rsid w:val="00AF791A"/>
    <w:rsid w:val="00AF79EF"/>
    <w:rsid w:val="00AF7B1A"/>
    <w:rsid w:val="00AF7B45"/>
    <w:rsid w:val="00AF7D56"/>
    <w:rsid w:val="00AF7F1C"/>
    <w:rsid w:val="00B00057"/>
    <w:rsid w:val="00B000E4"/>
    <w:rsid w:val="00B00243"/>
    <w:rsid w:val="00B002C1"/>
    <w:rsid w:val="00B003AF"/>
    <w:rsid w:val="00B00444"/>
    <w:rsid w:val="00B004A5"/>
    <w:rsid w:val="00B00507"/>
    <w:rsid w:val="00B00515"/>
    <w:rsid w:val="00B00518"/>
    <w:rsid w:val="00B0064B"/>
    <w:rsid w:val="00B00702"/>
    <w:rsid w:val="00B00957"/>
    <w:rsid w:val="00B009EE"/>
    <w:rsid w:val="00B00A5E"/>
    <w:rsid w:val="00B00AB8"/>
    <w:rsid w:val="00B00D95"/>
    <w:rsid w:val="00B00F39"/>
    <w:rsid w:val="00B00FCA"/>
    <w:rsid w:val="00B011BE"/>
    <w:rsid w:val="00B012B2"/>
    <w:rsid w:val="00B01521"/>
    <w:rsid w:val="00B01704"/>
    <w:rsid w:val="00B0171C"/>
    <w:rsid w:val="00B01A7F"/>
    <w:rsid w:val="00B01BA1"/>
    <w:rsid w:val="00B01C37"/>
    <w:rsid w:val="00B01C6D"/>
    <w:rsid w:val="00B01C91"/>
    <w:rsid w:val="00B01CED"/>
    <w:rsid w:val="00B01D35"/>
    <w:rsid w:val="00B01E55"/>
    <w:rsid w:val="00B02112"/>
    <w:rsid w:val="00B021A1"/>
    <w:rsid w:val="00B02419"/>
    <w:rsid w:val="00B027C5"/>
    <w:rsid w:val="00B02800"/>
    <w:rsid w:val="00B02835"/>
    <w:rsid w:val="00B02886"/>
    <w:rsid w:val="00B02B51"/>
    <w:rsid w:val="00B02C4F"/>
    <w:rsid w:val="00B02D10"/>
    <w:rsid w:val="00B02F6C"/>
    <w:rsid w:val="00B034CB"/>
    <w:rsid w:val="00B035CF"/>
    <w:rsid w:val="00B0378C"/>
    <w:rsid w:val="00B039F7"/>
    <w:rsid w:val="00B03A44"/>
    <w:rsid w:val="00B03BCD"/>
    <w:rsid w:val="00B03C70"/>
    <w:rsid w:val="00B03E21"/>
    <w:rsid w:val="00B03F3C"/>
    <w:rsid w:val="00B040E8"/>
    <w:rsid w:val="00B044D7"/>
    <w:rsid w:val="00B045A3"/>
    <w:rsid w:val="00B045ED"/>
    <w:rsid w:val="00B04665"/>
    <w:rsid w:val="00B046E9"/>
    <w:rsid w:val="00B0472D"/>
    <w:rsid w:val="00B047A1"/>
    <w:rsid w:val="00B04854"/>
    <w:rsid w:val="00B048EB"/>
    <w:rsid w:val="00B0496A"/>
    <w:rsid w:val="00B04A97"/>
    <w:rsid w:val="00B04BB5"/>
    <w:rsid w:val="00B04C3E"/>
    <w:rsid w:val="00B04F2A"/>
    <w:rsid w:val="00B0559A"/>
    <w:rsid w:val="00B055A5"/>
    <w:rsid w:val="00B05A71"/>
    <w:rsid w:val="00B05AD9"/>
    <w:rsid w:val="00B05CB9"/>
    <w:rsid w:val="00B05DF3"/>
    <w:rsid w:val="00B05E53"/>
    <w:rsid w:val="00B05FA8"/>
    <w:rsid w:val="00B05FE7"/>
    <w:rsid w:val="00B060CD"/>
    <w:rsid w:val="00B060D0"/>
    <w:rsid w:val="00B06128"/>
    <w:rsid w:val="00B061CF"/>
    <w:rsid w:val="00B0626D"/>
    <w:rsid w:val="00B062B2"/>
    <w:rsid w:val="00B06627"/>
    <w:rsid w:val="00B067E6"/>
    <w:rsid w:val="00B06DD9"/>
    <w:rsid w:val="00B06E07"/>
    <w:rsid w:val="00B0701B"/>
    <w:rsid w:val="00B07084"/>
    <w:rsid w:val="00B070AD"/>
    <w:rsid w:val="00B070B0"/>
    <w:rsid w:val="00B07195"/>
    <w:rsid w:val="00B07272"/>
    <w:rsid w:val="00B072B2"/>
    <w:rsid w:val="00B0735F"/>
    <w:rsid w:val="00B0748D"/>
    <w:rsid w:val="00B07534"/>
    <w:rsid w:val="00B075CA"/>
    <w:rsid w:val="00B07817"/>
    <w:rsid w:val="00B07831"/>
    <w:rsid w:val="00B07958"/>
    <w:rsid w:val="00B07A48"/>
    <w:rsid w:val="00B07BA2"/>
    <w:rsid w:val="00B07BEA"/>
    <w:rsid w:val="00B07C4F"/>
    <w:rsid w:val="00B07CA3"/>
    <w:rsid w:val="00B07F73"/>
    <w:rsid w:val="00B10115"/>
    <w:rsid w:val="00B1013A"/>
    <w:rsid w:val="00B103DD"/>
    <w:rsid w:val="00B103F3"/>
    <w:rsid w:val="00B1058D"/>
    <w:rsid w:val="00B105BC"/>
    <w:rsid w:val="00B10613"/>
    <w:rsid w:val="00B1076E"/>
    <w:rsid w:val="00B107A5"/>
    <w:rsid w:val="00B107B1"/>
    <w:rsid w:val="00B107CB"/>
    <w:rsid w:val="00B10DC0"/>
    <w:rsid w:val="00B10F02"/>
    <w:rsid w:val="00B10F24"/>
    <w:rsid w:val="00B10F3E"/>
    <w:rsid w:val="00B10FD8"/>
    <w:rsid w:val="00B1105F"/>
    <w:rsid w:val="00B1111F"/>
    <w:rsid w:val="00B1116E"/>
    <w:rsid w:val="00B111C5"/>
    <w:rsid w:val="00B11531"/>
    <w:rsid w:val="00B11664"/>
    <w:rsid w:val="00B11665"/>
    <w:rsid w:val="00B1166C"/>
    <w:rsid w:val="00B11702"/>
    <w:rsid w:val="00B117B4"/>
    <w:rsid w:val="00B11841"/>
    <w:rsid w:val="00B11892"/>
    <w:rsid w:val="00B11A8C"/>
    <w:rsid w:val="00B11C8C"/>
    <w:rsid w:val="00B11D5D"/>
    <w:rsid w:val="00B11DFA"/>
    <w:rsid w:val="00B11EA1"/>
    <w:rsid w:val="00B11EA8"/>
    <w:rsid w:val="00B11F8E"/>
    <w:rsid w:val="00B12082"/>
    <w:rsid w:val="00B120E5"/>
    <w:rsid w:val="00B12181"/>
    <w:rsid w:val="00B12183"/>
    <w:rsid w:val="00B121B4"/>
    <w:rsid w:val="00B12329"/>
    <w:rsid w:val="00B123ED"/>
    <w:rsid w:val="00B124B7"/>
    <w:rsid w:val="00B12590"/>
    <w:rsid w:val="00B125BD"/>
    <w:rsid w:val="00B1264A"/>
    <w:rsid w:val="00B12701"/>
    <w:rsid w:val="00B12765"/>
    <w:rsid w:val="00B12784"/>
    <w:rsid w:val="00B127D5"/>
    <w:rsid w:val="00B12891"/>
    <w:rsid w:val="00B128FB"/>
    <w:rsid w:val="00B1290F"/>
    <w:rsid w:val="00B129D1"/>
    <w:rsid w:val="00B12ACD"/>
    <w:rsid w:val="00B12C3E"/>
    <w:rsid w:val="00B12CAC"/>
    <w:rsid w:val="00B12D47"/>
    <w:rsid w:val="00B12D57"/>
    <w:rsid w:val="00B1305D"/>
    <w:rsid w:val="00B131B2"/>
    <w:rsid w:val="00B132D2"/>
    <w:rsid w:val="00B133E9"/>
    <w:rsid w:val="00B13426"/>
    <w:rsid w:val="00B13532"/>
    <w:rsid w:val="00B135D0"/>
    <w:rsid w:val="00B1360D"/>
    <w:rsid w:val="00B1361E"/>
    <w:rsid w:val="00B1364F"/>
    <w:rsid w:val="00B1375B"/>
    <w:rsid w:val="00B13AEE"/>
    <w:rsid w:val="00B13CD7"/>
    <w:rsid w:val="00B13D29"/>
    <w:rsid w:val="00B13F22"/>
    <w:rsid w:val="00B14034"/>
    <w:rsid w:val="00B14064"/>
    <w:rsid w:val="00B140D3"/>
    <w:rsid w:val="00B14215"/>
    <w:rsid w:val="00B1449F"/>
    <w:rsid w:val="00B1462B"/>
    <w:rsid w:val="00B146A8"/>
    <w:rsid w:val="00B14704"/>
    <w:rsid w:val="00B147F9"/>
    <w:rsid w:val="00B14825"/>
    <w:rsid w:val="00B1489B"/>
    <w:rsid w:val="00B14903"/>
    <w:rsid w:val="00B14936"/>
    <w:rsid w:val="00B14D6C"/>
    <w:rsid w:val="00B14DCB"/>
    <w:rsid w:val="00B14E14"/>
    <w:rsid w:val="00B14E38"/>
    <w:rsid w:val="00B14F7A"/>
    <w:rsid w:val="00B14FF0"/>
    <w:rsid w:val="00B15141"/>
    <w:rsid w:val="00B154FB"/>
    <w:rsid w:val="00B157AA"/>
    <w:rsid w:val="00B157B7"/>
    <w:rsid w:val="00B159C4"/>
    <w:rsid w:val="00B15A61"/>
    <w:rsid w:val="00B15A86"/>
    <w:rsid w:val="00B15AA5"/>
    <w:rsid w:val="00B15AEF"/>
    <w:rsid w:val="00B15B8E"/>
    <w:rsid w:val="00B15EBF"/>
    <w:rsid w:val="00B161E7"/>
    <w:rsid w:val="00B162CA"/>
    <w:rsid w:val="00B16330"/>
    <w:rsid w:val="00B1654A"/>
    <w:rsid w:val="00B167B8"/>
    <w:rsid w:val="00B16B02"/>
    <w:rsid w:val="00B16FA8"/>
    <w:rsid w:val="00B1709E"/>
    <w:rsid w:val="00B174CF"/>
    <w:rsid w:val="00B1765B"/>
    <w:rsid w:val="00B1769E"/>
    <w:rsid w:val="00B1778C"/>
    <w:rsid w:val="00B17A19"/>
    <w:rsid w:val="00B17D47"/>
    <w:rsid w:val="00B17D96"/>
    <w:rsid w:val="00B17EAA"/>
    <w:rsid w:val="00B2021B"/>
    <w:rsid w:val="00B20355"/>
    <w:rsid w:val="00B20387"/>
    <w:rsid w:val="00B20445"/>
    <w:rsid w:val="00B2049E"/>
    <w:rsid w:val="00B204DE"/>
    <w:rsid w:val="00B20500"/>
    <w:rsid w:val="00B20648"/>
    <w:rsid w:val="00B20669"/>
    <w:rsid w:val="00B208E4"/>
    <w:rsid w:val="00B209E3"/>
    <w:rsid w:val="00B209F5"/>
    <w:rsid w:val="00B20A37"/>
    <w:rsid w:val="00B20A90"/>
    <w:rsid w:val="00B20AEF"/>
    <w:rsid w:val="00B20BB4"/>
    <w:rsid w:val="00B20BE1"/>
    <w:rsid w:val="00B20C14"/>
    <w:rsid w:val="00B20DCA"/>
    <w:rsid w:val="00B20F84"/>
    <w:rsid w:val="00B20FE5"/>
    <w:rsid w:val="00B21033"/>
    <w:rsid w:val="00B2112F"/>
    <w:rsid w:val="00B2118D"/>
    <w:rsid w:val="00B21211"/>
    <w:rsid w:val="00B21411"/>
    <w:rsid w:val="00B21526"/>
    <w:rsid w:val="00B21622"/>
    <w:rsid w:val="00B21663"/>
    <w:rsid w:val="00B21723"/>
    <w:rsid w:val="00B218CC"/>
    <w:rsid w:val="00B21B27"/>
    <w:rsid w:val="00B21DA0"/>
    <w:rsid w:val="00B21EBF"/>
    <w:rsid w:val="00B21F0D"/>
    <w:rsid w:val="00B21F50"/>
    <w:rsid w:val="00B22007"/>
    <w:rsid w:val="00B2203A"/>
    <w:rsid w:val="00B220B1"/>
    <w:rsid w:val="00B22350"/>
    <w:rsid w:val="00B22460"/>
    <w:rsid w:val="00B22529"/>
    <w:rsid w:val="00B22679"/>
    <w:rsid w:val="00B22780"/>
    <w:rsid w:val="00B22902"/>
    <w:rsid w:val="00B2298A"/>
    <w:rsid w:val="00B22AF7"/>
    <w:rsid w:val="00B22B85"/>
    <w:rsid w:val="00B22BE6"/>
    <w:rsid w:val="00B22D2E"/>
    <w:rsid w:val="00B22F3B"/>
    <w:rsid w:val="00B2302B"/>
    <w:rsid w:val="00B2330D"/>
    <w:rsid w:val="00B23479"/>
    <w:rsid w:val="00B234B0"/>
    <w:rsid w:val="00B234CE"/>
    <w:rsid w:val="00B234FE"/>
    <w:rsid w:val="00B235AE"/>
    <w:rsid w:val="00B236CB"/>
    <w:rsid w:val="00B23782"/>
    <w:rsid w:val="00B238B9"/>
    <w:rsid w:val="00B239E3"/>
    <w:rsid w:val="00B23A72"/>
    <w:rsid w:val="00B23C82"/>
    <w:rsid w:val="00B23E1D"/>
    <w:rsid w:val="00B23E58"/>
    <w:rsid w:val="00B23FBC"/>
    <w:rsid w:val="00B242EB"/>
    <w:rsid w:val="00B24373"/>
    <w:rsid w:val="00B244CA"/>
    <w:rsid w:val="00B2451F"/>
    <w:rsid w:val="00B245B3"/>
    <w:rsid w:val="00B245E4"/>
    <w:rsid w:val="00B246C5"/>
    <w:rsid w:val="00B24934"/>
    <w:rsid w:val="00B24935"/>
    <w:rsid w:val="00B24A6A"/>
    <w:rsid w:val="00B24E86"/>
    <w:rsid w:val="00B24F47"/>
    <w:rsid w:val="00B24FB5"/>
    <w:rsid w:val="00B25003"/>
    <w:rsid w:val="00B2509E"/>
    <w:rsid w:val="00B25154"/>
    <w:rsid w:val="00B25189"/>
    <w:rsid w:val="00B2534D"/>
    <w:rsid w:val="00B25532"/>
    <w:rsid w:val="00B255A3"/>
    <w:rsid w:val="00B255FE"/>
    <w:rsid w:val="00B2561A"/>
    <w:rsid w:val="00B2576E"/>
    <w:rsid w:val="00B257F1"/>
    <w:rsid w:val="00B25926"/>
    <w:rsid w:val="00B25C73"/>
    <w:rsid w:val="00B25D6C"/>
    <w:rsid w:val="00B25DF5"/>
    <w:rsid w:val="00B25E1D"/>
    <w:rsid w:val="00B25FC9"/>
    <w:rsid w:val="00B260AB"/>
    <w:rsid w:val="00B26184"/>
    <w:rsid w:val="00B26346"/>
    <w:rsid w:val="00B264F1"/>
    <w:rsid w:val="00B26A1A"/>
    <w:rsid w:val="00B26A27"/>
    <w:rsid w:val="00B26A51"/>
    <w:rsid w:val="00B26A99"/>
    <w:rsid w:val="00B26D23"/>
    <w:rsid w:val="00B26DBD"/>
    <w:rsid w:val="00B2700C"/>
    <w:rsid w:val="00B271E8"/>
    <w:rsid w:val="00B2731D"/>
    <w:rsid w:val="00B2732A"/>
    <w:rsid w:val="00B2742D"/>
    <w:rsid w:val="00B2749A"/>
    <w:rsid w:val="00B27576"/>
    <w:rsid w:val="00B2771D"/>
    <w:rsid w:val="00B27A63"/>
    <w:rsid w:val="00B27AD6"/>
    <w:rsid w:val="00B27D27"/>
    <w:rsid w:val="00B27D4D"/>
    <w:rsid w:val="00B3009A"/>
    <w:rsid w:val="00B30121"/>
    <w:rsid w:val="00B301BF"/>
    <w:rsid w:val="00B3026D"/>
    <w:rsid w:val="00B30292"/>
    <w:rsid w:val="00B30627"/>
    <w:rsid w:val="00B30792"/>
    <w:rsid w:val="00B307D0"/>
    <w:rsid w:val="00B307DE"/>
    <w:rsid w:val="00B3084E"/>
    <w:rsid w:val="00B30C39"/>
    <w:rsid w:val="00B30C3F"/>
    <w:rsid w:val="00B30CA3"/>
    <w:rsid w:val="00B30D49"/>
    <w:rsid w:val="00B30DBF"/>
    <w:rsid w:val="00B30DC0"/>
    <w:rsid w:val="00B30F7F"/>
    <w:rsid w:val="00B30FD9"/>
    <w:rsid w:val="00B31094"/>
    <w:rsid w:val="00B3132E"/>
    <w:rsid w:val="00B31424"/>
    <w:rsid w:val="00B31461"/>
    <w:rsid w:val="00B31463"/>
    <w:rsid w:val="00B31465"/>
    <w:rsid w:val="00B314D0"/>
    <w:rsid w:val="00B3154F"/>
    <w:rsid w:val="00B3160C"/>
    <w:rsid w:val="00B31666"/>
    <w:rsid w:val="00B31930"/>
    <w:rsid w:val="00B31A22"/>
    <w:rsid w:val="00B31B8C"/>
    <w:rsid w:val="00B31D41"/>
    <w:rsid w:val="00B31D57"/>
    <w:rsid w:val="00B31E29"/>
    <w:rsid w:val="00B323E5"/>
    <w:rsid w:val="00B3264D"/>
    <w:rsid w:val="00B32663"/>
    <w:rsid w:val="00B327FB"/>
    <w:rsid w:val="00B32926"/>
    <w:rsid w:val="00B32947"/>
    <w:rsid w:val="00B329B5"/>
    <w:rsid w:val="00B32A63"/>
    <w:rsid w:val="00B32AB4"/>
    <w:rsid w:val="00B32E1B"/>
    <w:rsid w:val="00B32FE3"/>
    <w:rsid w:val="00B33111"/>
    <w:rsid w:val="00B3313D"/>
    <w:rsid w:val="00B33200"/>
    <w:rsid w:val="00B332CC"/>
    <w:rsid w:val="00B3332D"/>
    <w:rsid w:val="00B3336A"/>
    <w:rsid w:val="00B3377A"/>
    <w:rsid w:val="00B3377D"/>
    <w:rsid w:val="00B33966"/>
    <w:rsid w:val="00B339BA"/>
    <w:rsid w:val="00B33A4F"/>
    <w:rsid w:val="00B33ACC"/>
    <w:rsid w:val="00B33D5E"/>
    <w:rsid w:val="00B33F92"/>
    <w:rsid w:val="00B34145"/>
    <w:rsid w:val="00B343E3"/>
    <w:rsid w:val="00B3444C"/>
    <w:rsid w:val="00B344B3"/>
    <w:rsid w:val="00B3457F"/>
    <w:rsid w:val="00B34620"/>
    <w:rsid w:val="00B3481D"/>
    <w:rsid w:val="00B34969"/>
    <w:rsid w:val="00B34A43"/>
    <w:rsid w:val="00B34A5F"/>
    <w:rsid w:val="00B34AA7"/>
    <w:rsid w:val="00B34B83"/>
    <w:rsid w:val="00B34C91"/>
    <w:rsid w:val="00B34D20"/>
    <w:rsid w:val="00B34DAC"/>
    <w:rsid w:val="00B34FBA"/>
    <w:rsid w:val="00B34FE9"/>
    <w:rsid w:val="00B35221"/>
    <w:rsid w:val="00B3522A"/>
    <w:rsid w:val="00B3548D"/>
    <w:rsid w:val="00B35518"/>
    <w:rsid w:val="00B35547"/>
    <w:rsid w:val="00B357BE"/>
    <w:rsid w:val="00B358D1"/>
    <w:rsid w:val="00B358DD"/>
    <w:rsid w:val="00B35B96"/>
    <w:rsid w:val="00B35BF7"/>
    <w:rsid w:val="00B35C23"/>
    <w:rsid w:val="00B35C30"/>
    <w:rsid w:val="00B35C75"/>
    <w:rsid w:val="00B35D07"/>
    <w:rsid w:val="00B35E2C"/>
    <w:rsid w:val="00B35E72"/>
    <w:rsid w:val="00B35F07"/>
    <w:rsid w:val="00B3611D"/>
    <w:rsid w:val="00B36248"/>
    <w:rsid w:val="00B36526"/>
    <w:rsid w:val="00B365C6"/>
    <w:rsid w:val="00B36738"/>
    <w:rsid w:val="00B36747"/>
    <w:rsid w:val="00B3679B"/>
    <w:rsid w:val="00B368AD"/>
    <w:rsid w:val="00B3692A"/>
    <w:rsid w:val="00B36999"/>
    <w:rsid w:val="00B36D78"/>
    <w:rsid w:val="00B36DFF"/>
    <w:rsid w:val="00B36E1E"/>
    <w:rsid w:val="00B36E48"/>
    <w:rsid w:val="00B36EA0"/>
    <w:rsid w:val="00B36EE4"/>
    <w:rsid w:val="00B36EE5"/>
    <w:rsid w:val="00B36FB2"/>
    <w:rsid w:val="00B3702D"/>
    <w:rsid w:val="00B37083"/>
    <w:rsid w:val="00B370C3"/>
    <w:rsid w:val="00B371A0"/>
    <w:rsid w:val="00B371CD"/>
    <w:rsid w:val="00B371D4"/>
    <w:rsid w:val="00B37248"/>
    <w:rsid w:val="00B372B4"/>
    <w:rsid w:val="00B373D6"/>
    <w:rsid w:val="00B374B3"/>
    <w:rsid w:val="00B374D9"/>
    <w:rsid w:val="00B3779B"/>
    <w:rsid w:val="00B37810"/>
    <w:rsid w:val="00B3781C"/>
    <w:rsid w:val="00B37863"/>
    <w:rsid w:val="00B37B5A"/>
    <w:rsid w:val="00B37B5B"/>
    <w:rsid w:val="00B37C12"/>
    <w:rsid w:val="00B37C61"/>
    <w:rsid w:val="00B37D1D"/>
    <w:rsid w:val="00B37D73"/>
    <w:rsid w:val="00B37DE4"/>
    <w:rsid w:val="00B37E30"/>
    <w:rsid w:val="00B37E68"/>
    <w:rsid w:val="00B37E8D"/>
    <w:rsid w:val="00B37F82"/>
    <w:rsid w:val="00B40160"/>
    <w:rsid w:val="00B402D9"/>
    <w:rsid w:val="00B402E7"/>
    <w:rsid w:val="00B40355"/>
    <w:rsid w:val="00B403A5"/>
    <w:rsid w:val="00B4040C"/>
    <w:rsid w:val="00B4058C"/>
    <w:rsid w:val="00B405C7"/>
    <w:rsid w:val="00B406A6"/>
    <w:rsid w:val="00B40737"/>
    <w:rsid w:val="00B408D4"/>
    <w:rsid w:val="00B4096C"/>
    <w:rsid w:val="00B409EA"/>
    <w:rsid w:val="00B40A60"/>
    <w:rsid w:val="00B40B91"/>
    <w:rsid w:val="00B40C1D"/>
    <w:rsid w:val="00B40EFC"/>
    <w:rsid w:val="00B40F14"/>
    <w:rsid w:val="00B410F5"/>
    <w:rsid w:val="00B4113A"/>
    <w:rsid w:val="00B411EC"/>
    <w:rsid w:val="00B41266"/>
    <w:rsid w:val="00B412AA"/>
    <w:rsid w:val="00B41412"/>
    <w:rsid w:val="00B415C3"/>
    <w:rsid w:val="00B416BE"/>
    <w:rsid w:val="00B416F7"/>
    <w:rsid w:val="00B41926"/>
    <w:rsid w:val="00B41A60"/>
    <w:rsid w:val="00B41A85"/>
    <w:rsid w:val="00B41A9C"/>
    <w:rsid w:val="00B41B14"/>
    <w:rsid w:val="00B41C2F"/>
    <w:rsid w:val="00B41DD1"/>
    <w:rsid w:val="00B420A5"/>
    <w:rsid w:val="00B421B1"/>
    <w:rsid w:val="00B4250F"/>
    <w:rsid w:val="00B4252F"/>
    <w:rsid w:val="00B425E3"/>
    <w:rsid w:val="00B427E4"/>
    <w:rsid w:val="00B42C5A"/>
    <w:rsid w:val="00B42C63"/>
    <w:rsid w:val="00B42CC7"/>
    <w:rsid w:val="00B42DE5"/>
    <w:rsid w:val="00B42E48"/>
    <w:rsid w:val="00B4318A"/>
    <w:rsid w:val="00B43235"/>
    <w:rsid w:val="00B4329D"/>
    <w:rsid w:val="00B43350"/>
    <w:rsid w:val="00B43512"/>
    <w:rsid w:val="00B435FE"/>
    <w:rsid w:val="00B4360A"/>
    <w:rsid w:val="00B43620"/>
    <w:rsid w:val="00B436B7"/>
    <w:rsid w:val="00B43885"/>
    <w:rsid w:val="00B43A5B"/>
    <w:rsid w:val="00B43BCF"/>
    <w:rsid w:val="00B43C12"/>
    <w:rsid w:val="00B43C4D"/>
    <w:rsid w:val="00B43C73"/>
    <w:rsid w:val="00B43E2E"/>
    <w:rsid w:val="00B43E98"/>
    <w:rsid w:val="00B4415E"/>
    <w:rsid w:val="00B441DD"/>
    <w:rsid w:val="00B44273"/>
    <w:rsid w:val="00B44491"/>
    <w:rsid w:val="00B44543"/>
    <w:rsid w:val="00B44791"/>
    <w:rsid w:val="00B447DE"/>
    <w:rsid w:val="00B44886"/>
    <w:rsid w:val="00B44913"/>
    <w:rsid w:val="00B449ED"/>
    <w:rsid w:val="00B44A46"/>
    <w:rsid w:val="00B44A57"/>
    <w:rsid w:val="00B44B8C"/>
    <w:rsid w:val="00B44D20"/>
    <w:rsid w:val="00B44D6F"/>
    <w:rsid w:val="00B44D8C"/>
    <w:rsid w:val="00B44F64"/>
    <w:rsid w:val="00B45030"/>
    <w:rsid w:val="00B451C2"/>
    <w:rsid w:val="00B453E7"/>
    <w:rsid w:val="00B453E9"/>
    <w:rsid w:val="00B45509"/>
    <w:rsid w:val="00B45535"/>
    <w:rsid w:val="00B45620"/>
    <w:rsid w:val="00B45653"/>
    <w:rsid w:val="00B45659"/>
    <w:rsid w:val="00B456A4"/>
    <w:rsid w:val="00B456B0"/>
    <w:rsid w:val="00B45879"/>
    <w:rsid w:val="00B45886"/>
    <w:rsid w:val="00B4593C"/>
    <w:rsid w:val="00B45A14"/>
    <w:rsid w:val="00B45C11"/>
    <w:rsid w:val="00B4613D"/>
    <w:rsid w:val="00B46163"/>
    <w:rsid w:val="00B461D1"/>
    <w:rsid w:val="00B4624D"/>
    <w:rsid w:val="00B4628C"/>
    <w:rsid w:val="00B463BF"/>
    <w:rsid w:val="00B464D1"/>
    <w:rsid w:val="00B4651A"/>
    <w:rsid w:val="00B465CA"/>
    <w:rsid w:val="00B4661A"/>
    <w:rsid w:val="00B46660"/>
    <w:rsid w:val="00B466A8"/>
    <w:rsid w:val="00B466CF"/>
    <w:rsid w:val="00B46777"/>
    <w:rsid w:val="00B4688A"/>
    <w:rsid w:val="00B4699E"/>
    <w:rsid w:val="00B46ACE"/>
    <w:rsid w:val="00B46ADA"/>
    <w:rsid w:val="00B46BCC"/>
    <w:rsid w:val="00B46CA2"/>
    <w:rsid w:val="00B46CC7"/>
    <w:rsid w:val="00B46EAB"/>
    <w:rsid w:val="00B46F4E"/>
    <w:rsid w:val="00B46FA1"/>
    <w:rsid w:val="00B470BA"/>
    <w:rsid w:val="00B470C3"/>
    <w:rsid w:val="00B471E4"/>
    <w:rsid w:val="00B47217"/>
    <w:rsid w:val="00B47236"/>
    <w:rsid w:val="00B47258"/>
    <w:rsid w:val="00B473DB"/>
    <w:rsid w:val="00B4753B"/>
    <w:rsid w:val="00B4754A"/>
    <w:rsid w:val="00B475A9"/>
    <w:rsid w:val="00B475CE"/>
    <w:rsid w:val="00B479E8"/>
    <w:rsid w:val="00B47B6E"/>
    <w:rsid w:val="00B47CD9"/>
    <w:rsid w:val="00B47D75"/>
    <w:rsid w:val="00B47E77"/>
    <w:rsid w:val="00B50080"/>
    <w:rsid w:val="00B50086"/>
    <w:rsid w:val="00B5017F"/>
    <w:rsid w:val="00B501B8"/>
    <w:rsid w:val="00B502C2"/>
    <w:rsid w:val="00B50417"/>
    <w:rsid w:val="00B5044C"/>
    <w:rsid w:val="00B505F2"/>
    <w:rsid w:val="00B50668"/>
    <w:rsid w:val="00B509EA"/>
    <w:rsid w:val="00B509FB"/>
    <w:rsid w:val="00B50B14"/>
    <w:rsid w:val="00B50B9C"/>
    <w:rsid w:val="00B50BFB"/>
    <w:rsid w:val="00B50C33"/>
    <w:rsid w:val="00B50D93"/>
    <w:rsid w:val="00B50EBD"/>
    <w:rsid w:val="00B510B4"/>
    <w:rsid w:val="00B510E2"/>
    <w:rsid w:val="00B5112B"/>
    <w:rsid w:val="00B511E1"/>
    <w:rsid w:val="00B51346"/>
    <w:rsid w:val="00B51386"/>
    <w:rsid w:val="00B5149B"/>
    <w:rsid w:val="00B51589"/>
    <w:rsid w:val="00B519A0"/>
    <w:rsid w:val="00B519B1"/>
    <w:rsid w:val="00B51AB0"/>
    <w:rsid w:val="00B51DF9"/>
    <w:rsid w:val="00B51F6D"/>
    <w:rsid w:val="00B52010"/>
    <w:rsid w:val="00B520FF"/>
    <w:rsid w:val="00B52348"/>
    <w:rsid w:val="00B525C6"/>
    <w:rsid w:val="00B52928"/>
    <w:rsid w:val="00B52A08"/>
    <w:rsid w:val="00B52B53"/>
    <w:rsid w:val="00B52FA3"/>
    <w:rsid w:val="00B52FD0"/>
    <w:rsid w:val="00B5302E"/>
    <w:rsid w:val="00B53066"/>
    <w:rsid w:val="00B5327E"/>
    <w:rsid w:val="00B532A7"/>
    <w:rsid w:val="00B53309"/>
    <w:rsid w:val="00B53327"/>
    <w:rsid w:val="00B533B0"/>
    <w:rsid w:val="00B533C3"/>
    <w:rsid w:val="00B533D2"/>
    <w:rsid w:val="00B535BF"/>
    <w:rsid w:val="00B53691"/>
    <w:rsid w:val="00B53905"/>
    <w:rsid w:val="00B53971"/>
    <w:rsid w:val="00B53ACF"/>
    <w:rsid w:val="00B53B47"/>
    <w:rsid w:val="00B53E51"/>
    <w:rsid w:val="00B53F87"/>
    <w:rsid w:val="00B541B2"/>
    <w:rsid w:val="00B543B7"/>
    <w:rsid w:val="00B543E6"/>
    <w:rsid w:val="00B544B8"/>
    <w:rsid w:val="00B54981"/>
    <w:rsid w:val="00B549EB"/>
    <w:rsid w:val="00B54A64"/>
    <w:rsid w:val="00B54B6B"/>
    <w:rsid w:val="00B54CE1"/>
    <w:rsid w:val="00B54E94"/>
    <w:rsid w:val="00B54F28"/>
    <w:rsid w:val="00B54F93"/>
    <w:rsid w:val="00B551B9"/>
    <w:rsid w:val="00B55328"/>
    <w:rsid w:val="00B557A6"/>
    <w:rsid w:val="00B55895"/>
    <w:rsid w:val="00B55A15"/>
    <w:rsid w:val="00B55A6B"/>
    <w:rsid w:val="00B55BE2"/>
    <w:rsid w:val="00B55CF8"/>
    <w:rsid w:val="00B55D43"/>
    <w:rsid w:val="00B55D6A"/>
    <w:rsid w:val="00B56232"/>
    <w:rsid w:val="00B5624A"/>
    <w:rsid w:val="00B5629A"/>
    <w:rsid w:val="00B562D8"/>
    <w:rsid w:val="00B5633B"/>
    <w:rsid w:val="00B563BE"/>
    <w:rsid w:val="00B5642C"/>
    <w:rsid w:val="00B564B1"/>
    <w:rsid w:val="00B5695F"/>
    <w:rsid w:val="00B56A1F"/>
    <w:rsid w:val="00B56B33"/>
    <w:rsid w:val="00B56B86"/>
    <w:rsid w:val="00B56BE6"/>
    <w:rsid w:val="00B56ECD"/>
    <w:rsid w:val="00B572C6"/>
    <w:rsid w:val="00B572E8"/>
    <w:rsid w:val="00B572ED"/>
    <w:rsid w:val="00B5746A"/>
    <w:rsid w:val="00B574C1"/>
    <w:rsid w:val="00B5758D"/>
    <w:rsid w:val="00B5764E"/>
    <w:rsid w:val="00B576CF"/>
    <w:rsid w:val="00B57772"/>
    <w:rsid w:val="00B578D5"/>
    <w:rsid w:val="00B57968"/>
    <w:rsid w:val="00B57C3E"/>
    <w:rsid w:val="00B57F53"/>
    <w:rsid w:val="00B57F8B"/>
    <w:rsid w:val="00B600FC"/>
    <w:rsid w:val="00B6024A"/>
    <w:rsid w:val="00B603A8"/>
    <w:rsid w:val="00B603C8"/>
    <w:rsid w:val="00B60441"/>
    <w:rsid w:val="00B60737"/>
    <w:rsid w:val="00B608A3"/>
    <w:rsid w:val="00B60BD2"/>
    <w:rsid w:val="00B60CA6"/>
    <w:rsid w:val="00B60FC8"/>
    <w:rsid w:val="00B60FE1"/>
    <w:rsid w:val="00B61209"/>
    <w:rsid w:val="00B61370"/>
    <w:rsid w:val="00B613F3"/>
    <w:rsid w:val="00B61464"/>
    <w:rsid w:val="00B6153B"/>
    <w:rsid w:val="00B61578"/>
    <w:rsid w:val="00B616DC"/>
    <w:rsid w:val="00B6173B"/>
    <w:rsid w:val="00B6177E"/>
    <w:rsid w:val="00B6177F"/>
    <w:rsid w:val="00B618A0"/>
    <w:rsid w:val="00B618AF"/>
    <w:rsid w:val="00B61BA9"/>
    <w:rsid w:val="00B61CCD"/>
    <w:rsid w:val="00B61D5C"/>
    <w:rsid w:val="00B62041"/>
    <w:rsid w:val="00B6215A"/>
    <w:rsid w:val="00B6222C"/>
    <w:rsid w:val="00B622EB"/>
    <w:rsid w:val="00B62303"/>
    <w:rsid w:val="00B62357"/>
    <w:rsid w:val="00B6252A"/>
    <w:rsid w:val="00B625CF"/>
    <w:rsid w:val="00B62635"/>
    <w:rsid w:val="00B62663"/>
    <w:rsid w:val="00B62675"/>
    <w:rsid w:val="00B628EA"/>
    <w:rsid w:val="00B62957"/>
    <w:rsid w:val="00B62993"/>
    <w:rsid w:val="00B62A64"/>
    <w:rsid w:val="00B62B48"/>
    <w:rsid w:val="00B62B84"/>
    <w:rsid w:val="00B62BFB"/>
    <w:rsid w:val="00B6303D"/>
    <w:rsid w:val="00B6304D"/>
    <w:rsid w:val="00B630C3"/>
    <w:rsid w:val="00B631D0"/>
    <w:rsid w:val="00B63202"/>
    <w:rsid w:val="00B6335A"/>
    <w:rsid w:val="00B6345B"/>
    <w:rsid w:val="00B6346E"/>
    <w:rsid w:val="00B6375F"/>
    <w:rsid w:val="00B63825"/>
    <w:rsid w:val="00B638D2"/>
    <w:rsid w:val="00B638E7"/>
    <w:rsid w:val="00B639BE"/>
    <w:rsid w:val="00B63A8D"/>
    <w:rsid w:val="00B63D58"/>
    <w:rsid w:val="00B63EC8"/>
    <w:rsid w:val="00B63F1A"/>
    <w:rsid w:val="00B63FB5"/>
    <w:rsid w:val="00B63FC8"/>
    <w:rsid w:val="00B64037"/>
    <w:rsid w:val="00B64144"/>
    <w:rsid w:val="00B641D5"/>
    <w:rsid w:val="00B64434"/>
    <w:rsid w:val="00B64565"/>
    <w:rsid w:val="00B6457E"/>
    <w:rsid w:val="00B645A9"/>
    <w:rsid w:val="00B64861"/>
    <w:rsid w:val="00B648DF"/>
    <w:rsid w:val="00B64DE0"/>
    <w:rsid w:val="00B64E8A"/>
    <w:rsid w:val="00B65157"/>
    <w:rsid w:val="00B65502"/>
    <w:rsid w:val="00B655BC"/>
    <w:rsid w:val="00B656E7"/>
    <w:rsid w:val="00B65952"/>
    <w:rsid w:val="00B659A4"/>
    <w:rsid w:val="00B65A6B"/>
    <w:rsid w:val="00B65A79"/>
    <w:rsid w:val="00B65C4A"/>
    <w:rsid w:val="00B6610A"/>
    <w:rsid w:val="00B6621B"/>
    <w:rsid w:val="00B662AF"/>
    <w:rsid w:val="00B662E0"/>
    <w:rsid w:val="00B66438"/>
    <w:rsid w:val="00B6653F"/>
    <w:rsid w:val="00B66558"/>
    <w:rsid w:val="00B66664"/>
    <w:rsid w:val="00B666E4"/>
    <w:rsid w:val="00B667DE"/>
    <w:rsid w:val="00B66A06"/>
    <w:rsid w:val="00B66D6D"/>
    <w:rsid w:val="00B66DB0"/>
    <w:rsid w:val="00B66E0C"/>
    <w:rsid w:val="00B66E28"/>
    <w:rsid w:val="00B66E84"/>
    <w:rsid w:val="00B6706D"/>
    <w:rsid w:val="00B67291"/>
    <w:rsid w:val="00B67392"/>
    <w:rsid w:val="00B673A8"/>
    <w:rsid w:val="00B67495"/>
    <w:rsid w:val="00B6751D"/>
    <w:rsid w:val="00B6785C"/>
    <w:rsid w:val="00B678C8"/>
    <w:rsid w:val="00B67AA9"/>
    <w:rsid w:val="00B67B1B"/>
    <w:rsid w:val="00B67B3D"/>
    <w:rsid w:val="00B67CA9"/>
    <w:rsid w:val="00B67D2F"/>
    <w:rsid w:val="00B67DDC"/>
    <w:rsid w:val="00B67EF9"/>
    <w:rsid w:val="00B67F1E"/>
    <w:rsid w:val="00B67F21"/>
    <w:rsid w:val="00B70026"/>
    <w:rsid w:val="00B70107"/>
    <w:rsid w:val="00B7015A"/>
    <w:rsid w:val="00B701BC"/>
    <w:rsid w:val="00B702C1"/>
    <w:rsid w:val="00B7033B"/>
    <w:rsid w:val="00B7040B"/>
    <w:rsid w:val="00B70703"/>
    <w:rsid w:val="00B70766"/>
    <w:rsid w:val="00B70802"/>
    <w:rsid w:val="00B70852"/>
    <w:rsid w:val="00B7087E"/>
    <w:rsid w:val="00B7087F"/>
    <w:rsid w:val="00B70994"/>
    <w:rsid w:val="00B70B32"/>
    <w:rsid w:val="00B70E32"/>
    <w:rsid w:val="00B71074"/>
    <w:rsid w:val="00B71409"/>
    <w:rsid w:val="00B71604"/>
    <w:rsid w:val="00B71711"/>
    <w:rsid w:val="00B71773"/>
    <w:rsid w:val="00B71777"/>
    <w:rsid w:val="00B717BC"/>
    <w:rsid w:val="00B71804"/>
    <w:rsid w:val="00B718A1"/>
    <w:rsid w:val="00B718F0"/>
    <w:rsid w:val="00B71918"/>
    <w:rsid w:val="00B7193B"/>
    <w:rsid w:val="00B71AAC"/>
    <w:rsid w:val="00B71DE6"/>
    <w:rsid w:val="00B71EBB"/>
    <w:rsid w:val="00B7205C"/>
    <w:rsid w:val="00B720CE"/>
    <w:rsid w:val="00B7229E"/>
    <w:rsid w:val="00B722DB"/>
    <w:rsid w:val="00B72408"/>
    <w:rsid w:val="00B72460"/>
    <w:rsid w:val="00B72481"/>
    <w:rsid w:val="00B72490"/>
    <w:rsid w:val="00B726B6"/>
    <w:rsid w:val="00B72B71"/>
    <w:rsid w:val="00B72C36"/>
    <w:rsid w:val="00B72E0E"/>
    <w:rsid w:val="00B72E74"/>
    <w:rsid w:val="00B72EA6"/>
    <w:rsid w:val="00B730C6"/>
    <w:rsid w:val="00B730F9"/>
    <w:rsid w:val="00B733D2"/>
    <w:rsid w:val="00B735AB"/>
    <w:rsid w:val="00B73935"/>
    <w:rsid w:val="00B73AAF"/>
    <w:rsid w:val="00B73AF4"/>
    <w:rsid w:val="00B73B25"/>
    <w:rsid w:val="00B73B55"/>
    <w:rsid w:val="00B73D03"/>
    <w:rsid w:val="00B73E3D"/>
    <w:rsid w:val="00B73F27"/>
    <w:rsid w:val="00B73F73"/>
    <w:rsid w:val="00B74044"/>
    <w:rsid w:val="00B740A5"/>
    <w:rsid w:val="00B740C3"/>
    <w:rsid w:val="00B740F9"/>
    <w:rsid w:val="00B743FD"/>
    <w:rsid w:val="00B74438"/>
    <w:rsid w:val="00B74593"/>
    <w:rsid w:val="00B745F3"/>
    <w:rsid w:val="00B7467C"/>
    <w:rsid w:val="00B746C5"/>
    <w:rsid w:val="00B746EB"/>
    <w:rsid w:val="00B74758"/>
    <w:rsid w:val="00B749F2"/>
    <w:rsid w:val="00B74A1A"/>
    <w:rsid w:val="00B74A21"/>
    <w:rsid w:val="00B74C4F"/>
    <w:rsid w:val="00B74C72"/>
    <w:rsid w:val="00B74E4A"/>
    <w:rsid w:val="00B754A0"/>
    <w:rsid w:val="00B75530"/>
    <w:rsid w:val="00B7568E"/>
    <w:rsid w:val="00B7572B"/>
    <w:rsid w:val="00B75869"/>
    <w:rsid w:val="00B7591C"/>
    <w:rsid w:val="00B75B2F"/>
    <w:rsid w:val="00B75D79"/>
    <w:rsid w:val="00B75D8E"/>
    <w:rsid w:val="00B75DCC"/>
    <w:rsid w:val="00B76148"/>
    <w:rsid w:val="00B762BF"/>
    <w:rsid w:val="00B76348"/>
    <w:rsid w:val="00B76526"/>
    <w:rsid w:val="00B76639"/>
    <w:rsid w:val="00B7671D"/>
    <w:rsid w:val="00B768AE"/>
    <w:rsid w:val="00B768AF"/>
    <w:rsid w:val="00B76A8B"/>
    <w:rsid w:val="00B76B3B"/>
    <w:rsid w:val="00B76BA7"/>
    <w:rsid w:val="00B76F25"/>
    <w:rsid w:val="00B76F2C"/>
    <w:rsid w:val="00B76F86"/>
    <w:rsid w:val="00B77018"/>
    <w:rsid w:val="00B77065"/>
    <w:rsid w:val="00B770A7"/>
    <w:rsid w:val="00B7736D"/>
    <w:rsid w:val="00B7739A"/>
    <w:rsid w:val="00B773A4"/>
    <w:rsid w:val="00B7755E"/>
    <w:rsid w:val="00B77601"/>
    <w:rsid w:val="00B77602"/>
    <w:rsid w:val="00B77AE9"/>
    <w:rsid w:val="00B77B0E"/>
    <w:rsid w:val="00B77CA3"/>
    <w:rsid w:val="00B77F08"/>
    <w:rsid w:val="00B77F6C"/>
    <w:rsid w:val="00B77FEC"/>
    <w:rsid w:val="00B8000B"/>
    <w:rsid w:val="00B8014D"/>
    <w:rsid w:val="00B80156"/>
    <w:rsid w:val="00B8024A"/>
    <w:rsid w:val="00B80268"/>
    <w:rsid w:val="00B802A1"/>
    <w:rsid w:val="00B8034D"/>
    <w:rsid w:val="00B80481"/>
    <w:rsid w:val="00B80533"/>
    <w:rsid w:val="00B805E7"/>
    <w:rsid w:val="00B805E8"/>
    <w:rsid w:val="00B807B3"/>
    <w:rsid w:val="00B808AB"/>
    <w:rsid w:val="00B8095A"/>
    <w:rsid w:val="00B80B1A"/>
    <w:rsid w:val="00B80B60"/>
    <w:rsid w:val="00B80B76"/>
    <w:rsid w:val="00B80BE2"/>
    <w:rsid w:val="00B80CEB"/>
    <w:rsid w:val="00B8104F"/>
    <w:rsid w:val="00B810F3"/>
    <w:rsid w:val="00B8133B"/>
    <w:rsid w:val="00B81356"/>
    <w:rsid w:val="00B81476"/>
    <w:rsid w:val="00B81487"/>
    <w:rsid w:val="00B815B9"/>
    <w:rsid w:val="00B815D5"/>
    <w:rsid w:val="00B81629"/>
    <w:rsid w:val="00B816CC"/>
    <w:rsid w:val="00B81761"/>
    <w:rsid w:val="00B81959"/>
    <w:rsid w:val="00B8196B"/>
    <w:rsid w:val="00B81971"/>
    <w:rsid w:val="00B81C01"/>
    <w:rsid w:val="00B81E22"/>
    <w:rsid w:val="00B81EB4"/>
    <w:rsid w:val="00B81EBE"/>
    <w:rsid w:val="00B81F2D"/>
    <w:rsid w:val="00B81F82"/>
    <w:rsid w:val="00B82040"/>
    <w:rsid w:val="00B82048"/>
    <w:rsid w:val="00B82231"/>
    <w:rsid w:val="00B822A3"/>
    <w:rsid w:val="00B8230F"/>
    <w:rsid w:val="00B823FA"/>
    <w:rsid w:val="00B824EC"/>
    <w:rsid w:val="00B82787"/>
    <w:rsid w:val="00B828CB"/>
    <w:rsid w:val="00B828F2"/>
    <w:rsid w:val="00B82BCC"/>
    <w:rsid w:val="00B82C68"/>
    <w:rsid w:val="00B82EC1"/>
    <w:rsid w:val="00B83120"/>
    <w:rsid w:val="00B831BB"/>
    <w:rsid w:val="00B83257"/>
    <w:rsid w:val="00B83421"/>
    <w:rsid w:val="00B837C2"/>
    <w:rsid w:val="00B837C9"/>
    <w:rsid w:val="00B838F9"/>
    <w:rsid w:val="00B83BD2"/>
    <w:rsid w:val="00B83E82"/>
    <w:rsid w:val="00B83EC4"/>
    <w:rsid w:val="00B84011"/>
    <w:rsid w:val="00B84055"/>
    <w:rsid w:val="00B840B4"/>
    <w:rsid w:val="00B8413E"/>
    <w:rsid w:val="00B8428D"/>
    <w:rsid w:val="00B842D4"/>
    <w:rsid w:val="00B84423"/>
    <w:rsid w:val="00B8450B"/>
    <w:rsid w:val="00B84613"/>
    <w:rsid w:val="00B8482D"/>
    <w:rsid w:val="00B84AC6"/>
    <w:rsid w:val="00B84B71"/>
    <w:rsid w:val="00B84C41"/>
    <w:rsid w:val="00B84D2A"/>
    <w:rsid w:val="00B84FA1"/>
    <w:rsid w:val="00B84FA5"/>
    <w:rsid w:val="00B85281"/>
    <w:rsid w:val="00B85348"/>
    <w:rsid w:val="00B85386"/>
    <w:rsid w:val="00B85457"/>
    <w:rsid w:val="00B854C6"/>
    <w:rsid w:val="00B8565E"/>
    <w:rsid w:val="00B8586D"/>
    <w:rsid w:val="00B8586E"/>
    <w:rsid w:val="00B8590E"/>
    <w:rsid w:val="00B859DB"/>
    <w:rsid w:val="00B859F1"/>
    <w:rsid w:val="00B85B74"/>
    <w:rsid w:val="00B85D07"/>
    <w:rsid w:val="00B85E83"/>
    <w:rsid w:val="00B85F36"/>
    <w:rsid w:val="00B85FB8"/>
    <w:rsid w:val="00B85FC3"/>
    <w:rsid w:val="00B860C3"/>
    <w:rsid w:val="00B8611B"/>
    <w:rsid w:val="00B8614E"/>
    <w:rsid w:val="00B86381"/>
    <w:rsid w:val="00B86742"/>
    <w:rsid w:val="00B86756"/>
    <w:rsid w:val="00B86801"/>
    <w:rsid w:val="00B869C3"/>
    <w:rsid w:val="00B86A48"/>
    <w:rsid w:val="00B86B71"/>
    <w:rsid w:val="00B86D57"/>
    <w:rsid w:val="00B86D5A"/>
    <w:rsid w:val="00B8711B"/>
    <w:rsid w:val="00B871E8"/>
    <w:rsid w:val="00B872B5"/>
    <w:rsid w:val="00B874B3"/>
    <w:rsid w:val="00B874CB"/>
    <w:rsid w:val="00B875A3"/>
    <w:rsid w:val="00B87850"/>
    <w:rsid w:val="00B87934"/>
    <w:rsid w:val="00B87BAE"/>
    <w:rsid w:val="00B87C37"/>
    <w:rsid w:val="00B87CCC"/>
    <w:rsid w:val="00B87DE5"/>
    <w:rsid w:val="00B87E71"/>
    <w:rsid w:val="00B87FBF"/>
    <w:rsid w:val="00B90119"/>
    <w:rsid w:val="00B9017A"/>
    <w:rsid w:val="00B901E3"/>
    <w:rsid w:val="00B90203"/>
    <w:rsid w:val="00B90315"/>
    <w:rsid w:val="00B90323"/>
    <w:rsid w:val="00B903E3"/>
    <w:rsid w:val="00B90590"/>
    <w:rsid w:val="00B906E2"/>
    <w:rsid w:val="00B907C0"/>
    <w:rsid w:val="00B909E0"/>
    <w:rsid w:val="00B90A2A"/>
    <w:rsid w:val="00B90BB2"/>
    <w:rsid w:val="00B90C01"/>
    <w:rsid w:val="00B90C73"/>
    <w:rsid w:val="00B90D80"/>
    <w:rsid w:val="00B90D9C"/>
    <w:rsid w:val="00B90EED"/>
    <w:rsid w:val="00B913BF"/>
    <w:rsid w:val="00B913C9"/>
    <w:rsid w:val="00B91566"/>
    <w:rsid w:val="00B919D6"/>
    <w:rsid w:val="00B91A26"/>
    <w:rsid w:val="00B91B07"/>
    <w:rsid w:val="00B91C3F"/>
    <w:rsid w:val="00B92069"/>
    <w:rsid w:val="00B920FC"/>
    <w:rsid w:val="00B92145"/>
    <w:rsid w:val="00B92213"/>
    <w:rsid w:val="00B9246F"/>
    <w:rsid w:val="00B9268E"/>
    <w:rsid w:val="00B927CD"/>
    <w:rsid w:val="00B92942"/>
    <w:rsid w:val="00B92998"/>
    <w:rsid w:val="00B929FD"/>
    <w:rsid w:val="00B92B6D"/>
    <w:rsid w:val="00B92C0D"/>
    <w:rsid w:val="00B92CF6"/>
    <w:rsid w:val="00B92F9C"/>
    <w:rsid w:val="00B9313A"/>
    <w:rsid w:val="00B93221"/>
    <w:rsid w:val="00B93228"/>
    <w:rsid w:val="00B932B5"/>
    <w:rsid w:val="00B932C6"/>
    <w:rsid w:val="00B9338A"/>
    <w:rsid w:val="00B934B6"/>
    <w:rsid w:val="00B93588"/>
    <w:rsid w:val="00B93698"/>
    <w:rsid w:val="00B936A1"/>
    <w:rsid w:val="00B9370F"/>
    <w:rsid w:val="00B93767"/>
    <w:rsid w:val="00B937E3"/>
    <w:rsid w:val="00B93857"/>
    <w:rsid w:val="00B93B00"/>
    <w:rsid w:val="00B93DCC"/>
    <w:rsid w:val="00B9409B"/>
    <w:rsid w:val="00B941AF"/>
    <w:rsid w:val="00B941E9"/>
    <w:rsid w:val="00B94394"/>
    <w:rsid w:val="00B9439B"/>
    <w:rsid w:val="00B943C4"/>
    <w:rsid w:val="00B94542"/>
    <w:rsid w:val="00B945A9"/>
    <w:rsid w:val="00B94719"/>
    <w:rsid w:val="00B94A3D"/>
    <w:rsid w:val="00B94A8D"/>
    <w:rsid w:val="00B94C06"/>
    <w:rsid w:val="00B94C98"/>
    <w:rsid w:val="00B94D79"/>
    <w:rsid w:val="00B94D95"/>
    <w:rsid w:val="00B94EAC"/>
    <w:rsid w:val="00B95088"/>
    <w:rsid w:val="00B951D3"/>
    <w:rsid w:val="00B952D8"/>
    <w:rsid w:val="00B95397"/>
    <w:rsid w:val="00B955DA"/>
    <w:rsid w:val="00B95708"/>
    <w:rsid w:val="00B95829"/>
    <w:rsid w:val="00B958C2"/>
    <w:rsid w:val="00B95C49"/>
    <w:rsid w:val="00B96195"/>
    <w:rsid w:val="00B961EE"/>
    <w:rsid w:val="00B9655E"/>
    <w:rsid w:val="00B968C8"/>
    <w:rsid w:val="00B969DB"/>
    <w:rsid w:val="00B969DD"/>
    <w:rsid w:val="00B96B40"/>
    <w:rsid w:val="00B96BB4"/>
    <w:rsid w:val="00B96D99"/>
    <w:rsid w:val="00B96DC9"/>
    <w:rsid w:val="00B96E0B"/>
    <w:rsid w:val="00B96EBA"/>
    <w:rsid w:val="00B96EF2"/>
    <w:rsid w:val="00B9703A"/>
    <w:rsid w:val="00B9709E"/>
    <w:rsid w:val="00B971F7"/>
    <w:rsid w:val="00B9742B"/>
    <w:rsid w:val="00B9742D"/>
    <w:rsid w:val="00B9747C"/>
    <w:rsid w:val="00B97811"/>
    <w:rsid w:val="00BA0060"/>
    <w:rsid w:val="00BA00A0"/>
    <w:rsid w:val="00BA040A"/>
    <w:rsid w:val="00BA04D7"/>
    <w:rsid w:val="00BA04DB"/>
    <w:rsid w:val="00BA052C"/>
    <w:rsid w:val="00BA065B"/>
    <w:rsid w:val="00BA0695"/>
    <w:rsid w:val="00BA07B2"/>
    <w:rsid w:val="00BA08E1"/>
    <w:rsid w:val="00BA096E"/>
    <w:rsid w:val="00BA0B0D"/>
    <w:rsid w:val="00BA0B1C"/>
    <w:rsid w:val="00BA0B30"/>
    <w:rsid w:val="00BA0B5D"/>
    <w:rsid w:val="00BA0B84"/>
    <w:rsid w:val="00BA0C98"/>
    <w:rsid w:val="00BA0D1B"/>
    <w:rsid w:val="00BA0D63"/>
    <w:rsid w:val="00BA0D6B"/>
    <w:rsid w:val="00BA102F"/>
    <w:rsid w:val="00BA1036"/>
    <w:rsid w:val="00BA1096"/>
    <w:rsid w:val="00BA134D"/>
    <w:rsid w:val="00BA1458"/>
    <w:rsid w:val="00BA15BC"/>
    <w:rsid w:val="00BA1672"/>
    <w:rsid w:val="00BA16AF"/>
    <w:rsid w:val="00BA17DB"/>
    <w:rsid w:val="00BA19CA"/>
    <w:rsid w:val="00BA1AAF"/>
    <w:rsid w:val="00BA1E6A"/>
    <w:rsid w:val="00BA2055"/>
    <w:rsid w:val="00BA20B2"/>
    <w:rsid w:val="00BA23E9"/>
    <w:rsid w:val="00BA2441"/>
    <w:rsid w:val="00BA25BA"/>
    <w:rsid w:val="00BA2798"/>
    <w:rsid w:val="00BA27C0"/>
    <w:rsid w:val="00BA2830"/>
    <w:rsid w:val="00BA2A44"/>
    <w:rsid w:val="00BA2ADD"/>
    <w:rsid w:val="00BA2B3C"/>
    <w:rsid w:val="00BA2E41"/>
    <w:rsid w:val="00BA2ED7"/>
    <w:rsid w:val="00BA2F2F"/>
    <w:rsid w:val="00BA30DD"/>
    <w:rsid w:val="00BA326D"/>
    <w:rsid w:val="00BA3284"/>
    <w:rsid w:val="00BA3381"/>
    <w:rsid w:val="00BA34C3"/>
    <w:rsid w:val="00BA35F9"/>
    <w:rsid w:val="00BA36DE"/>
    <w:rsid w:val="00BA377D"/>
    <w:rsid w:val="00BA3830"/>
    <w:rsid w:val="00BA39C1"/>
    <w:rsid w:val="00BA3BA7"/>
    <w:rsid w:val="00BA3C5D"/>
    <w:rsid w:val="00BA4068"/>
    <w:rsid w:val="00BA4206"/>
    <w:rsid w:val="00BA429C"/>
    <w:rsid w:val="00BA44C3"/>
    <w:rsid w:val="00BA464B"/>
    <w:rsid w:val="00BA47C6"/>
    <w:rsid w:val="00BA48BF"/>
    <w:rsid w:val="00BA48E7"/>
    <w:rsid w:val="00BA495D"/>
    <w:rsid w:val="00BA49EC"/>
    <w:rsid w:val="00BA49FD"/>
    <w:rsid w:val="00BA4A63"/>
    <w:rsid w:val="00BA4C54"/>
    <w:rsid w:val="00BA4D22"/>
    <w:rsid w:val="00BA4D64"/>
    <w:rsid w:val="00BA4F63"/>
    <w:rsid w:val="00BA4F69"/>
    <w:rsid w:val="00BA4F6F"/>
    <w:rsid w:val="00BA5084"/>
    <w:rsid w:val="00BA54CD"/>
    <w:rsid w:val="00BA550D"/>
    <w:rsid w:val="00BA5988"/>
    <w:rsid w:val="00BA5AED"/>
    <w:rsid w:val="00BA5E2F"/>
    <w:rsid w:val="00BA5F7F"/>
    <w:rsid w:val="00BA625D"/>
    <w:rsid w:val="00BA626C"/>
    <w:rsid w:val="00BA6326"/>
    <w:rsid w:val="00BA63C1"/>
    <w:rsid w:val="00BA66FF"/>
    <w:rsid w:val="00BA6ACD"/>
    <w:rsid w:val="00BA6B76"/>
    <w:rsid w:val="00BA6F56"/>
    <w:rsid w:val="00BA7153"/>
    <w:rsid w:val="00BA73E6"/>
    <w:rsid w:val="00BA74BB"/>
    <w:rsid w:val="00BA764F"/>
    <w:rsid w:val="00BA7669"/>
    <w:rsid w:val="00BA76A9"/>
    <w:rsid w:val="00BA76DD"/>
    <w:rsid w:val="00BA7883"/>
    <w:rsid w:val="00BA78DB"/>
    <w:rsid w:val="00BA7BA0"/>
    <w:rsid w:val="00BA7C0A"/>
    <w:rsid w:val="00BA7C60"/>
    <w:rsid w:val="00BA7C6C"/>
    <w:rsid w:val="00BB002C"/>
    <w:rsid w:val="00BB005A"/>
    <w:rsid w:val="00BB0228"/>
    <w:rsid w:val="00BB03A6"/>
    <w:rsid w:val="00BB03CF"/>
    <w:rsid w:val="00BB0722"/>
    <w:rsid w:val="00BB07F5"/>
    <w:rsid w:val="00BB09E1"/>
    <w:rsid w:val="00BB0A60"/>
    <w:rsid w:val="00BB0A64"/>
    <w:rsid w:val="00BB0A74"/>
    <w:rsid w:val="00BB0B18"/>
    <w:rsid w:val="00BB0C21"/>
    <w:rsid w:val="00BB0E69"/>
    <w:rsid w:val="00BB0E83"/>
    <w:rsid w:val="00BB1314"/>
    <w:rsid w:val="00BB1381"/>
    <w:rsid w:val="00BB13AC"/>
    <w:rsid w:val="00BB1571"/>
    <w:rsid w:val="00BB161F"/>
    <w:rsid w:val="00BB1689"/>
    <w:rsid w:val="00BB1868"/>
    <w:rsid w:val="00BB1883"/>
    <w:rsid w:val="00BB1D6C"/>
    <w:rsid w:val="00BB1E38"/>
    <w:rsid w:val="00BB1F98"/>
    <w:rsid w:val="00BB1FB2"/>
    <w:rsid w:val="00BB1FDB"/>
    <w:rsid w:val="00BB201C"/>
    <w:rsid w:val="00BB20D2"/>
    <w:rsid w:val="00BB20E4"/>
    <w:rsid w:val="00BB21D7"/>
    <w:rsid w:val="00BB2391"/>
    <w:rsid w:val="00BB23C2"/>
    <w:rsid w:val="00BB248E"/>
    <w:rsid w:val="00BB254D"/>
    <w:rsid w:val="00BB29F5"/>
    <w:rsid w:val="00BB2AAB"/>
    <w:rsid w:val="00BB2C2A"/>
    <w:rsid w:val="00BB2CD2"/>
    <w:rsid w:val="00BB2D7A"/>
    <w:rsid w:val="00BB3304"/>
    <w:rsid w:val="00BB3371"/>
    <w:rsid w:val="00BB3459"/>
    <w:rsid w:val="00BB34D5"/>
    <w:rsid w:val="00BB36E6"/>
    <w:rsid w:val="00BB3803"/>
    <w:rsid w:val="00BB38A4"/>
    <w:rsid w:val="00BB3B2E"/>
    <w:rsid w:val="00BB3CC3"/>
    <w:rsid w:val="00BB3CE3"/>
    <w:rsid w:val="00BB3D0F"/>
    <w:rsid w:val="00BB4026"/>
    <w:rsid w:val="00BB4114"/>
    <w:rsid w:val="00BB422F"/>
    <w:rsid w:val="00BB42C6"/>
    <w:rsid w:val="00BB4575"/>
    <w:rsid w:val="00BB4620"/>
    <w:rsid w:val="00BB4728"/>
    <w:rsid w:val="00BB4815"/>
    <w:rsid w:val="00BB496D"/>
    <w:rsid w:val="00BB4C98"/>
    <w:rsid w:val="00BB4DC2"/>
    <w:rsid w:val="00BB4FBF"/>
    <w:rsid w:val="00BB4FE3"/>
    <w:rsid w:val="00BB50BD"/>
    <w:rsid w:val="00BB511F"/>
    <w:rsid w:val="00BB5163"/>
    <w:rsid w:val="00BB5166"/>
    <w:rsid w:val="00BB5331"/>
    <w:rsid w:val="00BB53E0"/>
    <w:rsid w:val="00BB53F3"/>
    <w:rsid w:val="00BB54D8"/>
    <w:rsid w:val="00BB563C"/>
    <w:rsid w:val="00BB574C"/>
    <w:rsid w:val="00BB579C"/>
    <w:rsid w:val="00BB58B3"/>
    <w:rsid w:val="00BB5A9E"/>
    <w:rsid w:val="00BB5C79"/>
    <w:rsid w:val="00BB6012"/>
    <w:rsid w:val="00BB61B9"/>
    <w:rsid w:val="00BB625E"/>
    <w:rsid w:val="00BB67A8"/>
    <w:rsid w:val="00BB67AB"/>
    <w:rsid w:val="00BB68DB"/>
    <w:rsid w:val="00BB6A96"/>
    <w:rsid w:val="00BB6C04"/>
    <w:rsid w:val="00BB6CF5"/>
    <w:rsid w:val="00BB6DFF"/>
    <w:rsid w:val="00BB6E2B"/>
    <w:rsid w:val="00BB6E58"/>
    <w:rsid w:val="00BB6E5F"/>
    <w:rsid w:val="00BB73B3"/>
    <w:rsid w:val="00BB73DA"/>
    <w:rsid w:val="00BB75A1"/>
    <w:rsid w:val="00BB7609"/>
    <w:rsid w:val="00BB773C"/>
    <w:rsid w:val="00BB77C4"/>
    <w:rsid w:val="00BB7C1E"/>
    <w:rsid w:val="00BB7E5D"/>
    <w:rsid w:val="00BB7F74"/>
    <w:rsid w:val="00BC007E"/>
    <w:rsid w:val="00BC0201"/>
    <w:rsid w:val="00BC025D"/>
    <w:rsid w:val="00BC02D3"/>
    <w:rsid w:val="00BC031B"/>
    <w:rsid w:val="00BC042F"/>
    <w:rsid w:val="00BC04B0"/>
    <w:rsid w:val="00BC06DF"/>
    <w:rsid w:val="00BC06F9"/>
    <w:rsid w:val="00BC07A7"/>
    <w:rsid w:val="00BC0892"/>
    <w:rsid w:val="00BC08F1"/>
    <w:rsid w:val="00BC0AC8"/>
    <w:rsid w:val="00BC0D17"/>
    <w:rsid w:val="00BC0FBE"/>
    <w:rsid w:val="00BC104E"/>
    <w:rsid w:val="00BC19F9"/>
    <w:rsid w:val="00BC1A5F"/>
    <w:rsid w:val="00BC1B51"/>
    <w:rsid w:val="00BC1BAE"/>
    <w:rsid w:val="00BC1CF2"/>
    <w:rsid w:val="00BC1D3A"/>
    <w:rsid w:val="00BC1D62"/>
    <w:rsid w:val="00BC1F20"/>
    <w:rsid w:val="00BC1F61"/>
    <w:rsid w:val="00BC1F8F"/>
    <w:rsid w:val="00BC20C0"/>
    <w:rsid w:val="00BC2155"/>
    <w:rsid w:val="00BC231B"/>
    <w:rsid w:val="00BC2389"/>
    <w:rsid w:val="00BC2559"/>
    <w:rsid w:val="00BC2710"/>
    <w:rsid w:val="00BC28B9"/>
    <w:rsid w:val="00BC2981"/>
    <w:rsid w:val="00BC2A7C"/>
    <w:rsid w:val="00BC2B05"/>
    <w:rsid w:val="00BC2BCB"/>
    <w:rsid w:val="00BC2BF3"/>
    <w:rsid w:val="00BC2C0C"/>
    <w:rsid w:val="00BC2DF7"/>
    <w:rsid w:val="00BC2E56"/>
    <w:rsid w:val="00BC306E"/>
    <w:rsid w:val="00BC3464"/>
    <w:rsid w:val="00BC3502"/>
    <w:rsid w:val="00BC359D"/>
    <w:rsid w:val="00BC35A7"/>
    <w:rsid w:val="00BC3678"/>
    <w:rsid w:val="00BC36DD"/>
    <w:rsid w:val="00BC3738"/>
    <w:rsid w:val="00BC3748"/>
    <w:rsid w:val="00BC37D9"/>
    <w:rsid w:val="00BC38E4"/>
    <w:rsid w:val="00BC398F"/>
    <w:rsid w:val="00BC3A45"/>
    <w:rsid w:val="00BC3A8B"/>
    <w:rsid w:val="00BC3B68"/>
    <w:rsid w:val="00BC3D17"/>
    <w:rsid w:val="00BC3D1E"/>
    <w:rsid w:val="00BC3EFE"/>
    <w:rsid w:val="00BC3F36"/>
    <w:rsid w:val="00BC4097"/>
    <w:rsid w:val="00BC412A"/>
    <w:rsid w:val="00BC44FD"/>
    <w:rsid w:val="00BC4677"/>
    <w:rsid w:val="00BC4DE8"/>
    <w:rsid w:val="00BC4EFF"/>
    <w:rsid w:val="00BC4F05"/>
    <w:rsid w:val="00BC5094"/>
    <w:rsid w:val="00BC5100"/>
    <w:rsid w:val="00BC51C3"/>
    <w:rsid w:val="00BC51F2"/>
    <w:rsid w:val="00BC5229"/>
    <w:rsid w:val="00BC523C"/>
    <w:rsid w:val="00BC52D6"/>
    <w:rsid w:val="00BC54DE"/>
    <w:rsid w:val="00BC566B"/>
    <w:rsid w:val="00BC57C9"/>
    <w:rsid w:val="00BC5813"/>
    <w:rsid w:val="00BC5CDE"/>
    <w:rsid w:val="00BC5DC3"/>
    <w:rsid w:val="00BC60E2"/>
    <w:rsid w:val="00BC6280"/>
    <w:rsid w:val="00BC6354"/>
    <w:rsid w:val="00BC63E6"/>
    <w:rsid w:val="00BC640A"/>
    <w:rsid w:val="00BC6445"/>
    <w:rsid w:val="00BC64E1"/>
    <w:rsid w:val="00BC6821"/>
    <w:rsid w:val="00BC691C"/>
    <w:rsid w:val="00BC69E3"/>
    <w:rsid w:val="00BC69F8"/>
    <w:rsid w:val="00BC6A88"/>
    <w:rsid w:val="00BC6FAE"/>
    <w:rsid w:val="00BC6FC9"/>
    <w:rsid w:val="00BC7069"/>
    <w:rsid w:val="00BC7264"/>
    <w:rsid w:val="00BC74E7"/>
    <w:rsid w:val="00BC75F6"/>
    <w:rsid w:val="00BC768F"/>
    <w:rsid w:val="00BC76D6"/>
    <w:rsid w:val="00BC76DF"/>
    <w:rsid w:val="00BC788E"/>
    <w:rsid w:val="00BC7A99"/>
    <w:rsid w:val="00BC7D8D"/>
    <w:rsid w:val="00BC7EAB"/>
    <w:rsid w:val="00BC7EDF"/>
    <w:rsid w:val="00BD00BF"/>
    <w:rsid w:val="00BD026A"/>
    <w:rsid w:val="00BD032E"/>
    <w:rsid w:val="00BD04D6"/>
    <w:rsid w:val="00BD078B"/>
    <w:rsid w:val="00BD081E"/>
    <w:rsid w:val="00BD0866"/>
    <w:rsid w:val="00BD09B2"/>
    <w:rsid w:val="00BD0A07"/>
    <w:rsid w:val="00BD0C21"/>
    <w:rsid w:val="00BD0C4A"/>
    <w:rsid w:val="00BD0D2D"/>
    <w:rsid w:val="00BD106D"/>
    <w:rsid w:val="00BD1092"/>
    <w:rsid w:val="00BD11F5"/>
    <w:rsid w:val="00BD15F5"/>
    <w:rsid w:val="00BD174D"/>
    <w:rsid w:val="00BD1989"/>
    <w:rsid w:val="00BD19D9"/>
    <w:rsid w:val="00BD1A24"/>
    <w:rsid w:val="00BD1A37"/>
    <w:rsid w:val="00BD1A9A"/>
    <w:rsid w:val="00BD1C26"/>
    <w:rsid w:val="00BD1E4E"/>
    <w:rsid w:val="00BD1EF4"/>
    <w:rsid w:val="00BD1EF8"/>
    <w:rsid w:val="00BD1F76"/>
    <w:rsid w:val="00BD2248"/>
    <w:rsid w:val="00BD224D"/>
    <w:rsid w:val="00BD2366"/>
    <w:rsid w:val="00BD2383"/>
    <w:rsid w:val="00BD23EF"/>
    <w:rsid w:val="00BD240C"/>
    <w:rsid w:val="00BD246C"/>
    <w:rsid w:val="00BD2567"/>
    <w:rsid w:val="00BD25C2"/>
    <w:rsid w:val="00BD2858"/>
    <w:rsid w:val="00BD2A9B"/>
    <w:rsid w:val="00BD2B7B"/>
    <w:rsid w:val="00BD2C09"/>
    <w:rsid w:val="00BD2C5F"/>
    <w:rsid w:val="00BD2ED2"/>
    <w:rsid w:val="00BD31CA"/>
    <w:rsid w:val="00BD344B"/>
    <w:rsid w:val="00BD34AE"/>
    <w:rsid w:val="00BD351C"/>
    <w:rsid w:val="00BD3668"/>
    <w:rsid w:val="00BD3810"/>
    <w:rsid w:val="00BD384B"/>
    <w:rsid w:val="00BD3909"/>
    <w:rsid w:val="00BD3A0B"/>
    <w:rsid w:val="00BD3B9F"/>
    <w:rsid w:val="00BD3CB4"/>
    <w:rsid w:val="00BD3E09"/>
    <w:rsid w:val="00BD3E0B"/>
    <w:rsid w:val="00BD419D"/>
    <w:rsid w:val="00BD41A9"/>
    <w:rsid w:val="00BD42D2"/>
    <w:rsid w:val="00BD43D6"/>
    <w:rsid w:val="00BD44DE"/>
    <w:rsid w:val="00BD4538"/>
    <w:rsid w:val="00BD4685"/>
    <w:rsid w:val="00BD46F2"/>
    <w:rsid w:val="00BD47B8"/>
    <w:rsid w:val="00BD4825"/>
    <w:rsid w:val="00BD4D08"/>
    <w:rsid w:val="00BD4D68"/>
    <w:rsid w:val="00BD4DF8"/>
    <w:rsid w:val="00BD4F7D"/>
    <w:rsid w:val="00BD5055"/>
    <w:rsid w:val="00BD5080"/>
    <w:rsid w:val="00BD52BA"/>
    <w:rsid w:val="00BD52BC"/>
    <w:rsid w:val="00BD544E"/>
    <w:rsid w:val="00BD5465"/>
    <w:rsid w:val="00BD58E5"/>
    <w:rsid w:val="00BD599B"/>
    <w:rsid w:val="00BD59F8"/>
    <w:rsid w:val="00BD5B1B"/>
    <w:rsid w:val="00BD5CC8"/>
    <w:rsid w:val="00BD5E37"/>
    <w:rsid w:val="00BD61C4"/>
    <w:rsid w:val="00BD62AC"/>
    <w:rsid w:val="00BD62CE"/>
    <w:rsid w:val="00BD648C"/>
    <w:rsid w:val="00BD65B3"/>
    <w:rsid w:val="00BD65E8"/>
    <w:rsid w:val="00BD66E3"/>
    <w:rsid w:val="00BD68B8"/>
    <w:rsid w:val="00BD698B"/>
    <w:rsid w:val="00BD6BC4"/>
    <w:rsid w:val="00BD6BD0"/>
    <w:rsid w:val="00BD6C0D"/>
    <w:rsid w:val="00BD6D52"/>
    <w:rsid w:val="00BD705C"/>
    <w:rsid w:val="00BD71F6"/>
    <w:rsid w:val="00BD7220"/>
    <w:rsid w:val="00BD748E"/>
    <w:rsid w:val="00BD7649"/>
    <w:rsid w:val="00BD7666"/>
    <w:rsid w:val="00BD76BC"/>
    <w:rsid w:val="00BD77A2"/>
    <w:rsid w:val="00BD7A5D"/>
    <w:rsid w:val="00BD7B7E"/>
    <w:rsid w:val="00BD7BAC"/>
    <w:rsid w:val="00BD7BE6"/>
    <w:rsid w:val="00BD7D39"/>
    <w:rsid w:val="00BD7DD4"/>
    <w:rsid w:val="00BD7E8D"/>
    <w:rsid w:val="00BD7F4E"/>
    <w:rsid w:val="00BD7F5C"/>
    <w:rsid w:val="00BD7F70"/>
    <w:rsid w:val="00BD7FA0"/>
    <w:rsid w:val="00BD7FC6"/>
    <w:rsid w:val="00BE00B7"/>
    <w:rsid w:val="00BE0241"/>
    <w:rsid w:val="00BE0305"/>
    <w:rsid w:val="00BE0382"/>
    <w:rsid w:val="00BE03AB"/>
    <w:rsid w:val="00BE03B0"/>
    <w:rsid w:val="00BE03CD"/>
    <w:rsid w:val="00BE0412"/>
    <w:rsid w:val="00BE0593"/>
    <w:rsid w:val="00BE06D2"/>
    <w:rsid w:val="00BE06D7"/>
    <w:rsid w:val="00BE08ED"/>
    <w:rsid w:val="00BE0A9C"/>
    <w:rsid w:val="00BE0AB0"/>
    <w:rsid w:val="00BE0C66"/>
    <w:rsid w:val="00BE0D62"/>
    <w:rsid w:val="00BE0D97"/>
    <w:rsid w:val="00BE0DF1"/>
    <w:rsid w:val="00BE0E73"/>
    <w:rsid w:val="00BE0F14"/>
    <w:rsid w:val="00BE0F2E"/>
    <w:rsid w:val="00BE118C"/>
    <w:rsid w:val="00BE1280"/>
    <w:rsid w:val="00BE13E5"/>
    <w:rsid w:val="00BE13F4"/>
    <w:rsid w:val="00BE1879"/>
    <w:rsid w:val="00BE18E4"/>
    <w:rsid w:val="00BE1A86"/>
    <w:rsid w:val="00BE1A9E"/>
    <w:rsid w:val="00BE1B85"/>
    <w:rsid w:val="00BE1CDD"/>
    <w:rsid w:val="00BE1D62"/>
    <w:rsid w:val="00BE1E43"/>
    <w:rsid w:val="00BE1ECB"/>
    <w:rsid w:val="00BE225D"/>
    <w:rsid w:val="00BE2317"/>
    <w:rsid w:val="00BE2356"/>
    <w:rsid w:val="00BE24B9"/>
    <w:rsid w:val="00BE251F"/>
    <w:rsid w:val="00BE2586"/>
    <w:rsid w:val="00BE2601"/>
    <w:rsid w:val="00BE2627"/>
    <w:rsid w:val="00BE2642"/>
    <w:rsid w:val="00BE26C3"/>
    <w:rsid w:val="00BE2923"/>
    <w:rsid w:val="00BE2924"/>
    <w:rsid w:val="00BE2BA4"/>
    <w:rsid w:val="00BE2C0C"/>
    <w:rsid w:val="00BE2D1F"/>
    <w:rsid w:val="00BE2D6A"/>
    <w:rsid w:val="00BE2DDD"/>
    <w:rsid w:val="00BE2DE1"/>
    <w:rsid w:val="00BE2E61"/>
    <w:rsid w:val="00BE2F6F"/>
    <w:rsid w:val="00BE2F78"/>
    <w:rsid w:val="00BE3279"/>
    <w:rsid w:val="00BE32CE"/>
    <w:rsid w:val="00BE337F"/>
    <w:rsid w:val="00BE3520"/>
    <w:rsid w:val="00BE3733"/>
    <w:rsid w:val="00BE3A15"/>
    <w:rsid w:val="00BE3E22"/>
    <w:rsid w:val="00BE3F14"/>
    <w:rsid w:val="00BE4115"/>
    <w:rsid w:val="00BE412D"/>
    <w:rsid w:val="00BE416A"/>
    <w:rsid w:val="00BE4323"/>
    <w:rsid w:val="00BE43C6"/>
    <w:rsid w:val="00BE448E"/>
    <w:rsid w:val="00BE44AD"/>
    <w:rsid w:val="00BE460E"/>
    <w:rsid w:val="00BE4617"/>
    <w:rsid w:val="00BE46AB"/>
    <w:rsid w:val="00BE46DE"/>
    <w:rsid w:val="00BE47A1"/>
    <w:rsid w:val="00BE49B6"/>
    <w:rsid w:val="00BE49F7"/>
    <w:rsid w:val="00BE4AA8"/>
    <w:rsid w:val="00BE4AF8"/>
    <w:rsid w:val="00BE4B39"/>
    <w:rsid w:val="00BE4C5F"/>
    <w:rsid w:val="00BE4E0C"/>
    <w:rsid w:val="00BE5317"/>
    <w:rsid w:val="00BE5464"/>
    <w:rsid w:val="00BE55E4"/>
    <w:rsid w:val="00BE56BD"/>
    <w:rsid w:val="00BE5751"/>
    <w:rsid w:val="00BE5B02"/>
    <w:rsid w:val="00BE5C24"/>
    <w:rsid w:val="00BE5EB8"/>
    <w:rsid w:val="00BE5F32"/>
    <w:rsid w:val="00BE5FB7"/>
    <w:rsid w:val="00BE5FE9"/>
    <w:rsid w:val="00BE60FA"/>
    <w:rsid w:val="00BE6148"/>
    <w:rsid w:val="00BE62A3"/>
    <w:rsid w:val="00BE62D0"/>
    <w:rsid w:val="00BE6557"/>
    <w:rsid w:val="00BE65D1"/>
    <w:rsid w:val="00BE660F"/>
    <w:rsid w:val="00BE669D"/>
    <w:rsid w:val="00BE680C"/>
    <w:rsid w:val="00BE680D"/>
    <w:rsid w:val="00BE6A2C"/>
    <w:rsid w:val="00BE6EC8"/>
    <w:rsid w:val="00BE70B9"/>
    <w:rsid w:val="00BE734D"/>
    <w:rsid w:val="00BE73B9"/>
    <w:rsid w:val="00BE7454"/>
    <w:rsid w:val="00BE77F3"/>
    <w:rsid w:val="00BE7863"/>
    <w:rsid w:val="00BE78C8"/>
    <w:rsid w:val="00BE792D"/>
    <w:rsid w:val="00BE7AD8"/>
    <w:rsid w:val="00BE7D98"/>
    <w:rsid w:val="00BE7E1F"/>
    <w:rsid w:val="00BE7F64"/>
    <w:rsid w:val="00BE7FD4"/>
    <w:rsid w:val="00BF0026"/>
    <w:rsid w:val="00BF0071"/>
    <w:rsid w:val="00BF008D"/>
    <w:rsid w:val="00BF05A5"/>
    <w:rsid w:val="00BF05A6"/>
    <w:rsid w:val="00BF068B"/>
    <w:rsid w:val="00BF0706"/>
    <w:rsid w:val="00BF073C"/>
    <w:rsid w:val="00BF07C4"/>
    <w:rsid w:val="00BF086E"/>
    <w:rsid w:val="00BF09F6"/>
    <w:rsid w:val="00BF0A4F"/>
    <w:rsid w:val="00BF113E"/>
    <w:rsid w:val="00BF11BC"/>
    <w:rsid w:val="00BF11F7"/>
    <w:rsid w:val="00BF125E"/>
    <w:rsid w:val="00BF135B"/>
    <w:rsid w:val="00BF15C7"/>
    <w:rsid w:val="00BF16BE"/>
    <w:rsid w:val="00BF1878"/>
    <w:rsid w:val="00BF1B6B"/>
    <w:rsid w:val="00BF1B75"/>
    <w:rsid w:val="00BF1CC0"/>
    <w:rsid w:val="00BF1EA3"/>
    <w:rsid w:val="00BF1EC8"/>
    <w:rsid w:val="00BF1F39"/>
    <w:rsid w:val="00BF20B5"/>
    <w:rsid w:val="00BF20E2"/>
    <w:rsid w:val="00BF2103"/>
    <w:rsid w:val="00BF2106"/>
    <w:rsid w:val="00BF21E4"/>
    <w:rsid w:val="00BF227A"/>
    <w:rsid w:val="00BF23A3"/>
    <w:rsid w:val="00BF253D"/>
    <w:rsid w:val="00BF266F"/>
    <w:rsid w:val="00BF2817"/>
    <w:rsid w:val="00BF28D9"/>
    <w:rsid w:val="00BF28E7"/>
    <w:rsid w:val="00BF2CAC"/>
    <w:rsid w:val="00BF2CF1"/>
    <w:rsid w:val="00BF2D0C"/>
    <w:rsid w:val="00BF2DCD"/>
    <w:rsid w:val="00BF2E63"/>
    <w:rsid w:val="00BF2FF9"/>
    <w:rsid w:val="00BF30E4"/>
    <w:rsid w:val="00BF3173"/>
    <w:rsid w:val="00BF343F"/>
    <w:rsid w:val="00BF35FD"/>
    <w:rsid w:val="00BF362D"/>
    <w:rsid w:val="00BF3760"/>
    <w:rsid w:val="00BF3788"/>
    <w:rsid w:val="00BF37D9"/>
    <w:rsid w:val="00BF39D1"/>
    <w:rsid w:val="00BF3A82"/>
    <w:rsid w:val="00BF3A95"/>
    <w:rsid w:val="00BF3B13"/>
    <w:rsid w:val="00BF3D27"/>
    <w:rsid w:val="00BF3D6E"/>
    <w:rsid w:val="00BF3DC1"/>
    <w:rsid w:val="00BF3DC7"/>
    <w:rsid w:val="00BF3E3E"/>
    <w:rsid w:val="00BF3E61"/>
    <w:rsid w:val="00BF3FBD"/>
    <w:rsid w:val="00BF4283"/>
    <w:rsid w:val="00BF4451"/>
    <w:rsid w:val="00BF45FC"/>
    <w:rsid w:val="00BF46F1"/>
    <w:rsid w:val="00BF474F"/>
    <w:rsid w:val="00BF4875"/>
    <w:rsid w:val="00BF4881"/>
    <w:rsid w:val="00BF49C9"/>
    <w:rsid w:val="00BF49E6"/>
    <w:rsid w:val="00BF4A58"/>
    <w:rsid w:val="00BF4AA4"/>
    <w:rsid w:val="00BF4B78"/>
    <w:rsid w:val="00BF4BA5"/>
    <w:rsid w:val="00BF4C2D"/>
    <w:rsid w:val="00BF4CEB"/>
    <w:rsid w:val="00BF4D08"/>
    <w:rsid w:val="00BF4DA9"/>
    <w:rsid w:val="00BF4E55"/>
    <w:rsid w:val="00BF5194"/>
    <w:rsid w:val="00BF519E"/>
    <w:rsid w:val="00BF5516"/>
    <w:rsid w:val="00BF57A6"/>
    <w:rsid w:val="00BF57D4"/>
    <w:rsid w:val="00BF595D"/>
    <w:rsid w:val="00BF5A2E"/>
    <w:rsid w:val="00BF5BBA"/>
    <w:rsid w:val="00BF5CB8"/>
    <w:rsid w:val="00BF5CC2"/>
    <w:rsid w:val="00BF5E0E"/>
    <w:rsid w:val="00BF5EA8"/>
    <w:rsid w:val="00BF60B0"/>
    <w:rsid w:val="00BF6432"/>
    <w:rsid w:val="00BF646B"/>
    <w:rsid w:val="00BF653B"/>
    <w:rsid w:val="00BF658E"/>
    <w:rsid w:val="00BF682D"/>
    <w:rsid w:val="00BF6863"/>
    <w:rsid w:val="00BF6905"/>
    <w:rsid w:val="00BF6932"/>
    <w:rsid w:val="00BF6A16"/>
    <w:rsid w:val="00BF6B64"/>
    <w:rsid w:val="00BF6BAD"/>
    <w:rsid w:val="00BF6C00"/>
    <w:rsid w:val="00BF6CD1"/>
    <w:rsid w:val="00BF6DB9"/>
    <w:rsid w:val="00BF6F39"/>
    <w:rsid w:val="00BF6F66"/>
    <w:rsid w:val="00BF6FB9"/>
    <w:rsid w:val="00BF7075"/>
    <w:rsid w:val="00BF713B"/>
    <w:rsid w:val="00BF7140"/>
    <w:rsid w:val="00BF728C"/>
    <w:rsid w:val="00BF74B8"/>
    <w:rsid w:val="00BF7565"/>
    <w:rsid w:val="00BF7689"/>
    <w:rsid w:val="00BF76A0"/>
    <w:rsid w:val="00BF7747"/>
    <w:rsid w:val="00BF794E"/>
    <w:rsid w:val="00BF7A51"/>
    <w:rsid w:val="00BF7A57"/>
    <w:rsid w:val="00BF7B49"/>
    <w:rsid w:val="00BF7D12"/>
    <w:rsid w:val="00BF7E4B"/>
    <w:rsid w:val="00BF7F54"/>
    <w:rsid w:val="00C00522"/>
    <w:rsid w:val="00C0076A"/>
    <w:rsid w:val="00C007BB"/>
    <w:rsid w:val="00C0095D"/>
    <w:rsid w:val="00C0096D"/>
    <w:rsid w:val="00C00ABD"/>
    <w:rsid w:val="00C00B58"/>
    <w:rsid w:val="00C00BA3"/>
    <w:rsid w:val="00C00C2E"/>
    <w:rsid w:val="00C00CA8"/>
    <w:rsid w:val="00C01061"/>
    <w:rsid w:val="00C0115E"/>
    <w:rsid w:val="00C01331"/>
    <w:rsid w:val="00C015BF"/>
    <w:rsid w:val="00C016DB"/>
    <w:rsid w:val="00C0171E"/>
    <w:rsid w:val="00C0178B"/>
    <w:rsid w:val="00C017B7"/>
    <w:rsid w:val="00C0198E"/>
    <w:rsid w:val="00C01A1A"/>
    <w:rsid w:val="00C01AC0"/>
    <w:rsid w:val="00C01B10"/>
    <w:rsid w:val="00C01D17"/>
    <w:rsid w:val="00C01D61"/>
    <w:rsid w:val="00C01F30"/>
    <w:rsid w:val="00C02348"/>
    <w:rsid w:val="00C023E4"/>
    <w:rsid w:val="00C024C5"/>
    <w:rsid w:val="00C025F4"/>
    <w:rsid w:val="00C02603"/>
    <w:rsid w:val="00C026FE"/>
    <w:rsid w:val="00C02718"/>
    <w:rsid w:val="00C028BE"/>
    <w:rsid w:val="00C02ED6"/>
    <w:rsid w:val="00C02F04"/>
    <w:rsid w:val="00C030E9"/>
    <w:rsid w:val="00C03177"/>
    <w:rsid w:val="00C031C6"/>
    <w:rsid w:val="00C0323B"/>
    <w:rsid w:val="00C03330"/>
    <w:rsid w:val="00C033F6"/>
    <w:rsid w:val="00C036B2"/>
    <w:rsid w:val="00C036B9"/>
    <w:rsid w:val="00C0371D"/>
    <w:rsid w:val="00C037D8"/>
    <w:rsid w:val="00C037E7"/>
    <w:rsid w:val="00C038A0"/>
    <w:rsid w:val="00C038A3"/>
    <w:rsid w:val="00C03AD8"/>
    <w:rsid w:val="00C03E9B"/>
    <w:rsid w:val="00C03F93"/>
    <w:rsid w:val="00C0404B"/>
    <w:rsid w:val="00C0422F"/>
    <w:rsid w:val="00C0440B"/>
    <w:rsid w:val="00C04416"/>
    <w:rsid w:val="00C04680"/>
    <w:rsid w:val="00C04734"/>
    <w:rsid w:val="00C0476C"/>
    <w:rsid w:val="00C04895"/>
    <w:rsid w:val="00C04939"/>
    <w:rsid w:val="00C04ACC"/>
    <w:rsid w:val="00C04C27"/>
    <w:rsid w:val="00C04DA1"/>
    <w:rsid w:val="00C04E6C"/>
    <w:rsid w:val="00C0504A"/>
    <w:rsid w:val="00C050DE"/>
    <w:rsid w:val="00C0527D"/>
    <w:rsid w:val="00C0530C"/>
    <w:rsid w:val="00C053F5"/>
    <w:rsid w:val="00C0560F"/>
    <w:rsid w:val="00C0578B"/>
    <w:rsid w:val="00C057CA"/>
    <w:rsid w:val="00C05827"/>
    <w:rsid w:val="00C05AAE"/>
    <w:rsid w:val="00C05D3B"/>
    <w:rsid w:val="00C0612E"/>
    <w:rsid w:val="00C0616C"/>
    <w:rsid w:val="00C061E1"/>
    <w:rsid w:val="00C061EA"/>
    <w:rsid w:val="00C063BB"/>
    <w:rsid w:val="00C063FC"/>
    <w:rsid w:val="00C06647"/>
    <w:rsid w:val="00C06770"/>
    <w:rsid w:val="00C06796"/>
    <w:rsid w:val="00C067AD"/>
    <w:rsid w:val="00C068F2"/>
    <w:rsid w:val="00C068F4"/>
    <w:rsid w:val="00C069FF"/>
    <w:rsid w:val="00C06A2E"/>
    <w:rsid w:val="00C06AF5"/>
    <w:rsid w:val="00C06C80"/>
    <w:rsid w:val="00C06CEA"/>
    <w:rsid w:val="00C06DBA"/>
    <w:rsid w:val="00C06F49"/>
    <w:rsid w:val="00C06FB4"/>
    <w:rsid w:val="00C07163"/>
    <w:rsid w:val="00C07427"/>
    <w:rsid w:val="00C07523"/>
    <w:rsid w:val="00C075D3"/>
    <w:rsid w:val="00C076C6"/>
    <w:rsid w:val="00C076CA"/>
    <w:rsid w:val="00C07747"/>
    <w:rsid w:val="00C0787D"/>
    <w:rsid w:val="00C07A2B"/>
    <w:rsid w:val="00C07A81"/>
    <w:rsid w:val="00C07D03"/>
    <w:rsid w:val="00C07E00"/>
    <w:rsid w:val="00C07E5A"/>
    <w:rsid w:val="00C07E83"/>
    <w:rsid w:val="00C07EE4"/>
    <w:rsid w:val="00C07F62"/>
    <w:rsid w:val="00C10060"/>
    <w:rsid w:val="00C101E5"/>
    <w:rsid w:val="00C102F1"/>
    <w:rsid w:val="00C10368"/>
    <w:rsid w:val="00C1054F"/>
    <w:rsid w:val="00C105E2"/>
    <w:rsid w:val="00C10606"/>
    <w:rsid w:val="00C10655"/>
    <w:rsid w:val="00C1076B"/>
    <w:rsid w:val="00C107F3"/>
    <w:rsid w:val="00C108DD"/>
    <w:rsid w:val="00C10A57"/>
    <w:rsid w:val="00C10B1A"/>
    <w:rsid w:val="00C10BC2"/>
    <w:rsid w:val="00C10BC7"/>
    <w:rsid w:val="00C10C70"/>
    <w:rsid w:val="00C10CF9"/>
    <w:rsid w:val="00C10D7F"/>
    <w:rsid w:val="00C10E28"/>
    <w:rsid w:val="00C10EAE"/>
    <w:rsid w:val="00C10F17"/>
    <w:rsid w:val="00C10FDE"/>
    <w:rsid w:val="00C11086"/>
    <w:rsid w:val="00C110E8"/>
    <w:rsid w:val="00C1121F"/>
    <w:rsid w:val="00C1127F"/>
    <w:rsid w:val="00C11359"/>
    <w:rsid w:val="00C11368"/>
    <w:rsid w:val="00C11392"/>
    <w:rsid w:val="00C1144D"/>
    <w:rsid w:val="00C11701"/>
    <w:rsid w:val="00C11758"/>
    <w:rsid w:val="00C118F7"/>
    <w:rsid w:val="00C11A57"/>
    <w:rsid w:val="00C11A94"/>
    <w:rsid w:val="00C11AEF"/>
    <w:rsid w:val="00C11C4B"/>
    <w:rsid w:val="00C11C56"/>
    <w:rsid w:val="00C11D51"/>
    <w:rsid w:val="00C11D88"/>
    <w:rsid w:val="00C11F36"/>
    <w:rsid w:val="00C11FCE"/>
    <w:rsid w:val="00C12022"/>
    <w:rsid w:val="00C120C1"/>
    <w:rsid w:val="00C1239B"/>
    <w:rsid w:val="00C123C3"/>
    <w:rsid w:val="00C12440"/>
    <w:rsid w:val="00C124F3"/>
    <w:rsid w:val="00C12907"/>
    <w:rsid w:val="00C1292C"/>
    <w:rsid w:val="00C12988"/>
    <w:rsid w:val="00C129D8"/>
    <w:rsid w:val="00C12A2D"/>
    <w:rsid w:val="00C12A77"/>
    <w:rsid w:val="00C12B6C"/>
    <w:rsid w:val="00C12B70"/>
    <w:rsid w:val="00C12D96"/>
    <w:rsid w:val="00C12E2E"/>
    <w:rsid w:val="00C12F53"/>
    <w:rsid w:val="00C12FDA"/>
    <w:rsid w:val="00C1322C"/>
    <w:rsid w:val="00C1373C"/>
    <w:rsid w:val="00C13A42"/>
    <w:rsid w:val="00C13C63"/>
    <w:rsid w:val="00C13CE0"/>
    <w:rsid w:val="00C13EAC"/>
    <w:rsid w:val="00C141FC"/>
    <w:rsid w:val="00C14291"/>
    <w:rsid w:val="00C14421"/>
    <w:rsid w:val="00C14558"/>
    <w:rsid w:val="00C145EE"/>
    <w:rsid w:val="00C14700"/>
    <w:rsid w:val="00C1472A"/>
    <w:rsid w:val="00C147D6"/>
    <w:rsid w:val="00C14808"/>
    <w:rsid w:val="00C14888"/>
    <w:rsid w:val="00C14889"/>
    <w:rsid w:val="00C149D0"/>
    <w:rsid w:val="00C14A86"/>
    <w:rsid w:val="00C14AA1"/>
    <w:rsid w:val="00C14BB1"/>
    <w:rsid w:val="00C14E18"/>
    <w:rsid w:val="00C14FE3"/>
    <w:rsid w:val="00C1509B"/>
    <w:rsid w:val="00C15377"/>
    <w:rsid w:val="00C15404"/>
    <w:rsid w:val="00C155B0"/>
    <w:rsid w:val="00C155E3"/>
    <w:rsid w:val="00C15B52"/>
    <w:rsid w:val="00C15E57"/>
    <w:rsid w:val="00C16088"/>
    <w:rsid w:val="00C1629D"/>
    <w:rsid w:val="00C162BD"/>
    <w:rsid w:val="00C162FB"/>
    <w:rsid w:val="00C163E0"/>
    <w:rsid w:val="00C16502"/>
    <w:rsid w:val="00C16822"/>
    <w:rsid w:val="00C16888"/>
    <w:rsid w:val="00C1690D"/>
    <w:rsid w:val="00C16A69"/>
    <w:rsid w:val="00C16D5D"/>
    <w:rsid w:val="00C16E08"/>
    <w:rsid w:val="00C17244"/>
    <w:rsid w:val="00C17256"/>
    <w:rsid w:val="00C1731A"/>
    <w:rsid w:val="00C17380"/>
    <w:rsid w:val="00C17517"/>
    <w:rsid w:val="00C175E9"/>
    <w:rsid w:val="00C17672"/>
    <w:rsid w:val="00C17739"/>
    <w:rsid w:val="00C17854"/>
    <w:rsid w:val="00C17A8B"/>
    <w:rsid w:val="00C17EED"/>
    <w:rsid w:val="00C17FC6"/>
    <w:rsid w:val="00C20126"/>
    <w:rsid w:val="00C20194"/>
    <w:rsid w:val="00C2024D"/>
    <w:rsid w:val="00C2028D"/>
    <w:rsid w:val="00C202FA"/>
    <w:rsid w:val="00C203CD"/>
    <w:rsid w:val="00C204A9"/>
    <w:rsid w:val="00C206C8"/>
    <w:rsid w:val="00C209C6"/>
    <w:rsid w:val="00C20A22"/>
    <w:rsid w:val="00C20A79"/>
    <w:rsid w:val="00C20AA0"/>
    <w:rsid w:val="00C20BCD"/>
    <w:rsid w:val="00C20E43"/>
    <w:rsid w:val="00C20F5D"/>
    <w:rsid w:val="00C21109"/>
    <w:rsid w:val="00C21220"/>
    <w:rsid w:val="00C21269"/>
    <w:rsid w:val="00C212B4"/>
    <w:rsid w:val="00C21494"/>
    <w:rsid w:val="00C214E4"/>
    <w:rsid w:val="00C214F9"/>
    <w:rsid w:val="00C21597"/>
    <w:rsid w:val="00C2163A"/>
    <w:rsid w:val="00C2174E"/>
    <w:rsid w:val="00C21795"/>
    <w:rsid w:val="00C217FF"/>
    <w:rsid w:val="00C2186F"/>
    <w:rsid w:val="00C21B41"/>
    <w:rsid w:val="00C21C07"/>
    <w:rsid w:val="00C21DA9"/>
    <w:rsid w:val="00C21F81"/>
    <w:rsid w:val="00C22109"/>
    <w:rsid w:val="00C22389"/>
    <w:rsid w:val="00C2245F"/>
    <w:rsid w:val="00C22564"/>
    <w:rsid w:val="00C22652"/>
    <w:rsid w:val="00C22733"/>
    <w:rsid w:val="00C22BFE"/>
    <w:rsid w:val="00C22D34"/>
    <w:rsid w:val="00C22D3F"/>
    <w:rsid w:val="00C22D5F"/>
    <w:rsid w:val="00C22F46"/>
    <w:rsid w:val="00C22FDC"/>
    <w:rsid w:val="00C23076"/>
    <w:rsid w:val="00C2315D"/>
    <w:rsid w:val="00C231B1"/>
    <w:rsid w:val="00C231B7"/>
    <w:rsid w:val="00C2327D"/>
    <w:rsid w:val="00C232C3"/>
    <w:rsid w:val="00C232CF"/>
    <w:rsid w:val="00C2335C"/>
    <w:rsid w:val="00C2339A"/>
    <w:rsid w:val="00C233C3"/>
    <w:rsid w:val="00C23474"/>
    <w:rsid w:val="00C23508"/>
    <w:rsid w:val="00C2366C"/>
    <w:rsid w:val="00C2378D"/>
    <w:rsid w:val="00C2388F"/>
    <w:rsid w:val="00C23A51"/>
    <w:rsid w:val="00C23A72"/>
    <w:rsid w:val="00C23A82"/>
    <w:rsid w:val="00C23D1B"/>
    <w:rsid w:val="00C240AA"/>
    <w:rsid w:val="00C241AE"/>
    <w:rsid w:val="00C243C4"/>
    <w:rsid w:val="00C244BA"/>
    <w:rsid w:val="00C24503"/>
    <w:rsid w:val="00C2454F"/>
    <w:rsid w:val="00C24667"/>
    <w:rsid w:val="00C246DB"/>
    <w:rsid w:val="00C24A0C"/>
    <w:rsid w:val="00C24A34"/>
    <w:rsid w:val="00C24AE8"/>
    <w:rsid w:val="00C24B7B"/>
    <w:rsid w:val="00C24B83"/>
    <w:rsid w:val="00C24BF4"/>
    <w:rsid w:val="00C24CA1"/>
    <w:rsid w:val="00C24D07"/>
    <w:rsid w:val="00C25038"/>
    <w:rsid w:val="00C25059"/>
    <w:rsid w:val="00C251AD"/>
    <w:rsid w:val="00C252B7"/>
    <w:rsid w:val="00C25320"/>
    <w:rsid w:val="00C25373"/>
    <w:rsid w:val="00C25449"/>
    <w:rsid w:val="00C254BB"/>
    <w:rsid w:val="00C25588"/>
    <w:rsid w:val="00C25877"/>
    <w:rsid w:val="00C259B9"/>
    <w:rsid w:val="00C25C21"/>
    <w:rsid w:val="00C25E1D"/>
    <w:rsid w:val="00C25EAF"/>
    <w:rsid w:val="00C26139"/>
    <w:rsid w:val="00C26174"/>
    <w:rsid w:val="00C261C3"/>
    <w:rsid w:val="00C263E7"/>
    <w:rsid w:val="00C264F9"/>
    <w:rsid w:val="00C267B0"/>
    <w:rsid w:val="00C26AA2"/>
    <w:rsid w:val="00C26C4A"/>
    <w:rsid w:val="00C26D45"/>
    <w:rsid w:val="00C26D9B"/>
    <w:rsid w:val="00C26F86"/>
    <w:rsid w:val="00C26F9C"/>
    <w:rsid w:val="00C271B2"/>
    <w:rsid w:val="00C271BF"/>
    <w:rsid w:val="00C2722D"/>
    <w:rsid w:val="00C272BD"/>
    <w:rsid w:val="00C27399"/>
    <w:rsid w:val="00C274D0"/>
    <w:rsid w:val="00C27786"/>
    <w:rsid w:val="00C27B80"/>
    <w:rsid w:val="00C27C1F"/>
    <w:rsid w:val="00C27C71"/>
    <w:rsid w:val="00C27FFA"/>
    <w:rsid w:val="00C3005B"/>
    <w:rsid w:val="00C3008D"/>
    <w:rsid w:val="00C301E2"/>
    <w:rsid w:val="00C30231"/>
    <w:rsid w:val="00C3023A"/>
    <w:rsid w:val="00C30256"/>
    <w:rsid w:val="00C302CF"/>
    <w:rsid w:val="00C302E0"/>
    <w:rsid w:val="00C3086E"/>
    <w:rsid w:val="00C30A44"/>
    <w:rsid w:val="00C30A69"/>
    <w:rsid w:val="00C30ADF"/>
    <w:rsid w:val="00C30CAF"/>
    <w:rsid w:val="00C30E1C"/>
    <w:rsid w:val="00C31178"/>
    <w:rsid w:val="00C311E5"/>
    <w:rsid w:val="00C312E7"/>
    <w:rsid w:val="00C312E8"/>
    <w:rsid w:val="00C313F8"/>
    <w:rsid w:val="00C3143D"/>
    <w:rsid w:val="00C3169C"/>
    <w:rsid w:val="00C31859"/>
    <w:rsid w:val="00C318A9"/>
    <w:rsid w:val="00C31905"/>
    <w:rsid w:val="00C319C3"/>
    <w:rsid w:val="00C31A60"/>
    <w:rsid w:val="00C31B30"/>
    <w:rsid w:val="00C31B7A"/>
    <w:rsid w:val="00C31C4A"/>
    <w:rsid w:val="00C31E06"/>
    <w:rsid w:val="00C321AA"/>
    <w:rsid w:val="00C3238C"/>
    <w:rsid w:val="00C323BE"/>
    <w:rsid w:val="00C323CD"/>
    <w:rsid w:val="00C32415"/>
    <w:rsid w:val="00C325DC"/>
    <w:rsid w:val="00C32A79"/>
    <w:rsid w:val="00C32B5B"/>
    <w:rsid w:val="00C32C57"/>
    <w:rsid w:val="00C33038"/>
    <w:rsid w:val="00C332D9"/>
    <w:rsid w:val="00C334AC"/>
    <w:rsid w:val="00C334BB"/>
    <w:rsid w:val="00C3353A"/>
    <w:rsid w:val="00C33A68"/>
    <w:rsid w:val="00C33C76"/>
    <w:rsid w:val="00C33E62"/>
    <w:rsid w:val="00C33E67"/>
    <w:rsid w:val="00C33FFA"/>
    <w:rsid w:val="00C3403D"/>
    <w:rsid w:val="00C3403F"/>
    <w:rsid w:val="00C340A8"/>
    <w:rsid w:val="00C34103"/>
    <w:rsid w:val="00C343A0"/>
    <w:rsid w:val="00C34479"/>
    <w:rsid w:val="00C344E0"/>
    <w:rsid w:val="00C344E9"/>
    <w:rsid w:val="00C34825"/>
    <w:rsid w:val="00C34A28"/>
    <w:rsid w:val="00C34AAC"/>
    <w:rsid w:val="00C34ACE"/>
    <w:rsid w:val="00C34B3B"/>
    <w:rsid w:val="00C34C93"/>
    <w:rsid w:val="00C34CB0"/>
    <w:rsid w:val="00C34EBA"/>
    <w:rsid w:val="00C350D4"/>
    <w:rsid w:val="00C35279"/>
    <w:rsid w:val="00C354F2"/>
    <w:rsid w:val="00C3563C"/>
    <w:rsid w:val="00C35654"/>
    <w:rsid w:val="00C357A6"/>
    <w:rsid w:val="00C35842"/>
    <w:rsid w:val="00C358CE"/>
    <w:rsid w:val="00C35AB2"/>
    <w:rsid w:val="00C35AFD"/>
    <w:rsid w:val="00C35CE4"/>
    <w:rsid w:val="00C35D07"/>
    <w:rsid w:val="00C35D26"/>
    <w:rsid w:val="00C35E02"/>
    <w:rsid w:val="00C35FB6"/>
    <w:rsid w:val="00C36035"/>
    <w:rsid w:val="00C36226"/>
    <w:rsid w:val="00C3622B"/>
    <w:rsid w:val="00C363D5"/>
    <w:rsid w:val="00C36561"/>
    <w:rsid w:val="00C365A9"/>
    <w:rsid w:val="00C3668E"/>
    <w:rsid w:val="00C367F2"/>
    <w:rsid w:val="00C36A06"/>
    <w:rsid w:val="00C36A31"/>
    <w:rsid w:val="00C36AB4"/>
    <w:rsid w:val="00C36C62"/>
    <w:rsid w:val="00C36CBA"/>
    <w:rsid w:val="00C36CD7"/>
    <w:rsid w:val="00C3708F"/>
    <w:rsid w:val="00C37272"/>
    <w:rsid w:val="00C37364"/>
    <w:rsid w:val="00C373A6"/>
    <w:rsid w:val="00C37441"/>
    <w:rsid w:val="00C37772"/>
    <w:rsid w:val="00C377A8"/>
    <w:rsid w:val="00C377C4"/>
    <w:rsid w:val="00C37982"/>
    <w:rsid w:val="00C37ADD"/>
    <w:rsid w:val="00C37B91"/>
    <w:rsid w:val="00C37DEB"/>
    <w:rsid w:val="00C37E07"/>
    <w:rsid w:val="00C37E31"/>
    <w:rsid w:val="00C37FB6"/>
    <w:rsid w:val="00C4001A"/>
    <w:rsid w:val="00C400B6"/>
    <w:rsid w:val="00C401A7"/>
    <w:rsid w:val="00C4024F"/>
    <w:rsid w:val="00C40376"/>
    <w:rsid w:val="00C40589"/>
    <w:rsid w:val="00C408B3"/>
    <w:rsid w:val="00C408D9"/>
    <w:rsid w:val="00C409BC"/>
    <w:rsid w:val="00C40ABB"/>
    <w:rsid w:val="00C40C51"/>
    <w:rsid w:val="00C40C7E"/>
    <w:rsid w:val="00C40C93"/>
    <w:rsid w:val="00C40C97"/>
    <w:rsid w:val="00C40E06"/>
    <w:rsid w:val="00C40F9A"/>
    <w:rsid w:val="00C411BC"/>
    <w:rsid w:val="00C4120B"/>
    <w:rsid w:val="00C41268"/>
    <w:rsid w:val="00C4140D"/>
    <w:rsid w:val="00C414CB"/>
    <w:rsid w:val="00C41533"/>
    <w:rsid w:val="00C4158D"/>
    <w:rsid w:val="00C41777"/>
    <w:rsid w:val="00C417AD"/>
    <w:rsid w:val="00C41A66"/>
    <w:rsid w:val="00C41BD0"/>
    <w:rsid w:val="00C41C54"/>
    <w:rsid w:val="00C41CED"/>
    <w:rsid w:val="00C41D2F"/>
    <w:rsid w:val="00C41D8A"/>
    <w:rsid w:val="00C41F51"/>
    <w:rsid w:val="00C41FCD"/>
    <w:rsid w:val="00C4205C"/>
    <w:rsid w:val="00C4219A"/>
    <w:rsid w:val="00C429E1"/>
    <w:rsid w:val="00C429FE"/>
    <w:rsid w:val="00C42ACB"/>
    <w:rsid w:val="00C42DBF"/>
    <w:rsid w:val="00C42ED9"/>
    <w:rsid w:val="00C42F39"/>
    <w:rsid w:val="00C42FE4"/>
    <w:rsid w:val="00C4304B"/>
    <w:rsid w:val="00C4331E"/>
    <w:rsid w:val="00C43325"/>
    <w:rsid w:val="00C434C6"/>
    <w:rsid w:val="00C435C1"/>
    <w:rsid w:val="00C4367A"/>
    <w:rsid w:val="00C43857"/>
    <w:rsid w:val="00C4385A"/>
    <w:rsid w:val="00C43992"/>
    <w:rsid w:val="00C43BC7"/>
    <w:rsid w:val="00C43E3D"/>
    <w:rsid w:val="00C43EA8"/>
    <w:rsid w:val="00C43EE2"/>
    <w:rsid w:val="00C43FA1"/>
    <w:rsid w:val="00C440F0"/>
    <w:rsid w:val="00C44198"/>
    <w:rsid w:val="00C44260"/>
    <w:rsid w:val="00C442E5"/>
    <w:rsid w:val="00C4444E"/>
    <w:rsid w:val="00C44577"/>
    <w:rsid w:val="00C445CB"/>
    <w:rsid w:val="00C447AB"/>
    <w:rsid w:val="00C4483E"/>
    <w:rsid w:val="00C4499B"/>
    <w:rsid w:val="00C44F13"/>
    <w:rsid w:val="00C44F63"/>
    <w:rsid w:val="00C44FC7"/>
    <w:rsid w:val="00C45048"/>
    <w:rsid w:val="00C450BA"/>
    <w:rsid w:val="00C451BF"/>
    <w:rsid w:val="00C45322"/>
    <w:rsid w:val="00C45372"/>
    <w:rsid w:val="00C4552E"/>
    <w:rsid w:val="00C45745"/>
    <w:rsid w:val="00C45795"/>
    <w:rsid w:val="00C4595A"/>
    <w:rsid w:val="00C45966"/>
    <w:rsid w:val="00C45BAD"/>
    <w:rsid w:val="00C45BEB"/>
    <w:rsid w:val="00C45CB3"/>
    <w:rsid w:val="00C45E8F"/>
    <w:rsid w:val="00C45F10"/>
    <w:rsid w:val="00C45F96"/>
    <w:rsid w:val="00C460B2"/>
    <w:rsid w:val="00C46241"/>
    <w:rsid w:val="00C4666A"/>
    <w:rsid w:val="00C46828"/>
    <w:rsid w:val="00C46986"/>
    <w:rsid w:val="00C46A92"/>
    <w:rsid w:val="00C46BF0"/>
    <w:rsid w:val="00C46C24"/>
    <w:rsid w:val="00C46C28"/>
    <w:rsid w:val="00C46C62"/>
    <w:rsid w:val="00C46D4D"/>
    <w:rsid w:val="00C46E2C"/>
    <w:rsid w:val="00C46F2B"/>
    <w:rsid w:val="00C46F51"/>
    <w:rsid w:val="00C472D0"/>
    <w:rsid w:val="00C47426"/>
    <w:rsid w:val="00C474B6"/>
    <w:rsid w:val="00C474C0"/>
    <w:rsid w:val="00C475BB"/>
    <w:rsid w:val="00C476F1"/>
    <w:rsid w:val="00C476F2"/>
    <w:rsid w:val="00C477CD"/>
    <w:rsid w:val="00C47818"/>
    <w:rsid w:val="00C4789F"/>
    <w:rsid w:val="00C47931"/>
    <w:rsid w:val="00C479C0"/>
    <w:rsid w:val="00C47AC5"/>
    <w:rsid w:val="00C47B52"/>
    <w:rsid w:val="00C47B68"/>
    <w:rsid w:val="00C47C2C"/>
    <w:rsid w:val="00C47E18"/>
    <w:rsid w:val="00C5027F"/>
    <w:rsid w:val="00C50654"/>
    <w:rsid w:val="00C506BB"/>
    <w:rsid w:val="00C50720"/>
    <w:rsid w:val="00C50BD1"/>
    <w:rsid w:val="00C50C83"/>
    <w:rsid w:val="00C50DAE"/>
    <w:rsid w:val="00C50EF8"/>
    <w:rsid w:val="00C5104E"/>
    <w:rsid w:val="00C51067"/>
    <w:rsid w:val="00C513E9"/>
    <w:rsid w:val="00C5149E"/>
    <w:rsid w:val="00C514AB"/>
    <w:rsid w:val="00C5166E"/>
    <w:rsid w:val="00C51705"/>
    <w:rsid w:val="00C5175F"/>
    <w:rsid w:val="00C5176C"/>
    <w:rsid w:val="00C5191B"/>
    <w:rsid w:val="00C51A09"/>
    <w:rsid w:val="00C51A84"/>
    <w:rsid w:val="00C51AAB"/>
    <w:rsid w:val="00C51AF0"/>
    <w:rsid w:val="00C51B1F"/>
    <w:rsid w:val="00C51B48"/>
    <w:rsid w:val="00C51C85"/>
    <w:rsid w:val="00C51CAF"/>
    <w:rsid w:val="00C51D1A"/>
    <w:rsid w:val="00C51D3B"/>
    <w:rsid w:val="00C51E0B"/>
    <w:rsid w:val="00C51EA3"/>
    <w:rsid w:val="00C51ECF"/>
    <w:rsid w:val="00C51EDD"/>
    <w:rsid w:val="00C51FFF"/>
    <w:rsid w:val="00C5200E"/>
    <w:rsid w:val="00C521A5"/>
    <w:rsid w:val="00C522DC"/>
    <w:rsid w:val="00C52543"/>
    <w:rsid w:val="00C527AD"/>
    <w:rsid w:val="00C528BE"/>
    <w:rsid w:val="00C5290A"/>
    <w:rsid w:val="00C52BE3"/>
    <w:rsid w:val="00C52C2A"/>
    <w:rsid w:val="00C52D99"/>
    <w:rsid w:val="00C530B5"/>
    <w:rsid w:val="00C531B9"/>
    <w:rsid w:val="00C5328A"/>
    <w:rsid w:val="00C532BE"/>
    <w:rsid w:val="00C53334"/>
    <w:rsid w:val="00C53437"/>
    <w:rsid w:val="00C53591"/>
    <w:rsid w:val="00C536EA"/>
    <w:rsid w:val="00C53801"/>
    <w:rsid w:val="00C53A19"/>
    <w:rsid w:val="00C53A98"/>
    <w:rsid w:val="00C53AD7"/>
    <w:rsid w:val="00C53CB8"/>
    <w:rsid w:val="00C53E24"/>
    <w:rsid w:val="00C53FBB"/>
    <w:rsid w:val="00C5402A"/>
    <w:rsid w:val="00C5415B"/>
    <w:rsid w:val="00C54334"/>
    <w:rsid w:val="00C54447"/>
    <w:rsid w:val="00C546D7"/>
    <w:rsid w:val="00C548AC"/>
    <w:rsid w:val="00C549F0"/>
    <w:rsid w:val="00C54A2A"/>
    <w:rsid w:val="00C54A52"/>
    <w:rsid w:val="00C54B22"/>
    <w:rsid w:val="00C54BC9"/>
    <w:rsid w:val="00C54C81"/>
    <w:rsid w:val="00C54D02"/>
    <w:rsid w:val="00C54D25"/>
    <w:rsid w:val="00C55006"/>
    <w:rsid w:val="00C550DE"/>
    <w:rsid w:val="00C551FF"/>
    <w:rsid w:val="00C55210"/>
    <w:rsid w:val="00C552A1"/>
    <w:rsid w:val="00C55425"/>
    <w:rsid w:val="00C554EF"/>
    <w:rsid w:val="00C555C2"/>
    <w:rsid w:val="00C5564D"/>
    <w:rsid w:val="00C55BCC"/>
    <w:rsid w:val="00C55C06"/>
    <w:rsid w:val="00C55DB8"/>
    <w:rsid w:val="00C55EC4"/>
    <w:rsid w:val="00C55F6C"/>
    <w:rsid w:val="00C5601A"/>
    <w:rsid w:val="00C56100"/>
    <w:rsid w:val="00C5617D"/>
    <w:rsid w:val="00C56203"/>
    <w:rsid w:val="00C5632D"/>
    <w:rsid w:val="00C56546"/>
    <w:rsid w:val="00C568DB"/>
    <w:rsid w:val="00C56A81"/>
    <w:rsid w:val="00C56B05"/>
    <w:rsid w:val="00C56C93"/>
    <w:rsid w:val="00C56D1F"/>
    <w:rsid w:val="00C56F62"/>
    <w:rsid w:val="00C57214"/>
    <w:rsid w:val="00C57239"/>
    <w:rsid w:val="00C5723D"/>
    <w:rsid w:val="00C573E5"/>
    <w:rsid w:val="00C57423"/>
    <w:rsid w:val="00C575C4"/>
    <w:rsid w:val="00C5763A"/>
    <w:rsid w:val="00C5772D"/>
    <w:rsid w:val="00C57813"/>
    <w:rsid w:val="00C5786F"/>
    <w:rsid w:val="00C57934"/>
    <w:rsid w:val="00C57AC2"/>
    <w:rsid w:val="00C57B37"/>
    <w:rsid w:val="00C57C68"/>
    <w:rsid w:val="00C57CA8"/>
    <w:rsid w:val="00C57CE2"/>
    <w:rsid w:val="00C57DD9"/>
    <w:rsid w:val="00C57EAF"/>
    <w:rsid w:val="00C57F0F"/>
    <w:rsid w:val="00C60047"/>
    <w:rsid w:val="00C6006F"/>
    <w:rsid w:val="00C60230"/>
    <w:rsid w:val="00C604A1"/>
    <w:rsid w:val="00C604BE"/>
    <w:rsid w:val="00C6068D"/>
    <w:rsid w:val="00C60A35"/>
    <w:rsid w:val="00C60AEE"/>
    <w:rsid w:val="00C60B68"/>
    <w:rsid w:val="00C60B9D"/>
    <w:rsid w:val="00C60BB1"/>
    <w:rsid w:val="00C60BFB"/>
    <w:rsid w:val="00C60CED"/>
    <w:rsid w:val="00C60D80"/>
    <w:rsid w:val="00C60E46"/>
    <w:rsid w:val="00C60F1D"/>
    <w:rsid w:val="00C60F75"/>
    <w:rsid w:val="00C60FFC"/>
    <w:rsid w:val="00C61096"/>
    <w:rsid w:val="00C6109C"/>
    <w:rsid w:val="00C6109E"/>
    <w:rsid w:val="00C610FD"/>
    <w:rsid w:val="00C61246"/>
    <w:rsid w:val="00C6132D"/>
    <w:rsid w:val="00C61339"/>
    <w:rsid w:val="00C616DB"/>
    <w:rsid w:val="00C618AC"/>
    <w:rsid w:val="00C618FF"/>
    <w:rsid w:val="00C619DA"/>
    <w:rsid w:val="00C61CDC"/>
    <w:rsid w:val="00C61CEE"/>
    <w:rsid w:val="00C61D34"/>
    <w:rsid w:val="00C61D3C"/>
    <w:rsid w:val="00C61DD2"/>
    <w:rsid w:val="00C61FE8"/>
    <w:rsid w:val="00C6206C"/>
    <w:rsid w:val="00C6209C"/>
    <w:rsid w:val="00C620D8"/>
    <w:rsid w:val="00C62216"/>
    <w:rsid w:val="00C623C1"/>
    <w:rsid w:val="00C623F0"/>
    <w:rsid w:val="00C6242A"/>
    <w:rsid w:val="00C624B9"/>
    <w:rsid w:val="00C6262A"/>
    <w:rsid w:val="00C626A6"/>
    <w:rsid w:val="00C62CDA"/>
    <w:rsid w:val="00C62EC0"/>
    <w:rsid w:val="00C62FAF"/>
    <w:rsid w:val="00C63043"/>
    <w:rsid w:val="00C63097"/>
    <w:rsid w:val="00C63257"/>
    <w:rsid w:val="00C63494"/>
    <w:rsid w:val="00C634F7"/>
    <w:rsid w:val="00C63822"/>
    <w:rsid w:val="00C63947"/>
    <w:rsid w:val="00C63A2D"/>
    <w:rsid w:val="00C63B1C"/>
    <w:rsid w:val="00C63B28"/>
    <w:rsid w:val="00C63B99"/>
    <w:rsid w:val="00C63C7F"/>
    <w:rsid w:val="00C63D63"/>
    <w:rsid w:val="00C63E20"/>
    <w:rsid w:val="00C63ECD"/>
    <w:rsid w:val="00C63F82"/>
    <w:rsid w:val="00C63FF6"/>
    <w:rsid w:val="00C6434E"/>
    <w:rsid w:val="00C64465"/>
    <w:rsid w:val="00C64951"/>
    <w:rsid w:val="00C64A8E"/>
    <w:rsid w:val="00C64B72"/>
    <w:rsid w:val="00C64D5A"/>
    <w:rsid w:val="00C64F12"/>
    <w:rsid w:val="00C65232"/>
    <w:rsid w:val="00C65304"/>
    <w:rsid w:val="00C65356"/>
    <w:rsid w:val="00C653C1"/>
    <w:rsid w:val="00C6541D"/>
    <w:rsid w:val="00C6558C"/>
    <w:rsid w:val="00C659B5"/>
    <w:rsid w:val="00C659E4"/>
    <w:rsid w:val="00C65C4E"/>
    <w:rsid w:val="00C65D78"/>
    <w:rsid w:val="00C65EBD"/>
    <w:rsid w:val="00C660C0"/>
    <w:rsid w:val="00C661D9"/>
    <w:rsid w:val="00C663A1"/>
    <w:rsid w:val="00C66465"/>
    <w:rsid w:val="00C664D6"/>
    <w:rsid w:val="00C6654D"/>
    <w:rsid w:val="00C667A7"/>
    <w:rsid w:val="00C667AC"/>
    <w:rsid w:val="00C66AE2"/>
    <w:rsid w:val="00C66BE1"/>
    <w:rsid w:val="00C66BFF"/>
    <w:rsid w:val="00C66F57"/>
    <w:rsid w:val="00C66F88"/>
    <w:rsid w:val="00C67117"/>
    <w:rsid w:val="00C6712C"/>
    <w:rsid w:val="00C672B7"/>
    <w:rsid w:val="00C672E8"/>
    <w:rsid w:val="00C67366"/>
    <w:rsid w:val="00C67389"/>
    <w:rsid w:val="00C67455"/>
    <w:rsid w:val="00C67468"/>
    <w:rsid w:val="00C674A2"/>
    <w:rsid w:val="00C67825"/>
    <w:rsid w:val="00C6784B"/>
    <w:rsid w:val="00C67935"/>
    <w:rsid w:val="00C67A73"/>
    <w:rsid w:val="00C67A8D"/>
    <w:rsid w:val="00C67B57"/>
    <w:rsid w:val="00C67B68"/>
    <w:rsid w:val="00C67B7C"/>
    <w:rsid w:val="00C67C8A"/>
    <w:rsid w:val="00C67D2A"/>
    <w:rsid w:val="00C67E2E"/>
    <w:rsid w:val="00C67F96"/>
    <w:rsid w:val="00C70080"/>
    <w:rsid w:val="00C70111"/>
    <w:rsid w:val="00C7015B"/>
    <w:rsid w:val="00C701FB"/>
    <w:rsid w:val="00C70304"/>
    <w:rsid w:val="00C70437"/>
    <w:rsid w:val="00C70795"/>
    <w:rsid w:val="00C70820"/>
    <w:rsid w:val="00C7085F"/>
    <w:rsid w:val="00C708C3"/>
    <w:rsid w:val="00C70906"/>
    <w:rsid w:val="00C70ACF"/>
    <w:rsid w:val="00C70B7C"/>
    <w:rsid w:val="00C70E04"/>
    <w:rsid w:val="00C70EE2"/>
    <w:rsid w:val="00C70F79"/>
    <w:rsid w:val="00C711E9"/>
    <w:rsid w:val="00C713DC"/>
    <w:rsid w:val="00C71676"/>
    <w:rsid w:val="00C716DF"/>
    <w:rsid w:val="00C71CD9"/>
    <w:rsid w:val="00C71E4A"/>
    <w:rsid w:val="00C72038"/>
    <w:rsid w:val="00C720DE"/>
    <w:rsid w:val="00C72354"/>
    <w:rsid w:val="00C72367"/>
    <w:rsid w:val="00C7238C"/>
    <w:rsid w:val="00C72447"/>
    <w:rsid w:val="00C72540"/>
    <w:rsid w:val="00C72658"/>
    <w:rsid w:val="00C72712"/>
    <w:rsid w:val="00C727C1"/>
    <w:rsid w:val="00C72AAB"/>
    <w:rsid w:val="00C72B10"/>
    <w:rsid w:val="00C72B8E"/>
    <w:rsid w:val="00C72BA5"/>
    <w:rsid w:val="00C72BBC"/>
    <w:rsid w:val="00C72C55"/>
    <w:rsid w:val="00C72DA7"/>
    <w:rsid w:val="00C73044"/>
    <w:rsid w:val="00C730A6"/>
    <w:rsid w:val="00C737B3"/>
    <w:rsid w:val="00C7383C"/>
    <w:rsid w:val="00C73A64"/>
    <w:rsid w:val="00C73B0A"/>
    <w:rsid w:val="00C73BBB"/>
    <w:rsid w:val="00C73E17"/>
    <w:rsid w:val="00C73F00"/>
    <w:rsid w:val="00C740AC"/>
    <w:rsid w:val="00C74134"/>
    <w:rsid w:val="00C74257"/>
    <w:rsid w:val="00C74298"/>
    <w:rsid w:val="00C74299"/>
    <w:rsid w:val="00C742B7"/>
    <w:rsid w:val="00C74336"/>
    <w:rsid w:val="00C74366"/>
    <w:rsid w:val="00C744AE"/>
    <w:rsid w:val="00C74752"/>
    <w:rsid w:val="00C747B7"/>
    <w:rsid w:val="00C747C0"/>
    <w:rsid w:val="00C749C5"/>
    <w:rsid w:val="00C74ADD"/>
    <w:rsid w:val="00C74EC4"/>
    <w:rsid w:val="00C74F42"/>
    <w:rsid w:val="00C75096"/>
    <w:rsid w:val="00C7537B"/>
    <w:rsid w:val="00C754C3"/>
    <w:rsid w:val="00C754EE"/>
    <w:rsid w:val="00C75646"/>
    <w:rsid w:val="00C7578B"/>
    <w:rsid w:val="00C75802"/>
    <w:rsid w:val="00C75A35"/>
    <w:rsid w:val="00C75B9F"/>
    <w:rsid w:val="00C75CF3"/>
    <w:rsid w:val="00C75E77"/>
    <w:rsid w:val="00C75EA9"/>
    <w:rsid w:val="00C75EF8"/>
    <w:rsid w:val="00C75F75"/>
    <w:rsid w:val="00C75FC9"/>
    <w:rsid w:val="00C76007"/>
    <w:rsid w:val="00C7601E"/>
    <w:rsid w:val="00C760DD"/>
    <w:rsid w:val="00C76190"/>
    <w:rsid w:val="00C761F0"/>
    <w:rsid w:val="00C76225"/>
    <w:rsid w:val="00C76235"/>
    <w:rsid w:val="00C76492"/>
    <w:rsid w:val="00C76528"/>
    <w:rsid w:val="00C76539"/>
    <w:rsid w:val="00C76611"/>
    <w:rsid w:val="00C7665F"/>
    <w:rsid w:val="00C76678"/>
    <w:rsid w:val="00C766A7"/>
    <w:rsid w:val="00C767E0"/>
    <w:rsid w:val="00C768DF"/>
    <w:rsid w:val="00C76979"/>
    <w:rsid w:val="00C76B3E"/>
    <w:rsid w:val="00C76B7E"/>
    <w:rsid w:val="00C76C0D"/>
    <w:rsid w:val="00C76DC4"/>
    <w:rsid w:val="00C76DC5"/>
    <w:rsid w:val="00C76E7D"/>
    <w:rsid w:val="00C76F44"/>
    <w:rsid w:val="00C771F7"/>
    <w:rsid w:val="00C773EE"/>
    <w:rsid w:val="00C774B8"/>
    <w:rsid w:val="00C774CE"/>
    <w:rsid w:val="00C77563"/>
    <w:rsid w:val="00C7766F"/>
    <w:rsid w:val="00C7777B"/>
    <w:rsid w:val="00C7779B"/>
    <w:rsid w:val="00C77916"/>
    <w:rsid w:val="00C77C04"/>
    <w:rsid w:val="00C77CD0"/>
    <w:rsid w:val="00C77CF0"/>
    <w:rsid w:val="00C77D77"/>
    <w:rsid w:val="00C8002D"/>
    <w:rsid w:val="00C80170"/>
    <w:rsid w:val="00C80269"/>
    <w:rsid w:val="00C80414"/>
    <w:rsid w:val="00C806CB"/>
    <w:rsid w:val="00C80796"/>
    <w:rsid w:val="00C807D6"/>
    <w:rsid w:val="00C8083D"/>
    <w:rsid w:val="00C808B4"/>
    <w:rsid w:val="00C808C9"/>
    <w:rsid w:val="00C808D9"/>
    <w:rsid w:val="00C80948"/>
    <w:rsid w:val="00C8094F"/>
    <w:rsid w:val="00C80A7D"/>
    <w:rsid w:val="00C80BB4"/>
    <w:rsid w:val="00C80F9D"/>
    <w:rsid w:val="00C81068"/>
    <w:rsid w:val="00C8116E"/>
    <w:rsid w:val="00C811D2"/>
    <w:rsid w:val="00C81492"/>
    <w:rsid w:val="00C814A6"/>
    <w:rsid w:val="00C814F0"/>
    <w:rsid w:val="00C8158A"/>
    <w:rsid w:val="00C815C3"/>
    <w:rsid w:val="00C81743"/>
    <w:rsid w:val="00C81819"/>
    <w:rsid w:val="00C81850"/>
    <w:rsid w:val="00C818FB"/>
    <w:rsid w:val="00C81A01"/>
    <w:rsid w:val="00C81CC2"/>
    <w:rsid w:val="00C81DEC"/>
    <w:rsid w:val="00C81F40"/>
    <w:rsid w:val="00C81FAF"/>
    <w:rsid w:val="00C82004"/>
    <w:rsid w:val="00C82205"/>
    <w:rsid w:val="00C8229C"/>
    <w:rsid w:val="00C82300"/>
    <w:rsid w:val="00C8241A"/>
    <w:rsid w:val="00C8266C"/>
    <w:rsid w:val="00C82904"/>
    <w:rsid w:val="00C82930"/>
    <w:rsid w:val="00C82992"/>
    <w:rsid w:val="00C829E3"/>
    <w:rsid w:val="00C82C70"/>
    <w:rsid w:val="00C82D5A"/>
    <w:rsid w:val="00C82DDD"/>
    <w:rsid w:val="00C82E85"/>
    <w:rsid w:val="00C82F1B"/>
    <w:rsid w:val="00C82F7D"/>
    <w:rsid w:val="00C82FC8"/>
    <w:rsid w:val="00C83017"/>
    <w:rsid w:val="00C83119"/>
    <w:rsid w:val="00C83492"/>
    <w:rsid w:val="00C83522"/>
    <w:rsid w:val="00C837B4"/>
    <w:rsid w:val="00C83808"/>
    <w:rsid w:val="00C83937"/>
    <w:rsid w:val="00C83A10"/>
    <w:rsid w:val="00C83A71"/>
    <w:rsid w:val="00C83BF9"/>
    <w:rsid w:val="00C83CD5"/>
    <w:rsid w:val="00C83D42"/>
    <w:rsid w:val="00C83ED4"/>
    <w:rsid w:val="00C83F55"/>
    <w:rsid w:val="00C83F99"/>
    <w:rsid w:val="00C83FD6"/>
    <w:rsid w:val="00C841AF"/>
    <w:rsid w:val="00C8435D"/>
    <w:rsid w:val="00C84693"/>
    <w:rsid w:val="00C8473B"/>
    <w:rsid w:val="00C847D3"/>
    <w:rsid w:val="00C84846"/>
    <w:rsid w:val="00C8487F"/>
    <w:rsid w:val="00C84914"/>
    <w:rsid w:val="00C84B0D"/>
    <w:rsid w:val="00C84BA2"/>
    <w:rsid w:val="00C84BB6"/>
    <w:rsid w:val="00C84DD3"/>
    <w:rsid w:val="00C84E4F"/>
    <w:rsid w:val="00C84E60"/>
    <w:rsid w:val="00C84E77"/>
    <w:rsid w:val="00C85211"/>
    <w:rsid w:val="00C852B8"/>
    <w:rsid w:val="00C852B9"/>
    <w:rsid w:val="00C85373"/>
    <w:rsid w:val="00C8540A"/>
    <w:rsid w:val="00C8563A"/>
    <w:rsid w:val="00C856CF"/>
    <w:rsid w:val="00C85A95"/>
    <w:rsid w:val="00C85C3D"/>
    <w:rsid w:val="00C85D5E"/>
    <w:rsid w:val="00C85E94"/>
    <w:rsid w:val="00C85F14"/>
    <w:rsid w:val="00C85FA8"/>
    <w:rsid w:val="00C86048"/>
    <w:rsid w:val="00C86232"/>
    <w:rsid w:val="00C86275"/>
    <w:rsid w:val="00C862E7"/>
    <w:rsid w:val="00C86331"/>
    <w:rsid w:val="00C86471"/>
    <w:rsid w:val="00C86583"/>
    <w:rsid w:val="00C86620"/>
    <w:rsid w:val="00C86C7F"/>
    <w:rsid w:val="00C86CFD"/>
    <w:rsid w:val="00C8708D"/>
    <w:rsid w:val="00C87145"/>
    <w:rsid w:val="00C8724B"/>
    <w:rsid w:val="00C87274"/>
    <w:rsid w:val="00C87630"/>
    <w:rsid w:val="00C87691"/>
    <w:rsid w:val="00C87704"/>
    <w:rsid w:val="00C8770C"/>
    <w:rsid w:val="00C877F5"/>
    <w:rsid w:val="00C87961"/>
    <w:rsid w:val="00C87A30"/>
    <w:rsid w:val="00C87BCB"/>
    <w:rsid w:val="00C87C9C"/>
    <w:rsid w:val="00C87D72"/>
    <w:rsid w:val="00C87E73"/>
    <w:rsid w:val="00C87F34"/>
    <w:rsid w:val="00C87FA4"/>
    <w:rsid w:val="00C90175"/>
    <w:rsid w:val="00C90335"/>
    <w:rsid w:val="00C9044F"/>
    <w:rsid w:val="00C907EA"/>
    <w:rsid w:val="00C90858"/>
    <w:rsid w:val="00C9090C"/>
    <w:rsid w:val="00C90C5B"/>
    <w:rsid w:val="00C90D1E"/>
    <w:rsid w:val="00C90DDE"/>
    <w:rsid w:val="00C90F08"/>
    <w:rsid w:val="00C90F85"/>
    <w:rsid w:val="00C91452"/>
    <w:rsid w:val="00C91458"/>
    <w:rsid w:val="00C9172A"/>
    <w:rsid w:val="00C91A03"/>
    <w:rsid w:val="00C91AA7"/>
    <w:rsid w:val="00C91C16"/>
    <w:rsid w:val="00C91C3C"/>
    <w:rsid w:val="00C91D11"/>
    <w:rsid w:val="00C91DBC"/>
    <w:rsid w:val="00C91E84"/>
    <w:rsid w:val="00C91EC7"/>
    <w:rsid w:val="00C91FE8"/>
    <w:rsid w:val="00C920AF"/>
    <w:rsid w:val="00C920FA"/>
    <w:rsid w:val="00C9220B"/>
    <w:rsid w:val="00C92265"/>
    <w:rsid w:val="00C922F3"/>
    <w:rsid w:val="00C9232A"/>
    <w:rsid w:val="00C923A0"/>
    <w:rsid w:val="00C924DD"/>
    <w:rsid w:val="00C92628"/>
    <w:rsid w:val="00C9264A"/>
    <w:rsid w:val="00C928C5"/>
    <w:rsid w:val="00C92A20"/>
    <w:rsid w:val="00C92A61"/>
    <w:rsid w:val="00C92AC5"/>
    <w:rsid w:val="00C92B2E"/>
    <w:rsid w:val="00C92C39"/>
    <w:rsid w:val="00C92EF0"/>
    <w:rsid w:val="00C92FEE"/>
    <w:rsid w:val="00C9302D"/>
    <w:rsid w:val="00C9331A"/>
    <w:rsid w:val="00C93449"/>
    <w:rsid w:val="00C93717"/>
    <w:rsid w:val="00C937E9"/>
    <w:rsid w:val="00C93D4F"/>
    <w:rsid w:val="00C93E58"/>
    <w:rsid w:val="00C93F9F"/>
    <w:rsid w:val="00C93FAE"/>
    <w:rsid w:val="00C94033"/>
    <w:rsid w:val="00C94420"/>
    <w:rsid w:val="00C9465B"/>
    <w:rsid w:val="00C946B4"/>
    <w:rsid w:val="00C94836"/>
    <w:rsid w:val="00C9490A"/>
    <w:rsid w:val="00C94A09"/>
    <w:rsid w:val="00C94A3F"/>
    <w:rsid w:val="00C94E6F"/>
    <w:rsid w:val="00C94E98"/>
    <w:rsid w:val="00C94F5C"/>
    <w:rsid w:val="00C9503B"/>
    <w:rsid w:val="00C9506E"/>
    <w:rsid w:val="00C95072"/>
    <w:rsid w:val="00C95297"/>
    <w:rsid w:val="00C9529A"/>
    <w:rsid w:val="00C95653"/>
    <w:rsid w:val="00C95677"/>
    <w:rsid w:val="00C95714"/>
    <w:rsid w:val="00C957FD"/>
    <w:rsid w:val="00C95CD7"/>
    <w:rsid w:val="00C95D6E"/>
    <w:rsid w:val="00C95D89"/>
    <w:rsid w:val="00C96027"/>
    <w:rsid w:val="00C96073"/>
    <w:rsid w:val="00C960A3"/>
    <w:rsid w:val="00C961D8"/>
    <w:rsid w:val="00C96264"/>
    <w:rsid w:val="00C96441"/>
    <w:rsid w:val="00C9661A"/>
    <w:rsid w:val="00C96A78"/>
    <w:rsid w:val="00C96A81"/>
    <w:rsid w:val="00C96AA5"/>
    <w:rsid w:val="00C96EBD"/>
    <w:rsid w:val="00C96FC3"/>
    <w:rsid w:val="00C96FD7"/>
    <w:rsid w:val="00C970E7"/>
    <w:rsid w:val="00C97295"/>
    <w:rsid w:val="00C97453"/>
    <w:rsid w:val="00C97544"/>
    <w:rsid w:val="00C97547"/>
    <w:rsid w:val="00C977D0"/>
    <w:rsid w:val="00C978E1"/>
    <w:rsid w:val="00C97978"/>
    <w:rsid w:val="00C97B15"/>
    <w:rsid w:val="00C97E4D"/>
    <w:rsid w:val="00CA01F5"/>
    <w:rsid w:val="00CA027B"/>
    <w:rsid w:val="00CA029D"/>
    <w:rsid w:val="00CA03FE"/>
    <w:rsid w:val="00CA04CD"/>
    <w:rsid w:val="00CA0813"/>
    <w:rsid w:val="00CA0A1F"/>
    <w:rsid w:val="00CA0B42"/>
    <w:rsid w:val="00CA0F01"/>
    <w:rsid w:val="00CA11A6"/>
    <w:rsid w:val="00CA1333"/>
    <w:rsid w:val="00CA13EB"/>
    <w:rsid w:val="00CA1475"/>
    <w:rsid w:val="00CA15D0"/>
    <w:rsid w:val="00CA1696"/>
    <w:rsid w:val="00CA1722"/>
    <w:rsid w:val="00CA1785"/>
    <w:rsid w:val="00CA17AA"/>
    <w:rsid w:val="00CA1B5E"/>
    <w:rsid w:val="00CA1C78"/>
    <w:rsid w:val="00CA1CB1"/>
    <w:rsid w:val="00CA1E29"/>
    <w:rsid w:val="00CA1F9C"/>
    <w:rsid w:val="00CA2126"/>
    <w:rsid w:val="00CA2292"/>
    <w:rsid w:val="00CA24A4"/>
    <w:rsid w:val="00CA24D3"/>
    <w:rsid w:val="00CA2701"/>
    <w:rsid w:val="00CA296D"/>
    <w:rsid w:val="00CA2A8E"/>
    <w:rsid w:val="00CA2BA3"/>
    <w:rsid w:val="00CA2DE9"/>
    <w:rsid w:val="00CA30EA"/>
    <w:rsid w:val="00CA319C"/>
    <w:rsid w:val="00CA3425"/>
    <w:rsid w:val="00CA35A4"/>
    <w:rsid w:val="00CA3639"/>
    <w:rsid w:val="00CA3697"/>
    <w:rsid w:val="00CA3758"/>
    <w:rsid w:val="00CA385D"/>
    <w:rsid w:val="00CA3921"/>
    <w:rsid w:val="00CA39EB"/>
    <w:rsid w:val="00CA3EE5"/>
    <w:rsid w:val="00CA4269"/>
    <w:rsid w:val="00CA42A9"/>
    <w:rsid w:val="00CA4322"/>
    <w:rsid w:val="00CA44F1"/>
    <w:rsid w:val="00CA45A1"/>
    <w:rsid w:val="00CA46A6"/>
    <w:rsid w:val="00CA483A"/>
    <w:rsid w:val="00CA4889"/>
    <w:rsid w:val="00CA4959"/>
    <w:rsid w:val="00CA4A64"/>
    <w:rsid w:val="00CA4ACE"/>
    <w:rsid w:val="00CA4B61"/>
    <w:rsid w:val="00CA4BE8"/>
    <w:rsid w:val="00CA4C44"/>
    <w:rsid w:val="00CA4E6F"/>
    <w:rsid w:val="00CA5097"/>
    <w:rsid w:val="00CA5106"/>
    <w:rsid w:val="00CA5297"/>
    <w:rsid w:val="00CA52B0"/>
    <w:rsid w:val="00CA5772"/>
    <w:rsid w:val="00CA5946"/>
    <w:rsid w:val="00CA5991"/>
    <w:rsid w:val="00CA5A38"/>
    <w:rsid w:val="00CA5A77"/>
    <w:rsid w:val="00CA5B9B"/>
    <w:rsid w:val="00CA5CCB"/>
    <w:rsid w:val="00CA5EEC"/>
    <w:rsid w:val="00CA5F8A"/>
    <w:rsid w:val="00CA6052"/>
    <w:rsid w:val="00CA615B"/>
    <w:rsid w:val="00CA6233"/>
    <w:rsid w:val="00CA6264"/>
    <w:rsid w:val="00CA653C"/>
    <w:rsid w:val="00CA676C"/>
    <w:rsid w:val="00CA6859"/>
    <w:rsid w:val="00CA6A36"/>
    <w:rsid w:val="00CA6A99"/>
    <w:rsid w:val="00CA6AEF"/>
    <w:rsid w:val="00CA6BA6"/>
    <w:rsid w:val="00CA6BE4"/>
    <w:rsid w:val="00CA6C56"/>
    <w:rsid w:val="00CA6C86"/>
    <w:rsid w:val="00CA6DD5"/>
    <w:rsid w:val="00CA6E21"/>
    <w:rsid w:val="00CA6EF1"/>
    <w:rsid w:val="00CA708D"/>
    <w:rsid w:val="00CA70DD"/>
    <w:rsid w:val="00CA70EB"/>
    <w:rsid w:val="00CA71AE"/>
    <w:rsid w:val="00CA71C2"/>
    <w:rsid w:val="00CA743F"/>
    <w:rsid w:val="00CA752D"/>
    <w:rsid w:val="00CA7588"/>
    <w:rsid w:val="00CA76AC"/>
    <w:rsid w:val="00CA76D0"/>
    <w:rsid w:val="00CA76E2"/>
    <w:rsid w:val="00CA7883"/>
    <w:rsid w:val="00CA7DFD"/>
    <w:rsid w:val="00CB0145"/>
    <w:rsid w:val="00CB0185"/>
    <w:rsid w:val="00CB0359"/>
    <w:rsid w:val="00CB06C7"/>
    <w:rsid w:val="00CB0782"/>
    <w:rsid w:val="00CB0B18"/>
    <w:rsid w:val="00CB0C54"/>
    <w:rsid w:val="00CB0DBC"/>
    <w:rsid w:val="00CB0DD1"/>
    <w:rsid w:val="00CB0E46"/>
    <w:rsid w:val="00CB0E49"/>
    <w:rsid w:val="00CB0E4C"/>
    <w:rsid w:val="00CB0E77"/>
    <w:rsid w:val="00CB0FB7"/>
    <w:rsid w:val="00CB1026"/>
    <w:rsid w:val="00CB110E"/>
    <w:rsid w:val="00CB11F8"/>
    <w:rsid w:val="00CB1247"/>
    <w:rsid w:val="00CB12D1"/>
    <w:rsid w:val="00CB1450"/>
    <w:rsid w:val="00CB15A4"/>
    <w:rsid w:val="00CB1648"/>
    <w:rsid w:val="00CB1B33"/>
    <w:rsid w:val="00CB1B77"/>
    <w:rsid w:val="00CB1BA9"/>
    <w:rsid w:val="00CB1C78"/>
    <w:rsid w:val="00CB1DF7"/>
    <w:rsid w:val="00CB1ECC"/>
    <w:rsid w:val="00CB1F2B"/>
    <w:rsid w:val="00CB1F5C"/>
    <w:rsid w:val="00CB20B8"/>
    <w:rsid w:val="00CB2159"/>
    <w:rsid w:val="00CB2193"/>
    <w:rsid w:val="00CB2247"/>
    <w:rsid w:val="00CB22A0"/>
    <w:rsid w:val="00CB23F3"/>
    <w:rsid w:val="00CB24E3"/>
    <w:rsid w:val="00CB2551"/>
    <w:rsid w:val="00CB257A"/>
    <w:rsid w:val="00CB271A"/>
    <w:rsid w:val="00CB2784"/>
    <w:rsid w:val="00CB27B1"/>
    <w:rsid w:val="00CB27D7"/>
    <w:rsid w:val="00CB2851"/>
    <w:rsid w:val="00CB2A24"/>
    <w:rsid w:val="00CB2A99"/>
    <w:rsid w:val="00CB2C73"/>
    <w:rsid w:val="00CB2DED"/>
    <w:rsid w:val="00CB2FE3"/>
    <w:rsid w:val="00CB3154"/>
    <w:rsid w:val="00CB3341"/>
    <w:rsid w:val="00CB34FC"/>
    <w:rsid w:val="00CB359C"/>
    <w:rsid w:val="00CB36B9"/>
    <w:rsid w:val="00CB36CC"/>
    <w:rsid w:val="00CB3725"/>
    <w:rsid w:val="00CB385F"/>
    <w:rsid w:val="00CB38F7"/>
    <w:rsid w:val="00CB393E"/>
    <w:rsid w:val="00CB3A71"/>
    <w:rsid w:val="00CB3C23"/>
    <w:rsid w:val="00CB3C5E"/>
    <w:rsid w:val="00CB3EB5"/>
    <w:rsid w:val="00CB4032"/>
    <w:rsid w:val="00CB4068"/>
    <w:rsid w:val="00CB40A8"/>
    <w:rsid w:val="00CB40AA"/>
    <w:rsid w:val="00CB41EB"/>
    <w:rsid w:val="00CB43CA"/>
    <w:rsid w:val="00CB443D"/>
    <w:rsid w:val="00CB46D8"/>
    <w:rsid w:val="00CB47E8"/>
    <w:rsid w:val="00CB4A0A"/>
    <w:rsid w:val="00CB4A7A"/>
    <w:rsid w:val="00CB4ABF"/>
    <w:rsid w:val="00CB4B9D"/>
    <w:rsid w:val="00CB4C8F"/>
    <w:rsid w:val="00CB4E3B"/>
    <w:rsid w:val="00CB4E3F"/>
    <w:rsid w:val="00CB4F48"/>
    <w:rsid w:val="00CB50A6"/>
    <w:rsid w:val="00CB50D7"/>
    <w:rsid w:val="00CB5218"/>
    <w:rsid w:val="00CB52AC"/>
    <w:rsid w:val="00CB53F3"/>
    <w:rsid w:val="00CB53F7"/>
    <w:rsid w:val="00CB552E"/>
    <w:rsid w:val="00CB5602"/>
    <w:rsid w:val="00CB58CB"/>
    <w:rsid w:val="00CB5A32"/>
    <w:rsid w:val="00CB5B0F"/>
    <w:rsid w:val="00CB5D2D"/>
    <w:rsid w:val="00CB5D44"/>
    <w:rsid w:val="00CB5D89"/>
    <w:rsid w:val="00CB5DFF"/>
    <w:rsid w:val="00CB5E0C"/>
    <w:rsid w:val="00CB5E79"/>
    <w:rsid w:val="00CB5E91"/>
    <w:rsid w:val="00CB5ED8"/>
    <w:rsid w:val="00CB5F4B"/>
    <w:rsid w:val="00CB5FC5"/>
    <w:rsid w:val="00CB6058"/>
    <w:rsid w:val="00CB60A6"/>
    <w:rsid w:val="00CB65B5"/>
    <w:rsid w:val="00CB6673"/>
    <w:rsid w:val="00CB6679"/>
    <w:rsid w:val="00CB6783"/>
    <w:rsid w:val="00CB67A9"/>
    <w:rsid w:val="00CB68B7"/>
    <w:rsid w:val="00CB69F5"/>
    <w:rsid w:val="00CB6D80"/>
    <w:rsid w:val="00CB6F8A"/>
    <w:rsid w:val="00CB6FB7"/>
    <w:rsid w:val="00CB704D"/>
    <w:rsid w:val="00CB70BF"/>
    <w:rsid w:val="00CB737E"/>
    <w:rsid w:val="00CB74F2"/>
    <w:rsid w:val="00CB75E3"/>
    <w:rsid w:val="00CB767D"/>
    <w:rsid w:val="00CB797A"/>
    <w:rsid w:val="00CB7997"/>
    <w:rsid w:val="00CB7B01"/>
    <w:rsid w:val="00CB7C7C"/>
    <w:rsid w:val="00CB7E5F"/>
    <w:rsid w:val="00CC017E"/>
    <w:rsid w:val="00CC01B9"/>
    <w:rsid w:val="00CC0253"/>
    <w:rsid w:val="00CC027D"/>
    <w:rsid w:val="00CC0334"/>
    <w:rsid w:val="00CC038C"/>
    <w:rsid w:val="00CC041B"/>
    <w:rsid w:val="00CC055E"/>
    <w:rsid w:val="00CC058F"/>
    <w:rsid w:val="00CC08C4"/>
    <w:rsid w:val="00CC0909"/>
    <w:rsid w:val="00CC0959"/>
    <w:rsid w:val="00CC0EE7"/>
    <w:rsid w:val="00CC0F03"/>
    <w:rsid w:val="00CC1007"/>
    <w:rsid w:val="00CC1140"/>
    <w:rsid w:val="00CC12CB"/>
    <w:rsid w:val="00CC131D"/>
    <w:rsid w:val="00CC1375"/>
    <w:rsid w:val="00CC17E6"/>
    <w:rsid w:val="00CC1906"/>
    <w:rsid w:val="00CC198B"/>
    <w:rsid w:val="00CC1B32"/>
    <w:rsid w:val="00CC1D73"/>
    <w:rsid w:val="00CC1FC5"/>
    <w:rsid w:val="00CC2053"/>
    <w:rsid w:val="00CC21CD"/>
    <w:rsid w:val="00CC21DE"/>
    <w:rsid w:val="00CC2392"/>
    <w:rsid w:val="00CC2418"/>
    <w:rsid w:val="00CC2583"/>
    <w:rsid w:val="00CC263B"/>
    <w:rsid w:val="00CC271F"/>
    <w:rsid w:val="00CC27F4"/>
    <w:rsid w:val="00CC299D"/>
    <w:rsid w:val="00CC2B42"/>
    <w:rsid w:val="00CC2D2E"/>
    <w:rsid w:val="00CC3012"/>
    <w:rsid w:val="00CC307D"/>
    <w:rsid w:val="00CC30C8"/>
    <w:rsid w:val="00CC311A"/>
    <w:rsid w:val="00CC32AD"/>
    <w:rsid w:val="00CC330F"/>
    <w:rsid w:val="00CC33D8"/>
    <w:rsid w:val="00CC3410"/>
    <w:rsid w:val="00CC35B4"/>
    <w:rsid w:val="00CC39B1"/>
    <w:rsid w:val="00CC3A33"/>
    <w:rsid w:val="00CC3B2D"/>
    <w:rsid w:val="00CC3D27"/>
    <w:rsid w:val="00CC3EAF"/>
    <w:rsid w:val="00CC3F9E"/>
    <w:rsid w:val="00CC42A1"/>
    <w:rsid w:val="00CC42EC"/>
    <w:rsid w:val="00CC4397"/>
    <w:rsid w:val="00CC4763"/>
    <w:rsid w:val="00CC495E"/>
    <w:rsid w:val="00CC49A6"/>
    <w:rsid w:val="00CC4BBE"/>
    <w:rsid w:val="00CC4C3D"/>
    <w:rsid w:val="00CC4D81"/>
    <w:rsid w:val="00CC4DE1"/>
    <w:rsid w:val="00CC4EC5"/>
    <w:rsid w:val="00CC4EDA"/>
    <w:rsid w:val="00CC4F98"/>
    <w:rsid w:val="00CC508F"/>
    <w:rsid w:val="00CC50CA"/>
    <w:rsid w:val="00CC52DF"/>
    <w:rsid w:val="00CC536E"/>
    <w:rsid w:val="00CC5461"/>
    <w:rsid w:val="00CC559B"/>
    <w:rsid w:val="00CC5671"/>
    <w:rsid w:val="00CC58E6"/>
    <w:rsid w:val="00CC594B"/>
    <w:rsid w:val="00CC59F4"/>
    <w:rsid w:val="00CC59F6"/>
    <w:rsid w:val="00CC5A59"/>
    <w:rsid w:val="00CC5B59"/>
    <w:rsid w:val="00CC5D24"/>
    <w:rsid w:val="00CC5E12"/>
    <w:rsid w:val="00CC5ECD"/>
    <w:rsid w:val="00CC5F8D"/>
    <w:rsid w:val="00CC6056"/>
    <w:rsid w:val="00CC61B7"/>
    <w:rsid w:val="00CC636F"/>
    <w:rsid w:val="00CC65E2"/>
    <w:rsid w:val="00CC66CF"/>
    <w:rsid w:val="00CC6764"/>
    <w:rsid w:val="00CC67D5"/>
    <w:rsid w:val="00CC685B"/>
    <w:rsid w:val="00CC689A"/>
    <w:rsid w:val="00CC690E"/>
    <w:rsid w:val="00CC69E8"/>
    <w:rsid w:val="00CC6A27"/>
    <w:rsid w:val="00CC6AE1"/>
    <w:rsid w:val="00CC6AFE"/>
    <w:rsid w:val="00CC6B1D"/>
    <w:rsid w:val="00CC6C62"/>
    <w:rsid w:val="00CC6CCE"/>
    <w:rsid w:val="00CC6D61"/>
    <w:rsid w:val="00CC6FB6"/>
    <w:rsid w:val="00CC710A"/>
    <w:rsid w:val="00CC72F4"/>
    <w:rsid w:val="00CC7448"/>
    <w:rsid w:val="00CC7502"/>
    <w:rsid w:val="00CC7517"/>
    <w:rsid w:val="00CC783E"/>
    <w:rsid w:val="00CC78EE"/>
    <w:rsid w:val="00CC7972"/>
    <w:rsid w:val="00CC7A2F"/>
    <w:rsid w:val="00CC7BF6"/>
    <w:rsid w:val="00CC7C16"/>
    <w:rsid w:val="00CC7CF5"/>
    <w:rsid w:val="00CC7D0F"/>
    <w:rsid w:val="00CC7D25"/>
    <w:rsid w:val="00CC7DEB"/>
    <w:rsid w:val="00CC7E53"/>
    <w:rsid w:val="00CC7F69"/>
    <w:rsid w:val="00CD0030"/>
    <w:rsid w:val="00CD005E"/>
    <w:rsid w:val="00CD02D6"/>
    <w:rsid w:val="00CD0335"/>
    <w:rsid w:val="00CD049C"/>
    <w:rsid w:val="00CD0534"/>
    <w:rsid w:val="00CD0579"/>
    <w:rsid w:val="00CD05C5"/>
    <w:rsid w:val="00CD05F2"/>
    <w:rsid w:val="00CD07E5"/>
    <w:rsid w:val="00CD0819"/>
    <w:rsid w:val="00CD0BC2"/>
    <w:rsid w:val="00CD0BC3"/>
    <w:rsid w:val="00CD0BD5"/>
    <w:rsid w:val="00CD0C51"/>
    <w:rsid w:val="00CD0D40"/>
    <w:rsid w:val="00CD0D51"/>
    <w:rsid w:val="00CD0F35"/>
    <w:rsid w:val="00CD0F54"/>
    <w:rsid w:val="00CD1247"/>
    <w:rsid w:val="00CD1433"/>
    <w:rsid w:val="00CD1594"/>
    <w:rsid w:val="00CD164A"/>
    <w:rsid w:val="00CD1696"/>
    <w:rsid w:val="00CD1AC0"/>
    <w:rsid w:val="00CD1CC5"/>
    <w:rsid w:val="00CD1CD1"/>
    <w:rsid w:val="00CD2078"/>
    <w:rsid w:val="00CD211F"/>
    <w:rsid w:val="00CD2152"/>
    <w:rsid w:val="00CD22D5"/>
    <w:rsid w:val="00CD24D0"/>
    <w:rsid w:val="00CD27F2"/>
    <w:rsid w:val="00CD2862"/>
    <w:rsid w:val="00CD2957"/>
    <w:rsid w:val="00CD2BE4"/>
    <w:rsid w:val="00CD2DFF"/>
    <w:rsid w:val="00CD2E16"/>
    <w:rsid w:val="00CD3014"/>
    <w:rsid w:val="00CD32EB"/>
    <w:rsid w:val="00CD33E9"/>
    <w:rsid w:val="00CD345C"/>
    <w:rsid w:val="00CD3487"/>
    <w:rsid w:val="00CD3848"/>
    <w:rsid w:val="00CD3B84"/>
    <w:rsid w:val="00CD3CFE"/>
    <w:rsid w:val="00CD3DBA"/>
    <w:rsid w:val="00CD3DCD"/>
    <w:rsid w:val="00CD3EC6"/>
    <w:rsid w:val="00CD3EEA"/>
    <w:rsid w:val="00CD40E1"/>
    <w:rsid w:val="00CD424F"/>
    <w:rsid w:val="00CD4449"/>
    <w:rsid w:val="00CD455A"/>
    <w:rsid w:val="00CD45B6"/>
    <w:rsid w:val="00CD464E"/>
    <w:rsid w:val="00CD46A3"/>
    <w:rsid w:val="00CD46AA"/>
    <w:rsid w:val="00CD4752"/>
    <w:rsid w:val="00CD47F4"/>
    <w:rsid w:val="00CD4856"/>
    <w:rsid w:val="00CD485B"/>
    <w:rsid w:val="00CD4C02"/>
    <w:rsid w:val="00CD4C0C"/>
    <w:rsid w:val="00CD4D0E"/>
    <w:rsid w:val="00CD4F73"/>
    <w:rsid w:val="00CD50FC"/>
    <w:rsid w:val="00CD51BC"/>
    <w:rsid w:val="00CD53F0"/>
    <w:rsid w:val="00CD5456"/>
    <w:rsid w:val="00CD5887"/>
    <w:rsid w:val="00CD5903"/>
    <w:rsid w:val="00CD59F5"/>
    <w:rsid w:val="00CD5C05"/>
    <w:rsid w:val="00CD5C29"/>
    <w:rsid w:val="00CD5F21"/>
    <w:rsid w:val="00CD5F39"/>
    <w:rsid w:val="00CD5FB9"/>
    <w:rsid w:val="00CD60A0"/>
    <w:rsid w:val="00CD6132"/>
    <w:rsid w:val="00CD618D"/>
    <w:rsid w:val="00CD629A"/>
    <w:rsid w:val="00CD6364"/>
    <w:rsid w:val="00CD637E"/>
    <w:rsid w:val="00CD63A5"/>
    <w:rsid w:val="00CD64C2"/>
    <w:rsid w:val="00CD65F1"/>
    <w:rsid w:val="00CD6700"/>
    <w:rsid w:val="00CD670B"/>
    <w:rsid w:val="00CD6746"/>
    <w:rsid w:val="00CD67F5"/>
    <w:rsid w:val="00CD6859"/>
    <w:rsid w:val="00CD6AD7"/>
    <w:rsid w:val="00CD6E3F"/>
    <w:rsid w:val="00CD6E7C"/>
    <w:rsid w:val="00CD6FDD"/>
    <w:rsid w:val="00CD700A"/>
    <w:rsid w:val="00CD707F"/>
    <w:rsid w:val="00CD7431"/>
    <w:rsid w:val="00CD7459"/>
    <w:rsid w:val="00CD754C"/>
    <w:rsid w:val="00CD7638"/>
    <w:rsid w:val="00CD766B"/>
    <w:rsid w:val="00CD76C0"/>
    <w:rsid w:val="00CD771E"/>
    <w:rsid w:val="00CD775D"/>
    <w:rsid w:val="00CD7803"/>
    <w:rsid w:val="00CD7AD2"/>
    <w:rsid w:val="00CD7E4F"/>
    <w:rsid w:val="00CD7E85"/>
    <w:rsid w:val="00CE024E"/>
    <w:rsid w:val="00CE027D"/>
    <w:rsid w:val="00CE031F"/>
    <w:rsid w:val="00CE035B"/>
    <w:rsid w:val="00CE03D3"/>
    <w:rsid w:val="00CE03FB"/>
    <w:rsid w:val="00CE0499"/>
    <w:rsid w:val="00CE050B"/>
    <w:rsid w:val="00CE07D7"/>
    <w:rsid w:val="00CE0927"/>
    <w:rsid w:val="00CE0A52"/>
    <w:rsid w:val="00CE0C74"/>
    <w:rsid w:val="00CE0CBD"/>
    <w:rsid w:val="00CE0CE4"/>
    <w:rsid w:val="00CE0DFE"/>
    <w:rsid w:val="00CE0F49"/>
    <w:rsid w:val="00CE1419"/>
    <w:rsid w:val="00CE1624"/>
    <w:rsid w:val="00CE1716"/>
    <w:rsid w:val="00CE1735"/>
    <w:rsid w:val="00CE17F6"/>
    <w:rsid w:val="00CE18F8"/>
    <w:rsid w:val="00CE1A58"/>
    <w:rsid w:val="00CE1B40"/>
    <w:rsid w:val="00CE1DC7"/>
    <w:rsid w:val="00CE1F3C"/>
    <w:rsid w:val="00CE1F6D"/>
    <w:rsid w:val="00CE2040"/>
    <w:rsid w:val="00CE216C"/>
    <w:rsid w:val="00CE2259"/>
    <w:rsid w:val="00CE2392"/>
    <w:rsid w:val="00CE254A"/>
    <w:rsid w:val="00CE261B"/>
    <w:rsid w:val="00CE271C"/>
    <w:rsid w:val="00CE27C7"/>
    <w:rsid w:val="00CE2A21"/>
    <w:rsid w:val="00CE2A70"/>
    <w:rsid w:val="00CE2AD9"/>
    <w:rsid w:val="00CE2AF7"/>
    <w:rsid w:val="00CE2D4A"/>
    <w:rsid w:val="00CE2E11"/>
    <w:rsid w:val="00CE2E86"/>
    <w:rsid w:val="00CE2EFE"/>
    <w:rsid w:val="00CE334B"/>
    <w:rsid w:val="00CE33FE"/>
    <w:rsid w:val="00CE347D"/>
    <w:rsid w:val="00CE35E5"/>
    <w:rsid w:val="00CE36ED"/>
    <w:rsid w:val="00CE3729"/>
    <w:rsid w:val="00CE37E7"/>
    <w:rsid w:val="00CE3867"/>
    <w:rsid w:val="00CE38AF"/>
    <w:rsid w:val="00CE3956"/>
    <w:rsid w:val="00CE3ABD"/>
    <w:rsid w:val="00CE3B2F"/>
    <w:rsid w:val="00CE3D84"/>
    <w:rsid w:val="00CE3DE1"/>
    <w:rsid w:val="00CE3F7A"/>
    <w:rsid w:val="00CE40B6"/>
    <w:rsid w:val="00CE44E2"/>
    <w:rsid w:val="00CE465A"/>
    <w:rsid w:val="00CE469A"/>
    <w:rsid w:val="00CE4815"/>
    <w:rsid w:val="00CE49B0"/>
    <w:rsid w:val="00CE4ADA"/>
    <w:rsid w:val="00CE4E1F"/>
    <w:rsid w:val="00CE50BB"/>
    <w:rsid w:val="00CE579A"/>
    <w:rsid w:val="00CE57CC"/>
    <w:rsid w:val="00CE58D8"/>
    <w:rsid w:val="00CE59B8"/>
    <w:rsid w:val="00CE5A01"/>
    <w:rsid w:val="00CE5B08"/>
    <w:rsid w:val="00CE5D0F"/>
    <w:rsid w:val="00CE5ED6"/>
    <w:rsid w:val="00CE6136"/>
    <w:rsid w:val="00CE62A3"/>
    <w:rsid w:val="00CE62B4"/>
    <w:rsid w:val="00CE654B"/>
    <w:rsid w:val="00CE68C7"/>
    <w:rsid w:val="00CE68D7"/>
    <w:rsid w:val="00CE6A4E"/>
    <w:rsid w:val="00CE6D80"/>
    <w:rsid w:val="00CE6F10"/>
    <w:rsid w:val="00CE6F2D"/>
    <w:rsid w:val="00CE6F55"/>
    <w:rsid w:val="00CE6F58"/>
    <w:rsid w:val="00CE70FE"/>
    <w:rsid w:val="00CE71B9"/>
    <w:rsid w:val="00CE75F7"/>
    <w:rsid w:val="00CE7683"/>
    <w:rsid w:val="00CE76C9"/>
    <w:rsid w:val="00CE77AC"/>
    <w:rsid w:val="00CE788C"/>
    <w:rsid w:val="00CE7927"/>
    <w:rsid w:val="00CE798C"/>
    <w:rsid w:val="00CE79F1"/>
    <w:rsid w:val="00CE7A18"/>
    <w:rsid w:val="00CE7A82"/>
    <w:rsid w:val="00CE7BA4"/>
    <w:rsid w:val="00CE7F0D"/>
    <w:rsid w:val="00CF002C"/>
    <w:rsid w:val="00CF006B"/>
    <w:rsid w:val="00CF0305"/>
    <w:rsid w:val="00CF03FF"/>
    <w:rsid w:val="00CF0401"/>
    <w:rsid w:val="00CF0540"/>
    <w:rsid w:val="00CF0578"/>
    <w:rsid w:val="00CF07D2"/>
    <w:rsid w:val="00CF0CFE"/>
    <w:rsid w:val="00CF0EC4"/>
    <w:rsid w:val="00CF10B1"/>
    <w:rsid w:val="00CF10BE"/>
    <w:rsid w:val="00CF113F"/>
    <w:rsid w:val="00CF11D4"/>
    <w:rsid w:val="00CF11E9"/>
    <w:rsid w:val="00CF1236"/>
    <w:rsid w:val="00CF1728"/>
    <w:rsid w:val="00CF1807"/>
    <w:rsid w:val="00CF18BA"/>
    <w:rsid w:val="00CF1BC0"/>
    <w:rsid w:val="00CF1BF2"/>
    <w:rsid w:val="00CF1C10"/>
    <w:rsid w:val="00CF1C6F"/>
    <w:rsid w:val="00CF1F56"/>
    <w:rsid w:val="00CF2125"/>
    <w:rsid w:val="00CF22AD"/>
    <w:rsid w:val="00CF2369"/>
    <w:rsid w:val="00CF2647"/>
    <w:rsid w:val="00CF26CB"/>
    <w:rsid w:val="00CF2756"/>
    <w:rsid w:val="00CF2947"/>
    <w:rsid w:val="00CF29D7"/>
    <w:rsid w:val="00CF2AA0"/>
    <w:rsid w:val="00CF2BB4"/>
    <w:rsid w:val="00CF2D21"/>
    <w:rsid w:val="00CF2D32"/>
    <w:rsid w:val="00CF2D58"/>
    <w:rsid w:val="00CF2D91"/>
    <w:rsid w:val="00CF30C2"/>
    <w:rsid w:val="00CF326C"/>
    <w:rsid w:val="00CF3403"/>
    <w:rsid w:val="00CF3484"/>
    <w:rsid w:val="00CF3604"/>
    <w:rsid w:val="00CF36C7"/>
    <w:rsid w:val="00CF372F"/>
    <w:rsid w:val="00CF39CD"/>
    <w:rsid w:val="00CF3A5F"/>
    <w:rsid w:val="00CF3A91"/>
    <w:rsid w:val="00CF3AA3"/>
    <w:rsid w:val="00CF3AD5"/>
    <w:rsid w:val="00CF3BE9"/>
    <w:rsid w:val="00CF3C29"/>
    <w:rsid w:val="00CF3DED"/>
    <w:rsid w:val="00CF41F1"/>
    <w:rsid w:val="00CF4504"/>
    <w:rsid w:val="00CF45A9"/>
    <w:rsid w:val="00CF46C3"/>
    <w:rsid w:val="00CF4A07"/>
    <w:rsid w:val="00CF4AC7"/>
    <w:rsid w:val="00CF4B96"/>
    <w:rsid w:val="00CF4B99"/>
    <w:rsid w:val="00CF4BAF"/>
    <w:rsid w:val="00CF4BC4"/>
    <w:rsid w:val="00CF4D12"/>
    <w:rsid w:val="00CF4DC9"/>
    <w:rsid w:val="00CF4DF0"/>
    <w:rsid w:val="00CF4E07"/>
    <w:rsid w:val="00CF4EF4"/>
    <w:rsid w:val="00CF501B"/>
    <w:rsid w:val="00CF507E"/>
    <w:rsid w:val="00CF5361"/>
    <w:rsid w:val="00CF5472"/>
    <w:rsid w:val="00CF56AF"/>
    <w:rsid w:val="00CF5929"/>
    <w:rsid w:val="00CF5AB3"/>
    <w:rsid w:val="00CF5B2D"/>
    <w:rsid w:val="00CF5D62"/>
    <w:rsid w:val="00CF5E07"/>
    <w:rsid w:val="00CF5EA5"/>
    <w:rsid w:val="00CF5F12"/>
    <w:rsid w:val="00CF5F33"/>
    <w:rsid w:val="00CF5F83"/>
    <w:rsid w:val="00CF6362"/>
    <w:rsid w:val="00CF6396"/>
    <w:rsid w:val="00CF667E"/>
    <w:rsid w:val="00CF66D9"/>
    <w:rsid w:val="00CF6785"/>
    <w:rsid w:val="00CF67FE"/>
    <w:rsid w:val="00CF69C8"/>
    <w:rsid w:val="00CF6A76"/>
    <w:rsid w:val="00CF6AD3"/>
    <w:rsid w:val="00CF6BEF"/>
    <w:rsid w:val="00CF6C81"/>
    <w:rsid w:val="00CF6E12"/>
    <w:rsid w:val="00CF6F91"/>
    <w:rsid w:val="00CF702C"/>
    <w:rsid w:val="00CF7182"/>
    <w:rsid w:val="00CF71FC"/>
    <w:rsid w:val="00CF7323"/>
    <w:rsid w:val="00CF73D1"/>
    <w:rsid w:val="00CF7444"/>
    <w:rsid w:val="00CF7875"/>
    <w:rsid w:val="00CF7B15"/>
    <w:rsid w:val="00CF7D64"/>
    <w:rsid w:val="00CF7D76"/>
    <w:rsid w:val="00CF7E20"/>
    <w:rsid w:val="00CF7F91"/>
    <w:rsid w:val="00D00450"/>
    <w:rsid w:val="00D00453"/>
    <w:rsid w:val="00D00576"/>
    <w:rsid w:val="00D00810"/>
    <w:rsid w:val="00D0087B"/>
    <w:rsid w:val="00D008A1"/>
    <w:rsid w:val="00D008B4"/>
    <w:rsid w:val="00D008F5"/>
    <w:rsid w:val="00D00B9D"/>
    <w:rsid w:val="00D00C0C"/>
    <w:rsid w:val="00D00D3A"/>
    <w:rsid w:val="00D00FC5"/>
    <w:rsid w:val="00D010F4"/>
    <w:rsid w:val="00D011EB"/>
    <w:rsid w:val="00D01212"/>
    <w:rsid w:val="00D013C9"/>
    <w:rsid w:val="00D0152E"/>
    <w:rsid w:val="00D017BE"/>
    <w:rsid w:val="00D01803"/>
    <w:rsid w:val="00D01855"/>
    <w:rsid w:val="00D01B19"/>
    <w:rsid w:val="00D01CDE"/>
    <w:rsid w:val="00D01EFB"/>
    <w:rsid w:val="00D020B8"/>
    <w:rsid w:val="00D020C2"/>
    <w:rsid w:val="00D021B2"/>
    <w:rsid w:val="00D021BA"/>
    <w:rsid w:val="00D023DE"/>
    <w:rsid w:val="00D024AC"/>
    <w:rsid w:val="00D026A5"/>
    <w:rsid w:val="00D02716"/>
    <w:rsid w:val="00D0273D"/>
    <w:rsid w:val="00D0282E"/>
    <w:rsid w:val="00D0289B"/>
    <w:rsid w:val="00D02961"/>
    <w:rsid w:val="00D029D4"/>
    <w:rsid w:val="00D02B37"/>
    <w:rsid w:val="00D02DCD"/>
    <w:rsid w:val="00D031EF"/>
    <w:rsid w:val="00D0354C"/>
    <w:rsid w:val="00D03915"/>
    <w:rsid w:val="00D039F7"/>
    <w:rsid w:val="00D03AC2"/>
    <w:rsid w:val="00D03D52"/>
    <w:rsid w:val="00D03D73"/>
    <w:rsid w:val="00D03D91"/>
    <w:rsid w:val="00D03E0E"/>
    <w:rsid w:val="00D03E50"/>
    <w:rsid w:val="00D04082"/>
    <w:rsid w:val="00D042BC"/>
    <w:rsid w:val="00D04405"/>
    <w:rsid w:val="00D045E6"/>
    <w:rsid w:val="00D0463B"/>
    <w:rsid w:val="00D04916"/>
    <w:rsid w:val="00D04A05"/>
    <w:rsid w:val="00D04A8D"/>
    <w:rsid w:val="00D04BB5"/>
    <w:rsid w:val="00D04C2B"/>
    <w:rsid w:val="00D04EB3"/>
    <w:rsid w:val="00D04F4C"/>
    <w:rsid w:val="00D04F63"/>
    <w:rsid w:val="00D04FB8"/>
    <w:rsid w:val="00D05037"/>
    <w:rsid w:val="00D05073"/>
    <w:rsid w:val="00D0509F"/>
    <w:rsid w:val="00D051A3"/>
    <w:rsid w:val="00D052E7"/>
    <w:rsid w:val="00D05302"/>
    <w:rsid w:val="00D05324"/>
    <w:rsid w:val="00D0535C"/>
    <w:rsid w:val="00D05396"/>
    <w:rsid w:val="00D05537"/>
    <w:rsid w:val="00D05650"/>
    <w:rsid w:val="00D05705"/>
    <w:rsid w:val="00D05708"/>
    <w:rsid w:val="00D05755"/>
    <w:rsid w:val="00D057B8"/>
    <w:rsid w:val="00D057F3"/>
    <w:rsid w:val="00D05ACD"/>
    <w:rsid w:val="00D05BBC"/>
    <w:rsid w:val="00D05E4B"/>
    <w:rsid w:val="00D06216"/>
    <w:rsid w:val="00D06271"/>
    <w:rsid w:val="00D0631B"/>
    <w:rsid w:val="00D06365"/>
    <w:rsid w:val="00D063A1"/>
    <w:rsid w:val="00D063DB"/>
    <w:rsid w:val="00D064DA"/>
    <w:rsid w:val="00D064EB"/>
    <w:rsid w:val="00D066AF"/>
    <w:rsid w:val="00D0679D"/>
    <w:rsid w:val="00D069BB"/>
    <w:rsid w:val="00D06E31"/>
    <w:rsid w:val="00D06F32"/>
    <w:rsid w:val="00D06FED"/>
    <w:rsid w:val="00D0718E"/>
    <w:rsid w:val="00D071BC"/>
    <w:rsid w:val="00D072AD"/>
    <w:rsid w:val="00D07449"/>
    <w:rsid w:val="00D07551"/>
    <w:rsid w:val="00D07822"/>
    <w:rsid w:val="00D079D9"/>
    <w:rsid w:val="00D07B3B"/>
    <w:rsid w:val="00D07C76"/>
    <w:rsid w:val="00D07CE2"/>
    <w:rsid w:val="00D07CE5"/>
    <w:rsid w:val="00D07E67"/>
    <w:rsid w:val="00D07F6D"/>
    <w:rsid w:val="00D07FD9"/>
    <w:rsid w:val="00D10075"/>
    <w:rsid w:val="00D100D4"/>
    <w:rsid w:val="00D100E8"/>
    <w:rsid w:val="00D100EE"/>
    <w:rsid w:val="00D10319"/>
    <w:rsid w:val="00D1049C"/>
    <w:rsid w:val="00D10509"/>
    <w:rsid w:val="00D10708"/>
    <w:rsid w:val="00D1095A"/>
    <w:rsid w:val="00D10A32"/>
    <w:rsid w:val="00D10E76"/>
    <w:rsid w:val="00D10FBB"/>
    <w:rsid w:val="00D10FCD"/>
    <w:rsid w:val="00D11071"/>
    <w:rsid w:val="00D110C6"/>
    <w:rsid w:val="00D110E0"/>
    <w:rsid w:val="00D111E4"/>
    <w:rsid w:val="00D1121C"/>
    <w:rsid w:val="00D1129C"/>
    <w:rsid w:val="00D1134C"/>
    <w:rsid w:val="00D11546"/>
    <w:rsid w:val="00D1160C"/>
    <w:rsid w:val="00D11613"/>
    <w:rsid w:val="00D1190A"/>
    <w:rsid w:val="00D119FE"/>
    <w:rsid w:val="00D11A0F"/>
    <w:rsid w:val="00D11A93"/>
    <w:rsid w:val="00D11C42"/>
    <w:rsid w:val="00D122B3"/>
    <w:rsid w:val="00D12434"/>
    <w:rsid w:val="00D12455"/>
    <w:rsid w:val="00D12530"/>
    <w:rsid w:val="00D125B0"/>
    <w:rsid w:val="00D12636"/>
    <w:rsid w:val="00D12637"/>
    <w:rsid w:val="00D1288C"/>
    <w:rsid w:val="00D12A44"/>
    <w:rsid w:val="00D12D71"/>
    <w:rsid w:val="00D12FE9"/>
    <w:rsid w:val="00D1322E"/>
    <w:rsid w:val="00D13340"/>
    <w:rsid w:val="00D133C6"/>
    <w:rsid w:val="00D133F8"/>
    <w:rsid w:val="00D137B6"/>
    <w:rsid w:val="00D13A7F"/>
    <w:rsid w:val="00D13C2C"/>
    <w:rsid w:val="00D13D87"/>
    <w:rsid w:val="00D13E03"/>
    <w:rsid w:val="00D14005"/>
    <w:rsid w:val="00D14053"/>
    <w:rsid w:val="00D141AF"/>
    <w:rsid w:val="00D142CB"/>
    <w:rsid w:val="00D14305"/>
    <w:rsid w:val="00D144A6"/>
    <w:rsid w:val="00D1462B"/>
    <w:rsid w:val="00D146B8"/>
    <w:rsid w:val="00D1483E"/>
    <w:rsid w:val="00D14B60"/>
    <w:rsid w:val="00D14B95"/>
    <w:rsid w:val="00D14DF0"/>
    <w:rsid w:val="00D14E85"/>
    <w:rsid w:val="00D14E9B"/>
    <w:rsid w:val="00D14F69"/>
    <w:rsid w:val="00D15071"/>
    <w:rsid w:val="00D15308"/>
    <w:rsid w:val="00D15317"/>
    <w:rsid w:val="00D1565C"/>
    <w:rsid w:val="00D15734"/>
    <w:rsid w:val="00D15BA0"/>
    <w:rsid w:val="00D15D0E"/>
    <w:rsid w:val="00D15D63"/>
    <w:rsid w:val="00D15F02"/>
    <w:rsid w:val="00D15F26"/>
    <w:rsid w:val="00D16241"/>
    <w:rsid w:val="00D162E1"/>
    <w:rsid w:val="00D163D9"/>
    <w:rsid w:val="00D16414"/>
    <w:rsid w:val="00D1642A"/>
    <w:rsid w:val="00D16495"/>
    <w:rsid w:val="00D1651F"/>
    <w:rsid w:val="00D16675"/>
    <w:rsid w:val="00D1671B"/>
    <w:rsid w:val="00D1674B"/>
    <w:rsid w:val="00D1678E"/>
    <w:rsid w:val="00D16945"/>
    <w:rsid w:val="00D16965"/>
    <w:rsid w:val="00D16BB9"/>
    <w:rsid w:val="00D16CF5"/>
    <w:rsid w:val="00D16D45"/>
    <w:rsid w:val="00D170BA"/>
    <w:rsid w:val="00D173AE"/>
    <w:rsid w:val="00D174A4"/>
    <w:rsid w:val="00D175EF"/>
    <w:rsid w:val="00D17ACC"/>
    <w:rsid w:val="00D17AF0"/>
    <w:rsid w:val="00D17ECD"/>
    <w:rsid w:val="00D17F53"/>
    <w:rsid w:val="00D17F8A"/>
    <w:rsid w:val="00D17FB0"/>
    <w:rsid w:val="00D201FB"/>
    <w:rsid w:val="00D20265"/>
    <w:rsid w:val="00D20291"/>
    <w:rsid w:val="00D203BC"/>
    <w:rsid w:val="00D20491"/>
    <w:rsid w:val="00D204C5"/>
    <w:rsid w:val="00D204DD"/>
    <w:rsid w:val="00D2056F"/>
    <w:rsid w:val="00D205EC"/>
    <w:rsid w:val="00D20612"/>
    <w:rsid w:val="00D2067A"/>
    <w:rsid w:val="00D20732"/>
    <w:rsid w:val="00D209C1"/>
    <w:rsid w:val="00D20BD0"/>
    <w:rsid w:val="00D20E25"/>
    <w:rsid w:val="00D20E71"/>
    <w:rsid w:val="00D20E7F"/>
    <w:rsid w:val="00D20FF2"/>
    <w:rsid w:val="00D21156"/>
    <w:rsid w:val="00D211B9"/>
    <w:rsid w:val="00D212F5"/>
    <w:rsid w:val="00D21360"/>
    <w:rsid w:val="00D21392"/>
    <w:rsid w:val="00D214D8"/>
    <w:rsid w:val="00D215F4"/>
    <w:rsid w:val="00D21967"/>
    <w:rsid w:val="00D21998"/>
    <w:rsid w:val="00D219B9"/>
    <w:rsid w:val="00D21A90"/>
    <w:rsid w:val="00D21AC5"/>
    <w:rsid w:val="00D21C86"/>
    <w:rsid w:val="00D21DEF"/>
    <w:rsid w:val="00D21E75"/>
    <w:rsid w:val="00D21FC0"/>
    <w:rsid w:val="00D221FB"/>
    <w:rsid w:val="00D222D4"/>
    <w:rsid w:val="00D222F9"/>
    <w:rsid w:val="00D2242D"/>
    <w:rsid w:val="00D22584"/>
    <w:rsid w:val="00D226E7"/>
    <w:rsid w:val="00D22703"/>
    <w:rsid w:val="00D22740"/>
    <w:rsid w:val="00D227DE"/>
    <w:rsid w:val="00D228F6"/>
    <w:rsid w:val="00D22933"/>
    <w:rsid w:val="00D229F5"/>
    <w:rsid w:val="00D22BCB"/>
    <w:rsid w:val="00D22C0E"/>
    <w:rsid w:val="00D22DAC"/>
    <w:rsid w:val="00D23190"/>
    <w:rsid w:val="00D23192"/>
    <w:rsid w:val="00D232CB"/>
    <w:rsid w:val="00D23486"/>
    <w:rsid w:val="00D234DD"/>
    <w:rsid w:val="00D23602"/>
    <w:rsid w:val="00D236D3"/>
    <w:rsid w:val="00D23A1F"/>
    <w:rsid w:val="00D23AC6"/>
    <w:rsid w:val="00D23ADF"/>
    <w:rsid w:val="00D23BB6"/>
    <w:rsid w:val="00D23BD2"/>
    <w:rsid w:val="00D23C47"/>
    <w:rsid w:val="00D23E82"/>
    <w:rsid w:val="00D23E9E"/>
    <w:rsid w:val="00D243C7"/>
    <w:rsid w:val="00D243FD"/>
    <w:rsid w:val="00D245A0"/>
    <w:rsid w:val="00D24683"/>
    <w:rsid w:val="00D246FB"/>
    <w:rsid w:val="00D24755"/>
    <w:rsid w:val="00D2492F"/>
    <w:rsid w:val="00D2496D"/>
    <w:rsid w:val="00D24B3D"/>
    <w:rsid w:val="00D24B73"/>
    <w:rsid w:val="00D24D0D"/>
    <w:rsid w:val="00D24E00"/>
    <w:rsid w:val="00D24F50"/>
    <w:rsid w:val="00D24FF1"/>
    <w:rsid w:val="00D251E1"/>
    <w:rsid w:val="00D252EB"/>
    <w:rsid w:val="00D253D1"/>
    <w:rsid w:val="00D25454"/>
    <w:rsid w:val="00D255A6"/>
    <w:rsid w:val="00D25629"/>
    <w:rsid w:val="00D2576F"/>
    <w:rsid w:val="00D25806"/>
    <w:rsid w:val="00D258AF"/>
    <w:rsid w:val="00D25A98"/>
    <w:rsid w:val="00D25B0D"/>
    <w:rsid w:val="00D25BA5"/>
    <w:rsid w:val="00D25DC8"/>
    <w:rsid w:val="00D25F0E"/>
    <w:rsid w:val="00D25F10"/>
    <w:rsid w:val="00D25FF6"/>
    <w:rsid w:val="00D26060"/>
    <w:rsid w:val="00D260D5"/>
    <w:rsid w:val="00D260E8"/>
    <w:rsid w:val="00D261B2"/>
    <w:rsid w:val="00D263A4"/>
    <w:rsid w:val="00D26768"/>
    <w:rsid w:val="00D267A9"/>
    <w:rsid w:val="00D267DA"/>
    <w:rsid w:val="00D268C0"/>
    <w:rsid w:val="00D26B3F"/>
    <w:rsid w:val="00D26C0A"/>
    <w:rsid w:val="00D26DAE"/>
    <w:rsid w:val="00D27015"/>
    <w:rsid w:val="00D27143"/>
    <w:rsid w:val="00D271C2"/>
    <w:rsid w:val="00D27396"/>
    <w:rsid w:val="00D2751F"/>
    <w:rsid w:val="00D276B6"/>
    <w:rsid w:val="00D27806"/>
    <w:rsid w:val="00D279AE"/>
    <w:rsid w:val="00D27A2C"/>
    <w:rsid w:val="00D27C6E"/>
    <w:rsid w:val="00D27CD9"/>
    <w:rsid w:val="00D3069C"/>
    <w:rsid w:val="00D30721"/>
    <w:rsid w:val="00D30796"/>
    <w:rsid w:val="00D308BE"/>
    <w:rsid w:val="00D30908"/>
    <w:rsid w:val="00D30942"/>
    <w:rsid w:val="00D309E4"/>
    <w:rsid w:val="00D30C84"/>
    <w:rsid w:val="00D30E79"/>
    <w:rsid w:val="00D30FB2"/>
    <w:rsid w:val="00D31043"/>
    <w:rsid w:val="00D31279"/>
    <w:rsid w:val="00D31288"/>
    <w:rsid w:val="00D31311"/>
    <w:rsid w:val="00D313BA"/>
    <w:rsid w:val="00D31587"/>
    <w:rsid w:val="00D31681"/>
    <w:rsid w:val="00D31B08"/>
    <w:rsid w:val="00D31B3C"/>
    <w:rsid w:val="00D31B60"/>
    <w:rsid w:val="00D31CE3"/>
    <w:rsid w:val="00D31CFA"/>
    <w:rsid w:val="00D31E4B"/>
    <w:rsid w:val="00D31F4E"/>
    <w:rsid w:val="00D31F7C"/>
    <w:rsid w:val="00D31F81"/>
    <w:rsid w:val="00D3208B"/>
    <w:rsid w:val="00D3215F"/>
    <w:rsid w:val="00D321B9"/>
    <w:rsid w:val="00D3244A"/>
    <w:rsid w:val="00D32736"/>
    <w:rsid w:val="00D32806"/>
    <w:rsid w:val="00D3298F"/>
    <w:rsid w:val="00D32D22"/>
    <w:rsid w:val="00D32D5E"/>
    <w:rsid w:val="00D32E06"/>
    <w:rsid w:val="00D33231"/>
    <w:rsid w:val="00D33301"/>
    <w:rsid w:val="00D33438"/>
    <w:rsid w:val="00D3344D"/>
    <w:rsid w:val="00D3366A"/>
    <w:rsid w:val="00D336C4"/>
    <w:rsid w:val="00D33765"/>
    <w:rsid w:val="00D339E4"/>
    <w:rsid w:val="00D33B1E"/>
    <w:rsid w:val="00D33C45"/>
    <w:rsid w:val="00D33E7E"/>
    <w:rsid w:val="00D33EA0"/>
    <w:rsid w:val="00D33EAB"/>
    <w:rsid w:val="00D34009"/>
    <w:rsid w:val="00D3415E"/>
    <w:rsid w:val="00D343D4"/>
    <w:rsid w:val="00D344DF"/>
    <w:rsid w:val="00D34A3E"/>
    <w:rsid w:val="00D34A72"/>
    <w:rsid w:val="00D34A7B"/>
    <w:rsid w:val="00D34B36"/>
    <w:rsid w:val="00D34B97"/>
    <w:rsid w:val="00D34D0A"/>
    <w:rsid w:val="00D34EBA"/>
    <w:rsid w:val="00D35134"/>
    <w:rsid w:val="00D35201"/>
    <w:rsid w:val="00D35243"/>
    <w:rsid w:val="00D35455"/>
    <w:rsid w:val="00D35467"/>
    <w:rsid w:val="00D35472"/>
    <w:rsid w:val="00D3549F"/>
    <w:rsid w:val="00D354A9"/>
    <w:rsid w:val="00D35553"/>
    <w:rsid w:val="00D355B1"/>
    <w:rsid w:val="00D355DA"/>
    <w:rsid w:val="00D35646"/>
    <w:rsid w:val="00D357CF"/>
    <w:rsid w:val="00D358C0"/>
    <w:rsid w:val="00D3590E"/>
    <w:rsid w:val="00D35AE1"/>
    <w:rsid w:val="00D35B58"/>
    <w:rsid w:val="00D35CFE"/>
    <w:rsid w:val="00D35F71"/>
    <w:rsid w:val="00D35FC3"/>
    <w:rsid w:val="00D36110"/>
    <w:rsid w:val="00D36116"/>
    <w:rsid w:val="00D361BB"/>
    <w:rsid w:val="00D3626E"/>
    <w:rsid w:val="00D362D6"/>
    <w:rsid w:val="00D36373"/>
    <w:rsid w:val="00D364A0"/>
    <w:rsid w:val="00D365B0"/>
    <w:rsid w:val="00D365F6"/>
    <w:rsid w:val="00D365FF"/>
    <w:rsid w:val="00D36670"/>
    <w:rsid w:val="00D367E0"/>
    <w:rsid w:val="00D368CB"/>
    <w:rsid w:val="00D36900"/>
    <w:rsid w:val="00D36907"/>
    <w:rsid w:val="00D36A6A"/>
    <w:rsid w:val="00D36B56"/>
    <w:rsid w:val="00D36C0C"/>
    <w:rsid w:val="00D36CE1"/>
    <w:rsid w:val="00D36DEC"/>
    <w:rsid w:val="00D370CB"/>
    <w:rsid w:val="00D371B8"/>
    <w:rsid w:val="00D37268"/>
    <w:rsid w:val="00D3769A"/>
    <w:rsid w:val="00D377AF"/>
    <w:rsid w:val="00D37C01"/>
    <w:rsid w:val="00D37EA6"/>
    <w:rsid w:val="00D37EFD"/>
    <w:rsid w:val="00D37F11"/>
    <w:rsid w:val="00D37F4B"/>
    <w:rsid w:val="00D4007C"/>
    <w:rsid w:val="00D4019C"/>
    <w:rsid w:val="00D401E0"/>
    <w:rsid w:val="00D404C3"/>
    <w:rsid w:val="00D40667"/>
    <w:rsid w:val="00D406C7"/>
    <w:rsid w:val="00D40A17"/>
    <w:rsid w:val="00D40A5F"/>
    <w:rsid w:val="00D40B32"/>
    <w:rsid w:val="00D40BF9"/>
    <w:rsid w:val="00D40C9B"/>
    <w:rsid w:val="00D40CA1"/>
    <w:rsid w:val="00D40CFD"/>
    <w:rsid w:val="00D40D4A"/>
    <w:rsid w:val="00D410BD"/>
    <w:rsid w:val="00D410E4"/>
    <w:rsid w:val="00D414D2"/>
    <w:rsid w:val="00D41728"/>
    <w:rsid w:val="00D4180C"/>
    <w:rsid w:val="00D41827"/>
    <w:rsid w:val="00D41BE6"/>
    <w:rsid w:val="00D41C0C"/>
    <w:rsid w:val="00D41D61"/>
    <w:rsid w:val="00D41D82"/>
    <w:rsid w:val="00D41E05"/>
    <w:rsid w:val="00D41E07"/>
    <w:rsid w:val="00D41F76"/>
    <w:rsid w:val="00D42599"/>
    <w:rsid w:val="00D425E2"/>
    <w:rsid w:val="00D42613"/>
    <w:rsid w:val="00D42753"/>
    <w:rsid w:val="00D42761"/>
    <w:rsid w:val="00D42781"/>
    <w:rsid w:val="00D427D5"/>
    <w:rsid w:val="00D427E8"/>
    <w:rsid w:val="00D4283C"/>
    <w:rsid w:val="00D42930"/>
    <w:rsid w:val="00D42AFF"/>
    <w:rsid w:val="00D42FB4"/>
    <w:rsid w:val="00D42FE7"/>
    <w:rsid w:val="00D43103"/>
    <w:rsid w:val="00D43176"/>
    <w:rsid w:val="00D4333B"/>
    <w:rsid w:val="00D43477"/>
    <w:rsid w:val="00D434DF"/>
    <w:rsid w:val="00D435A0"/>
    <w:rsid w:val="00D4369C"/>
    <w:rsid w:val="00D43A3A"/>
    <w:rsid w:val="00D43B52"/>
    <w:rsid w:val="00D43BD1"/>
    <w:rsid w:val="00D43E7B"/>
    <w:rsid w:val="00D443EA"/>
    <w:rsid w:val="00D44560"/>
    <w:rsid w:val="00D44583"/>
    <w:rsid w:val="00D4466A"/>
    <w:rsid w:val="00D44697"/>
    <w:rsid w:val="00D44860"/>
    <w:rsid w:val="00D4487B"/>
    <w:rsid w:val="00D449DD"/>
    <w:rsid w:val="00D44CFB"/>
    <w:rsid w:val="00D44E01"/>
    <w:rsid w:val="00D44E46"/>
    <w:rsid w:val="00D44EE4"/>
    <w:rsid w:val="00D44F70"/>
    <w:rsid w:val="00D450FD"/>
    <w:rsid w:val="00D45142"/>
    <w:rsid w:val="00D452FC"/>
    <w:rsid w:val="00D4543A"/>
    <w:rsid w:val="00D4565F"/>
    <w:rsid w:val="00D456A9"/>
    <w:rsid w:val="00D456D7"/>
    <w:rsid w:val="00D45726"/>
    <w:rsid w:val="00D45749"/>
    <w:rsid w:val="00D45965"/>
    <w:rsid w:val="00D45D33"/>
    <w:rsid w:val="00D45EF3"/>
    <w:rsid w:val="00D45F9F"/>
    <w:rsid w:val="00D46076"/>
    <w:rsid w:val="00D460D5"/>
    <w:rsid w:val="00D461DF"/>
    <w:rsid w:val="00D46208"/>
    <w:rsid w:val="00D463FE"/>
    <w:rsid w:val="00D4641A"/>
    <w:rsid w:val="00D464FF"/>
    <w:rsid w:val="00D465C3"/>
    <w:rsid w:val="00D46612"/>
    <w:rsid w:val="00D46687"/>
    <w:rsid w:val="00D4672E"/>
    <w:rsid w:val="00D46764"/>
    <w:rsid w:val="00D4676B"/>
    <w:rsid w:val="00D46776"/>
    <w:rsid w:val="00D46816"/>
    <w:rsid w:val="00D46824"/>
    <w:rsid w:val="00D46994"/>
    <w:rsid w:val="00D46A18"/>
    <w:rsid w:val="00D46B25"/>
    <w:rsid w:val="00D46B73"/>
    <w:rsid w:val="00D46B87"/>
    <w:rsid w:val="00D46BAF"/>
    <w:rsid w:val="00D46D05"/>
    <w:rsid w:val="00D46E74"/>
    <w:rsid w:val="00D46F1D"/>
    <w:rsid w:val="00D46FB3"/>
    <w:rsid w:val="00D4706A"/>
    <w:rsid w:val="00D470D7"/>
    <w:rsid w:val="00D470FD"/>
    <w:rsid w:val="00D4712C"/>
    <w:rsid w:val="00D471A5"/>
    <w:rsid w:val="00D471F4"/>
    <w:rsid w:val="00D47292"/>
    <w:rsid w:val="00D47351"/>
    <w:rsid w:val="00D47685"/>
    <w:rsid w:val="00D4769B"/>
    <w:rsid w:val="00D4777B"/>
    <w:rsid w:val="00D4789D"/>
    <w:rsid w:val="00D479FA"/>
    <w:rsid w:val="00D47A9B"/>
    <w:rsid w:val="00D47CDA"/>
    <w:rsid w:val="00D47D17"/>
    <w:rsid w:val="00D47DCE"/>
    <w:rsid w:val="00D47E3D"/>
    <w:rsid w:val="00D47EC2"/>
    <w:rsid w:val="00D47F9E"/>
    <w:rsid w:val="00D50108"/>
    <w:rsid w:val="00D5019A"/>
    <w:rsid w:val="00D501B3"/>
    <w:rsid w:val="00D5022D"/>
    <w:rsid w:val="00D508BE"/>
    <w:rsid w:val="00D508CC"/>
    <w:rsid w:val="00D50964"/>
    <w:rsid w:val="00D50AE1"/>
    <w:rsid w:val="00D50BAB"/>
    <w:rsid w:val="00D50C32"/>
    <w:rsid w:val="00D50C4B"/>
    <w:rsid w:val="00D50C8A"/>
    <w:rsid w:val="00D50CDE"/>
    <w:rsid w:val="00D50E23"/>
    <w:rsid w:val="00D50FEF"/>
    <w:rsid w:val="00D51000"/>
    <w:rsid w:val="00D510CE"/>
    <w:rsid w:val="00D511A6"/>
    <w:rsid w:val="00D512C4"/>
    <w:rsid w:val="00D5158F"/>
    <w:rsid w:val="00D51889"/>
    <w:rsid w:val="00D51C50"/>
    <w:rsid w:val="00D51D2E"/>
    <w:rsid w:val="00D51D65"/>
    <w:rsid w:val="00D51EB4"/>
    <w:rsid w:val="00D51ECA"/>
    <w:rsid w:val="00D51FE6"/>
    <w:rsid w:val="00D5214C"/>
    <w:rsid w:val="00D52281"/>
    <w:rsid w:val="00D52282"/>
    <w:rsid w:val="00D5228F"/>
    <w:rsid w:val="00D522C3"/>
    <w:rsid w:val="00D524AB"/>
    <w:rsid w:val="00D524D2"/>
    <w:rsid w:val="00D528B8"/>
    <w:rsid w:val="00D528E7"/>
    <w:rsid w:val="00D529BC"/>
    <w:rsid w:val="00D52C6C"/>
    <w:rsid w:val="00D52D49"/>
    <w:rsid w:val="00D52D5B"/>
    <w:rsid w:val="00D52D5D"/>
    <w:rsid w:val="00D52EF8"/>
    <w:rsid w:val="00D52F4F"/>
    <w:rsid w:val="00D53207"/>
    <w:rsid w:val="00D53229"/>
    <w:rsid w:val="00D53323"/>
    <w:rsid w:val="00D53546"/>
    <w:rsid w:val="00D537D1"/>
    <w:rsid w:val="00D53B51"/>
    <w:rsid w:val="00D53C00"/>
    <w:rsid w:val="00D53D2A"/>
    <w:rsid w:val="00D53D39"/>
    <w:rsid w:val="00D53ECF"/>
    <w:rsid w:val="00D542BA"/>
    <w:rsid w:val="00D542CC"/>
    <w:rsid w:val="00D54445"/>
    <w:rsid w:val="00D544BF"/>
    <w:rsid w:val="00D54846"/>
    <w:rsid w:val="00D54895"/>
    <w:rsid w:val="00D54977"/>
    <w:rsid w:val="00D54B0B"/>
    <w:rsid w:val="00D54C93"/>
    <w:rsid w:val="00D54CF5"/>
    <w:rsid w:val="00D54FD1"/>
    <w:rsid w:val="00D5511F"/>
    <w:rsid w:val="00D55150"/>
    <w:rsid w:val="00D55178"/>
    <w:rsid w:val="00D5547D"/>
    <w:rsid w:val="00D55592"/>
    <w:rsid w:val="00D5560B"/>
    <w:rsid w:val="00D557C2"/>
    <w:rsid w:val="00D558AB"/>
    <w:rsid w:val="00D558EC"/>
    <w:rsid w:val="00D55A52"/>
    <w:rsid w:val="00D55A86"/>
    <w:rsid w:val="00D55CDC"/>
    <w:rsid w:val="00D55D25"/>
    <w:rsid w:val="00D55E23"/>
    <w:rsid w:val="00D56089"/>
    <w:rsid w:val="00D56133"/>
    <w:rsid w:val="00D5622A"/>
    <w:rsid w:val="00D56453"/>
    <w:rsid w:val="00D564B6"/>
    <w:rsid w:val="00D56500"/>
    <w:rsid w:val="00D565F1"/>
    <w:rsid w:val="00D56688"/>
    <w:rsid w:val="00D5669F"/>
    <w:rsid w:val="00D56703"/>
    <w:rsid w:val="00D567B0"/>
    <w:rsid w:val="00D567FE"/>
    <w:rsid w:val="00D56839"/>
    <w:rsid w:val="00D56A29"/>
    <w:rsid w:val="00D56BA9"/>
    <w:rsid w:val="00D56CC0"/>
    <w:rsid w:val="00D56DE3"/>
    <w:rsid w:val="00D56EF9"/>
    <w:rsid w:val="00D56FCC"/>
    <w:rsid w:val="00D570F7"/>
    <w:rsid w:val="00D5711C"/>
    <w:rsid w:val="00D571A0"/>
    <w:rsid w:val="00D572B2"/>
    <w:rsid w:val="00D573AA"/>
    <w:rsid w:val="00D5753A"/>
    <w:rsid w:val="00D57572"/>
    <w:rsid w:val="00D577B4"/>
    <w:rsid w:val="00D57844"/>
    <w:rsid w:val="00D578FD"/>
    <w:rsid w:val="00D57934"/>
    <w:rsid w:val="00D57A1E"/>
    <w:rsid w:val="00D57B39"/>
    <w:rsid w:val="00D57B75"/>
    <w:rsid w:val="00D57C9F"/>
    <w:rsid w:val="00D57CE2"/>
    <w:rsid w:val="00D57DA2"/>
    <w:rsid w:val="00D57F71"/>
    <w:rsid w:val="00D60243"/>
    <w:rsid w:val="00D603D0"/>
    <w:rsid w:val="00D605B9"/>
    <w:rsid w:val="00D606F7"/>
    <w:rsid w:val="00D6096E"/>
    <w:rsid w:val="00D60979"/>
    <w:rsid w:val="00D609C5"/>
    <w:rsid w:val="00D60AC6"/>
    <w:rsid w:val="00D60B1B"/>
    <w:rsid w:val="00D60BB2"/>
    <w:rsid w:val="00D60BC4"/>
    <w:rsid w:val="00D60D6E"/>
    <w:rsid w:val="00D60DE8"/>
    <w:rsid w:val="00D60E00"/>
    <w:rsid w:val="00D60E30"/>
    <w:rsid w:val="00D60FEC"/>
    <w:rsid w:val="00D610BD"/>
    <w:rsid w:val="00D61108"/>
    <w:rsid w:val="00D611F0"/>
    <w:rsid w:val="00D61251"/>
    <w:rsid w:val="00D612C7"/>
    <w:rsid w:val="00D6132E"/>
    <w:rsid w:val="00D613AC"/>
    <w:rsid w:val="00D614BB"/>
    <w:rsid w:val="00D6152B"/>
    <w:rsid w:val="00D61569"/>
    <w:rsid w:val="00D61674"/>
    <w:rsid w:val="00D6171F"/>
    <w:rsid w:val="00D61977"/>
    <w:rsid w:val="00D61A8A"/>
    <w:rsid w:val="00D61ADB"/>
    <w:rsid w:val="00D61B24"/>
    <w:rsid w:val="00D61D31"/>
    <w:rsid w:val="00D61D3C"/>
    <w:rsid w:val="00D61D86"/>
    <w:rsid w:val="00D62133"/>
    <w:rsid w:val="00D6255E"/>
    <w:rsid w:val="00D629A0"/>
    <w:rsid w:val="00D62B0D"/>
    <w:rsid w:val="00D62B97"/>
    <w:rsid w:val="00D62BC0"/>
    <w:rsid w:val="00D62CC8"/>
    <w:rsid w:val="00D62E5C"/>
    <w:rsid w:val="00D6336E"/>
    <w:rsid w:val="00D63406"/>
    <w:rsid w:val="00D63473"/>
    <w:rsid w:val="00D63645"/>
    <w:rsid w:val="00D63A85"/>
    <w:rsid w:val="00D63BBB"/>
    <w:rsid w:val="00D63FEF"/>
    <w:rsid w:val="00D6463F"/>
    <w:rsid w:val="00D646CE"/>
    <w:rsid w:val="00D64774"/>
    <w:rsid w:val="00D647C2"/>
    <w:rsid w:val="00D648A4"/>
    <w:rsid w:val="00D649E1"/>
    <w:rsid w:val="00D64AC2"/>
    <w:rsid w:val="00D64AE6"/>
    <w:rsid w:val="00D64E0E"/>
    <w:rsid w:val="00D6517E"/>
    <w:rsid w:val="00D6536C"/>
    <w:rsid w:val="00D65482"/>
    <w:rsid w:val="00D65484"/>
    <w:rsid w:val="00D657A5"/>
    <w:rsid w:val="00D658E3"/>
    <w:rsid w:val="00D658FF"/>
    <w:rsid w:val="00D65920"/>
    <w:rsid w:val="00D65A80"/>
    <w:rsid w:val="00D65AD8"/>
    <w:rsid w:val="00D65CB8"/>
    <w:rsid w:val="00D65D14"/>
    <w:rsid w:val="00D65D71"/>
    <w:rsid w:val="00D65FA1"/>
    <w:rsid w:val="00D65FBA"/>
    <w:rsid w:val="00D65FF0"/>
    <w:rsid w:val="00D661A0"/>
    <w:rsid w:val="00D662A9"/>
    <w:rsid w:val="00D664F3"/>
    <w:rsid w:val="00D665CF"/>
    <w:rsid w:val="00D66722"/>
    <w:rsid w:val="00D66775"/>
    <w:rsid w:val="00D66849"/>
    <w:rsid w:val="00D66B1B"/>
    <w:rsid w:val="00D66B5E"/>
    <w:rsid w:val="00D66C22"/>
    <w:rsid w:val="00D66D90"/>
    <w:rsid w:val="00D66D9E"/>
    <w:rsid w:val="00D6703D"/>
    <w:rsid w:val="00D67163"/>
    <w:rsid w:val="00D671D6"/>
    <w:rsid w:val="00D6723B"/>
    <w:rsid w:val="00D6730C"/>
    <w:rsid w:val="00D6731A"/>
    <w:rsid w:val="00D673E8"/>
    <w:rsid w:val="00D674DB"/>
    <w:rsid w:val="00D675B3"/>
    <w:rsid w:val="00D6762D"/>
    <w:rsid w:val="00D676B5"/>
    <w:rsid w:val="00D67937"/>
    <w:rsid w:val="00D679B5"/>
    <w:rsid w:val="00D67C16"/>
    <w:rsid w:val="00D67D0F"/>
    <w:rsid w:val="00D67F37"/>
    <w:rsid w:val="00D70048"/>
    <w:rsid w:val="00D701A3"/>
    <w:rsid w:val="00D7033F"/>
    <w:rsid w:val="00D70547"/>
    <w:rsid w:val="00D70567"/>
    <w:rsid w:val="00D705C0"/>
    <w:rsid w:val="00D70620"/>
    <w:rsid w:val="00D706C1"/>
    <w:rsid w:val="00D709BB"/>
    <w:rsid w:val="00D70A74"/>
    <w:rsid w:val="00D70AF4"/>
    <w:rsid w:val="00D70B18"/>
    <w:rsid w:val="00D70C8B"/>
    <w:rsid w:val="00D70D22"/>
    <w:rsid w:val="00D70D5E"/>
    <w:rsid w:val="00D70D8B"/>
    <w:rsid w:val="00D70D9A"/>
    <w:rsid w:val="00D70DB3"/>
    <w:rsid w:val="00D70EDD"/>
    <w:rsid w:val="00D71233"/>
    <w:rsid w:val="00D71362"/>
    <w:rsid w:val="00D71499"/>
    <w:rsid w:val="00D71624"/>
    <w:rsid w:val="00D71653"/>
    <w:rsid w:val="00D716D3"/>
    <w:rsid w:val="00D71756"/>
    <w:rsid w:val="00D71821"/>
    <w:rsid w:val="00D71BAF"/>
    <w:rsid w:val="00D71E09"/>
    <w:rsid w:val="00D71F23"/>
    <w:rsid w:val="00D720D5"/>
    <w:rsid w:val="00D720EF"/>
    <w:rsid w:val="00D721A4"/>
    <w:rsid w:val="00D721FE"/>
    <w:rsid w:val="00D72202"/>
    <w:rsid w:val="00D72236"/>
    <w:rsid w:val="00D723C4"/>
    <w:rsid w:val="00D723D8"/>
    <w:rsid w:val="00D723E7"/>
    <w:rsid w:val="00D7256F"/>
    <w:rsid w:val="00D7259E"/>
    <w:rsid w:val="00D725F6"/>
    <w:rsid w:val="00D72849"/>
    <w:rsid w:val="00D7298A"/>
    <w:rsid w:val="00D72B5A"/>
    <w:rsid w:val="00D72C45"/>
    <w:rsid w:val="00D72DD6"/>
    <w:rsid w:val="00D72EA9"/>
    <w:rsid w:val="00D72EEA"/>
    <w:rsid w:val="00D72F1D"/>
    <w:rsid w:val="00D72FA0"/>
    <w:rsid w:val="00D72FD8"/>
    <w:rsid w:val="00D730D5"/>
    <w:rsid w:val="00D7330E"/>
    <w:rsid w:val="00D7351F"/>
    <w:rsid w:val="00D73575"/>
    <w:rsid w:val="00D738AD"/>
    <w:rsid w:val="00D738EA"/>
    <w:rsid w:val="00D738FF"/>
    <w:rsid w:val="00D73AF9"/>
    <w:rsid w:val="00D73B68"/>
    <w:rsid w:val="00D73BA1"/>
    <w:rsid w:val="00D73BFF"/>
    <w:rsid w:val="00D73C6A"/>
    <w:rsid w:val="00D73C87"/>
    <w:rsid w:val="00D73FC9"/>
    <w:rsid w:val="00D74274"/>
    <w:rsid w:val="00D74292"/>
    <w:rsid w:val="00D7433A"/>
    <w:rsid w:val="00D743D2"/>
    <w:rsid w:val="00D74687"/>
    <w:rsid w:val="00D7468F"/>
    <w:rsid w:val="00D748AD"/>
    <w:rsid w:val="00D748C2"/>
    <w:rsid w:val="00D748FB"/>
    <w:rsid w:val="00D74A30"/>
    <w:rsid w:val="00D74BE2"/>
    <w:rsid w:val="00D74C17"/>
    <w:rsid w:val="00D74C2D"/>
    <w:rsid w:val="00D74C80"/>
    <w:rsid w:val="00D74DC8"/>
    <w:rsid w:val="00D75216"/>
    <w:rsid w:val="00D752ED"/>
    <w:rsid w:val="00D7535D"/>
    <w:rsid w:val="00D75460"/>
    <w:rsid w:val="00D7549D"/>
    <w:rsid w:val="00D75558"/>
    <w:rsid w:val="00D75617"/>
    <w:rsid w:val="00D757DD"/>
    <w:rsid w:val="00D758A7"/>
    <w:rsid w:val="00D75909"/>
    <w:rsid w:val="00D75986"/>
    <w:rsid w:val="00D76103"/>
    <w:rsid w:val="00D761D1"/>
    <w:rsid w:val="00D764A6"/>
    <w:rsid w:val="00D76539"/>
    <w:rsid w:val="00D76659"/>
    <w:rsid w:val="00D7687D"/>
    <w:rsid w:val="00D768BC"/>
    <w:rsid w:val="00D76948"/>
    <w:rsid w:val="00D769A3"/>
    <w:rsid w:val="00D76A0A"/>
    <w:rsid w:val="00D76B56"/>
    <w:rsid w:val="00D76B7F"/>
    <w:rsid w:val="00D76C01"/>
    <w:rsid w:val="00D76C70"/>
    <w:rsid w:val="00D76D24"/>
    <w:rsid w:val="00D76DBA"/>
    <w:rsid w:val="00D76DC2"/>
    <w:rsid w:val="00D76E74"/>
    <w:rsid w:val="00D76E9C"/>
    <w:rsid w:val="00D76F4E"/>
    <w:rsid w:val="00D76F8C"/>
    <w:rsid w:val="00D7703B"/>
    <w:rsid w:val="00D771E8"/>
    <w:rsid w:val="00D7736A"/>
    <w:rsid w:val="00D77404"/>
    <w:rsid w:val="00D7746B"/>
    <w:rsid w:val="00D77499"/>
    <w:rsid w:val="00D775F9"/>
    <w:rsid w:val="00D777F9"/>
    <w:rsid w:val="00D77828"/>
    <w:rsid w:val="00D77834"/>
    <w:rsid w:val="00D778C5"/>
    <w:rsid w:val="00D77948"/>
    <w:rsid w:val="00D77AB8"/>
    <w:rsid w:val="00D77C9E"/>
    <w:rsid w:val="00D77D4A"/>
    <w:rsid w:val="00D77D98"/>
    <w:rsid w:val="00D77E01"/>
    <w:rsid w:val="00D77EAE"/>
    <w:rsid w:val="00D77F23"/>
    <w:rsid w:val="00D8006E"/>
    <w:rsid w:val="00D80496"/>
    <w:rsid w:val="00D80633"/>
    <w:rsid w:val="00D806B6"/>
    <w:rsid w:val="00D80738"/>
    <w:rsid w:val="00D8084F"/>
    <w:rsid w:val="00D808A8"/>
    <w:rsid w:val="00D80982"/>
    <w:rsid w:val="00D80BAD"/>
    <w:rsid w:val="00D80BAE"/>
    <w:rsid w:val="00D80DC6"/>
    <w:rsid w:val="00D80E4D"/>
    <w:rsid w:val="00D80E55"/>
    <w:rsid w:val="00D811CA"/>
    <w:rsid w:val="00D812C0"/>
    <w:rsid w:val="00D813F0"/>
    <w:rsid w:val="00D81518"/>
    <w:rsid w:val="00D81544"/>
    <w:rsid w:val="00D81684"/>
    <w:rsid w:val="00D818D9"/>
    <w:rsid w:val="00D819D9"/>
    <w:rsid w:val="00D81A64"/>
    <w:rsid w:val="00D81AF4"/>
    <w:rsid w:val="00D81B01"/>
    <w:rsid w:val="00D81FAA"/>
    <w:rsid w:val="00D82162"/>
    <w:rsid w:val="00D8228C"/>
    <w:rsid w:val="00D822C7"/>
    <w:rsid w:val="00D822C8"/>
    <w:rsid w:val="00D8255A"/>
    <w:rsid w:val="00D8255B"/>
    <w:rsid w:val="00D8279C"/>
    <w:rsid w:val="00D82887"/>
    <w:rsid w:val="00D8298D"/>
    <w:rsid w:val="00D82A38"/>
    <w:rsid w:val="00D82A50"/>
    <w:rsid w:val="00D82B09"/>
    <w:rsid w:val="00D82B0B"/>
    <w:rsid w:val="00D82BB5"/>
    <w:rsid w:val="00D82D61"/>
    <w:rsid w:val="00D82DDD"/>
    <w:rsid w:val="00D83019"/>
    <w:rsid w:val="00D832BD"/>
    <w:rsid w:val="00D832EA"/>
    <w:rsid w:val="00D83638"/>
    <w:rsid w:val="00D83694"/>
    <w:rsid w:val="00D8373F"/>
    <w:rsid w:val="00D83B77"/>
    <w:rsid w:val="00D83C87"/>
    <w:rsid w:val="00D83C99"/>
    <w:rsid w:val="00D83D8F"/>
    <w:rsid w:val="00D83F0A"/>
    <w:rsid w:val="00D84112"/>
    <w:rsid w:val="00D8432D"/>
    <w:rsid w:val="00D843DA"/>
    <w:rsid w:val="00D843E1"/>
    <w:rsid w:val="00D844C1"/>
    <w:rsid w:val="00D84772"/>
    <w:rsid w:val="00D84868"/>
    <w:rsid w:val="00D849AC"/>
    <w:rsid w:val="00D84B2A"/>
    <w:rsid w:val="00D84C68"/>
    <w:rsid w:val="00D84D05"/>
    <w:rsid w:val="00D84E3E"/>
    <w:rsid w:val="00D84E7D"/>
    <w:rsid w:val="00D85027"/>
    <w:rsid w:val="00D85144"/>
    <w:rsid w:val="00D8537E"/>
    <w:rsid w:val="00D85517"/>
    <w:rsid w:val="00D857A6"/>
    <w:rsid w:val="00D858C8"/>
    <w:rsid w:val="00D8595B"/>
    <w:rsid w:val="00D85C9B"/>
    <w:rsid w:val="00D85D22"/>
    <w:rsid w:val="00D85E2C"/>
    <w:rsid w:val="00D85EF1"/>
    <w:rsid w:val="00D85F46"/>
    <w:rsid w:val="00D85FDB"/>
    <w:rsid w:val="00D86035"/>
    <w:rsid w:val="00D86225"/>
    <w:rsid w:val="00D8666C"/>
    <w:rsid w:val="00D8668F"/>
    <w:rsid w:val="00D866BA"/>
    <w:rsid w:val="00D8679B"/>
    <w:rsid w:val="00D86896"/>
    <w:rsid w:val="00D86A8A"/>
    <w:rsid w:val="00D86C07"/>
    <w:rsid w:val="00D86CBB"/>
    <w:rsid w:val="00D86D9A"/>
    <w:rsid w:val="00D86E18"/>
    <w:rsid w:val="00D8707B"/>
    <w:rsid w:val="00D87087"/>
    <w:rsid w:val="00D870F9"/>
    <w:rsid w:val="00D8718C"/>
    <w:rsid w:val="00D871BA"/>
    <w:rsid w:val="00D8721D"/>
    <w:rsid w:val="00D873B7"/>
    <w:rsid w:val="00D873C9"/>
    <w:rsid w:val="00D87463"/>
    <w:rsid w:val="00D87583"/>
    <w:rsid w:val="00D875D0"/>
    <w:rsid w:val="00D877DA"/>
    <w:rsid w:val="00D8790F"/>
    <w:rsid w:val="00D87C19"/>
    <w:rsid w:val="00D87F7F"/>
    <w:rsid w:val="00D87FB1"/>
    <w:rsid w:val="00D903EA"/>
    <w:rsid w:val="00D90674"/>
    <w:rsid w:val="00D90800"/>
    <w:rsid w:val="00D9082F"/>
    <w:rsid w:val="00D909F7"/>
    <w:rsid w:val="00D90A0E"/>
    <w:rsid w:val="00D90C0C"/>
    <w:rsid w:val="00D90CCC"/>
    <w:rsid w:val="00D90D70"/>
    <w:rsid w:val="00D90DDC"/>
    <w:rsid w:val="00D90FBF"/>
    <w:rsid w:val="00D90FD3"/>
    <w:rsid w:val="00D9124D"/>
    <w:rsid w:val="00D9146A"/>
    <w:rsid w:val="00D914D5"/>
    <w:rsid w:val="00D91528"/>
    <w:rsid w:val="00D91736"/>
    <w:rsid w:val="00D9181E"/>
    <w:rsid w:val="00D91A03"/>
    <w:rsid w:val="00D91A58"/>
    <w:rsid w:val="00D91DC2"/>
    <w:rsid w:val="00D91EE9"/>
    <w:rsid w:val="00D91F11"/>
    <w:rsid w:val="00D91F9C"/>
    <w:rsid w:val="00D920CF"/>
    <w:rsid w:val="00D920D1"/>
    <w:rsid w:val="00D92338"/>
    <w:rsid w:val="00D928DD"/>
    <w:rsid w:val="00D92AB0"/>
    <w:rsid w:val="00D92B20"/>
    <w:rsid w:val="00D92BD6"/>
    <w:rsid w:val="00D92BF9"/>
    <w:rsid w:val="00D92E0E"/>
    <w:rsid w:val="00D92F40"/>
    <w:rsid w:val="00D92FE8"/>
    <w:rsid w:val="00D93033"/>
    <w:rsid w:val="00D93100"/>
    <w:rsid w:val="00D9319D"/>
    <w:rsid w:val="00D93380"/>
    <w:rsid w:val="00D93466"/>
    <w:rsid w:val="00D934E3"/>
    <w:rsid w:val="00D935B7"/>
    <w:rsid w:val="00D935DD"/>
    <w:rsid w:val="00D936F4"/>
    <w:rsid w:val="00D9372A"/>
    <w:rsid w:val="00D93746"/>
    <w:rsid w:val="00D938AE"/>
    <w:rsid w:val="00D938D7"/>
    <w:rsid w:val="00D93920"/>
    <w:rsid w:val="00D93941"/>
    <w:rsid w:val="00D939E6"/>
    <w:rsid w:val="00D93B52"/>
    <w:rsid w:val="00D93C7F"/>
    <w:rsid w:val="00D93C9D"/>
    <w:rsid w:val="00D93E13"/>
    <w:rsid w:val="00D93E93"/>
    <w:rsid w:val="00D9424D"/>
    <w:rsid w:val="00D9430F"/>
    <w:rsid w:val="00D94356"/>
    <w:rsid w:val="00D943CC"/>
    <w:rsid w:val="00D9443F"/>
    <w:rsid w:val="00D948EE"/>
    <w:rsid w:val="00D94C4E"/>
    <w:rsid w:val="00D94C9B"/>
    <w:rsid w:val="00D94D24"/>
    <w:rsid w:val="00D94D7D"/>
    <w:rsid w:val="00D95043"/>
    <w:rsid w:val="00D9504E"/>
    <w:rsid w:val="00D950C8"/>
    <w:rsid w:val="00D952B7"/>
    <w:rsid w:val="00D95531"/>
    <w:rsid w:val="00D95652"/>
    <w:rsid w:val="00D95798"/>
    <w:rsid w:val="00D95838"/>
    <w:rsid w:val="00D95AC7"/>
    <w:rsid w:val="00D95B04"/>
    <w:rsid w:val="00D95B9E"/>
    <w:rsid w:val="00D95C06"/>
    <w:rsid w:val="00D95F24"/>
    <w:rsid w:val="00D95F26"/>
    <w:rsid w:val="00D95FB1"/>
    <w:rsid w:val="00D9643F"/>
    <w:rsid w:val="00D9667C"/>
    <w:rsid w:val="00D96A89"/>
    <w:rsid w:val="00D96ACC"/>
    <w:rsid w:val="00D96AFB"/>
    <w:rsid w:val="00D96C6C"/>
    <w:rsid w:val="00D96D07"/>
    <w:rsid w:val="00D96F9F"/>
    <w:rsid w:val="00D96FCA"/>
    <w:rsid w:val="00D9709F"/>
    <w:rsid w:val="00D970B7"/>
    <w:rsid w:val="00D970C8"/>
    <w:rsid w:val="00D972FF"/>
    <w:rsid w:val="00D97300"/>
    <w:rsid w:val="00D9736C"/>
    <w:rsid w:val="00D9749D"/>
    <w:rsid w:val="00D97942"/>
    <w:rsid w:val="00D97C2D"/>
    <w:rsid w:val="00D97E69"/>
    <w:rsid w:val="00D97EC5"/>
    <w:rsid w:val="00D97EC6"/>
    <w:rsid w:val="00D97F0F"/>
    <w:rsid w:val="00DA01C8"/>
    <w:rsid w:val="00DA02A7"/>
    <w:rsid w:val="00DA0443"/>
    <w:rsid w:val="00DA0555"/>
    <w:rsid w:val="00DA05CC"/>
    <w:rsid w:val="00DA0620"/>
    <w:rsid w:val="00DA0804"/>
    <w:rsid w:val="00DA0A1A"/>
    <w:rsid w:val="00DA0C7E"/>
    <w:rsid w:val="00DA0DDB"/>
    <w:rsid w:val="00DA0DF1"/>
    <w:rsid w:val="00DA0E2C"/>
    <w:rsid w:val="00DA0F7F"/>
    <w:rsid w:val="00DA1184"/>
    <w:rsid w:val="00DA12DC"/>
    <w:rsid w:val="00DA1413"/>
    <w:rsid w:val="00DA1473"/>
    <w:rsid w:val="00DA15A9"/>
    <w:rsid w:val="00DA1631"/>
    <w:rsid w:val="00DA1984"/>
    <w:rsid w:val="00DA1999"/>
    <w:rsid w:val="00DA1B47"/>
    <w:rsid w:val="00DA1BF1"/>
    <w:rsid w:val="00DA1C0F"/>
    <w:rsid w:val="00DA1D12"/>
    <w:rsid w:val="00DA224A"/>
    <w:rsid w:val="00DA238D"/>
    <w:rsid w:val="00DA241E"/>
    <w:rsid w:val="00DA255D"/>
    <w:rsid w:val="00DA2800"/>
    <w:rsid w:val="00DA291C"/>
    <w:rsid w:val="00DA29AD"/>
    <w:rsid w:val="00DA2A23"/>
    <w:rsid w:val="00DA2A32"/>
    <w:rsid w:val="00DA2AE3"/>
    <w:rsid w:val="00DA2B7F"/>
    <w:rsid w:val="00DA2C3C"/>
    <w:rsid w:val="00DA2CC8"/>
    <w:rsid w:val="00DA2D4F"/>
    <w:rsid w:val="00DA2E1A"/>
    <w:rsid w:val="00DA2E54"/>
    <w:rsid w:val="00DA2E77"/>
    <w:rsid w:val="00DA305A"/>
    <w:rsid w:val="00DA306E"/>
    <w:rsid w:val="00DA30E5"/>
    <w:rsid w:val="00DA34F2"/>
    <w:rsid w:val="00DA3554"/>
    <w:rsid w:val="00DA3836"/>
    <w:rsid w:val="00DA38EC"/>
    <w:rsid w:val="00DA39CD"/>
    <w:rsid w:val="00DA3BA0"/>
    <w:rsid w:val="00DA3CC9"/>
    <w:rsid w:val="00DA3CCE"/>
    <w:rsid w:val="00DA4043"/>
    <w:rsid w:val="00DA4279"/>
    <w:rsid w:val="00DA42EF"/>
    <w:rsid w:val="00DA46B7"/>
    <w:rsid w:val="00DA46F1"/>
    <w:rsid w:val="00DA4742"/>
    <w:rsid w:val="00DA4A57"/>
    <w:rsid w:val="00DA4B04"/>
    <w:rsid w:val="00DA4CF1"/>
    <w:rsid w:val="00DA4E3E"/>
    <w:rsid w:val="00DA4EEA"/>
    <w:rsid w:val="00DA4F9B"/>
    <w:rsid w:val="00DA52B2"/>
    <w:rsid w:val="00DA5302"/>
    <w:rsid w:val="00DA5389"/>
    <w:rsid w:val="00DA550A"/>
    <w:rsid w:val="00DA555C"/>
    <w:rsid w:val="00DA5580"/>
    <w:rsid w:val="00DA55CE"/>
    <w:rsid w:val="00DA5670"/>
    <w:rsid w:val="00DA5ABC"/>
    <w:rsid w:val="00DA5B42"/>
    <w:rsid w:val="00DA5C4E"/>
    <w:rsid w:val="00DA5DE5"/>
    <w:rsid w:val="00DA5F45"/>
    <w:rsid w:val="00DA5FDB"/>
    <w:rsid w:val="00DA62E5"/>
    <w:rsid w:val="00DA637B"/>
    <w:rsid w:val="00DA6404"/>
    <w:rsid w:val="00DA65C0"/>
    <w:rsid w:val="00DA672A"/>
    <w:rsid w:val="00DA674E"/>
    <w:rsid w:val="00DA6776"/>
    <w:rsid w:val="00DA6857"/>
    <w:rsid w:val="00DA6870"/>
    <w:rsid w:val="00DA6929"/>
    <w:rsid w:val="00DA6A1B"/>
    <w:rsid w:val="00DA6A60"/>
    <w:rsid w:val="00DA6A76"/>
    <w:rsid w:val="00DA6FA6"/>
    <w:rsid w:val="00DA7064"/>
    <w:rsid w:val="00DA71F7"/>
    <w:rsid w:val="00DA7540"/>
    <w:rsid w:val="00DA762E"/>
    <w:rsid w:val="00DA77C5"/>
    <w:rsid w:val="00DA780E"/>
    <w:rsid w:val="00DA783F"/>
    <w:rsid w:val="00DA7874"/>
    <w:rsid w:val="00DA79A2"/>
    <w:rsid w:val="00DA7A58"/>
    <w:rsid w:val="00DA7BB1"/>
    <w:rsid w:val="00DA7BB7"/>
    <w:rsid w:val="00DA7BFC"/>
    <w:rsid w:val="00DA7C35"/>
    <w:rsid w:val="00DA7D78"/>
    <w:rsid w:val="00DA7DDA"/>
    <w:rsid w:val="00DA7E29"/>
    <w:rsid w:val="00DA7E7B"/>
    <w:rsid w:val="00DB0194"/>
    <w:rsid w:val="00DB02AE"/>
    <w:rsid w:val="00DB0416"/>
    <w:rsid w:val="00DB055B"/>
    <w:rsid w:val="00DB0777"/>
    <w:rsid w:val="00DB0782"/>
    <w:rsid w:val="00DB07EF"/>
    <w:rsid w:val="00DB09B1"/>
    <w:rsid w:val="00DB09DA"/>
    <w:rsid w:val="00DB09EB"/>
    <w:rsid w:val="00DB0B4E"/>
    <w:rsid w:val="00DB0B59"/>
    <w:rsid w:val="00DB0B5B"/>
    <w:rsid w:val="00DB0BCC"/>
    <w:rsid w:val="00DB0CA8"/>
    <w:rsid w:val="00DB0F69"/>
    <w:rsid w:val="00DB1010"/>
    <w:rsid w:val="00DB10E4"/>
    <w:rsid w:val="00DB111B"/>
    <w:rsid w:val="00DB129D"/>
    <w:rsid w:val="00DB12CF"/>
    <w:rsid w:val="00DB12F0"/>
    <w:rsid w:val="00DB12FE"/>
    <w:rsid w:val="00DB16AC"/>
    <w:rsid w:val="00DB16FD"/>
    <w:rsid w:val="00DB177E"/>
    <w:rsid w:val="00DB1983"/>
    <w:rsid w:val="00DB19DB"/>
    <w:rsid w:val="00DB1B0D"/>
    <w:rsid w:val="00DB1BD4"/>
    <w:rsid w:val="00DB1D2A"/>
    <w:rsid w:val="00DB1E55"/>
    <w:rsid w:val="00DB1ECF"/>
    <w:rsid w:val="00DB1EE6"/>
    <w:rsid w:val="00DB2060"/>
    <w:rsid w:val="00DB20B5"/>
    <w:rsid w:val="00DB2132"/>
    <w:rsid w:val="00DB22A5"/>
    <w:rsid w:val="00DB2708"/>
    <w:rsid w:val="00DB27CB"/>
    <w:rsid w:val="00DB27E9"/>
    <w:rsid w:val="00DB2929"/>
    <w:rsid w:val="00DB2B98"/>
    <w:rsid w:val="00DB2C21"/>
    <w:rsid w:val="00DB2DAF"/>
    <w:rsid w:val="00DB2DD9"/>
    <w:rsid w:val="00DB2E86"/>
    <w:rsid w:val="00DB2F62"/>
    <w:rsid w:val="00DB3026"/>
    <w:rsid w:val="00DB30A3"/>
    <w:rsid w:val="00DB30F4"/>
    <w:rsid w:val="00DB327F"/>
    <w:rsid w:val="00DB329C"/>
    <w:rsid w:val="00DB33AF"/>
    <w:rsid w:val="00DB3590"/>
    <w:rsid w:val="00DB3607"/>
    <w:rsid w:val="00DB399C"/>
    <w:rsid w:val="00DB39F2"/>
    <w:rsid w:val="00DB3CA2"/>
    <w:rsid w:val="00DB3E03"/>
    <w:rsid w:val="00DB3E0D"/>
    <w:rsid w:val="00DB3E55"/>
    <w:rsid w:val="00DB407E"/>
    <w:rsid w:val="00DB40E6"/>
    <w:rsid w:val="00DB41B1"/>
    <w:rsid w:val="00DB427C"/>
    <w:rsid w:val="00DB4586"/>
    <w:rsid w:val="00DB45D3"/>
    <w:rsid w:val="00DB45ED"/>
    <w:rsid w:val="00DB4735"/>
    <w:rsid w:val="00DB4851"/>
    <w:rsid w:val="00DB4874"/>
    <w:rsid w:val="00DB48CA"/>
    <w:rsid w:val="00DB4B2F"/>
    <w:rsid w:val="00DB4B3C"/>
    <w:rsid w:val="00DB4C0E"/>
    <w:rsid w:val="00DB4CDA"/>
    <w:rsid w:val="00DB4DB6"/>
    <w:rsid w:val="00DB50EF"/>
    <w:rsid w:val="00DB51B6"/>
    <w:rsid w:val="00DB5294"/>
    <w:rsid w:val="00DB52FE"/>
    <w:rsid w:val="00DB5313"/>
    <w:rsid w:val="00DB555F"/>
    <w:rsid w:val="00DB572F"/>
    <w:rsid w:val="00DB5883"/>
    <w:rsid w:val="00DB5956"/>
    <w:rsid w:val="00DB5B89"/>
    <w:rsid w:val="00DB5EBE"/>
    <w:rsid w:val="00DB5F11"/>
    <w:rsid w:val="00DB5FB1"/>
    <w:rsid w:val="00DB6052"/>
    <w:rsid w:val="00DB609C"/>
    <w:rsid w:val="00DB6108"/>
    <w:rsid w:val="00DB6355"/>
    <w:rsid w:val="00DB64B8"/>
    <w:rsid w:val="00DB65B8"/>
    <w:rsid w:val="00DB674A"/>
    <w:rsid w:val="00DB6B70"/>
    <w:rsid w:val="00DB6C3A"/>
    <w:rsid w:val="00DB711D"/>
    <w:rsid w:val="00DB71A4"/>
    <w:rsid w:val="00DB723C"/>
    <w:rsid w:val="00DB7647"/>
    <w:rsid w:val="00DB76B7"/>
    <w:rsid w:val="00DB777C"/>
    <w:rsid w:val="00DB783C"/>
    <w:rsid w:val="00DB7B10"/>
    <w:rsid w:val="00DB7BCD"/>
    <w:rsid w:val="00DB7C1D"/>
    <w:rsid w:val="00DB7C1F"/>
    <w:rsid w:val="00DB7C39"/>
    <w:rsid w:val="00DB7CF8"/>
    <w:rsid w:val="00DB7D5E"/>
    <w:rsid w:val="00DB7DB5"/>
    <w:rsid w:val="00DB7DEC"/>
    <w:rsid w:val="00DB7E33"/>
    <w:rsid w:val="00DB7FCE"/>
    <w:rsid w:val="00DC001E"/>
    <w:rsid w:val="00DC00E2"/>
    <w:rsid w:val="00DC00F6"/>
    <w:rsid w:val="00DC0161"/>
    <w:rsid w:val="00DC0318"/>
    <w:rsid w:val="00DC03FE"/>
    <w:rsid w:val="00DC05D2"/>
    <w:rsid w:val="00DC0716"/>
    <w:rsid w:val="00DC0856"/>
    <w:rsid w:val="00DC0968"/>
    <w:rsid w:val="00DC0A33"/>
    <w:rsid w:val="00DC0A97"/>
    <w:rsid w:val="00DC0BD7"/>
    <w:rsid w:val="00DC0BE6"/>
    <w:rsid w:val="00DC0C4C"/>
    <w:rsid w:val="00DC0F3D"/>
    <w:rsid w:val="00DC0F5F"/>
    <w:rsid w:val="00DC102B"/>
    <w:rsid w:val="00DC110B"/>
    <w:rsid w:val="00DC112C"/>
    <w:rsid w:val="00DC12CE"/>
    <w:rsid w:val="00DC12EA"/>
    <w:rsid w:val="00DC13EA"/>
    <w:rsid w:val="00DC13F3"/>
    <w:rsid w:val="00DC143C"/>
    <w:rsid w:val="00DC14AD"/>
    <w:rsid w:val="00DC1545"/>
    <w:rsid w:val="00DC183E"/>
    <w:rsid w:val="00DC18F4"/>
    <w:rsid w:val="00DC1A06"/>
    <w:rsid w:val="00DC1B05"/>
    <w:rsid w:val="00DC1B50"/>
    <w:rsid w:val="00DC1B7A"/>
    <w:rsid w:val="00DC1D35"/>
    <w:rsid w:val="00DC1EDE"/>
    <w:rsid w:val="00DC207F"/>
    <w:rsid w:val="00DC21B9"/>
    <w:rsid w:val="00DC22DF"/>
    <w:rsid w:val="00DC2365"/>
    <w:rsid w:val="00DC2538"/>
    <w:rsid w:val="00DC291A"/>
    <w:rsid w:val="00DC29F1"/>
    <w:rsid w:val="00DC2A83"/>
    <w:rsid w:val="00DC2CE5"/>
    <w:rsid w:val="00DC2DAD"/>
    <w:rsid w:val="00DC2E89"/>
    <w:rsid w:val="00DC2F9B"/>
    <w:rsid w:val="00DC331A"/>
    <w:rsid w:val="00DC375D"/>
    <w:rsid w:val="00DC397C"/>
    <w:rsid w:val="00DC3AD6"/>
    <w:rsid w:val="00DC3CF5"/>
    <w:rsid w:val="00DC3EFB"/>
    <w:rsid w:val="00DC3F92"/>
    <w:rsid w:val="00DC4333"/>
    <w:rsid w:val="00DC435E"/>
    <w:rsid w:val="00DC43FD"/>
    <w:rsid w:val="00DC45C8"/>
    <w:rsid w:val="00DC4609"/>
    <w:rsid w:val="00DC46DA"/>
    <w:rsid w:val="00DC46EF"/>
    <w:rsid w:val="00DC4770"/>
    <w:rsid w:val="00DC4B98"/>
    <w:rsid w:val="00DC4DD7"/>
    <w:rsid w:val="00DC4E63"/>
    <w:rsid w:val="00DC4E96"/>
    <w:rsid w:val="00DC4E9B"/>
    <w:rsid w:val="00DC4EE6"/>
    <w:rsid w:val="00DC500E"/>
    <w:rsid w:val="00DC5124"/>
    <w:rsid w:val="00DC51F0"/>
    <w:rsid w:val="00DC524D"/>
    <w:rsid w:val="00DC52E7"/>
    <w:rsid w:val="00DC52FC"/>
    <w:rsid w:val="00DC5394"/>
    <w:rsid w:val="00DC5463"/>
    <w:rsid w:val="00DC5541"/>
    <w:rsid w:val="00DC556A"/>
    <w:rsid w:val="00DC56EA"/>
    <w:rsid w:val="00DC5828"/>
    <w:rsid w:val="00DC5882"/>
    <w:rsid w:val="00DC5978"/>
    <w:rsid w:val="00DC5B12"/>
    <w:rsid w:val="00DC5E98"/>
    <w:rsid w:val="00DC5F5B"/>
    <w:rsid w:val="00DC5F69"/>
    <w:rsid w:val="00DC5FEF"/>
    <w:rsid w:val="00DC60F7"/>
    <w:rsid w:val="00DC62DF"/>
    <w:rsid w:val="00DC6371"/>
    <w:rsid w:val="00DC6428"/>
    <w:rsid w:val="00DC6510"/>
    <w:rsid w:val="00DC6662"/>
    <w:rsid w:val="00DC666C"/>
    <w:rsid w:val="00DC678B"/>
    <w:rsid w:val="00DC696E"/>
    <w:rsid w:val="00DC69BF"/>
    <w:rsid w:val="00DC69F2"/>
    <w:rsid w:val="00DC6A88"/>
    <w:rsid w:val="00DC6BD1"/>
    <w:rsid w:val="00DC6E8B"/>
    <w:rsid w:val="00DC702E"/>
    <w:rsid w:val="00DC7127"/>
    <w:rsid w:val="00DC7166"/>
    <w:rsid w:val="00DC72C7"/>
    <w:rsid w:val="00DC734A"/>
    <w:rsid w:val="00DC73D5"/>
    <w:rsid w:val="00DC7400"/>
    <w:rsid w:val="00DC7422"/>
    <w:rsid w:val="00DC74D8"/>
    <w:rsid w:val="00DC74DC"/>
    <w:rsid w:val="00DC7760"/>
    <w:rsid w:val="00DC7AF3"/>
    <w:rsid w:val="00DC7BA3"/>
    <w:rsid w:val="00DC7C1C"/>
    <w:rsid w:val="00DC7CD8"/>
    <w:rsid w:val="00DD0018"/>
    <w:rsid w:val="00DD01E9"/>
    <w:rsid w:val="00DD022C"/>
    <w:rsid w:val="00DD02EA"/>
    <w:rsid w:val="00DD0399"/>
    <w:rsid w:val="00DD0709"/>
    <w:rsid w:val="00DD0713"/>
    <w:rsid w:val="00DD0716"/>
    <w:rsid w:val="00DD08E2"/>
    <w:rsid w:val="00DD091D"/>
    <w:rsid w:val="00DD0A44"/>
    <w:rsid w:val="00DD0A71"/>
    <w:rsid w:val="00DD0A7C"/>
    <w:rsid w:val="00DD0CA6"/>
    <w:rsid w:val="00DD0CA9"/>
    <w:rsid w:val="00DD0D75"/>
    <w:rsid w:val="00DD0D7D"/>
    <w:rsid w:val="00DD0E34"/>
    <w:rsid w:val="00DD0F0C"/>
    <w:rsid w:val="00DD0F3D"/>
    <w:rsid w:val="00DD1024"/>
    <w:rsid w:val="00DD1194"/>
    <w:rsid w:val="00DD1309"/>
    <w:rsid w:val="00DD130D"/>
    <w:rsid w:val="00DD1325"/>
    <w:rsid w:val="00DD17C3"/>
    <w:rsid w:val="00DD1877"/>
    <w:rsid w:val="00DD18C3"/>
    <w:rsid w:val="00DD1951"/>
    <w:rsid w:val="00DD1956"/>
    <w:rsid w:val="00DD1C5F"/>
    <w:rsid w:val="00DD1C79"/>
    <w:rsid w:val="00DD1CAE"/>
    <w:rsid w:val="00DD1DDB"/>
    <w:rsid w:val="00DD217B"/>
    <w:rsid w:val="00DD249B"/>
    <w:rsid w:val="00DD24C1"/>
    <w:rsid w:val="00DD250E"/>
    <w:rsid w:val="00DD25EC"/>
    <w:rsid w:val="00DD25F6"/>
    <w:rsid w:val="00DD269F"/>
    <w:rsid w:val="00DD282C"/>
    <w:rsid w:val="00DD2882"/>
    <w:rsid w:val="00DD2934"/>
    <w:rsid w:val="00DD29A1"/>
    <w:rsid w:val="00DD2A73"/>
    <w:rsid w:val="00DD2C53"/>
    <w:rsid w:val="00DD2D8B"/>
    <w:rsid w:val="00DD2E9B"/>
    <w:rsid w:val="00DD2FB7"/>
    <w:rsid w:val="00DD329D"/>
    <w:rsid w:val="00DD33C0"/>
    <w:rsid w:val="00DD33C1"/>
    <w:rsid w:val="00DD341E"/>
    <w:rsid w:val="00DD344F"/>
    <w:rsid w:val="00DD3543"/>
    <w:rsid w:val="00DD354B"/>
    <w:rsid w:val="00DD3621"/>
    <w:rsid w:val="00DD365E"/>
    <w:rsid w:val="00DD366E"/>
    <w:rsid w:val="00DD37B1"/>
    <w:rsid w:val="00DD3863"/>
    <w:rsid w:val="00DD388D"/>
    <w:rsid w:val="00DD39B2"/>
    <w:rsid w:val="00DD3B9C"/>
    <w:rsid w:val="00DD3BAA"/>
    <w:rsid w:val="00DD3BC4"/>
    <w:rsid w:val="00DD3C66"/>
    <w:rsid w:val="00DD3CB3"/>
    <w:rsid w:val="00DD3E33"/>
    <w:rsid w:val="00DD3F5E"/>
    <w:rsid w:val="00DD3FA1"/>
    <w:rsid w:val="00DD41A5"/>
    <w:rsid w:val="00DD41ED"/>
    <w:rsid w:val="00DD427F"/>
    <w:rsid w:val="00DD4655"/>
    <w:rsid w:val="00DD4656"/>
    <w:rsid w:val="00DD476F"/>
    <w:rsid w:val="00DD47E1"/>
    <w:rsid w:val="00DD488A"/>
    <w:rsid w:val="00DD48DC"/>
    <w:rsid w:val="00DD4991"/>
    <w:rsid w:val="00DD4994"/>
    <w:rsid w:val="00DD4B54"/>
    <w:rsid w:val="00DD4BFB"/>
    <w:rsid w:val="00DD4CC5"/>
    <w:rsid w:val="00DD4E19"/>
    <w:rsid w:val="00DD4E2E"/>
    <w:rsid w:val="00DD501A"/>
    <w:rsid w:val="00DD5124"/>
    <w:rsid w:val="00DD5189"/>
    <w:rsid w:val="00DD51AD"/>
    <w:rsid w:val="00DD528B"/>
    <w:rsid w:val="00DD52C2"/>
    <w:rsid w:val="00DD5373"/>
    <w:rsid w:val="00DD54A7"/>
    <w:rsid w:val="00DD564B"/>
    <w:rsid w:val="00DD5709"/>
    <w:rsid w:val="00DD5786"/>
    <w:rsid w:val="00DD580E"/>
    <w:rsid w:val="00DD5937"/>
    <w:rsid w:val="00DD5B32"/>
    <w:rsid w:val="00DD5B6B"/>
    <w:rsid w:val="00DD5CEE"/>
    <w:rsid w:val="00DD5DF3"/>
    <w:rsid w:val="00DD61CA"/>
    <w:rsid w:val="00DD6539"/>
    <w:rsid w:val="00DD65B4"/>
    <w:rsid w:val="00DD66D6"/>
    <w:rsid w:val="00DD6733"/>
    <w:rsid w:val="00DD6734"/>
    <w:rsid w:val="00DD674D"/>
    <w:rsid w:val="00DD6873"/>
    <w:rsid w:val="00DD68F4"/>
    <w:rsid w:val="00DD693C"/>
    <w:rsid w:val="00DD6C5C"/>
    <w:rsid w:val="00DD6E5B"/>
    <w:rsid w:val="00DD6E61"/>
    <w:rsid w:val="00DD6E9D"/>
    <w:rsid w:val="00DD6ED1"/>
    <w:rsid w:val="00DD6F20"/>
    <w:rsid w:val="00DD6F50"/>
    <w:rsid w:val="00DD7240"/>
    <w:rsid w:val="00DD7309"/>
    <w:rsid w:val="00DD739B"/>
    <w:rsid w:val="00DD7477"/>
    <w:rsid w:val="00DD757F"/>
    <w:rsid w:val="00DD7767"/>
    <w:rsid w:val="00DD780C"/>
    <w:rsid w:val="00DD7893"/>
    <w:rsid w:val="00DD78B6"/>
    <w:rsid w:val="00DD79F8"/>
    <w:rsid w:val="00DD7A74"/>
    <w:rsid w:val="00DD7C82"/>
    <w:rsid w:val="00DD7DCC"/>
    <w:rsid w:val="00DD7EF8"/>
    <w:rsid w:val="00DD7F73"/>
    <w:rsid w:val="00DD7FFE"/>
    <w:rsid w:val="00DE02FD"/>
    <w:rsid w:val="00DE03EB"/>
    <w:rsid w:val="00DE05B2"/>
    <w:rsid w:val="00DE05E6"/>
    <w:rsid w:val="00DE0658"/>
    <w:rsid w:val="00DE06D3"/>
    <w:rsid w:val="00DE06D6"/>
    <w:rsid w:val="00DE0780"/>
    <w:rsid w:val="00DE0799"/>
    <w:rsid w:val="00DE09B1"/>
    <w:rsid w:val="00DE09CD"/>
    <w:rsid w:val="00DE0ABB"/>
    <w:rsid w:val="00DE0B5E"/>
    <w:rsid w:val="00DE0C57"/>
    <w:rsid w:val="00DE0D1A"/>
    <w:rsid w:val="00DE1188"/>
    <w:rsid w:val="00DE119D"/>
    <w:rsid w:val="00DE1210"/>
    <w:rsid w:val="00DE12A9"/>
    <w:rsid w:val="00DE12AA"/>
    <w:rsid w:val="00DE12CD"/>
    <w:rsid w:val="00DE13B0"/>
    <w:rsid w:val="00DE13E4"/>
    <w:rsid w:val="00DE1481"/>
    <w:rsid w:val="00DE14D6"/>
    <w:rsid w:val="00DE1604"/>
    <w:rsid w:val="00DE1605"/>
    <w:rsid w:val="00DE1817"/>
    <w:rsid w:val="00DE1972"/>
    <w:rsid w:val="00DE1D4D"/>
    <w:rsid w:val="00DE1D99"/>
    <w:rsid w:val="00DE1E45"/>
    <w:rsid w:val="00DE1ED6"/>
    <w:rsid w:val="00DE1F1E"/>
    <w:rsid w:val="00DE1F6D"/>
    <w:rsid w:val="00DE2146"/>
    <w:rsid w:val="00DE2464"/>
    <w:rsid w:val="00DE247A"/>
    <w:rsid w:val="00DE249F"/>
    <w:rsid w:val="00DE2540"/>
    <w:rsid w:val="00DE25EA"/>
    <w:rsid w:val="00DE2642"/>
    <w:rsid w:val="00DE27B8"/>
    <w:rsid w:val="00DE27EC"/>
    <w:rsid w:val="00DE2A7A"/>
    <w:rsid w:val="00DE2B81"/>
    <w:rsid w:val="00DE3086"/>
    <w:rsid w:val="00DE3386"/>
    <w:rsid w:val="00DE3401"/>
    <w:rsid w:val="00DE3426"/>
    <w:rsid w:val="00DE34B6"/>
    <w:rsid w:val="00DE34BF"/>
    <w:rsid w:val="00DE355C"/>
    <w:rsid w:val="00DE357C"/>
    <w:rsid w:val="00DE35D6"/>
    <w:rsid w:val="00DE3623"/>
    <w:rsid w:val="00DE36BD"/>
    <w:rsid w:val="00DE37C6"/>
    <w:rsid w:val="00DE38F9"/>
    <w:rsid w:val="00DE3A9D"/>
    <w:rsid w:val="00DE3AE8"/>
    <w:rsid w:val="00DE3B5B"/>
    <w:rsid w:val="00DE3B7B"/>
    <w:rsid w:val="00DE3BB0"/>
    <w:rsid w:val="00DE3C1E"/>
    <w:rsid w:val="00DE416B"/>
    <w:rsid w:val="00DE41A3"/>
    <w:rsid w:val="00DE425D"/>
    <w:rsid w:val="00DE4301"/>
    <w:rsid w:val="00DE4675"/>
    <w:rsid w:val="00DE4780"/>
    <w:rsid w:val="00DE47E0"/>
    <w:rsid w:val="00DE483C"/>
    <w:rsid w:val="00DE493B"/>
    <w:rsid w:val="00DE4C1D"/>
    <w:rsid w:val="00DE4CDC"/>
    <w:rsid w:val="00DE4D3B"/>
    <w:rsid w:val="00DE4DC2"/>
    <w:rsid w:val="00DE4E28"/>
    <w:rsid w:val="00DE4EBD"/>
    <w:rsid w:val="00DE4F11"/>
    <w:rsid w:val="00DE4F87"/>
    <w:rsid w:val="00DE519B"/>
    <w:rsid w:val="00DE5412"/>
    <w:rsid w:val="00DE5494"/>
    <w:rsid w:val="00DE54D1"/>
    <w:rsid w:val="00DE5502"/>
    <w:rsid w:val="00DE550A"/>
    <w:rsid w:val="00DE563E"/>
    <w:rsid w:val="00DE56BF"/>
    <w:rsid w:val="00DE59B0"/>
    <w:rsid w:val="00DE5A9F"/>
    <w:rsid w:val="00DE5B3D"/>
    <w:rsid w:val="00DE5C0A"/>
    <w:rsid w:val="00DE5C10"/>
    <w:rsid w:val="00DE5C54"/>
    <w:rsid w:val="00DE5E14"/>
    <w:rsid w:val="00DE5E7E"/>
    <w:rsid w:val="00DE5EBD"/>
    <w:rsid w:val="00DE6045"/>
    <w:rsid w:val="00DE6254"/>
    <w:rsid w:val="00DE640F"/>
    <w:rsid w:val="00DE6864"/>
    <w:rsid w:val="00DE68CD"/>
    <w:rsid w:val="00DE6A3F"/>
    <w:rsid w:val="00DE6A72"/>
    <w:rsid w:val="00DE6B0D"/>
    <w:rsid w:val="00DE6C3B"/>
    <w:rsid w:val="00DE6CF2"/>
    <w:rsid w:val="00DE6E04"/>
    <w:rsid w:val="00DE6EEC"/>
    <w:rsid w:val="00DE704E"/>
    <w:rsid w:val="00DE7078"/>
    <w:rsid w:val="00DE70B9"/>
    <w:rsid w:val="00DE71E3"/>
    <w:rsid w:val="00DE7550"/>
    <w:rsid w:val="00DE7B0F"/>
    <w:rsid w:val="00DE7BB4"/>
    <w:rsid w:val="00DE7FB4"/>
    <w:rsid w:val="00DF00A9"/>
    <w:rsid w:val="00DF02E3"/>
    <w:rsid w:val="00DF0317"/>
    <w:rsid w:val="00DF0383"/>
    <w:rsid w:val="00DF055C"/>
    <w:rsid w:val="00DF07D4"/>
    <w:rsid w:val="00DF07DF"/>
    <w:rsid w:val="00DF085C"/>
    <w:rsid w:val="00DF085D"/>
    <w:rsid w:val="00DF08AD"/>
    <w:rsid w:val="00DF08F9"/>
    <w:rsid w:val="00DF09E0"/>
    <w:rsid w:val="00DF0A07"/>
    <w:rsid w:val="00DF0D9F"/>
    <w:rsid w:val="00DF0E80"/>
    <w:rsid w:val="00DF1389"/>
    <w:rsid w:val="00DF1404"/>
    <w:rsid w:val="00DF1525"/>
    <w:rsid w:val="00DF15B2"/>
    <w:rsid w:val="00DF15FE"/>
    <w:rsid w:val="00DF1678"/>
    <w:rsid w:val="00DF18D4"/>
    <w:rsid w:val="00DF18E9"/>
    <w:rsid w:val="00DF1B72"/>
    <w:rsid w:val="00DF1BBA"/>
    <w:rsid w:val="00DF1D89"/>
    <w:rsid w:val="00DF208D"/>
    <w:rsid w:val="00DF2118"/>
    <w:rsid w:val="00DF221F"/>
    <w:rsid w:val="00DF22D9"/>
    <w:rsid w:val="00DF2327"/>
    <w:rsid w:val="00DF2358"/>
    <w:rsid w:val="00DF2387"/>
    <w:rsid w:val="00DF23B8"/>
    <w:rsid w:val="00DF2909"/>
    <w:rsid w:val="00DF295C"/>
    <w:rsid w:val="00DF2BB7"/>
    <w:rsid w:val="00DF2BD6"/>
    <w:rsid w:val="00DF2CCD"/>
    <w:rsid w:val="00DF2D59"/>
    <w:rsid w:val="00DF2D80"/>
    <w:rsid w:val="00DF2F44"/>
    <w:rsid w:val="00DF3002"/>
    <w:rsid w:val="00DF335E"/>
    <w:rsid w:val="00DF347C"/>
    <w:rsid w:val="00DF3728"/>
    <w:rsid w:val="00DF39F9"/>
    <w:rsid w:val="00DF3F4E"/>
    <w:rsid w:val="00DF4075"/>
    <w:rsid w:val="00DF419E"/>
    <w:rsid w:val="00DF421A"/>
    <w:rsid w:val="00DF4297"/>
    <w:rsid w:val="00DF433E"/>
    <w:rsid w:val="00DF435A"/>
    <w:rsid w:val="00DF4897"/>
    <w:rsid w:val="00DF4A55"/>
    <w:rsid w:val="00DF4CDC"/>
    <w:rsid w:val="00DF4D34"/>
    <w:rsid w:val="00DF4D79"/>
    <w:rsid w:val="00DF4FC9"/>
    <w:rsid w:val="00DF5008"/>
    <w:rsid w:val="00DF50CF"/>
    <w:rsid w:val="00DF52D8"/>
    <w:rsid w:val="00DF5619"/>
    <w:rsid w:val="00DF57AB"/>
    <w:rsid w:val="00DF5977"/>
    <w:rsid w:val="00DF59CE"/>
    <w:rsid w:val="00DF5A96"/>
    <w:rsid w:val="00DF5BD4"/>
    <w:rsid w:val="00DF5CCA"/>
    <w:rsid w:val="00DF5EA5"/>
    <w:rsid w:val="00DF5FBD"/>
    <w:rsid w:val="00DF616F"/>
    <w:rsid w:val="00DF61AD"/>
    <w:rsid w:val="00DF6237"/>
    <w:rsid w:val="00DF62FA"/>
    <w:rsid w:val="00DF6365"/>
    <w:rsid w:val="00DF6483"/>
    <w:rsid w:val="00DF6567"/>
    <w:rsid w:val="00DF665E"/>
    <w:rsid w:val="00DF673D"/>
    <w:rsid w:val="00DF67BC"/>
    <w:rsid w:val="00DF683B"/>
    <w:rsid w:val="00DF695B"/>
    <w:rsid w:val="00DF6991"/>
    <w:rsid w:val="00DF6D9B"/>
    <w:rsid w:val="00DF6FDE"/>
    <w:rsid w:val="00DF7211"/>
    <w:rsid w:val="00DF7226"/>
    <w:rsid w:val="00DF736C"/>
    <w:rsid w:val="00DF750B"/>
    <w:rsid w:val="00DF75B5"/>
    <w:rsid w:val="00DF769D"/>
    <w:rsid w:val="00DF778C"/>
    <w:rsid w:val="00DF789F"/>
    <w:rsid w:val="00DF7ECA"/>
    <w:rsid w:val="00DF7F10"/>
    <w:rsid w:val="00DF7F6E"/>
    <w:rsid w:val="00E00113"/>
    <w:rsid w:val="00E00155"/>
    <w:rsid w:val="00E001E8"/>
    <w:rsid w:val="00E002E4"/>
    <w:rsid w:val="00E0033B"/>
    <w:rsid w:val="00E003B0"/>
    <w:rsid w:val="00E00409"/>
    <w:rsid w:val="00E00448"/>
    <w:rsid w:val="00E00611"/>
    <w:rsid w:val="00E006BA"/>
    <w:rsid w:val="00E007E0"/>
    <w:rsid w:val="00E00898"/>
    <w:rsid w:val="00E009AA"/>
    <w:rsid w:val="00E00B84"/>
    <w:rsid w:val="00E00CF0"/>
    <w:rsid w:val="00E00CF7"/>
    <w:rsid w:val="00E00D0C"/>
    <w:rsid w:val="00E00E19"/>
    <w:rsid w:val="00E00F5A"/>
    <w:rsid w:val="00E011C1"/>
    <w:rsid w:val="00E0136E"/>
    <w:rsid w:val="00E013CD"/>
    <w:rsid w:val="00E014D8"/>
    <w:rsid w:val="00E015CF"/>
    <w:rsid w:val="00E0161A"/>
    <w:rsid w:val="00E0169D"/>
    <w:rsid w:val="00E016BF"/>
    <w:rsid w:val="00E01742"/>
    <w:rsid w:val="00E01912"/>
    <w:rsid w:val="00E01D82"/>
    <w:rsid w:val="00E01E95"/>
    <w:rsid w:val="00E024B5"/>
    <w:rsid w:val="00E02533"/>
    <w:rsid w:val="00E02545"/>
    <w:rsid w:val="00E027F2"/>
    <w:rsid w:val="00E0282B"/>
    <w:rsid w:val="00E028A2"/>
    <w:rsid w:val="00E02AF0"/>
    <w:rsid w:val="00E02B54"/>
    <w:rsid w:val="00E02CB0"/>
    <w:rsid w:val="00E02ED5"/>
    <w:rsid w:val="00E02F4F"/>
    <w:rsid w:val="00E02FA9"/>
    <w:rsid w:val="00E02FE6"/>
    <w:rsid w:val="00E030C5"/>
    <w:rsid w:val="00E032CB"/>
    <w:rsid w:val="00E03305"/>
    <w:rsid w:val="00E03470"/>
    <w:rsid w:val="00E03488"/>
    <w:rsid w:val="00E038C2"/>
    <w:rsid w:val="00E039E5"/>
    <w:rsid w:val="00E03AA9"/>
    <w:rsid w:val="00E03DE5"/>
    <w:rsid w:val="00E03E08"/>
    <w:rsid w:val="00E0408B"/>
    <w:rsid w:val="00E0419B"/>
    <w:rsid w:val="00E043CF"/>
    <w:rsid w:val="00E04445"/>
    <w:rsid w:val="00E04825"/>
    <w:rsid w:val="00E04845"/>
    <w:rsid w:val="00E049DC"/>
    <w:rsid w:val="00E04B14"/>
    <w:rsid w:val="00E04B4C"/>
    <w:rsid w:val="00E04CC6"/>
    <w:rsid w:val="00E04D4D"/>
    <w:rsid w:val="00E04DC8"/>
    <w:rsid w:val="00E04E2C"/>
    <w:rsid w:val="00E04EA4"/>
    <w:rsid w:val="00E04F85"/>
    <w:rsid w:val="00E0523D"/>
    <w:rsid w:val="00E0540F"/>
    <w:rsid w:val="00E055FF"/>
    <w:rsid w:val="00E056ED"/>
    <w:rsid w:val="00E05724"/>
    <w:rsid w:val="00E0579B"/>
    <w:rsid w:val="00E05834"/>
    <w:rsid w:val="00E05993"/>
    <w:rsid w:val="00E05A20"/>
    <w:rsid w:val="00E05A57"/>
    <w:rsid w:val="00E05CFB"/>
    <w:rsid w:val="00E05E75"/>
    <w:rsid w:val="00E05F2E"/>
    <w:rsid w:val="00E05F8B"/>
    <w:rsid w:val="00E060A4"/>
    <w:rsid w:val="00E06176"/>
    <w:rsid w:val="00E06390"/>
    <w:rsid w:val="00E066D9"/>
    <w:rsid w:val="00E067B0"/>
    <w:rsid w:val="00E067F7"/>
    <w:rsid w:val="00E069E2"/>
    <w:rsid w:val="00E06A88"/>
    <w:rsid w:val="00E06AA1"/>
    <w:rsid w:val="00E06DD0"/>
    <w:rsid w:val="00E06E3A"/>
    <w:rsid w:val="00E06E5D"/>
    <w:rsid w:val="00E06E7B"/>
    <w:rsid w:val="00E07033"/>
    <w:rsid w:val="00E07216"/>
    <w:rsid w:val="00E07325"/>
    <w:rsid w:val="00E07372"/>
    <w:rsid w:val="00E0749E"/>
    <w:rsid w:val="00E075D8"/>
    <w:rsid w:val="00E07762"/>
    <w:rsid w:val="00E07779"/>
    <w:rsid w:val="00E0793F"/>
    <w:rsid w:val="00E0794D"/>
    <w:rsid w:val="00E07AB9"/>
    <w:rsid w:val="00E07B0B"/>
    <w:rsid w:val="00E07C91"/>
    <w:rsid w:val="00E07DD8"/>
    <w:rsid w:val="00E07DF7"/>
    <w:rsid w:val="00E07EA0"/>
    <w:rsid w:val="00E101E8"/>
    <w:rsid w:val="00E101F9"/>
    <w:rsid w:val="00E10214"/>
    <w:rsid w:val="00E102E5"/>
    <w:rsid w:val="00E10442"/>
    <w:rsid w:val="00E10475"/>
    <w:rsid w:val="00E10510"/>
    <w:rsid w:val="00E10783"/>
    <w:rsid w:val="00E10879"/>
    <w:rsid w:val="00E10959"/>
    <w:rsid w:val="00E10AC4"/>
    <w:rsid w:val="00E10B57"/>
    <w:rsid w:val="00E10B6C"/>
    <w:rsid w:val="00E10C6A"/>
    <w:rsid w:val="00E10C9F"/>
    <w:rsid w:val="00E10D35"/>
    <w:rsid w:val="00E10EE0"/>
    <w:rsid w:val="00E11143"/>
    <w:rsid w:val="00E11291"/>
    <w:rsid w:val="00E1129E"/>
    <w:rsid w:val="00E11387"/>
    <w:rsid w:val="00E113AB"/>
    <w:rsid w:val="00E1157D"/>
    <w:rsid w:val="00E11B35"/>
    <w:rsid w:val="00E11BF9"/>
    <w:rsid w:val="00E11EDC"/>
    <w:rsid w:val="00E12280"/>
    <w:rsid w:val="00E1228C"/>
    <w:rsid w:val="00E123C1"/>
    <w:rsid w:val="00E12407"/>
    <w:rsid w:val="00E127A7"/>
    <w:rsid w:val="00E127E2"/>
    <w:rsid w:val="00E128A7"/>
    <w:rsid w:val="00E128C8"/>
    <w:rsid w:val="00E12A15"/>
    <w:rsid w:val="00E12F14"/>
    <w:rsid w:val="00E12F7B"/>
    <w:rsid w:val="00E12FA9"/>
    <w:rsid w:val="00E1317E"/>
    <w:rsid w:val="00E132D4"/>
    <w:rsid w:val="00E1338D"/>
    <w:rsid w:val="00E134DB"/>
    <w:rsid w:val="00E13632"/>
    <w:rsid w:val="00E13835"/>
    <w:rsid w:val="00E13B75"/>
    <w:rsid w:val="00E13CD0"/>
    <w:rsid w:val="00E13D87"/>
    <w:rsid w:val="00E13F69"/>
    <w:rsid w:val="00E13FB4"/>
    <w:rsid w:val="00E1405E"/>
    <w:rsid w:val="00E141E7"/>
    <w:rsid w:val="00E1426B"/>
    <w:rsid w:val="00E14723"/>
    <w:rsid w:val="00E14735"/>
    <w:rsid w:val="00E14849"/>
    <w:rsid w:val="00E148AA"/>
    <w:rsid w:val="00E148FF"/>
    <w:rsid w:val="00E149F4"/>
    <w:rsid w:val="00E14CAE"/>
    <w:rsid w:val="00E14D29"/>
    <w:rsid w:val="00E14DA0"/>
    <w:rsid w:val="00E14DA7"/>
    <w:rsid w:val="00E14DE4"/>
    <w:rsid w:val="00E14EAF"/>
    <w:rsid w:val="00E150B5"/>
    <w:rsid w:val="00E15111"/>
    <w:rsid w:val="00E151C2"/>
    <w:rsid w:val="00E151CB"/>
    <w:rsid w:val="00E1527D"/>
    <w:rsid w:val="00E15902"/>
    <w:rsid w:val="00E15954"/>
    <w:rsid w:val="00E159DC"/>
    <w:rsid w:val="00E15A8B"/>
    <w:rsid w:val="00E15A8E"/>
    <w:rsid w:val="00E161DD"/>
    <w:rsid w:val="00E1625B"/>
    <w:rsid w:val="00E164B7"/>
    <w:rsid w:val="00E164E8"/>
    <w:rsid w:val="00E1659A"/>
    <w:rsid w:val="00E167DB"/>
    <w:rsid w:val="00E168D2"/>
    <w:rsid w:val="00E16910"/>
    <w:rsid w:val="00E16932"/>
    <w:rsid w:val="00E169CE"/>
    <w:rsid w:val="00E16A5B"/>
    <w:rsid w:val="00E16B55"/>
    <w:rsid w:val="00E16ED0"/>
    <w:rsid w:val="00E16FEF"/>
    <w:rsid w:val="00E17015"/>
    <w:rsid w:val="00E17232"/>
    <w:rsid w:val="00E17424"/>
    <w:rsid w:val="00E1742C"/>
    <w:rsid w:val="00E174A0"/>
    <w:rsid w:val="00E176BB"/>
    <w:rsid w:val="00E179D6"/>
    <w:rsid w:val="00E17A26"/>
    <w:rsid w:val="00E17A80"/>
    <w:rsid w:val="00E17ADB"/>
    <w:rsid w:val="00E17D5C"/>
    <w:rsid w:val="00E17E78"/>
    <w:rsid w:val="00E20061"/>
    <w:rsid w:val="00E20322"/>
    <w:rsid w:val="00E20897"/>
    <w:rsid w:val="00E20A28"/>
    <w:rsid w:val="00E20B19"/>
    <w:rsid w:val="00E20B61"/>
    <w:rsid w:val="00E20D80"/>
    <w:rsid w:val="00E20DA9"/>
    <w:rsid w:val="00E20E37"/>
    <w:rsid w:val="00E21058"/>
    <w:rsid w:val="00E2142E"/>
    <w:rsid w:val="00E2196E"/>
    <w:rsid w:val="00E21AC9"/>
    <w:rsid w:val="00E21ADE"/>
    <w:rsid w:val="00E220AB"/>
    <w:rsid w:val="00E220FA"/>
    <w:rsid w:val="00E2212C"/>
    <w:rsid w:val="00E221C2"/>
    <w:rsid w:val="00E2224A"/>
    <w:rsid w:val="00E2234E"/>
    <w:rsid w:val="00E225B0"/>
    <w:rsid w:val="00E22860"/>
    <w:rsid w:val="00E22B32"/>
    <w:rsid w:val="00E22BF6"/>
    <w:rsid w:val="00E22C22"/>
    <w:rsid w:val="00E22E63"/>
    <w:rsid w:val="00E22F0B"/>
    <w:rsid w:val="00E22F24"/>
    <w:rsid w:val="00E23000"/>
    <w:rsid w:val="00E23147"/>
    <w:rsid w:val="00E23157"/>
    <w:rsid w:val="00E2323C"/>
    <w:rsid w:val="00E232A7"/>
    <w:rsid w:val="00E233DF"/>
    <w:rsid w:val="00E2344F"/>
    <w:rsid w:val="00E234AD"/>
    <w:rsid w:val="00E234E1"/>
    <w:rsid w:val="00E23639"/>
    <w:rsid w:val="00E236C5"/>
    <w:rsid w:val="00E2376F"/>
    <w:rsid w:val="00E23804"/>
    <w:rsid w:val="00E23B71"/>
    <w:rsid w:val="00E23BAC"/>
    <w:rsid w:val="00E23C2C"/>
    <w:rsid w:val="00E23C8C"/>
    <w:rsid w:val="00E23D24"/>
    <w:rsid w:val="00E23D37"/>
    <w:rsid w:val="00E23D94"/>
    <w:rsid w:val="00E23E94"/>
    <w:rsid w:val="00E23EF9"/>
    <w:rsid w:val="00E2421B"/>
    <w:rsid w:val="00E24431"/>
    <w:rsid w:val="00E24783"/>
    <w:rsid w:val="00E247A6"/>
    <w:rsid w:val="00E248EE"/>
    <w:rsid w:val="00E24924"/>
    <w:rsid w:val="00E249EB"/>
    <w:rsid w:val="00E24A06"/>
    <w:rsid w:val="00E24A31"/>
    <w:rsid w:val="00E24BAB"/>
    <w:rsid w:val="00E24C4B"/>
    <w:rsid w:val="00E24D70"/>
    <w:rsid w:val="00E2515B"/>
    <w:rsid w:val="00E254B6"/>
    <w:rsid w:val="00E25581"/>
    <w:rsid w:val="00E258B0"/>
    <w:rsid w:val="00E25C1F"/>
    <w:rsid w:val="00E25CD7"/>
    <w:rsid w:val="00E25D99"/>
    <w:rsid w:val="00E25DC2"/>
    <w:rsid w:val="00E25DCC"/>
    <w:rsid w:val="00E25DE6"/>
    <w:rsid w:val="00E25E92"/>
    <w:rsid w:val="00E261AF"/>
    <w:rsid w:val="00E2632B"/>
    <w:rsid w:val="00E263DE"/>
    <w:rsid w:val="00E2680B"/>
    <w:rsid w:val="00E268F9"/>
    <w:rsid w:val="00E26979"/>
    <w:rsid w:val="00E26A0C"/>
    <w:rsid w:val="00E26B34"/>
    <w:rsid w:val="00E26C3E"/>
    <w:rsid w:val="00E26DE5"/>
    <w:rsid w:val="00E26F52"/>
    <w:rsid w:val="00E27090"/>
    <w:rsid w:val="00E27139"/>
    <w:rsid w:val="00E27389"/>
    <w:rsid w:val="00E273DE"/>
    <w:rsid w:val="00E2740C"/>
    <w:rsid w:val="00E2747F"/>
    <w:rsid w:val="00E274B4"/>
    <w:rsid w:val="00E27668"/>
    <w:rsid w:val="00E2776F"/>
    <w:rsid w:val="00E278E5"/>
    <w:rsid w:val="00E278F4"/>
    <w:rsid w:val="00E27A69"/>
    <w:rsid w:val="00E27AB0"/>
    <w:rsid w:val="00E27AF6"/>
    <w:rsid w:val="00E27C78"/>
    <w:rsid w:val="00E27EC6"/>
    <w:rsid w:val="00E30025"/>
    <w:rsid w:val="00E30078"/>
    <w:rsid w:val="00E30164"/>
    <w:rsid w:val="00E30218"/>
    <w:rsid w:val="00E302E6"/>
    <w:rsid w:val="00E302E9"/>
    <w:rsid w:val="00E303B1"/>
    <w:rsid w:val="00E30400"/>
    <w:rsid w:val="00E305CB"/>
    <w:rsid w:val="00E30711"/>
    <w:rsid w:val="00E3074A"/>
    <w:rsid w:val="00E30789"/>
    <w:rsid w:val="00E307A8"/>
    <w:rsid w:val="00E308F2"/>
    <w:rsid w:val="00E30A51"/>
    <w:rsid w:val="00E30AFD"/>
    <w:rsid w:val="00E30B08"/>
    <w:rsid w:val="00E30BFE"/>
    <w:rsid w:val="00E30EB6"/>
    <w:rsid w:val="00E30F91"/>
    <w:rsid w:val="00E31016"/>
    <w:rsid w:val="00E31425"/>
    <w:rsid w:val="00E3148E"/>
    <w:rsid w:val="00E316B1"/>
    <w:rsid w:val="00E3177F"/>
    <w:rsid w:val="00E31843"/>
    <w:rsid w:val="00E3194E"/>
    <w:rsid w:val="00E31B4B"/>
    <w:rsid w:val="00E31CD5"/>
    <w:rsid w:val="00E31F07"/>
    <w:rsid w:val="00E3209B"/>
    <w:rsid w:val="00E320C4"/>
    <w:rsid w:val="00E32178"/>
    <w:rsid w:val="00E321BD"/>
    <w:rsid w:val="00E32219"/>
    <w:rsid w:val="00E322C4"/>
    <w:rsid w:val="00E322C9"/>
    <w:rsid w:val="00E32426"/>
    <w:rsid w:val="00E325C9"/>
    <w:rsid w:val="00E326E5"/>
    <w:rsid w:val="00E327EC"/>
    <w:rsid w:val="00E32855"/>
    <w:rsid w:val="00E32A19"/>
    <w:rsid w:val="00E32C07"/>
    <w:rsid w:val="00E33026"/>
    <w:rsid w:val="00E33193"/>
    <w:rsid w:val="00E333DD"/>
    <w:rsid w:val="00E33519"/>
    <w:rsid w:val="00E33568"/>
    <w:rsid w:val="00E33983"/>
    <w:rsid w:val="00E33A0C"/>
    <w:rsid w:val="00E33AE4"/>
    <w:rsid w:val="00E33C3F"/>
    <w:rsid w:val="00E33CE8"/>
    <w:rsid w:val="00E33D5A"/>
    <w:rsid w:val="00E33D8C"/>
    <w:rsid w:val="00E34012"/>
    <w:rsid w:val="00E3412A"/>
    <w:rsid w:val="00E34143"/>
    <w:rsid w:val="00E341D8"/>
    <w:rsid w:val="00E34313"/>
    <w:rsid w:val="00E34361"/>
    <w:rsid w:val="00E3437A"/>
    <w:rsid w:val="00E343D8"/>
    <w:rsid w:val="00E3467E"/>
    <w:rsid w:val="00E348CD"/>
    <w:rsid w:val="00E34927"/>
    <w:rsid w:val="00E34936"/>
    <w:rsid w:val="00E349C2"/>
    <w:rsid w:val="00E34A91"/>
    <w:rsid w:val="00E34C49"/>
    <w:rsid w:val="00E34CF1"/>
    <w:rsid w:val="00E34D09"/>
    <w:rsid w:val="00E34D3B"/>
    <w:rsid w:val="00E34D57"/>
    <w:rsid w:val="00E35015"/>
    <w:rsid w:val="00E3509A"/>
    <w:rsid w:val="00E351E2"/>
    <w:rsid w:val="00E35233"/>
    <w:rsid w:val="00E356B0"/>
    <w:rsid w:val="00E35A29"/>
    <w:rsid w:val="00E35AD7"/>
    <w:rsid w:val="00E35CB4"/>
    <w:rsid w:val="00E35D82"/>
    <w:rsid w:val="00E35FE6"/>
    <w:rsid w:val="00E3610A"/>
    <w:rsid w:val="00E36242"/>
    <w:rsid w:val="00E36446"/>
    <w:rsid w:val="00E3648B"/>
    <w:rsid w:val="00E36496"/>
    <w:rsid w:val="00E3653D"/>
    <w:rsid w:val="00E365FA"/>
    <w:rsid w:val="00E3686A"/>
    <w:rsid w:val="00E3686D"/>
    <w:rsid w:val="00E368F9"/>
    <w:rsid w:val="00E3693B"/>
    <w:rsid w:val="00E36952"/>
    <w:rsid w:val="00E36A87"/>
    <w:rsid w:val="00E36B46"/>
    <w:rsid w:val="00E36B75"/>
    <w:rsid w:val="00E36C55"/>
    <w:rsid w:val="00E36C92"/>
    <w:rsid w:val="00E36E02"/>
    <w:rsid w:val="00E36F6D"/>
    <w:rsid w:val="00E3716B"/>
    <w:rsid w:val="00E3749B"/>
    <w:rsid w:val="00E37577"/>
    <w:rsid w:val="00E375A9"/>
    <w:rsid w:val="00E375F7"/>
    <w:rsid w:val="00E37817"/>
    <w:rsid w:val="00E3791A"/>
    <w:rsid w:val="00E3794F"/>
    <w:rsid w:val="00E37BC4"/>
    <w:rsid w:val="00E37CFC"/>
    <w:rsid w:val="00E37D86"/>
    <w:rsid w:val="00E37DFA"/>
    <w:rsid w:val="00E37F3E"/>
    <w:rsid w:val="00E400AA"/>
    <w:rsid w:val="00E400AD"/>
    <w:rsid w:val="00E4015D"/>
    <w:rsid w:val="00E40391"/>
    <w:rsid w:val="00E40490"/>
    <w:rsid w:val="00E404E2"/>
    <w:rsid w:val="00E40533"/>
    <w:rsid w:val="00E405C4"/>
    <w:rsid w:val="00E4085D"/>
    <w:rsid w:val="00E40884"/>
    <w:rsid w:val="00E40978"/>
    <w:rsid w:val="00E40AF8"/>
    <w:rsid w:val="00E40B0E"/>
    <w:rsid w:val="00E40D1B"/>
    <w:rsid w:val="00E40DE4"/>
    <w:rsid w:val="00E40EE0"/>
    <w:rsid w:val="00E40F17"/>
    <w:rsid w:val="00E4156E"/>
    <w:rsid w:val="00E41576"/>
    <w:rsid w:val="00E4158F"/>
    <w:rsid w:val="00E41833"/>
    <w:rsid w:val="00E418A2"/>
    <w:rsid w:val="00E4195C"/>
    <w:rsid w:val="00E41AA0"/>
    <w:rsid w:val="00E41D99"/>
    <w:rsid w:val="00E41E25"/>
    <w:rsid w:val="00E41E46"/>
    <w:rsid w:val="00E41E4E"/>
    <w:rsid w:val="00E41EDE"/>
    <w:rsid w:val="00E41EF4"/>
    <w:rsid w:val="00E420D2"/>
    <w:rsid w:val="00E4210C"/>
    <w:rsid w:val="00E42424"/>
    <w:rsid w:val="00E42571"/>
    <w:rsid w:val="00E4262C"/>
    <w:rsid w:val="00E426D4"/>
    <w:rsid w:val="00E427DD"/>
    <w:rsid w:val="00E42884"/>
    <w:rsid w:val="00E42A0E"/>
    <w:rsid w:val="00E42BD6"/>
    <w:rsid w:val="00E43003"/>
    <w:rsid w:val="00E431F9"/>
    <w:rsid w:val="00E4344D"/>
    <w:rsid w:val="00E435DE"/>
    <w:rsid w:val="00E4361A"/>
    <w:rsid w:val="00E43668"/>
    <w:rsid w:val="00E436B3"/>
    <w:rsid w:val="00E436F2"/>
    <w:rsid w:val="00E437CA"/>
    <w:rsid w:val="00E43816"/>
    <w:rsid w:val="00E43A46"/>
    <w:rsid w:val="00E43A64"/>
    <w:rsid w:val="00E43AFB"/>
    <w:rsid w:val="00E43B12"/>
    <w:rsid w:val="00E43B5B"/>
    <w:rsid w:val="00E43C4E"/>
    <w:rsid w:val="00E43C71"/>
    <w:rsid w:val="00E43D1A"/>
    <w:rsid w:val="00E43D2E"/>
    <w:rsid w:val="00E43D76"/>
    <w:rsid w:val="00E43E0E"/>
    <w:rsid w:val="00E43E6C"/>
    <w:rsid w:val="00E43F44"/>
    <w:rsid w:val="00E43F58"/>
    <w:rsid w:val="00E44233"/>
    <w:rsid w:val="00E445F3"/>
    <w:rsid w:val="00E44652"/>
    <w:rsid w:val="00E446EB"/>
    <w:rsid w:val="00E4480F"/>
    <w:rsid w:val="00E448FD"/>
    <w:rsid w:val="00E4494B"/>
    <w:rsid w:val="00E44B0B"/>
    <w:rsid w:val="00E44B42"/>
    <w:rsid w:val="00E44BA0"/>
    <w:rsid w:val="00E44BA3"/>
    <w:rsid w:val="00E44C19"/>
    <w:rsid w:val="00E44E37"/>
    <w:rsid w:val="00E451DB"/>
    <w:rsid w:val="00E4522C"/>
    <w:rsid w:val="00E4526F"/>
    <w:rsid w:val="00E452C0"/>
    <w:rsid w:val="00E45878"/>
    <w:rsid w:val="00E458B1"/>
    <w:rsid w:val="00E45996"/>
    <w:rsid w:val="00E45B78"/>
    <w:rsid w:val="00E45FD6"/>
    <w:rsid w:val="00E45FEF"/>
    <w:rsid w:val="00E46269"/>
    <w:rsid w:val="00E46374"/>
    <w:rsid w:val="00E4641C"/>
    <w:rsid w:val="00E4664C"/>
    <w:rsid w:val="00E46CB1"/>
    <w:rsid w:val="00E46DBF"/>
    <w:rsid w:val="00E46E88"/>
    <w:rsid w:val="00E46FF2"/>
    <w:rsid w:val="00E4728C"/>
    <w:rsid w:val="00E47351"/>
    <w:rsid w:val="00E4762F"/>
    <w:rsid w:val="00E47715"/>
    <w:rsid w:val="00E47728"/>
    <w:rsid w:val="00E479F5"/>
    <w:rsid w:val="00E47B2C"/>
    <w:rsid w:val="00E47C55"/>
    <w:rsid w:val="00E47CD7"/>
    <w:rsid w:val="00E47DBC"/>
    <w:rsid w:val="00E500EA"/>
    <w:rsid w:val="00E500F1"/>
    <w:rsid w:val="00E5014C"/>
    <w:rsid w:val="00E5015C"/>
    <w:rsid w:val="00E501E8"/>
    <w:rsid w:val="00E50385"/>
    <w:rsid w:val="00E505A2"/>
    <w:rsid w:val="00E5075E"/>
    <w:rsid w:val="00E50851"/>
    <w:rsid w:val="00E5092F"/>
    <w:rsid w:val="00E5097A"/>
    <w:rsid w:val="00E50A22"/>
    <w:rsid w:val="00E50A48"/>
    <w:rsid w:val="00E50A65"/>
    <w:rsid w:val="00E50A66"/>
    <w:rsid w:val="00E50AA7"/>
    <w:rsid w:val="00E50AF6"/>
    <w:rsid w:val="00E50B01"/>
    <w:rsid w:val="00E50B07"/>
    <w:rsid w:val="00E50B77"/>
    <w:rsid w:val="00E50B80"/>
    <w:rsid w:val="00E50C37"/>
    <w:rsid w:val="00E50CA5"/>
    <w:rsid w:val="00E50DA9"/>
    <w:rsid w:val="00E51130"/>
    <w:rsid w:val="00E51204"/>
    <w:rsid w:val="00E51387"/>
    <w:rsid w:val="00E51389"/>
    <w:rsid w:val="00E51565"/>
    <w:rsid w:val="00E5169F"/>
    <w:rsid w:val="00E51865"/>
    <w:rsid w:val="00E51989"/>
    <w:rsid w:val="00E51A08"/>
    <w:rsid w:val="00E51A45"/>
    <w:rsid w:val="00E51CD5"/>
    <w:rsid w:val="00E51D97"/>
    <w:rsid w:val="00E51E6D"/>
    <w:rsid w:val="00E51E8F"/>
    <w:rsid w:val="00E520DD"/>
    <w:rsid w:val="00E5210E"/>
    <w:rsid w:val="00E5226B"/>
    <w:rsid w:val="00E5277D"/>
    <w:rsid w:val="00E52981"/>
    <w:rsid w:val="00E52A28"/>
    <w:rsid w:val="00E52A66"/>
    <w:rsid w:val="00E52B1D"/>
    <w:rsid w:val="00E52CEC"/>
    <w:rsid w:val="00E52D9A"/>
    <w:rsid w:val="00E52F72"/>
    <w:rsid w:val="00E5307F"/>
    <w:rsid w:val="00E531A9"/>
    <w:rsid w:val="00E532C3"/>
    <w:rsid w:val="00E53319"/>
    <w:rsid w:val="00E53380"/>
    <w:rsid w:val="00E53538"/>
    <w:rsid w:val="00E535B1"/>
    <w:rsid w:val="00E535B9"/>
    <w:rsid w:val="00E536DF"/>
    <w:rsid w:val="00E5394D"/>
    <w:rsid w:val="00E5399E"/>
    <w:rsid w:val="00E53AB4"/>
    <w:rsid w:val="00E53B16"/>
    <w:rsid w:val="00E53C26"/>
    <w:rsid w:val="00E53C63"/>
    <w:rsid w:val="00E53D6D"/>
    <w:rsid w:val="00E53EDC"/>
    <w:rsid w:val="00E54063"/>
    <w:rsid w:val="00E540A9"/>
    <w:rsid w:val="00E5410D"/>
    <w:rsid w:val="00E544E2"/>
    <w:rsid w:val="00E54C5F"/>
    <w:rsid w:val="00E54EDE"/>
    <w:rsid w:val="00E54F48"/>
    <w:rsid w:val="00E54F4D"/>
    <w:rsid w:val="00E54F55"/>
    <w:rsid w:val="00E54FB3"/>
    <w:rsid w:val="00E55222"/>
    <w:rsid w:val="00E5528B"/>
    <w:rsid w:val="00E555C7"/>
    <w:rsid w:val="00E55891"/>
    <w:rsid w:val="00E55A09"/>
    <w:rsid w:val="00E55ABA"/>
    <w:rsid w:val="00E55AC0"/>
    <w:rsid w:val="00E55ADD"/>
    <w:rsid w:val="00E55EEB"/>
    <w:rsid w:val="00E55F29"/>
    <w:rsid w:val="00E55FFD"/>
    <w:rsid w:val="00E5600A"/>
    <w:rsid w:val="00E56028"/>
    <w:rsid w:val="00E56043"/>
    <w:rsid w:val="00E5612E"/>
    <w:rsid w:val="00E561F0"/>
    <w:rsid w:val="00E56233"/>
    <w:rsid w:val="00E5640A"/>
    <w:rsid w:val="00E56464"/>
    <w:rsid w:val="00E564FB"/>
    <w:rsid w:val="00E56690"/>
    <w:rsid w:val="00E56753"/>
    <w:rsid w:val="00E567A8"/>
    <w:rsid w:val="00E567CD"/>
    <w:rsid w:val="00E569C7"/>
    <w:rsid w:val="00E569F1"/>
    <w:rsid w:val="00E56B78"/>
    <w:rsid w:val="00E56B82"/>
    <w:rsid w:val="00E56B8B"/>
    <w:rsid w:val="00E56C10"/>
    <w:rsid w:val="00E56CCF"/>
    <w:rsid w:val="00E56E2E"/>
    <w:rsid w:val="00E56E8B"/>
    <w:rsid w:val="00E56EFE"/>
    <w:rsid w:val="00E57057"/>
    <w:rsid w:val="00E57081"/>
    <w:rsid w:val="00E5717A"/>
    <w:rsid w:val="00E571A4"/>
    <w:rsid w:val="00E573EA"/>
    <w:rsid w:val="00E5742D"/>
    <w:rsid w:val="00E5755C"/>
    <w:rsid w:val="00E5765E"/>
    <w:rsid w:val="00E57750"/>
    <w:rsid w:val="00E57D91"/>
    <w:rsid w:val="00E57E40"/>
    <w:rsid w:val="00E57E86"/>
    <w:rsid w:val="00E57ED1"/>
    <w:rsid w:val="00E57EE6"/>
    <w:rsid w:val="00E57F80"/>
    <w:rsid w:val="00E600A8"/>
    <w:rsid w:val="00E600F8"/>
    <w:rsid w:val="00E60186"/>
    <w:rsid w:val="00E603EA"/>
    <w:rsid w:val="00E603EF"/>
    <w:rsid w:val="00E60515"/>
    <w:rsid w:val="00E6074D"/>
    <w:rsid w:val="00E6081E"/>
    <w:rsid w:val="00E60830"/>
    <w:rsid w:val="00E6089D"/>
    <w:rsid w:val="00E60A5F"/>
    <w:rsid w:val="00E60A9B"/>
    <w:rsid w:val="00E60AB8"/>
    <w:rsid w:val="00E60AC0"/>
    <w:rsid w:val="00E60C06"/>
    <w:rsid w:val="00E60CB8"/>
    <w:rsid w:val="00E60D08"/>
    <w:rsid w:val="00E60D8C"/>
    <w:rsid w:val="00E60E79"/>
    <w:rsid w:val="00E60F8B"/>
    <w:rsid w:val="00E6108C"/>
    <w:rsid w:val="00E61402"/>
    <w:rsid w:val="00E61782"/>
    <w:rsid w:val="00E617DE"/>
    <w:rsid w:val="00E617E3"/>
    <w:rsid w:val="00E6182F"/>
    <w:rsid w:val="00E619B6"/>
    <w:rsid w:val="00E61C9F"/>
    <w:rsid w:val="00E61D04"/>
    <w:rsid w:val="00E61DA3"/>
    <w:rsid w:val="00E61FEE"/>
    <w:rsid w:val="00E62006"/>
    <w:rsid w:val="00E6227A"/>
    <w:rsid w:val="00E62412"/>
    <w:rsid w:val="00E6244B"/>
    <w:rsid w:val="00E62769"/>
    <w:rsid w:val="00E6285F"/>
    <w:rsid w:val="00E62A3F"/>
    <w:rsid w:val="00E631AC"/>
    <w:rsid w:val="00E633E9"/>
    <w:rsid w:val="00E636A6"/>
    <w:rsid w:val="00E638D9"/>
    <w:rsid w:val="00E63972"/>
    <w:rsid w:val="00E63A45"/>
    <w:rsid w:val="00E63C8B"/>
    <w:rsid w:val="00E63CD3"/>
    <w:rsid w:val="00E63D6D"/>
    <w:rsid w:val="00E63DEE"/>
    <w:rsid w:val="00E63E43"/>
    <w:rsid w:val="00E64120"/>
    <w:rsid w:val="00E64322"/>
    <w:rsid w:val="00E643EC"/>
    <w:rsid w:val="00E64576"/>
    <w:rsid w:val="00E6461C"/>
    <w:rsid w:val="00E64670"/>
    <w:rsid w:val="00E646D2"/>
    <w:rsid w:val="00E64889"/>
    <w:rsid w:val="00E6492D"/>
    <w:rsid w:val="00E649C4"/>
    <w:rsid w:val="00E64A08"/>
    <w:rsid w:val="00E64A9D"/>
    <w:rsid w:val="00E64B97"/>
    <w:rsid w:val="00E64EAD"/>
    <w:rsid w:val="00E64EAE"/>
    <w:rsid w:val="00E64FA0"/>
    <w:rsid w:val="00E6509A"/>
    <w:rsid w:val="00E650A4"/>
    <w:rsid w:val="00E6534A"/>
    <w:rsid w:val="00E653A3"/>
    <w:rsid w:val="00E654CF"/>
    <w:rsid w:val="00E65632"/>
    <w:rsid w:val="00E65684"/>
    <w:rsid w:val="00E65720"/>
    <w:rsid w:val="00E65805"/>
    <w:rsid w:val="00E65A2A"/>
    <w:rsid w:val="00E65A42"/>
    <w:rsid w:val="00E65AE7"/>
    <w:rsid w:val="00E65BD7"/>
    <w:rsid w:val="00E65C40"/>
    <w:rsid w:val="00E65C5A"/>
    <w:rsid w:val="00E65CBC"/>
    <w:rsid w:val="00E65D3A"/>
    <w:rsid w:val="00E65E7F"/>
    <w:rsid w:val="00E65F1F"/>
    <w:rsid w:val="00E65FD3"/>
    <w:rsid w:val="00E66120"/>
    <w:rsid w:val="00E6616C"/>
    <w:rsid w:val="00E66181"/>
    <w:rsid w:val="00E6618D"/>
    <w:rsid w:val="00E66203"/>
    <w:rsid w:val="00E662D6"/>
    <w:rsid w:val="00E66383"/>
    <w:rsid w:val="00E66514"/>
    <w:rsid w:val="00E666CE"/>
    <w:rsid w:val="00E66758"/>
    <w:rsid w:val="00E6675B"/>
    <w:rsid w:val="00E66881"/>
    <w:rsid w:val="00E668BD"/>
    <w:rsid w:val="00E669F9"/>
    <w:rsid w:val="00E66A13"/>
    <w:rsid w:val="00E66B52"/>
    <w:rsid w:val="00E66C3A"/>
    <w:rsid w:val="00E66C60"/>
    <w:rsid w:val="00E66CA2"/>
    <w:rsid w:val="00E66D91"/>
    <w:rsid w:val="00E66E00"/>
    <w:rsid w:val="00E66F9A"/>
    <w:rsid w:val="00E6703C"/>
    <w:rsid w:val="00E672F0"/>
    <w:rsid w:val="00E67459"/>
    <w:rsid w:val="00E675C2"/>
    <w:rsid w:val="00E6768D"/>
    <w:rsid w:val="00E676A0"/>
    <w:rsid w:val="00E676F9"/>
    <w:rsid w:val="00E677F3"/>
    <w:rsid w:val="00E67817"/>
    <w:rsid w:val="00E679C3"/>
    <w:rsid w:val="00E67B5C"/>
    <w:rsid w:val="00E67BC5"/>
    <w:rsid w:val="00E67BE2"/>
    <w:rsid w:val="00E67C2F"/>
    <w:rsid w:val="00E67CB2"/>
    <w:rsid w:val="00E67CCC"/>
    <w:rsid w:val="00E67CF7"/>
    <w:rsid w:val="00E67DB0"/>
    <w:rsid w:val="00E67E9E"/>
    <w:rsid w:val="00E67ECF"/>
    <w:rsid w:val="00E67F2C"/>
    <w:rsid w:val="00E7002B"/>
    <w:rsid w:val="00E700BC"/>
    <w:rsid w:val="00E7019A"/>
    <w:rsid w:val="00E7028B"/>
    <w:rsid w:val="00E70589"/>
    <w:rsid w:val="00E705A4"/>
    <w:rsid w:val="00E7067B"/>
    <w:rsid w:val="00E70681"/>
    <w:rsid w:val="00E70879"/>
    <w:rsid w:val="00E709F3"/>
    <w:rsid w:val="00E70CCB"/>
    <w:rsid w:val="00E70D74"/>
    <w:rsid w:val="00E70DD7"/>
    <w:rsid w:val="00E70E04"/>
    <w:rsid w:val="00E70EDF"/>
    <w:rsid w:val="00E710B9"/>
    <w:rsid w:val="00E710F9"/>
    <w:rsid w:val="00E7113D"/>
    <w:rsid w:val="00E711CE"/>
    <w:rsid w:val="00E71222"/>
    <w:rsid w:val="00E71397"/>
    <w:rsid w:val="00E71467"/>
    <w:rsid w:val="00E715DD"/>
    <w:rsid w:val="00E7165C"/>
    <w:rsid w:val="00E7166F"/>
    <w:rsid w:val="00E71834"/>
    <w:rsid w:val="00E71978"/>
    <w:rsid w:val="00E71C51"/>
    <w:rsid w:val="00E71E30"/>
    <w:rsid w:val="00E71F32"/>
    <w:rsid w:val="00E71F85"/>
    <w:rsid w:val="00E721AF"/>
    <w:rsid w:val="00E72235"/>
    <w:rsid w:val="00E72256"/>
    <w:rsid w:val="00E722B5"/>
    <w:rsid w:val="00E722B8"/>
    <w:rsid w:val="00E72391"/>
    <w:rsid w:val="00E72864"/>
    <w:rsid w:val="00E729C2"/>
    <w:rsid w:val="00E729C9"/>
    <w:rsid w:val="00E72B78"/>
    <w:rsid w:val="00E72C72"/>
    <w:rsid w:val="00E72CE3"/>
    <w:rsid w:val="00E72D1C"/>
    <w:rsid w:val="00E72F2B"/>
    <w:rsid w:val="00E72FB5"/>
    <w:rsid w:val="00E72FD7"/>
    <w:rsid w:val="00E72FDB"/>
    <w:rsid w:val="00E730FD"/>
    <w:rsid w:val="00E7326F"/>
    <w:rsid w:val="00E73437"/>
    <w:rsid w:val="00E7346B"/>
    <w:rsid w:val="00E7347F"/>
    <w:rsid w:val="00E735D0"/>
    <w:rsid w:val="00E73653"/>
    <w:rsid w:val="00E73AA3"/>
    <w:rsid w:val="00E73FF7"/>
    <w:rsid w:val="00E74156"/>
    <w:rsid w:val="00E7418C"/>
    <w:rsid w:val="00E741F7"/>
    <w:rsid w:val="00E74475"/>
    <w:rsid w:val="00E7447E"/>
    <w:rsid w:val="00E744D7"/>
    <w:rsid w:val="00E7455A"/>
    <w:rsid w:val="00E74588"/>
    <w:rsid w:val="00E7469B"/>
    <w:rsid w:val="00E74709"/>
    <w:rsid w:val="00E749AA"/>
    <w:rsid w:val="00E74C29"/>
    <w:rsid w:val="00E751A8"/>
    <w:rsid w:val="00E75207"/>
    <w:rsid w:val="00E7520B"/>
    <w:rsid w:val="00E7539D"/>
    <w:rsid w:val="00E755BA"/>
    <w:rsid w:val="00E75639"/>
    <w:rsid w:val="00E75675"/>
    <w:rsid w:val="00E75723"/>
    <w:rsid w:val="00E75B81"/>
    <w:rsid w:val="00E75CA6"/>
    <w:rsid w:val="00E75DDF"/>
    <w:rsid w:val="00E75E12"/>
    <w:rsid w:val="00E75E3C"/>
    <w:rsid w:val="00E75F10"/>
    <w:rsid w:val="00E75F1A"/>
    <w:rsid w:val="00E75F3E"/>
    <w:rsid w:val="00E7615C"/>
    <w:rsid w:val="00E76249"/>
    <w:rsid w:val="00E764BD"/>
    <w:rsid w:val="00E764E5"/>
    <w:rsid w:val="00E766E6"/>
    <w:rsid w:val="00E7673D"/>
    <w:rsid w:val="00E767FA"/>
    <w:rsid w:val="00E7698C"/>
    <w:rsid w:val="00E772B3"/>
    <w:rsid w:val="00E77396"/>
    <w:rsid w:val="00E773E2"/>
    <w:rsid w:val="00E775C0"/>
    <w:rsid w:val="00E77728"/>
    <w:rsid w:val="00E777E0"/>
    <w:rsid w:val="00E77853"/>
    <w:rsid w:val="00E778CF"/>
    <w:rsid w:val="00E77975"/>
    <w:rsid w:val="00E77B55"/>
    <w:rsid w:val="00E77C49"/>
    <w:rsid w:val="00E77EEB"/>
    <w:rsid w:val="00E80158"/>
    <w:rsid w:val="00E80184"/>
    <w:rsid w:val="00E80198"/>
    <w:rsid w:val="00E80229"/>
    <w:rsid w:val="00E802B0"/>
    <w:rsid w:val="00E8040D"/>
    <w:rsid w:val="00E8050B"/>
    <w:rsid w:val="00E80561"/>
    <w:rsid w:val="00E80567"/>
    <w:rsid w:val="00E805B4"/>
    <w:rsid w:val="00E805EA"/>
    <w:rsid w:val="00E806AA"/>
    <w:rsid w:val="00E807DC"/>
    <w:rsid w:val="00E80909"/>
    <w:rsid w:val="00E80B1F"/>
    <w:rsid w:val="00E80B77"/>
    <w:rsid w:val="00E80BF0"/>
    <w:rsid w:val="00E80C49"/>
    <w:rsid w:val="00E80C56"/>
    <w:rsid w:val="00E80C7C"/>
    <w:rsid w:val="00E80CCC"/>
    <w:rsid w:val="00E80E11"/>
    <w:rsid w:val="00E80F57"/>
    <w:rsid w:val="00E80F60"/>
    <w:rsid w:val="00E80FAE"/>
    <w:rsid w:val="00E80FE4"/>
    <w:rsid w:val="00E81055"/>
    <w:rsid w:val="00E81227"/>
    <w:rsid w:val="00E8131E"/>
    <w:rsid w:val="00E815B8"/>
    <w:rsid w:val="00E8164B"/>
    <w:rsid w:val="00E81A0E"/>
    <w:rsid w:val="00E81A56"/>
    <w:rsid w:val="00E81AD9"/>
    <w:rsid w:val="00E81B43"/>
    <w:rsid w:val="00E81D1A"/>
    <w:rsid w:val="00E81E07"/>
    <w:rsid w:val="00E81E8A"/>
    <w:rsid w:val="00E81FC8"/>
    <w:rsid w:val="00E81FF4"/>
    <w:rsid w:val="00E8208F"/>
    <w:rsid w:val="00E821A2"/>
    <w:rsid w:val="00E8236E"/>
    <w:rsid w:val="00E82386"/>
    <w:rsid w:val="00E82637"/>
    <w:rsid w:val="00E82650"/>
    <w:rsid w:val="00E826CF"/>
    <w:rsid w:val="00E826E0"/>
    <w:rsid w:val="00E8277F"/>
    <w:rsid w:val="00E82789"/>
    <w:rsid w:val="00E828E9"/>
    <w:rsid w:val="00E82931"/>
    <w:rsid w:val="00E82AA0"/>
    <w:rsid w:val="00E82AC7"/>
    <w:rsid w:val="00E82ADA"/>
    <w:rsid w:val="00E82B17"/>
    <w:rsid w:val="00E82BD6"/>
    <w:rsid w:val="00E82C2B"/>
    <w:rsid w:val="00E82D70"/>
    <w:rsid w:val="00E82DEA"/>
    <w:rsid w:val="00E82E20"/>
    <w:rsid w:val="00E82EE7"/>
    <w:rsid w:val="00E82F0A"/>
    <w:rsid w:val="00E83153"/>
    <w:rsid w:val="00E83209"/>
    <w:rsid w:val="00E83352"/>
    <w:rsid w:val="00E83387"/>
    <w:rsid w:val="00E83505"/>
    <w:rsid w:val="00E8368B"/>
    <w:rsid w:val="00E836DB"/>
    <w:rsid w:val="00E83724"/>
    <w:rsid w:val="00E837C3"/>
    <w:rsid w:val="00E837DC"/>
    <w:rsid w:val="00E839A2"/>
    <w:rsid w:val="00E83AD1"/>
    <w:rsid w:val="00E83B45"/>
    <w:rsid w:val="00E83C0C"/>
    <w:rsid w:val="00E83DD5"/>
    <w:rsid w:val="00E83F1E"/>
    <w:rsid w:val="00E84442"/>
    <w:rsid w:val="00E84653"/>
    <w:rsid w:val="00E84687"/>
    <w:rsid w:val="00E84697"/>
    <w:rsid w:val="00E84988"/>
    <w:rsid w:val="00E84A5E"/>
    <w:rsid w:val="00E84B0A"/>
    <w:rsid w:val="00E84B46"/>
    <w:rsid w:val="00E84C36"/>
    <w:rsid w:val="00E84C56"/>
    <w:rsid w:val="00E84C7C"/>
    <w:rsid w:val="00E84D07"/>
    <w:rsid w:val="00E84D18"/>
    <w:rsid w:val="00E84EEE"/>
    <w:rsid w:val="00E84F0B"/>
    <w:rsid w:val="00E84FE5"/>
    <w:rsid w:val="00E8530C"/>
    <w:rsid w:val="00E8559E"/>
    <w:rsid w:val="00E855C2"/>
    <w:rsid w:val="00E85656"/>
    <w:rsid w:val="00E8568C"/>
    <w:rsid w:val="00E858EE"/>
    <w:rsid w:val="00E85B70"/>
    <w:rsid w:val="00E85D75"/>
    <w:rsid w:val="00E85E9B"/>
    <w:rsid w:val="00E85F33"/>
    <w:rsid w:val="00E85F6A"/>
    <w:rsid w:val="00E8613F"/>
    <w:rsid w:val="00E86170"/>
    <w:rsid w:val="00E86325"/>
    <w:rsid w:val="00E863CF"/>
    <w:rsid w:val="00E867A0"/>
    <w:rsid w:val="00E867BF"/>
    <w:rsid w:val="00E86900"/>
    <w:rsid w:val="00E86A5C"/>
    <w:rsid w:val="00E86AD3"/>
    <w:rsid w:val="00E86CC6"/>
    <w:rsid w:val="00E86CFE"/>
    <w:rsid w:val="00E86D97"/>
    <w:rsid w:val="00E871A8"/>
    <w:rsid w:val="00E874A6"/>
    <w:rsid w:val="00E874F0"/>
    <w:rsid w:val="00E875AC"/>
    <w:rsid w:val="00E876CB"/>
    <w:rsid w:val="00E876EB"/>
    <w:rsid w:val="00E8798D"/>
    <w:rsid w:val="00E8798E"/>
    <w:rsid w:val="00E879C0"/>
    <w:rsid w:val="00E87B96"/>
    <w:rsid w:val="00E87C55"/>
    <w:rsid w:val="00E87D7E"/>
    <w:rsid w:val="00E87F6A"/>
    <w:rsid w:val="00E90084"/>
    <w:rsid w:val="00E900D8"/>
    <w:rsid w:val="00E90148"/>
    <w:rsid w:val="00E901C8"/>
    <w:rsid w:val="00E904A4"/>
    <w:rsid w:val="00E90792"/>
    <w:rsid w:val="00E907B6"/>
    <w:rsid w:val="00E908F6"/>
    <w:rsid w:val="00E90A63"/>
    <w:rsid w:val="00E90AA5"/>
    <w:rsid w:val="00E90B21"/>
    <w:rsid w:val="00E90B59"/>
    <w:rsid w:val="00E90CE1"/>
    <w:rsid w:val="00E90E00"/>
    <w:rsid w:val="00E91286"/>
    <w:rsid w:val="00E912AB"/>
    <w:rsid w:val="00E912B5"/>
    <w:rsid w:val="00E91314"/>
    <w:rsid w:val="00E91378"/>
    <w:rsid w:val="00E913A9"/>
    <w:rsid w:val="00E91436"/>
    <w:rsid w:val="00E914D8"/>
    <w:rsid w:val="00E91928"/>
    <w:rsid w:val="00E91947"/>
    <w:rsid w:val="00E91B22"/>
    <w:rsid w:val="00E91B8C"/>
    <w:rsid w:val="00E91D1E"/>
    <w:rsid w:val="00E91D67"/>
    <w:rsid w:val="00E91DAD"/>
    <w:rsid w:val="00E91F0C"/>
    <w:rsid w:val="00E92260"/>
    <w:rsid w:val="00E923E5"/>
    <w:rsid w:val="00E9251C"/>
    <w:rsid w:val="00E925C6"/>
    <w:rsid w:val="00E9266F"/>
    <w:rsid w:val="00E926D2"/>
    <w:rsid w:val="00E92AA4"/>
    <w:rsid w:val="00E92BF9"/>
    <w:rsid w:val="00E92C6F"/>
    <w:rsid w:val="00E92CD6"/>
    <w:rsid w:val="00E92D4A"/>
    <w:rsid w:val="00E92F25"/>
    <w:rsid w:val="00E92F55"/>
    <w:rsid w:val="00E92F8F"/>
    <w:rsid w:val="00E930C5"/>
    <w:rsid w:val="00E93477"/>
    <w:rsid w:val="00E93530"/>
    <w:rsid w:val="00E93A6F"/>
    <w:rsid w:val="00E93A9C"/>
    <w:rsid w:val="00E93B27"/>
    <w:rsid w:val="00E93D0C"/>
    <w:rsid w:val="00E93D52"/>
    <w:rsid w:val="00E93E87"/>
    <w:rsid w:val="00E93ED6"/>
    <w:rsid w:val="00E93FE9"/>
    <w:rsid w:val="00E94061"/>
    <w:rsid w:val="00E941D1"/>
    <w:rsid w:val="00E941DD"/>
    <w:rsid w:val="00E94453"/>
    <w:rsid w:val="00E9456E"/>
    <w:rsid w:val="00E94643"/>
    <w:rsid w:val="00E94825"/>
    <w:rsid w:val="00E94866"/>
    <w:rsid w:val="00E94989"/>
    <w:rsid w:val="00E949F5"/>
    <w:rsid w:val="00E94A2D"/>
    <w:rsid w:val="00E94B92"/>
    <w:rsid w:val="00E94D53"/>
    <w:rsid w:val="00E950C9"/>
    <w:rsid w:val="00E95323"/>
    <w:rsid w:val="00E95475"/>
    <w:rsid w:val="00E9569D"/>
    <w:rsid w:val="00E9571B"/>
    <w:rsid w:val="00E957A6"/>
    <w:rsid w:val="00E958BB"/>
    <w:rsid w:val="00E95D13"/>
    <w:rsid w:val="00E95D54"/>
    <w:rsid w:val="00E95D6A"/>
    <w:rsid w:val="00E96045"/>
    <w:rsid w:val="00E960AE"/>
    <w:rsid w:val="00E960FC"/>
    <w:rsid w:val="00E961B5"/>
    <w:rsid w:val="00E96487"/>
    <w:rsid w:val="00E964E5"/>
    <w:rsid w:val="00E96676"/>
    <w:rsid w:val="00E966CE"/>
    <w:rsid w:val="00E968A0"/>
    <w:rsid w:val="00E96A8C"/>
    <w:rsid w:val="00E96B90"/>
    <w:rsid w:val="00E96BAD"/>
    <w:rsid w:val="00E96CAD"/>
    <w:rsid w:val="00E96D2E"/>
    <w:rsid w:val="00E96D39"/>
    <w:rsid w:val="00E96F1E"/>
    <w:rsid w:val="00E9700C"/>
    <w:rsid w:val="00E97070"/>
    <w:rsid w:val="00E971F4"/>
    <w:rsid w:val="00E97335"/>
    <w:rsid w:val="00E9742C"/>
    <w:rsid w:val="00E9748F"/>
    <w:rsid w:val="00E976A8"/>
    <w:rsid w:val="00E976F8"/>
    <w:rsid w:val="00E97718"/>
    <w:rsid w:val="00E97815"/>
    <w:rsid w:val="00E978B5"/>
    <w:rsid w:val="00E978D4"/>
    <w:rsid w:val="00E97A12"/>
    <w:rsid w:val="00E97A3E"/>
    <w:rsid w:val="00E97AD0"/>
    <w:rsid w:val="00E97C1A"/>
    <w:rsid w:val="00E97D74"/>
    <w:rsid w:val="00E97E93"/>
    <w:rsid w:val="00E97EC7"/>
    <w:rsid w:val="00E97F4F"/>
    <w:rsid w:val="00EA01E3"/>
    <w:rsid w:val="00EA04A1"/>
    <w:rsid w:val="00EA052B"/>
    <w:rsid w:val="00EA063A"/>
    <w:rsid w:val="00EA0832"/>
    <w:rsid w:val="00EA0848"/>
    <w:rsid w:val="00EA0941"/>
    <w:rsid w:val="00EA0AE8"/>
    <w:rsid w:val="00EA0BC7"/>
    <w:rsid w:val="00EA0C41"/>
    <w:rsid w:val="00EA0E0A"/>
    <w:rsid w:val="00EA0FB5"/>
    <w:rsid w:val="00EA0FFC"/>
    <w:rsid w:val="00EA1100"/>
    <w:rsid w:val="00EA12A6"/>
    <w:rsid w:val="00EA131E"/>
    <w:rsid w:val="00EA13B8"/>
    <w:rsid w:val="00EA14D6"/>
    <w:rsid w:val="00EA153D"/>
    <w:rsid w:val="00EA1609"/>
    <w:rsid w:val="00EA1AC2"/>
    <w:rsid w:val="00EA1BC3"/>
    <w:rsid w:val="00EA1C14"/>
    <w:rsid w:val="00EA1EB8"/>
    <w:rsid w:val="00EA2056"/>
    <w:rsid w:val="00EA21EC"/>
    <w:rsid w:val="00EA22AA"/>
    <w:rsid w:val="00EA24E0"/>
    <w:rsid w:val="00EA276D"/>
    <w:rsid w:val="00EA279D"/>
    <w:rsid w:val="00EA28A2"/>
    <w:rsid w:val="00EA28BA"/>
    <w:rsid w:val="00EA28E9"/>
    <w:rsid w:val="00EA2B6E"/>
    <w:rsid w:val="00EA2C4A"/>
    <w:rsid w:val="00EA2CE7"/>
    <w:rsid w:val="00EA2D4A"/>
    <w:rsid w:val="00EA2DA4"/>
    <w:rsid w:val="00EA2E35"/>
    <w:rsid w:val="00EA2E3B"/>
    <w:rsid w:val="00EA2ECA"/>
    <w:rsid w:val="00EA2F23"/>
    <w:rsid w:val="00EA3107"/>
    <w:rsid w:val="00EA3199"/>
    <w:rsid w:val="00EA3403"/>
    <w:rsid w:val="00EA341D"/>
    <w:rsid w:val="00EA351F"/>
    <w:rsid w:val="00EA3601"/>
    <w:rsid w:val="00EA377A"/>
    <w:rsid w:val="00EA3898"/>
    <w:rsid w:val="00EA3B77"/>
    <w:rsid w:val="00EA3D2F"/>
    <w:rsid w:val="00EA3F14"/>
    <w:rsid w:val="00EA4157"/>
    <w:rsid w:val="00EA42F4"/>
    <w:rsid w:val="00EA434E"/>
    <w:rsid w:val="00EA4456"/>
    <w:rsid w:val="00EA446F"/>
    <w:rsid w:val="00EA447D"/>
    <w:rsid w:val="00EA481B"/>
    <w:rsid w:val="00EA4A38"/>
    <w:rsid w:val="00EA4A8A"/>
    <w:rsid w:val="00EA4EF0"/>
    <w:rsid w:val="00EA50AB"/>
    <w:rsid w:val="00EA519F"/>
    <w:rsid w:val="00EA52D7"/>
    <w:rsid w:val="00EA540A"/>
    <w:rsid w:val="00EA547B"/>
    <w:rsid w:val="00EA5512"/>
    <w:rsid w:val="00EA55CD"/>
    <w:rsid w:val="00EA567B"/>
    <w:rsid w:val="00EA593D"/>
    <w:rsid w:val="00EA5A7A"/>
    <w:rsid w:val="00EA5CB6"/>
    <w:rsid w:val="00EA5E09"/>
    <w:rsid w:val="00EA5EA8"/>
    <w:rsid w:val="00EA638A"/>
    <w:rsid w:val="00EA638D"/>
    <w:rsid w:val="00EA65C7"/>
    <w:rsid w:val="00EA668A"/>
    <w:rsid w:val="00EA66A0"/>
    <w:rsid w:val="00EA67C0"/>
    <w:rsid w:val="00EA6835"/>
    <w:rsid w:val="00EA6838"/>
    <w:rsid w:val="00EA6865"/>
    <w:rsid w:val="00EA68C9"/>
    <w:rsid w:val="00EA68F4"/>
    <w:rsid w:val="00EA6D68"/>
    <w:rsid w:val="00EA6D83"/>
    <w:rsid w:val="00EA6F93"/>
    <w:rsid w:val="00EA706F"/>
    <w:rsid w:val="00EA7072"/>
    <w:rsid w:val="00EA70B7"/>
    <w:rsid w:val="00EA71AC"/>
    <w:rsid w:val="00EA75FC"/>
    <w:rsid w:val="00EA7997"/>
    <w:rsid w:val="00EA7B66"/>
    <w:rsid w:val="00EA7B81"/>
    <w:rsid w:val="00EA7DA9"/>
    <w:rsid w:val="00EA7DD6"/>
    <w:rsid w:val="00EB01A0"/>
    <w:rsid w:val="00EB02B1"/>
    <w:rsid w:val="00EB036A"/>
    <w:rsid w:val="00EB043E"/>
    <w:rsid w:val="00EB056A"/>
    <w:rsid w:val="00EB062E"/>
    <w:rsid w:val="00EB07AA"/>
    <w:rsid w:val="00EB07DC"/>
    <w:rsid w:val="00EB0AF1"/>
    <w:rsid w:val="00EB0BA8"/>
    <w:rsid w:val="00EB0C85"/>
    <w:rsid w:val="00EB0D32"/>
    <w:rsid w:val="00EB0E73"/>
    <w:rsid w:val="00EB0F63"/>
    <w:rsid w:val="00EB124A"/>
    <w:rsid w:val="00EB1418"/>
    <w:rsid w:val="00EB16E9"/>
    <w:rsid w:val="00EB1801"/>
    <w:rsid w:val="00EB193F"/>
    <w:rsid w:val="00EB19AF"/>
    <w:rsid w:val="00EB1F03"/>
    <w:rsid w:val="00EB204E"/>
    <w:rsid w:val="00EB206F"/>
    <w:rsid w:val="00EB211F"/>
    <w:rsid w:val="00EB21C8"/>
    <w:rsid w:val="00EB249C"/>
    <w:rsid w:val="00EB2544"/>
    <w:rsid w:val="00EB27CC"/>
    <w:rsid w:val="00EB2A65"/>
    <w:rsid w:val="00EB2EAE"/>
    <w:rsid w:val="00EB2FA1"/>
    <w:rsid w:val="00EB3072"/>
    <w:rsid w:val="00EB32D4"/>
    <w:rsid w:val="00EB32F0"/>
    <w:rsid w:val="00EB32FA"/>
    <w:rsid w:val="00EB33A9"/>
    <w:rsid w:val="00EB3427"/>
    <w:rsid w:val="00EB35EC"/>
    <w:rsid w:val="00EB3610"/>
    <w:rsid w:val="00EB36C7"/>
    <w:rsid w:val="00EB382B"/>
    <w:rsid w:val="00EB39D2"/>
    <w:rsid w:val="00EB3AB8"/>
    <w:rsid w:val="00EB3B58"/>
    <w:rsid w:val="00EB3B6A"/>
    <w:rsid w:val="00EB3D12"/>
    <w:rsid w:val="00EB3E8C"/>
    <w:rsid w:val="00EB3EA7"/>
    <w:rsid w:val="00EB4130"/>
    <w:rsid w:val="00EB41D0"/>
    <w:rsid w:val="00EB4315"/>
    <w:rsid w:val="00EB43F9"/>
    <w:rsid w:val="00EB4451"/>
    <w:rsid w:val="00EB4500"/>
    <w:rsid w:val="00EB455D"/>
    <w:rsid w:val="00EB45C7"/>
    <w:rsid w:val="00EB470F"/>
    <w:rsid w:val="00EB4744"/>
    <w:rsid w:val="00EB4898"/>
    <w:rsid w:val="00EB4967"/>
    <w:rsid w:val="00EB4A3B"/>
    <w:rsid w:val="00EB4ADF"/>
    <w:rsid w:val="00EB4B20"/>
    <w:rsid w:val="00EB4B66"/>
    <w:rsid w:val="00EB4CAD"/>
    <w:rsid w:val="00EB4CD4"/>
    <w:rsid w:val="00EB4D84"/>
    <w:rsid w:val="00EB4E76"/>
    <w:rsid w:val="00EB4EF5"/>
    <w:rsid w:val="00EB4FEB"/>
    <w:rsid w:val="00EB51DC"/>
    <w:rsid w:val="00EB5272"/>
    <w:rsid w:val="00EB5414"/>
    <w:rsid w:val="00EB57C6"/>
    <w:rsid w:val="00EB581F"/>
    <w:rsid w:val="00EB5946"/>
    <w:rsid w:val="00EB5A81"/>
    <w:rsid w:val="00EB5BC9"/>
    <w:rsid w:val="00EB5DB9"/>
    <w:rsid w:val="00EB60C7"/>
    <w:rsid w:val="00EB6163"/>
    <w:rsid w:val="00EB6320"/>
    <w:rsid w:val="00EB6381"/>
    <w:rsid w:val="00EB683D"/>
    <w:rsid w:val="00EB6847"/>
    <w:rsid w:val="00EB6875"/>
    <w:rsid w:val="00EB68E3"/>
    <w:rsid w:val="00EB69E0"/>
    <w:rsid w:val="00EB6C53"/>
    <w:rsid w:val="00EB6C6B"/>
    <w:rsid w:val="00EB6D17"/>
    <w:rsid w:val="00EB6D9B"/>
    <w:rsid w:val="00EB700D"/>
    <w:rsid w:val="00EB7064"/>
    <w:rsid w:val="00EB7193"/>
    <w:rsid w:val="00EB71C3"/>
    <w:rsid w:val="00EB724D"/>
    <w:rsid w:val="00EB736B"/>
    <w:rsid w:val="00EB73D5"/>
    <w:rsid w:val="00EB7469"/>
    <w:rsid w:val="00EB748D"/>
    <w:rsid w:val="00EB7518"/>
    <w:rsid w:val="00EB7651"/>
    <w:rsid w:val="00EB7AEC"/>
    <w:rsid w:val="00EB7D67"/>
    <w:rsid w:val="00EB7DF0"/>
    <w:rsid w:val="00EB7E38"/>
    <w:rsid w:val="00EB7EA7"/>
    <w:rsid w:val="00EB7EAC"/>
    <w:rsid w:val="00EC0373"/>
    <w:rsid w:val="00EC04EF"/>
    <w:rsid w:val="00EC078E"/>
    <w:rsid w:val="00EC09B6"/>
    <w:rsid w:val="00EC0AFD"/>
    <w:rsid w:val="00EC0B14"/>
    <w:rsid w:val="00EC0DD9"/>
    <w:rsid w:val="00EC0E91"/>
    <w:rsid w:val="00EC0EF3"/>
    <w:rsid w:val="00EC1080"/>
    <w:rsid w:val="00EC11B1"/>
    <w:rsid w:val="00EC126D"/>
    <w:rsid w:val="00EC1421"/>
    <w:rsid w:val="00EC167B"/>
    <w:rsid w:val="00EC16F4"/>
    <w:rsid w:val="00EC1AC8"/>
    <w:rsid w:val="00EC1CB4"/>
    <w:rsid w:val="00EC1DCB"/>
    <w:rsid w:val="00EC1E27"/>
    <w:rsid w:val="00EC1F3B"/>
    <w:rsid w:val="00EC1F7F"/>
    <w:rsid w:val="00EC2108"/>
    <w:rsid w:val="00EC2171"/>
    <w:rsid w:val="00EC22E3"/>
    <w:rsid w:val="00EC2367"/>
    <w:rsid w:val="00EC236B"/>
    <w:rsid w:val="00EC23F1"/>
    <w:rsid w:val="00EC241B"/>
    <w:rsid w:val="00EC246C"/>
    <w:rsid w:val="00EC25D0"/>
    <w:rsid w:val="00EC271B"/>
    <w:rsid w:val="00EC2812"/>
    <w:rsid w:val="00EC2940"/>
    <w:rsid w:val="00EC2BF0"/>
    <w:rsid w:val="00EC2E6C"/>
    <w:rsid w:val="00EC30A8"/>
    <w:rsid w:val="00EC3182"/>
    <w:rsid w:val="00EC3260"/>
    <w:rsid w:val="00EC3296"/>
    <w:rsid w:val="00EC3497"/>
    <w:rsid w:val="00EC35A6"/>
    <w:rsid w:val="00EC3636"/>
    <w:rsid w:val="00EC363A"/>
    <w:rsid w:val="00EC379C"/>
    <w:rsid w:val="00EC3B38"/>
    <w:rsid w:val="00EC3CB9"/>
    <w:rsid w:val="00EC3CED"/>
    <w:rsid w:val="00EC3DC7"/>
    <w:rsid w:val="00EC3E53"/>
    <w:rsid w:val="00EC3E7A"/>
    <w:rsid w:val="00EC4025"/>
    <w:rsid w:val="00EC403F"/>
    <w:rsid w:val="00EC4176"/>
    <w:rsid w:val="00EC4278"/>
    <w:rsid w:val="00EC4282"/>
    <w:rsid w:val="00EC42C4"/>
    <w:rsid w:val="00EC4361"/>
    <w:rsid w:val="00EC45FE"/>
    <w:rsid w:val="00EC46AE"/>
    <w:rsid w:val="00EC4724"/>
    <w:rsid w:val="00EC4777"/>
    <w:rsid w:val="00EC47C9"/>
    <w:rsid w:val="00EC4AA8"/>
    <w:rsid w:val="00EC4B39"/>
    <w:rsid w:val="00EC4B5C"/>
    <w:rsid w:val="00EC4BD1"/>
    <w:rsid w:val="00EC4CA0"/>
    <w:rsid w:val="00EC50E9"/>
    <w:rsid w:val="00EC5253"/>
    <w:rsid w:val="00EC5310"/>
    <w:rsid w:val="00EC546F"/>
    <w:rsid w:val="00EC558F"/>
    <w:rsid w:val="00EC5702"/>
    <w:rsid w:val="00EC586F"/>
    <w:rsid w:val="00EC58CA"/>
    <w:rsid w:val="00EC5C7C"/>
    <w:rsid w:val="00EC5C81"/>
    <w:rsid w:val="00EC5E86"/>
    <w:rsid w:val="00EC6279"/>
    <w:rsid w:val="00EC63F8"/>
    <w:rsid w:val="00EC6525"/>
    <w:rsid w:val="00EC669F"/>
    <w:rsid w:val="00EC66F9"/>
    <w:rsid w:val="00EC6831"/>
    <w:rsid w:val="00EC6A35"/>
    <w:rsid w:val="00EC6AB3"/>
    <w:rsid w:val="00EC6C18"/>
    <w:rsid w:val="00EC6D13"/>
    <w:rsid w:val="00EC6FF0"/>
    <w:rsid w:val="00EC779C"/>
    <w:rsid w:val="00EC781B"/>
    <w:rsid w:val="00EC7857"/>
    <w:rsid w:val="00EC795E"/>
    <w:rsid w:val="00EC7A30"/>
    <w:rsid w:val="00EC7AB9"/>
    <w:rsid w:val="00EC7AC9"/>
    <w:rsid w:val="00EC7BAE"/>
    <w:rsid w:val="00EC7BBF"/>
    <w:rsid w:val="00EC7C4F"/>
    <w:rsid w:val="00EC7C98"/>
    <w:rsid w:val="00EC7D30"/>
    <w:rsid w:val="00EC7D8B"/>
    <w:rsid w:val="00EC7DC6"/>
    <w:rsid w:val="00EC7EA5"/>
    <w:rsid w:val="00ED012A"/>
    <w:rsid w:val="00ED01E6"/>
    <w:rsid w:val="00ED01FC"/>
    <w:rsid w:val="00ED024A"/>
    <w:rsid w:val="00ED0253"/>
    <w:rsid w:val="00ED0420"/>
    <w:rsid w:val="00ED04F0"/>
    <w:rsid w:val="00ED0527"/>
    <w:rsid w:val="00ED066F"/>
    <w:rsid w:val="00ED06DD"/>
    <w:rsid w:val="00ED0841"/>
    <w:rsid w:val="00ED0973"/>
    <w:rsid w:val="00ED0AA7"/>
    <w:rsid w:val="00ED0B58"/>
    <w:rsid w:val="00ED0CBC"/>
    <w:rsid w:val="00ED0E48"/>
    <w:rsid w:val="00ED0F85"/>
    <w:rsid w:val="00ED0FFA"/>
    <w:rsid w:val="00ED10E9"/>
    <w:rsid w:val="00ED1217"/>
    <w:rsid w:val="00ED12E6"/>
    <w:rsid w:val="00ED13A8"/>
    <w:rsid w:val="00ED13D4"/>
    <w:rsid w:val="00ED14C9"/>
    <w:rsid w:val="00ED150F"/>
    <w:rsid w:val="00ED1643"/>
    <w:rsid w:val="00ED1719"/>
    <w:rsid w:val="00ED1793"/>
    <w:rsid w:val="00ED18B6"/>
    <w:rsid w:val="00ED1ABB"/>
    <w:rsid w:val="00ED1ADE"/>
    <w:rsid w:val="00ED1AEB"/>
    <w:rsid w:val="00ED1B80"/>
    <w:rsid w:val="00ED1C59"/>
    <w:rsid w:val="00ED1CD7"/>
    <w:rsid w:val="00ED1CEB"/>
    <w:rsid w:val="00ED1F08"/>
    <w:rsid w:val="00ED226D"/>
    <w:rsid w:val="00ED2487"/>
    <w:rsid w:val="00ED253C"/>
    <w:rsid w:val="00ED287D"/>
    <w:rsid w:val="00ED29AE"/>
    <w:rsid w:val="00ED29DF"/>
    <w:rsid w:val="00ED2B5C"/>
    <w:rsid w:val="00ED2B9E"/>
    <w:rsid w:val="00ED2D22"/>
    <w:rsid w:val="00ED2DB8"/>
    <w:rsid w:val="00ED304E"/>
    <w:rsid w:val="00ED3112"/>
    <w:rsid w:val="00ED350F"/>
    <w:rsid w:val="00ED3589"/>
    <w:rsid w:val="00ED36B7"/>
    <w:rsid w:val="00ED36C7"/>
    <w:rsid w:val="00ED3775"/>
    <w:rsid w:val="00ED37FB"/>
    <w:rsid w:val="00ED3A94"/>
    <w:rsid w:val="00ED3B9B"/>
    <w:rsid w:val="00ED3F38"/>
    <w:rsid w:val="00ED3FB6"/>
    <w:rsid w:val="00ED4050"/>
    <w:rsid w:val="00ED407A"/>
    <w:rsid w:val="00ED4149"/>
    <w:rsid w:val="00ED41C3"/>
    <w:rsid w:val="00ED43CA"/>
    <w:rsid w:val="00ED4499"/>
    <w:rsid w:val="00ED478F"/>
    <w:rsid w:val="00ED4806"/>
    <w:rsid w:val="00ED484B"/>
    <w:rsid w:val="00ED4A79"/>
    <w:rsid w:val="00ED4CD2"/>
    <w:rsid w:val="00ED4DCF"/>
    <w:rsid w:val="00ED4EF3"/>
    <w:rsid w:val="00ED500A"/>
    <w:rsid w:val="00ED50E6"/>
    <w:rsid w:val="00ED513D"/>
    <w:rsid w:val="00ED516C"/>
    <w:rsid w:val="00ED51DF"/>
    <w:rsid w:val="00ED54F3"/>
    <w:rsid w:val="00ED54F9"/>
    <w:rsid w:val="00ED5673"/>
    <w:rsid w:val="00ED56B2"/>
    <w:rsid w:val="00ED5737"/>
    <w:rsid w:val="00ED584D"/>
    <w:rsid w:val="00ED5883"/>
    <w:rsid w:val="00ED59EE"/>
    <w:rsid w:val="00ED5B04"/>
    <w:rsid w:val="00ED5C02"/>
    <w:rsid w:val="00ED5C08"/>
    <w:rsid w:val="00ED5C65"/>
    <w:rsid w:val="00ED5E8C"/>
    <w:rsid w:val="00ED5FA3"/>
    <w:rsid w:val="00ED600E"/>
    <w:rsid w:val="00ED614D"/>
    <w:rsid w:val="00ED616D"/>
    <w:rsid w:val="00ED6180"/>
    <w:rsid w:val="00ED620A"/>
    <w:rsid w:val="00ED6218"/>
    <w:rsid w:val="00ED627A"/>
    <w:rsid w:val="00ED6597"/>
    <w:rsid w:val="00ED691B"/>
    <w:rsid w:val="00ED69F9"/>
    <w:rsid w:val="00ED6A12"/>
    <w:rsid w:val="00ED6A13"/>
    <w:rsid w:val="00ED6BCA"/>
    <w:rsid w:val="00ED6C38"/>
    <w:rsid w:val="00ED6C9F"/>
    <w:rsid w:val="00ED6CAB"/>
    <w:rsid w:val="00ED6F8F"/>
    <w:rsid w:val="00ED7046"/>
    <w:rsid w:val="00ED71A0"/>
    <w:rsid w:val="00ED71E0"/>
    <w:rsid w:val="00ED738D"/>
    <w:rsid w:val="00ED7488"/>
    <w:rsid w:val="00ED74C8"/>
    <w:rsid w:val="00ED764D"/>
    <w:rsid w:val="00ED771C"/>
    <w:rsid w:val="00ED7848"/>
    <w:rsid w:val="00ED78BA"/>
    <w:rsid w:val="00ED7A16"/>
    <w:rsid w:val="00ED7BA1"/>
    <w:rsid w:val="00ED7C67"/>
    <w:rsid w:val="00ED7C68"/>
    <w:rsid w:val="00ED7C95"/>
    <w:rsid w:val="00ED7D6E"/>
    <w:rsid w:val="00ED7D9F"/>
    <w:rsid w:val="00ED7EA5"/>
    <w:rsid w:val="00EDE425"/>
    <w:rsid w:val="00EE0141"/>
    <w:rsid w:val="00EE0179"/>
    <w:rsid w:val="00EE0233"/>
    <w:rsid w:val="00EE0336"/>
    <w:rsid w:val="00EE035E"/>
    <w:rsid w:val="00EE03B3"/>
    <w:rsid w:val="00EE0470"/>
    <w:rsid w:val="00EE068D"/>
    <w:rsid w:val="00EE0756"/>
    <w:rsid w:val="00EE07D9"/>
    <w:rsid w:val="00EE0821"/>
    <w:rsid w:val="00EE08EF"/>
    <w:rsid w:val="00EE0B2D"/>
    <w:rsid w:val="00EE0C5A"/>
    <w:rsid w:val="00EE0C93"/>
    <w:rsid w:val="00EE0DA9"/>
    <w:rsid w:val="00EE0E9B"/>
    <w:rsid w:val="00EE1063"/>
    <w:rsid w:val="00EE1095"/>
    <w:rsid w:val="00EE1352"/>
    <w:rsid w:val="00EE13CA"/>
    <w:rsid w:val="00EE1416"/>
    <w:rsid w:val="00EE165B"/>
    <w:rsid w:val="00EE196F"/>
    <w:rsid w:val="00EE19E7"/>
    <w:rsid w:val="00EE1D88"/>
    <w:rsid w:val="00EE1E8D"/>
    <w:rsid w:val="00EE1F36"/>
    <w:rsid w:val="00EE1F6E"/>
    <w:rsid w:val="00EE1F8A"/>
    <w:rsid w:val="00EE2144"/>
    <w:rsid w:val="00EE2196"/>
    <w:rsid w:val="00EE219D"/>
    <w:rsid w:val="00EE225F"/>
    <w:rsid w:val="00EE251F"/>
    <w:rsid w:val="00EE266B"/>
    <w:rsid w:val="00EE2A98"/>
    <w:rsid w:val="00EE2B8B"/>
    <w:rsid w:val="00EE2C52"/>
    <w:rsid w:val="00EE2DEB"/>
    <w:rsid w:val="00EE30FB"/>
    <w:rsid w:val="00EE31AA"/>
    <w:rsid w:val="00EE3237"/>
    <w:rsid w:val="00EE3295"/>
    <w:rsid w:val="00EE3306"/>
    <w:rsid w:val="00EE33C9"/>
    <w:rsid w:val="00EE3422"/>
    <w:rsid w:val="00EE343A"/>
    <w:rsid w:val="00EE3771"/>
    <w:rsid w:val="00EE39B6"/>
    <w:rsid w:val="00EE3AD7"/>
    <w:rsid w:val="00EE3C12"/>
    <w:rsid w:val="00EE3CB0"/>
    <w:rsid w:val="00EE3D5F"/>
    <w:rsid w:val="00EE3F4F"/>
    <w:rsid w:val="00EE3FD7"/>
    <w:rsid w:val="00EE402D"/>
    <w:rsid w:val="00EE4044"/>
    <w:rsid w:val="00EE407E"/>
    <w:rsid w:val="00EE4121"/>
    <w:rsid w:val="00EE4601"/>
    <w:rsid w:val="00EE46B3"/>
    <w:rsid w:val="00EE4872"/>
    <w:rsid w:val="00EE4964"/>
    <w:rsid w:val="00EE4A2F"/>
    <w:rsid w:val="00EE4A35"/>
    <w:rsid w:val="00EE4ABB"/>
    <w:rsid w:val="00EE4DA8"/>
    <w:rsid w:val="00EE4F5F"/>
    <w:rsid w:val="00EE5090"/>
    <w:rsid w:val="00EE511E"/>
    <w:rsid w:val="00EE5190"/>
    <w:rsid w:val="00EE534D"/>
    <w:rsid w:val="00EE5529"/>
    <w:rsid w:val="00EE558C"/>
    <w:rsid w:val="00EE568F"/>
    <w:rsid w:val="00EE5A71"/>
    <w:rsid w:val="00EE5BE1"/>
    <w:rsid w:val="00EE5C8B"/>
    <w:rsid w:val="00EE5C8D"/>
    <w:rsid w:val="00EE5CE6"/>
    <w:rsid w:val="00EE5D2F"/>
    <w:rsid w:val="00EE5DB3"/>
    <w:rsid w:val="00EE5E1E"/>
    <w:rsid w:val="00EE5ECC"/>
    <w:rsid w:val="00EE60D7"/>
    <w:rsid w:val="00EE626F"/>
    <w:rsid w:val="00EE643C"/>
    <w:rsid w:val="00EE68EF"/>
    <w:rsid w:val="00EE6AD6"/>
    <w:rsid w:val="00EE6B17"/>
    <w:rsid w:val="00EE6B42"/>
    <w:rsid w:val="00EE6C7B"/>
    <w:rsid w:val="00EE6D7C"/>
    <w:rsid w:val="00EE6F44"/>
    <w:rsid w:val="00EE71BD"/>
    <w:rsid w:val="00EE7304"/>
    <w:rsid w:val="00EE734D"/>
    <w:rsid w:val="00EE73FD"/>
    <w:rsid w:val="00EE75B3"/>
    <w:rsid w:val="00EE7812"/>
    <w:rsid w:val="00EE7908"/>
    <w:rsid w:val="00EE79B2"/>
    <w:rsid w:val="00EE7BDA"/>
    <w:rsid w:val="00EE7D01"/>
    <w:rsid w:val="00EE7D2C"/>
    <w:rsid w:val="00EE7DD7"/>
    <w:rsid w:val="00EE7E70"/>
    <w:rsid w:val="00EE7F2B"/>
    <w:rsid w:val="00EF00CA"/>
    <w:rsid w:val="00EF0110"/>
    <w:rsid w:val="00EF01DD"/>
    <w:rsid w:val="00EF029E"/>
    <w:rsid w:val="00EF02CD"/>
    <w:rsid w:val="00EF0421"/>
    <w:rsid w:val="00EF054D"/>
    <w:rsid w:val="00EF0578"/>
    <w:rsid w:val="00EF064C"/>
    <w:rsid w:val="00EF0686"/>
    <w:rsid w:val="00EF06DB"/>
    <w:rsid w:val="00EF08E9"/>
    <w:rsid w:val="00EF08F4"/>
    <w:rsid w:val="00EF093C"/>
    <w:rsid w:val="00EF0980"/>
    <w:rsid w:val="00EF0B95"/>
    <w:rsid w:val="00EF0C3C"/>
    <w:rsid w:val="00EF0E5C"/>
    <w:rsid w:val="00EF0EF7"/>
    <w:rsid w:val="00EF0F37"/>
    <w:rsid w:val="00EF109F"/>
    <w:rsid w:val="00EF1101"/>
    <w:rsid w:val="00EF123A"/>
    <w:rsid w:val="00EF1243"/>
    <w:rsid w:val="00EF1264"/>
    <w:rsid w:val="00EF13D4"/>
    <w:rsid w:val="00EF145C"/>
    <w:rsid w:val="00EF176A"/>
    <w:rsid w:val="00EF178E"/>
    <w:rsid w:val="00EF17FE"/>
    <w:rsid w:val="00EF18A2"/>
    <w:rsid w:val="00EF1955"/>
    <w:rsid w:val="00EF1982"/>
    <w:rsid w:val="00EF1A1F"/>
    <w:rsid w:val="00EF1B68"/>
    <w:rsid w:val="00EF1C91"/>
    <w:rsid w:val="00EF1DB7"/>
    <w:rsid w:val="00EF1DC7"/>
    <w:rsid w:val="00EF1DFE"/>
    <w:rsid w:val="00EF1E83"/>
    <w:rsid w:val="00EF2197"/>
    <w:rsid w:val="00EF2463"/>
    <w:rsid w:val="00EF24A5"/>
    <w:rsid w:val="00EF2562"/>
    <w:rsid w:val="00EF2719"/>
    <w:rsid w:val="00EF2827"/>
    <w:rsid w:val="00EF288C"/>
    <w:rsid w:val="00EF29E9"/>
    <w:rsid w:val="00EF2A6C"/>
    <w:rsid w:val="00EF2B48"/>
    <w:rsid w:val="00EF2D3C"/>
    <w:rsid w:val="00EF2E07"/>
    <w:rsid w:val="00EF2E1D"/>
    <w:rsid w:val="00EF2E96"/>
    <w:rsid w:val="00EF2FD4"/>
    <w:rsid w:val="00EF3168"/>
    <w:rsid w:val="00EF3324"/>
    <w:rsid w:val="00EF33DB"/>
    <w:rsid w:val="00EF3649"/>
    <w:rsid w:val="00EF3651"/>
    <w:rsid w:val="00EF36CD"/>
    <w:rsid w:val="00EF39E9"/>
    <w:rsid w:val="00EF3D14"/>
    <w:rsid w:val="00EF3DC4"/>
    <w:rsid w:val="00EF4032"/>
    <w:rsid w:val="00EF4203"/>
    <w:rsid w:val="00EF4283"/>
    <w:rsid w:val="00EF42C9"/>
    <w:rsid w:val="00EF4387"/>
    <w:rsid w:val="00EF44FB"/>
    <w:rsid w:val="00EF4593"/>
    <w:rsid w:val="00EF4731"/>
    <w:rsid w:val="00EF47C7"/>
    <w:rsid w:val="00EF4816"/>
    <w:rsid w:val="00EF4A00"/>
    <w:rsid w:val="00EF4AD7"/>
    <w:rsid w:val="00EF4B5A"/>
    <w:rsid w:val="00EF4BE7"/>
    <w:rsid w:val="00EF4D73"/>
    <w:rsid w:val="00EF4E76"/>
    <w:rsid w:val="00EF4F46"/>
    <w:rsid w:val="00EF4FC3"/>
    <w:rsid w:val="00EF5107"/>
    <w:rsid w:val="00EF51C8"/>
    <w:rsid w:val="00EF525B"/>
    <w:rsid w:val="00EF52AD"/>
    <w:rsid w:val="00EF52CE"/>
    <w:rsid w:val="00EF5442"/>
    <w:rsid w:val="00EF5504"/>
    <w:rsid w:val="00EF56FA"/>
    <w:rsid w:val="00EF577B"/>
    <w:rsid w:val="00EF57B8"/>
    <w:rsid w:val="00EF57C9"/>
    <w:rsid w:val="00EF5823"/>
    <w:rsid w:val="00EF58A7"/>
    <w:rsid w:val="00EF591C"/>
    <w:rsid w:val="00EF5970"/>
    <w:rsid w:val="00EF5975"/>
    <w:rsid w:val="00EF5AF2"/>
    <w:rsid w:val="00EF5B63"/>
    <w:rsid w:val="00EF5C1C"/>
    <w:rsid w:val="00EF5DBE"/>
    <w:rsid w:val="00EF5F94"/>
    <w:rsid w:val="00EF6030"/>
    <w:rsid w:val="00EF618A"/>
    <w:rsid w:val="00EF619D"/>
    <w:rsid w:val="00EF628C"/>
    <w:rsid w:val="00EF6688"/>
    <w:rsid w:val="00EF66BD"/>
    <w:rsid w:val="00EF686E"/>
    <w:rsid w:val="00EF69BE"/>
    <w:rsid w:val="00EF6DB2"/>
    <w:rsid w:val="00EF6E2D"/>
    <w:rsid w:val="00EF6E53"/>
    <w:rsid w:val="00EF6F94"/>
    <w:rsid w:val="00EF701C"/>
    <w:rsid w:val="00EF705B"/>
    <w:rsid w:val="00EF70AF"/>
    <w:rsid w:val="00EF7100"/>
    <w:rsid w:val="00EF71B8"/>
    <w:rsid w:val="00EF7275"/>
    <w:rsid w:val="00EF727A"/>
    <w:rsid w:val="00EF7529"/>
    <w:rsid w:val="00EF75DC"/>
    <w:rsid w:val="00EF772B"/>
    <w:rsid w:val="00EF7738"/>
    <w:rsid w:val="00EF795E"/>
    <w:rsid w:val="00EF796F"/>
    <w:rsid w:val="00EF7A8B"/>
    <w:rsid w:val="00EF7C35"/>
    <w:rsid w:val="00EF7D35"/>
    <w:rsid w:val="00F0004C"/>
    <w:rsid w:val="00F001A2"/>
    <w:rsid w:val="00F002E4"/>
    <w:rsid w:val="00F003ED"/>
    <w:rsid w:val="00F00401"/>
    <w:rsid w:val="00F004FC"/>
    <w:rsid w:val="00F005D9"/>
    <w:rsid w:val="00F00695"/>
    <w:rsid w:val="00F0069C"/>
    <w:rsid w:val="00F006A3"/>
    <w:rsid w:val="00F006E4"/>
    <w:rsid w:val="00F00826"/>
    <w:rsid w:val="00F00880"/>
    <w:rsid w:val="00F00A4F"/>
    <w:rsid w:val="00F00B0E"/>
    <w:rsid w:val="00F00B1F"/>
    <w:rsid w:val="00F00B89"/>
    <w:rsid w:val="00F00BDF"/>
    <w:rsid w:val="00F00C68"/>
    <w:rsid w:val="00F00EEE"/>
    <w:rsid w:val="00F00FAD"/>
    <w:rsid w:val="00F0106C"/>
    <w:rsid w:val="00F01361"/>
    <w:rsid w:val="00F01824"/>
    <w:rsid w:val="00F01A60"/>
    <w:rsid w:val="00F01AC9"/>
    <w:rsid w:val="00F01B98"/>
    <w:rsid w:val="00F01BDC"/>
    <w:rsid w:val="00F01D0E"/>
    <w:rsid w:val="00F01D7E"/>
    <w:rsid w:val="00F01D99"/>
    <w:rsid w:val="00F01DF5"/>
    <w:rsid w:val="00F01F5A"/>
    <w:rsid w:val="00F0211A"/>
    <w:rsid w:val="00F0215B"/>
    <w:rsid w:val="00F021BE"/>
    <w:rsid w:val="00F023F7"/>
    <w:rsid w:val="00F024B0"/>
    <w:rsid w:val="00F0259A"/>
    <w:rsid w:val="00F025A8"/>
    <w:rsid w:val="00F02618"/>
    <w:rsid w:val="00F026C0"/>
    <w:rsid w:val="00F02763"/>
    <w:rsid w:val="00F02AFC"/>
    <w:rsid w:val="00F02B6B"/>
    <w:rsid w:val="00F02D76"/>
    <w:rsid w:val="00F02DCB"/>
    <w:rsid w:val="00F03171"/>
    <w:rsid w:val="00F033AD"/>
    <w:rsid w:val="00F033F9"/>
    <w:rsid w:val="00F034BD"/>
    <w:rsid w:val="00F0350C"/>
    <w:rsid w:val="00F035C7"/>
    <w:rsid w:val="00F036C2"/>
    <w:rsid w:val="00F036D3"/>
    <w:rsid w:val="00F036EE"/>
    <w:rsid w:val="00F037E1"/>
    <w:rsid w:val="00F0384B"/>
    <w:rsid w:val="00F038D8"/>
    <w:rsid w:val="00F03984"/>
    <w:rsid w:val="00F03987"/>
    <w:rsid w:val="00F03A8B"/>
    <w:rsid w:val="00F03BBC"/>
    <w:rsid w:val="00F03D55"/>
    <w:rsid w:val="00F04051"/>
    <w:rsid w:val="00F04192"/>
    <w:rsid w:val="00F04280"/>
    <w:rsid w:val="00F042F4"/>
    <w:rsid w:val="00F04357"/>
    <w:rsid w:val="00F0435D"/>
    <w:rsid w:val="00F04407"/>
    <w:rsid w:val="00F0463D"/>
    <w:rsid w:val="00F04725"/>
    <w:rsid w:val="00F04B5D"/>
    <w:rsid w:val="00F04E75"/>
    <w:rsid w:val="00F04EC5"/>
    <w:rsid w:val="00F04F24"/>
    <w:rsid w:val="00F0506D"/>
    <w:rsid w:val="00F05173"/>
    <w:rsid w:val="00F051E3"/>
    <w:rsid w:val="00F0525F"/>
    <w:rsid w:val="00F05306"/>
    <w:rsid w:val="00F05423"/>
    <w:rsid w:val="00F054B4"/>
    <w:rsid w:val="00F05851"/>
    <w:rsid w:val="00F05A09"/>
    <w:rsid w:val="00F05B6F"/>
    <w:rsid w:val="00F05C15"/>
    <w:rsid w:val="00F05C6F"/>
    <w:rsid w:val="00F05C7B"/>
    <w:rsid w:val="00F05DA0"/>
    <w:rsid w:val="00F05F4D"/>
    <w:rsid w:val="00F05FC6"/>
    <w:rsid w:val="00F06082"/>
    <w:rsid w:val="00F0611D"/>
    <w:rsid w:val="00F061CC"/>
    <w:rsid w:val="00F0631B"/>
    <w:rsid w:val="00F06398"/>
    <w:rsid w:val="00F065B6"/>
    <w:rsid w:val="00F06663"/>
    <w:rsid w:val="00F06696"/>
    <w:rsid w:val="00F067E6"/>
    <w:rsid w:val="00F06AAC"/>
    <w:rsid w:val="00F06BD0"/>
    <w:rsid w:val="00F06D50"/>
    <w:rsid w:val="00F06D7A"/>
    <w:rsid w:val="00F06EDE"/>
    <w:rsid w:val="00F07100"/>
    <w:rsid w:val="00F0710F"/>
    <w:rsid w:val="00F0716E"/>
    <w:rsid w:val="00F07295"/>
    <w:rsid w:val="00F07493"/>
    <w:rsid w:val="00F07577"/>
    <w:rsid w:val="00F0766D"/>
    <w:rsid w:val="00F076D7"/>
    <w:rsid w:val="00F07828"/>
    <w:rsid w:val="00F078E4"/>
    <w:rsid w:val="00F07C8B"/>
    <w:rsid w:val="00F07CA1"/>
    <w:rsid w:val="00F07DDB"/>
    <w:rsid w:val="00F07F31"/>
    <w:rsid w:val="00F1004B"/>
    <w:rsid w:val="00F10202"/>
    <w:rsid w:val="00F10322"/>
    <w:rsid w:val="00F1037D"/>
    <w:rsid w:val="00F10392"/>
    <w:rsid w:val="00F105D1"/>
    <w:rsid w:val="00F10717"/>
    <w:rsid w:val="00F10DEE"/>
    <w:rsid w:val="00F10E36"/>
    <w:rsid w:val="00F10E4A"/>
    <w:rsid w:val="00F10F85"/>
    <w:rsid w:val="00F112BA"/>
    <w:rsid w:val="00F112F1"/>
    <w:rsid w:val="00F11318"/>
    <w:rsid w:val="00F1132B"/>
    <w:rsid w:val="00F11350"/>
    <w:rsid w:val="00F113AD"/>
    <w:rsid w:val="00F114EF"/>
    <w:rsid w:val="00F1157F"/>
    <w:rsid w:val="00F117E1"/>
    <w:rsid w:val="00F11AAA"/>
    <w:rsid w:val="00F11D14"/>
    <w:rsid w:val="00F11DC7"/>
    <w:rsid w:val="00F11DD3"/>
    <w:rsid w:val="00F11F64"/>
    <w:rsid w:val="00F11F6A"/>
    <w:rsid w:val="00F1210D"/>
    <w:rsid w:val="00F121D1"/>
    <w:rsid w:val="00F123C9"/>
    <w:rsid w:val="00F123E7"/>
    <w:rsid w:val="00F125CA"/>
    <w:rsid w:val="00F129AC"/>
    <w:rsid w:val="00F12BE3"/>
    <w:rsid w:val="00F12C4A"/>
    <w:rsid w:val="00F12C87"/>
    <w:rsid w:val="00F12D2F"/>
    <w:rsid w:val="00F12E5C"/>
    <w:rsid w:val="00F13321"/>
    <w:rsid w:val="00F133C5"/>
    <w:rsid w:val="00F136B2"/>
    <w:rsid w:val="00F1378D"/>
    <w:rsid w:val="00F138A8"/>
    <w:rsid w:val="00F13989"/>
    <w:rsid w:val="00F13BB8"/>
    <w:rsid w:val="00F13BC4"/>
    <w:rsid w:val="00F13DBC"/>
    <w:rsid w:val="00F13F33"/>
    <w:rsid w:val="00F140CB"/>
    <w:rsid w:val="00F141D6"/>
    <w:rsid w:val="00F1450E"/>
    <w:rsid w:val="00F14678"/>
    <w:rsid w:val="00F147D3"/>
    <w:rsid w:val="00F148A7"/>
    <w:rsid w:val="00F14A71"/>
    <w:rsid w:val="00F14B8E"/>
    <w:rsid w:val="00F14CE4"/>
    <w:rsid w:val="00F14D51"/>
    <w:rsid w:val="00F14F23"/>
    <w:rsid w:val="00F14F88"/>
    <w:rsid w:val="00F14FEE"/>
    <w:rsid w:val="00F15048"/>
    <w:rsid w:val="00F15109"/>
    <w:rsid w:val="00F15303"/>
    <w:rsid w:val="00F1530F"/>
    <w:rsid w:val="00F1539C"/>
    <w:rsid w:val="00F15526"/>
    <w:rsid w:val="00F155F9"/>
    <w:rsid w:val="00F159A6"/>
    <w:rsid w:val="00F15A3A"/>
    <w:rsid w:val="00F15E40"/>
    <w:rsid w:val="00F16201"/>
    <w:rsid w:val="00F162FC"/>
    <w:rsid w:val="00F1639C"/>
    <w:rsid w:val="00F165E2"/>
    <w:rsid w:val="00F167F2"/>
    <w:rsid w:val="00F16864"/>
    <w:rsid w:val="00F168F5"/>
    <w:rsid w:val="00F16AA1"/>
    <w:rsid w:val="00F16BA0"/>
    <w:rsid w:val="00F16C73"/>
    <w:rsid w:val="00F16C9C"/>
    <w:rsid w:val="00F16ECC"/>
    <w:rsid w:val="00F17042"/>
    <w:rsid w:val="00F17060"/>
    <w:rsid w:val="00F1750B"/>
    <w:rsid w:val="00F17845"/>
    <w:rsid w:val="00F17A05"/>
    <w:rsid w:val="00F17A36"/>
    <w:rsid w:val="00F17A37"/>
    <w:rsid w:val="00F17B05"/>
    <w:rsid w:val="00F17C5B"/>
    <w:rsid w:val="00F17D15"/>
    <w:rsid w:val="00F17D72"/>
    <w:rsid w:val="00F17DD8"/>
    <w:rsid w:val="00F17E66"/>
    <w:rsid w:val="00F17F15"/>
    <w:rsid w:val="00F17F35"/>
    <w:rsid w:val="00F2025F"/>
    <w:rsid w:val="00F203D3"/>
    <w:rsid w:val="00F206EC"/>
    <w:rsid w:val="00F20716"/>
    <w:rsid w:val="00F20846"/>
    <w:rsid w:val="00F20CDB"/>
    <w:rsid w:val="00F20E6D"/>
    <w:rsid w:val="00F211FF"/>
    <w:rsid w:val="00F21312"/>
    <w:rsid w:val="00F2150D"/>
    <w:rsid w:val="00F21630"/>
    <w:rsid w:val="00F218D1"/>
    <w:rsid w:val="00F21A7D"/>
    <w:rsid w:val="00F21B85"/>
    <w:rsid w:val="00F21C11"/>
    <w:rsid w:val="00F22055"/>
    <w:rsid w:val="00F2207F"/>
    <w:rsid w:val="00F22176"/>
    <w:rsid w:val="00F22405"/>
    <w:rsid w:val="00F22432"/>
    <w:rsid w:val="00F224E2"/>
    <w:rsid w:val="00F2260E"/>
    <w:rsid w:val="00F227B9"/>
    <w:rsid w:val="00F22807"/>
    <w:rsid w:val="00F22819"/>
    <w:rsid w:val="00F22A89"/>
    <w:rsid w:val="00F22AD4"/>
    <w:rsid w:val="00F22CDC"/>
    <w:rsid w:val="00F22D7F"/>
    <w:rsid w:val="00F22D83"/>
    <w:rsid w:val="00F22E10"/>
    <w:rsid w:val="00F22E23"/>
    <w:rsid w:val="00F22F85"/>
    <w:rsid w:val="00F23055"/>
    <w:rsid w:val="00F231EA"/>
    <w:rsid w:val="00F23226"/>
    <w:rsid w:val="00F2334B"/>
    <w:rsid w:val="00F2335F"/>
    <w:rsid w:val="00F233C0"/>
    <w:rsid w:val="00F237EE"/>
    <w:rsid w:val="00F23AAC"/>
    <w:rsid w:val="00F23AB0"/>
    <w:rsid w:val="00F23AFF"/>
    <w:rsid w:val="00F23B33"/>
    <w:rsid w:val="00F23DBC"/>
    <w:rsid w:val="00F23EFE"/>
    <w:rsid w:val="00F240F0"/>
    <w:rsid w:val="00F24320"/>
    <w:rsid w:val="00F24654"/>
    <w:rsid w:val="00F246C1"/>
    <w:rsid w:val="00F24723"/>
    <w:rsid w:val="00F248A8"/>
    <w:rsid w:val="00F24922"/>
    <w:rsid w:val="00F24A49"/>
    <w:rsid w:val="00F24B78"/>
    <w:rsid w:val="00F24C52"/>
    <w:rsid w:val="00F24D17"/>
    <w:rsid w:val="00F24E94"/>
    <w:rsid w:val="00F24EF6"/>
    <w:rsid w:val="00F2509F"/>
    <w:rsid w:val="00F2510F"/>
    <w:rsid w:val="00F2516A"/>
    <w:rsid w:val="00F251F3"/>
    <w:rsid w:val="00F2530F"/>
    <w:rsid w:val="00F2538D"/>
    <w:rsid w:val="00F25497"/>
    <w:rsid w:val="00F254C5"/>
    <w:rsid w:val="00F256B2"/>
    <w:rsid w:val="00F2589C"/>
    <w:rsid w:val="00F258A7"/>
    <w:rsid w:val="00F259A1"/>
    <w:rsid w:val="00F25A2D"/>
    <w:rsid w:val="00F25AF6"/>
    <w:rsid w:val="00F25CD5"/>
    <w:rsid w:val="00F25D78"/>
    <w:rsid w:val="00F25DA4"/>
    <w:rsid w:val="00F25F29"/>
    <w:rsid w:val="00F26017"/>
    <w:rsid w:val="00F2611B"/>
    <w:rsid w:val="00F26243"/>
    <w:rsid w:val="00F26325"/>
    <w:rsid w:val="00F2636A"/>
    <w:rsid w:val="00F26394"/>
    <w:rsid w:val="00F26477"/>
    <w:rsid w:val="00F265AE"/>
    <w:rsid w:val="00F266A1"/>
    <w:rsid w:val="00F2677C"/>
    <w:rsid w:val="00F26A62"/>
    <w:rsid w:val="00F26AE7"/>
    <w:rsid w:val="00F26E5E"/>
    <w:rsid w:val="00F26F10"/>
    <w:rsid w:val="00F26FFE"/>
    <w:rsid w:val="00F27076"/>
    <w:rsid w:val="00F270B8"/>
    <w:rsid w:val="00F2711F"/>
    <w:rsid w:val="00F271B9"/>
    <w:rsid w:val="00F2723C"/>
    <w:rsid w:val="00F27350"/>
    <w:rsid w:val="00F2774E"/>
    <w:rsid w:val="00F2775C"/>
    <w:rsid w:val="00F27A00"/>
    <w:rsid w:val="00F27B09"/>
    <w:rsid w:val="00F27C56"/>
    <w:rsid w:val="00F27CB0"/>
    <w:rsid w:val="00F27CB9"/>
    <w:rsid w:val="00F27E65"/>
    <w:rsid w:val="00F300B0"/>
    <w:rsid w:val="00F302C9"/>
    <w:rsid w:val="00F3060F"/>
    <w:rsid w:val="00F30AA4"/>
    <w:rsid w:val="00F30BE2"/>
    <w:rsid w:val="00F30D88"/>
    <w:rsid w:val="00F30EA7"/>
    <w:rsid w:val="00F30ED2"/>
    <w:rsid w:val="00F3135D"/>
    <w:rsid w:val="00F31440"/>
    <w:rsid w:val="00F3163C"/>
    <w:rsid w:val="00F317C8"/>
    <w:rsid w:val="00F318D4"/>
    <w:rsid w:val="00F31923"/>
    <w:rsid w:val="00F31A6D"/>
    <w:rsid w:val="00F31B65"/>
    <w:rsid w:val="00F31CAE"/>
    <w:rsid w:val="00F32119"/>
    <w:rsid w:val="00F3218F"/>
    <w:rsid w:val="00F32206"/>
    <w:rsid w:val="00F32336"/>
    <w:rsid w:val="00F3235B"/>
    <w:rsid w:val="00F3244F"/>
    <w:rsid w:val="00F32573"/>
    <w:rsid w:val="00F325FE"/>
    <w:rsid w:val="00F32690"/>
    <w:rsid w:val="00F3274A"/>
    <w:rsid w:val="00F32884"/>
    <w:rsid w:val="00F32ACD"/>
    <w:rsid w:val="00F32B95"/>
    <w:rsid w:val="00F32C00"/>
    <w:rsid w:val="00F32EDE"/>
    <w:rsid w:val="00F32F6F"/>
    <w:rsid w:val="00F3304C"/>
    <w:rsid w:val="00F33103"/>
    <w:rsid w:val="00F3317B"/>
    <w:rsid w:val="00F334B4"/>
    <w:rsid w:val="00F33682"/>
    <w:rsid w:val="00F33775"/>
    <w:rsid w:val="00F33AE7"/>
    <w:rsid w:val="00F33B32"/>
    <w:rsid w:val="00F33C80"/>
    <w:rsid w:val="00F33D13"/>
    <w:rsid w:val="00F33E59"/>
    <w:rsid w:val="00F33EB2"/>
    <w:rsid w:val="00F34331"/>
    <w:rsid w:val="00F343FA"/>
    <w:rsid w:val="00F344BD"/>
    <w:rsid w:val="00F3464E"/>
    <w:rsid w:val="00F34856"/>
    <w:rsid w:val="00F34861"/>
    <w:rsid w:val="00F34E0C"/>
    <w:rsid w:val="00F350A6"/>
    <w:rsid w:val="00F35314"/>
    <w:rsid w:val="00F354D7"/>
    <w:rsid w:val="00F35536"/>
    <w:rsid w:val="00F3569D"/>
    <w:rsid w:val="00F35713"/>
    <w:rsid w:val="00F35748"/>
    <w:rsid w:val="00F358AD"/>
    <w:rsid w:val="00F35C7D"/>
    <w:rsid w:val="00F35DC4"/>
    <w:rsid w:val="00F35F56"/>
    <w:rsid w:val="00F3603C"/>
    <w:rsid w:val="00F360E4"/>
    <w:rsid w:val="00F36176"/>
    <w:rsid w:val="00F36227"/>
    <w:rsid w:val="00F3634E"/>
    <w:rsid w:val="00F3647F"/>
    <w:rsid w:val="00F36666"/>
    <w:rsid w:val="00F36745"/>
    <w:rsid w:val="00F36781"/>
    <w:rsid w:val="00F3688C"/>
    <w:rsid w:val="00F36BF6"/>
    <w:rsid w:val="00F36DDD"/>
    <w:rsid w:val="00F36EEF"/>
    <w:rsid w:val="00F36FE0"/>
    <w:rsid w:val="00F37073"/>
    <w:rsid w:val="00F370D0"/>
    <w:rsid w:val="00F37102"/>
    <w:rsid w:val="00F372CE"/>
    <w:rsid w:val="00F3741C"/>
    <w:rsid w:val="00F375A8"/>
    <w:rsid w:val="00F37710"/>
    <w:rsid w:val="00F37759"/>
    <w:rsid w:val="00F37969"/>
    <w:rsid w:val="00F379EC"/>
    <w:rsid w:val="00F37AD8"/>
    <w:rsid w:val="00F37CD9"/>
    <w:rsid w:val="00F37D65"/>
    <w:rsid w:val="00F37E56"/>
    <w:rsid w:val="00F37EA4"/>
    <w:rsid w:val="00F37F74"/>
    <w:rsid w:val="00F40143"/>
    <w:rsid w:val="00F4039D"/>
    <w:rsid w:val="00F4042C"/>
    <w:rsid w:val="00F40460"/>
    <w:rsid w:val="00F404E0"/>
    <w:rsid w:val="00F405F3"/>
    <w:rsid w:val="00F4070E"/>
    <w:rsid w:val="00F407B9"/>
    <w:rsid w:val="00F40AA2"/>
    <w:rsid w:val="00F40AA8"/>
    <w:rsid w:val="00F40B49"/>
    <w:rsid w:val="00F40C56"/>
    <w:rsid w:val="00F40CB2"/>
    <w:rsid w:val="00F40CC8"/>
    <w:rsid w:val="00F40DA4"/>
    <w:rsid w:val="00F410A5"/>
    <w:rsid w:val="00F4110B"/>
    <w:rsid w:val="00F411F8"/>
    <w:rsid w:val="00F41349"/>
    <w:rsid w:val="00F413AF"/>
    <w:rsid w:val="00F414A4"/>
    <w:rsid w:val="00F414B4"/>
    <w:rsid w:val="00F41957"/>
    <w:rsid w:val="00F4195F"/>
    <w:rsid w:val="00F41BFE"/>
    <w:rsid w:val="00F41DB7"/>
    <w:rsid w:val="00F41E8E"/>
    <w:rsid w:val="00F420AC"/>
    <w:rsid w:val="00F422DC"/>
    <w:rsid w:val="00F42470"/>
    <w:rsid w:val="00F4273E"/>
    <w:rsid w:val="00F42889"/>
    <w:rsid w:val="00F428DD"/>
    <w:rsid w:val="00F42904"/>
    <w:rsid w:val="00F42945"/>
    <w:rsid w:val="00F42979"/>
    <w:rsid w:val="00F42D64"/>
    <w:rsid w:val="00F43126"/>
    <w:rsid w:val="00F43146"/>
    <w:rsid w:val="00F43283"/>
    <w:rsid w:val="00F433CB"/>
    <w:rsid w:val="00F4351E"/>
    <w:rsid w:val="00F43887"/>
    <w:rsid w:val="00F438A1"/>
    <w:rsid w:val="00F43BAD"/>
    <w:rsid w:val="00F43BAF"/>
    <w:rsid w:val="00F43E03"/>
    <w:rsid w:val="00F43E24"/>
    <w:rsid w:val="00F43E25"/>
    <w:rsid w:val="00F43F90"/>
    <w:rsid w:val="00F43FE8"/>
    <w:rsid w:val="00F44096"/>
    <w:rsid w:val="00F440C8"/>
    <w:rsid w:val="00F441CB"/>
    <w:rsid w:val="00F444E3"/>
    <w:rsid w:val="00F4478D"/>
    <w:rsid w:val="00F44843"/>
    <w:rsid w:val="00F44A11"/>
    <w:rsid w:val="00F44BD6"/>
    <w:rsid w:val="00F44CBB"/>
    <w:rsid w:val="00F44D35"/>
    <w:rsid w:val="00F44E9A"/>
    <w:rsid w:val="00F44F4B"/>
    <w:rsid w:val="00F44FA1"/>
    <w:rsid w:val="00F44FE4"/>
    <w:rsid w:val="00F45013"/>
    <w:rsid w:val="00F450F0"/>
    <w:rsid w:val="00F45165"/>
    <w:rsid w:val="00F45265"/>
    <w:rsid w:val="00F452F2"/>
    <w:rsid w:val="00F4534B"/>
    <w:rsid w:val="00F45576"/>
    <w:rsid w:val="00F45662"/>
    <w:rsid w:val="00F45787"/>
    <w:rsid w:val="00F457D3"/>
    <w:rsid w:val="00F45800"/>
    <w:rsid w:val="00F459C5"/>
    <w:rsid w:val="00F45A30"/>
    <w:rsid w:val="00F45AEC"/>
    <w:rsid w:val="00F45B0B"/>
    <w:rsid w:val="00F45BAF"/>
    <w:rsid w:val="00F45D7C"/>
    <w:rsid w:val="00F45D94"/>
    <w:rsid w:val="00F45D96"/>
    <w:rsid w:val="00F45F25"/>
    <w:rsid w:val="00F4604B"/>
    <w:rsid w:val="00F460C0"/>
    <w:rsid w:val="00F46235"/>
    <w:rsid w:val="00F4626D"/>
    <w:rsid w:val="00F46343"/>
    <w:rsid w:val="00F4640A"/>
    <w:rsid w:val="00F465EE"/>
    <w:rsid w:val="00F4675D"/>
    <w:rsid w:val="00F46778"/>
    <w:rsid w:val="00F4678E"/>
    <w:rsid w:val="00F467FB"/>
    <w:rsid w:val="00F468D6"/>
    <w:rsid w:val="00F46B7A"/>
    <w:rsid w:val="00F46B8A"/>
    <w:rsid w:val="00F46D1A"/>
    <w:rsid w:val="00F46D4F"/>
    <w:rsid w:val="00F46D75"/>
    <w:rsid w:val="00F46DC2"/>
    <w:rsid w:val="00F46E23"/>
    <w:rsid w:val="00F46EB5"/>
    <w:rsid w:val="00F47154"/>
    <w:rsid w:val="00F4726D"/>
    <w:rsid w:val="00F472E8"/>
    <w:rsid w:val="00F4734F"/>
    <w:rsid w:val="00F4755F"/>
    <w:rsid w:val="00F476BA"/>
    <w:rsid w:val="00F477C8"/>
    <w:rsid w:val="00F47847"/>
    <w:rsid w:val="00F47869"/>
    <w:rsid w:val="00F478DE"/>
    <w:rsid w:val="00F4791A"/>
    <w:rsid w:val="00F47AEA"/>
    <w:rsid w:val="00F47B60"/>
    <w:rsid w:val="00F47C5B"/>
    <w:rsid w:val="00F47C62"/>
    <w:rsid w:val="00F47E75"/>
    <w:rsid w:val="00F47F39"/>
    <w:rsid w:val="00F47F9D"/>
    <w:rsid w:val="00F5009C"/>
    <w:rsid w:val="00F500CD"/>
    <w:rsid w:val="00F505B6"/>
    <w:rsid w:val="00F50930"/>
    <w:rsid w:val="00F50938"/>
    <w:rsid w:val="00F50A7E"/>
    <w:rsid w:val="00F50BCF"/>
    <w:rsid w:val="00F50ECF"/>
    <w:rsid w:val="00F50F8F"/>
    <w:rsid w:val="00F51195"/>
    <w:rsid w:val="00F5121F"/>
    <w:rsid w:val="00F51277"/>
    <w:rsid w:val="00F512E5"/>
    <w:rsid w:val="00F515CE"/>
    <w:rsid w:val="00F5170A"/>
    <w:rsid w:val="00F51754"/>
    <w:rsid w:val="00F51A6E"/>
    <w:rsid w:val="00F51AB2"/>
    <w:rsid w:val="00F51AB3"/>
    <w:rsid w:val="00F51B88"/>
    <w:rsid w:val="00F51C23"/>
    <w:rsid w:val="00F51C55"/>
    <w:rsid w:val="00F521B9"/>
    <w:rsid w:val="00F521F4"/>
    <w:rsid w:val="00F523A2"/>
    <w:rsid w:val="00F52616"/>
    <w:rsid w:val="00F5263F"/>
    <w:rsid w:val="00F52646"/>
    <w:rsid w:val="00F526A8"/>
    <w:rsid w:val="00F526BB"/>
    <w:rsid w:val="00F5270C"/>
    <w:rsid w:val="00F527DE"/>
    <w:rsid w:val="00F528F9"/>
    <w:rsid w:val="00F5292D"/>
    <w:rsid w:val="00F529C8"/>
    <w:rsid w:val="00F529F7"/>
    <w:rsid w:val="00F52B04"/>
    <w:rsid w:val="00F52C69"/>
    <w:rsid w:val="00F52EB5"/>
    <w:rsid w:val="00F52F5B"/>
    <w:rsid w:val="00F52F5E"/>
    <w:rsid w:val="00F5310F"/>
    <w:rsid w:val="00F53113"/>
    <w:rsid w:val="00F5317A"/>
    <w:rsid w:val="00F531CC"/>
    <w:rsid w:val="00F531EE"/>
    <w:rsid w:val="00F53357"/>
    <w:rsid w:val="00F535EF"/>
    <w:rsid w:val="00F5364B"/>
    <w:rsid w:val="00F536BC"/>
    <w:rsid w:val="00F53823"/>
    <w:rsid w:val="00F53A82"/>
    <w:rsid w:val="00F53B60"/>
    <w:rsid w:val="00F53BE3"/>
    <w:rsid w:val="00F53C7D"/>
    <w:rsid w:val="00F53C81"/>
    <w:rsid w:val="00F53CE7"/>
    <w:rsid w:val="00F53D09"/>
    <w:rsid w:val="00F53D31"/>
    <w:rsid w:val="00F53D94"/>
    <w:rsid w:val="00F53DD0"/>
    <w:rsid w:val="00F53E30"/>
    <w:rsid w:val="00F540F6"/>
    <w:rsid w:val="00F54127"/>
    <w:rsid w:val="00F5422F"/>
    <w:rsid w:val="00F54523"/>
    <w:rsid w:val="00F545DA"/>
    <w:rsid w:val="00F54622"/>
    <w:rsid w:val="00F5466B"/>
    <w:rsid w:val="00F546A7"/>
    <w:rsid w:val="00F546E3"/>
    <w:rsid w:val="00F54733"/>
    <w:rsid w:val="00F5474B"/>
    <w:rsid w:val="00F547CF"/>
    <w:rsid w:val="00F54868"/>
    <w:rsid w:val="00F548E8"/>
    <w:rsid w:val="00F54D4E"/>
    <w:rsid w:val="00F54E86"/>
    <w:rsid w:val="00F54FA0"/>
    <w:rsid w:val="00F55043"/>
    <w:rsid w:val="00F5507E"/>
    <w:rsid w:val="00F55300"/>
    <w:rsid w:val="00F5534E"/>
    <w:rsid w:val="00F553B0"/>
    <w:rsid w:val="00F55498"/>
    <w:rsid w:val="00F55529"/>
    <w:rsid w:val="00F556B0"/>
    <w:rsid w:val="00F556F6"/>
    <w:rsid w:val="00F5589B"/>
    <w:rsid w:val="00F55ACE"/>
    <w:rsid w:val="00F55BFF"/>
    <w:rsid w:val="00F55CE2"/>
    <w:rsid w:val="00F55D38"/>
    <w:rsid w:val="00F55E99"/>
    <w:rsid w:val="00F560F2"/>
    <w:rsid w:val="00F56206"/>
    <w:rsid w:val="00F563EF"/>
    <w:rsid w:val="00F56742"/>
    <w:rsid w:val="00F56793"/>
    <w:rsid w:val="00F567FA"/>
    <w:rsid w:val="00F56806"/>
    <w:rsid w:val="00F568E2"/>
    <w:rsid w:val="00F56A29"/>
    <w:rsid w:val="00F56C3D"/>
    <w:rsid w:val="00F56C6D"/>
    <w:rsid w:val="00F56C85"/>
    <w:rsid w:val="00F56C9B"/>
    <w:rsid w:val="00F56DA8"/>
    <w:rsid w:val="00F5716B"/>
    <w:rsid w:val="00F572DD"/>
    <w:rsid w:val="00F57303"/>
    <w:rsid w:val="00F573AA"/>
    <w:rsid w:val="00F575ED"/>
    <w:rsid w:val="00F57644"/>
    <w:rsid w:val="00F57754"/>
    <w:rsid w:val="00F57780"/>
    <w:rsid w:val="00F577A7"/>
    <w:rsid w:val="00F57886"/>
    <w:rsid w:val="00F578D9"/>
    <w:rsid w:val="00F57929"/>
    <w:rsid w:val="00F57ABD"/>
    <w:rsid w:val="00F57B4B"/>
    <w:rsid w:val="00F57BBA"/>
    <w:rsid w:val="00F57C20"/>
    <w:rsid w:val="00F57C4A"/>
    <w:rsid w:val="00F57C8A"/>
    <w:rsid w:val="00F57D41"/>
    <w:rsid w:val="00F57D64"/>
    <w:rsid w:val="00F60042"/>
    <w:rsid w:val="00F600E1"/>
    <w:rsid w:val="00F601A4"/>
    <w:rsid w:val="00F60310"/>
    <w:rsid w:val="00F60389"/>
    <w:rsid w:val="00F606BE"/>
    <w:rsid w:val="00F60956"/>
    <w:rsid w:val="00F60A8A"/>
    <w:rsid w:val="00F60AED"/>
    <w:rsid w:val="00F60B43"/>
    <w:rsid w:val="00F60BA7"/>
    <w:rsid w:val="00F60BD3"/>
    <w:rsid w:val="00F60CD0"/>
    <w:rsid w:val="00F60E04"/>
    <w:rsid w:val="00F60E90"/>
    <w:rsid w:val="00F60E94"/>
    <w:rsid w:val="00F60F82"/>
    <w:rsid w:val="00F6103E"/>
    <w:rsid w:val="00F6117C"/>
    <w:rsid w:val="00F612E6"/>
    <w:rsid w:val="00F6139F"/>
    <w:rsid w:val="00F614C1"/>
    <w:rsid w:val="00F6182A"/>
    <w:rsid w:val="00F6197C"/>
    <w:rsid w:val="00F61B7E"/>
    <w:rsid w:val="00F61D07"/>
    <w:rsid w:val="00F61EAC"/>
    <w:rsid w:val="00F62133"/>
    <w:rsid w:val="00F6249A"/>
    <w:rsid w:val="00F62576"/>
    <w:rsid w:val="00F62672"/>
    <w:rsid w:val="00F627C8"/>
    <w:rsid w:val="00F62800"/>
    <w:rsid w:val="00F6293F"/>
    <w:rsid w:val="00F62A98"/>
    <w:rsid w:val="00F62DFF"/>
    <w:rsid w:val="00F631EC"/>
    <w:rsid w:val="00F63215"/>
    <w:rsid w:val="00F6324B"/>
    <w:rsid w:val="00F6341E"/>
    <w:rsid w:val="00F63559"/>
    <w:rsid w:val="00F637DB"/>
    <w:rsid w:val="00F63955"/>
    <w:rsid w:val="00F63AEE"/>
    <w:rsid w:val="00F63C93"/>
    <w:rsid w:val="00F63CDE"/>
    <w:rsid w:val="00F63D92"/>
    <w:rsid w:val="00F63DDE"/>
    <w:rsid w:val="00F63E64"/>
    <w:rsid w:val="00F63F33"/>
    <w:rsid w:val="00F63F64"/>
    <w:rsid w:val="00F64003"/>
    <w:rsid w:val="00F64014"/>
    <w:rsid w:val="00F64216"/>
    <w:rsid w:val="00F64459"/>
    <w:rsid w:val="00F64646"/>
    <w:rsid w:val="00F64C2F"/>
    <w:rsid w:val="00F64DE8"/>
    <w:rsid w:val="00F65001"/>
    <w:rsid w:val="00F6504B"/>
    <w:rsid w:val="00F65151"/>
    <w:rsid w:val="00F651BA"/>
    <w:rsid w:val="00F651F0"/>
    <w:rsid w:val="00F65366"/>
    <w:rsid w:val="00F65368"/>
    <w:rsid w:val="00F653BF"/>
    <w:rsid w:val="00F65470"/>
    <w:rsid w:val="00F6577E"/>
    <w:rsid w:val="00F658B7"/>
    <w:rsid w:val="00F658C1"/>
    <w:rsid w:val="00F65914"/>
    <w:rsid w:val="00F659CD"/>
    <w:rsid w:val="00F65C3E"/>
    <w:rsid w:val="00F65DC7"/>
    <w:rsid w:val="00F65FFF"/>
    <w:rsid w:val="00F6612F"/>
    <w:rsid w:val="00F661CB"/>
    <w:rsid w:val="00F662E9"/>
    <w:rsid w:val="00F6632C"/>
    <w:rsid w:val="00F66395"/>
    <w:rsid w:val="00F663DE"/>
    <w:rsid w:val="00F66509"/>
    <w:rsid w:val="00F665FA"/>
    <w:rsid w:val="00F6676E"/>
    <w:rsid w:val="00F66916"/>
    <w:rsid w:val="00F66AFD"/>
    <w:rsid w:val="00F671FE"/>
    <w:rsid w:val="00F6785E"/>
    <w:rsid w:val="00F678C8"/>
    <w:rsid w:val="00F67A16"/>
    <w:rsid w:val="00F67B76"/>
    <w:rsid w:val="00F67B83"/>
    <w:rsid w:val="00F67BA6"/>
    <w:rsid w:val="00F67C25"/>
    <w:rsid w:val="00F67FEB"/>
    <w:rsid w:val="00F700D2"/>
    <w:rsid w:val="00F702DF"/>
    <w:rsid w:val="00F7034C"/>
    <w:rsid w:val="00F70431"/>
    <w:rsid w:val="00F70553"/>
    <w:rsid w:val="00F706FD"/>
    <w:rsid w:val="00F70746"/>
    <w:rsid w:val="00F70A01"/>
    <w:rsid w:val="00F70AE9"/>
    <w:rsid w:val="00F70E29"/>
    <w:rsid w:val="00F70FBD"/>
    <w:rsid w:val="00F71075"/>
    <w:rsid w:val="00F71265"/>
    <w:rsid w:val="00F712AD"/>
    <w:rsid w:val="00F713AF"/>
    <w:rsid w:val="00F714E3"/>
    <w:rsid w:val="00F7150E"/>
    <w:rsid w:val="00F71644"/>
    <w:rsid w:val="00F71686"/>
    <w:rsid w:val="00F71774"/>
    <w:rsid w:val="00F717D0"/>
    <w:rsid w:val="00F717FE"/>
    <w:rsid w:val="00F718AD"/>
    <w:rsid w:val="00F71B2C"/>
    <w:rsid w:val="00F71B5F"/>
    <w:rsid w:val="00F71C75"/>
    <w:rsid w:val="00F71D2E"/>
    <w:rsid w:val="00F71DCD"/>
    <w:rsid w:val="00F71E27"/>
    <w:rsid w:val="00F71E37"/>
    <w:rsid w:val="00F71E41"/>
    <w:rsid w:val="00F71ED0"/>
    <w:rsid w:val="00F720BB"/>
    <w:rsid w:val="00F722ED"/>
    <w:rsid w:val="00F724BC"/>
    <w:rsid w:val="00F72519"/>
    <w:rsid w:val="00F725DE"/>
    <w:rsid w:val="00F72781"/>
    <w:rsid w:val="00F727F2"/>
    <w:rsid w:val="00F728F8"/>
    <w:rsid w:val="00F72929"/>
    <w:rsid w:val="00F7295D"/>
    <w:rsid w:val="00F729DB"/>
    <w:rsid w:val="00F72B5A"/>
    <w:rsid w:val="00F72CA5"/>
    <w:rsid w:val="00F72D52"/>
    <w:rsid w:val="00F72DF1"/>
    <w:rsid w:val="00F72ED7"/>
    <w:rsid w:val="00F72F64"/>
    <w:rsid w:val="00F73248"/>
    <w:rsid w:val="00F73344"/>
    <w:rsid w:val="00F73359"/>
    <w:rsid w:val="00F73475"/>
    <w:rsid w:val="00F7355B"/>
    <w:rsid w:val="00F73593"/>
    <w:rsid w:val="00F73636"/>
    <w:rsid w:val="00F737AB"/>
    <w:rsid w:val="00F7380E"/>
    <w:rsid w:val="00F73866"/>
    <w:rsid w:val="00F73AEF"/>
    <w:rsid w:val="00F73C97"/>
    <w:rsid w:val="00F73EB5"/>
    <w:rsid w:val="00F7408C"/>
    <w:rsid w:val="00F74153"/>
    <w:rsid w:val="00F74230"/>
    <w:rsid w:val="00F7426B"/>
    <w:rsid w:val="00F7441E"/>
    <w:rsid w:val="00F7448B"/>
    <w:rsid w:val="00F744BA"/>
    <w:rsid w:val="00F74533"/>
    <w:rsid w:val="00F74609"/>
    <w:rsid w:val="00F7464A"/>
    <w:rsid w:val="00F74696"/>
    <w:rsid w:val="00F749C1"/>
    <w:rsid w:val="00F74B82"/>
    <w:rsid w:val="00F7571D"/>
    <w:rsid w:val="00F7579F"/>
    <w:rsid w:val="00F75881"/>
    <w:rsid w:val="00F75957"/>
    <w:rsid w:val="00F75AC8"/>
    <w:rsid w:val="00F75ADA"/>
    <w:rsid w:val="00F75C68"/>
    <w:rsid w:val="00F75D0E"/>
    <w:rsid w:val="00F75D17"/>
    <w:rsid w:val="00F75DD8"/>
    <w:rsid w:val="00F75E7B"/>
    <w:rsid w:val="00F75F78"/>
    <w:rsid w:val="00F76586"/>
    <w:rsid w:val="00F76592"/>
    <w:rsid w:val="00F765FC"/>
    <w:rsid w:val="00F76617"/>
    <w:rsid w:val="00F76823"/>
    <w:rsid w:val="00F7683D"/>
    <w:rsid w:val="00F76915"/>
    <w:rsid w:val="00F7697B"/>
    <w:rsid w:val="00F769DC"/>
    <w:rsid w:val="00F76C63"/>
    <w:rsid w:val="00F76D7C"/>
    <w:rsid w:val="00F76DA7"/>
    <w:rsid w:val="00F76E52"/>
    <w:rsid w:val="00F76F2C"/>
    <w:rsid w:val="00F76F6D"/>
    <w:rsid w:val="00F76FB4"/>
    <w:rsid w:val="00F76FDF"/>
    <w:rsid w:val="00F7712E"/>
    <w:rsid w:val="00F772B5"/>
    <w:rsid w:val="00F7736E"/>
    <w:rsid w:val="00F77386"/>
    <w:rsid w:val="00F774A3"/>
    <w:rsid w:val="00F774A4"/>
    <w:rsid w:val="00F774F2"/>
    <w:rsid w:val="00F7756F"/>
    <w:rsid w:val="00F7762B"/>
    <w:rsid w:val="00F77708"/>
    <w:rsid w:val="00F779B4"/>
    <w:rsid w:val="00F779B7"/>
    <w:rsid w:val="00F77AA2"/>
    <w:rsid w:val="00F77D28"/>
    <w:rsid w:val="00F77F56"/>
    <w:rsid w:val="00F80005"/>
    <w:rsid w:val="00F8014A"/>
    <w:rsid w:val="00F80284"/>
    <w:rsid w:val="00F80328"/>
    <w:rsid w:val="00F8043D"/>
    <w:rsid w:val="00F8046C"/>
    <w:rsid w:val="00F8083D"/>
    <w:rsid w:val="00F80A9F"/>
    <w:rsid w:val="00F80ACC"/>
    <w:rsid w:val="00F80B25"/>
    <w:rsid w:val="00F80B46"/>
    <w:rsid w:val="00F80B57"/>
    <w:rsid w:val="00F80CB3"/>
    <w:rsid w:val="00F80DC0"/>
    <w:rsid w:val="00F80DD1"/>
    <w:rsid w:val="00F80DE9"/>
    <w:rsid w:val="00F80FD0"/>
    <w:rsid w:val="00F810AC"/>
    <w:rsid w:val="00F8110D"/>
    <w:rsid w:val="00F8116F"/>
    <w:rsid w:val="00F81175"/>
    <w:rsid w:val="00F8127E"/>
    <w:rsid w:val="00F81336"/>
    <w:rsid w:val="00F816B0"/>
    <w:rsid w:val="00F8179A"/>
    <w:rsid w:val="00F81B85"/>
    <w:rsid w:val="00F81FEF"/>
    <w:rsid w:val="00F82153"/>
    <w:rsid w:val="00F821AE"/>
    <w:rsid w:val="00F82268"/>
    <w:rsid w:val="00F8233B"/>
    <w:rsid w:val="00F82538"/>
    <w:rsid w:val="00F8256E"/>
    <w:rsid w:val="00F825E5"/>
    <w:rsid w:val="00F8280B"/>
    <w:rsid w:val="00F828FE"/>
    <w:rsid w:val="00F82A39"/>
    <w:rsid w:val="00F82A67"/>
    <w:rsid w:val="00F82AA1"/>
    <w:rsid w:val="00F82AA8"/>
    <w:rsid w:val="00F82C58"/>
    <w:rsid w:val="00F82D07"/>
    <w:rsid w:val="00F82DCB"/>
    <w:rsid w:val="00F82E5F"/>
    <w:rsid w:val="00F82EDA"/>
    <w:rsid w:val="00F8305A"/>
    <w:rsid w:val="00F831E8"/>
    <w:rsid w:val="00F83246"/>
    <w:rsid w:val="00F83507"/>
    <w:rsid w:val="00F8352D"/>
    <w:rsid w:val="00F8358A"/>
    <w:rsid w:val="00F83667"/>
    <w:rsid w:val="00F836F6"/>
    <w:rsid w:val="00F8377B"/>
    <w:rsid w:val="00F8389D"/>
    <w:rsid w:val="00F83996"/>
    <w:rsid w:val="00F83AAA"/>
    <w:rsid w:val="00F83B05"/>
    <w:rsid w:val="00F83B4A"/>
    <w:rsid w:val="00F83C0C"/>
    <w:rsid w:val="00F83E60"/>
    <w:rsid w:val="00F83EC0"/>
    <w:rsid w:val="00F84076"/>
    <w:rsid w:val="00F8428D"/>
    <w:rsid w:val="00F8439E"/>
    <w:rsid w:val="00F845F0"/>
    <w:rsid w:val="00F84604"/>
    <w:rsid w:val="00F8463B"/>
    <w:rsid w:val="00F846C8"/>
    <w:rsid w:val="00F84738"/>
    <w:rsid w:val="00F84870"/>
    <w:rsid w:val="00F848CE"/>
    <w:rsid w:val="00F84B65"/>
    <w:rsid w:val="00F84BC4"/>
    <w:rsid w:val="00F84D38"/>
    <w:rsid w:val="00F84D71"/>
    <w:rsid w:val="00F84DE5"/>
    <w:rsid w:val="00F84F43"/>
    <w:rsid w:val="00F84FA1"/>
    <w:rsid w:val="00F85011"/>
    <w:rsid w:val="00F85041"/>
    <w:rsid w:val="00F850BC"/>
    <w:rsid w:val="00F8525F"/>
    <w:rsid w:val="00F8558A"/>
    <w:rsid w:val="00F855B5"/>
    <w:rsid w:val="00F856B3"/>
    <w:rsid w:val="00F8578D"/>
    <w:rsid w:val="00F859B7"/>
    <w:rsid w:val="00F85A68"/>
    <w:rsid w:val="00F85B31"/>
    <w:rsid w:val="00F85B89"/>
    <w:rsid w:val="00F85C92"/>
    <w:rsid w:val="00F85DB8"/>
    <w:rsid w:val="00F85FCF"/>
    <w:rsid w:val="00F86061"/>
    <w:rsid w:val="00F86080"/>
    <w:rsid w:val="00F86246"/>
    <w:rsid w:val="00F862F3"/>
    <w:rsid w:val="00F86328"/>
    <w:rsid w:val="00F863FC"/>
    <w:rsid w:val="00F864E2"/>
    <w:rsid w:val="00F865D0"/>
    <w:rsid w:val="00F866B1"/>
    <w:rsid w:val="00F867C0"/>
    <w:rsid w:val="00F86811"/>
    <w:rsid w:val="00F86841"/>
    <w:rsid w:val="00F86C2E"/>
    <w:rsid w:val="00F86C64"/>
    <w:rsid w:val="00F86CBC"/>
    <w:rsid w:val="00F86DF3"/>
    <w:rsid w:val="00F86FCF"/>
    <w:rsid w:val="00F87080"/>
    <w:rsid w:val="00F870DB"/>
    <w:rsid w:val="00F870EB"/>
    <w:rsid w:val="00F874AF"/>
    <w:rsid w:val="00F8752F"/>
    <w:rsid w:val="00F876B2"/>
    <w:rsid w:val="00F87821"/>
    <w:rsid w:val="00F87851"/>
    <w:rsid w:val="00F8797D"/>
    <w:rsid w:val="00F87BA7"/>
    <w:rsid w:val="00F87BCC"/>
    <w:rsid w:val="00F87C0A"/>
    <w:rsid w:val="00F87DB1"/>
    <w:rsid w:val="00F901FD"/>
    <w:rsid w:val="00F90307"/>
    <w:rsid w:val="00F90397"/>
    <w:rsid w:val="00F903E1"/>
    <w:rsid w:val="00F90692"/>
    <w:rsid w:val="00F9082D"/>
    <w:rsid w:val="00F908D6"/>
    <w:rsid w:val="00F90A11"/>
    <w:rsid w:val="00F90C55"/>
    <w:rsid w:val="00F90CC2"/>
    <w:rsid w:val="00F90DD3"/>
    <w:rsid w:val="00F90E97"/>
    <w:rsid w:val="00F90F61"/>
    <w:rsid w:val="00F91019"/>
    <w:rsid w:val="00F91046"/>
    <w:rsid w:val="00F912E2"/>
    <w:rsid w:val="00F917EE"/>
    <w:rsid w:val="00F91821"/>
    <w:rsid w:val="00F91858"/>
    <w:rsid w:val="00F918F0"/>
    <w:rsid w:val="00F91949"/>
    <w:rsid w:val="00F91A50"/>
    <w:rsid w:val="00F91C8D"/>
    <w:rsid w:val="00F91E3D"/>
    <w:rsid w:val="00F91E7A"/>
    <w:rsid w:val="00F91F36"/>
    <w:rsid w:val="00F91FC4"/>
    <w:rsid w:val="00F92010"/>
    <w:rsid w:val="00F9251B"/>
    <w:rsid w:val="00F92612"/>
    <w:rsid w:val="00F927D6"/>
    <w:rsid w:val="00F927F9"/>
    <w:rsid w:val="00F92801"/>
    <w:rsid w:val="00F92850"/>
    <w:rsid w:val="00F9288E"/>
    <w:rsid w:val="00F928DC"/>
    <w:rsid w:val="00F928FD"/>
    <w:rsid w:val="00F92ADD"/>
    <w:rsid w:val="00F92D49"/>
    <w:rsid w:val="00F92EC5"/>
    <w:rsid w:val="00F92F35"/>
    <w:rsid w:val="00F92F44"/>
    <w:rsid w:val="00F92FC0"/>
    <w:rsid w:val="00F9304A"/>
    <w:rsid w:val="00F930A9"/>
    <w:rsid w:val="00F930E3"/>
    <w:rsid w:val="00F9317B"/>
    <w:rsid w:val="00F9347C"/>
    <w:rsid w:val="00F934CB"/>
    <w:rsid w:val="00F9353F"/>
    <w:rsid w:val="00F936AB"/>
    <w:rsid w:val="00F937BE"/>
    <w:rsid w:val="00F939BA"/>
    <w:rsid w:val="00F93AF3"/>
    <w:rsid w:val="00F93B65"/>
    <w:rsid w:val="00F93C19"/>
    <w:rsid w:val="00F93D09"/>
    <w:rsid w:val="00F93D0F"/>
    <w:rsid w:val="00F93DC6"/>
    <w:rsid w:val="00F93ED8"/>
    <w:rsid w:val="00F940CA"/>
    <w:rsid w:val="00F9414A"/>
    <w:rsid w:val="00F9419A"/>
    <w:rsid w:val="00F94305"/>
    <w:rsid w:val="00F943A5"/>
    <w:rsid w:val="00F94466"/>
    <w:rsid w:val="00F944B0"/>
    <w:rsid w:val="00F9467A"/>
    <w:rsid w:val="00F948C9"/>
    <w:rsid w:val="00F94BD5"/>
    <w:rsid w:val="00F94C7B"/>
    <w:rsid w:val="00F94CC0"/>
    <w:rsid w:val="00F95306"/>
    <w:rsid w:val="00F9530A"/>
    <w:rsid w:val="00F9532A"/>
    <w:rsid w:val="00F95347"/>
    <w:rsid w:val="00F9574E"/>
    <w:rsid w:val="00F957B7"/>
    <w:rsid w:val="00F9589C"/>
    <w:rsid w:val="00F958E9"/>
    <w:rsid w:val="00F95B87"/>
    <w:rsid w:val="00F95CC0"/>
    <w:rsid w:val="00F95CD2"/>
    <w:rsid w:val="00F95D8F"/>
    <w:rsid w:val="00F95DA2"/>
    <w:rsid w:val="00F960FA"/>
    <w:rsid w:val="00F96348"/>
    <w:rsid w:val="00F964AF"/>
    <w:rsid w:val="00F9663A"/>
    <w:rsid w:val="00F9668C"/>
    <w:rsid w:val="00F966A6"/>
    <w:rsid w:val="00F96B08"/>
    <w:rsid w:val="00F96BC8"/>
    <w:rsid w:val="00F96C69"/>
    <w:rsid w:val="00F96D2E"/>
    <w:rsid w:val="00F96D99"/>
    <w:rsid w:val="00F97235"/>
    <w:rsid w:val="00F973A2"/>
    <w:rsid w:val="00F97433"/>
    <w:rsid w:val="00F97566"/>
    <w:rsid w:val="00F9761D"/>
    <w:rsid w:val="00F9775E"/>
    <w:rsid w:val="00F977C6"/>
    <w:rsid w:val="00F977CC"/>
    <w:rsid w:val="00F9791E"/>
    <w:rsid w:val="00F97957"/>
    <w:rsid w:val="00F979F0"/>
    <w:rsid w:val="00F97A74"/>
    <w:rsid w:val="00F97D76"/>
    <w:rsid w:val="00F97F06"/>
    <w:rsid w:val="00F97F35"/>
    <w:rsid w:val="00F97F67"/>
    <w:rsid w:val="00FA00AA"/>
    <w:rsid w:val="00FA00B4"/>
    <w:rsid w:val="00FA02F9"/>
    <w:rsid w:val="00FA0353"/>
    <w:rsid w:val="00FA03C4"/>
    <w:rsid w:val="00FA0618"/>
    <w:rsid w:val="00FA0627"/>
    <w:rsid w:val="00FA0690"/>
    <w:rsid w:val="00FA06A6"/>
    <w:rsid w:val="00FA075F"/>
    <w:rsid w:val="00FA08D1"/>
    <w:rsid w:val="00FA0949"/>
    <w:rsid w:val="00FA0AF8"/>
    <w:rsid w:val="00FA0B7D"/>
    <w:rsid w:val="00FA0F30"/>
    <w:rsid w:val="00FA1003"/>
    <w:rsid w:val="00FA1011"/>
    <w:rsid w:val="00FA1117"/>
    <w:rsid w:val="00FA1164"/>
    <w:rsid w:val="00FA1204"/>
    <w:rsid w:val="00FA1217"/>
    <w:rsid w:val="00FA12F3"/>
    <w:rsid w:val="00FA1360"/>
    <w:rsid w:val="00FA14D5"/>
    <w:rsid w:val="00FA174E"/>
    <w:rsid w:val="00FA1762"/>
    <w:rsid w:val="00FA1984"/>
    <w:rsid w:val="00FA1AAF"/>
    <w:rsid w:val="00FA1B08"/>
    <w:rsid w:val="00FA1BB7"/>
    <w:rsid w:val="00FA1CB7"/>
    <w:rsid w:val="00FA1E8F"/>
    <w:rsid w:val="00FA1EF3"/>
    <w:rsid w:val="00FA20CF"/>
    <w:rsid w:val="00FA21DF"/>
    <w:rsid w:val="00FA25B3"/>
    <w:rsid w:val="00FA262B"/>
    <w:rsid w:val="00FA265E"/>
    <w:rsid w:val="00FA3013"/>
    <w:rsid w:val="00FA3122"/>
    <w:rsid w:val="00FA316B"/>
    <w:rsid w:val="00FA319D"/>
    <w:rsid w:val="00FA337E"/>
    <w:rsid w:val="00FA36D5"/>
    <w:rsid w:val="00FA3766"/>
    <w:rsid w:val="00FA381D"/>
    <w:rsid w:val="00FA38DE"/>
    <w:rsid w:val="00FA3917"/>
    <w:rsid w:val="00FA39DD"/>
    <w:rsid w:val="00FA3A05"/>
    <w:rsid w:val="00FA3A2E"/>
    <w:rsid w:val="00FA3C23"/>
    <w:rsid w:val="00FA3CC3"/>
    <w:rsid w:val="00FA3D39"/>
    <w:rsid w:val="00FA3DA9"/>
    <w:rsid w:val="00FA3E2C"/>
    <w:rsid w:val="00FA3EFD"/>
    <w:rsid w:val="00FA3F7F"/>
    <w:rsid w:val="00FA4164"/>
    <w:rsid w:val="00FA4359"/>
    <w:rsid w:val="00FA451B"/>
    <w:rsid w:val="00FA4883"/>
    <w:rsid w:val="00FA48F7"/>
    <w:rsid w:val="00FA48FD"/>
    <w:rsid w:val="00FA49E6"/>
    <w:rsid w:val="00FA4BDC"/>
    <w:rsid w:val="00FA4CF1"/>
    <w:rsid w:val="00FA4DF6"/>
    <w:rsid w:val="00FA4EEE"/>
    <w:rsid w:val="00FA4F37"/>
    <w:rsid w:val="00FA4F83"/>
    <w:rsid w:val="00FA50DC"/>
    <w:rsid w:val="00FA51FE"/>
    <w:rsid w:val="00FA535C"/>
    <w:rsid w:val="00FA55DE"/>
    <w:rsid w:val="00FA563B"/>
    <w:rsid w:val="00FA5AB8"/>
    <w:rsid w:val="00FA5AB9"/>
    <w:rsid w:val="00FA5B3B"/>
    <w:rsid w:val="00FA5BA1"/>
    <w:rsid w:val="00FA5BB7"/>
    <w:rsid w:val="00FA5D97"/>
    <w:rsid w:val="00FA5FD7"/>
    <w:rsid w:val="00FA5FF9"/>
    <w:rsid w:val="00FA6038"/>
    <w:rsid w:val="00FA605D"/>
    <w:rsid w:val="00FA6179"/>
    <w:rsid w:val="00FA617E"/>
    <w:rsid w:val="00FA6235"/>
    <w:rsid w:val="00FA6366"/>
    <w:rsid w:val="00FA65FD"/>
    <w:rsid w:val="00FA6635"/>
    <w:rsid w:val="00FA676D"/>
    <w:rsid w:val="00FA679E"/>
    <w:rsid w:val="00FA67A5"/>
    <w:rsid w:val="00FA68C9"/>
    <w:rsid w:val="00FA6A11"/>
    <w:rsid w:val="00FA6B70"/>
    <w:rsid w:val="00FA6D65"/>
    <w:rsid w:val="00FA6DD1"/>
    <w:rsid w:val="00FA6E67"/>
    <w:rsid w:val="00FA7017"/>
    <w:rsid w:val="00FA710D"/>
    <w:rsid w:val="00FA71A9"/>
    <w:rsid w:val="00FA7538"/>
    <w:rsid w:val="00FA7548"/>
    <w:rsid w:val="00FA76D7"/>
    <w:rsid w:val="00FA76E2"/>
    <w:rsid w:val="00FA7730"/>
    <w:rsid w:val="00FA7B39"/>
    <w:rsid w:val="00FB01A6"/>
    <w:rsid w:val="00FB030D"/>
    <w:rsid w:val="00FB05D2"/>
    <w:rsid w:val="00FB067F"/>
    <w:rsid w:val="00FB0F2E"/>
    <w:rsid w:val="00FB0F6C"/>
    <w:rsid w:val="00FB101A"/>
    <w:rsid w:val="00FB10C7"/>
    <w:rsid w:val="00FB11FD"/>
    <w:rsid w:val="00FB127A"/>
    <w:rsid w:val="00FB1327"/>
    <w:rsid w:val="00FB136C"/>
    <w:rsid w:val="00FB1436"/>
    <w:rsid w:val="00FB14D7"/>
    <w:rsid w:val="00FB14E0"/>
    <w:rsid w:val="00FB159C"/>
    <w:rsid w:val="00FB1636"/>
    <w:rsid w:val="00FB166A"/>
    <w:rsid w:val="00FB18AF"/>
    <w:rsid w:val="00FB19E1"/>
    <w:rsid w:val="00FB1BBD"/>
    <w:rsid w:val="00FB1C05"/>
    <w:rsid w:val="00FB1E02"/>
    <w:rsid w:val="00FB1F1B"/>
    <w:rsid w:val="00FB2128"/>
    <w:rsid w:val="00FB2155"/>
    <w:rsid w:val="00FB2237"/>
    <w:rsid w:val="00FB22CB"/>
    <w:rsid w:val="00FB24C0"/>
    <w:rsid w:val="00FB2547"/>
    <w:rsid w:val="00FB26E5"/>
    <w:rsid w:val="00FB270F"/>
    <w:rsid w:val="00FB2C76"/>
    <w:rsid w:val="00FB2E60"/>
    <w:rsid w:val="00FB3082"/>
    <w:rsid w:val="00FB3467"/>
    <w:rsid w:val="00FB3743"/>
    <w:rsid w:val="00FB38E5"/>
    <w:rsid w:val="00FB3BFA"/>
    <w:rsid w:val="00FB3DB9"/>
    <w:rsid w:val="00FB3E29"/>
    <w:rsid w:val="00FB3EC5"/>
    <w:rsid w:val="00FB3EF4"/>
    <w:rsid w:val="00FB3F0F"/>
    <w:rsid w:val="00FB3FE0"/>
    <w:rsid w:val="00FB3FE8"/>
    <w:rsid w:val="00FB400F"/>
    <w:rsid w:val="00FB407F"/>
    <w:rsid w:val="00FB40B9"/>
    <w:rsid w:val="00FB412B"/>
    <w:rsid w:val="00FB4190"/>
    <w:rsid w:val="00FB422E"/>
    <w:rsid w:val="00FB44D7"/>
    <w:rsid w:val="00FB45D8"/>
    <w:rsid w:val="00FB46ED"/>
    <w:rsid w:val="00FB48DA"/>
    <w:rsid w:val="00FB4B8A"/>
    <w:rsid w:val="00FB4DF5"/>
    <w:rsid w:val="00FB4EFD"/>
    <w:rsid w:val="00FB4F0A"/>
    <w:rsid w:val="00FB4F5E"/>
    <w:rsid w:val="00FB4F67"/>
    <w:rsid w:val="00FB4F90"/>
    <w:rsid w:val="00FB50D6"/>
    <w:rsid w:val="00FB51AA"/>
    <w:rsid w:val="00FB530E"/>
    <w:rsid w:val="00FB53FB"/>
    <w:rsid w:val="00FB54D7"/>
    <w:rsid w:val="00FB5500"/>
    <w:rsid w:val="00FB5565"/>
    <w:rsid w:val="00FB55B6"/>
    <w:rsid w:val="00FB5627"/>
    <w:rsid w:val="00FB5775"/>
    <w:rsid w:val="00FB57F0"/>
    <w:rsid w:val="00FB5AA1"/>
    <w:rsid w:val="00FB5AF0"/>
    <w:rsid w:val="00FB5B4A"/>
    <w:rsid w:val="00FB5C96"/>
    <w:rsid w:val="00FB5D3B"/>
    <w:rsid w:val="00FB5D3E"/>
    <w:rsid w:val="00FB5D9C"/>
    <w:rsid w:val="00FB5EFF"/>
    <w:rsid w:val="00FB5F56"/>
    <w:rsid w:val="00FB5F8F"/>
    <w:rsid w:val="00FB617F"/>
    <w:rsid w:val="00FB61E8"/>
    <w:rsid w:val="00FB633E"/>
    <w:rsid w:val="00FB643B"/>
    <w:rsid w:val="00FB647B"/>
    <w:rsid w:val="00FB64D5"/>
    <w:rsid w:val="00FB64DB"/>
    <w:rsid w:val="00FB6635"/>
    <w:rsid w:val="00FB667B"/>
    <w:rsid w:val="00FB69A5"/>
    <w:rsid w:val="00FB69DA"/>
    <w:rsid w:val="00FB6A8D"/>
    <w:rsid w:val="00FB6AB4"/>
    <w:rsid w:val="00FB6AF5"/>
    <w:rsid w:val="00FB6C0F"/>
    <w:rsid w:val="00FB6C4A"/>
    <w:rsid w:val="00FB6D07"/>
    <w:rsid w:val="00FB6E29"/>
    <w:rsid w:val="00FB6FEF"/>
    <w:rsid w:val="00FB70B2"/>
    <w:rsid w:val="00FB7308"/>
    <w:rsid w:val="00FB7310"/>
    <w:rsid w:val="00FB740D"/>
    <w:rsid w:val="00FB7467"/>
    <w:rsid w:val="00FB74B2"/>
    <w:rsid w:val="00FB76DC"/>
    <w:rsid w:val="00FB7AAC"/>
    <w:rsid w:val="00FB7B23"/>
    <w:rsid w:val="00FB7BD8"/>
    <w:rsid w:val="00FB7BFA"/>
    <w:rsid w:val="00FB7CA9"/>
    <w:rsid w:val="00FB7D3B"/>
    <w:rsid w:val="00FB7E3E"/>
    <w:rsid w:val="00FB7E6D"/>
    <w:rsid w:val="00FB7EA4"/>
    <w:rsid w:val="00FB7ED3"/>
    <w:rsid w:val="00FB7FEB"/>
    <w:rsid w:val="00FC00B3"/>
    <w:rsid w:val="00FC07A3"/>
    <w:rsid w:val="00FC092D"/>
    <w:rsid w:val="00FC0B69"/>
    <w:rsid w:val="00FC0BDB"/>
    <w:rsid w:val="00FC0D60"/>
    <w:rsid w:val="00FC0DD5"/>
    <w:rsid w:val="00FC0F8F"/>
    <w:rsid w:val="00FC10D0"/>
    <w:rsid w:val="00FC11ED"/>
    <w:rsid w:val="00FC121F"/>
    <w:rsid w:val="00FC1246"/>
    <w:rsid w:val="00FC12FD"/>
    <w:rsid w:val="00FC143E"/>
    <w:rsid w:val="00FC14B3"/>
    <w:rsid w:val="00FC14B5"/>
    <w:rsid w:val="00FC17C0"/>
    <w:rsid w:val="00FC17C5"/>
    <w:rsid w:val="00FC1866"/>
    <w:rsid w:val="00FC1899"/>
    <w:rsid w:val="00FC1979"/>
    <w:rsid w:val="00FC1B99"/>
    <w:rsid w:val="00FC1E0A"/>
    <w:rsid w:val="00FC2052"/>
    <w:rsid w:val="00FC208B"/>
    <w:rsid w:val="00FC2188"/>
    <w:rsid w:val="00FC22AA"/>
    <w:rsid w:val="00FC23B3"/>
    <w:rsid w:val="00FC23DA"/>
    <w:rsid w:val="00FC27A9"/>
    <w:rsid w:val="00FC2831"/>
    <w:rsid w:val="00FC2868"/>
    <w:rsid w:val="00FC2A06"/>
    <w:rsid w:val="00FC2C48"/>
    <w:rsid w:val="00FC2D92"/>
    <w:rsid w:val="00FC2E7F"/>
    <w:rsid w:val="00FC2ED7"/>
    <w:rsid w:val="00FC3034"/>
    <w:rsid w:val="00FC312A"/>
    <w:rsid w:val="00FC325E"/>
    <w:rsid w:val="00FC33F0"/>
    <w:rsid w:val="00FC340E"/>
    <w:rsid w:val="00FC3445"/>
    <w:rsid w:val="00FC348A"/>
    <w:rsid w:val="00FC36F3"/>
    <w:rsid w:val="00FC3896"/>
    <w:rsid w:val="00FC3952"/>
    <w:rsid w:val="00FC3B42"/>
    <w:rsid w:val="00FC3C04"/>
    <w:rsid w:val="00FC3EC6"/>
    <w:rsid w:val="00FC4034"/>
    <w:rsid w:val="00FC409E"/>
    <w:rsid w:val="00FC485C"/>
    <w:rsid w:val="00FC4864"/>
    <w:rsid w:val="00FC48BE"/>
    <w:rsid w:val="00FC4AAC"/>
    <w:rsid w:val="00FC4B1A"/>
    <w:rsid w:val="00FC4C4C"/>
    <w:rsid w:val="00FC4DE7"/>
    <w:rsid w:val="00FC4E67"/>
    <w:rsid w:val="00FC502C"/>
    <w:rsid w:val="00FC51E6"/>
    <w:rsid w:val="00FC5241"/>
    <w:rsid w:val="00FC528F"/>
    <w:rsid w:val="00FC54A9"/>
    <w:rsid w:val="00FC5ABC"/>
    <w:rsid w:val="00FC5AEC"/>
    <w:rsid w:val="00FC5F61"/>
    <w:rsid w:val="00FC5F96"/>
    <w:rsid w:val="00FC600E"/>
    <w:rsid w:val="00FC61F0"/>
    <w:rsid w:val="00FC6332"/>
    <w:rsid w:val="00FC6426"/>
    <w:rsid w:val="00FC64BB"/>
    <w:rsid w:val="00FC64FE"/>
    <w:rsid w:val="00FC65E2"/>
    <w:rsid w:val="00FC66D8"/>
    <w:rsid w:val="00FC6720"/>
    <w:rsid w:val="00FC69ED"/>
    <w:rsid w:val="00FC6A99"/>
    <w:rsid w:val="00FC6AAD"/>
    <w:rsid w:val="00FC6AF8"/>
    <w:rsid w:val="00FC6B1D"/>
    <w:rsid w:val="00FC6C4C"/>
    <w:rsid w:val="00FC6D03"/>
    <w:rsid w:val="00FC735F"/>
    <w:rsid w:val="00FC73A8"/>
    <w:rsid w:val="00FC74D0"/>
    <w:rsid w:val="00FC7715"/>
    <w:rsid w:val="00FC7755"/>
    <w:rsid w:val="00FC781F"/>
    <w:rsid w:val="00FC7C4C"/>
    <w:rsid w:val="00FC7CE6"/>
    <w:rsid w:val="00FC7DAA"/>
    <w:rsid w:val="00FC7DB9"/>
    <w:rsid w:val="00FC7FA4"/>
    <w:rsid w:val="00FD0236"/>
    <w:rsid w:val="00FD024F"/>
    <w:rsid w:val="00FD0304"/>
    <w:rsid w:val="00FD030B"/>
    <w:rsid w:val="00FD044A"/>
    <w:rsid w:val="00FD045A"/>
    <w:rsid w:val="00FD053C"/>
    <w:rsid w:val="00FD059E"/>
    <w:rsid w:val="00FD061F"/>
    <w:rsid w:val="00FD0754"/>
    <w:rsid w:val="00FD099F"/>
    <w:rsid w:val="00FD0B7C"/>
    <w:rsid w:val="00FD0B98"/>
    <w:rsid w:val="00FD0C06"/>
    <w:rsid w:val="00FD0D0F"/>
    <w:rsid w:val="00FD0D88"/>
    <w:rsid w:val="00FD0F50"/>
    <w:rsid w:val="00FD113D"/>
    <w:rsid w:val="00FD1207"/>
    <w:rsid w:val="00FD13EE"/>
    <w:rsid w:val="00FD1464"/>
    <w:rsid w:val="00FD1565"/>
    <w:rsid w:val="00FD15F7"/>
    <w:rsid w:val="00FD1615"/>
    <w:rsid w:val="00FD16F2"/>
    <w:rsid w:val="00FD1715"/>
    <w:rsid w:val="00FD17AB"/>
    <w:rsid w:val="00FD1DA5"/>
    <w:rsid w:val="00FD1F02"/>
    <w:rsid w:val="00FD1F8E"/>
    <w:rsid w:val="00FD21B2"/>
    <w:rsid w:val="00FD2362"/>
    <w:rsid w:val="00FD2397"/>
    <w:rsid w:val="00FD2406"/>
    <w:rsid w:val="00FD251E"/>
    <w:rsid w:val="00FD2670"/>
    <w:rsid w:val="00FD26F4"/>
    <w:rsid w:val="00FD27A8"/>
    <w:rsid w:val="00FD27D5"/>
    <w:rsid w:val="00FD27ED"/>
    <w:rsid w:val="00FD28BA"/>
    <w:rsid w:val="00FD2945"/>
    <w:rsid w:val="00FD2ABE"/>
    <w:rsid w:val="00FD2B7B"/>
    <w:rsid w:val="00FD2B9E"/>
    <w:rsid w:val="00FD2D6D"/>
    <w:rsid w:val="00FD2E68"/>
    <w:rsid w:val="00FD2EA0"/>
    <w:rsid w:val="00FD2EE8"/>
    <w:rsid w:val="00FD306F"/>
    <w:rsid w:val="00FD3243"/>
    <w:rsid w:val="00FD3333"/>
    <w:rsid w:val="00FD35AD"/>
    <w:rsid w:val="00FD36FE"/>
    <w:rsid w:val="00FD380B"/>
    <w:rsid w:val="00FD3927"/>
    <w:rsid w:val="00FD396F"/>
    <w:rsid w:val="00FD3A0F"/>
    <w:rsid w:val="00FD3A10"/>
    <w:rsid w:val="00FD3A26"/>
    <w:rsid w:val="00FD3E16"/>
    <w:rsid w:val="00FD3F08"/>
    <w:rsid w:val="00FD4238"/>
    <w:rsid w:val="00FD42DE"/>
    <w:rsid w:val="00FD463D"/>
    <w:rsid w:val="00FD47C8"/>
    <w:rsid w:val="00FD48D6"/>
    <w:rsid w:val="00FD4A14"/>
    <w:rsid w:val="00FD4A60"/>
    <w:rsid w:val="00FD4B43"/>
    <w:rsid w:val="00FD4BCC"/>
    <w:rsid w:val="00FD4E2D"/>
    <w:rsid w:val="00FD4FFA"/>
    <w:rsid w:val="00FD508C"/>
    <w:rsid w:val="00FD5095"/>
    <w:rsid w:val="00FD5111"/>
    <w:rsid w:val="00FD51A2"/>
    <w:rsid w:val="00FD529A"/>
    <w:rsid w:val="00FD53F2"/>
    <w:rsid w:val="00FD5497"/>
    <w:rsid w:val="00FD5546"/>
    <w:rsid w:val="00FD56B9"/>
    <w:rsid w:val="00FD56F4"/>
    <w:rsid w:val="00FD575A"/>
    <w:rsid w:val="00FD587C"/>
    <w:rsid w:val="00FD5886"/>
    <w:rsid w:val="00FD5B65"/>
    <w:rsid w:val="00FD5CA5"/>
    <w:rsid w:val="00FD5CB3"/>
    <w:rsid w:val="00FD5CD0"/>
    <w:rsid w:val="00FD5D1A"/>
    <w:rsid w:val="00FD5E51"/>
    <w:rsid w:val="00FD5F3E"/>
    <w:rsid w:val="00FD60B5"/>
    <w:rsid w:val="00FD617C"/>
    <w:rsid w:val="00FD62FE"/>
    <w:rsid w:val="00FD63FE"/>
    <w:rsid w:val="00FD6675"/>
    <w:rsid w:val="00FD68CD"/>
    <w:rsid w:val="00FD6ACE"/>
    <w:rsid w:val="00FD6AE3"/>
    <w:rsid w:val="00FD6D55"/>
    <w:rsid w:val="00FD6DB7"/>
    <w:rsid w:val="00FD6FBF"/>
    <w:rsid w:val="00FD70D9"/>
    <w:rsid w:val="00FD70F6"/>
    <w:rsid w:val="00FD7276"/>
    <w:rsid w:val="00FD7297"/>
    <w:rsid w:val="00FD7353"/>
    <w:rsid w:val="00FD7369"/>
    <w:rsid w:val="00FD74CC"/>
    <w:rsid w:val="00FD760E"/>
    <w:rsid w:val="00FD7787"/>
    <w:rsid w:val="00FD77E9"/>
    <w:rsid w:val="00FD7964"/>
    <w:rsid w:val="00FD798E"/>
    <w:rsid w:val="00FD7B9D"/>
    <w:rsid w:val="00FD7C3E"/>
    <w:rsid w:val="00FD7E70"/>
    <w:rsid w:val="00FE0286"/>
    <w:rsid w:val="00FE03A4"/>
    <w:rsid w:val="00FE04DB"/>
    <w:rsid w:val="00FE07B6"/>
    <w:rsid w:val="00FE0942"/>
    <w:rsid w:val="00FE0A98"/>
    <w:rsid w:val="00FE0BF3"/>
    <w:rsid w:val="00FE0CEB"/>
    <w:rsid w:val="00FE0D17"/>
    <w:rsid w:val="00FE0DF6"/>
    <w:rsid w:val="00FE0EA6"/>
    <w:rsid w:val="00FE0ED2"/>
    <w:rsid w:val="00FE0F67"/>
    <w:rsid w:val="00FE13B0"/>
    <w:rsid w:val="00FE15FB"/>
    <w:rsid w:val="00FE1873"/>
    <w:rsid w:val="00FE1908"/>
    <w:rsid w:val="00FE19D7"/>
    <w:rsid w:val="00FE1A26"/>
    <w:rsid w:val="00FE1B36"/>
    <w:rsid w:val="00FE1DE2"/>
    <w:rsid w:val="00FE1E19"/>
    <w:rsid w:val="00FE206D"/>
    <w:rsid w:val="00FE21B6"/>
    <w:rsid w:val="00FE21CF"/>
    <w:rsid w:val="00FE222F"/>
    <w:rsid w:val="00FE22B7"/>
    <w:rsid w:val="00FE2403"/>
    <w:rsid w:val="00FE25FC"/>
    <w:rsid w:val="00FE26B7"/>
    <w:rsid w:val="00FE2715"/>
    <w:rsid w:val="00FE2946"/>
    <w:rsid w:val="00FE2C37"/>
    <w:rsid w:val="00FE2C8A"/>
    <w:rsid w:val="00FE2D4F"/>
    <w:rsid w:val="00FE2E35"/>
    <w:rsid w:val="00FE2EFC"/>
    <w:rsid w:val="00FE3080"/>
    <w:rsid w:val="00FE32F6"/>
    <w:rsid w:val="00FE33BD"/>
    <w:rsid w:val="00FE3438"/>
    <w:rsid w:val="00FE3447"/>
    <w:rsid w:val="00FE345D"/>
    <w:rsid w:val="00FE37D1"/>
    <w:rsid w:val="00FE3A9B"/>
    <w:rsid w:val="00FE3B66"/>
    <w:rsid w:val="00FE3C9A"/>
    <w:rsid w:val="00FE3D8E"/>
    <w:rsid w:val="00FE3F6C"/>
    <w:rsid w:val="00FE408A"/>
    <w:rsid w:val="00FE41BE"/>
    <w:rsid w:val="00FE41CB"/>
    <w:rsid w:val="00FE41D7"/>
    <w:rsid w:val="00FE4354"/>
    <w:rsid w:val="00FE461A"/>
    <w:rsid w:val="00FE4776"/>
    <w:rsid w:val="00FE47AA"/>
    <w:rsid w:val="00FE48F1"/>
    <w:rsid w:val="00FE4A70"/>
    <w:rsid w:val="00FE4E62"/>
    <w:rsid w:val="00FE501D"/>
    <w:rsid w:val="00FE50BC"/>
    <w:rsid w:val="00FE52DA"/>
    <w:rsid w:val="00FE53A7"/>
    <w:rsid w:val="00FE5496"/>
    <w:rsid w:val="00FE5616"/>
    <w:rsid w:val="00FE587D"/>
    <w:rsid w:val="00FE5B23"/>
    <w:rsid w:val="00FE5C47"/>
    <w:rsid w:val="00FE5E07"/>
    <w:rsid w:val="00FE5E0B"/>
    <w:rsid w:val="00FE5EC3"/>
    <w:rsid w:val="00FE5EFF"/>
    <w:rsid w:val="00FE603C"/>
    <w:rsid w:val="00FE64BC"/>
    <w:rsid w:val="00FE6559"/>
    <w:rsid w:val="00FE6627"/>
    <w:rsid w:val="00FE66FF"/>
    <w:rsid w:val="00FE690D"/>
    <w:rsid w:val="00FE6B07"/>
    <w:rsid w:val="00FE6C3B"/>
    <w:rsid w:val="00FE6C9B"/>
    <w:rsid w:val="00FE6CAD"/>
    <w:rsid w:val="00FE6E31"/>
    <w:rsid w:val="00FE6E76"/>
    <w:rsid w:val="00FE715B"/>
    <w:rsid w:val="00FE7174"/>
    <w:rsid w:val="00FE71F9"/>
    <w:rsid w:val="00FE746E"/>
    <w:rsid w:val="00FE76F1"/>
    <w:rsid w:val="00FE787D"/>
    <w:rsid w:val="00FE7C1A"/>
    <w:rsid w:val="00FE7DC0"/>
    <w:rsid w:val="00FE7F72"/>
    <w:rsid w:val="00FF003D"/>
    <w:rsid w:val="00FF0052"/>
    <w:rsid w:val="00FF00CC"/>
    <w:rsid w:val="00FF01AF"/>
    <w:rsid w:val="00FF0376"/>
    <w:rsid w:val="00FF0453"/>
    <w:rsid w:val="00FF04DD"/>
    <w:rsid w:val="00FF0687"/>
    <w:rsid w:val="00FF070C"/>
    <w:rsid w:val="00FF0738"/>
    <w:rsid w:val="00FF0743"/>
    <w:rsid w:val="00FF0BFA"/>
    <w:rsid w:val="00FF0CDC"/>
    <w:rsid w:val="00FF0E44"/>
    <w:rsid w:val="00FF0F26"/>
    <w:rsid w:val="00FF10C6"/>
    <w:rsid w:val="00FF12FB"/>
    <w:rsid w:val="00FF1358"/>
    <w:rsid w:val="00FF14C9"/>
    <w:rsid w:val="00FF16FF"/>
    <w:rsid w:val="00FF17A9"/>
    <w:rsid w:val="00FF1813"/>
    <w:rsid w:val="00FF1897"/>
    <w:rsid w:val="00FF19C3"/>
    <w:rsid w:val="00FF19DA"/>
    <w:rsid w:val="00FF1A81"/>
    <w:rsid w:val="00FF1AE8"/>
    <w:rsid w:val="00FF1EA0"/>
    <w:rsid w:val="00FF2249"/>
    <w:rsid w:val="00FF25E0"/>
    <w:rsid w:val="00FF268C"/>
    <w:rsid w:val="00FF28C6"/>
    <w:rsid w:val="00FF28CC"/>
    <w:rsid w:val="00FF2973"/>
    <w:rsid w:val="00FF29F4"/>
    <w:rsid w:val="00FF2B09"/>
    <w:rsid w:val="00FF2F01"/>
    <w:rsid w:val="00FF2F69"/>
    <w:rsid w:val="00FF2FEE"/>
    <w:rsid w:val="00FF2FFA"/>
    <w:rsid w:val="00FF302C"/>
    <w:rsid w:val="00FF3160"/>
    <w:rsid w:val="00FF32FE"/>
    <w:rsid w:val="00FF332D"/>
    <w:rsid w:val="00FF3685"/>
    <w:rsid w:val="00FF36E7"/>
    <w:rsid w:val="00FF3703"/>
    <w:rsid w:val="00FF3788"/>
    <w:rsid w:val="00FF3847"/>
    <w:rsid w:val="00FF3977"/>
    <w:rsid w:val="00FF3B85"/>
    <w:rsid w:val="00FF3D0A"/>
    <w:rsid w:val="00FF40B5"/>
    <w:rsid w:val="00FF40BC"/>
    <w:rsid w:val="00FF41F6"/>
    <w:rsid w:val="00FF44A5"/>
    <w:rsid w:val="00FF466E"/>
    <w:rsid w:val="00FF4A61"/>
    <w:rsid w:val="00FF4AD2"/>
    <w:rsid w:val="00FF4DC6"/>
    <w:rsid w:val="00FF4DE1"/>
    <w:rsid w:val="00FF54C3"/>
    <w:rsid w:val="00FF5533"/>
    <w:rsid w:val="00FF5572"/>
    <w:rsid w:val="00FF5657"/>
    <w:rsid w:val="00FF56B2"/>
    <w:rsid w:val="00FF56B8"/>
    <w:rsid w:val="00FF56DD"/>
    <w:rsid w:val="00FF57B7"/>
    <w:rsid w:val="00FF581D"/>
    <w:rsid w:val="00FF58F9"/>
    <w:rsid w:val="00FF5B57"/>
    <w:rsid w:val="00FF5C91"/>
    <w:rsid w:val="00FF5CDB"/>
    <w:rsid w:val="00FF5CE8"/>
    <w:rsid w:val="00FF5D0C"/>
    <w:rsid w:val="00FF5D23"/>
    <w:rsid w:val="00FF5E38"/>
    <w:rsid w:val="00FF5FD9"/>
    <w:rsid w:val="00FF60C6"/>
    <w:rsid w:val="00FF6149"/>
    <w:rsid w:val="00FF6201"/>
    <w:rsid w:val="00FF63DA"/>
    <w:rsid w:val="00FF6402"/>
    <w:rsid w:val="00FF643D"/>
    <w:rsid w:val="00FF64B5"/>
    <w:rsid w:val="00FF662B"/>
    <w:rsid w:val="00FF6996"/>
    <w:rsid w:val="00FF69D1"/>
    <w:rsid w:val="00FF6A14"/>
    <w:rsid w:val="00FF6D3A"/>
    <w:rsid w:val="00FF6E25"/>
    <w:rsid w:val="00FF7016"/>
    <w:rsid w:val="00FF7023"/>
    <w:rsid w:val="00FF716E"/>
    <w:rsid w:val="00FF7226"/>
    <w:rsid w:val="00FF722D"/>
    <w:rsid w:val="00FF7264"/>
    <w:rsid w:val="00FF72F7"/>
    <w:rsid w:val="00FF73E2"/>
    <w:rsid w:val="00FF775A"/>
    <w:rsid w:val="00FF77B0"/>
    <w:rsid w:val="00FF7B69"/>
    <w:rsid w:val="00FF7B96"/>
    <w:rsid w:val="00FF7D04"/>
    <w:rsid w:val="00FF7F38"/>
    <w:rsid w:val="012751B1"/>
    <w:rsid w:val="01287FD2"/>
    <w:rsid w:val="01306A14"/>
    <w:rsid w:val="014B0662"/>
    <w:rsid w:val="023B0D07"/>
    <w:rsid w:val="026EC3E7"/>
    <w:rsid w:val="026EF7EC"/>
    <w:rsid w:val="041DED63"/>
    <w:rsid w:val="0477D20A"/>
    <w:rsid w:val="047BD191"/>
    <w:rsid w:val="04E1F43C"/>
    <w:rsid w:val="05AB3860"/>
    <w:rsid w:val="06357933"/>
    <w:rsid w:val="0637A60B"/>
    <w:rsid w:val="06DF1795"/>
    <w:rsid w:val="07110815"/>
    <w:rsid w:val="07EC87AD"/>
    <w:rsid w:val="086A90B3"/>
    <w:rsid w:val="092D3B2C"/>
    <w:rsid w:val="0A585AB5"/>
    <w:rsid w:val="0B20EA47"/>
    <w:rsid w:val="0B417B49"/>
    <w:rsid w:val="0B619471"/>
    <w:rsid w:val="0BD7C664"/>
    <w:rsid w:val="0D2BC59B"/>
    <w:rsid w:val="0DBF3DA0"/>
    <w:rsid w:val="0DF1A59A"/>
    <w:rsid w:val="0E8AADEC"/>
    <w:rsid w:val="0F2CEBBE"/>
    <w:rsid w:val="100412F8"/>
    <w:rsid w:val="101CE64E"/>
    <w:rsid w:val="105C9608"/>
    <w:rsid w:val="107892BB"/>
    <w:rsid w:val="10C7A66C"/>
    <w:rsid w:val="1161D4A1"/>
    <w:rsid w:val="122D231C"/>
    <w:rsid w:val="124481E8"/>
    <w:rsid w:val="124548DB"/>
    <w:rsid w:val="1252FA5B"/>
    <w:rsid w:val="13351389"/>
    <w:rsid w:val="1363F5DC"/>
    <w:rsid w:val="1391D8A8"/>
    <w:rsid w:val="13F2CF84"/>
    <w:rsid w:val="1423F091"/>
    <w:rsid w:val="156355FD"/>
    <w:rsid w:val="1587BC22"/>
    <w:rsid w:val="15C1E88D"/>
    <w:rsid w:val="15CD3E06"/>
    <w:rsid w:val="160A1623"/>
    <w:rsid w:val="16502B29"/>
    <w:rsid w:val="168D0D2B"/>
    <w:rsid w:val="16A64607"/>
    <w:rsid w:val="1773B8F1"/>
    <w:rsid w:val="17B77B23"/>
    <w:rsid w:val="17CA57B7"/>
    <w:rsid w:val="182339B2"/>
    <w:rsid w:val="1848546E"/>
    <w:rsid w:val="18C6A407"/>
    <w:rsid w:val="19243773"/>
    <w:rsid w:val="19D2CAFE"/>
    <w:rsid w:val="1A7B5175"/>
    <w:rsid w:val="1AAD9845"/>
    <w:rsid w:val="1AED7CE3"/>
    <w:rsid w:val="1BAA354F"/>
    <w:rsid w:val="1BB8B060"/>
    <w:rsid w:val="1C0BD9AA"/>
    <w:rsid w:val="1C1D3FB1"/>
    <w:rsid w:val="1C964A34"/>
    <w:rsid w:val="1CE103BA"/>
    <w:rsid w:val="1D54AFC4"/>
    <w:rsid w:val="1EF9D047"/>
    <w:rsid w:val="1F26F7FD"/>
    <w:rsid w:val="1F4EB9A7"/>
    <w:rsid w:val="1FAA5289"/>
    <w:rsid w:val="20148E2F"/>
    <w:rsid w:val="2031DAB2"/>
    <w:rsid w:val="20388257"/>
    <w:rsid w:val="206E561F"/>
    <w:rsid w:val="207A1A57"/>
    <w:rsid w:val="20B2B596"/>
    <w:rsid w:val="20B8AAD2"/>
    <w:rsid w:val="20D2447C"/>
    <w:rsid w:val="2149A26D"/>
    <w:rsid w:val="219A070C"/>
    <w:rsid w:val="22C733D2"/>
    <w:rsid w:val="230CF7CC"/>
    <w:rsid w:val="237F1C3F"/>
    <w:rsid w:val="241D5E58"/>
    <w:rsid w:val="242FAC1C"/>
    <w:rsid w:val="2435AADF"/>
    <w:rsid w:val="247E10ED"/>
    <w:rsid w:val="251F3D84"/>
    <w:rsid w:val="26C442A6"/>
    <w:rsid w:val="27B152F5"/>
    <w:rsid w:val="2856DE46"/>
    <w:rsid w:val="28651A76"/>
    <w:rsid w:val="28939A15"/>
    <w:rsid w:val="28CE0431"/>
    <w:rsid w:val="29258F54"/>
    <w:rsid w:val="29C5DE5B"/>
    <w:rsid w:val="2A1CCD0E"/>
    <w:rsid w:val="2B3BE7E1"/>
    <w:rsid w:val="2BE1F088"/>
    <w:rsid w:val="2C446EBD"/>
    <w:rsid w:val="2C4927BC"/>
    <w:rsid w:val="2C52658F"/>
    <w:rsid w:val="2C7B992D"/>
    <w:rsid w:val="2D022E51"/>
    <w:rsid w:val="2D0474E1"/>
    <w:rsid w:val="2D2847D7"/>
    <w:rsid w:val="2D41898C"/>
    <w:rsid w:val="302433B5"/>
    <w:rsid w:val="31621881"/>
    <w:rsid w:val="31B9D3BF"/>
    <w:rsid w:val="31FB1473"/>
    <w:rsid w:val="3296F5B1"/>
    <w:rsid w:val="32CDC7A7"/>
    <w:rsid w:val="32E76D4E"/>
    <w:rsid w:val="3379A2C6"/>
    <w:rsid w:val="33ECC7ED"/>
    <w:rsid w:val="343CD8FE"/>
    <w:rsid w:val="34593B0A"/>
    <w:rsid w:val="3507DBF6"/>
    <w:rsid w:val="359728AD"/>
    <w:rsid w:val="35B7A3A4"/>
    <w:rsid w:val="35F22537"/>
    <w:rsid w:val="373137D4"/>
    <w:rsid w:val="376FBB0F"/>
    <w:rsid w:val="379C3824"/>
    <w:rsid w:val="37A17517"/>
    <w:rsid w:val="37F9FB55"/>
    <w:rsid w:val="3954F977"/>
    <w:rsid w:val="398BE059"/>
    <w:rsid w:val="399DD2E9"/>
    <w:rsid w:val="39B78777"/>
    <w:rsid w:val="3A3E26D1"/>
    <w:rsid w:val="3A8E3B2D"/>
    <w:rsid w:val="3B4A5939"/>
    <w:rsid w:val="3B99D2FD"/>
    <w:rsid w:val="3BF4EB4B"/>
    <w:rsid w:val="3CE55015"/>
    <w:rsid w:val="3D42206B"/>
    <w:rsid w:val="3D93EC81"/>
    <w:rsid w:val="3E005E4A"/>
    <w:rsid w:val="3EB65AEA"/>
    <w:rsid w:val="3EB7E122"/>
    <w:rsid w:val="3FFCA37F"/>
    <w:rsid w:val="406653B4"/>
    <w:rsid w:val="408C3B2A"/>
    <w:rsid w:val="40914D65"/>
    <w:rsid w:val="413F86F0"/>
    <w:rsid w:val="414C830D"/>
    <w:rsid w:val="42157E23"/>
    <w:rsid w:val="4244DE8A"/>
    <w:rsid w:val="42A20EB6"/>
    <w:rsid w:val="42C8EDE6"/>
    <w:rsid w:val="454CC51B"/>
    <w:rsid w:val="462F7C0B"/>
    <w:rsid w:val="47C2E30F"/>
    <w:rsid w:val="47F77D2C"/>
    <w:rsid w:val="47FC1C4D"/>
    <w:rsid w:val="4822FF27"/>
    <w:rsid w:val="48C25E9F"/>
    <w:rsid w:val="49CC3FAB"/>
    <w:rsid w:val="4A109F99"/>
    <w:rsid w:val="4A875D41"/>
    <w:rsid w:val="4A90C939"/>
    <w:rsid w:val="4A91CB10"/>
    <w:rsid w:val="4B17F4F5"/>
    <w:rsid w:val="4B24BCFC"/>
    <w:rsid w:val="4BC3E593"/>
    <w:rsid w:val="4BE93CED"/>
    <w:rsid w:val="4CAAC61F"/>
    <w:rsid w:val="4D2E7A56"/>
    <w:rsid w:val="4D2F931D"/>
    <w:rsid w:val="4E5394D3"/>
    <w:rsid w:val="504DBCB5"/>
    <w:rsid w:val="506BCAFE"/>
    <w:rsid w:val="50D75C15"/>
    <w:rsid w:val="518A941E"/>
    <w:rsid w:val="51C6F86D"/>
    <w:rsid w:val="51EF19B0"/>
    <w:rsid w:val="53004D55"/>
    <w:rsid w:val="544FB1C6"/>
    <w:rsid w:val="54562914"/>
    <w:rsid w:val="546E0B8A"/>
    <w:rsid w:val="54E5D376"/>
    <w:rsid w:val="560DDD55"/>
    <w:rsid w:val="5711B200"/>
    <w:rsid w:val="572D4741"/>
    <w:rsid w:val="58A2F287"/>
    <w:rsid w:val="58D005E1"/>
    <w:rsid w:val="58E5A0D3"/>
    <w:rsid w:val="598E2341"/>
    <w:rsid w:val="59BD97FD"/>
    <w:rsid w:val="5A084B79"/>
    <w:rsid w:val="5AA9B2F4"/>
    <w:rsid w:val="5AFE79C4"/>
    <w:rsid w:val="5B5FF897"/>
    <w:rsid w:val="5C39B369"/>
    <w:rsid w:val="5C656A7B"/>
    <w:rsid w:val="5E87B86E"/>
    <w:rsid w:val="5EA230BC"/>
    <w:rsid w:val="5EC42866"/>
    <w:rsid w:val="5EF0CE78"/>
    <w:rsid w:val="5F137760"/>
    <w:rsid w:val="5F1C8816"/>
    <w:rsid w:val="5F20FBFA"/>
    <w:rsid w:val="600B352B"/>
    <w:rsid w:val="60351E90"/>
    <w:rsid w:val="6046A7A7"/>
    <w:rsid w:val="60843898"/>
    <w:rsid w:val="60DC75FD"/>
    <w:rsid w:val="6136734E"/>
    <w:rsid w:val="615A1010"/>
    <w:rsid w:val="619425DE"/>
    <w:rsid w:val="61ABFD68"/>
    <w:rsid w:val="623917EA"/>
    <w:rsid w:val="62EAAC67"/>
    <w:rsid w:val="636236B0"/>
    <w:rsid w:val="648EBC31"/>
    <w:rsid w:val="6493A743"/>
    <w:rsid w:val="64A47659"/>
    <w:rsid w:val="64A55C0A"/>
    <w:rsid w:val="6588BF82"/>
    <w:rsid w:val="65C3890E"/>
    <w:rsid w:val="65E6843A"/>
    <w:rsid w:val="660E3C79"/>
    <w:rsid w:val="663114E8"/>
    <w:rsid w:val="671E6DC4"/>
    <w:rsid w:val="6739F983"/>
    <w:rsid w:val="67B9D73E"/>
    <w:rsid w:val="680ED6B8"/>
    <w:rsid w:val="6857370C"/>
    <w:rsid w:val="6867F89F"/>
    <w:rsid w:val="68AB020B"/>
    <w:rsid w:val="69E5975A"/>
    <w:rsid w:val="69EFAA1B"/>
    <w:rsid w:val="6A1DF7CB"/>
    <w:rsid w:val="6A85C735"/>
    <w:rsid w:val="6AB0F1DF"/>
    <w:rsid w:val="6B4CC9A8"/>
    <w:rsid w:val="6B7E19B7"/>
    <w:rsid w:val="6C033987"/>
    <w:rsid w:val="6D1183FD"/>
    <w:rsid w:val="6D1F44AA"/>
    <w:rsid w:val="6E2A557B"/>
    <w:rsid w:val="6E3F4B3A"/>
    <w:rsid w:val="6E62ADB2"/>
    <w:rsid w:val="6F30C66E"/>
    <w:rsid w:val="6F4C10C4"/>
    <w:rsid w:val="6F9B156E"/>
    <w:rsid w:val="709798D5"/>
    <w:rsid w:val="70C27A0D"/>
    <w:rsid w:val="70CFF4C1"/>
    <w:rsid w:val="711EBA13"/>
    <w:rsid w:val="718BCC98"/>
    <w:rsid w:val="71952647"/>
    <w:rsid w:val="71B6D893"/>
    <w:rsid w:val="71DA139D"/>
    <w:rsid w:val="71FE8AB8"/>
    <w:rsid w:val="72025C4B"/>
    <w:rsid w:val="72A3748B"/>
    <w:rsid w:val="72BEBF3B"/>
    <w:rsid w:val="72D4FFF3"/>
    <w:rsid w:val="73181702"/>
    <w:rsid w:val="73B1D775"/>
    <w:rsid w:val="73BCD883"/>
    <w:rsid w:val="742DC53F"/>
    <w:rsid w:val="743B53A1"/>
    <w:rsid w:val="75073559"/>
    <w:rsid w:val="752A0B44"/>
    <w:rsid w:val="75B4264B"/>
    <w:rsid w:val="75DE4275"/>
    <w:rsid w:val="75E6D894"/>
    <w:rsid w:val="76CFD45F"/>
    <w:rsid w:val="77E1E5BF"/>
    <w:rsid w:val="77FB0E1C"/>
    <w:rsid w:val="7822CCF8"/>
    <w:rsid w:val="784B4A48"/>
    <w:rsid w:val="78C72C4C"/>
    <w:rsid w:val="78CA60A4"/>
    <w:rsid w:val="79261EE7"/>
    <w:rsid w:val="794CF45A"/>
    <w:rsid w:val="79D17CC1"/>
    <w:rsid w:val="79D911C8"/>
    <w:rsid w:val="79F50250"/>
    <w:rsid w:val="7A830559"/>
    <w:rsid w:val="7BD29FF4"/>
    <w:rsid w:val="7C0E8E76"/>
    <w:rsid w:val="7C9DF593"/>
    <w:rsid w:val="7CBBA264"/>
    <w:rsid w:val="7CDE4329"/>
    <w:rsid w:val="7D213783"/>
    <w:rsid w:val="7EBA2859"/>
    <w:rsid w:val="7EBFF730"/>
    <w:rsid w:val="7EC8C7D7"/>
    <w:rsid w:val="7EE1A030"/>
    <w:rsid w:val="7EEF3740"/>
    <w:rsid w:val="7FEF75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EBA13"/>
  <w15:chartTrackingRefBased/>
  <w15:docId w15:val="{0C6C3598-66EB-4FE4-8CA3-226018C1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360" w:after="160" w:line="264" w:lineRule="auto"/>
        <w:ind w:left="360"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7FC"/>
    <w:pPr>
      <w:spacing w:before="120" w:after="240"/>
      <w:ind w:left="0" w:firstLine="0"/>
    </w:pPr>
    <w:rPr>
      <w:rFonts w:ascii="Cambria" w:eastAsia="Cambria" w:hAnsi="Cambria" w:cs="Cambria"/>
      <w:sz w:val="24"/>
      <w:szCs w:val="24"/>
    </w:rPr>
  </w:style>
  <w:style w:type="paragraph" w:styleId="Heading1">
    <w:name w:val="heading 1"/>
    <w:basedOn w:val="Normal"/>
    <w:next w:val="Normal"/>
    <w:link w:val="Heading1Char"/>
    <w:uiPriority w:val="9"/>
    <w:qFormat/>
    <w:rsid w:val="007E27FC"/>
    <w:pPr>
      <w:keepNext/>
      <w:spacing w:before="600"/>
      <w:outlineLvl w:val="0"/>
    </w:pPr>
    <w:rPr>
      <w:b/>
      <w:bCs/>
      <w:sz w:val="44"/>
      <w:szCs w:val="28"/>
    </w:rPr>
  </w:style>
  <w:style w:type="paragraph" w:styleId="Heading2">
    <w:name w:val="heading 2"/>
    <w:basedOn w:val="Normal"/>
    <w:next w:val="Normal"/>
    <w:link w:val="Heading2Char"/>
    <w:uiPriority w:val="9"/>
    <w:unhideWhenUsed/>
    <w:qFormat/>
    <w:rsid w:val="00032E83"/>
    <w:pPr>
      <w:keepNext/>
      <w:spacing w:before="480"/>
      <w:outlineLvl w:val="1"/>
    </w:pPr>
    <w:rPr>
      <w:b/>
      <w:sz w:val="36"/>
    </w:rPr>
  </w:style>
  <w:style w:type="paragraph" w:styleId="Heading3">
    <w:name w:val="heading 3"/>
    <w:basedOn w:val="Heading2"/>
    <w:next w:val="Normal"/>
    <w:link w:val="Heading3Char"/>
    <w:uiPriority w:val="9"/>
    <w:unhideWhenUsed/>
    <w:qFormat/>
    <w:rsid w:val="00032E83"/>
    <w:pPr>
      <w:outlineLvl w:val="2"/>
    </w:pPr>
    <w:rPr>
      <w:i/>
      <w:sz w:val="32"/>
    </w:rPr>
  </w:style>
  <w:style w:type="paragraph" w:styleId="Heading4">
    <w:name w:val="heading 4"/>
    <w:basedOn w:val="Heading3"/>
    <w:next w:val="Normal"/>
    <w:link w:val="Heading4Char"/>
    <w:uiPriority w:val="9"/>
    <w:unhideWhenUsed/>
    <w:qFormat/>
    <w:rsid w:val="00032E83"/>
    <w:pPr>
      <w:spacing w:before="400"/>
      <w:outlineLvl w:val="3"/>
    </w:pPr>
    <w:rPr>
      <w:b w:val="0"/>
      <w:i w:val="0"/>
      <w:sz w:val="28"/>
      <w:u w:val="single"/>
    </w:rPr>
  </w:style>
  <w:style w:type="paragraph" w:styleId="Heading5">
    <w:name w:val="heading 5"/>
    <w:basedOn w:val="Normal"/>
    <w:next w:val="Normal"/>
    <w:link w:val="Heading5Char"/>
    <w:uiPriority w:val="9"/>
    <w:unhideWhenUsed/>
    <w:qFormat/>
    <w:rsid w:val="007E27FC"/>
    <w:pPr>
      <w:keepNext/>
      <w:spacing w:before="360"/>
      <w:outlineLvl w:val="4"/>
    </w:pPr>
    <w:rPr>
      <w:rFonts w:eastAsiaTheme="majorEastAsia" w:cstheme="majorBidi"/>
      <w:bCs/>
      <w:i/>
      <w:color w:val="000000" w:themeColor="text1"/>
      <w:sz w:val="26"/>
    </w:rPr>
  </w:style>
  <w:style w:type="paragraph" w:styleId="Heading6">
    <w:name w:val="heading 6"/>
    <w:basedOn w:val="Normal"/>
    <w:next w:val="Normal"/>
    <w:link w:val="Heading6Char"/>
    <w:uiPriority w:val="9"/>
    <w:unhideWhenUsed/>
    <w:qFormat/>
    <w:rsid w:val="007E27FC"/>
    <w:pPr>
      <w:keepNext/>
      <w:spacing w:before="36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711B9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11B9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1B9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49E"/>
    <w:rPr>
      <w:rFonts w:ascii="Cambria" w:eastAsia="Cambria" w:hAnsi="Cambria" w:cs="Cambria"/>
      <w:b/>
      <w:bCs/>
      <w:sz w:val="44"/>
      <w:szCs w:val="28"/>
    </w:rPr>
  </w:style>
  <w:style w:type="character" w:customStyle="1" w:styleId="Heading2Char">
    <w:name w:val="Heading 2 Char"/>
    <w:basedOn w:val="DefaultParagraphFont"/>
    <w:link w:val="Heading2"/>
    <w:uiPriority w:val="9"/>
    <w:rsid w:val="00777B8D"/>
    <w:rPr>
      <w:rFonts w:ascii="Cambria" w:eastAsia="Cambria" w:hAnsi="Cambria" w:cs="Cambria"/>
      <w:b/>
      <w:sz w:val="36"/>
      <w:szCs w:val="24"/>
    </w:rPr>
  </w:style>
  <w:style w:type="character" w:customStyle="1" w:styleId="Heading3Char">
    <w:name w:val="Heading 3 Char"/>
    <w:basedOn w:val="DefaultParagraphFont"/>
    <w:link w:val="Heading3"/>
    <w:uiPriority w:val="9"/>
    <w:rsid w:val="00AE47A0"/>
    <w:rPr>
      <w:rFonts w:ascii="Cambria" w:eastAsia="Cambria" w:hAnsi="Cambria" w:cs="Cambria"/>
      <w:b/>
      <w:i/>
      <w:sz w:val="32"/>
      <w:szCs w:val="24"/>
    </w:rPr>
  </w:style>
  <w:style w:type="character" w:customStyle="1" w:styleId="Heading4Char">
    <w:name w:val="Heading 4 Char"/>
    <w:basedOn w:val="DefaultParagraphFont"/>
    <w:link w:val="Heading4"/>
    <w:uiPriority w:val="9"/>
    <w:rsid w:val="009812EA"/>
    <w:rPr>
      <w:rFonts w:ascii="Cambria" w:eastAsia="Cambria" w:hAnsi="Cambria" w:cs="Cambria"/>
      <w:sz w:val="28"/>
      <w:szCs w:val="24"/>
      <w:u w:val="single"/>
    </w:rPr>
  </w:style>
  <w:style w:type="paragraph" w:styleId="ListParagraph">
    <w:name w:val="List Paragraph"/>
    <w:aliases w:val="Bullet list"/>
    <w:basedOn w:val="Normal"/>
    <w:uiPriority w:val="34"/>
    <w:qFormat/>
    <w:rsid w:val="00374659"/>
    <w:pPr>
      <w:ind w:left="720"/>
      <w:contextualSpacing/>
    </w:pPr>
  </w:style>
  <w:style w:type="character" w:styleId="CommentReference">
    <w:name w:val="annotation reference"/>
    <w:basedOn w:val="DefaultParagraphFont"/>
    <w:uiPriority w:val="99"/>
    <w:semiHidden/>
    <w:unhideWhenUsed/>
    <w:rsid w:val="00374659"/>
    <w:rPr>
      <w:sz w:val="16"/>
      <w:szCs w:val="16"/>
    </w:rPr>
  </w:style>
  <w:style w:type="paragraph" w:styleId="NormalWeb">
    <w:name w:val="Normal (Web)"/>
    <w:basedOn w:val="Normal"/>
    <w:uiPriority w:val="99"/>
    <w:unhideWhenUsed/>
    <w:rsid w:val="00F07828"/>
    <w:pPr>
      <w:spacing w:before="100" w:beforeAutospacing="1" w:after="100" w:afterAutospacing="1" w:line="240" w:lineRule="auto"/>
    </w:pPr>
    <w:rPr>
      <w:rFonts w:ascii="Times New Roman" w:eastAsia="Times New Roman" w:hAnsi="Times New Roman" w:cs="Times New Roman"/>
      <w:lang w:val="en-CA" w:eastAsia="en-GB"/>
    </w:rPr>
  </w:style>
  <w:style w:type="character" w:styleId="IntenseEmphasis">
    <w:name w:val="Intense Emphasis"/>
    <w:basedOn w:val="DefaultParagraphFont"/>
    <w:uiPriority w:val="21"/>
    <w:qFormat/>
    <w:rsid w:val="00374659"/>
    <w:rPr>
      <w:i/>
      <w:iCs/>
      <w:color w:val="4472C4" w:themeColor="accent1"/>
    </w:rPr>
  </w:style>
  <w:style w:type="paragraph" w:styleId="NoSpacing">
    <w:name w:val="No Spacing"/>
    <w:uiPriority w:val="1"/>
    <w:qFormat/>
    <w:rsid w:val="00374659"/>
    <w:pPr>
      <w:spacing w:after="0" w:line="240" w:lineRule="auto"/>
    </w:pPr>
  </w:style>
  <w:style w:type="paragraph" w:styleId="Header">
    <w:name w:val="header"/>
    <w:basedOn w:val="Normal"/>
    <w:link w:val="HeaderChar"/>
    <w:uiPriority w:val="99"/>
    <w:unhideWhenUsed/>
    <w:rsid w:val="00374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659"/>
  </w:style>
  <w:style w:type="paragraph" w:styleId="Footer">
    <w:name w:val="footer"/>
    <w:basedOn w:val="Normal"/>
    <w:link w:val="FooterChar"/>
    <w:uiPriority w:val="99"/>
    <w:unhideWhenUsed/>
    <w:rsid w:val="00374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659"/>
  </w:style>
  <w:style w:type="paragraph" w:styleId="Revision">
    <w:name w:val="Revision"/>
    <w:hidden/>
    <w:uiPriority w:val="99"/>
    <w:semiHidden/>
    <w:rsid w:val="004A51B7"/>
    <w:pPr>
      <w:spacing w:after="0" w:line="240" w:lineRule="auto"/>
    </w:pPr>
  </w:style>
  <w:style w:type="paragraph" w:styleId="CommentText">
    <w:name w:val="annotation text"/>
    <w:basedOn w:val="Normal"/>
    <w:link w:val="CommentTextChar"/>
    <w:uiPriority w:val="99"/>
    <w:unhideWhenUsed/>
    <w:rsid w:val="004A51B7"/>
    <w:pPr>
      <w:spacing w:line="240" w:lineRule="auto"/>
    </w:pPr>
    <w:rPr>
      <w:sz w:val="20"/>
      <w:szCs w:val="20"/>
    </w:rPr>
  </w:style>
  <w:style w:type="character" w:customStyle="1" w:styleId="CommentTextChar">
    <w:name w:val="Comment Text Char"/>
    <w:basedOn w:val="DefaultParagraphFont"/>
    <w:link w:val="CommentText"/>
    <w:uiPriority w:val="99"/>
    <w:rsid w:val="004A51B7"/>
    <w:rPr>
      <w:sz w:val="20"/>
      <w:szCs w:val="20"/>
    </w:rPr>
  </w:style>
  <w:style w:type="paragraph" w:styleId="CommentSubject">
    <w:name w:val="annotation subject"/>
    <w:basedOn w:val="CommentText"/>
    <w:next w:val="CommentText"/>
    <w:link w:val="CommentSubjectChar"/>
    <w:uiPriority w:val="99"/>
    <w:semiHidden/>
    <w:unhideWhenUsed/>
    <w:rsid w:val="004A51B7"/>
    <w:rPr>
      <w:b/>
      <w:bCs/>
    </w:rPr>
  </w:style>
  <w:style w:type="character" w:customStyle="1" w:styleId="CommentSubjectChar">
    <w:name w:val="Comment Subject Char"/>
    <w:basedOn w:val="CommentTextChar"/>
    <w:link w:val="CommentSubject"/>
    <w:uiPriority w:val="99"/>
    <w:semiHidden/>
    <w:rsid w:val="004A51B7"/>
    <w:rPr>
      <w:b/>
      <w:bCs/>
      <w:sz w:val="20"/>
      <w:szCs w:val="20"/>
    </w:rPr>
  </w:style>
  <w:style w:type="character" w:styleId="UnresolvedMention">
    <w:name w:val="Unresolved Mention"/>
    <w:basedOn w:val="DefaultParagraphFont"/>
    <w:uiPriority w:val="99"/>
    <w:unhideWhenUsed/>
    <w:rsid w:val="004A51B7"/>
    <w:rPr>
      <w:color w:val="605E5C"/>
      <w:shd w:val="clear" w:color="auto" w:fill="E1DFDD"/>
    </w:rPr>
  </w:style>
  <w:style w:type="character" w:styleId="Mention">
    <w:name w:val="Mention"/>
    <w:basedOn w:val="DefaultParagraphFont"/>
    <w:uiPriority w:val="99"/>
    <w:unhideWhenUsed/>
    <w:rsid w:val="004A51B7"/>
    <w:rPr>
      <w:color w:val="2B579A"/>
      <w:shd w:val="clear" w:color="auto" w:fill="E1DFDD"/>
    </w:rPr>
  </w:style>
  <w:style w:type="paragraph" w:styleId="BalloonText">
    <w:name w:val="Balloon Text"/>
    <w:basedOn w:val="Normal"/>
    <w:link w:val="BalloonTextChar"/>
    <w:uiPriority w:val="99"/>
    <w:semiHidden/>
    <w:unhideWhenUsed/>
    <w:rsid w:val="00B33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F92"/>
    <w:rPr>
      <w:rFonts w:ascii="Segoe UI" w:hAnsi="Segoe UI" w:cs="Segoe UI"/>
      <w:sz w:val="18"/>
      <w:szCs w:val="18"/>
    </w:rPr>
  </w:style>
  <w:style w:type="paragraph" w:styleId="Bibliography">
    <w:name w:val="Bibliography"/>
    <w:basedOn w:val="Normal"/>
    <w:next w:val="Normal"/>
    <w:uiPriority w:val="37"/>
    <w:unhideWhenUsed/>
    <w:rsid w:val="001D766F"/>
    <w:pPr>
      <w:tabs>
        <w:tab w:val="left" w:pos="504"/>
      </w:tabs>
      <w:spacing w:line="240" w:lineRule="auto"/>
      <w:ind w:left="504" w:hanging="504"/>
    </w:pPr>
  </w:style>
  <w:style w:type="paragraph" w:customStyle="1" w:styleId="paragraph">
    <w:name w:val="paragraph"/>
    <w:basedOn w:val="Normal"/>
    <w:rsid w:val="00B33F92"/>
    <w:pPr>
      <w:spacing w:before="100" w:beforeAutospacing="1" w:after="100" w:afterAutospacing="1" w:line="240" w:lineRule="auto"/>
    </w:pPr>
    <w:rPr>
      <w:rFonts w:ascii="Times New Roman" w:eastAsia="Times New Roman" w:hAnsi="Times New Roman" w:cs="Times New Roman"/>
    </w:rPr>
  </w:style>
  <w:style w:type="character" w:customStyle="1" w:styleId="eop">
    <w:name w:val="eop"/>
    <w:basedOn w:val="DefaultParagraphFont"/>
    <w:rsid w:val="00B33F92"/>
  </w:style>
  <w:style w:type="character" w:customStyle="1" w:styleId="findhit">
    <w:name w:val="findhit"/>
    <w:basedOn w:val="DefaultParagraphFont"/>
    <w:rsid w:val="00B33F92"/>
  </w:style>
  <w:style w:type="paragraph" w:customStyle="1" w:styleId="TableText">
    <w:name w:val="TableText"/>
    <w:basedOn w:val="Normal"/>
    <w:link w:val="TableTextChar"/>
    <w:uiPriority w:val="1"/>
    <w:qFormat/>
    <w:rsid w:val="00B33F92"/>
    <w:pPr>
      <w:spacing w:after="0"/>
    </w:pPr>
    <w:rPr>
      <w:sz w:val="20"/>
      <w:szCs w:val="20"/>
    </w:rPr>
  </w:style>
  <w:style w:type="character" w:customStyle="1" w:styleId="TableTextChar">
    <w:name w:val="TableText Char"/>
    <w:basedOn w:val="DefaultParagraphFont"/>
    <w:link w:val="TableText"/>
    <w:uiPriority w:val="1"/>
    <w:rsid w:val="00B33F92"/>
    <w:rPr>
      <w:sz w:val="20"/>
      <w:szCs w:val="20"/>
    </w:rPr>
  </w:style>
  <w:style w:type="character" w:customStyle="1" w:styleId="Heading5Char">
    <w:name w:val="Heading 5 Char"/>
    <w:basedOn w:val="DefaultParagraphFont"/>
    <w:link w:val="Heading5"/>
    <w:uiPriority w:val="9"/>
    <w:rsid w:val="004144A8"/>
    <w:rPr>
      <w:rFonts w:ascii="Cambria" w:eastAsiaTheme="majorEastAsia" w:hAnsi="Cambria" w:cstheme="majorBidi"/>
      <w:bCs/>
      <w:i/>
      <w:color w:val="000000" w:themeColor="text1"/>
      <w:sz w:val="26"/>
      <w:szCs w:val="24"/>
    </w:rPr>
  </w:style>
  <w:style w:type="character" w:customStyle="1" w:styleId="Heading6Char">
    <w:name w:val="Heading 6 Char"/>
    <w:basedOn w:val="DefaultParagraphFont"/>
    <w:link w:val="Heading6"/>
    <w:uiPriority w:val="9"/>
    <w:rsid w:val="00711B98"/>
    <w:rPr>
      <w:rFonts w:ascii="Cambria" w:eastAsiaTheme="majorEastAsia" w:hAnsi="Cambria"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711B9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11B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11B98"/>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036719"/>
    <w:rPr>
      <w:color w:val="0000FF"/>
      <w:u w:val="single"/>
    </w:rPr>
  </w:style>
  <w:style w:type="table" w:styleId="TableGrid">
    <w:name w:val="Table Grid"/>
    <w:basedOn w:val="TableNormal"/>
    <w:uiPriority w:val="59"/>
    <w:rsid w:val="00711B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Normal"/>
    <w:rsid w:val="00711B98"/>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711B98"/>
    <w:rPr>
      <w:i/>
      <w:iCs/>
    </w:rPr>
  </w:style>
  <w:style w:type="character" w:styleId="SubtleEmphasis">
    <w:name w:val="Subtle Emphasis"/>
    <w:basedOn w:val="DefaultParagraphFont"/>
    <w:uiPriority w:val="19"/>
    <w:qFormat/>
    <w:rsid w:val="00711B98"/>
    <w:rPr>
      <w:i/>
      <w:iCs/>
      <w:color w:val="404040" w:themeColor="text1" w:themeTint="BF"/>
    </w:rPr>
  </w:style>
  <w:style w:type="character" w:styleId="Strong">
    <w:name w:val="Strong"/>
    <w:basedOn w:val="DefaultParagraphFont"/>
    <w:uiPriority w:val="22"/>
    <w:qFormat/>
    <w:rsid w:val="00711B98"/>
    <w:rPr>
      <w:b/>
      <w:bCs/>
    </w:rPr>
  </w:style>
  <w:style w:type="paragraph" w:styleId="Subtitle">
    <w:name w:val="Subtitle"/>
    <w:basedOn w:val="Normal"/>
    <w:next w:val="Normal"/>
    <w:link w:val="SubtitleChar"/>
    <w:uiPriority w:val="11"/>
    <w:qFormat/>
    <w:rsid w:val="00711B98"/>
    <w:pPr>
      <w:numPr>
        <w:ilvl w:val="1"/>
      </w:numPr>
      <w:ind w:left="360" w:firstLine="3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1B98"/>
    <w:rPr>
      <w:rFonts w:ascii="Cambria" w:eastAsiaTheme="minorEastAsia" w:hAnsi="Cambria" w:cs="Cambria"/>
      <w:color w:val="5A5A5A" w:themeColor="text1" w:themeTint="A5"/>
      <w:spacing w:val="15"/>
      <w:sz w:val="24"/>
      <w:szCs w:val="24"/>
    </w:rPr>
  </w:style>
  <w:style w:type="paragraph" w:styleId="TOC1">
    <w:name w:val="toc 1"/>
    <w:basedOn w:val="Normal"/>
    <w:next w:val="Normal"/>
    <w:autoRedefine/>
    <w:uiPriority w:val="39"/>
    <w:unhideWhenUsed/>
    <w:rsid w:val="00477F98"/>
    <w:pPr>
      <w:tabs>
        <w:tab w:val="right" w:leader="dot" w:pos="9350"/>
      </w:tabs>
      <w:spacing w:after="100"/>
    </w:pPr>
    <w:rPr>
      <w:b/>
      <w:sz w:val="26"/>
    </w:rPr>
  </w:style>
  <w:style w:type="paragraph" w:styleId="TOC2">
    <w:name w:val="toc 2"/>
    <w:basedOn w:val="Normal"/>
    <w:next w:val="Normal"/>
    <w:autoRedefine/>
    <w:uiPriority w:val="39"/>
    <w:unhideWhenUsed/>
    <w:rsid w:val="00834AE6"/>
    <w:pPr>
      <w:tabs>
        <w:tab w:val="right" w:leader="dot" w:pos="9350"/>
      </w:tabs>
      <w:spacing w:after="100"/>
      <w:ind w:left="216"/>
    </w:pPr>
  </w:style>
  <w:style w:type="paragraph" w:styleId="TOC3">
    <w:name w:val="toc 3"/>
    <w:basedOn w:val="Normal"/>
    <w:next w:val="Normal"/>
    <w:autoRedefine/>
    <w:uiPriority w:val="39"/>
    <w:unhideWhenUsed/>
    <w:rsid w:val="001C37D3"/>
    <w:pPr>
      <w:tabs>
        <w:tab w:val="right" w:leader="dot" w:pos="9350"/>
      </w:tabs>
      <w:spacing w:before="60" w:after="60"/>
      <w:ind w:left="446"/>
    </w:pPr>
  </w:style>
  <w:style w:type="paragraph" w:styleId="TOC4">
    <w:name w:val="toc 4"/>
    <w:basedOn w:val="Normal"/>
    <w:next w:val="Normal"/>
    <w:autoRedefine/>
    <w:uiPriority w:val="39"/>
    <w:unhideWhenUsed/>
    <w:rsid w:val="0083163E"/>
    <w:pPr>
      <w:spacing w:after="100"/>
      <w:ind w:left="660"/>
    </w:pPr>
  </w:style>
  <w:style w:type="paragraph" w:styleId="TOC5">
    <w:name w:val="toc 5"/>
    <w:basedOn w:val="Normal"/>
    <w:next w:val="Normal"/>
    <w:autoRedefine/>
    <w:uiPriority w:val="39"/>
    <w:unhideWhenUsed/>
    <w:rsid w:val="0083163E"/>
    <w:pPr>
      <w:spacing w:after="100"/>
      <w:ind w:left="880"/>
    </w:pPr>
    <w:rPr>
      <w:rFonts w:eastAsiaTheme="minorEastAsia"/>
    </w:rPr>
  </w:style>
  <w:style w:type="paragraph" w:styleId="TOC6">
    <w:name w:val="toc 6"/>
    <w:basedOn w:val="Normal"/>
    <w:next w:val="Normal"/>
    <w:autoRedefine/>
    <w:uiPriority w:val="39"/>
    <w:unhideWhenUsed/>
    <w:rsid w:val="0083163E"/>
    <w:pPr>
      <w:spacing w:after="100"/>
      <w:ind w:left="1100"/>
    </w:pPr>
    <w:rPr>
      <w:rFonts w:eastAsiaTheme="minorEastAsia"/>
    </w:rPr>
  </w:style>
  <w:style w:type="paragraph" w:styleId="TOC7">
    <w:name w:val="toc 7"/>
    <w:basedOn w:val="Normal"/>
    <w:next w:val="Normal"/>
    <w:autoRedefine/>
    <w:uiPriority w:val="39"/>
    <w:unhideWhenUsed/>
    <w:rsid w:val="0083163E"/>
    <w:pPr>
      <w:spacing w:after="100"/>
      <w:ind w:left="1320"/>
    </w:pPr>
    <w:rPr>
      <w:rFonts w:eastAsiaTheme="minorEastAsia"/>
    </w:rPr>
  </w:style>
  <w:style w:type="paragraph" w:styleId="TOC8">
    <w:name w:val="toc 8"/>
    <w:basedOn w:val="Normal"/>
    <w:next w:val="Normal"/>
    <w:autoRedefine/>
    <w:uiPriority w:val="39"/>
    <w:unhideWhenUsed/>
    <w:rsid w:val="0083163E"/>
    <w:pPr>
      <w:spacing w:after="100"/>
      <w:ind w:left="1540"/>
    </w:pPr>
    <w:rPr>
      <w:rFonts w:eastAsiaTheme="minorEastAsia"/>
    </w:rPr>
  </w:style>
  <w:style w:type="paragraph" w:styleId="TOC9">
    <w:name w:val="toc 9"/>
    <w:basedOn w:val="Normal"/>
    <w:next w:val="Normal"/>
    <w:autoRedefine/>
    <w:uiPriority w:val="39"/>
    <w:unhideWhenUsed/>
    <w:rsid w:val="0083163E"/>
    <w:pPr>
      <w:spacing w:after="100"/>
      <w:ind w:left="1760"/>
    </w:pPr>
    <w:rPr>
      <w:rFonts w:eastAsiaTheme="minorEastAsia"/>
    </w:rPr>
  </w:style>
  <w:style w:type="paragraph" w:styleId="TOCHeading">
    <w:name w:val="TOC Heading"/>
    <w:basedOn w:val="Heading1"/>
    <w:next w:val="Normal"/>
    <w:uiPriority w:val="39"/>
    <w:unhideWhenUsed/>
    <w:qFormat/>
    <w:rsid w:val="00280037"/>
    <w:pPr>
      <w:keepLines/>
      <w:spacing w:before="240" w:after="0"/>
      <w:outlineLvl w:val="9"/>
    </w:pPr>
    <w:rPr>
      <w:rFonts w:eastAsiaTheme="majorEastAsia" w:cstheme="majorBidi"/>
      <w:bCs w:val="0"/>
      <w:sz w:val="36"/>
      <w:szCs w:val="32"/>
    </w:rPr>
  </w:style>
  <w:style w:type="character" w:customStyle="1" w:styleId="UnresolvedMention1">
    <w:name w:val="Unresolved Mention1"/>
    <w:basedOn w:val="DefaultParagraphFont"/>
    <w:uiPriority w:val="99"/>
    <w:unhideWhenUsed/>
    <w:rsid w:val="005C3B09"/>
    <w:rPr>
      <w:color w:val="605E5C"/>
      <w:shd w:val="clear" w:color="auto" w:fill="E1DFDD"/>
    </w:rPr>
  </w:style>
  <w:style w:type="character" w:customStyle="1" w:styleId="Mention1">
    <w:name w:val="Mention1"/>
    <w:basedOn w:val="DefaultParagraphFont"/>
    <w:uiPriority w:val="99"/>
    <w:unhideWhenUsed/>
    <w:rsid w:val="005C3B09"/>
    <w:rPr>
      <w:color w:val="2B579A"/>
      <w:shd w:val="clear" w:color="auto" w:fill="E1DFDD"/>
    </w:rPr>
  </w:style>
  <w:style w:type="paragraph" w:styleId="FootnoteText">
    <w:name w:val="footnote text"/>
    <w:basedOn w:val="Normal"/>
    <w:link w:val="FootnoteTextChar"/>
    <w:uiPriority w:val="99"/>
    <w:unhideWhenUsed/>
    <w:rsid w:val="00FE2403"/>
    <w:pPr>
      <w:spacing w:after="0" w:line="240" w:lineRule="auto"/>
    </w:pPr>
    <w:rPr>
      <w:sz w:val="20"/>
      <w:szCs w:val="20"/>
    </w:rPr>
  </w:style>
  <w:style w:type="character" w:customStyle="1" w:styleId="FootnoteTextChar">
    <w:name w:val="Footnote Text Char"/>
    <w:basedOn w:val="DefaultParagraphFont"/>
    <w:link w:val="FootnoteText"/>
    <w:uiPriority w:val="99"/>
    <w:rsid w:val="00FE2403"/>
    <w:rPr>
      <w:sz w:val="20"/>
      <w:szCs w:val="20"/>
    </w:rPr>
  </w:style>
  <w:style w:type="character" w:styleId="FootnoteReference">
    <w:name w:val="footnote reference"/>
    <w:basedOn w:val="DefaultParagraphFont"/>
    <w:uiPriority w:val="99"/>
    <w:semiHidden/>
    <w:unhideWhenUsed/>
    <w:rsid w:val="00FE2403"/>
    <w:rPr>
      <w:vertAlign w:val="superscript"/>
    </w:rPr>
  </w:style>
  <w:style w:type="character" w:customStyle="1" w:styleId="cf01">
    <w:name w:val="cf01"/>
    <w:basedOn w:val="DefaultParagraphFont"/>
    <w:rsid w:val="00B81476"/>
    <w:rPr>
      <w:rFonts w:ascii="Segoe UI" w:hAnsi="Segoe UI" w:cs="Segoe UI" w:hint="default"/>
      <w:sz w:val="18"/>
      <w:szCs w:val="18"/>
      <w:shd w:val="clear" w:color="auto" w:fill="FF00FF"/>
    </w:rPr>
  </w:style>
  <w:style w:type="character" w:styleId="LineNumber">
    <w:name w:val="line number"/>
    <w:basedOn w:val="DefaultParagraphFont"/>
    <w:uiPriority w:val="99"/>
    <w:semiHidden/>
    <w:unhideWhenUsed/>
    <w:rsid w:val="00C51AF0"/>
  </w:style>
  <w:style w:type="character" w:styleId="FollowedHyperlink">
    <w:name w:val="FollowedHyperlink"/>
    <w:basedOn w:val="DefaultParagraphFont"/>
    <w:uiPriority w:val="99"/>
    <w:semiHidden/>
    <w:unhideWhenUsed/>
    <w:rsid w:val="005044B9"/>
    <w:rPr>
      <w:color w:val="954F72" w:themeColor="followedHyperlink"/>
      <w:u w:val="single"/>
    </w:rPr>
  </w:style>
  <w:style w:type="paragraph" w:customStyle="1" w:styleId="ASAMNormalbodyindented">
    <w:name w:val="ASAM Normal body indented"/>
    <w:basedOn w:val="Normal"/>
    <w:link w:val="ASAMNormalbodyindentedChar"/>
    <w:qFormat/>
    <w:rsid w:val="00596F55"/>
    <w:pPr>
      <w:spacing w:before="60" w:line="360" w:lineRule="auto"/>
      <w:ind w:firstLine="720"/>
    </w:pPr>
    <w:rPr>
      <w:rFonts w:ascii="Georgia Pro" w:eastAsiaTheme="minorEastAsia" w:hAnsi="Georgia Pro" w:cstheme="minorBidi"/>
      <w:sz w:val="22"/>
    </w:rPr>
  </w:style>
  <w:style w:type="character" w:customStyle="1" w:styleId="ASAMNormalbodyindentedChar">
    <w:name w:val="ASAM Normal body indented Char"/>
    <w:basedOn w:val="DefaultParagraphFont"/>
    <w:link w:val="ASAMNormalbodyindented"/>
    <w:rsid w:val="00596F55"/>
    <w:rPr>
      <w:rFonts w:ascii="Georgia Pro" w:eastAsiaTheme="minorEastAsia" w:hAnsi="Georgia Pro"/>
      <w:szCs w:val="24"/>
    </w:rPr>
  </w:style>
  <w:style w:type="paragraph" w:styleId="Title">
    <w:name w:val="Title"/>
    <w:basedOn w:val="Normal"/>
    <w:next w:val="Normal"/>
    <w:link w:val="TitleChar"/>
    <w:uiPriority w:val="10"/>
    <w:qFormat/>
    <w:rsid w:val="001A62C1"/>
    <w:pPr>
      <w:spacing w:after="120" w:line="240" w:lineRule="auto"/>
      <w:contextualSpacing/>
      <w:jc w:val="center"/>
    </w:pPr>
    <w:rPr>
      <w:rFonts w:ascii="Times New Roman" w:eastAsiaTheme="majorEastAsia" w:hAnsi="Times New Roman" w:cstheme="majorBidi"/>
      <w:b/>
      <w:spacing w:val="-10"/>
      <w:kern w:val="28"/>
      <w:sz w:val="40"/>
      <w:szCs w:val="56"/>
      <w14:ligatures w14:val="standardContextual"/>
    </w:rPr>
  </w:style>
  <w:style w:type="character" w:customStyle="1" w:styleId="TitleChar">
    <w:name w:val="Title Char"/>
    <w:basedOn w:val="DefaultParagraphFont"/>
    <w:link w:val="Title"/>
    <w:uiPriority w:val="10"/>
    <w:rsid w:val="001A62C1"/>
    <w:rPr>
      <w:rFonts w:ascii="Times New Roman" w:eastAsiaTheme="majorEastAsia" w:hAnsi="Times New Roman" w:cstheme="majorBidi"/>
      <w:b/>
      <w:spacing w:val="-10"/>
      <w:kern w:val="28"/>
      <w:sz w:val="40"/>
      <w:szCs w:val="56"/>
      <w14:ligatures w14:val="standardContextual"/>
    </w:rPr>
  </w:style>
  <w:style w:type="character" w:styleId="EndnoteReference">
    <w:name w:val="endnote reference"/>
    <w:basedOn w:val="DefaultParagraphFont"/>
    <w:uiPriority w:val="99"/>
    <w:semiHidden/>
    <w:unhideWhenUsed/>
    <w:rsid w:val="00234EAB"/>
    <w:rPr>
      <w:vertAlign w:val="superscript"/>
    </w:rPr>
  </w:style>
  <w:style w:type="paragraph" w:customStyle="1" w:styleId="pf0">
    <w:name w:val="pf0"/>
    <w:basedOn w:val="Normal"/>
    <w:rsid w:val="00234EAB"/>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9A2D60"/>
  </w:style>
  <w:style w:type="paragraph" w:customStyle="1" w:styleId="StUDRecs">
    <w:name w:val="StUD Recs"/>
    <w:basedOn w:val="ListParagraph"/>
    <w:qFormat/>
    <w:rsid w:val="00C17244"/>
    <w:pPr>
      <w:numPr>
        <w:numId w:val="1"/>
      </w:numPr>
      <w:spacing w:after="120"/>
      <w:contextualSpacing w:val="0"/>
    </w:pPr>
  </w:style>
  <w:style w:type="paragraph" w:customStyle="1" w:styleId="StUDEtDbullets">
    <w:name w:val="StUD EtD bullets"/>
    <w:basedOn w:val="ListParagraph"/>
    <w:qFormat/>
    <w:rsid w:val="008A0F5E"/>
    <w:pPr>
      <w:numPr>
        <w:numId w:val="2"/>
      </w:numPr>
      <w:spacing w:after="120"/>
      <w:ind w:left="720"/>
    </w:pPr>
  </w:style>
  <w:style w:type="paragraph" w:customStyle="1" w:styleId="StUDTableText">
    <w:name w:val="StUD Table Text"/>
    <w:basedOn w:val="Normal"/>
    <w:qFormat/>
    <w:rsid w:val="00C17244"/>
    <w:pPr>
      <w:spacing w:after="120"/>
    </w:pPr>
    <w:rPr>
      <w:sz w:val="22"/>
    </w:rPr>
  </w:style>
  <w:style w:type="paragraph" w:customStyle="1" w:styleId="Heading3-backmatter">
    <w:name w:val="Heading 3 - back matter"/>
    <w:basedOn w:val="Heading3"/>
    <w:qFormat/>
    <w:rsid w:val="008B7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922">
      <w:bodyDiv w:val="1"/>
      <w:marLeft w:val="0"/>
      <w:marRight w:val="0"/>
      <w:marTop w:val="0"/>
      <w:marBottom w:val="0"/>
      <w:divBdr>
        <w:top w:val="none" w:sz="0" w:space="0" w:color="auto"/>
        <w:left w:val="none" w:sz="0" w:space="0" w:color="auto"/>
        <w:bottom w:val="none" w:sz="0" w:space="0" w:color="auto"/>
        <w:right w:val="none" w:sz="0" w:space="0" w:color="auto"/>
      </w:divBdr>
    </w:div>
    <w:div w:id="457990596">
      <w:bodyDiv w:val="1"/>
      <w:marLeft w:val="0"/>
      <w:marRight w:val="0"/>
      <w:marTop w:val="0"/>
      <w:marBottom w:val="0"/>
      <w:divBdr>
        <w:top w:val="none" w:sz="0" w:space="0" w:color="auto"/>
        <w:left w:val="none" w:sz="0" w:space="0" w:color="auto"/>
        <w:bottom w:val="none" w:sz="0" w:space="0" w:color="auto"/>
        <w:right w:val="none" w:sz="0" w:space="0" w:color="auto"/>
      </w:divBdr>
      <w:divsChild>
        <w:div w:id="23481417">
          <w:marLeft w:val="0"/>
          <w:marRight w:val="0"/>
          <w:marTop w:val="0"/>
          <w:marBottom w:val="0"/>
          <w:divBdr>
            <w:top w:val="none" w:sz="0" w:space="0" w:color="auto"/>
            <w:left w:val="none" w:sz="0" w:space="0" w:color="auto"/>
            <w:bottom w:val="none" w:sz="0" w:space="0" w:color="auto"/>
            <w:right w:val="none" w:sz="0" w:space="0" w:color="auto"/>
          </w:divBdr>
          <w:divsChild>
            <w:div w:id="802507491">
              <w:marLeft w:val="0"/>
              <w:marRight w:val="0"/>
              <w:marTop w:val="0"/>
              <w:marBottom w:val="0"/>
              <w:divBdr>
                <w:top w:val="none" w:sz="0" w:space="0" w:color="auto"/>
                <w:left w:val="none" w:sz="0" w:space="0" w:color="auto"/>
                <w:bottom w:val="none" w:sz="0" w:space="0" w:color="auto"/>
                <w:right w:val="none" w:sz="0" w:space="0" w:color="auto"/>
              </w:divBdr>
            </w:div>
          </w:divsChild>
        </w:div>
        <w:div w:id="54818752">
          <w:marLeft w:val="0"/>
          <w:marRight w:val="0"/>
          <w:marTop w:val="0"/>
          <w:marBottom w:val="0"/>
          <w:divBdr>
            <w:top w:val="none" w:sz="0" w:space="0" w:color="auto"/>
            <w:left w:val="none" w:sz="0" w:space="0" w:color="auto"/>
            <w:bottom w:val="none" w:sz="0" w:space="0" w:color="auto"/>
            <w:right w:val="none" w:sz="0" w:space="0" w:color="auto"/>
          </w:divBdr>
          <w:divsChild>
            <w:div w:id="321784102">
              <w:marLeft w:val="0"/>
              <w:marRight w:val="0"/>
              <w:marTop w:val="0"/>
              <w:marBottom w:val="0"/>
              <w:divBdr>
                <w:top w:val="none" w:sz="0" w:space="0" w:color="auto"/>
                <w:left w:val="none" w:sz="0" w:space="0" w:color="auto"/>
                <w:bottom w:val="none" w:sz="0" w:space="0" w:color="auto"/>
                <w:right w:val="none" w:sz="0" w:space="0" w:color="auto"/>
              </w:divBdr>
            </w:div>
          </w:divsChild>
        </w:div>
        <w:div w:id="64108182">
          <w:marLeft w:val="0"/>
          <w:marRight w:val="0"/>
          <w:marTop w:val="0"/>
          <w:marBottom w:val="0"/>
          <w:divBdr>
            <w:top w:val="none" w:sz="0" w:space="0" w:color="auto"/>
            <w:left w:val="none" w:sz="0" w:space="0" w:color="auto"/>
            <w:bottom w:val="none" w:sz="0" w:space="0" w:color="auto"/>
            <w:right w:val="none" w:sz="0" w:space="0" w:color="auto"/>
          </w:divBdr>
          <w:divsChild>
            <w:div w:id="777338607">
              <w:marLeft w:val="0"/>
              <w:marRight w:val="0"/>
              <w:marTop w:val="0"/>
              <w:marBottom w:val="0"/>
              <w:divBdr>
                <w:top w:val="none" w:sz="0" w:space="0" w:color="auto"/>
                <w:left w:val="none" w:sz="0" w:space="0" w:color="auto"/>
                <w:bottom w:val="none" w:sz="0" w:space="0" w:color="auto"/>
                <w:right w:val="none" w:sz="0" w:space="0" w:color="auto"/>
              </w:divBdr>
            </w:div>
          </w:divsChild>
        </w:div>
        <w:div w:id="65956388">
          <w:marLeft w:val="0"/>
          <w:marRight w:val="0"/>
          <w:marTop w:val="0"/>
          <w:marBottom w:val="0"/>
          <w:divBdr>
            <w:top w:val="none" w:sz="0" w:space="0" w:color="auto"/>
            <w:left w:val="none" w:sz="0" w:space="0" w:color="auto"/>
            <w:bottom w:val="none" w:sz="0" w:space="0" w:color="auto"/>
            <w:right w:val="none" w:sz="0" w:space="0" w:color="auto"/>
          </w:divBdr>
          <w:divsChild>
            <w:div w:id="1911380124">
              <w:marLeft w:val="0"/>
              <w:marRight w:val="0"/>
              <w:marTop w:val="0"/>
              <w:marBottom w:val="0"/>
              <w:divBdr>
                <w:top w:val="none" w:sz="0" w:space="0" w:color="auto"/>
                <w:left w:val="none" w:sz="0" w:space="0" w:color="auto"/>
                <w:bottom w:val="none" w:sz="0" w:space="0" w:color="auto"/>
                <w:right w:val="none" w:sz="0" w:space="0" w:color="auto"/>
              </w:divBdr>
            </w:div>
          </w:divsChild>
        </w:div>
        <w:div w:id="138301665">
          <w:marLeft w:val="0"/>
          <w:marRight w:val="0"/>
          <w:marTop w:val="0"/>
          <w:marBottom w:val="0"/>
          <w:divBdr>
            <w:top w:val="none" w:sz="0" w:space="0" w:color="auto"/>
            <w:left w:val="none" w:sz="0" w:space="0" w:color="auto"/>
            <w:bottom w:val="none" w:sz="0" w:space="0" w:color="auto"/>
            <w:right w:val="none" w:sz="0" w:space="0" w:color="auto"/>
          </w:divBdr>
          <w:divsChild>
            <w:div w:id="558172237">
              <w:marLeft w:val="0"/>
              <w:marRight w:val="0"/>
              <w:marTop w:val="0"/>
              <w:marBottom w:val="0"/>
              <w:divBdr>
                <w:top w:val="none" w:sz="0" w:space="0" w:color="auto"/>
                <w:left w:val="none" w:sz="0" w:space="0" w:color="auto"/>
                <w:bottom w:val="none" w:sz="0" w:space="0" w:color="auto"/>
                <w:right w:val="none" w:sz="0" w:space="0" w:color="auto"/>
              </w:divBdr>
            </w:div>
          </w:divsChild>
        </w:div>
        <w:div w:id="158742066">
          <w:marLeft w:val="0"/>
          <w:marRight w:val="0"/>
          <w:marTop w:val="0"/>
          <w:marBottom w:val="0"/>
          <w:divBdr>
            <w:top w:val="none" w:sz="0" w:space="0" w:color="auto"/>
            <w:left w:val="none" w:sz="0" w:space="0" w:color="auto"/>
            <w:bottom w:val="none" w:sz="0" w:space="0" w:color="auto"/>
            <w:right w:val="none" w:sz="0" w:space="0" w:color="auto"/>
          </w:divBdr>
          <w:divsChild>
            <w:div w:id="916206819">
              <w:marLeft w:val="0"/>
              <w:marRight w:val="0"/>
              <w:marTop w:val="0"/>
              <w:marBottom w:val="0"/>
              <w:divBdr>
                <w:top w:val="none" w:sz="0" w:space="0" w:color="auto"/>
                <w:left w:val="none" w:sz="0" w:space="0" w:color="auto"/>
                <w:bottom w:val="none" w:sz="0" w:space="0" w:color="auto"/>
                <w:right w:val="none" w:sz="0" w:space="0" w:color="auto"/>
              </w:divBdr>
            </w:div>
          </w:divsChild>
        </w:div>
        <w:div w:id="163282227">
          <w:marLeft w:val="0"/>
          <w:marRight w:val="0"/>
          <w:marTop w:val="0"/>
          <w:marBottom w:val="0"/>
          <w:divBdr>
            <w:top w:val="none" w:sz="0" w:space="0" w:color="auto"/>
            <w:left w:val="none" w:sz="0" w:space="0" w:color="auto"/>
            <w:bottom w:val="none" w:sz="0" w:space="0" w:color="auto"/>
            <w:right w:val="none" w:sz="0" w:space="0" w:color="auto"/>
          </w:divBdr>
          <w:divsChild>
            <w:div w:id="358555440">
              <w:marLeft w:val="0"/>
              <w:marRight w:val="0"/>
              <w:marTop w:val="0"/>
              <w:marBottom w:val="0"/>
              <w:divBdr>
                <w:top w:val="none" w:sz="0" w:space="0" w:color="auto"/>
                <w:left w:val="none" w:sz="0" w:space="0" w:color="auto"/>
                <w:bottom w:val="none" w:sz="0" w:space="0" w:color="auto"/>
                <w:right w:val="none" w:sz="0" w:space="0" w:color="auto"/>
              </w:divBdr>
            </w:div>
          </w:divsChild>
        </w:div>
        <w:div w:id="175119028">
          <w:marLeft w:val="0"/>
          <w:marRight w:val="0"/>
          <w:marTop w:val="0"/>
          <w:marBottom w:val="0"/>
          <w:divBdr>
            <w:top w:val="none" w:sz="0" w:space="0" w:color="auto"/>
            <w:left w:val="none" w:sz="0" w:space="0" w:color="auto"/>
            <w:bottom w:val="none" w:sz="0" w:space="0" w:color="auto"/>
            <w:right w:val="none" w:sz="0" w:space="0" w:color="auto"/>
          </w:divBdr>
          <w:divsChild>
            <w:div w:id="324096273">
              <w:marLeft w:val="0"/>
              <w:marRight w:val="0"/>
              <w:marTop w:val="0"/>
              <w:marBottom w:val="0"/>
              <w:divBdr>
                <w:top w:val="none" w:sz="0" w:space="0" w:color="auto"/>
                <w:left w:val="none" w:sz="0" w:space="0" w:color="auto"/>
                <w:bottom w:val="none" w:sz="0" w:space="0" w:color="auto"/>
                <w:right w:val="none" w:sz="0" w:space="0" w:color="auto"/>
              </w:divBdr>
            </w:div>
          </w:divsChild>
        </w:div>
        <w:div w:id="184945420">
          <w:marLeft w:val="0"/>
          <w:marRight w:val="0"/>
          <w:marTop w:val="0"/>
          <w:marBottom w:val="0"/>
          <w:divBdr>
            <w:top w:val="none" w:sz="0" w:space="0" w:color="auto"/>
            <w:left w:val="none" w:sz="0" w:space="0" w:color="auto"/>
            <w:bottom w:val="none" w:sz="0" w:space="0" w:color="auto"/>
            <w:right w:val="none" w:sz="0" w:space="0" w:color="auto"/>
          </w:divBdr>
          <w:divsChild>
            <w:div w:id="1767191679">
              <w:marLeft w:val="0"/>
              <w:marRight w:val="0"/>
              <w:marTop w:val="0"/>
              <w:marBottom w:val="0"/>
              <w:divBdr>
                <w:top w:val="none" w:sz="0" w:space="0" w:color="auto"/>
                <w:left w:val="none" w:sz="0" w:space="0" w:color="auto"/>
                <w:bottom w:val="none" w:sz="0" w:space="0" w:color="auto"/>
                <w:right w:val="none" w:sz="0" w:space="0" w:color="auto"/>
              </w:divBdr>
            </w:div>
          </w:divsChild>
        </w:div>
        <w:div w:id="186405636">
          <w:marLeft w:val="0"/>
          <w:marRight w:val="0"/>
          <w:marTop w:val="0"/>
          <w:marBottom w:val="0"/>
          <w:divBdr>
            <w:top w:val="none" w:sz="0" w:space="0" w:color="auto"/>
            <w:left w:val="none" w:sz="0" w:space="0" w:color="auto"/>
            <w:bottom w:val="none" w:sz="0" w:space="0" w:color="auto"/>
            <w:right w:val="none" w:sz="0" w:space="0" w:color="auto"/>
          </w:divBdr>
          <w:divsChild>
            <w:div w:id="975372949">
              <w:marLeft w:val="0"/>
              <w:marRight w:val="0"/>
              <w:marTop w:val="0"/>
              <w:marBottom w:val="0"/>
              <w:divBdr>
                <w:top w:val="none" w:sz="0" w:space="0" w:color="auto"/>
                <w:left w:val="none" w:sz="0" w:space="0" w:color="auto"/>
                <w:bottom w:val="none" w:sz="0" w:space="0" w:color="auto"/>
                <w:right w:val="none" w:sz="0" w:space="0" w:color="auto"/>
              </w:divBdr>
            </w:div>
          </w:divsChild>
        </w:div>
        <w:div w:id="210194498">
          <w:marLeft w:val="0"/>
          <w:marRight w:val="0"/>
          <w:marTop w:val="0"/>
          <w:marBottom w:val="0"/>
          <w:divBdr>
            <w:top w:val="none" w:sz="0" w:space="0" w:color="auto"/>
            <w:left w:val="none" w:sz="0" w:space="0" w:color="auto"/>
            <w:bottom w:val="none" w:sz="0" w:space="0" w:color="auto"/>
            <w:right w:val="none" w:sz="0" w:space="0" w:color="auto"/>
          </w:divBdr>
          <w:divsChild>
            <w:div w:id="2027366536">
              <w:marLeft w:val="0"/>
              <w:marRight w:val="0"/>
              <w:marTop w:val="0"/>
              <w:marBottom w:val="0"/>
              <w:divBdr>
                <w:top w:val="none" w:sz="0" w:space="0" w:color="auto"/>
                <w:left w:val="none" w:sz="0" w:space="0" w:color="auto"/>
                <w:bottom w:val="none" w:sz="0" w:space="0" w:color="auto"/>
                <w:right w:val="none" w:sz="0" w:space="0" w:color="auto"/>
              </w:divBdr>
            </w:div>
          </w:divsChild>
        </w:div>
        <w:div w:id="211234630">
          <w:marLeft w:val="0"/>
          <w:marRight w:val="0"/>
          <w:marTop w:val="0"/>
          <w:marBottom w:val="0"/>
          <w:divBdr>
            <w:top w:val="none" w:sz="0" w:space="0" w:color="auto"/>
            <w:left w:val="none" w:sz="0" w:space="0" w:color="auto"/>
            <w:bottom w:val="none" w:sz="0" w:space="0" w:color="auto"/>
            <w:right w:val="none" w:sz="0" w:space="0" w:color="auto"/>
          </w:divBdr>
          <w:divsChild>
            <w:div w:id="726538135">
              <w:marLeft w:val="0"/>
              <w:marRight w:val="0"/>
              <w:marTop w:val="0"/>
              <w:marBottom w:val="0"/>
              <w:divBdr>
                <w:top w:val="none" w:sz="0" w:space="0" w:color="auto"/>
                <w:left w:val="none" w:sz="0" w:space="0" w:color="auto"/>
                <w:bottom w:val="none" w:sz="0" w:space="0" w:color="auto"/>
                <w:right w:val="none" w:sz="0" w:space="0" w:color="auto"/>
              </w:divBdr>
            </w:div>
          </w:divsChild>
        </w:div>
        <w:div w:id="219483104">
          <w:marLeft w:val="0"/>
          <w:marRight w:val="0"/>
          <w:marTop w:val="0"/>
          <w:marBottom w:val="0"/>
          <w:divBdr>
            <w:top w:val="none" w:sz="0" w:space="0" w:color="auto"/>
            <w:left w:val="none" w:sz="0" w:space="0" w:color="auto"/>
            <w:bottom w:val="none" w:sz="0" w:space="0" w:color="auto"/>
            <w:right w:val="none" w:sz="0" w:space="0" w:color="auto"/>
          </w:divBdr>
          <w:divsChild>
            <w:div w:id="91244376">
              <w:marLeft w:val="0"/>
              <w:marRight w:val="0"/>
              <w:marTop w:val="0"/>
              <w:marBottom w:val="0"/>
              <w:divBdr>
                <w:top w:val="none" w:sz="0" w:space="0" w:color="auto"/>
                <w:left w:val="none" w:sz="0" w:space="0" w:color="auto"/>
                <w:bottom w:val="none" w:sz="0" w:space="0" w:color="auto"/>
                <w:right w:val="none" w:sz="0" w:space="0" w:color="auto"/>
              </w:divBdr>
            </w:div>
          </w:divsChild>
        </w:div>
        <w:div w:id="229196172">
          <w:marLeft w:val="0"/>
          <w:marRight w:val="0"/>
          <w:marTop w:val="0"/>
          <w:marBottom w:val="0"/>
          <w:divBdr>
            <w:top w:val="none" w:sz="0" w:space="0" w:color="auto"/>
            <w:left w:val="none" w:sz="0" w:space="0" w:color="auto"/>
            <w:bottom w:val="none" w:sz="0" w:space="0" w:color="auto"/>
            <w:right w:val="none" w:sz="0" w:space="0" w:color="auto"/>
          </w:divBdr>
          <w:divsChild>
            <w:div w:id="301233204">
              <w:marLeft w:val="0"/>
              <w:marRight w:val="0"/>
              <w:marTop w:val="0"/>
              <w:marBottom w:val="0"/>
              <w:divBdr>
                <w:top w:val="none" w:sz="0" w:space="0" w:color="auto"/>
                <w:left w:val="none" w:sz="0" w:space="0" w:color="auto"/>
                <w:bottom w:val="none" w:sz="0" w:space="0" w:color="auto"/>
                <w:right w:val="none" w:sz="0" w:space="0" w:color="auto"/>
              </w:divBdr>
            </w:div>
          </w:divsChild>
        </w:div>
        <w:div w:id="268050775">
          <w:marLeft w:val="0"/>
          <w:marRight w:val="0"/>
          <w:marTop w:val="0"/>
          <w:marBottom w:val="0"/>
          <w:divBdr>
            <w:top w:val="none" w:sz="0" w:space="0" w:color="auto"/>
            <w:left w:val="none" w:sz="0" w:space="0" w:color="auto"/>
            <w:bottom w:val="none" w:sz="0" w:space="0" w:color="auto"/>
            <w:right w:val="none" w:sz="0" w:space="0" w:color="auto"/>
          </w:divBdr>
          <w:divsChild>
            <w:div w:id="1951737686">
              <w:marLeft w:val="0"/>
              <w:marRight w:val="0"/>
              <w:marTop w:val="0"/>
              <w:marBottom w:val="0"/>
              <w:divBdr>
                <w:top w:val="none" w:sz="0" w:space="0" w:color="auto"/>
                <w:left w:val="none" w:sz="0" w:space="0" w:color="auto"/>
                <w:bottom w:val="none" w:sz="0" w:space="0" w:color="auto"/>
                <w:right w:val="none" w:sz="0" w:space="0" w:color="auto"/>
              </w:divBdr>
            </w:div>
          </w:divsChild>
        </w:div>
        <w:div w:id="283194549">
          <w:marLeft w:val="0"/>
          <w:marRight w:val="0"/>
          <w:marTop w:val="0"/>
          <w:marBottom w:val="0"/>
          <w:divBdr>
            <w:top w:val="none" w:sz="0" w:space="0" w:color="auto"/>
            <w:left w:val="none" w:sz="0" w:space="0" w:color="auto"/>
            <w:bottom w:val="none" w:sz="0" w:space="0" w:color="auto"/>
            <w:right w:val="none" w:sz="0" w:space="0" w:color="auto"/>
          </w:divBdr>
          <w:divsChild>
            <w:div w:id="730495732">
              <w:marLeft w:val="0"/>
              <w:marRight w:val="0"/>
              <w:marTop w:val="0"/>
              <w:marBottom w:val="0"/>
              <w:divBdr>
                <w:top w:val="none" w:sz="0" w:space="0" w:color="auto"/>
                <w:left w:val="none" w:sz="0" w:space="0" w:color="auto"/>
                <w:bottom w:val="none" w:sz="0" w:space="0" w:color="auto"/>
                <w:right w:val="none" w:sz="0" w:space="0" w:color="auto"/>
              </w:divBdr>
            </w:div>
          </w:divsChild>
        </w:div>
        <w:div w:id="296882172">
          <w:marLeft w:val="0"/>
          <w:marRight w:val="0"/>
          <w:marTop w:val="0"/>
          <w:marBottom w:val="0"/>
          <w:divBdr>
            <w:top w:val="none" w:sz="0" w:space="0" w:color="auto"/>
            <w:left w:val="none" w:sz="0" w:space="0" w:color="auto"/>
            <w:bottom w:val="none" w:sz="0" w:space="0" w:color="auto"/>
            <w:right w:val="none" w:sz="0" w:space="0" w:color="auto"/>
          </w:divBdr>
          <w:divsChild>
            <w:div w:id="1136919176">
              <w:marLeft w:val="0"/>
              <w:marRight w:val="0"/>
              <w:marTop w:val="0"/>
              <w:marBottom w:val="0"/>
              <w:divBdr>
                <w:top w:val="none" w:sz="0" w:space="0" w:color="auto"/>
                <w:left w:val="none" w:sz="0" w:space="0" w:color="auto"/>
                <w:bottom w:val="none" w:sz="0" w:space="0" w:color="auto"/>
                <w:right w:val="none" w:sz="0" w:space="0" w:color="auto"/>
              </w:divBdr>
            </w:div>
          </w:divsChild>
        </w:div>
        <w:div w:id="297883036">
          <w:marLeft w:val="0"/>
          <w:marRight w:val="0"/>
          <w:marTop w:val="0"/>
          <w:marBottom w:val="0"/>
          <w:divBdr>
            <w:top w:val="none" w:sz="0" w:space="0" w:color="auto"/>
            <w:left w:val="none" w:sz="0" w:space="0" w:color="auto"/>
            <w:bottom w:val="none" w:sz="0" w:space="0" w:color="auto"/>
            <w:right w:val="none" w:sz="0" w:space="0" w:color="auto"/>
          </w:divBdr>
          <w:divsChild>
            <w:div w:id="1313214412">
              <w:marLeft w:val="0"/>
              <w:marRight w:val="0"/>
              <w:marTop w:val="0"/>
              <w:marBottom w:val="0"/>
              <w:divBdr>
                <w:top w:val="none" w:sz="0" w:space="0" w:color="auto"/>
                <w:left w:val="none" w:sz="0" w:space="0" w:color="auto"/>
                <w:bottom w:val="none" w:sz="0" w:space="0" w:color="auto"/>
                <w:right w:val="none" w:sz="0" w:space="0" w:color="auto"/>
              </w:divBdr>
            </w:div>
          </w:divsChild>
        </w:div>
        <w:div w:id="336660578">
          <w:marLeft w:val="0"/>
          <w:marRight w:val="0"/>
          <w:marTop w:val="0"/>
          <w:marBottom w:val="0"/>
          <w:divBdr>
            <w:top w:val="none" w:sz="0" w:space="0" w:color="auto"/>
            <w:left w:val="none" w:sz="0" w:space="0" w:color="auto"/>
            <w:bottom w:val="none" w:sz="0" w:space="0" w:color="auto"/>
            <w:right w:val="none" w:sz="0" w:space="0" w:color="auto"/>
          </w:divBdr>
          <w:divsChild>
            <w:div w:id="1788811216">
              <w:marLeft w:val="0"/>
              <w:marRight w:val="0"/>
              <w:marTop w:val="0"/>
              <w:marBottom w:val="0"/>
              <w:divBdr>
                <w:top w:val="none" w:sz="0" w:space="0" w:color="auto"/>
                <w:left w:val="none" w:sz="0" w:space="0" w:color="auto"/>
                <w:bottom w:val="none" w:sz="0" w:space="0" w:color="auto"/>
                <w:right w:val="none" w:sz="0" w:space="0" w:color="auto"/>
              </w:divBdr>
            </w:div>
          </w:divsChild>
        </w:div>
        <w:div w:id="337197123">
          <w:marLeft w:val="0"/>
          <w:marRight w:val="0"/>
          <w:marTop w:val="0"/>
          <w:marBottom w:val="0"/>
          <w:divBdr>
            <w:top w:val="none" w:sz="0" w:space="0" w:color="auto"/>
            <w:left w:val="none" w:sz="0" w:space="0" w:color="auto"/>
            <w:bottom w:val="none" w:sz="0" w:space="0" w:color="auto"/>
            <w:right w:val="none" w:sz="0" w:space="0" w:color="auto"/>
          </w:divBdr>
          <w:divsChild>
            <w:div w:id="1159073153">
              <w:marLeft w:val="0"/>
              <w:marRight w:val="0"/>
              <w:marTop w:val="0"/>
              <w:marBottom w:val="0"/>
              <w:divBdr>
                <w:top w:val="none" w:sz="0" w:space="0" w:color="auto"/>
                <w:left w:val="none" w:sz="0" w:space="0" w:color="auto"/>
                <w:bottom w:val="none" w:sz="0" w:space="0" w:color="auto"/>
                <w:right w:val="none" w:sz="0" w:space="0" w:color="auto"/>
              </w:divBdr>
            </w:div>
          </w:divsChild>
        </w:div>
        <w:div w:id="366108037">
          <w:marLeft w:val="0"/>
          <w:marRight w:val="0"/>
          <w:marTop w:val="0"/>
          <w:marBottom w:val="0"/>
          <w:divBdr>
            <w:top w:val="none" w:sz="0" w:space="0" w:color="auto"/>
            <w:left w:val="none" w:sz="0" w:space="0" w:color="auto"/>
            <w:bottom w:val="none" w:sz="0" w:space="0" w:color="auto"/>
            <w:right w:val="none" w:sz="0" w:space="0" w:color="auto"/>
          </w:divBdr>
          <w:divsChild>
            <w:div w:id="553740973">
              <w:marLeft w:val="0"/>
              <w:marRight w:val="0"/>
              <w:marTop w:val="0"/>
              <w:marBottom w:val="0"/>
              <w:divBdr>
                <w:top w:val="none" w:sz="0" w:space="0" w:color="auto"/>
                <w:left w:val="none" w:sz="0" w:space="0" w:color="auto"/>
                <w:bottom w:val="none" w:sz="0" w:space="0" w:color="auto"/>
                <w:right w:val="none" w:sz="0" w:space="0" w:color="auto"/>
              </w:divBdr>
            </w:div>
          </w:divsChild>
        </w:div>
        <w:div w:id="391776399">
          <w:marLeft w:val="0"/>
          <w:marRight w:val="0"/>
          <w:marTop w:val="0"/>
          <w:marBottom w:val="0"/>
          <w:divBdr>
            <w:top w:val="none" w:sz="0" w:space="0" w:color="auto"/>
            <w:left w:val="none" w:sz="0" w:space="0" w:color="auto"/>
            <w:bottom w:val="none" w:sz="0" w:space="0" w:color="auto"/>
            <w:right w:val="none" w:sz="0" w:space="0" w:color="auto"/>
          </w:divBdr>
          <w:divsChild>
            <w:div w:id="883760754">
              <w:marLeft w:val="0"/>
              <w:marRight w:val="0"/>
              <w:marTop w:val="0"/>
              <w:marBottom w:val="0"/>
              <w:divBdr>
                <w:top w:val="none" w:sz="0" w:space="0" w:color="auto"/>
                <w:left w:val="none" w:sz="0" w:space="0" w:color="auto"/>
                <w:bottom w:val="none" w:sz="0" w:space="0" w:color="auto"/>
                <w:right w:val="none" w:sz="0" w:space="0" w:color="auto"/>
              </w:divBdr>
            </w:div>
          </w:divsChild>
        </w:div>
        <w:div w:id="427434690">
          <w:marLeft w:val="0"/>
          <w:marRight w:val="0"/>
          <w:marTop w:val="0"/>
          <w:marBottom w:val="0"/>
          <w:divBdr>
            <w:top w:val="none" w:sz="0" w:space="0" w:color="auto"/>
            <w:left w:val="none" w:sz="0" w:space="0" w:color="auto"/>
            <w:bottom w:val="none" w:sz="0" w:space="0" w:color="auto"/>
            <w:right w:val="none" w:sz="0" w:space="0" w:color="auto"/>
          </w:divBdr>
          <w:divsChild>
            <w:div w:id="1405448577">
              <w:marLeft w:val="0"/>
              <w:marRight w:val="0"/>
              <w:marTop w:val="0"/>
              <w:marBottom w:val="0"/>
              <w:divBdr>
                <w:top w:val="none" w:sz="0" w:space="0" w:color="auto"/>
                <w:left w:val="none" w:sz="0" w:space="0" w:color="auto"/>
                <w:bottom w:val="none" w:sz="0" w:space="0" w:color="auto"/>
                <w:right w:val="none" w:sz="0" w:space="0" w:color="auto"/>
              </w:divBdr>
            </w:div>
          </w:divsChild>
        </w:div>
        <w:div w:id="449203068">
          <w:marLeft w:val="0"/>
          <w:marRight w:val="0"/>
          <w:marTop w:val="0"/>
          <w:marBottom w:val="0"/>
          <w:divBdr>
            <w:top w:val="none" w:sz="0" w:space="0" w:color="auto"/>
            <w:left w:val="none" w:sz="0" w:space="0" w:color="auto"/>
            <w:bottom w:val="none" w:sz="0" w:space="0" w:color="auto"/>
            <w:right w:val="none" w:sz="0" w:space="0" w:color="auto"/>
          </w:divBdr>
          <w:divsChild>
            <w:div w:id="1363436845">
              <w:marLeft w:val="0"/>
              <w:marRight w:val="0"/>
              <w:marTop w:val="0"/>
              <w:marBottom w:val="0"/>
              <w:divBdr>
                <w:top w:val="none" w:sz="0" w:space="0" w:color="auto"/>
                <w:left w:val="none" w:sz="0" w:space="0" w:color="auto"/>
                <w:bottom w:val="none" w:sz="0" w:space="0" w:color="auto"/>
                <w:right w:val="none" w:sz="0" w:space="0" w:color="auto"/>
              </w:divBdr>
            </w:div>
          </w:divsChild>
        </w:div>
        <w:div w:id="457072110">
          <w:marLeft w:val="0"/>
          <w:marRight w:val="0"/>
          <w:marTop w:val="0"/>
          <w:marBottom w:val="0"/>
          <w:divBdr>
            <w:top w:val="none" w:sz="0" w:space="0" w:color="auto"/>
            <w:left w:val="none" w:sz="0" w:space="0" w:color="auto"/>
            <w:bottom w:val="none" w:sz="0" w:space="0" w:color="auto"/>
            <w:right w:val="none" w:sz="0" w:space="0" w:color="auto"/>
          </w:divBdr>
          <w:divsChild>
            <w:div w:id="531721961">
              <w:marLeft w:val="0"/>
              <w:marRight w:val="0"/>
              <w:marTop w:val="0"/>
              <w:marBottom w:val="0"/>
              <w:divBdr>
                <w:top w:val="none" w:sz="0" w:space="0" w:color="auto"/>
                <w:left w:val="none" w:sz="0" w:space="0" w:color="auto"/>
                <w:bottom w:val="none" w:sz="0" w:space="0" w:color="auto"/>
                <w:right w:val="none" w:sz="0" w:space="0" w:color="auto"/>
              </w:divBdr>
            </w:div>
          </w:divsChild>
        </w:div>
        <w:div w:id="471212275">
          <w:marLeft w:val="0"/>
          <w:marRight w:val="0"/>
          <w:marTop w:val="0"/>
          <w:marBottom w:val="0"/>
          <w:divBdr>
            <w:top w:val="none" w:sz="0" w:space="0" w:color="auto"/>
            <w:left w:val="none" w:sz="0" w:space="0" w:color="auto"/>
            <w:bottom w:val="none" w:sz="0" w:space="0" w:color="auto"/>
            <w:right w:val="none" w:sz="0" w:space="0" w:color="auto"/>
          </w:divBdr>
          <w:divsChild>
            <w:div w:id="786390467">
              <w:marLeft w:val="0"/>
              <w:marRight w:val="0"/>
              <w:marTop w:val="0"/>
              <w:marBottom w:val="0"/>
              <w:divBdr>
                <w:top w:val="none" w:sz="0" w:space="0" w:color="auto"/>
                <w:left w:val="none" w:sz="0" w:space="0" w:color="auto"/>
                <w:bottom w:val="none" w:sz="0" w:space="0" w:color="auto"/>
                <w:right w:val="none" w:sz="0" w:space="0" w:color="auto"/>
              </w:divBdr>
            </w:div>
          </w:divsChild>
        </w:div>
        <w:div w:id="483594898">
          <w:marLeft w:val="0"/>
          <w:marRight w:val="0"/>
          <w:marTop w:val="0"/>
          <w:marBottom w:val="0"/>
          <w:divBdr>
            <w:top w:val="none" w:sz="0" w:space="0" w:color="auto"/>
            <w:left w:val="none" w:sz="0" w:space="0" w:color="auto"/>
            <w:bottom w:val="none" w:sz="0" w:space="0" w:color="auto"/>
            <w:right w:val="none" w:sz="0" w:space="0" w:color="auto"/>
          </w:divBdr>
          <w:divsChild>
            <w:div w:id="816460037">
              <w:marLeft w:val="0"/>
              <w:marRight w:val="0"/>
              <w:marTop w:val="0"/>
              <w:marBottom w:val="0"/>
              <w:divBdr>
                <w:top w:val="none" w:sz="0" w:space="0" w:color="auto"/>
                <w:left w:val="none" w:sz="0" w:space="0" w:color="auto"/>
                <w:bottom w:val="none" w:sz="0" w:space="0" w:color="auto"/>
                <w:right w:val="none" w:sz="0" w:space="0" w:color="auto"/>
              </w:divBdr>
            </w:div>
          </w:divsChild>
        </w:div>
        <w:div w:id="486821447">
          <w:marLeft w:val="0"/>
          <w:marRight w:val="0"/>
          <w:marTop w:val="0"/>
          <w:marBottom w:val="0"/>
          <w:divBdr>
            <w:top w:val="none" w:sz="0" w:space="0" w:color="auto"/>
            <w:left w:val="none" w:sz="0" w:space="0" w:color="auto"/>
            <w:bottom w:val="none" w:sz="0" w:space="0" w:color="auto"/>
            <w:right w:val="none" w:sz="0" w:space="0" w:color="auto"/>
          </w:divBdr>
          <w:divsChild>
            <w:div w:id="1576167265">
              <w:marLeft w:val="0"/>
              <w:marRight w:val="0"/>
              <w:marTop w:val="0"/>
              <w:marBottom w:val="0"/>
              <w:divBdr>
                <w:top w:val="none" w:sz="0" w:space="0" w:color="auto"/>
                <w:left w:val="none" w:sz="0" w:space="0" w:color="auto"/>
                <w:bottom w:val="none" w:sz="0" w:space="0" w:color="auto"/>
                <w:right w:val="none" w:sz="0" w:space="0" w:color="auto"/>
              </w:divBdr>
            </w:div>
          </w:divsChild>
        </w:div>
        <w:div w:id="499152631">
          <w:marLeft w:val="0"/>
          <w:marRight w:val="0"/>
          <w:marTop w:val="0"/>
          <w:marBottom w:val="0"/>
          <w:divBdr>
            <w:top w:val="none" w:sz="0" w:space="0" w:color="auto"/>
            <w:left w:val="none" w:sz="0" w:space="0" w:color="auto"/>
            <w:bottom w:val="none" w:sz="0" w:space="0" w:color="auto"/>
            <w:right w:val="none" w:sz="0" w:space="0" w:color="auto"/>
          </w:divBdr>
          <w:divsChild>
            <w:div w:id="667247430">
              <w:marLeft w:val="0"/>
              <w:marRight w:val="0"/>
              <w:marTop w:val="0"/>
              <w:marBottom w:val="0"/>
              <w:divBdr>
                <w:top w:val="none" w:sz="0" w:space="0" w:color="auto"/>
                <w:left w:val="none" w:sz="0" w:space="0" w:color="auto"/>
                <w:bottom w:val="none" w:sz="0" w:space="0" w:color="auto"/>
                <w:right w:val="none" w:sz="0" w:space="0" w:color="auto"/>
              </w:divBdr>
            </w:div>
          </w:divsChild>
        </w:div>
        <w:div w:id="502864499">
          <w:marLeft w:val="0"/>
          <w:marRight w:val="0"/>
          <w:marTop w:val="0"/>
          <w:marBottom w:val="0"/>
          <w:divBdr>
            <w:top w:val="none" w:sz="0" w:space="0" w:color="auto"/>
            <w:left w:val="none" w:sz="0" w:space="0" w:color="auto"/>
            <w:bottom w:val="none" w:sz="0" w:space="0" w:color="auto"/>
            <w:right w:val="none" w:sz="0" w:space="0" w:color="auto"/>
          </w:divBdr>
          <w:divsChild>
            <w:div w:id="1208301316">
              <w:marLeft w:val="0"/>
              <w:marRight w:val="0"/>
              <w:marTop w:val="0"/>
              <w:marBottom w:val="0"/>
              <w:divBdr>
                <w:top w:val="none" w:sz="0" w:space="0" w:color="auto"/>
                <w:left w:val="none" w:sz="0" w:space="0" w:color="auto"/>
                <w:bottom w:val="none" w:sz="0" w:space="0" w:color="auto"/>
                <w:right w:val="none" w:sz="0" w:space="0" w:color="auto"/>
              </w:divBdr>
            </w:div>
          </w:divsChild>
        </w:div>
        <w:div w:id="519247856">
          <w:marLeft w:val="0"/>
          <w:marRight w:val="0"/>
          <w:marTop w:val="0"/>
          <w:marBottom w:val="0"/>
          <w:divBdr>
            <w:top w:val="none" w:sz="0" w:space="0" w:color="auto"/>
            <w:left w:val="none" w:sz="0" w:space="0" w:color="auto"/>
            <w:bottom w:val="none" w:sz="0" w:space="0" w:color="auto"/>
            <w:right w:val="none" w:sz="0" w:space="0" w:color="auto"/>
          </w:divBdr>
          <w:divsChild>
            <w:div w:id="922228348">
              <w:marLeft w:val="0"/>
              <w:marRight w:val="0"/>
              <w:marTop w:val="0"/>
              <w:marBottom w:val="0"/>
              <w:divBdr>
                <w:top w:val="none" w:sz="0" w:space="0" w:color="auto"/>
                <w:left w:val="none" w:sz="0" w:space="0" w:color="auto"/>
                <w:bottom w:val="none" w:sz="0" w:space="0" w:color="auto"/>
                <w:right w:val="none" w:sz="0" w:space="0" w:color="auto"/>
              </w:divBdr>
            </w:div>
          </w:divsChild>
        </w:div>
        <w:div w:id="551773035">
          <w:marLeft w:val="0"/>
          <w:marRight w:val="0"/>
          <w:marTop w:val="0"/>
          <w:marBottom w:val="0"/>
          <w:divBdr>
            <w:top w:val="none" w:sz="0" w:space="0" w:color="auto"/>
            <w:left w:val="none" w:sz="0" w:space="0" w:color="auto"/>
            <w:bottom w:val="none" w:sz="0" w:space="0" w:color="auto"/>
            <w:right w:val="none" w:sz="0" w:space="0" w:color="auto"/>
          </w:divBdr>
          <w:divsChild>
            <w:div w:id="1730415351">
              <w:marLeft w:val="0"/>
              <w:marRight w:val="0"/>
              <w:marTop w:val="0"/>
              <w:marBottom w:val="0"/>
              <w:divBdr>
                <w:top w:val="none" w:sz="0" w:space="0" w:color="auto"/>
                <w:left w:val="none" w:sz="0" w:space="0" w:color="auto"/>
                <w:bottom w:val="none" w:sz="0" w:space="0" w:color="auto"/>
                <w:right w:val="none" w:sz="0" w:space="0" w:color="auto"/>
              </w:divBdr>
            </w:div>
          </w:divsChild>
        </w:div>
        <w:div w:id="565339469">
          <w:marLeft w:val="0"/>
          <w:marRight w:val="0"/>
          <w:marTop w:val="0"/>
          <w:marBottom w:val="0"/>
          <w:divBdr>
            <w:top w:val="none" w:sz="0" w:space="0" w:color="auto"/>
            <w:left w:val="none" w:sz="0" w:space="0" w:color="auto"/>
            <w:bottom w:val="none" w:sz="0" w:space="0" w:color="auto"/>
            <w:right w:val="none" w:sz="0" w:space="0" w:color="auto"/>
          </w:divBdr>
          <w:divsChild>
            <w:div w:id="296759997">
              <w:marLeft w:val="0"/>
              <w:marRight w:val="0"/>
              <w:marTop w:val="0"/>
              <w:marBottom w:val="0"/>
              <w:divBdr>
                <w:top w:val="none" w:sz="0" w:space="0" w:color="auto"/>
                <w:left w:val="none" w:sz="0" w:space="0" w:color="auto"/>
                <w:bottom w:val="none" w:sz="0" w:space="0" w:color="auto"/>
                <w:right w:val="none" w:sz="0" w:space="0" w:color="auto"/>
              </w:divBdr>
            </w:div>
          </w:divsChild>
        </w:div>
        <w:div w:id="573008530">
          <w:marLeft w:val="0"/>
          <w:marRight w:val="0"/>
          <w:marTop w:val="0"/>
          <w:marBottom w:val="0"/>
          <w:divBdr>
            <w:top w:val="none" w:sz="0" w:space="0" w:color="auto"/>
            <w:left w:val="none" w:sz="0" w:space="0" w:color="auto"/>
            <w:bottom w:val="none" w:sz="0" w:space="0" w:color="auto"/>
            <w:right w:val="none" w:sz="0" w:space="0" w:color="auto"/>
          </w:divBdr>
          <w:divsChild>
            <w:div w:id="1460342883">
              <w:marLeft w:val="0"/>
              <w:marRight w:val="0"/>
              <w:marTop w:val="0"/>
              <w:marBottom w:val="0"/>
              <w:divBdr>
                <w:top w:val="none" w:sz="0" w:space="0" w:color="auto"/>
                <w:left w:val="none" w:sz="0" w:space="0" w:color="auto"/>
                <w:bottom w:val="none" w:sz="0" w:space="0" w:color="auto"/>
                <w:right w:val="none" w:sz="0" w:space="0" w:color="auto"/>
              </w:divBdr>
            </w:div>
          </w:divsChild>
        </w:div>
        <w:div w:id="574172034">
          <w:marLeft w:val="0"/>
          <w:marRight w:val="0"/>
          <w:marTop w:val="0"/>
          <w:marBottom w:val="0"/>
          <w:divBdr>
            <w:top w:val="none" w:sz="0" w:space="0" w:color="auto"/>
            <w:left w:val="none" w:sz="0" w:space="0" w:color="auto"/>
            <w:bottom w:val="none" w:sz="0" w:space="0" w:color="auto"/>
            <w:right w:val="none" w:sz="0" w:space="0" w:color="auto"/>
          </w:divBdr>
          <w:divsChild>
            <w:div w:id="136071437">
              <w:marLeft w:val="0"/>
              <w:marRight w:val="0"/>
              <w:marTop w:val="0"/>
              <w:marBottom w:val="0"/>
              <w:divBdr>
                <w:top w:val="none" w:sz="0" w:space="0" w:color="auto"/>
                <w:left w:val="none" w:sz="0" w:space="0" w:color="auto"/>
                <w:bottom w:val="none" w:sz="0" w:space="0" w:color="auto"/>
                <w:right w:val="none" w:sz="0" w:space="0" w:color="auto"/>
              </w:divBdr>
            </w:div>
          </w:divsChild>
        </w:div>
        <w:div w:id="576138297">
          <w:marLeft w:val="0"/>
          <w:marRight w:val="0"/>
          <w:marTop w:val="0"/>
          <w:marBottom w:val="0"/>
          <w:divBdr>
            <w:top w:val="none" w:sz="0" w:space="0" w:color="auto"/>
            <w:left w:val="none" w:sz="0" w:space="0" w:color="auto"/>
            <w:bottom w:val="none" w:sz="0" w:space="0" w:color="auto"/>
            <w:right w:val="none" w:sz="0" w:space="0" w:color="auto"/>
          </w:divBdr>
          <w:divsChild>
            <w:div w:id="116996117">
              <w:marLeft w:val="0"/>
              <w:marRight w:val="0"/>
              <w:marTop w:val="0"/>
              <w:marBottom w:val="0"/>
              <w:divBdr>
                <w:top w:val="none" w:sz="0" w:space="0" w:color="auto"/>
                <w:left w:val="none" w:sz="0" w:space="0" w:color="auto"/>
                <w:bottom w:val="none" w:sz="0" w:space="0" w:color="auto"/>
                <w:right w:val="none" w:sz="0" w:space="0" w:color="auto"/>
              </w:divBdr>
            </w:div>
          </w:divsChild>
        </w:div>
        <w:div w:id="638000096">
          <w:marLeft w:val="0"/>
          <w:marRight w:val="0"/>
          <w:marTop w:val="0"/>
          <w:marBottom w:val="0"/>
          <w:divBdr>
            <w:top w:val="none" w:sz="0" w:space="0" w:color="auto"/>
            <w:left w:val="none" w:sz="0" w:space="0" w:color="auto"/>
            <w:bottom w:val="none" w:sz="0" w:space="0" w:color="auto"/>
            <w:right w:val="none" w:sz="0" w:space="0" w:color="auto"/>
          </w:divBdr>
          <w:divsChild>
            <w:div w:id="1666006078">
              <w:marLeft w:val="0"/>
              <w:marRight w:val="0"/>
              <w:marTop w:val="0"/>
              <w:marBottom w:val="0"/>
              <w:divBdr>
                <w:top w:val="none" w:sz="0" w:space="0" w:color="auto"/>
                <w:left w:val="none" w:sz="0" w:space="0" w:color="auto"/>
                <w:bottom w:val="none" w:sz="0" w:space="0" w:color="auto"/>
                <w:right w:val="none" w:sz="0" w:space="0" w:color="auto"/>
              </w:divBdr>
            </w:div>
          </w:divsChild>
        </w:div>
        <w:div w:id="656226199">
          <w:marLeft w:val="0"/>
          <w:marRight w:val="0"/>
          <w:marTop w:val="0"/>
          <w:marBottom w:val="0"/>
          <w:divBdr>
            <w:top w:val="none" w:sz="0" w:space="0" w:color="auto"/>
            <w:left w:val="none" w:sz="0" w:space="0" w:color="auto"/>
            <w:bottom w:val="none" w:sz="0" w:space="0" w:color="auto"/>
            <w:right w:val="none" w:sz="0" w:space="0" w:color="auto"/>
          </w:divBdr>
          <w:divsChild>
            <w:div w:id="96946906">
              <w:marLeft w:val="0"/>
              <w:marRight w:val="0"/>
              <w:marTop w:val="0"/>
              <w:marBottom w:val="0"/>
              <w:divBdr>
                <w:top w:val="none" w:sz="0" w:space="0" w:color="auto"/>
                <w:left w:val="none" w:sz="0" w:space="0" w:color="auto"/>
                <w:bottom w:val="none" w:sz="0" w:space="0" w:color="auto"/>
                <w:right w:val="none" w:sz="0" w:space="0" w:color="auto"/>
              </w:divBdr>
            </w:div>
          </w:divsChild>
        </w:div>
        <w:div w:id="702705085">
          <w:marLeft w:val="0"/>
          <w:marRight w:val="0"/>
          <w:marTop w:val="0"/>
          <w:marBottom w:val="0"/>
          <w:divBdr>
            <w:top w:val="none" w:sz="0" w:space="0" w:color="auto"/>
            <w:left w:val="none" w:sz="0" w:space="0" w:color="auto"/>
            <w:bottom w:val="none" w:sz="0" w:space="0" w:color="auto"/>
            <w:right w:val="none" w:sz="0" w:space="0" w:color="auto"/>
          </w:divBdr>
          <w:divsChild>
            <w:div w:id="93288391">
              <w:marLeft w:val="0"/>
              <w:marRight w:val="0"/>
              <w:marTop w:val="0"/>
              <w:marBottom w:val="0"/>
              <w:divBdr>
                <w:top w:val="none" w:sz="0" w:space="0" w:color="auto"/>
                <w:left w:val="none" w:sz="0" w:space="0" w:color="auto"/>
                <w:bottom w:val="none" w:sz="0" w:space="0" w:color="auto"/>
                <w:right w:val="none" w:sz="0" w:space="0" w:color="auto"/>
              </w:divBdr>
            </w:div>
          </w:divsChild>
        </w:div>
        <w:div w:id="709959404">
          <w:marLeft w:val="0"/>
          <w:marRight w:val="0"/>
          <w:marTop w:val="0"/>
          <w:marBottom w:val="0"/>
          <w:divBdr>
            <w:top w:val="none" w:sz="0" w:space="0" w:color="auto"/>
            <w:left w:val="none" w:sz="0" w:space="0" w:color="auto"/>
            <w:bottom w:val="none" w:sz="0" w:space="0" w:color="auto"/>
            <w:right w:val="none" w:sz="0" w:space="0" w:color="auto"/>
          </w:divBdr>
          <w:divsChild>
            <w:div w:id="358089099">
              <w:marLeft w:val="0"/>
              <w:marRight w:val="0"/>
              <w:marTop w:val="0"/>
              <w:marBottom w:val="0"/>
              <w:divBdr>
                <w:top w:val="none" w:sz="0" w:space="0" w:color="auto"/>
                <w:left w:val="none" w:sz="0" w:space="0" w:color="auto"/>
                <w:bottom w:val="none" w:sz="0" w:space="0" w:color="auto"/>
                <w:right w:val="none" w:sz="0" w:space="0" w:color="auto"/>
              </w:divBdr>
            </w:div>
          </w:divsChild>
        </w:div>
        <w:div w:id="716315279">
          <w:marLeft w:val="0"/>
          <w:marRight w:val="0"/>
          <w:marTop w:val="0"/>
          <w:marBottom w:val="0"/>
          <w:divBdr>
            <w:top w:val="none" w:sz="0" w:space="0" w:color="auto"/>
            <w:left w:val="none" w:sz="0" w:space="0" w:color="auto"/>
            <w:bottom w:val="none" w:sz="0" w:space="0" w:color="auto"/>
            <w:right w:val="none" w:sz="0" w:space="0" w:color="auto"/>
          </w:divBdr>
          <w:divsChild>
            <w:div w:id="528034346">
              <w:marLeft w:val="0"/>
              <w:marRight w:val="0"/>
              <w:marTop w:val="0"/>
              <w:marBottom w:val="0"/>
              <w:divBdr>
                <w:top w:val="none" w:sz="0" w:space="0" w:color="auto"/>
                <w:left w:val="none" w:sz="0" w:space="0" w:color="auto"/>
                <w:bottom w:val="none" w:sz="0" w:space="0" w:color="auto"/>
                <w:right w:val="none" w:sz="0" w:space="0" w:color="auto"/>
              </w:divBdr>
            </w:div>
          </w:divsChild>
        </w:div>
        <w:div w:id="716858968">
          <w:marLeft w:val="0"/>
          <w:marRight w:val="0"/>
          <w:marTop w:val="0"/>
          <w:marBottom w:val="0"/>
          <w:divBdr>
            <w:top w:val="none" w:sz="0" w:space="0" w:color="auto"/>
            <w:left w:val="none" w:sz="0" w:space="0" w:color="auto"/>
            <w:bottom w:val="none" w:sz="0" w:space="0" w:color="auto"/>
            <w:right w:val="none" w:sz="0" w:space="0" w:color="auto"/>
          </w:divBdr>
          <w:divsChild>
            <w:div w:id="233781740">
              <w:marLeft w:val="0"/>
              <w:marRight w:val="0"/>
              <w:marTop w:val="0"/>
              <w:marBottom w:val="0"/>
              <w:divBdr>
                <w:top w:val="none" w:sz="0" w:space="0" w:color="auto"/>
                <w:left w:val="none" w:sz="0" w:space="0" w:color="auto"/>
                <w:bottom w:val="none" w:sz="0" w:space="0" w:color="auto"/>
                <w:right w:val="none" w:sz="0" w:space="0" w:color="auto"/>
              </w:divBdr>
            </w:div>
          </w:divsChild>
        </w:div>
        <w:div w:id="717045324">
          <w:marLeft w:val="0"/>
          <w:marRight w:val="0"/>
          <w:marTop w:val="0"/>
          <w:marBottom w:val="0"/>
          <w:divBdr>
            <w:top w:val="none" w:sz="0" w:space="0" w:color="auto"/>
            <w:left w:val="none" w:sz="0" w:space="0" w:color="auto"/>
            <w:bottom w:val="none" w:sz="0" w:space="0" w:color="auto"/>
            <w:right w:val="none" w:sz="0" w:space="0" w:color="auto"/>
          </w:divBdr>
          <w:divsChild>
            <w:div w:id="1386638932">
              <w:marLeft w:val="0"/>
              <w:marRight w:val="0"/>
              <w:marTop w:val="0"/>
              <w:marBottom w:val="0"/>
              <w:divBdr>
                <w:top w:val="none" w:sz="0" w:space="0" w:color="auto"/>
                <w:left w:val="none" w:sz="0" w:space="0" w:color="auto"/>
                <w:bottom w:val="none" w:sz="0" w:space="0" w:color="auto"/>
                <w:right w:val="none" w:sz="0" w:space="0" w:color="auto"/>
              </w:divBdr>
            </w:div>
          </w:divsChild>
        </w:div>
        <w:div w:id="748431943">
          <w:marLeft w:val="0"/>
          <w:marRight w:val="0"/>
          <w:marTop w:val="0"/>
          <w:marBottom w:val="0"/>
          <w:divBdr>
            <w:top w:val="none" w:sz="0" w:space="0" w:color="auto"/>
            <w:left w:val="none" w:sz="0" w:space="0" w:color="auto"/>
            <w:bottom w:val="none" w:sz="0" w:space="0" w:color="auto"/>
            <w:right w:val="none" w:sz="0" w:space="0" w:color="auto"/>
          </w:divBdr>
          <w:divsChild>
            <w:div w:id="920988209">
              <w:marLeft w:val="0"/>
              <w:marRight w:val="0"/>
              <w:marTop w:val="0"/>
              <w:marBottom w:val="0"/>
              <w:divBdr>
                <w:top w:val="none" w:sz="0" w:space="0" w:color="auto"/>
                <w:left w:val="none" w:sz="0" w:space="0" w:color="auto"/>
                <w:bottom w:val="none" w:sz="0" w:space="0" w:color="auto"/>
                <w:right w:val="none" w:sz="0" w:space="0" w:color="auto"/>
              </w:divBdr>
            </w:div>
          </w:divsChild>
        </w:div>
        <w:div w:id="754786317">
          <w:marLeft w:val="0"/>
          <w:marRight w:val="0"/>
          <w:marTop w:val="0"/>
          <w:marBottom w:val="0"/>
          <w:divBdr>
            <w:top w:val="none" w:sz="0" w:space="0" w:color="auto"/>
            <w:left w:val="none" w:sz="0" w:space="0" w:color="auto"/>
            <w:bottom w:val="none" w:sz="0" w:space="0" w:color="auto"/>
            <w:right w:val="none" w:sz="0" w:space="0" w:color="auto"/>
          </w:divBdr>
          <w:divsChild>
            <w:div w:id="736316886">
              <w:marLeft w:val="0"/>
              <w:marRight w:val="0"/>
              <w:marTop w:val="0"/>
              <w:marBottom w:val="0"/>
              <w:divBdr>
                <w:top w:val="none" w:sz="0" w:space="0" w:color="auto"/>
                <w:left w:val="none" w:sz="0" w:space="0" w:color="auto"/>
                <w:bottom w:val="none" w:sz="0" w:space="0" w:color="auto"/>
                <w:right w:val="none" w:sz="0" w:space="0" w:color="auto"/>
              </w:divBdr>
            </w:div>
          </w:divsChild>
        </w:div>
        <w:div w:id="756513178">
          <w:marLeft w:val="0"/>
          <w:marRight w:val="0"/>
          <w:marTop w:val="0"/>
          <w:marBottom w:val="0"/>
          <w:divBdr>
            <w:top w:val="none" w:sz="0" w:space="0" w:color="auto"/>
            <w:left w:val="none" w:sz="0" w:space="0" w:color="auto"/>
            <w:bottom w:val="none" w:sz="0" w:space="0" w:color="auto"/>
            <w:right w:val="none" w:sz="0" w:space="0" w:color="auto"/>
          </w:divBdr>
          <w:divsChild>
            <w:div w:id="112402655">
              <w:marLeft w:val="0"/>
              <w:marRight w:val="0"/>
              <w:marTop w:val="0"/>
              <w:marBottom w:val="0"/>
              <w:divBdr>
                <w:top w:val="none" w:sz="0" w:space="0" w:color="auto"/>
                <w:left w:val="none" w:sz="0" w:space="0" w:color="auto"/>
                <w:bottom w:val="none" w:sz="0" w:space="0" w:color="auto"/>
                <w:right w:val="none" w:sz="0" w:space="0" w:color="auto"/>
              </w:divBdr>
            </w:div>
          </w:divsChild>
        </w:div>
        <w:div w:id="814180598">
          <w:marLeft w:val="0"/>
          <w:marRight w:val="0"/>
          <w:marTop w:val="0"/>
          <w:marBottom w:val="0"/>
          <w:divBdr>
            <w:top w:val="none" w:sz="0" w:space="0" w:color="auto"/>
            <w:left w:val="none" w:sz="0" w:space="0" w:color="auto"/>
            <w:bottom w:val="none" w:sz="0" w:space="0" w:color="auto"/>
            <w:right w:val="none" w:sz="0" w:space="0" w:color="auto"/>
          </w:divBdr>
          <w:divsChild>
            <w:div w:id="1144929392">
              <w:marLeft w:val="0"/>
              <w:marRight w:val="0"/>
              <w:marTop w:val="0"/>
              <w:marBottom w:val="0"/>
              <w:divBdr>
                <w:top w:val="none" w:sz="0" w:space="0" w:color="auto"/>
                <w:left w:val="none" w:sz="0" w:space="0" w:color="auto"/>
                <w:bottom w:val="none" w:sz="0" w:space="0" w:color="auto"/>
                <w:right w:val="none" w:sz="0" w:space="0" w:color="auto"/>
              </w:divBdr>
            </w:div>
          </w:divsChild>
        </w:div>
        <w:div w:id="849564713">
          <w:marLeft w:val="0"/>
          <w:marRight w:val="0"/>
          <w:marTop w:val="0"/>
          <w:marBottom w:val="0"/>
          <w:divBdr>
            <w:top w:val="none" w:sz="0" w:space="0" w:color="auto"/>
            <w:left w:val="none" w:sz="0" w:space="0" w:color="auto"/>
            <w:bottom w:val="none" w:sz="0" w:space="0" w:color="auto"/>
            <w:right w:val="none" w:sz="0" w:space="0" w:color="auto"/>
          </w:divBdr>
          <w:divsChild>
            <w:div w:id="1066150089">
              <w:marLeft w:val="0"/>
              <w:marRight w:val="0"/>
              <w:marTop w:val="0"/>
              <w:marBottom w:val="0"/>
              <w:divBdr>
                <w:top w:val="none" w:sz="0" w:space="0" w:color="auto"/>
                <w:left w:val="none" w:sz="0" w:space="0" w:color="auto"/>
                <w:bottom w:val="none" w:sz="0" w:space="0" w:color="auto"/>
                <w:right w:val="none" w:sz="0" w:space="0" w:color="auto"/>
              </w:divBdr>
            </w:div>
          </w:divsChild>
        </w:div>
        <w:div w:id="854613571">
          <w:marLeft w:val="0"/>
          <w:marRight w:val="0"/>
          <w:marTop w:val="0"/>
          <w:marBottom w:val="0"/>
          <w:divBdr>
            <w:top w:val="none" w:sz="0" w:space="0" w:color="auto"/>
            <w:left w:val="none" w:sz="0" w:space="0" w:color="auto"/>
            <w:bottom w:val="none" w:sz="0" w:space="0" w:color="auto"/>
            <w:right w:val="none" w:sz="0" w:space="0" w:color="auto"/>
          </w:divBdr>
          <w:divsChild>
            <w:div w:id="1558079743">
              <w:marLeft w:val="0"/>
              <w:marRight w:val="0"/>
              <w:marTop w:val="0"/>
              <w:marBottom w:val="0"/>
              <w:divBdr>
                <w:top w:val="none" w:sz="0" w:space="0" w:color="auto"/>
                <w:left w:val="none" w:sz="0" w:space="0" w:color="auto"/>
                <w:bottom w:val="none" w:sz="0" w:space="0" w:color="auto"/>
                <w:right w:val="none" w:sz="0" w:space="0" w:color="auto"/>
              </w:divBdr>
            </w:div>
          </w:divsChild>
        </w:div>
        <w:div w:id="882135796">
          <w:marLeft w:val="0"/>
          <w:marRight w:val="0"/>
          <w:marTop w:val="0"/>
          <w:marBottom w:val="0"/>
          <w:divBdr>
            <w:top w:val="none" w:sz="0" w:space="0" w:color="auto"/>
            <w:left w:val="none" w:sz="0" w:space="0" w:color="auto"/>
            <w:bottom w:val="none" w:sz="0" w:space="0" w:color="auto"/>
            <w:right w:val="none" w:sz="0" w:space="0" w:color="auto"/>
          </w:divBdr>
          <w:divsChild>
            <w:div w:id="1819422161">
              <w:marLeft w:val="0"/>
              <w:marRight w:val="0"/>
              <w:marTop w:val="0"/>
              <w:marBottom w:val="0"/>
              <w:divBdr>
                <w:top w:val="none" w:sz="0" w:space="0" w:color="auto"/>
                <w:left w:val="none" w:sz="0" w:space="0" w:color="auto"/>
                <w:bottom w:val="none" w:sz="0" w:space="0" w:color="auto"/>
                <w:right w:val="none" w:sz="0" w:space="0" w:color="auto"/>
              </w:divBdr>
            </w:div>
          </w:divsChild>
        </w:div>
        <w:div w:id="889607167">
          <w:marLeft w:val="0"/>
          <w:marRight w:val="0"/>
          <w:marTop w:val="0"/>
          <w:marBottom w:val="0"/>
          <w:divBdr>
            <w:top w:val="none" w:sz="0" w:space="0" w:color="auto"/>
            <w:left w:val="none" w:sz="0" w:space="0" w:color="auto"/>
            <w:bottom w:val="none" w:sz="0" w:space="0" w:color="auto"/>
            <w:right w:val="none" w:sz="0" w:space="0" w:color="auto"/>
          </w:divBdr>
          <w:divsChild>
            <w:div w:id="2074883938">
              <w:marLeft w:val="0"/>
              <w:marRight w:val="0"/>
              <w:marTop w:val="0"/>
              <w:marBottom w:val="0"/>
              <w:divBdr>
                <w:top w:val="none" w:sz="0" w:space="0" w:color="auto"/>
                <w:left w:val="none" w:sz="0" w:space="0" w:color="auto"/>
                <w:bottom w:val="none" w:sz="0" w:space="0" w:color="auto"/>
                <w:right w:val="none" w:sz="0" w:space="0" w:color="auto"/>
              </w:divBdr>
            </w:div>
          </w:divsChild>
        </w:div>
        <w:div w:id="898514583">
          <w:marLeft w:val="0"/>
          <w:marRight w:val="0"/>
          <w:marTop w:val="0"/>
          <w:marBottom w:val="0"/>
          <w:divBdr>
            <w:top w:val="none" w:sz="0" w:space="0" w:color="auto"/>
            <w:left w:val="none" w:sz="0" w:space="0" w:color="auto"/>
            <w:bottom w:val="none" w:sz="0" w:space="0" w:color="auto"/>
            <w:right w:val="none" w:sz="0" w:space="0" w:color="auto"/>
          </w:divBdr>
          <w:divsChild>
            <w:div w:id="1595045644">
              <w:marLeft w:val="0"/>
              <w:marRight w:val="0"/>
              <w:marTop w:val="0"/>
              <w:marBottom w:val="0"/>
              <w:divBdr>
                <w:top w:val="none" w:sz="0" w:space="0" w:color="auto"/>
                <w:left w:val="none" w:sz="0" w:space="0" w:color="auto"/>
                <w:bottom w:val="none" w:sz="0" w:space="0" w:color="auto"/>
                <w:right w:val="none" w:sz="0" w:space="0" w:color="auto"/>
              </w:divBdr>
            </w:div>
          </w:divsChild>
        </w:div>
        <w:div w:id="923762346">
          <w:marLeft w:val="0"/>
          <w:marRight w:val="0"/>
          <w:marTop w:val="0"/>
          <w:marBottom w:val="0"/>
          <w:divBdr>
            <w:top w:val="none" w:sz="0" w:space="0" w:color="auto"/>
            <w:left w:val="none" w:sz="0" w:space="0" w:color="auto"/>
            <w:bottom w:val="none" w:sz="0" w:space="0" w:color="auto"/>
            <w:right w:val="none" w:sz="0" w:space="0" w:color="auto"/>
          </w:divBdr>
          <w:divsChild>
            <w:div w:id="2115249099">
              <w:marLeft w:val="0"/>
              <w:marRight w:val="0"/>
              <w:marTop w:val="0"/>
              <w:marBottom w:val="0"/>
              <w:divBdr>
                <w:top w:val="none" w:sz="0" w:space="0" w:color="auto"/>
                <w:left w:val="none" w:sz="0" w:space="0" w:color="auto"/>
                <w:bottom w:val="none" w:sz="0" w:space="0" w:color="auto"/>
                <w:right w:val="none" w:sz="0" w:space="0" w:color="auto"/>
              </w:divBdr>
            </w:div>
          </w:divsChild>
        </w:div>
        <w:div w:id="964505028">
          <w:marLeft w:val="0"/>
          <w:marRight w:val="0"/>
          <w:marTop w:val="0"/>
          <w:marBottom w:val="0"/>
          <w:divBdr>
            <w:top w:val="none" w:sz="0" w:space="0" w:color="auto"/>
            <w:left w:val="none" w:sz="0" w:space="0" w:color="auto"/>
            <w:bottom w:val="none" w:sz="0" w:space="0" w:color="auto"/>
            <w:right w:val="none" w:sz="0" w:space="0" w:color="auto"/>
          </w:divBdr>
          <w:divsChild>
            <w:div w:id="55013278">
              <w:marLeft w:val="0"/>
              <w:marRight w:val="0"/>
              <w:marTop w:val="0"/>
              <w:marBottom w:val="0"/>
              <w:divBdr>
                <w:top w:val="none" w:sz="0" w:space="0" w:color="auto"/>
                <w:left w:val="none" w:sz="0" w:space="0" w:color="auto"/>
                <w:bottom w:val="none" w:sz="0" w:space="0" w:color="auto"/>
                <w:right w:val="none" w:sz="0" w:space="0" w:color="auto"/>
              </w:divBdr>
            </w:div>
          </w:divsChild>
        </w:div>
        <w:div w:id="987243748">
          <w:marLeft w:val="0"/>
          <w:marRight w:val="0"/>
          <w:marTop w:val="0"/>
          <w:marBottom w:val="0"/>
          <w:divBdr>
            <w:top w:val="none" w:sz="0" w:space="0" w:color="auto"/>
            <w:left w:val="none" w:sz="0" w:space="0" w:color="auto"/>
            <w:bottom w:val="none" w:sz="0" w:space="0" w:color="auto"/>
            <w:right w:val="none" w:sz="0" w:space="0" w:color="auto"/>
          </w:divBdr>
          <w:divsChild>
            <w:div w:id="2038970123">
              <w:marLeft w:val="0"/>
              <w:marRight w:val="0"/>
              <w:marTop w:val="0"/>
              <w:marBottom w:val="0"/>
              <w:divBdr>
                <w:top w:val="none" w:sz="0" w:space="0" w:color="auto"/>
                <w:left w:val="none" w:sz="0" w:space="0" w:color="auto"/>
                <w:bottom w:val="none" w:sz="0" w:space="0" w:color="auto"/>
                <w:right w:val="none" w:sz="0" w:space="0" w:color="auto"/>
              </w:divBdr>
            </w:div>
          </w:divsChild>
        </w:div>
        <w:div w:id="1004740760">
          <w:marLeft w:val="0"/>
          <w:marRight w:val="0"/>
          <w:marTop w:val="0"/>
          <w:marBottom w:val="0"/>
          <w:divBdr>
            <w:top w:val="none" w:sz="0" w:space="0" w:color="auto"/>
            <w:left w:val="none" w:sz="0" w:space="0" w:color="auto"/>
            <w:bottom w:val="none" w:sz="0" w:space="0" w:color="auto"/>
            <w:right w:val="none" w:sz="0" w:space="0" w:color="auto"/>
          </w:divBdr>
          <w:divsChild>
            <w:div w:id="1237200691">
              <w:marLeft w:val="0"/>
              <w:marRight w:val="0"/>
              <w:marTop w:val="0"/>
              <w:marBottom w:val="0"/>
              <w:divBdr>
                <w:top w:val="none" w:sz="0" w:space="0" w:color="auto"/>
                <w:left w:val="none" w:sz="0" w:space="0" w:color="auto"/>
                <w:bottom w:val="none" w:sz="0" w:space="0" w:color="auto"/>
                <w:right w:val="none" w:sz="0" w:space="0" w:color="auto"/>
              </w:divBdr>
            </w:div>
          </w:divsChild>
        </w:div>
        <w:div w:id="1014500475">
          <w:marLeft w:val="0"/>
          <w:marRight w:val="0"/>
          <w:marTop w:val="0"/>
          <w:marBottom w:val="0"/>
          <w:divBdr>
            <w:top w:val="none" w:sz="0" w:space="0" w:color="auto"/>
            <w:left w:val="none" w:sz="0" w:space="0" w:color="auto"/>
            <w:bottom w:val="none" w:sz="0" w:space="0" w:color="auto"/>
            <w:right w:val="none" w:sz="0" w:space="0" w:color="auto"/>
          </w:divBdr>
          <w:divsChild>
            <w:div w:id="189684497">
              <w:marLeft w:val="0"/>
              <w:marRight w:val="0"/>
              <w:marTop w:val="0"/>
              <w:marBottom w:val="0"/>
              <w:divBdr>
                <w:top w:val="none" w:sz="0" w:space="0" w:color="auto"/>
                <w:left w:val="none" w:sz="0" w:space="0" w:color="auto"/>
                <w:bottom w:val="none" w:sz="0" w:space="0" w:color="auto"/>
                <w:right w:val="none" w:sz="0" w:space="0" w:color="auto"/>
              </w:divBdr>
            </w:div>
            <w:div w:id="1210191244">
              <w:marLeft w:val="0"/>
              <w:marRight w:val="0"/>
              <w:marTop w:val="0"/>
              <w:marBottom w:val="0"/>
              <w:divBdr>
                <w:top w:val="none" w:sz="0" w:space="0" w:color="auto"/>
                <w:left w:val="none" w:sz="0" w:space="0" w:color="auto"/>
                <w:bottom w:val="none" w:sz="0" w:space="0" w:color="auto"/>
                <w:right w:val="none" w:sz="0" w:space="0" w:color="auto"/>
              </w:divBdr>
            </w:div>
          </w:divsChild>
        </w:div>
        <w:div w:id="1033306717">
          <w:marLeft w:val="0"/>
          <w:marRight w:val="0"/>
          <w:marTop w:val="0"/>
          <w:marBottom w:val="0"/>
          <w:divBdr>
            <w:top w:val="none" w:sz="0" w:space="0" w:color="auto"/>
            <w:left w:val="none" w:sz="0" w:space="0" w:color="auto"/>
            <w:bottom w:val="none" w:sz="0" w:space="0" w:color="auto"/>
            <w:right w:val="none" w:sz="0" w:space="0" w:color="auto"/>
          </w:divBdr>
          <w:divsChild>
            <w:div w:id="2030333304">
              <w:marLeft w:val="0"/>
              <w:marRight w:val="0"/>
              <w:marTop w:val="0"/>
              <w:marBottom w:val="0"/>
              <w:divBdr>
                <w:top w:val="none" w:sz="0" w:space="0" w:color="auto"/>
                <w:left w:val="none" w:sz="0" w:space="0" w:color="auto"/>
                <w:bottom w:val="none" w:sz="0" w:space="0" w:color="auto"/>
                <w:right w:val="none" w:sz="0" w:space="0" w:color="auto"/>
              </w:divBdr>
            </w:div>
          </w:divsChild>
        </w:div>
        <w:div w:id="1080176993">
          <w:marLeft w:val="0"/>
          <w:marRight w:val="0"/>
          <w:marTop w:val="0"/>
          <w:marBottom w:val="0"/>
          <w:divBdr>
            <w:top w:val="none" w:sz="0" w:space="0" w:color="auto"/>
            <w:left w:val="none" w:sz="0" w:space="0" w:color="auto"/>
            <w:bottom w:val="none" w:sz="0" w:space="0" w:color="auto"/>
            <w:right w:val="none" w:sz="0" w:space="0" w:color="auto"/>
          </w:divBdr>
          <w:divsChild>
            <w:div w:id="1872841208">
              <w:marLeft w:val="0"/>
              <w:marRight w:val="0"/>
              <w:marTop w:val="0"/>
              <w:marBottom w:val="0"/>
              <w:divBdr>
                <w:top w:val="none" w:sz="0" w:space="0" w:color="auto"/>
                <w:left w:val="none" w:sz="0" w:space="0" w:color="auto"/>
                <w:bottom w:val="none" w:sz="0" w:space="0" w:color="auto"/>
                <w:right w:val="none" w:sz="0" w:space="0" w:color="auto"/>
              </w:divBdr>
            </w:div>
          </w:divsChild>
        </w:div>
        <w:div w:id="1081029060">
          <w:marLeft w:val="0"/>
          <w:marRight w:val="0"/>
          <w:marTop w:val="0"/>
          <w:marBottom w:val="0"/>
          <w:divBdr>
            <w:top w:val="none" w:sz="0" w:space="0" w:color="auto"/>
            <w:left w:val="none" w:sz="0" w:space="0" w:color="auto"/>
            <w:bottom w:val="none" w:sz="0" w:space="0" w:color="auto"/>
            <w:right w:val="none" w:sz="0" w:space="0" w:color="auto"/>
          </w:divBdr>
          <w:divsChild>
            <w:div w:id="1333682858">
              <w:marLeft w:val="0"/>
              <w:marRight w:val="0"/>
              <w:marTop w:val="0"/>
              <w:marBottom w:val="0"/>
              <w:divBdr>
                <w:top w:val="none" w:sz="0" w:space="0" w:color="auto"/>
                <w:left w:val="none" w:sz="0" w:space="0" w:color="auto"/>
                <w:bottom w:val="none" w:sz="0" w:space="0" w:color="auto"/>
                <w:right w:val="none" w:sz="0" w:space="0" w:color="auto"/>
              </w:divBdr>
            </w:div>
          </w:divsChild>
        </w:div>
        <w:div w:id="1115489044">
          <w:marLeft w:val="0"/>
          <w:marRight w:val="0"/>
          <w:marTop w:val="0"/>
          <w:marBottom w:val="0"/>
          <w:divBdr>
            <w:top w:val="none" w:sz="0" w:space="0" w:color="auto"/>
            <w:left w:val="none" w:sz="0" w:space="0" w:color="auto"/>
            <w:bottom w:val="none" w:sz="0" w:space="0" w:color="auto"/>
            <w:right w:val="none" w:sz="0" w:space="0" w:color="auto"/>
          </w:divBdr>
          <w:divsChild>
            <w:div w:id="1901016913">
              <w:marLeft w:val="0"/>
              <w:marRight w:val="0"/>
              <w:marTop w:val="0"/>
              <w:marBottom w:val="0"/>
              <w:divBdr>
                <w:top w:val="none" w:sz="0" w:space="0" w:color="auto"/>
                <w:left w:val="none" w:sz="0" w:space="0" w:color="auto"/>
                <w:bottom w:val="none" w:sz="0" w:space="0" w:color="auto"/>
                <w:right w:val="none" w:sz="0" w:space="0" w:color="auto"/>
              </w:divBdr>
            </w:div>
          </w:divsChild>
        </w:div>
        <w:div w:id="1189443716">
          <w:marLeft w:val="0"/>
          <w:marRight w:val="0"/>
          <w:marTop w:val="0"/>
          <w:marBottom w:val="0"/>
          <w:divBdr>
            <w:top w:val="none" w:sz="0" w:space="0" w:color="auto"/>
            <w:left w:val="none" w:sz="0" w:space="0" w:color="auto"/>
            <w:bottom w:val="none" w:sz="0" w:space="0" w:color="auto"/>
            <w:right w:val="none" w:sz="0" w:space="0" w:color="auto"/>
          </w:divBdr>
          <w:divsChild>
            <w:div w:id="1356273420">
              <w:marLeft w:val="0"/>
              <w:marRight w:val="0"/>
              <w:marTop w:val="0"/>
              <w:marBottom w:val="0"/>
              <w:divBdr>
                <w:top w:val="none" w:sz="0" w:space="0" w:color="auto"/>
                <w:left w:val="none" w:sz="0" w:space="0" w:color="auto"/>
                <w:bottom w:val="none" w:sz="0" w:space="0" w:color="auto"/>
                <w:right w:val="none" w:sz="0" w:space="0" w:color="auto"/>
              </w:divBdr>
            </w:div>
          </w:divsChild>
        </w:div>
        <w:div w:id="1198928386">
          <w:marLeft w:val="0"/>
          <w:marRight w:val="0"/>
          <w:marTop w:val="0"/>
          <w:marBottom w:val="0"/>
          <w:divBdr>
            <w:top w:val="none" w:sz="0" w:space="0" w:color="auto"/>
            <w:left w:val="none" w:sz="0" w:space="0" w:color="auto"/>
            <w:bottom w:val="none" w:sz="0" w:space="0" w:color="auto"/>
            <w:right w:val="none" w:sz="0" w:space="0" w:color="auto"/>
          </w:divBdr>
          <w:divsChild>
            <w:div w:id="322244624">
              <w:marLeft w:val="0"/>
              <w:marRight w:val="0"/>
              <w:marTop w:val="0"/>
              <w:marBottom w:val="0"/>
              <w:divBdr>
                <w:top w:val="none" w:sz="0" w:space="0" w:color="auto"/>
                <w:left w:val="none" w:sz="0" w:space="0" w:color="auto"/>
                <w:bottom w:val="none" w:sz="0" w:space="0" w:color="auto"/>
                <w:right w:val="none" w:sz="0" w:space="0" w:color="auto"/>
              </w:divBdr>
            </w:div>
          </w:divsChild>
        </w:div>
        <w:div w:id="1200052430">
          <w:marLeft w:val="0"/>
          <w:marRight w:val="0"/>
          <w:marTop w:val="0"/>
          <w:marBottom w:val="0"/>
          <w:divBdr>
            <w:top w:val="none" w:sz="0" w:space="0" w:color="auto"/>
            <w:left w:val="none" w:sz="0" w:space="0" w:color="auto"/>
            <w:bottom w:val="none" w:sz="0" w:space="0" w:color="auto"/>
            <w:right w:val="none" w:sz="0" w:space="0" w:color="auto"/>
          </w:divBdr>
          <w:divsChild>
            <w:div w:id="155195485">
              <w:marLeft w:val="0"/>
              <w:marRight w:val="0"/>
              <w:marTop w:val="0"/>
              <w:marBottom w:val="0"/>
              <w:divBdr>
                <w:top w:val="none" w:sz="0" w:space="0" w:color="auto"/>
                <w:left w:val="none" w:sz="0" w:space="0" w:color="auto"/>
                <w:bottom w:val="none" w:sz="0" w:space="0" w:color="auto"/>
                <w:right w:val="none" w:sz="0" w:space="0" w:color="auto"/>
              </w:divBdr>
            </w:div>
          </w:divsChild>
        </w:div>
        <w:div w:id="1207986164">
          <w:marLeft w:val="0"/>
          <w:marRight w:val="0"/>
          <w:marTop w:val="0"/>
          <w:marBottom w:val="0"/>
          <w:divBdr>
            <w:top w:val="none" w:sz="0" w:space="0" w:color="auto"/>
            <w:left w:val="none" w:sz="0" w:space="0" w:color="auto"/>
            <w:bottom w:val="none" w:sz="0" w:space="0" w:color="auto"/>
            <w:right w:val="none" w:sz="0" w:space="0" w:color="auto"/>
          </w:divBdr>
          <w:divsChild>
            <w:div w:id="496262262">
              <w:marLeft w:val="0"/>
              <w:marRight w:val="0"/>
              <w:marTop w:val="0"/>
              <w:marBottom w:val="0"/>
              <w:divBdr>
                <w:top w:val="none" w:sz="0" w:space="0" w:color="auto"/>
                <w:left w:val="none" w:sz="0" w:space="0" w:color="auto"/>
                <w:bottom w:val="none" w:sz="0" w:space="0" w:color="auto"/>
                <w:right w:val="none" w:sz="0" w:space="0" w:color="auto"/>
              </w:divBdr>
            </w:div>
          </w:divsChild>
        </w:div>
        <w:div w:id="1222643686">
          <w:marLeft w:val="0"/>
          <w:marRight w:val="0"/>
          <w:marTop w:val="0"/>
          <w:marBottom w:val="0"/>
          <w:divBdr>
            <w:top w:val="none" w:sz="0" w:space="0" w:color="auto"/>
            <w:left w:val="none" w:sz="0" w:space="0" w:color="auto"/>
            <w:bottom w:val="none" w:sz="0" w:space="0" w:color="auto"/>
            <w:right w:val="none" w:sz="0" w:space="0" w:color="auto"/>
          </w:divBdr>
          <w:divsChild>
            <w:div w:id="366950699">
              <w:marLeft w:val="0"/>
              <w:marRight w:val="0"/>
              <w:marTop w:val="0"/>
              <w:marBottom w:val="0"/>
              <w:divBdr>
                <w:top w:val="none" w:sz="0" w:space="0" w:color="auto"/>
                <w:left w:val="none" w:sz="0" w:space="0" w:color="auto"/>
                <w:bottom w:val="none" w:sz="0" w:space="0" w:color="auto"/>
                <w:right w:val="none" w:sz="0" w:space="0" w:color="auto"/>
              </w:divBdr>
            </w:div>
          </w:divsChild>
        </w:div>
        <w:div w:id="1247298666">
          <w:marLeft w:val="0"/>
          <w:marRight w:val="0"/>
          <w:marTop w:val="0"/>
          <w:marBottom w:val="0"/>
          <w:divBdr>
            <w:top w:val="none" w:sz="0" w:space="0" w:color="auto"/>
            <w:left w:val="none" w:sz="0" w:space="0" w:color="auto"/>
            <w:bottom w:val="none" w:sz="0" w:space="0" w:color="auto"/>
            <w:right w:val="none" w:sz="0" w:space="0" w:color="auto"/>
          </w:divBdr>
          <w:divsChild>
            <w:div w:id="1193878242">
              <w:marLeft w:val="0"/>
              <w:marRight w:val="0"/>
              <w:marTop w:val="0"/>
              <w:marBottom w:val="0"/>
              <w:divBdr>
                <w:top w:val="none" w:sz="0" w:space="0" w:color="auto"/>
                <w:left w:val="none" w:sz="0" w:space="0" w:color="auto"/>
                <w:bottom w:val="none" w:sz="0" w:space="0" w:color="auto"/>
                <w:right w:val="none" w:sz="0" w:space="0" w:color="auto"/>
              </w:divBdr>
            </w:div>
          </w:divsChild>
        </w:div>
        <w:div w:id="1299721591">
          <w:marLeft w:val="0"/>
          <w:marRight w:val="0"/>
          <w:marTop w:val="0"/>
          <w:marBottom w:val="0"/>
          <w:divBdr>
            <w:top w:val="none" w:sz="0" w:space="0" w:color="auto"/>
            <w:left w:val="none" w:sz="0" w:space="0" w:color="auto"/>
            <w:bottom w:val="none" w:sz="0" w:space="0" w:color="auto"/>
            <w:right w:val="none" w:sz="0" w:space="0" w:color="auto"/>
          </w:divBdr>
          <w:divsChild>
            <w:div w:id="723336989">
              <w:marLeft w:val="0"/>
              <w:marRight w:val="0"/>
              <w:marTop w:val="0"/>
              <w:marBottom w:val="0"/>
              <w:divBdr>
                <w:top w:val="none" w:sz="0" w:space="0" w:color="auto"/>
                <w:left w:val="none" w:sz="0" w:space="0" w:color="auto"/>
                <w:bottom w:val="none" w:sz="0" w:space="0" w:color="auto"/>
                <w:right w:val="none" w:sz="0" w:space="0" w:color="auto"/>
              </w:divBdr>
            </w:div>
          </w:divsChild>
        </w:div>
        <w:div w:id="1303734933">
          <w:marLeft w:val="0"/>
          <w:marRight w:val="0"/>
          <w:marTop w:val="0"/>
          <w:marBottom w:val="0"/>
          <w:divBdr>
            <w:top w:val="none" w:sz="0" w:space="0" w:color="auto"/>
            <w:left w:val="none" w:sz="0" w:space="0" w:color="auto"/>
            <w:bottom w:val="none" w:sz="0" w:space="0" w:color="auto"/>
            <w:right w:val="none" w:sz="0" w:space="0" w:color="auto"/>
          </w:divBdr>
          <w:divsChild>
            <w:div w:id="1509517531">
              <w:marLeft w:val="0"/>
              <w:marRight w:val="0"/>
              <w:marTop w:val="0"/>
              <w:marBottom w:val="0"/>
              <w:divBdr>
                <w:top w:val="none" w:sz="0" w:space="0" w:color="auto"/>
                <w:left w:val="none" w:sz="0" w:space="0" w:color="auto"/>
                <w:bottom w:val="none" w:sz="0" w:space="0" w:color="auto"/>
                <w:right w:val="none" w:sz="0" w:space="0" w:color="auto"/>
              </w:divBdr>
            </w:div>
          </w:divsChild>
        </w:div>
        <w:div w:id="1308901800">
          <w:marLeft w:val="0"/>
          <w:marRight w:val="0"/>
          <w:marTop w:val="0"/>
          <w:marBottom w:val="0"/>
          <w:divBdr>
            <w:top w:val="none" w:sz="0" w:space="0" w:color="auto"/>
            <w:left w:val="none" w:sz="0" w:space="0" w:color="auto"/>
            <w:bottom w:val="none" w:sz="0" w:space="0" w:color="auto"/>
            <w:right w:val="none" w:sz="0" w:space="0" w:color="auto"/>
          </w:divBdr>
          <w:divsChild>
            <w:div w:id="1529492245">
              <w:marLeft w:val="0"/>
              <w:marRight w:val="0"/>
              <w:marTop w:val="0"/>
              <w:marBottom w:val="0"/>
              <w:divBdr>
                <w:top w:val="none" w:sz="0" w:space="0" w:color="auto"/>
                <w:left w:val="none" w:sz="0" w:space="0" w:color="auto"/>
                <w:bottom w:val="none" w:sz="0" w:space="0" w:color="auto"/>
                <w:right w:val="none" w:sz="0" w:space="0" w:color="auto"/>
              </w:divBdr>
            </w:div>
          </w:divsChild>
        </w:div>
        <w:div w:id="1395349208">
          <w:marLeft w:val="0"/>
          <w:marRight w:val="0"/>
          <w:marTop w:val="0"/>
          <w:marBottom w:val="0"/>
          <w:divBdr>
            <w:top w:val="none" w:sz="0" w:space="0" w:color="auto"/>
            <w:left w:val="none" w:sz="0" w:space="0" w:color="auto"/>
            <w:bottom w:val="none" w:sz="0" w:space="0" w:color="auto"/>
            <w:right w:val="none" w:sz="0" w:space="0" w:color="auto"/>
          </w:divBdr>
          <w:divsChild>
            <w:div w:id="331684404">
              <w:marLeft w:val="0"/>
              <w:marRight w:val="0"/>
              <w:marTop w:val="0"/>
              <w:marBottom w:val="0"/>
              <w:divBdr>
                <w:top w:val="none" w:sz="0" w:space="0" w:color="auto"/>
                <w:left w:val="none" w:sz="0" w:space="0" w:color="auto"/>
                <w:bottom w:val="none" w:sz="0" w:space="0" w:color="auto"/>
                <w:right w:val="none" w:sz="0" w:space="0" w:color="auto"/>
              </w:divBdr>
            </w:div>
          </w:divsChild>
        </w:div>
        <w:div w:id="1412845938">
          <w:marLeft w:val="0"/>
          <w:marRight w:val="0"/>
          <w:marTop w:val="0"/>
          <w:marBottom w:val="0"/>
          <w:divBdr>
            <w:top w:val="none" w:sz="0" w:space="0" w:color="auto"/>
            <w:left w:val="none" w:sz="0" w:space="0" w:color="auto"/>
            <w:bottom w:val="none" w:sz="0" w:space="0" w:color="auto"/>
            <w:right w:val="none" w:sz="0" w:space="0" w:color="auto"/>
          </w:divBdr>
          <w:divsChild>
            <w:div w:id="1725789064">
              <w:marLeft w:val="0"/>
              <w:marRight w:val="0"/>
              <w:marTop w:val="0"/>
              <w:marBottom w:val="0"/>
              <w:divBdr>
                <w:top w:val="none" w:sz="0" w:space="0" w:color="auto"/>
                <w:left w:val="none" w:sz="0" w:space="0" w:color="auto"/>
                <w:bottom w:val="none" w:sz="0" w:space="0" w:color="auto"/>
                <w:right w:val="none" w:sz="0" w:space="0" w:color="auto"/>
              </w:divBdr>
            </w:div>
          </w:divsChild>
        </w:div>
        <w:div w:id="1415126845">
          <w:marLeft w:val="0"/>
          <w:marRight w:val="0"/>
          <w:marTop w:val="0"/>
          <w:marBottom w:val="0"/>
          <w:divBdr>
            <w:top w:val="none" w:sz="0" w:space="0" w:color="auto"/>
            <w:left w:val="none" w:sz="0" w:space="0" w:color="auto"/>
            <w:bottom w:val="none" w:sz="0" w:space="0" w:color="auto"/>
            <w:right w:val="none" w:sz="0" w:space="0" w:color="auto"/>
          </w:divBdr>
          <w:divsChild>
            <w:div w:id="320888167">
              <w:marLeft w:val="0"/>
              <w:marRight w:val="0"/>
              <w:marTop w:val="0"/>
              <w:marBottom w:val="0"/>
              <w:divBdr>
                <w:top w:val="none" w:sz="0" w:space="0" w:color="auto"/>
                <w:left w:val="none" w:sz="0" w:space="0" w:color="auto"/>
                <w:bottom w:val="none" w:sz="0" w:space="0" w:color="auto"/>
                <w:right w:val="none" w:sz="0" w:space="0" w:color="auto"/>
              </w:divBdr>
            </w:div>
          </w:divsChild>
        </w:div>
        <w:div w:id="1450323644">
          <w:marLeft w:val="0"/>
          <w:marRight w:val="0"/>
          <w:marTop w:val="0"/>
          <w:marBottom w:val="0"/>
          <w:divBdr>
            <w:top w:val="none" w:sz="0" w:space="0" w:color="auto"/>
            <w:left w:val="none" w:sz="0" w:space="0" w:color="auto"/>
            <w:bottom w:val="none" w:sz="0" w:space="0" w:color="auto"/>
            <w:right w:val="none" w:sz="0" w:space="0" w:color="auto"/>
          </w:divBdr>
          <w:divsChild>
            <w:div w:id="2103795454">
              <w:marLeft w:val="0"/>
              <w:marRight w:val="0"/>
              <w:marTop w:val="0"/>
              <w:marBottom w:val="0"/>
              <w:divBdr>
                <w:top w:val="none" w:sz="0" w:space="0" w:color="auto"/>
                <w:left w:val="none" w:sz="0" w:space="0" w:color="auto"/>
                <w:bottom w:val="none" w:sz="0" w:space="0" w:color="auto"/>
                <w:right w:val="none" w:sz="0" w:space="0" w:color="auto"/>
              </w:divBdr>
            </w:div>
          </w:divsChild>
        </w:div>
        <w:div w:id="1462847773">
          <w:marLeft w:val="0"/>
          <w:marRight w:val="0"/>
          <w:marTop w:val="0"/>
          <w:marBottom w:val="0"/>
          <w:divBdr>
            <w:top w:val="none" w:sz="0" w:space="0" w:color="auto"/>
            <w:left w:val="none" w:sz="0" w:space="0" w:color="auto"/>
            <w:bottom w:val="none" w:sz="0" w:space="0" w:color="auto"/>
            <w:right w:val="none" w:sz="0" w:space="0" w:color="auto"/>
          </w:divBdr>
          <w:divsChild>
            <w:div w:id="673342273">
              <w:marLeft w:val="0"/>
              <w:marRight w:val="0"/>
              <w:marTop w:val="0"/>
              <w:marBottom w:val="0"/>
              <w:divBdr>
                <w:top w:val="none" w:sz="0" w:space="0" w:color="auto"/>
                <w:left w:val="none" w:sz="0" w:space="0" w:color="auto"/>
                <w:bottom w:val="none" w:sz="0" w:space="0" w:color="auto"/>
                <w:right w:val="none" w:sz="0" w:space="0" w:color="auto"/>
              </w:divBdr>
            </w:div>
          </w:divsChild>
        </w:div>
        <w:div w:id="1469586268">
          <w:marLeft w:val="0"/>
          <w:marRight w:val="0"/>
          <w:marTop w:val="0"/>
          <w:marBottom w:val="0"/>
          <w:divBdr>
            <w:top w:val="none" w:sz="0" w:space="0" w:color="auto"/>
            <w:left w:val="none" w:sz="0" w:space="0" w:color="auto"/>
            <w:bottom w:val="none" w:sz="0" w:space="0" w:color="auto"/>
            <w:right w:val="none" w:sz="0" w:space="0" w:color="auto"/>
          </w:divBdr>
          <w:divsChild>
            <w:div w:id="120848393">
              <w:marLeft w:val="0"/>
              <w:marRight w:val="0"/>
              <w:marTop w:val="0"/>
              <w:marBottom w:val="0"/>
              <w:divBdr>
                <w:top w:val="none" w:sz="0" w:space="0" w:color="auto"/>
                <w:left w:val="none" w:sz="0" w:space="0" w:color="auto"/>
                <w:bottom w:val="none" w:sz="0" w:space="0" w:color="auto"/>
                <w:right w:val="none" w:sz="0" w:space="0" w:color="auto"/>
              </w:divBdr>
            </w:div>
          </w:divsChild>
        </w:div>
        <w:div w:id="1487896223">
          <w:marLeft w:val="0"/>
          <w:marRight w:val="0"/>
          <w:marTop w:val="0"/>
          <w:marBottom w:val="0"/>
          <w:divBdr>
            <w:top w:val="none" w:sz="0" w:space="0" w:color="auto"/>
            <w:left w:val="none" w:sz="0" w:space="0" w:color="auto"/>
            <w:bottom w:val="none" w:sz="0" w:space="0" w:color="auto"/>
            <w:right w:val="none" w:sz="0" w:space="0" w:color="auto"/>
          </w:divBdr>
          <w:divsChild>
            <w:div w:id="2030252738">
              <w:marLeft w:val="0"/>
              <w:marRight w:val="0"/>
              <w:marTop w:val="0"/>
              <w:marBottom w:val="0"/>
              <w:divBdr>
                <w:top w:val="none" w:sz="0" w:space="0" w:color="auto"/>
                <w:left w:val="none" w:sz="0" w:space="0" w:color="auto"/>
                <w:bottom w:val="none" w:sz="0" w:space="0" w:color="auto"/>
                <w:right w:val="none" w:sz="0" w:space="0" w:color="auto"/>
              </w:divBdr>
            </w:div>
          </w:divsChild>
        </w:div>
        <w:div w:id="1505247986">
          <w:marLeft w:val="0"/>
          <w:marRight w:val="0"/>
          <w:marTop w:val="0"/>
          <w:marBottom w:val="0"/>
          <w:divBdr>
            <w:top w:val="none" w:sz="0" w:space="0" w:color="auto"/>
            <w:left w:val="none" w:sz="0" w:space="0" w:color="auto"/>
            <w:bottom w:val="none" w:sz="0" w:space="0" w:color="auto"/>
            <w:right w:val="none" w:sz="0" w:space="0" w:color="auto"/>
          </w:divBdr>
          <w:divsChild>
            <w:div w:id="487401320">
              <w:marLeft w:val="0"/>
              <w:marRight w:val="0"/>
              <w:marTop w:val="0"/>
              <w:marBottom w:val="0"/>
              <w:divBdr>
                <w:top w:val="none" w:sz="0" w:space="0" w:color="auto"/>
                <w:left w:val="none" w:sz="0" w:space="0" w:color="auto"/>
                <w:bottom w:val="none" w:sz="0" w:space="0" w:color="auto"/>
                <w:right w:val="none" w:sz="0" w:space="0" w:color="auto"/>
              </w:divBdr>
            </w:div>
          </w:divsChild>
        </w:div>
        <w:div w:id="1545366084">
          <w:marLeft w:val="0"/>
          <w:marRight w:val="0"/>
          <w:marTop w:val="0"/>
          <w:marBottom w:val="0"/>
          <w:divBdr>
            <w:top w:val="none" w:sz="0" w:space="0" w:color="auto"/>
            <w:left w:val="none" w:sz="0" w:space="0" w:color="auto"/>
            <w:bottom w:val="none" w:sz="0" w:space="0" w:color="auto"/>
            <w:right w:val="none" w:sz="0" w:space="0" w:color="auto"/>
          </w:divBdr>
          <w:divsChild>
            <w:div w:id="705763275">
              <w:marLeft w:val="0"/>
              <w:marRight w:val="0"/>
              <w:marTop w:val="0"/>
              <w:marBottom w:val="0"/>
              <w:divBdr>
                <w:top w:val="none" w:sz="0" w:space="0" w:color="auto"/>
                <w:left w:val="none" w:sz="0" w:space="0" w:color="auto"/>
                <w:bottom w:val="none" w:sz="0" w:space="0" w:color="auto"/>
                <w:right w:val="none" w:sz="0" w:space="0" w:color="auto"/>
              </w:divBdr>
            </w:div>
          </w:divsChild>
        </w:div>
        <w:div w:id="1557160192">
          <w:marLeft w:val="0"/>
          <w:marRight w:val="0"/>
          <w:marTop w:val="0"/>
          <w:marBottom w:val="0"/>
          <w:divBdr>
            <w:top w:val="none" w:sz="0" w:space="0" w:color="auto"/>
            <w:left w:val="none" w:sz="0" w:space="0" w:color="auto"/>
            <w:bottom w:val="none" w:sz="0" w:space="0" w:color="auto"/>
            <w:right w:val="none" w:sz="0" w:space="0" w:color="auto"/>
          </w:divBdr>
          <w:divsChild>
            <w:div w:id="1315840178">
              <w:marLeft w:val="0"/>
              <w:marRight w:val="0"/>
              <w:marTop w:val="0"/>
              <w:marBottom w:val="0"/>
              <w:divBdr>
                <w:top w:val="none" w:sz="0" w:space="0" w:color="auto"/>
                <w:left w:val="none" w:sz="0" w:space="0" w:color="auto"/>
                <w:bottom w:val="none" w:sz="0" w:space="0" w:color="auto"/>
                <w:right w:val="none" w:sz="0" w:space="0" w:color="auto"/>
              </w:divBdr>
            </w:div>
          </w:divsChild>
        </w:div>
        <w:div w:id="1578323243">
          <w:marLeft w:val="0"/>
          <w:marRight w:val="0"/>
          <w:marTop w:val="0"/>
          <w:marBottom w:val="0"/>
          <w:divBdr>
            <w:top w:val="none" w:sz="0" w:space="0" w:color="auto"/>
            <w:left w:val="none" w:sz="0" w:space="0" w:color="auto"/>
            <w:bottom w:val="none" w:sz="0" w:space="0" w:color="auto"/>
            <w:right w:val="none" w:sz="0" w:space="0" w:color="auto"/>
          </w:divBdr>
          <w:divsChild>
            <w:div w:id="1965503614">
              <w:marLeft w:val="0"/>
              <w:marRight w:val="0"/>
              <w:marTop w:val="0"/>
              <w:marBottom w:val="0"/>
              <w:divBdr>
                <w:top w:val="none" w:sz="0" w:space="0" w:color="auto"/>
                <w:left w:val="none" w:sz="0" w:space="0" w:color="auto"/>
                <w:bottom w:val="none" w:sz="0" w:space="0" w:color="auto"/>
                <w:right w:val="none" w:sz="0" w:space="0" w:color="auto"/>
              </w:divBdr>
            </w:div>
          </w:divsChild>
        </w:div>
        <w:div w:id="1604025412">
          <w:marLeft w:val="0"/>
          <w:marRight w:val="0"/>
          <w:marTop w:val="0"/>
          <w:marBottom w:val="0"/>
          <w:divBdr>
            <w:top w:val="none" w:sz="0" w:space="0" w:color="auto"/>
            <w:left w:val="none" w:sz="0" w:space="0" w:color="auto"/>
            <w:bottom w:val="none" w:sz="0" w:space="0" w:color="auto"/>
            <w:right w:val="none" w:sz="0" w:space="0" w:color="auto"/>
          </w:divBdr>
          <w:divsChild>
            <w:div w:id="769205516">
              <w:marLeft w:val="0"/>
              <w:marRight w:val="0"/>
              <w:marTop w:val="0"/>
              <w:marBottom w:val="0"/>
              <w:divBdr>
                <w:top w:val="none" w:sz="0" w:space="0" w:color="auto"/>
                <w:left w:val="none" w:sz="0" w:space="0" w:color="auto"/>
                <w:bottom w:val="none" w:sz="0" w:space="0" w:color="auto"/>
                <w:right w:val="none" w:sz="0" w:space="0" w:color="auto"/>
              </w:divBdr>
            </w:div>
          </w:divsChild>
        </w:div>
        <w:div w:id="1639266133">
          <w:marLeft w:val="0"/>
          <w:marRight w:val="0"/>
          <w:marTop w:val="0"/>
          <w:marBottom w:val="0"/>
          <w:divBdr>
            <w:top w:val="none" w:sz="0" w:space="0" w:color="auto"/>
            <w:left w:val="none" w:sz="0" w:space="0" w:color="auto"/>
            <w:bottom w:val="none" w:sz="0" w:space="0" w:color="auto"/>
            <w:right w:val="none" w:sz="0" w:space="0" w:color="auto"/>
          </w:divBdr>
          <w:divsChild>
            <w:div w:id="1743521368">
              <w:marLeft w:val="0"/>
              <w:marRight w:val="0"/>
              <w:marTop w:val="0"/>
              <w:marBottom w:val="0"/>
              <w:divBdr>
                <w:top w:val="none" w:sz="0" w:space="0" w:color="auto"/>
                <w:left w:val="none" w:sz="0" w:space="0" w:color="auto"/>
                <w:bottom w:val="none" w:sz="0" w:space="0" w:color="auto"/>
                <w:right w:val="none" w:sz="0" w:space="0" w:color="auto"/>
              </w:divBdr>
            </w:div>
          </w:divsChild>
        </w:div>
        <w:div w:id="1655257890">
          <w:marLeft w:val="0"/>
          <w:marRight w:val="0"/>
          <w:marTop w:val="0"/>
          <w:marBottom w:val="0"/>
          <w:divBdr>
            <w:top w:val="none" w:sz="0" w:space="0" w:color="auto"/>
            <w:left w:val="none" w:sz="0" w:space="0" w:color="auto"/>
            <w:bottom w:val="none" w:sz="0" w:space="0" w:color="auto"/>
            <w:right w:val="none" w:sz="0" w:space="0" w:color="auto"/>
          </w:divBdr>
          <w:divsChild>
            <w:div w:id="1465000888">
              <w:marLeft w:val="0"/>
              <w:marRight w:val="0"/>
              <w:marTop w:val="0"/>
              <w:marBottom w:val="0"/>
              <w:divBdr>
                <w:top w:val="none" w:sz="0" w:space="0" w:color="auto"/>
                <w:left w:val="none" w:sz="0" w:space="0" w:color="auto"/>
                <w:bottom w:val="none" w:sz="0" w:space="0" w:color="auto"/>
                <w:right w:val="none" w:sz="0" w:space="0" w:color="auto"/>
              </w:divBdr>
            </w:div>
          </w:divsChild>
        </w:div>
        <w:div w:id="1675841687">
          <w:marLeft w:val="0"/>
          <w:marRight w:val="0"/>
          <w:marTop w:val="0"/>
          <w:marBottom w:val="0"/>
          <w:divBdr>
            <w:top w:val="none" w:sz="0" w:space="0" w:color="auto"/>
            <w:left w:val="none" w:sz="0" w:space="0" w:color="auto"/>
            <w:bottom w:val="none" w:sz="0" w:space="0" w:color="auto"/>
            <w:right w:val="none" w:sz="0" w:space="0" w:color="auto"/>
          </w:divBdr>
          <w:divsChild>
            <w:div w:id="2107773936">
              <w:marLeft w:val="0"/>
              <w:marRight w:val="0"/>
              <w:marTop w:val="0"/>
              <w:marBottom w:val="0"/>
              <w:divBdr>
                <w:top w:val="none" w:sz="0" w:space="0" w:color="auto"/>
                <w:left w:val="none" w:sz="0" w:space="0" w:color="auto"/>
                <w:bottom w:val="none" w:sz="0" w:space="0" w:color="auto"/>
                <w:right w:val="none" w:sz="0" w:space="0" w:color="auto"/>
              </w:divBdr>
            </w:div>
          </w:divsChild>
        </w:div>
        <w:div w:id="1681736753">
          <w:marLeft w:val="0"/>
          <w:marRight w:val="0"/>
          <w:marTop w:val="0"/>
          <w:marBottom w:val="0"/>
          <w:divBdr>
            <w:top w:val="none" w:sz="0" w:space="0" w:color="auto"/>
            <w:left w:val="none" w:sz="0" w:space="0" w:color="auto"/>
            <w:bottom w:val="none" w:sz="0" w:space="0" w:color="auto"/>
            <w:right w:val="none" w:sz="0" w:space="0" w:color="auto"/>
          </w:divBdr>
          <w:divsChild>
            <w:div w:id="1825201304">
              <w:marLeft w:val="0"/>
              <w:marRight w:val="0"/>
              <w:marTop w:val="0"/>
              <w:marBottom w:val="0"/>
              <w:divBdr>
                <w:top w:val="none" w:sz="0" w:space="0" w:color="auto"/>
                <w:left w:val="none" w:sz="0" w:space="0" w:color="auto"/>
                <w:bottom w:val="none" w:sz="0" w:space="0" w:color="auto"/>
                <w:right w:val="none" w:sz="0" w:space="0" w:color="auto"/>
              </w:divBdr>
            </w:div>
          </w:divsChild>
        </w:div>
        <w:div w:id="1745027976">
          <w:marLeft w:val="0"/>
          <w:marRight w:val="0"/>
          <w:marTop w:val="0"/>
          <w:marBottom w:val="0"/>
          <w:divBdr>
            <w:top w:val="none" w:sz="0" w:space="0" w:color="auto"/>
            <w:left w:val="none" w:sz="0" w:space="0" w:color="auto"/>
            <w:bottom w:val="none" w:sz="0" w:space="0" w:color="auto"/>
            <w:right w:val="none" w:sz="0" w:space="0" w:color="auto"/>
          </w:divBdr>
          <w:divsChild>
            <w:div w:id="708527919">
              <w:marLeft w:val="0"/>
              <w:marRight w:val="0"/>
              <w:marTop w:val="0"/>
              <w:marBottom w:val="0"/>
              <w:divBdr>
                <w:top w:val="none" w:sz="0" w:space="0" w:color="auto"/>
                <w:left w:val="none" w:sz="0" w:space="0" w:color="auto"/>
                <w:bottom w:val="none" w:sz="0" w:space="0" w:color="auto"/>
                <w:right w:val="none" w:sz="0" w:space="0" w:color="auto"/>
              </w:divBdr>
            </w:div>
          </w:divsChild>
        </w:div>
        <w:div w:id="1750885402">
          <w:marLeft w:val="0"/>
          <w:marRight w:val="0"/>
          <w:marTop w:val="0"/>
          <w:marBottom w:val="0"/>
          <w:divBdr>
            <w:top w:val="none" w:sz="0" w:space="0" w:color="auto"/>
            <w:left w:val="none" w:sz="0" w:space="0" w:color="auto"/>
            <w:bottom w:val="none" w:sz="0" w:space="0" w:color="auto"/>
            <w:right w:val="none" w:sz="0" w:space="0" w:color="auto"/>
          </w:divBdr>
          <w:divsChild>
            <w:div w:id="771701143">
              <w:marLeft w:val="0"/>
              <w:marRight w:val="0"/>
              <w:marTop w:val="0"/>
              <w:marBottom w:val="0"/>
              <w:divBdr>
                <w:top w:val="none" w:sz="0" w:space="0" w:color="auto"/>
                <w:left w:val="none" w:sz="0" w:space="0" w:color="auto"/>
                <w:bottom w:val="none" w:sz="0" w:space="0" w:color="auto"/>
                <w:right w:val="none" w:sz="0" w:space="0" w:color="auto"/>
              </w:divBdr>
            </w:div>
          </w:divsChild>
        </w:div>
        <w:div w:id="1754157002">
          <w:marLeft w:val="0"/>
          <w:marRight w:val="0"/>
          <w:marTop w:val="0"/>
          <w:marBottom w:val="0"/>
          <w:divBdr>
            <w:top w:val="none" w:sz="0" w:space="0" w:color="auto"/>
            <w:left w:val="none" w:sz="0" w:space="0" w:color="auto"/>
            <w:bottom w:val="none" w:sz="0" w:space="0" w:color="auto"/>
            <w:right w:val="none" w:sz="0" w:space="0" w:color="auto"/>
          </w:divBdr>
          <w:divsChild>
            <w:div w:id="1208028617">
              <w:marLeft w:val="0"/>
              <w:marRight w:val="0"/>
              <w:marTop w:val="0"/>
              <w:marBottom w:val="0"/>
              <w:divBdr>
                <w:top w:val="none" w:sz="0" w:space="0" w:color="auto"/>
                <w:left w:val="none" w:sz="0" w:space="0" w:color="auto"/>
                <w:bottom w:val="none" w:sz="0" w:space="0" w:color="auto"/>
                <w:right w:val="none" w:sz="0" w:space="0" w:color="auto"/>
              </w:divBdr>
            </w:div>
          </w:divsChild>
        </w:div>
        <w:div w:id="1777214956">
          <w:marLeft w:val="0"/>
          <w:marRight w:val="0"/>
          <w:marTop w:val="0"/>
          <w:marBottom w:val="0"/>
          <w:divBdr>
            <w:top w:val="none" w:sz="0" w:space="0" w:color="auto"/>
            <w:left w:val="none" w:sz="0" w:space="0" w:color="auto"/>
            <w:bottom w:val="none" w:sz="0" w:space="0" w:color="auto"/>
            <w:right w:val="none" w:sz="0" w:space="0" w:color="auto"/>
          </w:divBdr>
          <w:divsChild>
            <w:div w:id="1250188501">
              <w:marLeft w:val="0"/>
              <w:marRight w:val="0"/>
              <w:marTop w:val="0"/>
              <w:marBottom w:val="0"/>
              <w:divBdr>
                <w:top w:val="none" w:sz="0" w:space="0" w:color="auto"/>
                <w:left w:val="none" w:sz="0" w:space="0" w:color="auto"/>
                <w:bottom w:val="none" w:sz="0" w:space="0" w:color="auto"/>
                <w:right w:val="none" w:sz="0" w:space="0" w:color="auto"/>
              </w:divBdr>
            </w:div>
          </w:divsChild>
        </w:div>
        <w:div w:id="1783189295">
          <w:marLeft w:val="0"/>
          <w:marRight w:val="0"/>
          <w:marTop w:val="0"/>
          <w:marBottom w:val="0"/>
          <w:divBdr>
            <w:top w:val="none" w:sz="0" w:space="0" w:color="auto"/>
            <w:left w:val="none" w:sz="0" w:space="0" w:color="auto"/>
            <w:bottom w:val="none" w:sz="0" w:space="0" w:color="auto"/>
            <w:right w:val="none" w:sz="0" w:space="0" w:color="auto"/>
          </w:divBdr>
          <w:divsChild>
            <w:div w:id="371542004">
              <w:marLeft w:val="0"/>
              <w:marRight w:val="0"/>
              <w:marTop w:val="0"/>
              <w:marBottom w:val="0"/>
              <w:divBdr>
                <w:top w:val="none" w:sz="0" w:space="0" w:color="auto"/>
                <w:left w:val="none" w:sz="0" w:space="0" w:color="auto"/>
                <w:bottom w:val="none" w:sz="0" w:space="0" w:color="auto"/>
                <w:right w:val="none" w:sz="0" w:space="0" w:color="auto"/>
              </w:divBdr>
            </w:div>
          </w:divsChild>
        </w:div>
        <w:div w:id="1786000064">
          <w:marLeft w:val="0"/>
          <w:marRight w:val="0"/>
          <w:marTop w:val="0"/>
          <w:marBottom w:val="0"/>
          <w:divBdr>
            <w:top w:val="none" w:sz="0" w:space="0" w:color="auto"/>
            <w:left w:val="none" w:sz="0" w:space="0" w:color="auto"/>
            <w:bottom w:val="none" w:sz="0" w:space="0" w:color="auto"/>
            <w:right w:val="none" w:sz="0" w:space="0" w:color="auto"/>
          </w:divBdr>
          <w:divsChild>
            <w:div w:id="516698475">
              <w:marLeft w:val="0"/>
              <w:marRight w:val="0"/>
              <w:marTop w:val="0"/>
              <w:marBottom w:val="0"/>
              <w:divBdr>
                <w:top w:val="none" w:sz="0" w:space="0" w:color="auto"/>
                <w:left w:val="none" w:sz="0" w:space="0" w:color="auto"/>
                <w:bottom w:val="none" w:sz="0" w:space="0" w:color="auto"/>
                <w:right w:val="none" w:sz="0" w:space="0" w:color="auto"/>
              </w:divBdr>
            </w:div>
          </w:divsChild>
        </w:div>
        <w:div w:id="1797523014">
          <w:marLeft w:val="0"/>
          <w:marRight w:val="0"/>
          <w:marTop w:val="0"/>
          <w:marBottom w:val="0"/>
          <w:divBdr>
            <w:top w:val="none" w:sz="0" w:space="0" w:color="auto"/>
            <w:left w:val="none" w:sz="0" w:space="0" w:color="auto"/>
            <w:bottom w:val="none" w:sz="0" w:space="0" w:color="auto"/>
            <w:right w:val="none" w:sz="0" w:space="0" w:color="auto"/>
          </w:divBdr>
          <w:divsChild>
            <w:div w:id="1993213842">
              <w:marLeft w:val="0"/>
              <w:marRight w:val="0"/>
              <w:marTop w:val="0"/>
              <w:marBottom w:val="0"/>
              <w:divBdr>
                <w:top w:val="none" w:sz="0" w:space="0" w:color="auto"/>
                <w:left w:val="none" w:sz="0" w:space="0" w:color="auto"/>
                <w:bottom w:val="none" w:sz="0" w:space="0" w:color="auto"/>
                <w:right w:val="none" w:sz="0" w:space="0" w:color="auto"/>
              </w:divBdr>
            </w:div>
          </w:divsChild>
        </w:div>
        <w:div w:id="1834953372">
          <w:marLeft w:val="0"/>
          <w:marRight w:val="0"/>
          <w:marTop w:val="0"/>
          <w:marBottom w:val="0"/>
          <w:divBdr>
            <w:top w:val="none" w:sz="0" w:space="0" w:color="auto"/>
            <w:left w:val="none" w:sz="0" w:space="0" w:color="auto"/>
            <w:bottom w:val="none" w:sz="0" w:space="0" w:color="auto"/>
            <w:right w:val="none" w:sz="0" w:space="0" w:color="auto"/>
          </w:divBdr>
          <w:divsChild>
            <w:div w:id="800150553">
              <w:marLeft w:val="0"/>
              <w:marRight w:val="0"/>
              <w:marTop w:val="0"/>
              <w:marBottom w:val="0"/>
              <w:divBdr>
                <w:top w:val="none" w:sz="0" w:space="0" w:color="auto"/>
                <w:left w:val="none" w:sz="0" w:space="0" w:color="auto"/>
                <w:bottom w:val="none" w:sz="0" w:space="0" w:color="auto"/>
                <w:right w:val="none" w:sz="0" w:space="0" w:color="auto"/>
              </w:divBdr>
            </w:div>
          </w:divsChild>
        </w:div>
        <w:div w:id="1872914624">
          <w:marLeft w:val="0"/>
          <w:marRight w:val="0"/>
          <w:marTop w:val="0"/>
          <w:marBottom w:val="0"/>
          <w:divBdr>
            <w:top w:val="none" w:sz="0" w:space="0" w:color="auto"/>
            <w:left w:val="none" w:sz="0" w:space="0" w:color="auto"/>
            <w:bottom w:val="none" w:sz="0" w:space="0" w:color="auto"/>
            <w:right w:val="none" w:sz="0" w:space="0" w:color="auto"/>
          </w:divBdr>
          <w:divsChild>
            <w:div w:id="1282027813">
              <w:marLeft w:val="0"/>
              <w:marRight w:val="0"/>
              <w:marTop w:val="0"/>
              <w:marBottom w:val="0"/>
              <w:divBdr>
                <w:top w:val="none" w:sz="0" w:space="0" w:color="auto"/>
                <w:left w:val="none" w:sz="0" w:space="0" w:color="auto"/>
                <w:bottom w:val="none" w:sz="0" w:space="0" w:color="auto"/>
                <w:right w:val="none" w:sz="0" w:space="0" w:color="auto"/>
              </w:divBdr>
            </w:div>
          </w:divsChild>
        </w:div>
        <w:div w:id="1927415709">
          <w:marLeft w:val="0"/>
          <w:marRight w:val="0"/>
          <w:marTop w:val="0"/>
          <w:marBottom w:val="0"/>
          <w:divBdr>
            <w:top w:val="none" w:sz="0" w:space="0" w:color="auto"/>
            <w:left w:val="none" w:sz="0" w:space="0" w:color="auto"/>
            <w:bottom w:val="none" w:sz="0" w:space="0" w:color="auto"/>
            <w:right w:val="none" w:sz="0" w:space="0" w:color="auto"/>
          </w:divBdr>
          <w:divsChild>
            <w:div w:id="1172112634">
              <w:marLeft w:val="0"/>
              <w:marRight w:val="0"/>
              <w:marTop w:val="0"/>
              <w:marBottom w:val="0"/>
              <w:divBdr>
                <w:top w:val="none" w:sz="0" w:space="0" w:color="auto"/>
                <w:left w:val="none" w:sz="0" w:space="0" w:color="auto"/>
                <w:bottom w:val="none" w:sz="0" w:space="0" w:color="auto"/>
                <w:right w:val="none" w:sz="0" w:space="0" w:color="auto"/>
              </w:divBdr>
            </w:div>
          </w:divsChild>
        </w:div>
        <w:div w:id="1949193395">
          <w:marLeft w:val="0"/>
          <w:marRight w:val="0"/>
          <w:marTop w:val="0"/>
          <w:marBottom w:val="0"/>
          <w:divBdr>
            <w:top w:val="none" w:sz="0" w:space="0" w:color="auto"/>
            <w:left w:val="none" w:sz="0" w:space="0" w:color="auto"/>
            <w:bottom w:val="none" w:sz="0" w:space="0" w:color="auto"/>
            <w:right w:val="none" w:sz="0" w:space="0" w:color="auto"/>
          </w:divBdr>
          <w:divsChild>
            <w:div w:id="288320659">
              <w:marLeft w:val="0"/>
              <w:marRight w:val="0"/>
              <w:marTop w:val="0"/>
              <w:marBottom w:val="0"/>
              <w:divBdr>
                <w:top w:val="none" w:sz="0" w:space="0" w:color="auto"/>
                <w:left w:val="none" w:sz="0" w:space="0" w:color="auto"/>
                <w:bottom w:val="none" w:sz="0" w:space="0" w:color="auto"/>
                <w:right w:val="none" w:sz="0" w:space="0" w:color="auto"/>
              </w:divBdr>
            </w:div>
          </w:divsChild>
        </w:div>
        <w:div w:id="1986205062">
          <w:marLeft w:val="0"/>
          <w:marRight w:val="0"/>
          <w:marTop w:val="0"/>
          <w:marBottom w:val="0"/>
          <w:divBdr>
            <w:top w:val="none" w:sz="0" w:space="0" w:color="auto"/>
            <w:left w:val="none" w:sz="0" w:space="0" w:color="auto"/>
            <w:bottom w:val="none" w:sz="0" w:space="0" w:color="auto"/>
            <w:right w:val="none" w:sz="0" w:space="0" w:color="auto"/>
          </w:divBdr>
          <w:divsChild>
            <w:div w:id="119036937">
              <w:marLeft w:val="0"/>
              <w:marRight w:val="0"/>
              <w:marTop w:val="0"/>
              <w:marBottom w:val="0"/>
              <w:divBdr>
                <w:top w:val="none" w:sz="0" w:space="0" w:color="auto"/>
                <w:left w:val="none" w:sz="0" w:space="0" w:color="auto"/>
                <w:bottom w:val="none" w:sz="0" w:space="0" w:color="auto"/>
                <w:right w:val="none" w:sz="0" w:space="0" w:color="auto"/>
              </w:divBdr>
            </w:div>
          </w:divsChild>
        </w:div>
        <w:div w:id="1988893721">
          <w:marLeft w:val="0"/>
          <w:marRight w:val="0"/>
          <w:marTop w:val="0"/>
          <w:marBottom w:val="0"/>
          <w:divBdr>
            <w:top w:val="none" w:sz="0" w:space="0" w:color="auto"/>
            <w:left w:val="none" w:sz="0" w:space="0" w:color="auto"/>
            <w:bottom w:val="none" w:sz="0" w:space="0" w:color="auto"/>
            <w:right w:val="none" w:sz="0" w:space="0" w:color="auto"/>
          </w:divBdr>
          <w:divsChild>
            <w:div w:id="143469571">
              <w:marLeft w:val="0"/>
              <w:marRight w:val="0"/>
              <w:marTop w:val="0"/>
              <w:marBottom w:val="0"/>
              <w:divBdr>
                <w:top w:val="none" w:sz="0" w:space="0" w:color="auto"/>
                <w:left w:val="none" w:sz="0" w:space="0" w:color="auto"/>
                <w:bottom w:val="none" w:sz="0" w:space="0" w:color="auto"/>
                <w:right w:val="none" w:sz="0" w:space="0" w:color="auto"/>
              </w:divBdr>
            </w:div>
          </w:divsChild>
        </w:div>
        <w:div w:id="2012365213">
          <w:marLeft w:val="0"/>
          <w:marRight w:val="0"/>
          <w:marTop w:val="0"/>
          <w:marBottom w:val="0"/>
          <w:divBdr>
            <w:top w:val="none" w:sz="0" w:space="0" w:color="auto"/>
            <w:left w:val="none" w:sz="0" w:space="0" w:color="auto"/>
            <w:bottom w:val="none" w:sz="0" w:space="0" w:color="auto"/>
            <w:right w:val="none" w:sz="0" w:space="0" w:color="auto"/>
          </w:divBdr>
          <w:divsChild>
            <w:div w:id="1409965125">
              <w:marLeft w:val="0"/>
              <w:marRight w:val="0"/>
              <w:marTop w:val="0"/>
              <w:marBottom w:val="0"/>
              <w:divBdr>
                <w:top w:val="none" w:sz="0" w:space="0" w:color="auto"/>
                <w:left w:val="none" w:sz="0" w:space="0" w:color="auto"/>
                <w:bottom w:val="none" w:sz="0" w:space="0" w:color="auto"/>
                <w:right w:val="none" w:sz="0" w:space="0" w:color="auto"/>
              </w:divBdr>
            </w:div>
          </w:divsChild>
        </w:div>
        <w:div w:id="2018531923">
          <w:marLeft w:val="0"/>
          <w:marRight w:val="0"/>
          <w:marTop w:val="0"/>
          <w:marBottom w:val="0"/>
          <w:divBdr>
            <w:top w:val="none" w:sz="0" w:space="0" w:color="auto"/>
            <w:left w:val="none" w:sz="0" w:space="0" w:color="auto"/>
            <w:bottom w:val="none" w:sz="0" w:space="0" w:color="auto"/>
            <w:right w:val="none" w:sz="0" w:space="0" w:color="auto"/>
          </w:divBdr>
          <w:divsChild>
            <w:div w:id="106505488">
              <w:marLeft w:val="0"/>
              <w:marRight w:val="0"/>
              <w:marTop w:val="0"/>
              <w:marBottom w:val="0"/>
              <w:divBdr>
                <w:top w:val="none" w:sz="0" w:space="0" w:color="auto"/>
                <w:left w:val="none" w:sz="0" w:space="0" w:color="auto"/>
                <w:bottom w:val="none" w:sz="0" w:space="0" w:color="auto"/>
                <w:right w:val="none" w:sz="0" w:space="0" w:color="auto"/>
              </w:divBdr>
            </w:div>
          </w:divsChild>
        </w:div>
        <w:div w:id="2033338529">
          <w:marLeft w:val="0"/>
          <w:marRight w:val="0"/>
          <w:marTop w:val="0"/>
          <w:marBottom w:val="0"/>
          <w:divBdr>
            <w:top w:val="none" w:sz="0" w:space="0" w:color="auto"/>
            <w:left w:val="none" w:sz="0" w:space="0" w:color="auto"/>
            <w:bottom w:val="none" w:sz="0" w:space="0" w:color="auto"/>
            <w:right w:val="none" w:sz="0" w:space="0" w:color="auto"/>
          </w:divBdr>
          <w:divsChild>
            <w:div w:id="159126743">
              <w:marLeft w:val="0"/>
              <w:marRight w:val="0"/>
              <w:marTop w:val="0"/>
              <w:marBottom w:val="0"/>
              <w:divBdr>
                <w:top w:val="none" w:sz="0" w:space="0" w:color="auto"/>
                <w:left w:val="none" w:sz="0" w:space="0" w:color="auto"/>
                <w:bottom w:val="none" w:sz="0" w:space="0" w:color="auto"/>
                <w:right w:val="none" w:sz="0" w:space="0" w:color="auto"/>
              </w:divBdr>
            </w:div>
          </w:divsChild>
        </w:div>
        <w:div w:id="2041053384">
          <w:marLeft w:val="0"/>
          <w:marRight w:val="0"/>
          <w:marTop w:val="0"/>
          <w:marBottom w:val="0"/>
          <w:divBdr>
            <w:top w:val="none" w:sz="0" w:space="0" w:color="auto"/>
            <w:left w:val="none" w:sz="0" w:space="0" w:color="auto"/>
            <w:bottom w:val="none" w:sz="0" w:space="0" w:color="auto"/>
            <w:right w:val="none" w:sz="0" w:space="0" w:color="auto"/>
          </w:divBdr>
          <w:divsChild>
            <w:div w:id="1374427304">
              <w:marLeft w:val="0"/>
              <w:marRight w:val="0"/>
              <w:marTop w:val="0"/>
              <w:marBottom w:val="0"/>
              <w:divBdr>
                <w:top w:val="none" w:sz="0" w:space="0" w:color="auto"/>
                <w:left w:val="none" w:sz="0" w:space="0" w:color="auto"/>
                <w:bottom w:val="none" w:sz="0" w:space="0" w:color="auto"/>
                <w:right w:val="none" w:sz="0" w:space="0" w:color="auto"/>
              </w:divBdr>
            </w:div>
          </w:divsChild>
        </w:div>
        <w:div w:id="2046904068">
          <w:marLeft w:val="0"/>
          <w:marRight w:val="0"/>
          <w:marTop w:val="0"/>
          <w:marBottom w:val="0"/>
          <w:divBdr>
            <w:top w:val="none" w:sz="0" w:space="0" w:color="auto"/>
            <w:left w:val="none" w:sz="0" w:space="0" w:color="auto"/>
            <w:bottom w:val="none" w:sz="0" w:space="0" w:color="auto"/>
            <w:right w:val="none" w:sz="0" w:space="0" w:color="auto"/>
          </w:divBdr>
          <w:divsChild>
            <w:div w:id="1102915480">
              <w:marLeft w:val="0"/>
              <w:marRight w:val="0"/>
              <w:marTop w:val="0"/>
              <w:marBottom w:val="0"/>
              <w:divBdr>
                <w:top w:val="none" w:sz="0" w:space="0" w:color="auto"/>
                <w:left w:val="none" w:sz="0" w:space="0" w:color="auto"/>
                <w:bottom w:val="none" w:sz="0" w:space="0" w:color="auto"/>
                <w:right w:val="none" w:sz="0" w:space="0" w:color="auto"/>
              </w:divBdr>
            </w:div>
          </w:divsChild>
        </w:div>
        <w:div w:id="2076389533">
          <w:marLeft w:val="0"/>
          <w:marRight w:val="0"/>
          <w:marTop w:val="0"/>
          <w:marBottom w:val="0"/>
          <w:divBdr>
            <w:top w:val="none" w:sz="0" w:space="0" w:color="auto"/>
            <w:left w:val="none" w:sz="0" w:space="0" w:color="auto"/>
            <w:bottom w:val="none" w:sz="0" w:space="0" w:color="auto"/>
            <w:right w:val="none" w:sz="0" w:space="0" w:color="auto"/>
          </w:divBdr>
          <w:divsChild>
            <w:div w:id="1084761811">
              <w:marLeft w:val="0"/>
              <w:marRight w:val="0"/>
              <w:marTop w:val="0"/>
              <w:marBottom w:val="0"/>
              <w:divBdr>
                <w:top w:val="none" w:sz="0" w:space="0" w:color="auto"/>
                <w:left w:val="none" w:sz="0" w:space="0" w:color="auto"/>
                <w:bottom w:val="none" w:sz="0" w:space="0" w:color="auto"/>
                <w:right w:val="none" w:sz="0" w:space="0" w:color="auto"/>
              </w:divBdr>
            </w:div>
          </w:divsChild>
        </w:div>
        <w:div w:id="2091004825">
          <w:marLeft w:val="0"/>
          <w:marRight w:val="0"/>
          <w:marTop w:val="0"/>
          <w:marBottom w:val="0"/>
          <w:divBdr>
            <w:top w:val="none" w:sz="0" w:space="0" w:color="auto"/>
            <w:left w:val="none" w:sz="0" w:space="0" w:color="auto"/>
            <w:bottom w:val="none" w:sz="0" w:space="0" w:color="auto"/>
            <w:right w:val="none" w:sz="0" w:space="0" w:color="auto"/>
          </w:divBdr>
          <w:divsChild>
            <w:div w:id="1284120354">
              <w:marLeft w:val="0"/>
              <w:marRight w:val="0"/>
              <w:marTop w:val="0"/>
              <w:marBottom w:val="0"/>
              <w:divBdr>
                <w:top w:val="none" w:sz="0" w:space="0" w:color="auto"/>
                <w:left w:val="none" w:sz="0" w:space="0" w:color="auto"/>
                <w:bottom w:val="none" w:sz="0" w:space="0" w:color="auto"/>
                <w:right w:val="none" w:sz="0" w:space="0" w:color="auto"/>
              </w:divBdr>
            </w:div>
          </w:divsChild>
        </w:div>
        <w:div w:id="2097047213">
          <w:marLeft w:val="0"/>
          <w:marRight w:val="0"/>
          <w:marTop w:val="0"/>
          <w:marBottom w:val="0"/>
          <w:divBdr>
            <w:top w:val="none" w:sz="0" w:space="0" w:color="auto"/>
            <w:left w:val="none" w:sz="0" w:space="0" w:color="auto"/>
            <w:bottom w:val="none" w:sz="0" w:space="0" w:color="auto"/>
            <w:right w:val="none" w:sz="0" w:space="0" w:color="auto"/>
          </w:divBdr>
          <w:divsChild>
            <w:div w:id="1746293152">
              <w:marLeft w:val="0"/>
              <w:marRight w:val="0"/>
              <w:marTop w:val="0"/>
              <w:marBottom w:val="0"/>
              <w:divBdr>
                <w:top w:val="none" w:sz="0" w:space="0" w:color="auto"/>
                <w:left w:val="none" w:sz="0" w:space="0" w:color="auto"/>
                <w:bottom w:val="none" w:sz="0" w:space="0" w:color="auto"/>
                <w:right w:val="none" w:sz="0" w:space="0" w:color="auto"/>
              </w:divBdr>
            </w:div>
          </w:divsChild>
        </w:div>
        <w:div w:id="2099060164">
          <w:marLeft w:val="0"/>
          <w:marRight w:val="0"/>
          <w:marTop w:val="0"/>
          <w:marBottom w:val="0"/>
          <w:divBdr>
            <w:top w:val="none" w:sz="0" w:space="0" w:color="auto"/>
            <w:left w:val="none" w:sz="0" w:space="0" w:color="auto"/>
            <w:bottom w:val="none" w:sz="0" w:space="0" w:color="auto"/>
            <w:right w:val="none" w:sz="0" w:space="0" w:color="auto"/>
          </w:divBdr>
          <w:divsChild>
            <w:div w:id="916598967">
              <w:marLeft w:val="0"/>
              <w:marRight w:val="0"/>
              <w:marTop w:val="0"/>
              <w:marBottom w:val="0"/>
              <w:divBdr>
                <w:top w:val="none" w:sz="0" w:space="0" w:color="auto"/>
                <w:left w:val="none" w:sz="0" w:space="0" w:color="auto"/>
                <w:bottom w:val="none" w:sz="0" w:space="0" w:color="auto"/>
                <w:right w:val="none" w:sz="0" w:space="0" w:color="auto"/>
              </w:divBdr>
            </w:div>
          </w:divsChild>
        </w:div>
        <w:div w:id="2105373244">
          <w:marLeft w:val="0"/>
          <w:marRight w:val="0"/>
          <w:marTop w:val="0"/>
          <w:marBottom w:val="0"/>
          <w:divBdr>
            <w:top w:val="none" w:sz="0" w:space="0" w:color="auto"/>
            <w:left w:val="none" w:sz="0" w:space="0" w:color="auto"/>
            <w:bottom w:val="none" w:sz="0" w:space="0" w:color="auto"/>
            <w:right w:val="none" w:sz="0" w:space="0" w:color="auto"/>
          </w:divBdr>
          <w:divsChild>
            <w:div w:id="1680279012">
              <w:marLeft w:val="0"/>
              <w:marRight w:val="0"/>
              <w:marTop w:val="0"/>
              <w:marBottom w:val="0"/>
              <w:divBdr>
                <w:top w:val="none" w:sz="0" w:space="0" w:color="auto"/>
                <w:left w:val="none" w:sz="0" w:space="0" w:color="auto"/>
                <w:bottom w:val="none" w:sz="0" w:space="0" w:color="auto"/>
                <w:right w:val="none" w:sz="0" w:space="0" w:color="auto"/>
              </w:divBdr>
            </w:div>
          </w:divsChild>
        </w:div>
        <w:div w:id="2109110572">
          <w:marLeft w:val="0"/>
          <w:marRight w:val="0"/>
          <w:marTop w:val="0"/>
          <w:marBottom w:val="0"/>
          <w:divBdr>
            <w:top w:val="none" w:sz="0" w:space="0" w:color="auto"/>
            <w:left w:val="none" w:sz="0" w:space="0" w:color="auto"/>
            <w:bottom w:val="none" w:sz="0" w:space="0" w:color="auto"/>
            <w:right w:val="none" w:sz="0" w:space="0" w:color="auto"/>
          </w:divBdr>
          <w:divsChild>
            <w:div w:id="1605844059">
              <w:marLeft w:val="0"/>
              <w:marRight w:val="0"/>
              <w:marTop w:val="0"/>
              <w:marBottom w:val="0"/>
              <w:divBdr>
                <w:top w:val="none" w:sz="0" w:space="0" w:color="auto"/>
                <w:left w:val="none" w:sz="0" w:space="0" w:color="auto"/>
                <w:bottom w:val="none" w:sz="0" w:space="0" w:color="auto"/>
                <w:right w:val="none" w:sz="0" w:space="0" w:color="auto"/>
              </w:divBdr>
            </w:div>
          </w:divsChild>
        </w:div>
        <w:div w:id="2112704837">
          <w:marLeft w:val="0"/>
          <w:marRight w:val="0"/>
          <w:marTop w:val="0"/>
          <w:marBottom w:val="0"/>
          <w:divBdr>
            <w:top w:val="none" w:sz="0" w:space="0" w:color="auto"/>
            <w:left w:val="none" w:sz="0" w:space="0" w:color="auto"/>
            <w:bottom w:val="none" w:sz="0" w:space="0" w:color="auto"/>
            <w:right w:val="none" w:sz="0" w:space="0" w:color="auto"/>
          </w:divBdr>
          <w:divsChild>
            <w:div w:id="1681857144">
              <w:marLeft w:val="0"/>
              <w:marRight w:val="0"/>
              <w:marTop w:val="0"/>
              <w:marBottom w:val="0"/>
              <w:divBdr>
                <w:top w:val="none" w:sz="0" w:space="0" w:color="auto"/>
                <w:left w:val="none" w:sz="0" w:space="0" w:color="auto"/>
                <w:bottom w:val="none" w:sz="0" w:space="0" w:color="auto"/>
                <w:right w:val="none" w:sz="0" w:space="0" w:color="auto"/>
              </w:divBdr>
            </w:div>
          </w:divsChild>
        </w:div>
        <w:div w:id="2126924774">
          <w:marLeft w:val="0"/>
          <w:marRight w:val="0"/>
          <w:marTop w:val="0"/>
          <w:marBottom w:val="0"/>
          <w:divBdr>
            <w:top w:val="none" w:sz="0" w:space="0" w:color="auto"/>
            <w:left w:val="none" w:sz="0" w:space="0" w:color="auto"/>
            <w:bottom w:val="none" w:sz="0" w:space="0" w:color="auto"/>
            <w:right w:val="none" w:sz="0" w:space="0" w:color="auto"/>
          </w:divBdr>
          <w:divsChild>
            <w:div w:id="122128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39427">
      <w:bodyDiv w:val="1"/>
      <w:marLeft w:val="0"/>
      <w:marRight w:val="0"/>
      <w:marTop w:val="0"/>
      <w:marBottom w:val="0"/>
      <w:divBdr>
        <w:top w:val="none" w:sz="0" w:space="0" w:color="auto"/>
        <w:left w:val="none" w:sz="0" w:space="0" w:color="auto"/>
        <w:bottom w:val="none" w:sz="0" w:space="0" w:color="auto"/>
        <w:right w:val="none" w:sz="0" w:space="0" w:color="auto"/>
      </w:divBdr>
    </w:div>
    <w:div w:id="673454201">
      <w:bodyDiv w:val="1"/>
      <w:marLeft w:val="0"/>
      <w:marRight w:val="0"/>
      <w:marTop w:val="0"/>
      <w:marBottom w:val="0"/>
      <w:divBdr>
        <w:top w:val="none" w:sz="0" w:space="0" w:color="auto"/>
        <w:left w:val="none" w:sz="0" w:space="0" w:color="auto"/>
        <w:bottom w:val="none" w:sz="0" w:space="0" w:color="auto"/>
        <w:right w:val="none" w:sz="0" w:space="0" w:color="auto"/>
      </w:divBdr>
      <w:divsChild>
        <w:div w:id="2146777594">
          <w:marLeft w:val="0"/>
          <w:marRight w:val="0"/>
          <w:marTop w:val="0"/>
          <w:marBottom w:val="0"/>
          <w:divBdr>
            <w:top w:val="none" w:sz="0" w:space="0" w:color="auto"/>
            <w:left w:val="none" w:sz="0" w:space="0" w:color="auto"/>
            <w:bottom w:val="none" w:sz="0" w:space="0" w:color="auto"/>
            <w:right w:val="none" w:sz="0" w:space="0" w:color="auto"/>
          </w:divBdr>
        </w:div>
      </w:divsChild>
    </w:div>
    <w:div w:id="1024211133">
      <w:bodyDiv w:val="1"/>
      <w:marLeft w:val="0"/>
      <w:marRight w:val="0"/>
      <w:marTop w:val="0"/>
      <w:marBottom w:val="0"/>
      <w:divBdr>
        <w:top w:val="none" w:sz="0" w:space="0" w:color="auto"/>
        <w:left w:val="none" w:sz="0" w:space="0" w:color="auto"/>
        <w:bottom w:val="none" w:sz="0" w:space="0" w:color="auto"/>
        <w:right w:val="none" w:sz="0" w:space="0" w:color="auto"/>
      </w:divBdr>
    </w:div>
    <w:div w:id="1066534940">
      <w:bodyDiv w:val="1"/>
      <w:marLeft w:val="0"/>
      <w:marRight w:val="0"/>
      <w:marTop w:val="0"/>
      <w:marBottom w:val="0"/>
      <w:divBdr>
        <w:top w:val="none" w:sz="0" w:space="0" w:color="auto"/>
        <w:left w:val="none" w:sz="0" w:space="0" w:color="auto"/>
        <w:bottom w:val="none" w:sz="0" w:space="0" w:color="auto"/>
        <w:right w:val="none" w:sz="0" w:space="0" w:color="auto"/>
      </w:divBdr>
      <w:divsChild>
        <w:div w:id="118230599">
          <w:marLeft w:val="480"/>
          <w:marRight w:val="0"/>
          <w:marTop w:val="0"/>
          <w:marBottom w:val="0"/>
          <w:divBdr>
            <w:top w:val="none" w:sz="0" w:space="0" w:color="auto"/>
            <w:left w:val="none" w:sz="0" w:space="0" w:color="auto"/>
            <w:bottom w:val="none" w:sz="0" w:space="0" w:color="auto"/>
            <w:right w:val="none" w:sz="0" w:space="0" w:color="auto"/>
          </w:divBdr>
          <w:divsChild>
            <w:div w:id="9018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7824">
      <w:bodyDiv w:val="1"/>
      <w:marLeft w:val="0"/>
      <w:marRight w:val="0"/>
      <w:marTop w:val="0"/>
      <w:marBottom w:val="0"/>
      <w:divBdr>
        <w:top w:val="none" w:sz="0" w:space="0" w:color="auto"/>
        <w:left w:val="none" w:sz="0" w:space="0" w:color="auto"/>
        <w:bottom w:val="none" w:sz="0" w:space="0" w:color="auto"/>
        <w:right w:val="none" w:sz="0" w:space="0" w:color="auto"/>
      </w:divBdr>
    </w:div>
    <w:div w:id="1504934443">
      <w:bodyDiv w:val="1"/>
      <w:marLeft w:val="0"/>
      <w:marRight w:val="0"/>
      <w:marTop w:val="0"/>
      <w:marBottom w:val="0"/>
      <w:divBdr>
        <w:top w:val="none" w:sz="0" w:space="0" w:color="auto"/>
        <w:left w:val="none" w:sz="0" w:space="0" w:color="auto"/>
        <w:bottom w:val="none" w:sz="0" w:space="0" w:color="auto"/>
        <w:right w:val="none" w:sz="0" w:space="0" w:color="auto"/>
      </w:divBdr>
    </w:div>
    <w:div w:id="1552495153">
      <w:bodyDiv w:val="1"/>
      <w:marLeft w:val="0"/>
      <w:marRight w:val="0"/>
      <w:marTop w:val="0"/>
      <w:marBottom w:val="0"/>
      <w:divBdr>
        <w:top w:val="none" w:sz="0" w:space="0" w:color="auto"/>
        <w:left w:val="none" w:sz="0" w:space="0" w:color="auto"/>
        <w:bottom w:val="none" w:sz="0" w:space="0" w:color="auto"/>
        <w:right w:val="none" w:sz="0" w:space="0" w:color="auto"/>
      </w:divBdr>
    </w:div>
    <w:div w:id="1838768981">
      <w:bodyDiv w:val="1"/>
      <w:marLeft w:val="0"/>
      <w:marRight w:val="0"/>
      <w:marTop w:val="0"/>
      <w:marBottom w:val="0"/>
      <w:divBdr>
        <w:top w:val="none" w:sz="0" w:space="0" w:color="auto"/>
        <w:left w:val="none" w:sz="0" w:space="0" w:color="auto"/>
        <w:bottom w:val="none" w:sz="0" w:space="0" w:color="auto"/>
        <w:right w:val="none" w:sz="0" w:space="0" w:color="auto"/>
      </w:divBdr>
    </w:div>
    <w:div w:id="1946883624">
      <w:bodyDiv w:val="1"/>
      <w:marLeft w:val="0"/>
      <w:marRight w:val="0"/>
      <w:marTop w:val="0"/>
      <w:marBottom w:val="0"/>
      <w:divBdr>
        <w:top w:val="none" w:sz="0" w:space="0" w:color="auto"/>
        <w:left w:val="none" w:sz="0" w:space="0" w:color="auto"/>
        <w:bottom w:val="none" w:sz="0" w:space="0" w:color="auto"/>
        <w:right w:val="none" w:sz="0" w:space="0" w:color="auto"/>
      </w:divBdr>
      <w:divsChild>
        <w:div w:id="18433759">
          <w:marLeft w:val="0"/>
          <w:marRight w:val="0"/>
          <w:marTop w:val="0"/>
          <w:marBottom w:val="0"/>
          <w:divBdr>
            <w:top w:val="none" w:sz="0" w:space="0" w:color="auto"/>
            <w:left w:val="none" w:sz="0" w:space="0" w:color="auto"/>
            <w:bottom w:val="none" w:sz="0" w:space="0" w:color="auto"/>
            <w:right w:val="none" w:sz="0" w:space="0" w:color="auto"/>
          </w:divBdr>
          <w:divsChild>
            <w:div w:id="1264024341">
              <w:marLeft w:val="0"/>
              <w:marRight w:val="0"/>
              <w:marTop w:val="0"/>
              <w:marBottom w:val="0"/>
              <w:divBdr>
                <w:top w:val="none" w:sz="0" w:space="0" w:color="auto"/>
                <w:left w:val="none" w:sz="0" w:space="0" w:color="auto"/>
                <w:bottom w:val="none" w:sz="0" w:space="0" w:color="auto"/>
                <w:right w:val="none" w:sz="0" w:space="0" w:color="auto"/>
              </w:divBdr>
            </w:div>
          </w:divsChild>
        </w:div>
        <w:div w:id="31153583">
          <w:marLeft w:val="0"/>
          <w:marRight w:val="0"/>
          <w:marTop w:val="0"/>
          <w:marBottom w:val="0"/>
          <w:divBdr>
            <w:top w:val="none" w:sz="0" w:space="0" w:color="auto"/>
            <w:left w:val="none" w:sz="0" w:space="0" w:color="auto"/>
            <w:bottom w:val="none" w:sz="0" w:space="0" w:color="auto"/>
            <w:right w:val="none" w:sz="0" w:space="0" w:color="auto"/>
          </w:divBdr>
          <w:divsChild>
            <w:div w:id="63994168">
              <w:marLeft w:val="0"/>
              <w:marRight w:val="0"/>
              <w:marTop w:val="0"/>
              <w:marBottom w:val="0"/>
              <w:divBdr>
                <w:top w:val="none" w:sz="0" w:space="0" w:color="auto"/>
                <w:left w:val="none" w:sz="0" w:space="0" w:color="auto"/>
                <w:bottom w:val="none" w:sz="0" w:space="0" w:color="auto"/>
                <w:right w:val="none" w:sz="0" w:space="0" w:color="auto"/>
              </w:divBdr>
            </w:div>
          </w:divsChild>
        </w:div>
        <w:div w:id="38405833">
          <w:marLeft w:val="0"/>
          <w:marRight w:val="0"/>
          <w:marTop w:val="0"/>
          <w:marBottom w:val="0"/>
          <w:divBdr>
            <w:top w:val="none" w:sz="0" w:space="0" w:color="auto"/>
            <w:left w:val="none" w:sz="0" w:space="0" w:color="auto"/>
            <w:bottom w:val="none" w:sz="0" w:space="0" w:color="auto"/>
            <w:right w:val="none" w:sz="0" w:space="0" w:color="auto"/>
          </w:divBdr>
          <w:divsChild>
            <w:div w:id="1248533996">
              <w:marLeft w:val="0"/>
              <w:marRight w:val="0"/>
              <w:marTop w:val="0"/>
              <w:marBottom w:val="0"/>
              <w:divBdr>
                <w:top w:val="none" w:sz="0" w:space="0" w:color="auto"/>
                <w:left w:val="none" w:sz="0" w:space="0" w:color="auto"/>
                <w:bottom w:val="none" w:sz="0" w:space="0" w:color="auto"/>
                <w:right w:val="none" w:sz="0" w:space="0" w:color="auto"/>
              </w:divBdr>
            </w:div>
          </w:divsChild>
        </w:div>
        <w:div w:id="47846022">
          <w:marLeft w:val="0"/>
          <w:marRight w:val="0"/>
          <w:marTop w:val="0"/>
          <w:marBottom w:val="0"/>
          <w:divBdr>
            <w:top w:val="none" w:sz="0" w:space="0" w:color="auto"/>
            <w:left w:val="none" w:sz="0" w:space="0" w:color="auto"/>
            <w:bottom w:val="none" w:sz="0" w:space="0" w:color="auto"/>
            <w:right w:val="none" w:sz="0" w:space="0" w:color="auto"/>
          </w:divBdr>
          <w:divsChild>
            <w:div w:id="206528582">
              <w:marLeft w:val="0"/>
              <w:marRight w:val="0"/>
              <w:marTop w:val="0"/>
              <w:marBottom w:val="0"/>
              <w:divBdr>
                <w:top w:val="none" w:sz="0" w:space="0" w:color="auto"/>
                <w:left w:val="none" w:sz="0" w:space="0" w:color="auto"/>
                <w:bottom w:val="none" w:sz="0" w:space="0" w:color="auto"/>
                <w:right w:val="none" w:sz="0" w:space="0" w:color="auto"/>
              </w:divBdr>
            </w:div>
          </w:divsChild>
        </w:div>
        <w:div w:id="106698499">
          <w:marLeft w:val="0"/>
          <w:marRight w:val="0"/>
          <w:marTop w:val="0"/>
          <w:marBottom w:val="0"/>
          <w:divBdr>
            <w:top w:val="none" w:sz="0" w:space="0" w:color="auto"/>
            <w:left w:val="none" w:sz="0" w:space="0" w:color="auto"/>
            <w:bottom w:val="none" w:sz="0" w:space="0" w:color="auto"/>
            <w:right w:val="none" w:sz="0" w:space="0" w:color="auto"/>
          </w:divBdr>
          <w:divsChild>
            <w:div w:id="122235690">
              <w:marLeft w:val="0"/>
              <w:marRight w:val="0"/>
              <w:marTop w:val="0"/>
              <w:marBottom w:val="0"/>
              <w:divBdr>
                <w:top w:val="none" w:sz="0" w:space="0" w:color="auto"/>
                <w:left w:val="none" w:sz="0" w:space="0" w:color="auto"/>
                <w:bottom w:val="none" w:sz="0" w:space="0" w:color="auto"/>
                <w:right w:val="none" w:sz="0" w:space="0" w:color="auto"/>
              </w:divBdr>
            </w:div>
          </w:divsChild>
        </w:div>
        <w:div w:id="122191589">
          <w:marLeft w:val="0"/>
          <w:marRight w:val="0"/>
          <w:marTop w:val="0"/>
          <w:marBottom w:val="0"/>
          <w:divBdr>
            <w:top w:val="none" w:sz="0" w:space="0" w:color="auto"/>
            <w:left w:val="none" w:sz="0" w:space="0" w:color="auto"/>
            <w:bottom w:val="none" w:sz="0" w:space="0" w:color="auto"/>
            <w:right w:val="none" w:sz="0" w:space="0" w:color="auto"/>
          </w:divBdr>
          <w:divsChild>
            <w:div w:id="883102521">
              <w:marLeft w:val="0"/>
              <w:marRight w:val="0"/>
              <w:marTop w:val="0"/>
              <w:marBottom w:val="0"/>
              <w:divBdr>
                <w:top w:val="none" w:sz="0" w:space="0" w:color="auto"/>
                <w:left w:val="none" w:sz="0" w:space="0" w:color="auto"/>
                <w:bottom w:val="none" w:sz="0" w:space="0" w:color="auto"/>
                <w:right w:val="none" w:sz="0" w:space="0" w:color="auto"/>
              </w:divBdr>
            </w:div>
          </w:divsChild>
        </w:div>
        <w:div w:id="127093400">
          <w:marLeft w:val="0"/>
          <w:marRight w:val="0"/>
          <w:marTop w:val="0"/>
          <w:marBottom w:val="0"/>
          <w:divBdr>
            <w:top w:val="none" w:sz="0" w:space="0" w:color="auto"/>
            <w:left w:val="none" w:sz="0" w:space="0" w:color="auto"/>
            <w:bottom w:val="none" w:sz="0" w:space="0" w:color="auto"/>
            <w:right w:val="none" w:sz="0" w:space="0" w:color="auto"/>
          </w:divBdr>
          <w:divsChild>
            <w:div w:id="591084752">
              <w:marLeft w:val="0"/>
              <w:marRight w:val="0"/>
              <w:marTop w:val="0"/>
              <w:marBottom w:val="0"/>
              <w:divBdr>
                <w:top w:val="none" w:sz="0" w:space="0" w:color="auto"/>
                <w:left w:val="none" w:sz="0" w:space="0" w:color="auto"/>
                <w:bottom w:val="none" w:sz="0" w:space="0" w:color="auto"/>
                <w:right w:val="none" w:sz="0" w:space="0" w:color="auto"/>
              </w:divBdr>
            </w:div>
          </w:divsChild>
        </w:div>
        <w:div w:id="138112606">
          <w:marLeft w:val="0"/>
          <w:marRight w:val="0"/>
          <w:marTop w:val="0"/>
          <w:marBottom w:val="0"/>
          <w:divBdr>
            <w:top w:val="none" w:sz="0" w:space="0" w:color="auto"/>
            <w:left w:val="none" w:sz="0" w:space="0" w:color="auto"/>
            <w:bottom w:val="none" w:sz="0" w:space="0" w:color="auto"/>
            <w:right w:val="none" w:sz="0" w:space="0" w:color="auto"/>
          </w:divBdr>
          <w:divsChild>
            <w:div w:id="291836279">
              <w:marLeft w:val="0"/>
              <w:marRight w:val="0"/>
              <w:marTop w:val="0"/>
              <w:marBottom w:val="0"/>
              <w:divBdr>
                <w:top w:val="none" w:sz="0" w:space="0" w:color="auto"/>
                <w:left w:val="none" w:sz="0" w:space="0" w:color="auto"/>
                <w:bottom w:val="none" w:sz="0" w:space="0" w:color="auto"/>
                <w:right w:val="none" w:sz="0" w:space="0" w:color="auto"/>
              </w:divBdr>
            </w:div>
          </w:divsChild>
        </w:div>
        <w:div w:id="189078111">
          <w:marLeft w:val="0"/>
          <w:marRight w:val="0"/>
          <w:marTop w:val="0"/>
          <w:marBottom w:val="0"/>
          <w:divBdr>
            <w:top w:val="none" w:sz="0" w:space="0" w:color="auto"/>
            <w:left w:val="none" w:sz="0" w:space="0" w:color="auto"/>
            <w:bottom w:val="none" w:sz="0" w:space="0" w:color="auto"/>
            <w:right w:val="none" w:sz="0" w:space="0" w:color="auto"/>
          </w:divBdr>
          <w:divsChild>
            <w:div w:id="1365639612">
              <w:marLeft w:val="0"/>
              <w:marRight w:val="0"/>
              <w:marTop w:val="0"/>
              <w:marBottom w:val="0"/>
              <w:divBdr>
                <w:top w:val="none" w:sz="0" w:space="0" w:color="auto"/>
                <w:left w:val="none" w:sz="0" w:space="0" w:color="auto"/>
                <w:bottom w:val="none" w:sz="0" w:space="0" w:color="auto"/>
                <w:right w:val="none" w:sz="0" w:space="0" w:color="auto"/>
              </w:divBdr>
            </w:div>
          </w:divsChild>
        </w:div>
        <w:div w:id="203299091">
          <w:marLeft w:val="0"/>
          <w:marRight w:val="0"/>
          <w:marTop w:val="0"/>
          <w:marBottom w:val="0"/>
          <w:divBdr>
            <w:top w:val="none" w:sz="0" w:space="0" w:color="auto"/>
            <w:left w:val="none" w:sz="0" w:space="0" w:color="auto"/>
            <w:bottom w:val="none" w:sz="0" w:space="0" w:color="auto"/>
            <w:right w:val="none" w:sz="0" w:space="0" w:color="auto"/>
          </w:divBdr>
          <w:divsChild>
            <w:div w:id="1356077825">
              <w:marLeft w:val="0"/>
              <w:marRight w:val="0"/>
              <w:marTop w:val="0"/>
              <w:marBottom w:val="0"/>
              <w:divBdr>
                <w:top w:val="none" w:sz="0" w:space="0" w:color="auto"/>
                <w:left w:val="none" w:sz="0" w:space="0" w:color="auto"/>
                <w:bottom w:val="none" w:sz="0" w:space="0" w:color="auto"/>
                <w:right w:val="none" w:sz="0" w:space="0" w:color="auto"/>
              </w:divBdr>
            </w:div>
          </w:divsChild>
        </w:div>
        <w:div w:id="223298695">
          <w:marLeft w:val="0"/>
          <w:marRight w:val="0"/>
          <w:marTop w:val="0"/>
          <w:marBottom w:val="0"/>
          <w:divBdr>
            <w:top w:val="none" w:sz="0" w:space="0" w:color="auto"/>
            <w:left w:val="none" w:sz="0" w:space="0" w:color="auto"/>
            <w:bottom w:val="none" w:sz="0" w:space="0" w:color="auto"/>
            <w:right w:val="none" w:sz="0" w:space="0" w:color="auto"/>
          </w:divBdr>
          <w:divsChild>
            <w:div w:id="1426802720">
              <w:marLeft w:val="0"/>
              <w:marRight w:val="0"/>
              <w:marTop w:val="0"/>
              <w:marBottom w:val="0"/>
              <w:divBdr>
                <w:top w:val="none" w:sz="0" w:space="0" w:color="auto"/>
                <w:left w:val="none" w:sz="0" w:space="0" w:color="auto"/>
                <w:bottom w:val="none" w:sz="0" w:space="0" w:color="auto"/>
                <w:right w:val="none" w:sz="0" w:space="0" w:color="auto"/>
              </w:divBdr>
            </w:div>
          </w:divsChild>
        </w:div>
        <w:div w:id="271088255">
          <w:marLeft w:val="0"/>
          <w:marRight w:val="0"/>
          <w:marTop w:val="0"/>
          <w:marBottom w:val="0"/>
          <w:divBdr>
            <w:top w:val="none" w:sz="0" w:space="0" w:color="auto"/>
            <w:left w:val="none" w:sz="0" w:space="0" w:color="auto"/>
            <w:bottom w:val="none" w:sz="0" w:space="0" w:color="auto"/>
            <w:right w:val="none" w:sz="0" w:space="0" w:color="auto"/>
          </w:divBdr>
          <w:divsChild>
            <w:div w:id="872035656">
              <w:marLeft w:val="0"/>
              <w:marRight w:val="0"/>
              <w:marTop w:val="0"/>
              <w:marBottom w:val="0"/>
              <w:divBdr>
                <w:top w:val="none" w:sz="0" w:space="0" w:color="auto"/>
                <w:left w:val="none" w:sz="0" w:space="0" w:color="auto"/>
                <w:bottom w:val="none" w:sz="0" w:space="0" w:color="auto"/>
                <w:right w:val="none" w:sz="0" w:space="0" w:color="auto"/>
              </w:divBdr>
            </w:div>
          </w:divsChild>
        </w:div>
        <w:div w:id="275866544">
          <w:marLeft w:val="0"/>
          <w:marRight w:val="0"/>
          <w:marTop w:val="0"/>
          <w:marBottom w:val="0"/>
          <w:divBdr>
            <w:top w:val="none" w:sz="0" w:space="0" w:color="auto"/>
            <w:left w:val="none" w:sz="0" w:space="0" w:color="auto"/>
            <w:bottom w:val="none" w:sz="0" w:space="0" w:color="auto"/>
            <w:right w:val="none" w:sz="0" w:space="0" w:color="auto"/>
          </w:divBdr>
          <w:divsChild>
            <w:div w:id="752043824">
              <w:marLeft w:val="0"/>
              <w:marRight w:val="0"/>
              <w:marTop w:val="0"/>
              <w:marBottom w:val="0"/>
              <w:divBdr>
                <w:top w:val="none" w:sz="0" w:space="0" w:color="auto"/>
                <w:left w:val="none" w:sz="0" w:space="0" w:color="auto"/>
                <w:bottom w:val="none" w:sz="0" w:space="0" w:color="auto"/>
                <w:right w:val="none" w:sz="0" w:space="0" w:color="auto"/>
              </w:divBdr>
            </w:div>
          </w:divsChild>
        </w:div>
        <w:div w:id="286394386">
          <w:marLeft w:val="0"/>
          <w:marRight w:val="0"/>
          <w:marTop w:val="0"/>
          <w:marBottom w:val="0"/>
          <w:divBdr>
            <w:top w:val="none" w:sz="0" w:space="0" w:color="auto"/>
            <w:left w:val="none" w:sz="0" w:space="0" w:color="auto"/>
            <w:bottom w:val="none" w:sz="0" w:space="0" w:color="auto"/>
            <w:right w:val="none" w:sz="0" w:space="0" w:color="auto"/>
          </w:divBdr>
          <w:divsChild>
            <w:div w:id="1866557618">
              <w:marLeft w:val="0"/>
              <w:marRight w:val="0"/>
              <w:marTop w:val="0"/>
              <w:marBottom w:val="0"/>
              <w:divBdr>
                <w:top w:val="none" w:sz="0" w:space="0" w:color="auto"/>
                <w:left w:val="none" w:sz="0" w:space="0" w:color="auto"/>
                <w:bottom w:val="none" w:sz="0" w:space="0" w:color="auto"/>
                <w:right w:val="none" w:sz="0" w:space="0" w:color="auto"/>
              </w:divBdr>
            </w:div>
          </w:divsChild>
        </w:div>
        <w:div w:id="296305298">
          <w:marLeft w:val="0"/>
          <w:marRight w:val="0"/>
          <w:marTop w:val="0"/>
          <w:marBottom w:val="0"/>
          <w:divBdr>
            <w:top w:val="none" w:sz="0" w:space="0" w:color="auto"/>
            <w:left w:val="none" w:sz="0" w:space="0" w:color="auto"/>
            <w:bottom w:val="none" w:sz="0" w:space="0" w:color="auto"/>
            <w:right w:val="none" w:sz="0" w:space="0" w:color="auto"/>
          </w:divBdr>
          <w:divsChild>
            <w:div w:id="282228945">
              <w:marLeft w:val="0"/>
              <w:marRight w:val="0"/>
              <w:marTop w:val="0"/>
              <w:marBottom w:val="0"/>
              <w:divBdr>
                <w:top w:val="none" w:sz="0" w:space="0" w:color="auto"/>
                <w:left w:val="none" w:sz="0" w:space="0" w:color="auto"/>
                <w:bottom w:val="none" w:sz="0" w:space="0" w:color="auto"/>
                <w:right w:val="none" w:sz="0" w:space="0" w:color="auto"/>
              </w:divBdr>
            </w:div>
          </w:divsChild>
        </w:div>
        <w:div w:id="297027931">
          <w:marLeft w:val="0"/>
          <w:marRight w:val="0"/>
          <w:marTop w:val="0"/>
          <w:marBottom w:val="0"/>
          <w:divBdr>
            <w:top w:val="none" w:sz="0" w:space="0" w:color="auto"/>
            <w:left w:val="none" w:sz="0" w:space="0" w:color="auto"/>
            <w:bottom w:val="none" w:sz="0" w:space="0" w:color="auto"/>
            <w:right w:val="none" w:sz="0" w:space="0" w:color="auto"/>
          </w:divBdr>
          <w:divsChild>
            <w:div w:id="486475373">
              <w:marLeft w:val="0"/>
              <w:marRight w:val="0"/>
              <w:marTop w:val="0"/>
              <w:marBottom w:val="0"/>
              <w:divBdr>
                <w:top w:val="none" w:sz="0" w:space="0" w:color="auto"/>
                <w:left w:val="none" w:sz="0" w:space="0" w:color="auto"/>
                <w:bottom w:val="none" w:sz="0" w:space="0" w:color="auto"/>
                <w:right w:val="none" w:sz="0" w:space="0" w:color="auto"/>
              </w:divBdr>
            </w:div>
          </w:divsChild>
        </w:div>
        <w:div w:id="302008814">
          <w:marLeft w:val="0"/>
          <w:marRight w:val="0"/>
          <w:marTop w:val="0"/>
          <w:marBottom w:val="0"/>
          <w:divBdr>
            <w:top w:val="none" w:sz="0" w:space="0" w:color="auto"/>
            <w:left w:val="none" w:sz="0" w:space="0" w:color="auto"/>
            <w:bottom w:val="none" w:sz="0" w:space="0" w:color="auto"/>
            <w:right w:val="none" w:sz="0" w:space="0" w:color="auto"/>
          </w:divBdr>
          <w:divsChild>
            <w:div w:id="1405450649">
              <w:marLeft w:val="0"/>
              <w:marRight w:val="0"/>
              <w:marTop w:val="0"/>
              <w:marBottom w:val="0"/>
              <w:divBdr>
                <w:top w:val="none" w:sz="0" w:space="0" w:color="auto"/>
                <w:left w:val="none" w:sz="0" w:space="0" w:color="auto"/>
                <w:bottom w:val="none" w:sz="0" w:space="0" w:color="auto"/>
                <w:right w:val="none" w:sz="0" w:space="0" w:color="auto"/>
              </w:divBdr>
            </w:div>
          </w:divsChild>
        </w:div>
        <w:div w:id="307781631">
          <w:marLeft w:val="0"/>
          <w:marRight w:val="0"/>
          <w:marTop w:val="0"/>
          <w:marBottom w:val="0"/>
          <w:divBdr>
            <w:top w:val="none" w:sz="0" w:space="0" w:color="auto"/>
            <w:left w:val="none" w:sz="0" w:space="0" w:color="auto"/>
            <w:bottom w:val="none" w:sz="0" w:space="0" w:color="auto"/>
            <w:right w:val="none" w:sz="0" w:space="0" w:color="auto"/>
          </w:divBdr>
          <w:divsChild>
            <w:div w:id="1921132424">
              <w:marLeft w:val="0"/>
              <w:marRight w:val="0"/>
              <w:marTop w:val="0"/>
              <w:marBottom w:val="0"/>
              <w:divBdr>
                <w:top w:val="none" w:sz="0" w:space="0" w:color="auto"/>
                <w:left w:val="none" w:sz="0" w:space="0" w:color="auto"/>
                <w:bottom w:val="none" w:sz="0" w:space="0" w:color="auto"/>
                <w:right w:val="none" w:sz="0" w:space="0" w:color="auto"/>
              </w:divBdr>
            </w:div>
          </w:divsChild>
        </w:div>
        <w:div w:id="315913054">
          <w:marLeft w:val="0"/>
          <w:marRight w:val="0"/>
          <w:marTop w:val="0"/>
          <w:marBottom w:val="0"/>
          <w:divBdr>
            <w:top w:val="none" w:sz="0" w:space="0" w:color="auto"/>
            <w:left w:val="none" w:sz="0" w:space="0" w:color="auto"/>
            <w:bottom w:val="none" w:sz="0" w:space="0" w:color="auto"/>
            <w:right w:val="none" w:sz="0" w:space="0" w:color="auto"/>
          </w:divBdr>
          <w:divsChild>
            <w:div w:id="2076314001">
              <w:marLeft w:val="0"/>
              <w:marRight w:val="0"/>
              <w:marTop w:val="0"/>
              <w:marBottom w:val="0"/>
              <w:divBdr>
                <w:top w:val="none" w:sz="0" w:space="0" w:color="auto"/>
                <w:left w:val="none" w:sz="0" w:space="0" w:color="auto"/>
                <w:bottom w:val="none" w:sz="0" w:space="0" w:color="auto"/>
                <w:right w:val="none" w:sz="0" w:space="0" w:color="auto"/>
              </w:divBdr>
            </w:div>
          </w:divsChild>
        </w:div>
        <w:div w:id="411588778">
          <w:marLeft w:val="0"/>
          <w:marRight w:val="0"/>
          <w:marTop w:val="0"/>
          <w:marBottom w:val="0"/>
          <w:divBdr>
            <w:top w:val="none" w:sz="0" w:space="0" w:color="auto"/>
            <w:left w:val="none" w:sz="0" w:space="0" w:color="auto"/>
            <w:bottom w:val="none" w:sz="0" w:space="0" w:color="auto"/>
            <w:right w:val="none" w:sz="0" w:space="0" w:color="auto"/>
          </w:divBdr>
          <w:divsChild>
            <w:div w:id="518859626">
              <w:marLeft w:val="0"/>
              <w:marRight w:val="0"/>
              <w:marTop w:val="0"/>
              <w:marBottom w:val="0"/>
              <w:divBdr>
                <w:top w:val="none" w:sz="0" w:space="0" w:color="auto"/>
                <w:left w:val="none" w:sz="0" w:space="0" w:color="auto"/>
                <w:bottom w:val="none" w:sz="0" w:space="0" w:color="auto"/>
                <w:right w:val="none" w:sz="0" w:space="0" w:color="auto"/>
              </w:divBdr>
            </w:div>
          </w:divsChild>
        </w:div>
        <w:div w:id="418450123">
          <w:marLeft w:val="0"/>
          <w:marRight w:val="0"/>
          <w:marTop w:val="0"/>
          <w:marBottom w:val="0"/>
          <w:divBdr>
            <w:top w:val="none" w:sz="0" w:space="0" w:color="auto"/>
            <w:left w:val="none" w:sz="0" w:space="0" w:color="auto"/>
            <w:bottom w:val="none" w:sz="0" w:space="0" w:color="auto"/>
            <w:right w:val="none" w:sz="0" w:space="0" w:color="auto"/>
          </w:divBdr>
          <w:divsChild>
            <w:div w:id="1668316429">
              <w:marLeft w:val="0"/>
              <w:marRight w:val="0"/>
              <w:marTop w:val="0"/>
              <w:marBottom w:val="0"/>
              <w:divBdr>
                <w:top w:val="none" w:sz="0" w:space="0" w:color="auto"/>
                <w:left w:val="none" w:sz="0" w:space="0" w:color="auto"/>
                <w:bottom w:val="none" w:sz="0" w:space="0" w:color="auto"/>
                <w:right w:val="none" w:sz="0" w:space="0" w:color="auto"/>
              </w:divBdr>
            </w:div>
          </w:divsChild>
        </w:div>
        <w:div w:id="428501796">
          <w:marLeft w:val="0"/>
          <w:marRight w:val="0"/>
          <w:marTop w:val="0"/>
          <w:marBottom w:val="0"/>
          <w:divBdr>
            <w:top w:val="none" w:sz="0" w:space="0" w:color="auto"/>
            <w:left w:val="none" w:sz="0" w:space="0" w:color="auto"/>
            <w:bottom w:val="none" w:sz="0" w:space="0" w:color="auto"/>
            <w:right w:val="none" w:sz="0" w:space="0" w:color="auto"/>
          </w:divBdr>
          <w:divsChild>
            <w:div w:id="1509059399">
              <w:marLeft w:val="0"/>
              <w:marRight w:val="0"/>
              <w:marTop w:val="0"/>
              <w:marBottom w:val="0"/>
              <w:divBdr>
                <w:top w:val="none" w:sz="0" w:space="0" w:color="auto"/>
                <w:left w:val="none" w:sz="0" w:space="0" w:color="auto"/>
                <w:bottom w:val="none" w:sz="0" w:space="0" w:color="auto"/>
                <w:right w:val="none" w:sz="0" w:space="0" w:color="auto"/>
              </w:divBdr>
            </w:div>
          </w:divsChild>
        </w:div>
        <w:div w:id="448283139">
          <w:marLeft w:val="0"/>
          <w:marRight w:val="0"/>
          <w:marTop w:val="0"/>
          <w:marBottom w:val="0"/>
          <w:divBdr>
            <w:top w:val="none" w:sz="0" w:space="0" w:color="auto"/>
            <w:left w:val="none" w:sz="0" w:space="0" w:color="auto"/>
            <w:bottom w:val="none" w:sz="0" w:space="0" w:color="auto"/>
            <w:right w:val="none" w:sz="0" w:space="0" w:color="auto"/>
          </w:divBdr>
          <w:divsChild>
            <w:div w:id="310409142">
              <w:marLeft w:val="0"/>
              <w:marRight w:val="0"/>
              <w:marTop w:val="0"/>
              <w:marBottom w:val="0"/>
              <w:divBdr>
                <w:top w:val="none" w:sz="0" w:space="0" w:color="auto"/>
                <w:left w:val="none" w:sz="0" w:space="0" w:color="auto"/>
                <w:bottom w:val="none" w:sz="0" w:space="0" w:color="auto"/>
                <w:right w:val="none" w:sz="0" w:space="0" w:color="auto"/>
              </w:divBdr>
            </w:div>
          </w:divsChild>
        </w:div>
        <w:div w:id="460533293">
          <w:marLeft w:val="0"/>
          <w:marRight w:val="0"/>
          <w:marTop w:val="0"/>
          <w:marBottom w:val="0"/>
          <w:divBdr>
            <w:top w:val="none" w:sz="0" w:space="0" w:color="auto"/>
            <w:left w:val="none" w:sz="0" w:space="0" w:color="auto"/>
            <w:bottom w:val="none" w:sz="0" w:space="0" w:color="auto"/>
            <w:right w:val="none" w:sz="0" w:space="0" w:color="auto"/>
          </w:divBdr>
          <w:divsChild>
            <w:div w:id="1353528201">
              <w:marLeft w:val="0"/>
              <w:marRight w:val="0"/>
              <w:marTop w:val="0"/>
              <w:marBottom w:val="0"/>
              <w:divBdr>
                <w:top w:val="none" w:sz="0" w:space="0" w:color="auto"/>
                <w:left w:val="none" w:sz="0" w:space="0" w:color="auto"/>
                <w:bottom w:val="none" w:sz="0" w:space="0" w:color="auto"/>
                <w:right w:val="none" w:sz="0" w:space="0" w:color="auto"/>
              </w:divBdr>
            </w:div>
          </w:divsChild>
        </w:div>
        <w:div w:id="503280659">
          <w:marLeft w:val="0"/>
          <w:marRight w:val="0"/>
          <w:marTop w:val="0"/>
          <w:marBottom w:val="0"/>
          <w:divBdr>
            <w:top w:val="none" w:sz="0" w:space="0" w:color="auto"/>
            <w:left w:val="none" w:sz="0" w:space="0" w:color="auto"/>
            <w:bottom w:val="none" w:sz="0" w:space="0" w:color="auto"/>
            <w:right w:val="none" w:sz="0" w:space="0" w:color="auto"/>
          </w:divBdr>
          <w:divsChild>
            <w:div w:id="1207571892">
              <w:marLeft w:val="0"/>
              <w:marRight w:val="0"/>
              <w:marTop w:val="0"/>
              <w:marBottom w:val="0"/>
              <w:divBdr>
                <w:top w:val="none" w:sz="0" w:space="0" w:color="auto"/>
                <w:left w:val="none" w:sz="0" w:space="0" w:color="auto"/>
                <w:bottom w:val="none" w:sz="0" w:space="0" w:color="auto"/>
                <w:right w:val="none" w:sz="0" w:space="0" w:color="auto"/>
              </w:divBdr>
            </w:div>
          </w:divsChild>
        </w:div>
        <w:div w:id="511258361">
          <w:marLeft w:val="0"/>
          <w:marRight w:val="0"/>
          <w:marTop w:val="0"/>
          <w:marBottom w:val="0"/>
          <w:divBdr>
            <w:top w:val="none" w:sz="0" w:space="0" w:color="auto"/>
            <w:left w:val="none" w:sz="0" w:space="0" w:color="auto"/>
            <w:bottom w:val="none" w:sz="0" w:space="0" w:color="auto"/>
            <w:right w:val="none" w:sz="0" w:space="0" w:color="auto"/>
          </w:divBdr>
          <w:divsChild>
            <w:div w:id="456216882">
              <w:marLeft w:val="0"/>
              <w:marRight w:val="0"/>
              <w:marTop w:val="0"/>
              <w:marBottom w:val="0"/>
              <w:divBdr>
                <w:top w:val="none" w:sz="0" w:space="0" w:color="auto"/>
                <w:left w:val="none" w:sz="0" w:space="0" w:color="auto"/>
                <w:bottom w:val="none" w:sz="0" w:space="0" w:color="auto"/>
                <w:right w:val="none" w:sz="0" w:space="0" w:color="auto"/>
              </w:divBdr>
            </w:div>
          </w:divsChild>
        </w:div>
        <w:div w:id="569191876">
          <w:marLeft w:val="0"/>
          <w:marRight w:val="0"/>
          <w:marTop w:val="0"/>
          <w:marBottom w:val="0"/>
          <w:divBdr>
            <w:top w:val="none" w:sz="0" w:space="0" w:color="auto"/>
            <w:left w:val="none" w:sz="0" w:space="0" w:color="auto"/>
            <w:bottom w:val="none" w:sz="0" w:space="0" w:color="auto"/>
            <w:right w:val="none" w:sz="0" w:space="0" w:color="auto"/>
          </w:divBdr>
          <w:divsChild>
            <w:div w:id="1883857898">
              <w:marLeft w:val="0"/>
              <w:marRight w:val="0"/>
              <w:marTop w:val="0"/>
              <w:marBottom w:val="0"/>
              <w:divBdr>
                <w:top w:val="none" w:sz="0" w:space="0" w:color="auto"/>
                <w:left w:val="none" w:sz="0" w:space="0" w:color="auto"/>
                <w:bottom w:val="none" w:sz="0" w:space="0" w:color="auto"/>
                <w:right w:val="none" w:sz="0" w:space="0" w:color="auto"/>
              </w:divBdr>
            </w:div>
          </w:divsChild>
        </w:div>
        <w:div w:id="581376152">
          <w:marLeft w:val="0"/>
          <w:marRight w:val="0"/>
          <w:marTop w:val="0"/>
          <w:marBottom w:val="0"/>
          <w:divBdr>
            <w:top w:val="none" w:sz="0" w:space="0" w:color="auto"/>
            <w:left w:val="none" w:sz="0" w:space="0" w:color="auto"/>
            <w:bottom w:val="none" w:sz="0" w:space="0" w:color="auto"/>
            <w:right w:val="none" w:sz="0" w:space="0" w:color="auto"/>
          </w:divBdr>
          <w:divsChild>
            <w:div w:id="1237516422">
              <w:marLeft w:val="0"/>
              <w:marRight w:val="0"/>
              <w:marTop w:val="0"/>
              <w:marBottom w:val="0"/>
              <w:divBdr>
                <w:top w:val="none" w:sz="0" w:space="0" w:color="auto"/>
                <w:left w:val="none" w:sz="0" w:space="0" w:color="auto"/>
                <w:bottom w:val="none" w:sz="0" w:space="0" w:color="auto"/>
                <w:right w:val="none" w:sz="0" w:space="0" w:color="auto"/>
              </w:divBdr>
            </w:div>
          </w:divsChild>
        </w:div>
        <w:div w:id="581765134">
          <w:marLeft w:val="0"/>
          <w:marRight w:val="0"/>
          <w:marTop w:val="0"/>
          <w:marBottom w:val="0"/>
          <w:divBdr>
            <w:top w:val="none" w:sz="0" w:space="0" w:color="auto"/>
            <w:left w:val="none" w:sz="0" w:space="0" w:color="auto"/>
            <w:bottom w:val="none" w:sz="0" w:space="0" w:color="auto"/>
            <w:right w:val="none" w:sz="0" w:space="0" w:color="auto"/>
          </w:divBdr>
          <w:divsChild>
            <w:div w:id="2141990215">
              <w:marLeft w:val="0"/>
              <w:marRight w:val="0"/>
              <w:marTop w:val="0"/>
              <w:marBottom w:val="0"/>
              <w:divBdr>
                <w:top w:val="none" w:sz="0" w:space="0" w:color="auto"/>
                <w:left w:val="none" w:sz="0" w:space="0" w:color="auto"/>
                <w:bottom w:val="none" w:sz="0" w:space="0" w:color="auto"/>
                <w:right w:val="none" w:sz="0" w:space="0" w:color="auto"/>
              </w:divBdr>
            </w:div>
          </w:divsChild>
        </w:div>
        <w:div w:id="647176080">
          <w:marLeft w:val="0"/>
          <w:marRight w:val="0"/>
          <w:marTop w:val="0"/>
          <w:marBottom w:val="0"/>
          <w:divBdr>
            <w:top w:val="none" w:sz="0" w:space="0" w:color="auto"/>
            <w:left w:val="none" w:sz="0" w:space="0" w:color="auto"/>
            <w:bottom w:val="none" w:sz="0" w:space="0" w:color="auto"/>
            <w:right w:val="none" w:sz="0" w:space="0" w:color="auto"/>
          </w:divBdr>
          <w:divsChild>
            <w:div w:id="878083452">
              <w:marLeft w:val="0"/>
              <w:marRight w:val="0"/>
              <w:marTop w:val="0"/>
              <w:marBottom w:val="0"/>
              <w:divBdr>
                <w:top w:val="none" w:sz="0" w:space="0" w:color="auto"/>
                <w:left w:val="none" w:sz="0" w:space="0" w:color="auto"/>
                <w:bottom w:val="none" w:sz="0" w:space="0" w:color="auto"/>
                <w:right w:val="none" w:sz="0" w:space="0" w:color="auto"/>
              </w:divBdr>
            </w:div>
          </w:divsChild>
        </w:div>
        <w:div w:id="664212104">
          <w:marLeft w:val="0"/>
          <w:marRight w:val="0"/>
          <w:marTop w:val="0"/>
          <w:marBottom w:val="0"/>
          <w:divBdr>
            <w:top w:val="none" w:sz="0" w:space="0" w:color="auto"/>
            <w:left w:val="none" w:sz="0" w:space="0" w:color="auto"/>
            <w:bottom w:val="none" w:sz="0" w:space="0" w:color="auto"/>
            <w:right w:val="none" w:sz="0" w:space="0" w:color="auto"/>
          </w:divBdr>
          <w:divsChild>
            <w:div w:id="475029445">
              <w:marLeft w:val="0"/>
              <w:marRight w:val="0"/>
              <w:marTop w:val="0"/>
              <w:marBottom w:val="0"/>
              <w:divBdr>
                <w:top w:val="none" w:sz="0" w:space="0" w:color="auto"/>
                <w:left w:val="none" w:sz="0" w:space="0" w:color="auto"/>
                <w:bottom w:val="none" w:sz="0" w:space="0" w:color="auto"/>
                <w:right w:val="none" w:sz="0" w:space="0" w:color="auto"/>
              </w:divBdr>
            </w:div>
          </w:divsChild>
        </w:div>
        <w:div w:id="665670354">
          <w:marLeft w:val="0"/>
          <w:marRight w:val="0"/>
          <w:marTop w:val="0"/>
          <w:marBottom w:val="0"/>
          <w:divBdr>
            <w:top w:val="none" w:sz="0" w:space="0" w:color="auto"/>
            <w:left w:val="none" w:sz="0" w:space="0" w:color="auto"/>
            <w:bottom w:val="none" w:sz="0" w:space="0" w:color="auto"/>
            <w:right w:val="none" w:sz="0" w:space="0" w:color="auto"/>
          </w:divBdr>
          <w:divsChild>
            <w:div w:id="1833325151">
              <w:marLeft w:val="0"/>
              <w:marRight w:val="0"/>
              <w:marTop w:val="0"/>
              <w:marBottom w:val="0"/>
              <w:divBdr>
                <w:top w:val="none" w:sz="0" w:space="0" w:color="auto"/>
                <w:left w:val="none" w:sz="0" w:space="0" w:color="auto"/>
                <w:bottom w:val="none" w:sz="0" w:space="0" w:color="auto"/>
                <w:right w:val="none" w:sz="0" w:space="0" w:color="auto"/>
              </w:divBdr>
            </w:div>
          </w:divsChild>
        </w:div>
        <w:div w:id="707030597">
          <w:marLeft w:val="0"/>
          <w:marRight w:val="0"/>
          <w:marTop w:val="0"/>
          <w:marBottom w:val="0"/>
          <w:divBdr>
            <w:top w:val="none" w:sz="0" w:space="0" w:color="auto"/>
            <w:left w:val="none" w:sz="0" w:space="0" w:color="auto"/>
            <w:bottom w:val="none" w:sz="0" w:space="0" w:color="auto"/>
            <w:right w:val="none" w:sz="0" w:space="0" w:color="auto"/>
          </w:divBdr>
          <w:divsChild>
            <w:div w:id="264385561">
              <w:marLeft w:val="0"/>
              <w:marRight w:val="0"/>
              <w:marTop w:val="0"/>
              <w:marBottom w:val="0"/>
              <w:divBdr>
                <w:top w:val="none" w:sz="0" w:space="0" w:color="auto"/>
                <w:left w:val="none" w:sz="0" w:space="0" w:color="auto"/>
                <w:bottom w:val="none" w:sz="0" w:space="0" w:color="auto"/>
                <w:right w:val="none" w:sz="0" w:space="0" w:color="auto"/>
              </w:divBdr>
            </w:div>
          </w:divsChild>
        </w:div>
        <w:div w:id="728458972">
          <w:marLeft w:val="0"/>
          <w:marRight w:val="0"/>
          <w:marTop w:val="0"/>
          <w:marBottom w:val="0"/>
          <w:divBdr>
            <w:top w:val="none" w:sz="0" w:space="0" w:color="auto"/>
            <w:left w:val="none" w:sz="0" w:space="0" w:color="auto"/>
            <w:bottom w:val="none" w:sz="0" w:space="0" w:color="auto"/>
            <w:right w:val="none" w:sz="0" w:space="0" w:color="auto"/>
          </w:divBdr>
          <w:divsChild>
            <w:div w:id="1363019134">
              <w:marLeft w:val="0"/>
              <w:marRight w:val="0"/>
              <w:marTop w:val="0"/>
              <w:marBottom w:val="0"/>
              <w:divBdr>
                <w:top w:val="none" w:sz="0" w:space="0" w:color="auto"/>
                <w:left w:val="none" w:sz="0" w:space="0" w:color="auto"/>
                <w:bottom w:val="none" w:sz="0" w:space="0" w:color="auto"/>
                <w:right w:val="none" w:sz="0" w:space="0" w:color="auto"/>
              </w:divBdr>
            </w:div>
          </w:divsChild>
        </w:div>
        <w:div w:id="749156613">
          <w:marLeft w:val="0"/>
          <w:marRight w:val="0"/>
          <w:marTop w:val="0"/>
          <w:marBottom w:val="0"/>
          <w:divBdr>
            <w:top w:val="none" w:sz="0" w:space="0" w:color="auto"/>
            <w:left w:val="none" w:sz="0" w:space="0" w:color="auto"/>
            <w:bottom w:val="none" w:sz="0" w:space="0" w:color="auto"/>
            <w:right w:val="none" w:sz="0" w:space="0" w:color="auto"/>
          </w:divBdr>
          <w:divsChild>
            <w:div w:id="807481602">
              <w:marLeft w:val="0"/>
              <w:marRight w:val="0"/>
              <w:marTop w:val="0"/>
              <w:marBottom w:val="0"/>
              <w:divBdr>
                <w:top w:val="none" w:sz="0" w:space="0" w:color="auto"/>
                <w:left w:val="none" w:sz="0" w:space="0" w:color="auto"/>
                <w:bottom w:val="none" w:sz="0" w:space="0" w:color="auto"/>
                <w:right w:val="none" w:sz="0" w:space="0" w:color="auto"/>
              </w:divBdr>
            </w:div>
          </w:divsChild>
        </w:div>
        <w:div w:id="760833094">
          <w:marLeft w:val="0"/>
          <w:marRight w:val="0"/>
          <w:marTop w:val="0"/>
          <w:marBottom w:val="0"/>
          <w:divBdr>
            <w:top w:val="none" w:sz="0" w:space="0" w:color="auto"/>
            <w:left w:val="none" w:sz="0" w:space="0" w:color="auto"/>
            <w:bottom w:val="none" w:sz="0" w:space="0" w:color="auto"/>
            <w:right w:val="none" w:sz="0" w:space="0" w:color="auto"/>
          </w:divBdr>
          <w:divsChild>
            <w:div w:id="974287931">
              <w:marLeft w:val="0"/>
              <w:marRight w:val="0"/>
              <w:marTop w:val="0"/>
              <w:marBottom w:val="0"/>
              <w:divBdr>
                <w:top w:val="none" w:sz="0" w:space="0" w:color="auto"/>
                <w:left w:val="none" w:sz="0" w:space="0" w:color="auto"/>
                <w:bottom w:val="none" w:sz="0" w:space="0" w:color="auto"/>
                <w:right w:val="none" w:sz="0" w:space="0" w:color="auto"/>
              </w:divBdr>
            </w:div>
          </w:divsChild>
        </w:div>
        <w:div w:id="800002749">
          <w:marLeft w:val="0"/>
          <w:marRight w:val="0"/>
          <w:marTop w:val="0"/>
          <w:marBottom w:val="0"/>
          <w:divBdr>
            <w:top w:val="none" w:sz="0" w:space="0" w:color="auto"/>
            <w:left w:val="none" w:sz="0" w:space="0" w:color="auto"/>
            <w:bottom w:val="none" w:sz="0" w:space="0" w:color="auto"/>
            <w:right w:val="none" w:sz="0" w:space="0" w:color="auto"/>
          </w:divBdr>
          <w:divsChild>
            <w:div w:id="1977445642">
              <w:marLeft w:val="0"/>
              <w:marRight w:val="0"/>
              <w:marTop w:val="0"/>
              <w:marBottom w:val="0"/>
              <w:divBdr>
                <w:top w:val="none" w:sz="0" w:space="0" w:color="auto"/>
                <w:left w:val="none" w:sz="0" w:space="0" w:color="auto"/>
                <w:bottom w:val="none" w:sz="0" w:space="0" w:color="auto"/>
                <w:right w:val="none" w:sz="0" w:space="0" w:color="auto"/>
              </w:divBdr>
            </w:div>
          </w:divsChild>
        </w:div>
        <w:div w:id="807404770">
          <w:marLeft w:val="0"/>
          <w:marRight w:val="0"/>
          <w:marTop w:val="0"/>
          <w:marBottom w:val="0"/>
          <w:divBdr>
            <w:top w:val="none" w:sz="0" w:space="0" w:color="auto"/>
            <w:left w:val="none" w:sz="0" w:space="0" w:color="auto"/>
            <w:bottom w:val="none" w:sz="0" w:space="0" w:color="auto"/>
            <w:right w:val="none" w:sz="0" w:space="0" w:color="auto"/>
          </w:divBdr>
          <w:divsChild>
            <w:div w:id="1935744814">
              <w:marLeft w:val="0"/>
              <w:marRight w:val="0"/>
              <w:marTop w:val="0"/>
              <w:marBottom w:val="0"/>
              <w:divBdr>
                <w:top w:val="none" w:sz="0" w:space="0" w:color="auto"/>
                <w:left w:val="none" w:sz="0" w:space="0" w:color="auto"/>
                <w:bottom w:val="none" w:sz="0" w:space="0" w:color="auto"/>
                <w:right w:val="none" w:sz="0" w:space="0" w:color="auto"/>
              </w:divBdr>
            </w:div>
          </w:divsChild>
        </w:div>
        <w:div w:id="821656066">
          <w:marLeft w:val="0"/>
          <w:marRight w:val="0"/>
          <w:marTop w:val="0"/>
          <w:marBottom w:val="0"/>
          <w:divBdr>
            <w:top w:val="none" w:sz="0" w:space="0" w:color="auto"/>
            <w:left w:val="none" w:sz="0" w:space="0" w:color="auto"/>
            <w:bottom w:val="none" w:sz="0" w:space="0" w:color="auto"/>
            <w:right w:val="none" w:sz="0" w:space="0" w:color="auto"/>
          </w:divBdr>
          <w:divsChild>
            <w:div w:id="612908298">
              <w:marLeft w:val="0"/>
              <w:marRight w:val="0"/>
              <w:marTop w:val="0"/>
              <w:marBottom w:val="0"/>
              <w:divBdr>
                <w:top w:val="none" w:sz="0" w:space="0" w:color="auto"/>
                <w:left w:val="none" w:sz="0" w:space="0" w:color="auto"/>
                <w:bottom w:val="none" w:sz="0" w:space="0" w:color="auto"/>
                <w:right w:val="none" w:sz="0" w:space="0" w:color="auto"/>
              </w:divBdr>
            </w:div>
          </w:divsChild>
        </w:div>
        <w:div w:id="822430600">
          <w:marLeft w:val="0"/>
          <w:marRight w:val="0"/>
          <w:marTop w:val="0"/>
          <w:marBottom w:val="0"/>
          <w:divBdr>
            <w:top w:val="none" w:sz="0" w:space="0" w:color="auto"/>
            <w:left w:val="none" w:sz="0" w:space="0" w:color="auto"/>
            <w:bottom w:val="none" w:sz="0" w:space="0" w:color="auto"/>
            <w:right w:val="none" w:sz="0" w:space="0" w:color="auto"/>
          </w:divBdr>
          <w:divsChild>
            <w:div w:id="1398210838">
              <w:marLeft w:val="0"/>
              <w:marRight w:val="0"/>
              <w:marTop w:val="0"/>
              <w:marBottom w:val="0"/>
              <w:divBdr>
                <w:top w:val="none" w:sz="0" w:space="0" w:color="auto"/>
                <w:left w:val="none" w:sz="0" w:space="0" w:color="auto"/>
                <w:bottom w:val="none" w:sz="0" w:space="0" w:color="auto"/>
                <w:right w:val="none" w:sz="0" w:space="0" w:color="auto"/>
              </w:divBdr>
            </w:div>
          </w:divsChild>
        </w:div>
        <w:div w:id="826558042">
          <w:marLeft w:val="0"/>
          <w:marRight w:val="0"/>
          <w:marTop w:val="0"/>
          <w:marBottom w:val="0"/>
          <w:divBdr>
            <w:top w:val="none" w:sz="0" w:space="0" w:color="auto"/>
            <w:left w:val="none" w:sz="0" w:space="0" w:color="auto"/>
            <w:bottom w:val="none" w:sz="0" w:space="0" w:color="auto"/>
            <w:right w:val="none" w:sz="0" w:space="0" w:color="auto"/>
          </w:divBdr>
          <w:divsChild>
            <w:div w:id="1290086521">
              <w:marLeft w:val="0"/>
              <w:marRight w:val="0"/>
              <w:marTop w:val="0"/>
              <w:marBottom w:val="0"/>
              <w:divBdr>
                <w:top w:val="none" w:sz="0" w:space="0" w:color="auto"/>
                <w:left w:val="none" w:sz="0" w:space="0" w:color="auto"/>
                <w:bottom w:val="none" w:sz="0" w:space="0" w:color="auto"/>
                <w:right w:val="none" w:sz="0" w:space="0" w:color="auto"/>
              </w:divBdr>
            </w:div>
          </w:divsChild>
        </w:div>
        <w:div w:id="832718457">
          <w:marLeft w:val="0"/>
          <w:marRight w:val="0"/>
          <w:marTop w:val="0"/>
          <w:marBottom w:val="0"/>
          <w:divBdr>
            <w:top w:val="none" w:sz="0" w:space="0" w:color="auto"/>
            <w:left w:val="none" w:sz="0" w:space="0" w:color="auto"/>
            <w:bottom w:val="none" w:sz="0" w:space="0" w:color="auto"/>
            <w:right w:val="none" w:sz="0" w:space="0" w:color="auto"/>
          </w:divBdr>
          <w:divsChild>
            <w:div w:id="1817528420">
              <w:marLeft w:val="0"/>
              <w:marRight w:val="0"/>
              <w:marTop w:val="0"/>
              <w:marBottom w:val="0"/>
              <w:divBdr>
                <w:top w:val="none" w:sz="0" w:space="0" w:color="auto"/>
                <w:left w:val="none" w:sz="0" w:space="0" w:color="auto"/>
                <w:bottom w:val="none" w:sz="0" w:space="0" w:color="auto"/>
                <w:right w:val="none" w:sz="0" w:space="0" w:color="auto"/>
              </w:divBdr>
            </w:div>
          </w:divsChild>
        </w:div>
        <w:div w:id="857307627">
          <w:marLeft w:val="0"/>
          <w:marRight w:val="0"/>
          <w:marTop w:val="0"/>
          <w:marBottom w:val="0"/>
          <w:divBdr>
            <w:top w:val="none" w:sz="0" w:space="0" w:color="auto"/>
            <w:left w:val="none" w:sz="0" w:space="0" w:color="auto"/>
            <w:bottom w:val="none" w:sz="0" w:space="0" w:color="auto"/>
            <w:right w:val="none" w:sz="0" w:space="0" w:color="auto"/>
          </w:divBdr>
          <w:divsChild>
            <w:div w:id="906263335">
              <w:marLeft w:val="0"/>
              <w:marRight w:val="0"/>
              <w:marTop w:val="0"/>
              <w:marBottom w:val="0"/>
              <w:divBdr>
                <w:top w:val="none" w:sz="0" w:space="0" w:color="auto"/>
                <w:left w:val="none" w:sz="0" w:space="0" w:color="auto"/>
                <w:bottom w:val="none" w:sz="0" w:space="0" w:color="auto"/>
                <w:right w:val="none" w:sz="0" w:space="0" w:color="auto"/>
              </w:divBdr>
            </w:div>
          </w:divsChild>
        </w:div>
        <w:div w:id="871573161">
          <w:marLeft w:val="0"/>
          <w:marRight w:val="0"/>
          <w:marTop w:val="0"/>
          <w:marBottom w:val="0"/>
          <w:divBdr>
            <w:top w:val="none" w:sz="0" w:space="0" w:color="auto"/>
            <w:left w:val="none" w:sz="0" w:space="0" w:color="auto"/>
            <w:bottom w:val="none" w:sz="0" w:space="0" w:color="auto"/>
            <w:right w:val="none" w:sz="0" w:space="0" w:color="auto"/>
          </w:divBdr>
          <w:divsChild>
            <w:div w:id="48580297">
              <w:marLeft w:val="0"/>
              <w:marRight w:val="0"/>
              <w:marTop w:val="0"/>
              <w:marBottom w:val="0"/>
              <w:divBdr>
                <w:top w:val="none" w:sz="0" w:space="0" w:color="auto"/>
                <w:left w:val="none" w:sz="0" w:space="0" w:color="auto"/>
                <w:bottom w:val="none" w:sz="0" w:space="0" w:color="auto"/>
                <w:right w:val="none" w:sz="0" w:space="0" w:color="auto"/>
              </w:divBdr>
            </w:div>
          </w:divsChild>
        </w:div>
        <w:div w:id="907612246">
          <w:marLeft w:val="0"/>
          <w:marRight w:val="0"/>
          <w:marTop w:val="0"/>
          <w:marBottom w:val="0"/>
          <w:divBdr>
            <w:top w:val="none" w:sz="0" w:space="0" w:color="auto"/>
            <w:left w:val="none" w:sz="0" w:space="0" w:color="auto"/>
            <w:bottom w:val="none" w:sz="0" w:space="0" w:color="auto"/>
            <w:right w:val="none" w:sz="0" w:space="0" w:color="auto"/>
          </w:divBdr>
          <w:divsChild>
            <w:div w:id="777414514">
              <w:marLeft w:val="0"/>
              <w:marRight w:val="0"/>
              <w:marTop w:val="0"/>
              <w:marBottom w:val="0"/>
              <w:divBdr>
                <w:top w:val="none" w:sz="0" w:space="0" w:color="auto"/>
                <w:left w:val="none" w:sz="0" w:space="0" w:color="auto"/>
                <w:bottom w:val="none" w:sz="0" w:space="0" w:color="auto"/>
                <w:right w:val="none" w:sz="0" w:space="0" w:color="auto"/>
              </w:divBdr>
            </w:div>
          </w:divsChild>
        </w:div>
        <w:div w:id="926381411">
          <w:marLeft w:val="0"/>
          <w:marRight w:val="0"/>
          <w:marTop w:val="0"/>
          <w:marBottom w:val="0"/>
          <w:divBdr>
            <w:top w:val="none" w:sz="0" w:space="0" w:color="auto"/>
            <w:left w:val="none" w:sz="0" w:space="0" w:color="auto"/>
            <w:bottom w:val="none" w:sz="0" w:space="0" w:color="auto"/>
            <w:right w:val="none" w:sz="0" w:space="0" w:color="auto"/>
          </w:divBdr>
          <w:divsChild>
            <w:div w:id="2077624202">
              <w:marLeft w:val="0"/>
              <w:marRight w:val="0"/>
              <w:marTop w:val="0"/>
              <w:marBottom w:val="0"/>
              <w:divBdr>
                <w:top w:val="none" w:sz="0" w:space="0" w:color="auto"/>
                <w:left w:val="none" w:sz="0" w:space="0" w:color="auto"/>
                <w:bottom w:val="none" w:sz="0" w:space="0" w:color="auto"/>
                <w:right w:val="none" w:sz="0" w:space="0" w:color="auto"/>
              </w:divBdr>
            </w:div>
          </w:divsChild>
        </w:div>
        <w:div w:id="928124070">
          <w:marLeft w:val="0"/>
          <w:marRight w:val="0"/>
          <w:marTop w:val="0"/>
          <w:marBottom w:val="0"/>
          <w:divBdr>
            <w:top w:val="none" w:sz="0" w:space="0" w:color="auto"/>
            <w:left w:val="none" w:sz="0" w:space="0" w:color="auto"/>
            <w:bottom w:val="none" w:sz="0" w:space="0" w:color="auto"/>
            <w:right w:val="none" w:sz="0" w:space="0" w:color="auto"/>
          </w:divBdr>
          <w:divsChild>
            <w:div w:id="1769696392">
              <w:marLeft w:val="0"/>
              <w:marRight w:val="0"/>
              <w:marTop w:val="0"/>
              <w:marBottom w:val="0"/>
              <w:divBdr>
                <w:top w:val="none" w:sz="0" w:space="0" w:color="auto"/>
                <w:left w:val="none" w:sz="0" w:space="0" w:color="auto"/>
                <w:bottom w:val="none" w:sz="0" w:space="0" w:color="auto"/>
                <w:right w:val="none" w:sz="0" w:space="0" w:color="auto"/>
              </w:divBdr>
            </w:div>
          </w:divsChild>
        </w:div>
        <w:div w:id="938833442">
          <w:marLeft w:val="0"/>
          <w:marRight w:val="0"/>
          <w:marTop w:val="0"/>
          <w:marBottom w:val="0"/>
          <w:divBdr>
            <w:top w:val="none" w:sz="0" w:space="0" w:color="auto"/>
            <w:left w:val="none" w:sz="0" w:space="0" w:color="auto"/>
            <w:bottom w:val="none" w:sz="0" w:space="0" w:color="auto"/>
            <w:right w:val="none" w:sz="0" w:space="0" w:color="auto"/>
          </w:divBdr>
          <w:divsChild>
            <w:div w:id="147285558">
              <w:marLeft w:val="0"/>
              <w:marRight w:val="0"/>
              <w:marTop w:val="0"/>
              <w:marBottom w:val="0"/>
              <w:divBdr>
                <w:top w:val="none" w:sz="0" w:space="0" w:color="auto"/>
                <w:left w:val="none" w:sz="0" w:space="0" w:color="auto"/>
                <w:bottom w:val="none" w:sz="0" w:space="0" w:color="auto"/>
                <w:right w:val="none" w:sz="0" w:space="0" w:color="auto"/>
              </w:divBdr>
            </w:div>
            <w:div w:id="1554388875">
              <w:marLeft w:val="0"/>
              <w:marRight w:val="0"/>
              <w:marTop w:val="0"/>
              <w:marBottom w:val="0"/>
              <w:divBdr>
                <w:top w:val="none" w:sz="0" w:space="0" w:color="auto"/>
                <w:left w:val="none" w:sz="0" w:space="0" w:color="auto"/>
                <w:bottom w:val="none" w:sz="0" w:space="0" w:color="auto"/>
                <w:right w:val="none" w:sz="0" w:space="0" w:color="auto"/>
              </w:divBdr>
            </w:div>
          </w:divsChild>
        </w:div>
        <w:div w:id="949166160">
          <w:marLeft w:val="0"/>
          <w:marRight w:val="0"/>
          <w:marTop w:val="0"/>
          <w:marBottom w:val="0"/>
          <w:divBdr>
            <w:top w:val="none" w:sz="0" w:space="0" w:color="auto"/>
            <w:left w:val="none" w:sz="0" w:space="0" w:color="auto"/>
            <w:bottom w:val="none" w:sz="0" w:space="0" w:color="auto"/>
            <w:right w:val="none" w:sz="0" w:space="0" w:color="auto"/>
          </w:divBdr>
          <w:divsChild>
            <w:div w:id="6061119">
              <w:marLeft w:val="0"/>
              <w:marRight w:val="0"/>
              <w:marTop w:val="0"/>
              <w:marBottom w:val="0"/>
              <w:divBdr>
                <w:top w:val="none" w:sz="0" w:space="0" w:color="auto"/>
                <w:left w:val="none" w:sz="0" w:space="0" w:color="auto"/>
                <w:bottom w:val="none" w:sz="0" w:space="0" w:color="auto"/>
                <w:right w:val="none" w:sz="0" w:space="0" w:color="auto"/>
              </w:divBdr>
            </w:div>
          </w:divsChild>
        </w:div>
        <w:div w:id="990328687">
          <w:marLeft w:val="0"/>
          <w:marRight w:val="0"/>
          <w:marTop w:val="0"/>
          <w:marBottom w:val="0"/>
          <w:divBdr>
            <w:top w:val="none" w:sz="0" w:space="0" w:color="auto"/>
            <w:left w:val="none" w:sz="0" w:space="0" w:color="auto"/>
            <w:bottom w:val="none" w:sz="0" w:space="0" w:color="auto"/>
            <w:right w:val="none" w:sz="0" w:space="0" w:color="auto"/>
          </w:divBdr>
          <w:divsChild>
            <w:div w:id="485244620">
              <w:marLeft w:val="0"/>
              <w:marRight w:val="0"/>
              <w:marTop w:val="0"/>
              <w:marBottom w:val="0"/>
              <w:divBdr>
                <w:top w:val="none" w:sz="0" w:space="0" w:color="auto"/>
                <w:left w:val="none" w:sz="0" w:space="0" w:color="auto"/>
                <w:bottom w:val="none" w:sz="0" w:space="0" w:color="auto"/>
                <w:right w:val="none" w:sz="0" w:space="0" w:color="auto"/>
              </w:divBdr>
            </w:div>
          </w:divsChild>
        </w:div>
        <w:div w:id="990871071">
          <w:marLeft w:val="0"/>
          <w:marRight w:val="0"/>
          <w:marTop w:val="0"/>
          <w:marBottom w:val="0"/>
          <w:divBdr>
            <w:top w:val="none" w:sz="0" w:space="0" w:color="auto"/>
            <w:left w:val="none" w:sz="0" w:space="0" w:color="auto"/>
            <w:bottom w:val="none" w:sz="0" w:space="0" w:color="auto"/>
            <w:right w:val="none" w:sz="0" w:space="0" w:color="auto"/>
          </w:divBdr>
          <w:divsChild>
            <w:div w:id="1226259435">
              <w:marLeft w:val="0"/>
              <w:marRight w:val="0"/>
              <w:marTop w:val="0"/>
              <w:marBottom w:val="0"/>
              <w:divBdr>
                <w:top w:val="none" w:sz="0" w:space="0" w:color="auto"/>
                <w:left w:val="none" w:sz="0" w:space="0" w:color="auto"/>
                <w:bottom w:val="none" w:sz="0" w:space="0" w:color="auto"/>
                <w:right w:val="none" w:sz="0" w:space="0" w:color="auto"/>
              </w:divBdr>
            </w:div>
          </w:divsChild>
        </w:div>
        <w:div w:id="1016421064">
          <w:marLeft w:val="0"/>
          <w:marRight w:val="0"/>
          <w:marTop w:val="0"/>
          <w:marBottom w:val="0"/>
          <w:divBdr>
            <w:top w:val="none" w:sz="0" w:space="0" w:color="auto"/>
            <w:left w:val="none" w:sz="0" w:space="0" w:color="auto"/>
            <w:bottom w:val="none" w:sz="0" w:space="0" w:color="auto"/>
            <w:right w:val="none" w:sz="0" w:space="0" w:color="auto"/>
          </w:divBdr>
          <w:divsChild>
            <w:div w:id="1851411873">
              <w:marLeft w:val="0"/>
              <w:marRight w:val="0"/>
              <w:marTop w:val="0"/>
              <w:marBottom w:val="0"/>
              <w:divBdr>
                <w:top w:val="none" w:sz="0" w:space="0" w:color="auto"/>
                <w:left w:val="none" w:sz="0" w:space="0" w:color="auto"/>
                <w:bottom w:val="none" w:sz="0" w:space="0" w:color="auto"/>
                <w:right w:val="none" w:sz="0" w:space="0" w:color="auto"/>
              </w:divBdr>
            </w:div>
          </w:divsChild>
        </w:div>
        <w:div w:id="1018849544">
          <w:marLeft w:val="0"/>
          <w:marRight w:val="0"/>
          <w:marTop w:val="0"/>
          <w:marBottom w:val="0"/>
          <w:divBdr>
            <w:top w:val="none" w:sz="0" w:space="0" w:color="auto"/>
            <w:left w:val="none" w:sz="0" w:space="0" w:color="auto"/>
            <w:bottom w:val="none" w:sz="0" w:space="0" w:color="auto"/>
            <w:right w:val="none" w:sz="0" w:space="0" w:color="auto"/>
          </w:divBdr>
          <w:divsChild>
            <w:div w:id="1397389242">
              <w:marLeft w:val="0"/>
              <w:marRight w:val="0"/>
              <w:marTop w:val="0"/>
              <w:marBottom w:val="0"/>
              <w:divBdr>
                <w:top w:val="none" w:sz="0" w:space="0" w:color="auto"/>
                <w:left w:val="none" w:sz="0" w:space="0" w:color="auto"/>
                <w:bottom w:val="none" w:sz="0" w:space="0" w:color="auto"/>
                <w:right w:val="none" w:sz="0" w:space="0" w:color="auto"/>
              </w:divBdr>
            </w:div>
          </w:divsChild>
        </w:div>
        <w:div w:id="1050953729">
          <w:marLeft w:val="0"/>
          <w:marRight w:val="0"/>
          <w:marTop w:val="0"/>
          <w:marBottom w:val="0"/>
          <w:divBdr>
            <w:top w:val="none" w:sz="0" w:space="0" w:color="auto"/>
            <w:left w:val="none" w:sz="0" w:space="0" w:color="auto"/>
            <w:bottom w:val="none" w:sz="0" w:space="0" w:color="auto"/>
            <w:right w:val="none" w:sz="0" w:space="0" w:color="auto"/>
          </w:divBdr>
          <w:divsChild>
            <w:div w:id="1122504203">
              <w:marLeft w:val="0"/>
              <w:marRight w:val="0"/>
              <w:marTop w:val="0"/>
              <w:marBottom w:val="0"/>
              <w:divBdr>
                <w:top w:val="none" w:sz="0" w:space="0" w:color="auto"/>
                <w:left w:val="none" w:sz="0" w:space="0" w:color="auto"/>
                <w:bottom w:val="none" w:sz="0" w:space="0" w:color="auto"/>
                <w:right w:val="none" w:sz="0" w:space="0" w:color="auto"/>
              </w:divBdr>
            </w:div>
          </w:divsChild>
        </w:div>
        <w:div w:id="1056007451">
          <w:marLeft w:val="0"/>
          <w:marRight w:val="0"/>
          <w:marTop w:val="0"/>
          <w:marBottom w:val="0"/>
          <w:divBdr>
            <w:top w:val="none" w:sz="0" w:space="0" w:color="auto"/>
            <w:left w:val="none" w:sz="0" w:space="0" w:color="auto"/>
            <w:bottom w:val="none" w:sz="0" w:space="0" w:color="auto"/>
            <w:right w:val="none" w:sz="0" w:space="0" w:color="auto"/>
          </w:divBdr>
          <w:divsChild>
            <w:div w:id="390233108">
              <w:marLeft w:val="0"/>
              <w:marRight w:val="0"/>
              <w:marTop w:val="0"/>
              <w:marBottom w:val="0"/>
              <w:divBdr>
                <w:top w:val="none" w:sz="0" w:space="0" w:color="auto"/>
                <w:left w:val="none" w:sz="0" w:space="0" w:color="auto"/>
                <w:bottom w:val="none" w:sz="0" w:space="0" w:color="auto"/>
                <w:right w:val="none" w:sz="0" w:space="0" w:color="auto"/>
              </w:divBdr>
            </w:div>
          </w:divsChild>
        </w:div>
        <w:div w:id="1066224413">
          <w:marLeft w:val="0"/>
          <w:marRight w:val="0"/>
          <w:marTop w:val="0"/>
          <w:marBottom w:val="0"/>
          <w:divBdr>
            <w:top w:val="none" w:sz="0" w:space="0" w:color="auto"/>
            <w:left w:val="none" w:sz="0" w:space="0" w:color="auto"/>
            <w:bottom w:val="none" w:sz="0" w:space="0" w:color="auto"/>
            <w:right w:val="none" w:sz="0" w:space="0" w:color="auto"/>
          </w:divBdr>
          <w:divsChild>
            <w:div w:id="1796287025">
              <w:marLeft w:val="0"/>
              <w:marRight w:val="0"/>
              <w:marTop w:val="0"/>
              <w:marBottom w:val="0"/>
              <w:divBdr>
                <w:top w:val="none" w:sz="0" w:space="0" w:color="auto"/>
                <w:left w:val="none" w:sz="0" w:space="0" w:color="auto"/>
                <w:bottom w:val="none" w:sz="0" w:space="0" w:color="auto"/>
                <w:right w:val="none" w:sz="0" w:space="0" w:color="auto"/>
              </w:divBdr>
            </w:div>
          </w:divsChild>
        </w:div>
        <w:div w:id="1069763241">
          <w:marLeft w:val="0"/>
          <w:marRight w:val="0"/>
          <w:marTop w:val="0"/>
          <w:marBottom w:val="0"/>
          <w:divBdr>
            <w:top w:val="none" w:sz="0" w:space="0" w:color="auto"/>
            <w:left w:val="none" w:sz="0" w:space="0" w:color="auto"/>
            <w:bottom w:val="none" w:sz="0" w:space="0" w:color="auto"/>
            <w:right w:val="none" w:sz="0" w:space="0" w:color="auto"/>
          </w:divBdr>
          <w:divsChild>
            <w:div w:id="413281935">
              <w:marLeft w:val="0"/>
              <w:marRight w:val="0"/>
              <w:marTop w:val="0"/>
              <w:marBottom w:val="0"/>
              <w:divBdr>
                <w:top w:val="none" w:sz="0" w:space="0" w:color="auto"/>
                <w:left w:val="none" w:sz="0" w:space="0" w:color="auto"/>
                <w:bottom w:val="none" w:sz="0" w:space="0" w:color="auto"/>
                <w:right w:val="none" w:sz="0" w:space="0" w:color="auto"/>
              </w:divBdr>
            </w:div>
          </w:divsChild>
        </w:div>
        <w:div w:id="1071805589">
          <w:marLeft w:val="0"/>
          <w:marRight w:val="0"/>
          <w:marTop w:val="0"/>
          <w:marBottom w:val="0"/>
          <w:divBdr>
            <w:top w:val="none" w:sz="0" w:space="0" w:color="auto"/>
            <w:left w:val="none" w:sz="0" w:space="0" w:color="auto"/>
            <w:bottom w:val="none" w:sz="0" w:space="0" w:color="auto"/>
            <w:right w:val="none" w:sz="0" w:space="0" w:color="auto"/>
          </w:divBdr>
          <w:divsChild>
            <w:div w:id="237136234">
              <w:marLeft w:val="0"/>
              <w:marRight w:val="0"/>
              <w:marTop w:val="0"/>
              <w:marBottom w:val="0"/>
              <w:divBdr>
                <w:top w:val="none" w:sz="0" w:space="0" w:color="auto"/>
                <w:left w:val="none" w:sz="0" w:space="0" w:color="auto"/>
                <w:bottom w:val="none" w:sz="0" w:space="0" w:color="auto"/>
                <w:right w:val="none" w:sz="0" w:space="0" w:color="auto"/>
              </w:divBdr>
            </w:div>
          </w:divsChild>
        </w:div>
        <w:div w:id="1082332854">
          <w:marLeft w:val="0"/>
          <w:marRight w:val="0"/>
          <w:marTop w:val="0"/>
          <w:marBottom w:val="0"/>
          <w:divBdr>
            <w:top w:val="none" w:sz="0" w:space="0" w:color="auto"/>
            <w:left w:val="none" w:sz="0" w:space="0" w:color="auto"/>
            <w:bottom w:val="none" w:sz="0" w:space="0" w:color="auto"/>
            <w:right w:val="none" w:sz="0" w:space="0" w:color="auto"/>
          </w:divBdr>
          <w:divsChild>
            <w:div w:id="684328735">
              <w:marLeft w:val="0"/>
              <w:marRight w:val="0"/>
              <w:marTop w:val="0"/>
              <w:marBottom w:val="0"/>
              <w:divBdr>
                <w:top w:val="none" w:sz="0" w:space="0" w:color="auto"/>
                <w:left w:val="none" w:sz="0" w:space="0" w:color="auto"/>
                <w:bottom w:val="none" w:sz="0" w:space="0" w:color="auto"/>
                <w:right w:val="none" w:sz="0" w:space="0" w:color="auto"/>
              </w:divBdr>
            </w:div>
          </w:divsChild>
        </w:div>
        <w:div w:id="1084649092">
          <w:marLeft w:val="0"/>
          <w:marRight w:val="0"/>
          <w:marTop w:val="0"/>
          <w:marBottom w:val="0"/>
          <w:divBdr>
            <w:top w:val="none" w:sz="0" w:space="0" w:color="auto"/>
            <w:left w:val="none" w:sz="0" w:space="0" w:color="auto"/>
            <w:bottom w:val="none" w:sz="0" w:space="0" w:color="auto"/>
            <w:right w:val="none" w:sz="0" w:space="0" w:color="auto"/>
          </w:divBdr>
          <w:divsChild>
            <w:div w:id="268855862">
              <w:marLeft w:val="0"/>
              <w:marRight w:val="0"/>
              <w:marTop w:val="0"/>
              <w:marBottom w:val="0"/>
              <w:divBdr>
                <w:top w:val="none" w:sz="0" w:space="0" w:color="auto"/>
                <w:left w:val="none" w:sz="0" w:space="0" w:color="auto"/>
                <w:bottom w:val="none" w:sz="0" w:space="0" w:color="auto"/>
                <w:right w:val="none" w:sz="0" w:space="0" w:color="auto"/>
              </w:divBdr>
            </w:div>
          </w:divsChild>
        </w:div>
        <w:div w:id="1113943338">
          <w:marLeft w:val="0"/>
          <w:marRight w:val="0"/>
          <w:marTop w:val="0"/>
          <w:marBottom w:val="0"/>
          <w:divBdr>
            <w:top w:val="none" w:sz="0" w:space="0" w:color="auto"/>
            <w:left w:val="none" w:sz="0" w:space="0" w:color="auto"/>
            <w:bottom w:val="none" w:sz="0" w:space="0" w:color="auto"/>
            <w:right w:val="none" w:sz="0" w:space="0" w:color="auto"/>
          </w:divBdr>
          <w:divsChild>
            <w:div w:id="60566049">
              <w:marLeft w:val="0"/>
              <w:marRight w:val="0"/>
              <w:marTop w:val="0"/>
              <w:marBottom w:val="0"/>
              <w:divBdr>
                <w:top w:val="none" w:sz="0" w:space="0" w:color="auto"/>
                <w:left w:val="none" w:sz="0" w:space="0" w:color="auto"/>
                <w:bottom w:val="none" w:sz="0" w:space="0" w:color="auto"/>
                <w:right w:val="none" w:sz="0" w:space="0" w:color="auto"/>
              </w:divBdr>
            </w:div>
          </w:divsChild>
        </w:div>
        <w:div w:id="1142430827">
          <w:marLeft w:val="0"/>
          <w:marRight w:val="0"/>
          <w:marTop w:val="0"/>
          <w:marBottom w:val="0"/>
          <w:divBdr>
            <w:top w:val="none" w:sz="0" w:space="0" w:color="auto"/>
            <w:left w:val="none" w:sz="0" w:space="0" w:color="auto"/>
            <w:bottom w:val="none" w:sz="0" w:space="0" w:color="auto"/>
            <w:right w:val="none" w:sz="0" w:space="0" w:color="auto"/>
          </w:divBdr>
          <w:divsChild>
            <w:div w:id="1585341322">
              <w:marLeft w:val="0"/>
              <w:marRight w:val="0"/>
              <w:marTop w:val="0"/>
              <w:marBottom w:val="0"/>
              <w:divBdr>
                <w:top w:val="none" w:sz="0" w:space="0" w:color="auto"/>
                <w:left w:val="none" w:sz="0" w:space="0" w:color="auto"/>
                <w:bottom w:val="none" w:sz="0" w:space="0" w:color="auto"/>
                <w:right w:val="none" w:sz="0" w:space="0" w:color="auto"/>
              </w:divBdr>
            </w:div>
          </w:divsChild>
        </w:div>
        <w:div w:id="1151673042">
          <w:marLeft w:val="0"/>
          <w:marRight w:val="0"/>
          <w:marTop w:val="0"/>
          <w:marBottom w:val="0"/>
          <w:divBdr>
            <w:top w:val="none" w:sz="0" w:space="0" w:color="auto"/>
            <w:left w:val="none" w:sz="0" w:space="0" w:color="auto"/>
            <w:bottom w:val="none" w:sz="0" w:space="0" w:color="auto"/>
            <w:right w:val="none" w:sz="0" w:space="0" w:color="auto"/>
          </w:divBdr>
          <w:divsChild>
            <w:div w:id="1037853344">
              <w:marLeft w:val="0"/>
              <w:marRight w:val="0"/>
              <w:marTop w:val="0"/>
              <w:marBottom w:val="0"/>
              <w:divBdr>
                <w:top w:val="none" w:sz="0" w:space="0" w:color="auto"/>
                <w:left w:val="none" w:sz="0" w:space="0" w:color="auto"/>
                <w:bottom w:val="none" w:sz="0" w:space="0" w:color="auto"/>
                <w:right w:val="none" w:sz="0" w:space="0" w:color="auto"/>
              </w:divBdr>
            </w:div>
          </w:divsChild>
        </w:div>
        <w:div w:id="1195539863">
          <w:marLeft w:val="0"/>
          <w:marRight w:val="0"/>
          <w:marTop w:val="0"/>
          <w:marBottom w:val="0"/>
          <w:divBdr>
            <w:top w:val="none" w:sz="0" w:space="0" w:color="auto"/>
            <w:left w:val="none" w:sz="0" w:space="0" w:color="auto"/>
            <w:bottom w:val="none" w:sz="0" w:space="0" w:color="auto"/>
            <w:right w:val="none" w:sz="0" w:space="0" w:color="auto"/>
          </w:divBdr>
          <w:divsChild>
            <w:div w:id="1924099759">
              <w:marLeft w:val="0"/>
              <w:marRight w:val="0"/>
              <w:marTop w:val="0"/>
              <w:marBottom w:val="0"/>
              <w:divBdr>
                <w:top w:val="none" w:sz="0" w:space="0" w:color="auto"/>
                <w:left w:val="none" w:sz="0" w:space="0" w:color="auto"/>
                <w:bottom w:val="none" w:sz="0" w:space="0" w:color="auto"/>
                <w:right w:val="none" w:sz="0" w:space="0" w:color="auto"/>
              </w:divBdr>
            </w:div>
          </w:divsChild>
        </w:div>
        <w:div w:id="1215578476">
          <w:marLeft w:val="0"/>
          <w:marRight w:val="0"/>
          <w:marTop w:val="0"/>
          <w:marBottom w:val="0"/>
          <w:divBdr>
            <w:top w:val="none" w:sz="0" w:space="0" w:color="auto"/>
            <w:left w:val="none" w:sz="0" w:space="0" w:color="auto"/>
            <w:bottom w:val="none" w:sz="0" w:space="0" w:color="auto"/>
            <w:right w:val="none" w:sz="0" w:space="0" w:color="auto"/>
          </w:divBdr>
          <w:divsChild>
            <w:div w:id="1652128418">
              <w:marLeft w:val="0"/>
              <w:marRight w:val="0"/>
              <w:marTop w:val="0"/>
              <w:marBottom w:val="0"/>
              <w:divBdr>
                <w:top w:val="none" w:sz="0" w:space="0" w:color="auto"/>
                <w:left w:val="none" w:sz="0" w:space="0" w:color="auto"/>
                <w:bottom w:val="none" w:sz="0" w:space="0" w:color="auto"/>
                <w:right w:val="none" w:sz="0" w:space="0" w:color="auto"/>
              </w:divBdr>
            </w:div>
          </w:divsChild>
        </w:div>
        <w:div w:id="1293251781">
          <w:marLeft w:val="0"/>
          <w:marRight w:val="0"/>
          <w:marTop w:val="0"/>
          <w:marBottom w:val="0"/>
          <w:divBdr>
            <w:top w:val="none" w:sz="0" w:space="0" w:color="auto"/>
            <w:left w:val="none" w:sz="0" w:space="0" w:color="auto"/>
            <w:bottom w:val="none" w:sz="0" w:space="0" w:color="auto"/>
            <w:right w:val="none" w:sz="0" w:space="0" w:color="auto"/>
          </w:divBdr>
          <w:divsChild>
            <w:div w:id="861474836">
              <w:marLeft w:val="0"/>
              <w:marRight w:val="0"/>
              <w:marTop w:val="0"/>
              <w:marBottom w:val="0"/>
              <w:divBdr>
                <w:top w:val="none" w:sz="0" w:space="0" w:color="auto"/>
                <w:left w:val="none" w:sz="0" w:space="0" w:color="auto"/>
                <w:bottom w:val="none" w:sz="0" w:space="0" w:color="auto"/>
                <w:right w:val="none" w:sz="0" w:space="0" w:color="auto"/>
              </w:divBdr>
            </w:div>
          </w:divsChild>
        </w:div>
        <w:div w:id="1314064420">
          <w:marLeft w:val="0"/>
          <w:marRight w:val="0"/>
          <w:marTop w:val="0"/>
          <w:marBottom w:val="0"/>
          <w:divBdr>
            <w:top w:val="none" w:sz="0" w:space="0" w:color="auto"/>
            <w:left w:val="none" w:sz="0" w:space="0" w:color="auto"/>
            <w:bottom w:val="none" w:sz="0" w:space="0" w:color="auto"/>
            <w:right w:val="none" w:sz="0" w:space="0" w:color="auto"/>
          </w:divBdr>
          <w:divsChild>
            <w:div w:id="1722904993">
              <w:marLeft w:val="0"/>
              <w:marRight w:val="0"/>
              <w:marTop w:val="0"/>
              <w:marBottom w:val="0"/>
              <w:divBdr>
                <w:top w:val="none" w:sz="0" w:space="0" w:color="auto"/>
                <w:left w:val="none" w:sz="0" w:space="0" w:color="auto"/>
                <w:bottom w:val="none" w:sz="0" w:space="0" w:color="auto"/>
                <w:right w:val="none" w:sz="0" w:space="0" w:color="auto"/>
              </w:divBdr>
            </w:div>
          </w:divsChild>
        </w:div>
        <w:div w:id="1317225083">
          <w:marLeft w:val="0"/>
          <w:marRight w:val="0"/>
          <w:marTop w:val="0"/>
          <w:marBottom w:val="0"/>
          <w:divBdr>
            <w:top w:val="none" w:sz="0" w:space="0" w:color="auto"/>
            <w:left w:val="none" w:sz="0" w:space="0" w:color="auto"/>
            <w:bottom w:val="none" w:sz="0" w:space="0" w:color="auto"/>
            <w:right w:val="none" w:sz="0" w:space="0" w:color="auto"/>
          </w:divBdr>
          <w:divsChild>
            <w:div w:id="1273516360">
              <w:marLeft w:val="0"/>
              <w:marRight w:val="0"/>
              <w:marTop w:val="0"/>
              <w:marBottom w:val="0"/>
              <w:divBdr>
                <w:top w:val="none" w:sz="0" w:space="0" w:color="auto"/>
                <w:left w:val="none" w:sz="0" w:space="0" w:color="auto"/>
                <w:bottom w:val="none" w:sz="0" w:space="0" w:color="auto"/>
                <w:right w:val="none" w:sz="0" w:space="0" w:color="auto"/>
              </w:divBdr>
            </w:div>
          </w:divsChild>
        </w:div>
        <w:div w:id="1338770956">
          <w:marLeft w:val="0"/>
          <w:marRight w:val="0"/>
          <w:marTop w:val="0"/>
          <w:marBottom w:val="0"/>
          <w:divBdr>
            <w:top w:val="none" w:sz="0" w:space="0" w:color="auto"/>
            <w:left w:val="none" w:sz="0" w:space="0" w:color="auto"/>
            <w:bottom w:val="none" w:sz="0" w:space="0" w:color="auto"/>
            <w:right w:val="none" w:sz="0" w:space="0" w:color="auto"/>
          </w:divBdr>
          <w:divsChild>
            <w:div w:id="2111853035">
              <w:marLeft w:val="0"/>
              <w:marRight w:val="0"/>
              <w:marTop w:val="0"/>
              <w:marBottom w:val="0"/>
              <w:divBdr>
                <w:top w:val="none" w:sz="0" w:space="0" w:color="auto"/>
                <w:left w:val="none" w:sz="0" w:space="0" w:color="auto"/>
                <w:bottom w:val="none" w:sz="0" w:space="0" w:color="auto"/>
                <w:right w:val="none" w:sz="0" w:space="0" w:color="auto"/>
              </w:divBdr>
            </w:div>
          </w:divsChild>
        </w:div>
        <w:div w:id="1339040666">
          <w:marLeft w:val="0"/>
          <w:marRight w:val="0"/>
          <w:marTop w:val="0"/>
          <w:marBottom w:val="0"/>
          <w:divBdr>
            <w:top w:val="none" w:sz="0" w:space="0" w:color="auto"/>
            <w:left w:val="none" w:sz="0" w:space="0" w:color="auto"/>
            <w:bottom w:val="none" w:sz="0" w:space="0" w:color="auto"/>
            <w:right w:val="none" w:sz="0" w:space="0" w:color="auto"/>
          </w:divBdr>
          <w:divsChild>
            <w:div w:id="706685110">
              <w:marLeft w:val="0"/>
              <w:marRight w:val="0"/>
              <w:marTop w:val="0"/>
              <w:marBottom w:val="0"/>
              <w:divBdr>
                <w:top w:val="none" w:sz="0" w:space="0" w:color="auto"/>
                <w:left w:val="none" w:sz="0" w:space="0" w:color="auto"/>
                <w:bottom w:val="none" w:sz="0" w:space="0" w:color="auto"/>
                <w:right w:val="none" w:sz="0" w:space="0" w:color="auto"/>
              </w:divBdr>
            </w:div>
          </w:divsChild>
        </w:div>
        <w:div w:id="1376854461">
          <w:marLeft w:val="0"/>
          <w:marRight w:val="0"/>
          <w:marTop w:val="0"/>
          <w:marBottom w:val="0"/>
          <w:divBdr>
            <w:top w:val="none" w:sz="0" w:space="0" w:color="auto"/>
            <w:left w:val="none" w:sz="0" w:space="0" w:color="auto"/>
            <w:bottom w:val="none" w:sz="0" w:space="0" w:color="auto"/>
            <w:right w:val="none" w:sz="0" w:space="0" w:color="auto"/>
          </w:divBdr>
          <w:divsChild>
            <w:div w:id="471823590">
              <w:marLeft w:val="0"/>
              <w:marRight w:val="0"/>
              <w:marTop w:val="0"/>
              <w:marBottom w:val="0"/>
              <w:divBdr>
                <w:top w:val="none" w:sz="0" w:space="0" w:color="auto"/>
                <w:left w:val="none" w:sz="0" w:space="0" w:color="auto"/>
                <w:bottom w:val="none" w:sz="0" w:space="0" w:color="auto"/>
                <w:right w:val="none" w:sz="0" w:space="0" w:color="auto"/>
              </w:divBdr>
            </w:div>
          </w:divsChild>
        </w:div>
        <w:div w:id="1389646191">
          <w:marLeft w:val="0"/>
          <w:marRight w:val="0"/>
          <w:marTop w:val="0"/>
          <w:marBottom w:val="0"/>
          <w:divBdr>
            <w:top w:val="none" w:sz="0" w:space="0" w:color="auto"/>
            <w:left w:val="none" w:sz="0" w:space="0" w:color="auto"/>
            <w:bottom w:val="none" w:sz="0" w:space="0" w:color="auto"/>
            <w:right w:val="none" w:sz="0" w:space="0" w:color="auto"/>
          </w:divBdr>
          <w:divsChild>
            <w:div w:id="1879925529">
              <w:marLeft w:val="0"/>
              <w:marRight w:val="0"/>
              <w:marTop w:val="0"/>
              <w:marBottom w:val="0"/>
              <w:divBdr>
                <w:top w:val="none" w:sz="0" w:space="0" w:color="auto"/>
                <w:left w:val="none" w:sz="0" w:space="0" w:color="auto"/>
                <w:bottom w:val="none" w:sz="0" w:space="0" w:color="auto"/>
                <w:right w:val="none" w:sz="0" w:space="0" w:color="auto"/>
              </w:divBdr>
            </w:div>
          </w:divsChild>
        </w:div>
        <w:div w:id="1394351117">
          <w:marLeft w:val="0"/>
          <w:marRight w:val="0"/>
          <w:marTop w:val="0"/>
          <w:marBottom w:val="0"/>
          <w:divBdr>
            <w:top w:val="none" w:sz="0" w:space="0" w:color="auto"/>
            <w:left w:val="none" w:sz="0" w:space="0" w:color="auto"/>
            <w:bottom w:val="none" w:sz="0" w:space="0" w:color="auto"/>
            <w:right w:val="none" w:sz="0" w:space="0" w:color="auto"/>
          </w:divBdr>
          <w:divsChild>
            <w:div w:id="933826636">
              <w:marLeft w:val="0"/>
              <w:marRight w:val="0"/>
              <w:marTop w:val="0"/>
              <w:marBottom w:val="0"/>
              <w:divBdr>
                <w:top w:val="none" w:sz="0" w:space="0" w:color="auto"/>
                <w:left w:val="none" w:sz="0" w:space="0" w:color="auto"/>
                <w:bottom w:val="none" w:sz="0" w:space="0" w:color="auto"/>
                <w:right w:val="none" w:sz="0" w:space="0" w:color="auto"/>
              </w:divBdr>
            </w:div>
          </w:divsChild>
        </w:div>
        <w:div w:id="1408531775">
          <w:marLeft w:val="0"/>
          <w:marRight w:val="0"/>
          <w:marTop w:val="0"/>
          <w:marBottom w:val="0"/>
          <w:divBdr>
            <w:top w:val="none" w:sz="0" w:space="0" w:color="auto"/>
            <w:left w:val="none" w:sz="0" w:space="0" w:color="auto"/>
            <w:bottom w:val="none" w:sz="0" w:space="0" w:color="auto"/>
            <w:right w:val="none" w:sz="0" w:space="0" w:color="auto"/>
          </w:divBdr>
          <w:divsChild>
            <w:div w:id="974602757">
              <w:marLeft w:val="0"/>
              <w:marRight w:val="0"/>
              <w:marTop w:val="0"/>
              <w:marBottom w:val="0"/>
              <w:divBdr>
                <w:top w:val="none" w:sz="0" w:space="0" w:color="auto"/>
                <w:left w:val="none" w:sz="0" w:space="0" w:color="auto"/>
                <w:bottom w:val="none" w:sz="0" w:space="0" w:color="auto"/>
                <w:right w:val="none" w:sz="0" w:space="0" w:color="auto"/>
              </w:divBdr>
            </w:div>
          </w:divsChild>
        </w:div>
        <w:div w:id="1439061424">
          <w:marLeft w:val="0"/>
          <w:marRight w:val="0"/>
          <w:marTop w:val="0"/>
          <w:marBottom w:val="0"/>
          <w:divBdr>
            <w:top w:val="none" w:sz="0" w:space="0" w:color="auto"/>
            <w:left w:val="none" w:sz="0" w:space="0" w:color="auto"/>
            <w:bottom w:val="none" w:sz="0" w:space="0" w:color="auto"/>
            <w:right w:val="none" w:sz="0" w:space="0" w:color="auto"/>
          </w:divBdr>
          <w:divsChild>
            <w:div w:id="863640950">
              <w:marLeft w:val="0"/>
              <w:marRight w:val="0"/>
              <w:marTop w:val="0"/>
              <w:marBottom w:val="0"/>
              <w:divBdr>
                <w:top w:val="none" w:sz="0" w:space="0" w:color="auto"/>
                <w:left w:val="none" w:sz="0" w:space="0" w:color="auto"/>
                <w:bottom w:val="none" w:sz="0" w:space="0" w:color="auto"/>
                <w:right w:val="none" w:sz="0" w:space="0" w:color="auto"/>
              </w:divBdr>
            </w:div>
          </w:divsChild>
        </w:div>
        <w:div w:id="1447459967">
          <w:marLeft w:val="0"/>
          <w:marRight w:val="0"/>
          <w:marTop w:val="0"/>
          <w:marBottom w:val="0"/>
          <w:divBdr>
            <w:top w:val="none" w:sz="0" w:space="0" w:color="auto"/>
            <w:left w:val="none" w:sz="0" w:space="0" w:color="auto"/>
            <w:bottom w:val="none" w:sz="0" w:space="0" w:color="auto"/>
            <w:right w:val="none" w:sz="0" w:space="0" w:color="auto"/>
          </w:divBdr>
          <w:divsChild>
            <w:div w:id="414474983">
              <w:marLeft w:val="0"/>
              <w:marRight w:val="0"/>
              <w:marTop w:val="0"/>
              <w:marBottom w:val="0"/>
              <w:divBdr>
                <w:top w:val="none" w:sz="0" w:space="0" w:color="auto"/>
                <w:left w:val="none" w:sz="0" w:space="0" w:color="auto"/>
                <w:bottom w:val="none" w:sz="0" w:space="0" w:color="auto"/>
                <w:right w:val="none" w:sz="0" w:space="0" w:color="auto"/>
              </w:divBdr>
            </w:div>
          </w:divsChild>
        </w:div>
        <w:div w:id="1468666101">
          <w:marLeft w:val="0"/>
          <w:marRight w:val="0"/>
          <w:marTop w:val="0"/>
          <w:marBottom w:val="0"/>
          <w:divBdr>
            <w:top w:val="none" w:sz="0" w:space="0" w:color="auto"/>
            <w:left w:val="none" w:sz="0" w:space="0" w:color="auto"/>
            <w:bottom w:val="none" w:sz="0" w:space="0" w:color="auto"/>
            <w:right w:val="none" w:sz="0" w:space="0" w:color="auto"/>
          </w:divBdr>
          <w:divsChild>
            <w:div w:id="1129128030">
              <w:marLeft w:val="0"/>
              <w:marRight w:val="0"/>
              <w:marTop w:val="0"/>
              <w:marBottom w:val="0"/>
              <w:divBdr>
                <w:top w:val="none" w:sz="0" w:space="0" w:color="auto"/>
                <w:left w:val="none" w:sz="0" w:space="0" w:color="auto"/>
                <w:bottom w:val="none" w:sz="0" w:space="0" w:color="auto"/>
                <w:right w:val="none" w:sz="0" w:space="0" w:color="auto"/>
              </w:divBdr>
            </w:div>
          </w:divsChild>
        </w:div>
        <w:div w:id="1493597626">
          <w:marLeft w:val="0"/>
          <w:marRight w:val="0"/>
          <w:marTop w:val="0"/>
          <w:marBottom w:val="0"/>
          <w:divBdr>
            <w:top w:val="none" w:sz="0" w:space="0" w:color="auto"/>
            <w:left w:val="none" w:sz="0" w:space="0" w:color="auto"/>
            <w:bottom w:val="none" w:sz="0" w:space="0" w:color="auto"/>
            <w:right w:val="none" w:sz="0" w:space="0" w:color="auto"/>
          </w:divBdr>
          <w:divsChild>
            <w:div w:id="1431121839">
              <w:marLeft w:val="0"/>
              <w:marRight w:val="0"/>
              <w:marTop w:val="0"/>
              <w:marBottom w:val="0"/>
              <w:divBdr>
                <w:top w:val="none" w:sz="0" w:space="0" w:color="auto"/>
                <w:left w:val="none" w:sz="0" w:space="0" w:color="auto"/>
                <w:bottom w:val="none" w:sz="0" w:space="0" w:color="auto"/>
                <w:right w:val="none" w:sz="0" w:space="0" w:color="auto"/>
              </w:divBdr>
            </w:div>
          </w:divsChild>
        </w:div>
        <w:div w:id="1496190477">
          <w:marLeft w:val="0"/>
          <w:marRight w:val="0"/>
          <w:marTop w:val="0"/>
          <w:marBottom w:val="0"/>
          <w:divBdr>
            <w:top w:val="none" w:sz="0" w:space="0" w:color="auto"/>
            <w:left w:val="none" w:sz="0" w:space="0" w:color="auto"/>
            <w:bottom w:val="none" w:sz="0" w:space="0" w:color="auto"/>
            <w:right w:val="none" w:sz="0" w:space="0" w:color="auto"/>
          </w:divBdr>
          <w:divsChild>
            <w:div w:id="285702138">
              <w:marLeft w:val="0"/>
              <w:marRight w:val="0"/>
              <w:marTop w:val="0"/>
              <w:marBottom w:val="0"/>
              <w:divBdr>
                <w:top w:val="none" w:sz="0" w:space="0" w:color="auto"/>
                <w:left w:val="none" w:sz="0" w:space="0" w:color="auto"/>
                <w:bottom w:val="none" w:sz="0" w:space="0" w:color="auto"/>
                <w:right w:val="none" w:sz="0" w:space="0" w:color="auto"/>
              </w:divBdr>
            </w:div>
          </w:divsChild>
        </w:div>
        <w:div w:id="1508209617">
          <w:marLeft w:val="0"/>
          <w:marRight w:val="0"/>
          <w:marTop w:val="0"/>
          <w:marBottom w:val="0"/>
          <w:divBdr>
            <w:top w:val="none" w:sz="0" w:space="0" w:color="auto"/>
            <w:left w:val="none" w:sz="0" w:space="0" w:color="auto"/>
            <w:bottom w:val="none" w:sz="0" w:space="0" w:color="auto"/>
            <w:right w:val="none" w:sz="0" w:space="0" w:color="auto"/>
          </w:divBdr>
          <w:divsChild>
            <w:div w:id="1597206718">
              <w:marLeft w:val="0"/>
              <w:marRight w:val="0"/>
              <w:marTop w:val="0"/>
              <w:marBottom w:val="0"/>
              <w:divBdr>
                <w:top w:val="none" w:sz="0" w:space="0" w:color="auto"/>
                <w:left w:val="none" w:sz="0" w:space="0" w:color="auto"/>
                <w:bottom w:val="none" w:sz="0" w:space="0" w:color="auto"/>
                <w:right w:val="none" w:sz="0" w:space="0" w:color="auto"/>
              </w:divBdr>
            </w:div>
          </w:divsChild>
        </w:div>
        <w:div w:id="1549145732">
          <w:marLeft w:val="0"/>
          <w:marRight w:val="0"/>
          <w:marTop w:val="0"/>
          <w:marBottom w:val="0"/>
          <w:divBdr>
            <w:top w:val="none" w:sz="0" w:space="0" w:color="auto"/>
            <w:left w:val="none" w:sz="0" w:space="0" w:color="auto"/>
            <w:bottom w:val="none" w:sz="0" w:space="0" w:color="auto"/>
            <w:right w:val="none" w:sz="0" w:space="0" w:color="auto"/>
          </w:divBdr>
          <w:divsChild>
            <w:div w:id="432672391">
              <w:marLeft w:val="0"/>
              <w:marRight w:val="0"/>
              <w:marTop w:val="0"/>
              <w:marBottom w:val="0"/>
              <w:divBdr>
                <w:top w:val="none" w:sz="0" w:space="0" w:color="auto"/>
                <w:left w:val="none" w:sz="0" w:space="0" w:color="auto"/>
                <w:bottom w:val="none" w:sz="0" w:space="0" w:color="auto"/>
                <w:right w:val="none" w:sz="0" w:space="0" w:color="auto"/>
              </w:divBdr>
            </w:div>
          </w:divsChild>
        </w:div>
        <w:div w:id="1574924066">
          <w:marLeft w:val="0"/>
          <w:marRight w:val="0"/>
          <w:marTop w:val="0"/>
          <w:marBottom w:val="0"/>
          <w:divBdr>
            <w:top w:val="none" w:sz="0" w:space="0" w:color="auto"/>
            <w:left w:val="none" w:sz="0" w:space="0" w:color="auto"/>
            <w:bottom w:val="none" w:sz="0" w:space="0" w:color="auto"/>
            <w:right w:val="none" w:sz="0" w:space="0" w:color="auto"/>
          </w:divBdr>
          <w:divsChild>
            <w:div w:id="1323660255">
              <w:marLeft w:val="0"/>
              <w:marRight w:val="0"/>
              <w:marTop w:val="0"/>
              <w:marBottom w:val="0"/>
              <w:divBdr>
                <w:top w:val="none" w:sz="0" w:space="0" w:color="auto"/>
                <w:left w:val="none" w:sz="0" w:space="0" w:color="auto"/>
                <w:bottom w:val="none" w:sz="0" w:space="0" w:color="auto"/>
                <w:right w:val="none" w:sz="0" w:space="0" w:color="auto"/>
              </w:divBdr>
            </w:div>
          </w:divsChild>
        </w:div>
        <w:div w:id="1575622704">
          <w:marLeft w:val="0"/>
          <w:marRight w:val="0"/>
          <w:marTop w:val="0"/>
          <w:marBottom w:val="0"/>
          <w:divBdr>
            <w:top w:val="none" w:sz="0" w:space="0" w:color="auto"/>
            <w:left w:val="none" w:sz="0" w:space="0" w:color="auto"/>
            <w:bottom w:val="none" w:sz="0" w:space="0" w:color="auto"/>
            <w:right w:val="none" w:sz="0" w:space="0" w:color="auto"/>
          </w:divBdr>
          <w:divsChild>
            <w:div w:id="1868563132">
              <w:marLeft w:val="0"/>
              <w:marRight w:val="0"/>
              <w:marTop w:val="0"/>
              <w:marBottom w:val="0"/>
              <w:divBdr>
                <w:top w:val="none" w:sz="0" w:space="0" w:color="auto"/>
                <w:left w:val="none" w:sz="0" w:space="0" w:color="auto"/>
                <w:bottom w:val="none" w:sz="0" w:space="0" w:color="auto"/>
                <w:right w:val="none" w:sz="0" w:space="0" w:color="auto"/>
              </w:divBdr>
            </w:div>
          </w:divsChild>
        </w:div>
        <w:div w:id="1596356603">
          <w:marLeft w:val="0"/>
          <w:marRight w:val="0"/>
          <w:marTop w:val="0"/>
          <w:marBottom w:val="0"/>
          <w:divBdr>
            <w:top w:val="none" w:sz="0" w:space="0" w:color="auto"/>
            <w:left w:val="none" w:sz="0" w:space="0" w:color="auto"/>
            <w:bottom w:val="none" w:sz="0" w:space="0" w:color="auto"/>
            <w:right w:val="none" w:sz="0" w:space="0" w:color="auto"/>
          </w:divBdr>
          <w:divsChild>
            <w:div w:id="1007488867">
              <w:marLeft w:val="0"/>
              <w:marRight w:val="0"/>
              <w:marTop w:val="0"/>
              <w:marBottom w:val="0"/>
              <w:divBdr>
                <w:top w:val="none" w:sz="0" w:space="0" w:color="auto"/>
                <w:left w:val="none" w:sz="0" w:space="0" w:color="auto"/>
                <w:bottom w:val="none" w:sz="0" w:space="0" w:color="auto"/>
                <w:right w:val="none" w:sz="0" w:space="0" w:color="auto"/>
              </w:divBdr>
            </w:div>
          </w:divsChild>
        </w:div>
        <w:div w:id="1626500248">
          <w:marLeft w:val="0"/>
          <w:marRight w:val="0"/>
          <w:marTop w:val="0"/>
          <w:marBottom w:val="0"/>
          <w:divBdr>
            <w:top w:val="none" w:sz="0" w:space="0" w:color="auto"/>
            <w:left w:val="none" w:sz="0" w:space="0" w:color="auto"/>
            <w:bottom w:val="none" w:sz="0" w:space="0" w:color="auto"/>
            <w:right w:val="none" w:sz="0" w:space="0" w:color="auto"/>
          </w:divBdr>
          <w:divsChild>
            <w:div w:id="1425109156">
              <w:marLeft w:val="0"/>
              <w:marRight w:val="0"/>
              <w:marTop w:val="0"/>
              <w:marBottom w:val="0"/>
              <w:divBdr>
                <w:top w:val="none" w:sz="0" w:space="0" w:color="auto"/>
                <w:left w:val="none" w:sz="0" w:space="0" w:color="auto"/>
                <w:bottom w:val="none" w:sz="0" w:space="0" w:color="auto"/>
                <w:right w:val="none" w:sz="0" w:space="0" w:color="auto"/>
              </w:divBdr>
            </w:div>
          </w:divsChild>
        </w:div>
        <w:div w:id="1652522435">
          <w:marLeft w:val="0"/>
          <w:marRight w:val="0"/>
          <w:marTop w:val="0"/>
          <w:marBottom w:val="0"/>
          <w:divBdr>
            <w:top w:val="none" w:sz="0" w:space="0" w:color="auto"/>
            <w:left w:val="none" w:sz="0" w:space="0" w:color="auto"/>
            <w:bottom w:val="none" w:sz="0" w:space="0" w:color="auto"/>
            <w:right w:val="none" w:sz="0" w:space="0" w:color="auto"/>
          </w:divBdr>
          <w:divsChild>
            <w:div w:id="1582790256">
              <w:marLeft w:val="0"/>
              <w:marRight w:val="0"/>
              <w:marTop w:val="0"/>
              <w:marBottom w:val="0"/>
              <w:divBdr>
                <w:top w:val="none" w:sz="0" w:space="0" w:color="auto"/>
                <w:left w:val="none" w:sz="0" w:space="0" w:color="auto"/>
                <w:bottom w:val="none" w:sz="0" w:space="0" w:color="auto"/>
                <w:right w:val="none" w:sz="0" w:space="0" w:color="auto"/>
              </w:divBdr>
            </w:div>
          </w:divsChild>
        </w:div>
        <w:div w:id="1669792816">
          <w:marLeft w:val="0"/>
          <w:marRight w:val="0"/>
          <w:marTop w:val="0"/>
          <w:marBottom w:val="0"/>
          <w:divBdr>
            <w:top w:val="none" w:sz="0" w:space="0" w:color="auto"/>
            <w:left w:val="none" w:sz="0" w:space="0" w:color="auto"/>
            <w:bottom w:val="none" w:sz="0" w:space="0" w:color="auto"/>
            <w:right w:val="none" w:sz="0" w:space="0" w:color="auto"/>
          </w:divBdr>
          <w:divsChild>
            <w:div w:id="2054889043">
              <w:marLeft w:val="0"/>
              <w:marRight w:val="0"/>
              <w:marTop w:val="0"/>
              <w:marBottom w:val="0"/>
              <w:divBdr>
                <w:top w:val="none" w:sz="0" w:space="0" w:color="auto"/>
                <w:left w:val="none" w:sz="0" w:space="0" w:color="auto"/>
                <w:bottom w:val="none" w:sz="0" w:space="0" w:color="auto"/>
                <w:right w:val="none" w:sz="0" w:space="0" w:color="auto"/>
              </w:divBdr>
            </w:div>
          </w:divsChild>
        </w:div>
        <w:div w:id="1676810230">
          <w:marLeft w:val="0"/>
          <w:marRight w:val="0"/>
          <w:marTop w:val="0"/>
          <w:marBottom w:val="0"/>
          <w:divBdr>
            <w:top w:val="none" w:sz="0" w:space="0" w:color="auto"/>
            <w:left w:val="none" w:sz="0" w:space="0" w:color="auto"/>
            <w:bottom w:val="none" w:sz="0" w:space="0" w:color="auto"/>
            <w:right w:val="none" w:sz="0" w:space="0" w:color="auto"/>
          </w:divBdr>
          <w:divsChild>
            <w:div w:id="820467957">
              <w:marLeft w:val="0"/>
              <w:marRight w:val="0"/>
              <w:marTop w:val="0"/>
              <w:marBottom w:val="0"/>
              <w:divBdr>
                <w:top w:val="none" w:sz="0" w:space="0" w:color="auto"/>
                <w:left w:val="none" w:sz="0" w:space="0" w:color="auto"/>
                <w:bottom w:val="none" w:sz="0" w:space="0" w:color="auto"/>
                <w:right w:val="none" w:sz="0" w:space="0" w:color="auto"/>
              </w:divBdr>
            </w:div>
          </w:divsChild>
        </w:div>
        <w:div w:id="1681081835">
          <w:marLeft w:val="0"/>
          <w:marRight w:val="0"/>
          <w:marTop w:val="0"/>
          <w:marBottom w:val="0"/>
          <w:divBdr>
            <w:top w:val="none" w:sz="0" w:space="0" w:color="auto"/>
            <w:left w:val="none" w:sz="0" w:space="0" w:color="auto"/>
            <w:bottom w:val="none" w:sz="0" w:space="0" w:color="auto"/>
            <w:right w:val="none" w:sz="0" w:space="0" w:color="auto"/>
          </w:divBdr>
          <w:divsChild>
            <w:div w:id="804271707">
              <w:marLeft w:val="0"/>
              <w:marRight w:val="0"/>
              <w:marTop w:val="0"/>
              <w:marBottom w:val="0"/>
              <w:divBdr>
                <w:top w:val="none" w:sz="0" w:space="0" w:color="auto"/>
                <w:left w:val="none" w:sz="0" w:space="0" w:color="auto"/>
                <w:bottom w:val="none" w:sz="0" w:space="0" w:color="auto"/>
                <w:right w:val="none" w:sz="0" w:space="0" w:color="auto"/>
              </w:divBdr>
            </w:div>
          </w:divsChild>
        </w:div>
        <w:div w:id="1685592620">
          <w:marLeft w:val="0"/>
          <w:marRight w:val="0"/>
          <w:marTop w:val="0"/>
          <w:marBottom w:val="0"/>
          <w:divBdr>
            <w:top w:val="none" w:sz="0" w:space="0" w:color="auto"/>
            <w:left w:val="none" w:sz="0" w:space="0" w:color="auto"/>
            <w:bottom w:val="none" w:sz="0" w:space="0" w:color="auto"/>
            <w:right w:val="none" w:sz="0" w:space="0" w:color="auto"/>
          </w:divBdr>
          <w:divsChild>
            <w:div w:id="2128156699">
              <w:marLeft w:val="0"/>
              <w:marRight w:val="0"/>
              <w:marTop w:val="0"/>
              <w:marBottom w:val="0"/>
              <w:divBdr>
                <w:top w:val="none" w:sz="0" w:space="0" w:color="auto"/>
                <w:left w:val="none" w:sz="0" w:space="0" w:color="auto"/>
                <w:bottom w:val="none" w:sz="0" w:space="0" w:color="auto"/>
                <w:right w:val="none" w:sz="0" w:space="0" w:color="auto"/>
              </w:divBdr>
            </w:div>
          </w:divsChild>
        </w:div>
        <w:div w:id="1697536034">
          <w:marLeft w:val="0"/>
          <w:marRight w:val="0"/>
          <w:marTop w:val="0"/>
          <w:marBottom w:val="0"/>
          <w:divBdr>
            <w:top w:val="none" w:sz="0" w:space="0" w:color="auto"/>
            <w:left w:val="none" w:sz="0" w:space="0" w:color="auto"/>
            <w:bottom w:val="none" w:sz="0" w:space="0" w:color="auto"/>
            <w:right w:val="none" w:sz="0" w:space="0" w:color="auto"/>
          </w:divBdr>
          <w:divsChild>
            <w:div w:id="1813713510">
              <w:marLeft w:val="0"/>
              <w:marRight w:val="0"/>
              <w:marTop w:val="0"/>
              <w:marBottom w:val="0"/>
              <w:divBdr>
                <w:top w:val="none" w:sz="0" w:space="0" w:color="auto"/>
                <w:left w:val="none" w:sz="0" w:space="0" w:color="auto"/>
                <w:bottom w:val="none" w:sz="0" w:space="0" w:color="auto"/>
                <w:right w:val="none" w:sz="0" w:space="0" w:color="auto"/>
              </w:divBdr>
            </w:div>
          </w:divsChild>
        </w:div>
        <w:div w:id="1713312149">
          <w:marLeft w:val="0"/>
          <w:marRight w:val="0"/>
          <w:marTop w:val="0"/>
          <w:marBottom w:val="0"/>
          <w:divBdr>
            <w:top w:val="none" w:sz="0" w:space="0" w:color="auto"/>
            <w:left w:val="none" w:sz="0" w:space="0" w:color="auto"/>
            <w:bottom w:val="none" w:sz="0" w:space="0" w:color="auto"/>
            <w:right w:val="none" w:sz="0" w:space="0" w:color="auto"/>
          </w:divBdr>
          <w:divsChild>
            <w:div w:id="1425758020">
              <w:marLeft w:val="0"/>
              <w:marRight w:val="0"/>
              <w:marTop w:val="0"/>
              <w:marBottom w:val="0"/>
              <w:divBdr>
                <w:top w:val="none" w:sz="0" w:space="0" w:color="auto"/>
                <w:left w:val="none" w:sz="0" w:space="0" w:color="auto"/>
                <w:bottom w:val="none" w:sz="0" w:space="0" w:color="auto"/>
                <w:right w:val="none" w:sz="0" w:space="0" w:color="auto"/>
              </w:divBdr>
            </w:div>
          </w:divsChild>
        </w:div>
        <w:div w:id="1776361630">
          <w:marLeft w:val="0"/>
          <w:marRight w:val="0"/>
          <w:marTop w:val="0"/>
          <w:marBottom w:val="0"/>
          <w:divBdr>
            <w:top w:val="none" w:sz="0" w:space="0" w:color="auto"/>
            <w:left w:val="none" w:sz="0" w:space="0" w:color="auto"/>
            <w:bottom w:val="none" w:sz="0" w:space="0" w:color="auto"/>
            <w:right w:val="none" w:sz="0" w:space="0" w:color="auto"/>
          </w:divBdr>
          <w:divsChild>
            <w:div w:id="896011197">
              <w:marLeft w:val="0"/>
              <w:marRight w:val="0"/>
              <w:marTop w:val="0"/>
              <w:marBottom w:val="0"/>
              <w:divBdr>
                <w:top w:val="none" w:sz="0" w:space="0" w:color="auto"/>
                <w:left w:val="none" w:sz="0" w:space="0" w:color="auto"/>
                <w:bottom w:val="none" w:sz="0" w:space="0" w:color="auto"/>
                <w:right w:val="none" w:sz="0" w:space="0" w:color="auto"/>
              </w:divBdr>
            </w:div>
          </w:divsChild>
        </w:div>
        <w:div w:id="1780292006">
          <w:marLeft w:val="0"/>
          <w:marRight w:val="0"/>
          <w:marTop w:val="0"/>
          <w:marBottom w:val="0"/>
          <w:divBdr>
            <w:top w:val="none" w:sz="0" w:space="0" w:color="auto"/>
            <w:left w:val="none" w:sz="0" w:space="0" w:color="auto"/>
            <w:bottom w:val="none" w:sz="0" w:space="0" w:color="auto"/>
            <w:right w:val="none" w:sz="0" w:space="0" w:color="auto"/>
          </w:divBdr>
          <w:divsChild>
            <w:div w:id="358623891">
              <w:marLeft w:val="0"/>
              <w:marRight w:val="0"/>
              <w:marTop w:val="0"/>
              <w:marBottom w:val="0"/>
              <w:divBdr>
                <w:top w:val="none" w:sz="0" w:space="0" w:color="auto"/>
                <w:left w:val="none" w:sz="0" w:space="0" w:color="auto"/>
                <w:bottom w:val="none" w:sz="0" w:space="0" w:color="auto"/>
                <w:right w:val="none" w:sz="0" w:space="0" w:color="auto"/>
              </w:divBdr>
            </w:div>
          </w:divsChild>
        </w:div>
        <w:div w:id="1794784285">
          <w:marLeft w:val="0"/>
          <w:marRight w:val="0"/>
          <w:marTop w:val="0"/>
          <w:marBottom w:val="0"/>
          <w:divBdr>
            <w:top w:val="none" w:sz="0" w:space="0" w:color="auto"/>
            <w:left w:val="none" w:sz="0" w:space="0" w:color="auto"/>
            <w:bottom w:val="none" w:sz="0" w:space="0" w:color="auto"/>
            <w:right w:val="none" w:sz="0" w:space="0" w:color="auto"/>
          </w:divBdr>
          <w:divsChild>
            <w:div w:id="1348562070">
              <w:marLeft w:val="0"/>
              <w:marRight w:val="0"/>
              <w:marTop w:val="0"/>
              <w:marBottom w:val="0"/>
              <w:divBdr>
                <w:top w:val="none" w:sz="0" w:space="0" w:color="auto"/>
                <w:left w:val="none" w:sz="0" w:space="0" w:color="auto"/>
                <w:bottom w:val="none" w:sz="0" w:space="0" w:color="auto"/>
                <w:right w:val="none" w:sz="0" w:space="0" w:color="auto"/>
              </w:divBdr>
            </w:div>
          </w:divsChild>
        </w:div>
        <w:div w:id="1802530366">
          <w:marLeft w:val="0"/>
          <w:marRight w:val="0"/>
          <w:marTop w:val="0"/>
          <w:marBottom w:val="0"/>
          <w:divBdr>
            <w:top w:val="none" w:sz="0" w:space="0" w:color="auto"/>
            <w:left w:val="none" w:sz="0" w:space="0" w:color="auto"/>
            <w:bottom w:val="none" w:sz="0" w:space="0" w:color="auto"/>
            <w:right w:val="none" w:sz="0" w:space="0" w:color="auto"/>
          </w:divBdr>
          <w:divsChild>
            <w:div w:id="622198940">
              <w:marLeft w:val="0"/>
              <w:marRight w:val="0"/>
              <w:marTop w:val="0"/>
              <w:marBottom w:val="0"/>
              <w:divBdr>
                <w:top w:val="none" w:sz="0" w:space="0" w:color="auto"/>
                <w:left w:val="none" w:sz="0" w:space="0" w:color="auto"/>
                <w:bottom w:val="none" w:sz="0" w:space="0" w:color="auto"/>
                <w:right w:val="none" w:sz="0" w:space="0" w:color="auto"/>
              </w:divBdr>
            </w:div>
          </w:divsChild>
        </w:div>
        <w:div w:id="1849102926">
          <w:marLeft w:val="0"/>
          <w:marRight w:val="0"/>
          <w:marTop w:val="0"/>
          <w:marBottom w:val="0"/>
          <w:divBdr>
            <w:top w:val="none" w:sz="0" w:space="0" w:color="auto"/>
            <w:left w:val="none" w:sz="0" w:space="0" w:color="auto"/>
            <w:bottom w:val="none" w:sz="0" w:space="0" w:color="auto"/>
            <w:right w:val="none" w:sz="0" w:space="0" w:color="auto"/>
          </w:divBdr>
          <w:divsChild>
            <w:div w:id="984165081">
              <w:marLeft w:val="0"/>
              <w:marRight w:val="0"/>
              <w:marTop w:val="0"/>
              <w:marBottom w:val="0"/>
              <w:divBdr>
                <w:top w:val="none" w:sz="0" w:space="0" w:color="auto"/>
                <w:left w:val="none" w:sz="0" w:space="0" w:color="auto"/>
                <w:bottom w:val="none" w:sz="0" w:space="0" w:color="auto"/>
                <w:right w:val="none" w:sz="0" w:space="0" w:color="auto"/>
              </w:divBdr>
            </w:div>
          </w:divsChild>
        </w:div>
        <w:div w:id="1862039790">
          <w:marLeft w:val="0"/>
          <w:marRight w:val="0"/>
          <w:marTop w:val="0"/>
          <w:marBottom w:val="0"/>
          <w:divBdr>
            <w:top w:val="none" w:sz="0" w:space="0" w:color="auto"/>
            <w:left w:val="none" w:sz="0" w:space="0" w:color="auto"/>
            <w:bottom w:val="none" w:sz="0" w:space="0" w:color="auto"/>
            <w:right w:val="none" w:sz="0" w:space="0" w:color="auto"/>
          </w:divBdr>
          <w:divsChild>
            <w:div w:id="1368721541">
              <w:marLeft w:val="0"/>
              <w:marRight w:val="0"/>
              <w:marTop w:val="0"/>
              <w:marBottom w:val="0"/>
              <w:divBdr>
                <w:top w:val="none" w:sz="0" w:space="0" w:color="auto"/>
                <w:left w:val="none" w:sz="0" w:space="0" w:color="auto"/>
                <w:bottom w:val="none" w:sz="0" w:space="0" w:color="auto"/>
                <w:right w:val="none" w:sz="0" w:space="0" w:color="auto"/>
              </w:divBdr>
            </w:div>
          </w:divsChild>
        </w:div>
        <w:div w:id="1931967492">
          <w:marLeft w:val="0"/>
          <w:marRight w:val="0"/>
          <w:marTop w:val="0"/>
          <w:marBottom w:val="0"/>
          <w:divBdr>
            <w:top w:val="none" w:sz="0" w:space="0" w:color="auto"/>
            <w:left w:val="none" w:sz="0" w:space="0" w:color="auto"/>
            <w:bottom w:val="none" w:sz="0" w:space="0" w:color="auto"/>
            <w:right w:val="none" w:sz="0" w:space="0" w:color="auto"/>
          </w:divBdr>
          <w:divsChild>
            <w:div w:id="2070685979">
              <w:marLeft w:val="0"/>
              <w:marRight w:val="0"/>
              <w:marTop w:val="0"/>
              <w:marBottom w:val="0"/>
              <w:divBdr>
                <w:top w:val="none" w:sz="0" w:space="0" w:color="auto"/>
                <w:left w:val="none" w:sz="0" w:space="0" w:color="auto"/>
                <w:bottom w:val="none" w:sz="0" w:space="0" w:color="auto"/>
                <w:right w:val="none" w:sz="0" w:space="0" w:color="auto"/>
              </w:divBdr>
            </w:div>
          </w:divsChild>
        </w:div>
        <w:div w:id="1941209014">
          <w:marLeft w:val="0"/>
          <w:marRight w:val="0"/>
          <w:marTop w:val="0"/>
          <w:marBottom w:val="0"/>
          <w:divBdr>
            <w:top w:val="none" w:sz="0" w:space="0" w:color="auto"/>
            <w:left w:val="none" w:sz="0" w:space="0" w:color="auto"/>
            <w:bottom w:val="none" w:sz="0" w:space="0" w:color="auto"/>
            <w:right w:val="none" w:sz="0" w:space="0" w:color="auto"/>
          </w:divBdr>
          <w:divsChild>
            <w:div w:id="1677074307">
              <w:marLeft w:val="0"/>
              <w:marRight w:val="0"/>
              <w:marTop w:val="0"/>
              <w:marBottom w:val="0"/>
              <w:divBdr>
                <w:top w:val="none" w:sz="0" w:space="0" w:color="auto"/>
                <w:left w:val="none" w:sz="0" w:space="0" w:color="auto"/>
                <w:bottom w:val="none" w:sz="0" w:space="0" w:color="auto"/>
                <w:right w:val="none" w:sz="0" w:space="0" w:color="auto"/>
              </w:divBdr>
            </w:div>
          </w:divsChild>
        </w:div>
        <w:div w:id="1966886147">
          <w:marLeft w:val="0"/>
          <w:marRight w:val="0"/>
          <w:marTop w:val="0"/>
          <w:marBottom w:val="0"/>
          <w:divBdr>
            <w:top w:val="none" w:sz="0" w:space="0" w:color="auto"/>
            <w:left w:val="none" w:sz="0" w:space="0" w:color="auto"/>
            <w:bottom w:val="none" w:sz="0" w:space="0" w:color="auto"/>
            <w:right w:val="none" w:sz="0" w:space="0" w:color="auto"/>
          </w:divBdr>
          <w:divsChild>
            <w:div w:id="1339503262">
              <w:marLeft w:val="0"/>
              <w:marRight w:val="0"/>
              <w:marTop w:val="0"/>
              <w:marBottom w:val="0"/>
              <w:divBdr>
                <w:top w:val="none" w:sz="0" w:space="0" w:color="auto"/>
                <w:left w:val="none" w:sz="0" w:space="0" w:color="auto"/>
                <w:bottom w:val="none" w:sz="0" w:space="0" w:color="auto"/>
                <w:right w:val="none" w:sz="0" w:space="0" w:color="auto"/>
              </w:divBdr>
            </w:div>
          </w:divsChild>
        </w:div>
        <w:div w:id="1974946429">
          <w:marLeft w:val="0"/>
          <w:marRight w:val="0"/>
          <w:marTop w:val="0"/>
          <w:marBottom w:val="0"/>
          <w:divBdr>
            <w:top w:val="none" w:sz="0" w:space="0" w:color="auto"/>
            <w:left w:val="none" w:sz="0" w:space="0" w:color="auto"/>
            <w:bottom w:val="none" w:sz="0" w:space="0" w:color="auto"/>
            <w:right w:val="none" w:sz="0" w:space="0" w:color="auto"/>
          </w:divBdr>
          <w:divsChild>
            <w:div w:id="369762576">
              <w:marLeft w:val="0"/>
              <w:marRight w:val="0"/>
              <w:marTop w:val="0"/>
              <w:marBottom w:val="0"/>
              <w:divBdr>
                <w:top w:val="none" w:sz="0" w:space="0" w:color="auto"/>
                <w:left w:val="none" w:sz="0" w:space="0" w:color="auto"/>
                <w:bottom w:val="none" w:sz="0" w:space="0" w:color="auto"/>
                <w:right w:val="none" w:sz="0" w:space="0" w:color="auto"/>
              </w:divBdr>
            </w:div>
          </w:divsChild>
        </w:div>
        <w:div w:id="1996181381">
          <w:marLeft w:val="0"/>
          <w:marRight w:val="0"/>
          <w:marTop w:val="0"/>
          <w:marBottom w:val="0"/>
          <w:divBdr>
            <w:top w:val="none" w:sz="0" w:space="0" w:color="auto"/>
            <w:left w:val="none" w:sz="0" w:space="0" w:color="auto"/>
            <w:bottom w:val="none" w:sz="0" w:space="0" w:color="auto"/>
            <w:right w:val="none" w:sz="0" w:space="0" w:color="auto"/>
          </w:divBdr>
          <w:divsChild>
            <w:div w:id="72360035">
              <w:marLeft w:val="0"/>
              <w:marRight w:val="0"/>
              <w:marTop w:val="0"/>
              <w:marBottom w:val="0"/>
              <w:divBdr>
                <w:top w:val="none" w:sz="0" w:space="0" w:color="auto"/>
                <w:left w:val="none" w:sz="0" w:space="0" w:color="auto"/>
                <w:bottom w:val="none" w:sz="0" w:space="0" w:color="auto"/>
                <w:right w:val="none" w:sz="0" w:space="0" w:color="auto"/>
              </w:divBdr>
            </w:div>
          </w:divsChild>
        </w:div>
        <w:div w:id="2015835849">
          <w:marLeft w:val="0"/>
          <w:marRight w:val="0"/>
          <w:marTop w:val="0"/>
          <w:marBottom w:val="0"/>
          <w:divBdr>
            <w:top w:val="none" w:sz="0" w:space="0" w:color="auto"/>
            <w:left w:val="none" w:sz="0" w:space="0" w:color="auto"/>
            <w:bottom w:val="none" w:sz="0" w:space="0" w:color="auto"/>
            <w:right w:val="none" w:sz="0" w:space="0" w:color="auto"/>
          </w:divBdr>
          <w:divsChild>
            <w:div w:id="1114180342">
              <w:marLeft w:val="0"/>
              <w:marRight w:val="0"/>
              <w:marTop w:val="0"/>
              <w:marBottom w:val="0"/>
              <w:divBdr>
                <w:top w:val="none" w:sz="0" w:space="0" w:color="auto"/>
                <w:left w:val="none" w:sz="0" w:space="0" w:color="auto"/>
                <w:bottom w:val="none" w:sz="0" w:space="0" w:color="auto"/>
                <w:right w:val="none" w:sz="0" w:space="0" w:color="auto"/>
              </w:divBdr>
            </w:div>
          </w:divsChild>
        </w:div>
        <w:div w:id="2040861559">
          <w:marLeft w:val="0"/>
          <w:marRight w:val="0"/>
          <w:marTop w:val="0"/>
          <w:marBottom w:val="0"/>
          <w:divBdr>
            <w:top w:val="none" w:sz="0" w:space="0" w:color="auto"/>
            <w:left w:val="none" w:sz="0" w:space="0" w:color="auto"/>
            <w:bottom w:val="none" w:sz="0" w:space="0" w:color="auto"/>
            <w:right w:val="none" w:sz="0" w:space="0" w:color="auto"/>
          </w:divBdr>
          <w:divsChild>
            <w:div w:id="967857408">
              <w:marLeft w:val="0"/>
              <w:marRight w:val="0"/>
              <w:marTop w:val="0"/>
              <w:marBottom w:val="0"/>
              <w:divBdr>
                <w:top w:val="none" w:sz="0" w:space="0" w:color="auto"/>
                <w:left w:val="none" w:sz="0" w:space="0" w:color="auto"/>
                <w:bottom w:val="none" w:sz="0" w:space="0" w:color="auto"/>
                <w:right w:val="none" w:sz="0" w:space="0" w:color="auto"/>
              </w:divBdr>
            </w:div>
          </w:divsChild>
        </w:div>
        <w:div w:id="2060277404">
          <w:marLeft w:val="0"/>
          <w:marRight w:val="0"/>
          <w:marTop w:val="0"/>
          <w:marBottom w:val="0"/>
          <w:divBdr>
            <w:top w:val="none" w:sz="0" w:space="0" w:color="auto"/>
            <w:left w:val="none" w:sz="0" w:space="0" w:color="auto"/>
            <w:bottom w:val="none" w:sz="0" w:space="0" w:color="auto"/>
            <w:right w:val="none" w:sz="0" w:space="0" w:color="auto"/>
          </w:divBdr>
          <w:divsChild>
            <w:div w:id="282923416">
              <w:marLeft w:val="0"/>
              <w:marRight w:val="0"/>
              <w:marTop w:val="0"/>
              <w:marBottom w:val="0"/>
              <w:divBdr>
                <w:top w:val="none" w:sz="0" w:space="0" w:color="auto"/>
                <w:left w:val="none" w:sz="0" w:space="0" w:color="auto"/>
                <w:bottom w:val="none" w:sz="0" w:space="0" w:color="auto"/>
                <w:right w:val="none" w:sz="0" w:space="0" w:color="auto"/>
              </w:divBdr>
            </w:div>
          </w:divsChild>
        </w:div>
        <w:div w:id="2080132888">
          <w:marLeft w:val="0"/>
          <w:marRight w:val="0"/>
          <w:marTop w:val="0"/>
          <w:marBottom w:val="0"/>
          <w:divBdr>
            <w:top w:val="none" w:sz="0" w:space="0" w:color="auto"/>
            <w:left w:val="none" w:sz="0" w:space="0" w:color="auto"/>
            <w:bottom w:val="none" w:sz="0" w:space="0" w:color="auto"/>
            <w:right w:val="none" w:sz="0" w:space="0" w:color="auto"/>
          </w:divBdr>
          <w:divsChild>
            <w:div w:id="902907201">
              <w:marLeft w:val="0"/>
              <w:marRight w:val="0"/>
              <w:marTop w:val="0"/>
              <w:marBottom w:val="0"/>
              <w:divBdr>
                <w:top w:val="none" w:sz="0" w:space="0" w:color="auto"/>
                <w:left w:val="none" w:sz="0" w:space="0" w:color="auto"/>
                <w:bottom w:val="none" w:sz="0" w:space="0" w:color="auto"/>
                <w:right w:val="none" w:sz="0" w:space="0" w:color="auto"/>
              </w:divBdr>
            </w:div>
          </w:divsChild>
        </w:div>
        <w:div w:id="2084327511">
          <w:marLeft w:val="0"/>
          <w:marRight w:val="0"/>
          <w:marTop w:val="0"/>
          <w:marBottom w:val="0"/>
          <w:divBdr>
            <w:top w:val="none" w:sz="0" w:space="0" w:color="auto"/>
            <w:left w:val="none" w:sz="0" w:space="0" w:color="auto"/>
            <w:bottom w:val="none" w:sz="0" w:space="0" w:color="auto"/>
            <w:right w:val="none" w:sz="0" w:space="0" w:color="auto"/>
          </w:divBdr>
          <w:divsChild>
            <w:div w:id="1691685585">
              <w:marLeft w:val="0"/>
              <w:marRight w:val="0"/>
              <w:marTop w:val="0"/>
              <w:marBottom w:val="0"/>
              <w:divBdr>
                <w:top w:val="none" w:sz="0" w:space="0" w:color="auto"/>
                <w:left w:val="none" w:sz="0" w:space="0" w:color="auto"/>
                <w:bottom w:val="none" w:sz="0" w:space="0" w:color="auto"/>
                <w:right w:val="none" w:sz="0" w:space="0" w:color="auto"/>
              </w:divBdr>
            </w:div>
          </w:divsChild>
        </w:div>
        <w:div w:id="2087681087">
          <w:marLeft w:val="0"/>
          <w:marRight w:val="0"/>
          <w:marTop w:val="0"/>
          <w:marBottom w:val="0"/>
          <w:divBdr>
            <w:top w:val="none" w:sz="0" w:space="0" w:color="auto"/>
            <w:left w:val="none" w:sz="0" w:space="0" w:color="auto"/>
            <w:bottom w:val="none" w:sz="0" w:space="0" w:color="auto"/>
            <w:right w:val="none" w:sz="0" w:space="0" w:color="auto"/>
          </w:divBdr>
          <w:divsChild>
            <w:div w:id="1865091416">
              <w:marLeft w:val="0"/>
              <w:marRight w:val="0"/>
              <w:marTop w:val="0"/>
              <w:marBottom w:val="0"/>
              <w:divBdr>
                <w:top w:val="none" w:sz="0" w:space="0" w:color="auto"/>
                <w:left w:val="none" w:sz="0" w:space="0" w:color="auto"/>
                <w:bottom w:val="none" w:sz="0" w:space="0" w:color="auto"/>
                <w:right w:val="none" w:sz="0" w:space="0" w:color="auto"/>
              </w:divBdr>
            </w:div>
          </w:divsChild>
        </w:div>
        <w:div w:id="2093622154">
          <w:marLeft w:val="0"/>
          <w:marRight w:val="0"/>
          <w:marTop w:val="0"/>
          <w:marBottom w:val="0"/>
          <w:divBdr>
            <w:top w:val="none" w:sz="0" w:space="0" w:color="auto"/>
            <w:left w:val="none" w:sz="0" w:space="0" w:color="auto"/>
            <w:bottom w:val="none" w:sz="0" w:space="0" w:color="auto"/>
            <w:right w:val="none" w:sz="0" w:space="0" w:color="auto"/>
          </w:divBdr>
          <w:divsChild>
            <w:div w:id="692147379">
              <w:marLeft w:val="0"/>
              <w:marRight w:val="0"/>
              <w:marTop w:val="0"/>
              <w:marBottom w:val="0"/>
              <w:divBdr>
                <w:top w:val="none" w:sz="0" w:space="0" w:color="auto"/>
                <w:left w:val="none" w:sz="0" w:space="0" w:color="auto"/>
                <w:bottom w:val="none" w:sz="0" w:space="0" w:color="auto"/>
                <w:right w:val="none" w:sz="0" w:space="0" w:color="auto"/>
              </w:divBdr>
            </w:div>
          </w:divsChild>
        </w:div>
        <w:div w:id="2093769340">
          <w:marLeft w:val="0"/>
          <w:marRight w:val="0"/>
          <w:marTop w:val="0"/>
          <w:marBottom w:val="0"/>
          <w:divBdr>
            <w:top w:val="none" w:sz="0" w:space="0" w:color="auto"/>
            <w:left w:val="none" w:sz="0" w:space="0" w:color="auto"/>
            <w:bottom w:val="none" w:sz="0" w:space="0" w:color="auto"/>
            <w:right w:val="none" w:sz="0" w:space="0" w:color="auto"/>
          </w:divBdr>
          <w:divsChild>
            <w:div w:id="1557887448">
              <w:marLeft w:val="0"/>
              <w:marRight w:val="0"/>
              <w:marTop w:val="0"/>
              <w:marBottom w:val="0"/>
              <w:divBdr>
                <w:top w:val="none" w:sz="0" w:space="0" w:color="auto"/>
                <w:left w:val="none" w:sz="0" w:space="0" w:color="auto"/>
                <w:bottom w:val="none" w:sz="0" w:space="0" w:color="auto"/>
                <w:right w:val="none" w:sz="0" w:space="0" w:color="auto"/>
              </w:divBdr>
            </w:div>
          </w:divsChild>
        </w:div>
        <w:div w:id="2113621369">
          <w:marLeft w:val="0"/>
          <w:marRight w:val="0"/>
          <w:marTop w:val="0"/>
          <w:marBottom w:val="0"/>
          <w:divBdr>
            <w:top w:val="none" w:sz="0" w:space="0" w:color="auto"/>
            <w:left w:val="none" w:sz="0" w:space="0" w:color="auto"/>
            <w:bottom w:val="none" w:sz="0" w:space="0" w:color="auto"/>
            <w:right w:val="none" w:sz="0" w:space="0" w:color="auto"/>
          </w:divBdr>
          <w:divsChild>
            <w:div w:id="92635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69709">
      <w:bodyDiv w:val="1"/>
      <w:marLeft w:val="0"/>
      <w:marRight w:val="0"/>
      <w:marTop w:val="0"/>
      <w:marBottom w:val="0"/>
      <w:divBdr>
        <w:top w:val="none" w:sz="0" w:space="0" w:color="auto"/>
        <w:left w:val="none" w:sz="0" w:space="0" w:color="auto"/>
        <w:bottom w:val="none" w:sz="0" w:space="0" w:color="auto"/>
        <w:right w:val="none" w:sz="0" w:space="0" w:color="auto"/>
      </w:divBdr>
      <w:divsChild>
        <w:div w:id="1012413597">
          <w:marLeft w:val="0"/>
          <w:marRight w:val="0"/>
          <w:marTop w:val="0"/>
          <w:marBottom w:val="0"/>
          <w:divBdr>
            <w:top w:val="none" w:sz="0" w:space="0" w:color="auto"/>
            <w:left w:val="none" w:sz="0" w:space="0" w:color="auto"/>
            <w:bottom w:val="none" w:sz="0" w:space="0" w:color="auto"/>
            <w:right w:val="none" w:sz="0" w:space="0" w:color="auto"/>
          </w:divBdr>
        </w:div>
        <w:div w:id="1188326277">
          <w:marLeft w:val="0"/>
          <w:marRight w:val="0"/>
          <w:marTop w:val="0"/>
          <w:marBottom w:val="0"/>
          <w:divBdr>
            <w:top w:val="none" w:sz="0" w:space="0" w:color="auto"/>
            <w:left w:val="none" w:sz="0" w:space="0" w:color="auto"/>
            <w:bottom w:val="none" w:sz="0" w:space="0" w:color="auto"/>
            <w:right w:val="none" w:sz="0" w:space="0" w:color="auto"/>
          </w:divBdr>
        </w:div>
        <w:div w:id="1689522095">
          <w:marLeft w:val="0"/>
          <w:marRight w:val="0"/>
          <w:marTop w:val="0"/>
          <w:marBottom w:val="0"/>
          <w:divBdr>
            <w:top w:val="none" w:sz="0" w:space="0" w:color="auto"/>
            <w:left w:val="none" w:sz="0" w:space="0" w:color="auto"/>
            <w:bottom w:val="none" w:sz="0" w:space="0" w:color="auto"/>
            <w:right w:val="none" w:sz="0" w:space="0" w:color="auto"/>
          </w:divBdr>
        </w:div>
      </w:divsChild>
    </w:div>
    <w:div w:id="209311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health.nsw.gov.au" TargetMode="External"/><Relationship Id="rId26" Type="http://schemas.openxmlformats.org/officeDocument/2006/relationships/hyperlink" Target="https://kingcounty.gov/depts/health/communicable-diseases/hiv-std/patients/drug-use-harm-reduction.aspx" TargetMode="External"/><Relationship Id="rId39" Type="http://schemas.openxmlformats.org/officeDocument/2006/relationships/hyperlink" Target="https://sprc.org/" TargetMode="External"/><Relationship Id="rId21" Type="http://schemas.openxmlformats.org/officeDocument/2006/relationships/hyperlink" Target="https://store.samhsa.gov/product/treating-concurrent-substance-use-among-adults/PEP21-06-02-002" TargetMode="External"/><Relationship Id="rId34" Type="http://schemas.openxmlformats.org/officeDocument/2006/relationships/hyperlink" Target="http://www.health.nsw.gov.au"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ahealth.sa.gov.au/wps/wcm/connect/Public%20Content/SA%20Health%20Internet/Resources/Policies/Acute%20Presentations%20Related%20to%20Methamphetamine%20Use%20Clinical%20Guideline" TargetMode="External"/><Relationship Id="rId29" Type="http://schemas.openxmlformats.org/officeDocument/2006/relationships/hyperlink" Target="https://doi.org/10.1001/jama.2019.639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tore.samhsa.gov/product/TIP-35-Enhancing-Motivation-for-Change-in-Substance-Use-Disorder-Treatment/PEP19-02-01-003" TargetMode="External"/><Relationship Id="rId32" Type="http://schemas.openxmlformats.org/officeDocument/2006/relationships/hyperlink" Target="https://files.hudexchange.info/resources/documents/Housing-First-Permanent-Supportive-Housing-Brief.pdf" TargetMode="External"/><Relationship Id="rId37" Type="http://schemas.openxmlformats.org/officeDocument/2006/relationships/hyperlink" Target="https://edtech.le.unimelb.edu.au/login/lgbt/" TargetMode="External"/><Relationship Id="rId40" Type="http://schemas.openxmlformats.org/officeDocument/2006/relationships/hyperlink" Target="https://www.samhsa.gov/find-help/988" TargetMode="External"/><Relationship Id="rId45"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sahealth.sa.gov.au/wps/wcm/connect/public+content/sa+health+internet/resources/quickfix+identity+intervene+in+psychostimulant+use+in+primary+health+care" TargetMode="External"/><Relationship Id="rId28" Type="http://schemas.openxmlformats.org/officeDocument/2006/relationships/hyperlink" Target="https://store.samhsa.gov/sites/default/files/pep20-06-03-001.pdf" TargetMode="External"/><Relationship Id="rId36" Type="http://schemas.openxmlformats.org/officeDocument/2006/relationships/hyperlink" Target="http://www.ncbi.nlm.nih.gov/books/NBK558174/" TargetMode="External"/><Relationship Id="rId10" Type="http://schemas.openxmlformats.org/officeDocument/2006/relationships/endnotes" Target="endnotes.xml"/><Relationship Id="rId19" Type="http://schemas.openxmlformats.org/officeDocument/2006/relationships/hyperlink" Target="https://store.samhsa.gov/product/treatment-for-stimulant-use-disorders/PEP21-02-01-004" TargetMode="External"/><Relationship Id="rId31" Type="http://schemas.openxmlformats.org/officeDocument/2006/relationships/hyperlink" Target="https://apps.who.int/iris/handle/10665/351172" TargetMode="External"/><Relationship Id="rId44"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apps.who.int/iris/handle/10665/154590" TargetMode="External"/><Relationship Id="rId27" Type="http://schemas.openxmlformats.org/officeDocument/2006/relationships/hyperlink" Target="http://americanhealth.jhu.edu/fentanyl" TargetMode="External"/><Relationship Id="rId30" Type="http://schemas.openxmlformats.org/officeDocument/2006/relationships/hyperlink" Target="https://www.unodc.org/documents/hiv-aids/publications/People_who_use_drugs/19-04568_HIV_Prevention_Guide_ebook.pdf" TargetMode="External"/><Relationship Id="rId35" Type="http://schemas.openxmlformats.org/officeDocument/2006/relationships/hyperlink" Target="http://www.health.nsw.gov.au"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doi.org/10.1037/tra0000269" TargetMode="External"/><Relationship Id="rId25" Type="http://schemas.openxmlformats.org/officeDocument/2006/relationships/hyperlink" Target="https://www.hri.global/files/2019/02/05/global-state-harm-reduction-2018.pdf" TargetMode="External"/><Relationship Id="rId33" Type="http://schemas.openxmlformats.org/officeDocument/2006/relationships/hyperlink" Target="https://store.samhsa.gov/product/Mental-and-Substance-Use-Disorder-Treatment-for-People-With-Physical-and-Cognitive-Disabilities/PEP19-02-00-002" TargetMode="External"/><Relationship Id="rId38" Type="http://schemas.openxmlformats.org/officeDocument/2006/relationships/hyperlink" Target="https://store.samhsa.gov/product/Treating-Sleep-Problems-of-People-in-Recovery-From-Substance-Use-Disorders/SMA14-4859" TargetMode="External"/><Relationship Id="rId20" Type="http://schemas.openxmlformats.org/officeDocument/2006/relationships/hyperlink" Target="https://store.samhsa.gov/product/Treatment-of-Stimulant-Use-Disorder/PEP20-06-01-001" TargetMode="External"/><Relationship Id="rId41" Type="http://schemas.openxmlformats.org/officeDocument/2006/relationships/hyperlink" Target="https://www.cdc.gov/violenceprevention/sexualviolence/index.html" TargetMode="External"/></Relationships>
</file>

<file path=word/documenttasks/documenttasks1.xml><?xml version="1.0" encoding="utf-8"?>
<t:Tasks xmlns:t="http://schemas.microsoft.com/office/tasks/2019/documenttasks" xmlns:oel="http://schemas.microsoft.com/office/2019/extlst">
  <t:Task id="{AC230724-8E30-466E-91BF-DD2F42B98254}">
    <t:Anchor>
      <t:Comment id="668298246"/>
    </t:Anchor>
    <t:History>
      <t:Event id="{D288CDC2-264D-4952-B164-2399F728184E}" time="2023-04-21T13:29:42.786Z">
        <t:Attribution userId="S::mboyle@asam.org::5eb1ea3a-3c0d-4794-9a0b-539189a02a00" userProvider="AD" userName="Maureen Boyle"/>
        <t:Anchor>
          <t:Comment id="669832710"/>
        </t:Anchor>
        <t:Create/>
      </t:Event>
      <t:Event id="{A85D423D-AFA2-48B0-B003-B5652C78D5F2}" time="2023-04-21T13:29:42.786Z">
        <t:Attribution userId="S::mboyle@asam.org::5eb1ea3a-3c0d-4794-9a0b-539189a02a00" userProvider="AD" userName="Maureen Boyle"/>
        <t:Anchor>
          <t:Comment id="669832710"/>
        </t:Anchor>
        <t:Assign userId="S::tsafarian@asam.org::a70f80b0-069f-4df7-8caa-8d4d553fa86b" userProvider="AD" userName="Taleen Safarian"/>
      </t:Event>
      <t:Event id="{65BA3AB1-F73C-4C23-857E-735D6CCD9D0A}" time="2023-04-21T13:29:42.786Z">
        <t:Attribution userId="S::mboyle@asam.org::5eb1ea3a-3c0d-4794-9a0b-539189a02a00" userProvider="AD" userName="Maureen Boyle"/>
        <t:Anchor>
          <t:Comment id="669832710"/>
        </t:Anchor>
        <t:SetTitle title="@Taleen Safarian Can you run this by Tim as well? "/>
      </t:Event>
      <t:Event id="{4D54C524-F458-4A91-93EE-1AD3C0D1E08C}" time="2023-04-24T17:38:16.98Z">
        <t:Attribution userId="S::mboyle@asam.org::5eb1ea3a-3c0d-4794-9a0b-539189a02a00" userProvider="AD" userName="Maureen Boyle"/>
        <t:Anchor>
          <t:Comment id="670111205"/>
        </t:Anchor>
        <t:UnassignAll/>
      </t:Event>
      <t:Event id="{9E50EF4C-82E3-4229-8B0F-8766F3F76A95}" time="2023-04-24T17:38:16.98Z">
        <t:Attribution userId="S::mboyle@asam.org::5eb1ea3a-3c0d-4794-9a0b-539189a02a00" userProvider="AD" userName="Maureen Boyle"/>
        <t:Anchor>
          <t:Comment id="670111205"/>
        </t:Anchor>
        <t:Assign userId="S::mboyle@asam.org::5eb1ea3a-3c0d-4794-9a0b-539189a02a00" userProvider="AD" userName="Maureen Boyl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17C13C2C27640AAB64806274974E2" ma:contentTypeVersion="13" ma:contentTypeDescription="Create a new document." ma:contentTypeScope="" ma:versionID="df2b693895d6dbc1cfa74bfae05ef9e9">
  <xsd:schema xmlns:xsd="http://www.w3.org/2001/XMLSchema" xmlns:xs="http://www.w3.org/2001/XMLSchema" xmlns:p="http://schemas.microsoft.com/office/2006/metadata/properties" xmlns:ns2="e79d3e03-dca8-44f0-8f7a-0dfc9ce2eb9e" xmlns:ns3="07e0583c-e7d7-4633-bf18-3cb4cc46af37" targetNamespace="http://schemas.microsoft.com/office/2006/metadata/properties" ma:root="true" ma:fieldsID="f925a0cc7247670c4c9e03012105b7dd" ns2:_="" ns3:_="">
    <xsd:import namespace="e79d3e03-dca8-44f0-8f7a-0dfc9ce2eb9e"/>
    <xsd:import namespace="07e0583c-e7d7-4633-bf18-3cb4cc46af37"/>
    <xsd:element name="properties">
      <xsd:complexType>
        <xsd:sequence>
          <xsd:element name="documentManagement">
            <xsd:complexType>
              <xsd:all>
                <xsd:element ref="ns2:Principl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d3e03-dca8-44f0-8f7a-0dfc9ce2eb9e" elementFormDefault="qualified">
    <xsd:import namespace="http://schemas.microsoft.com/office/2006/documentManagement/types"/>
    <xsd:import namespace="http://schemas.microsoft.com/office/infopath/2007/PartnerControls"/>
    <xsd:element name="Principle" ma:index="1" nillable="true" ma:displayName="Principle" ma:format="Dropdown" ma:list="UserInfo" ma:SharePointGroup="0" ma:internalName="Principle"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0583c-e7d7-4633-bf18-3cb4cc46af37"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inciple xmlns="e79d3e03-dca8-44f0-8f7a-0dfc9ce2eb9e">
      <UserInfo>
        <DisplayName/>
        <AccountId xsi:nil="true"/>
        <AccountType/>
      </UserInfo>
    </Principle>
    <SharedWithUsers xmlns="07e0583c-e7d7-4633-bf18-3cb4cc46af37">
      <UserInfo>
        <DisplayName>Amanda Devoto</DisplayName>
        <AccountId>192</AccountId>
        <AccountType/>
      </UserInfo>
      <UserInfo>
        <DisplayName>Wiegand, Timothy</DisplayName>
        <AccountId>106</AccountId>
        <AccountType/>
      </UserInfo>
      <UserInfo>
        <DisplayName>Dawn Lindsay</DisplayName>
        <AccountId>407</AccountId>
        <AccountType/>
      </UserInfo>
      <UserInfo>
        <DisplayName>Maureen Boyle</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81C33-BE60-4265-ADBB-321407FA0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d3e03-dca8-44f0-8f7a-0dfc9ce2eb9e"/>
    <ds:schemaRef ds:uri="07e0583c-e7d7-4633-bf18-3cb4cc46a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1FC32-1AE7-450C-B900-E383C19B5356}">
  <ds:schemaRefs>
    <ds:schemaRef ds:uri="http://schemas.microsoft.com/office/2006/metadata/properties"/>
    <ds:schemaRef ds:uri="http://schemas.microsoft.com/office/infopath/2007/PartnerControls"/>
    <ds:schemaRef ds:uri="e79d3e03-dca8-44f0-8f7a-0dfc9ce2eb9e"/>
    <ds:schemaRef ds:uri="07e0583c-e7d7-4633-bf18-3cb4cc46af37"/>
  </ds:schemaRefs>
</ds:datastoreItem>
</file>

<file path=customXml/itemProps3.xml><?xml version="1.0" encoding="utf-8"?>
<ds:datastoreItem xmlns:ds="http://schemas.openxmlformats.org/officeDocument/2006/customXml" ds:itemID="{DD7CA0D1-4810-4922-B530-944E98B26CEB}">
  <ds:schemaRefs>
    <ds:schemaRef ds:uri="http://schemas.microsoft.com/sharepoint/v3/contenttype/forms"/>
  </ds:schemaRefs>
</ds:datastoreItem>
</file>

<file path=customXml/itemProps4.xml><?xml version="1.0" encoding="utf-8"?>
<ds:datastoreItem xmlns:ds="http://schemas.openxmlformats.org/officeDocument/2006/customXml" ds:itemID="{FCF63FC5-76E8-4E43-AEB2-499CD546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68</Pages>
  <Words>39798</Words>
  <Characters>226855</Characters>
  <Application>Microsoft Office Word</Application>
  <DocSecurity>0</DocSecurity>
  <Lines>1890</Lines>
  <Paragraphs>532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Lindsay</dc:creator>
  <cp:keywords/>
  <dc:description/>
  <cp:lastModifiedBy>Dawn Lindsay</cp:lastModifiedBy>
  <cp:revision>186</cp:revision>
  <dcterms:created xsi:type="dcterms:W3CDTF">2023-09-18T22:53:00Z</dcterms:created>
  <dcterms:modified xsi:type="dcterms:W3CDTF">2023-10-27T19:22:00Z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0x010100D0C17C13C2C27640AAB64806274974E2</vt:lpwstr>
  </property>
  <property fmtid="{D5CDD505-2E9C-101B-9397-08002B2CF9AE}" pid="3" name="MediaServiceImageTags">
    <vt:lpwstr/>
  </property>
  <property fmtid="{D5CDD505-2E9C-101B-9397-08002B2CF9AE}" pid="4" name="ZOTERO_PREF_2">
    <vt:lpwstr>maticJournalAbbreviations" value="true"/&gt;&lt;pref name="dontAskDelayCitationUpdates" value="true"/&gt;&lt;/prefs&gt;&lt;/data&gt;</vt:lpwstr>
  </property>
  <property fmtid="{D5CDD505-2E9C-101B-9397-08002B2CF9AE}" pid="5" name="MSIP_Label_7b94a7b8-f06c-4dfe-bdcc-9b548fd58c31_Enabled">
    <vt:lpwstr>true</vt:lpwstr>
  </property>
  <property fmtid="{D5CDD505-2E9C-101B-9397-08002B2CF9AE}" pid="6" name="MSIP_Label_7b94a7b8-f06c-4dfe-bdcc-9b548fd58c31_SetDate">
    <vt:lpwstr>2023-04-13T13:55:50Z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f71cc2e2-c1ae-403c-ae30-f6df56bc1621</vt:lpwstr>
  </property>
  <property fmtid="{D5CDD505-2E9C-101B-9397-08002B2CF9AE}" pid="11" name="MSIP_Label_7b94a7b8-f06c-4dfe-bdcc-9b548fd58c31_ContentBits">
    <vt:lpwstr>0</vt:lpwstr>
  </property>
  <property fmtid="{D5CDD505-2E9C-101B-9397-08002B2CF9AE}" pid="12" name="GrammarlyDocumentId">
    <vt:lpwstr>09b2a3fe5a1cfe40881380c07ecda33d2988f35b6694de3611c0b4321b5e475c</vt:lpwstr>
  </property>
  <property fmtid="{D5CDD505-2E9C-101B-9397-08002B2CF9AE}" pid="13" name="ZOTERO_PREF_1">
    <vt:lpwstr>&lt;data data-version="3" zotero-version="6.0.13"&gt;&lt;session id="fhjZGmsC"/&gt;&lt;style id="http://www.zotero.org/styles/american-medical-association" hasBibliography="1" bibliographyStyleHasBeenSet="1"/&gt;&lt;prefs&gt;&lt;pref name="fieldType" value="Field"/&gt;&lt;pref name="auto</vt:lpwstr>
  </property>
</Properties>
</file>