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1A3EE" w14:textId="77777777" w:rsidR="00743CA0" w:rsidRPr="00B613A9" w:rsidRDefault="00743CA0" w:rsidP="00391137">
      <w:pPr>
        <w:rPr>
          <w:rFonts w:ascii="Times New Roman" w:hAnsi="Times New Roman" w:cs="Times New Roman"/>
          <w:b/>
          <w:sz w:val="24"/>
          <w:szCs w:val="24"/>
        </w:rPr>
      </w:pPr>
      <w:bookmarkStart w:id="0" w:name="_GoBack"/>
      <w:bookmarkEnd w:id="0"/>
      <w:proofErr w:type="spellStart"/>
      <w:r w:rsidRPr="00B613A9">
        <w:rPr>
          <w:rFonts w:ascii="Times New Roman" w:hAnsi="Times New Roman" w:cs="Times New Roman"/>
          <w:b/>
          <w:sz w:val="24"/>
          <w:szCs w:val="24"/>
        </w:rPr>
        <w:t>eMethods</w:t>
      </w:r>
      <w:proofErr w:type="spellEnd"/>
    </w:p>
    <w:p w14:paraId="113A9D42" w14:textId="77777777" w:rsidR="00743CA0" w:rsidRPr="00025D63" w:rsidRDefault="00743CA0" w:rsidP="00743CA0">
      <w:pPr>
        <w:spacing w:after="0" w:line="240" w:lineRule="auto"/>
        <w:rPr>
          <w:rFonts w:ascii="Times New Roman" w:eastAsia="Times New Roman" w:hAnsi="Times New Roman" w:cs="Times New Roman"/>
          <w:sz w:val="20"/>
          <w:szCs w:val="20"/>
        </w:rPr>
      </w:pPr>
    </w:p>
    <w:p w14:paraId="10AF9E82" w14:textId="77777777" w:rsidR="00743CA0" w:rsidRPr="00025D63" w:rsidRDefault="00743CA0" w:rsidP="00743CA0">
      <w:pPr>
        <w:pStyle w:val="C-Heading3"/>
        <w:numPr>
          <w:ilvl w:val="0"/>
          <w:numId w:val="0"/>
        </w:numPr>
        <w:spacing w:before="0"/>
        <w:rPr>
          <w:sz w:val="20"/>
        </w:rPr>
      </w:pPr>
      <w:bookmarkStart w:id="1" w:name="_Ref400105477"/>
      <w:bookmarkStart w:id="2" w:name="_Toc483669554"/>
      <w:r w:rsidRPr="00025D63">
        <w:rPr>
          <w:sz w:val="20"/>
        </w:rPr>
        <w:t>A. Dose-Hold Criteria</w:t>
      </w:r>
      <w:bookmarkEnd w:id="1"/>
      <w:bookmarkEnd w:id="2"/>
    </w:p>
    <w:p w14:paraId="3C60972D" w14:textId="77777777" w:rsidR="00743CA0" w:rsidRDefault="00743CA0" w:rsidP="00743CA0">
      <w:pPr>
        <w:pStyle w:val="C-BodyText"/>
        <w:spacing w:before="0" w:after="0" w:line="240" w:lineRule="auto"/>
        <w:rPr>
          <w:sz w:val="20"/>
        </w:rPr>
      </w:pPr>
    </w:p>
    <w:p w14:paraId="60946ACB" w14:textId="77777777" w:rsidR="00743CA0" w:rsidRDefault="00743CA0" w:rsidP="00743CA0">
      <w:pPr>
        <w:pStyle w:val="C-BodyText"/>
        <w:spacing w:before="0" w:after="0" w:line="240" w:lineRule="auto"/>
        <w:rPr>
          <w:sz w:val="20"/>
        </w:rPr>
      </w:pPr>
      <w:r w:rsidRPr="00025D63">
        <w:rPr>
          <w:sz w:val="20"/>
        </w:rPr>
        <w:t xml:space="preserve">Due to the known effects of lofexidine on blood pressure and heart rate, study medication was to be held </w:t>
      </w:r>
      <w:bookmarkStart w:id="3" w:name="_Hlk493173839"/>
      <w:r w:rsidRPr="00025D63">
        <w:rPr>
          <w:sz w:val="20"/>
        </w:rPr>
        <w:t xml:space="preserve">if </w:t>
      </w:r>
      <w:proofErr w:type="spellStart"/>
      <w:r w:rsidRPr="00025D63">
        <w:rPr>
          <w:sz w:val="20"/>
        </w:rPr>
        <w:t>predose</w:t>
      </w:r>
      <w:proofErr w:type="spellEnd"/>
      <w:r w:rsidRPr="00025D63">
        <w:rPr>
          <w:sz w:val="20"/>
        </w:rPr>
        <w:t xml:space="preserve"> vital signs met any of the criteria </w:t>
      </w:r>
      <w:bookmarkEnd w:id="3"/>
      <w:r w:rsidRPr="00025D63">
        <w:rPr>
          <w:sz w:val="20"/>
        </w:rPr>
        <w:t xml:space="preserve">listed below. </w:t>
      </w:r>
    </w:p>
    <w:p w14:paraId="38D1D898" w14:textId="77777777" w:rsidR="00743CA0" w:rsidRPr="00025D63" w:rsidRDefault="00743CA0" w:rsidP="00743CA0">
      <w:pPr>
        <w:pStyle w:val="C-BodyText"/>
        <w:spacing w:before="0" w:after="0" w:line="240" w:lineRule="auto"/>
        <w:rPr>
          <w:sz w:val="20"/>
        </w:rPr>
      </w:pPr>
    </w:p>
    <w:p w14:paraId="656F19CE" w14:textId="77777777" w:rsidR="00743CA0" w:rsidRDefault="00743CA0" w:rsidP="00743CA0">
      <w:pPr>
        <w:pStyle w:val="C-BodyText"/>
        <w:spacing w:before="0" w:after="0" w:line="240" w:lineRule="auto"/>
        <w:rPr>
          <w:sz w:val="20"/>
          <w:u w:val="single"/>
        </w:rPr>
      </w:pPr>
      <w:r w:rsidRPr="00025D63">
        <w:rPr>
          <w:sz w:val="20"/>
          <w:u w:val="single"/>
        </w:rPr>
        <w:t>Resting (sitting or recumbent, if required, for treatment of an AE)</w:t>
      </w:r>
    </w:p>
    <w:p w14:paraId="723DE4D3" w14:textId="77777777" w:rsidR="00743CA0" w:rsidRPr="00025D63" w:rsidRDefault="00743CA0" w:rsidP="00743CA0">
      <w:pPr>
        <w:pStyle w:val="C-BodyText"/>
        <w:spacing w:before="0" w:after="0" w:line="240" w:lineRule="auto"/>
        <w:rPr>
          <w:sz w:val="20"/>
          <w:u w:val="single"/>
        </w:rPr>
      </w:pPr>
    </w:p>
    <w:p w14:paraId="4B806F8F" w14:textId="77777777" w:rsidR="00743CA0" w:rsidRPr="00025D63" w:rsidRDefault="00743CA0" w:rsidP="00743CA0">
      <w:pPr>
        <w:pStyle w:val="C-Bullet"/>
        <w:spacing w:before="0" w:after="0" w:line="240" w:lineRule="auto"/>
        <w:rPr>
          <w:sz w:val="20"/>
        </w:rPr>
      </w:pPr>
      <w:r w:rsidRPr="00025D63">
        <w:rPr>
          <w:sz w:val="20"/>
        </w:rPr>
        <w:t>Systolic blood pressure &lt;90 mm</w:t>
      </w:r>
      <w:r>
        <w:rPr>
          <w:sz w:val="20"/>
        </w:rPr>
        <w:t xml:space="preserve"> </w:t>
      </w:r>
      <w:r w:rsidRPr="00025D63">
        <w:rPr>
          <w:sz w:val="20"/>
        </w:rPr>
        <w:t>Hg and &gt;20% below screen value</w:t>
      </w:r>
    </w:p>
    <w:p w14:paraId="19449300" w14:textId="77777777" w:rsidR="00743CA0" w:rsidRPr="00025D63" w:rsidRDefault="00743CA0" w:rsidP="00743CA0">
      <w:pPr>
        <w:pStyle w:val="C-Bullet"/>
        <w:spacing w:before="0" w:after="0" w:line="240" w:lineRule="auto"/>
        <w:rPr>
          <w:sz w:val="20"/>
        </w:rPr>
      </w:pPr>
      <w:r w:rsidRPr="00025D63">
        <w:rPr>
          <w:sz w:val="20"/>
        </w:rPr>
        <w:t>Diastolic blood pressure &lt;50 mm</w:t>
      </w:r>
      <w:r>
        <w:rPr>
          <w:sz w:val="20"/>
        </w:rPr>
        <w:t xml:space="preserve"> </w:t>
      </w:r>
      <w:r w:rsidRPr="00025D63">
        <w:rPr>
          <w:sz w:val="20"/>
        </w:rPr>
        <w:t>Hg and &gt;20% below screen value</w:t>
      </w:r>
    </w:p>
    <w:p w14:paraId="76C81680" w14:textId="66CE94E8" w:rsidR="00743CA0" w:rsidRPr="00025D63" w:rsidRDefault="00743CA0" w:rsidP="00743CA0">
      <w:pPr>
        <w:pStyle w:val="C-Bullet"/>
        <w:spacing w:before="0" w:after="0" w:line="240" w:lineRule="auto"/>
        <w:rPr>
          <w:sz w:val="20"/>
        </w:rPr>
      </w:pPr>
      <w:r w:rsidRPr="00025D63">
        <w:rPr>
          <w:sz w:val="20"/>
        </w:rPr>
        <w:t>Heart rate &lt;50 b</w:t>
      </w:r>
      <w:r>
        <w:rPr>
          <w:sz w:val="20"/>
        </w:rPr>
        <w:t xml:space="preserve">eats </w:t>
      </w:r>
      <w:r w:rsidRPr="00025D63">
        <w:rPr>
          <w:sz w:val="20"/>
        </w:rPr>
        <w:t>p</w:t>
      </w:r>
      <w:r>
        <w:rPr>
          <w:sz w:val="20"/>
        </w:rPr>
        <w:t xml:space="preserve">er </w:t>
      </w:r>
      <w:r w:rsidRPr="00025D63">
        <w:rPr>
          <w:sz w:val="20"/>
        </w:rPr>
        <w:t>m</w:t>
      </w:r>
      <w:r>
        <w:rPr>
          <w:sz w:val="20"/>
        </w:rPr>
        <w:t>in</w:t>
      </w:r>
      <w:r w:rsidRPr="00025D63">
        <w:rPr>
          <w:sz w:val="20"/>
        </w:rPr>
        <w:t xml:space="preserve"> and &gt;20% below screen value </w:t>
      </w:r>
    </w:p>
    <w:p w14:paraId="751432D8" w14:textId="77777777" w:rsidR="00743CA0" w:rsidRDefault="00743CA0" w:rsidP="00743CA0">
      <w:pPr>
        <w:pStyle w:val="C-Bullet"/>
        <w:spacing w:before="0" w:after="0" w:line="240" w:lineRule="auto"/>
        <w:rPr>
          <w:sz w:val="20"/>
        </w:rPr>
      </w:pPr>
      <w:r w:rsidRPr="00025D63">
        <w:rPr>
          <w:sz w:val="20"/>
        </w:rPr>
        <w:t>Symptoms of hypotension and/or bradycardia (eg, lightheadedness, dizziness, syncope)</w:t>
      </w:r>
    </w:p>
    <w:p w14:paraId="22EF7C89" w14:textId="77777777" w:rsidR="00743CA0" w:rsidRPr="00025D63" w:rsidRDefault="00743CA0" w:rsidP="00743CA0">
      <w:pPr>
        <w:pStyle w:val="C-Bullet"/>
        <w:numPr>
          <w:ilvl w:val="0"/>
          <w:numId w:val="0"/>
        </w:numPr>
        <w:spacing w:before="0" w:after="0" w:line="240" w:lineRule="auto"/>
        <w:ind w:left="1080"/>
        <w:rPr>
          <w:sz w:val="20"/>
        </w:rPr>
      </w:pPr>
    </w:p>
    <w:p w14:paraId="5889552E" w14:textId="77777777" w:rsidR="00743CA0" w:rsidRDefault="00743CA0" w:rsidP="00743CA0">
      <w:pPr>
        <w:pStyle w:val="C-BodyText"/>
        <w:spacing w:before="0" w:after="0" w:line="240" w:lineRule="auto"/>
        <w:rPr>
          <w:sz w:val="20"/>
          <w:u w:val="single"/>
        </w:rPr>
      </w:pPr>
      <w:r w:rsidRPr="00025D63">
        <w:rPr>
          <w:sz w:val="20"/>
          <w:u w:val="single"/>
        </w:rPr>
        <w:t>Orthostatic (after standing for 3 minutes)</w:t>
      </w:r>
    </w:p>
    <w:p w14:paraId="2795B581" w14:textId="77777777" w:rsidR="00743CA0" w:rsidRPr="00025D63" w:rsidRDefault="00743CA0" w:rsidP="00743CA0">
      <w:pPr>
        <w:pStyle w:val="C-BodyText"/>
        <w:spacing w:before="0" w:after="0" w:line="240" w:lineRule="auto"/>
        <w:rPr>
          <w:sz w:val="20"/>
          <w:u w:val="single"/>
        </w:rPr>
      </w:pPr>
    </w:p>
    <w:p w14:paraId="3560F001" w14:textId="77777777" w:rsidR="00743CA0" w:rsidRPr="00025D63" w:rsidRDefault="00743CA0" w:rsidP="00743CA0">
      <w:pPr>
        <w:pStyle w:val="C-Bullet"/>
        <w:spacing w:before="0" w:after="0" w:line="240" w:lineRule="auto"/>
        <w:rPr>
          <w:sz w:val="20"/>
        </w:rPr>
      </w:pPr>
      <w:r w:rsidRPr="00025D63">
        <w:rPr>
          <w:sz w:val="20"/>
        </w:rPr>
        <w:t>Systolic blood pressure, diastolic blood pressure, or pulse &gt;25% below recumbent values</w:t>
      </w:r>
    </w:p>
    <w:p w14:paraId="62E41D8B" w14:textId="77777777" w:rsidR="00743CA0" w:rsidRPr="00025D63" w:rsidRDefault="00743CA0" w:rsidP="00743CA0">
      <w:pPr>
        <w:spacing w:after="0" w:line="240" w:lineRule="auto"/>
        <w:rPr>
          <w:rFonts w:ascii="Times New Roman" w:eastAsia="Times New Roman" w:hAnsi="Times New Roman" w:cs="Times New Roman"/>
          <w:sz w:val="20"/>
          <w:szCs w:val="20"/>
        </w:rPr>
      </w:pPr>
    </w:p>
    <w:p w14:paraId="644E4CC3" w14:textId="77777777" w:rsidR="00743CA0" w:rsidRPr="00025D63" w:rsidRDefault="00743CA0" w:rsidP="00743CA0">
      <w:pPr>
        <w:pStyle w:val="C-BodyText"/>
        <w:spacing w:before="0" w:after="0" w:line="240" w:lineRule="auto"/>
        <w:rPr>
          <w:b/>
          <w:sz w:val="20"/>
        </w:rPr>
      </w:pPr>
      <w:r w:rsidRPr="00025D63">
        <w:rPr>
          <w:b/>
          <w:sz w:val="20"/>
        </w:rPr>
        <w:t>B. Study Discontinuation Criteria</w:t>
      </w:r>
    </w:p>
    <w:p w14:paraId="2AE3CAEE" w14:textId="77777777" w:rsidR="00743CA0" w:rsidRPr="00025D63" w:rsidRDefault="00743CA0" w:rsidP="00743CA0">
      <w:pPr>
        <w:pStyle w:val="C-NumberedList"/>
        <w:numPr>
          <w:ilvl w:val="0"/>
          <w:numId w:val="8"/>
        </w:numPr>
        <w:spacing w:before="0" w:after="0" w:line="240" w:lineRule="auto"/>
        <w:rPr>
          <w:sz w:val="20"/>
        </w:rPr>
      </w:pPr>
      <w:r w:rsidRPr="00025D63">
        <w:rPr>
          <w:sz w:val="20"/>
        </w:rPr>
        <w:t>Cardiovascular events (see below)</w:t>
      </w:r>
    </w:p>
    <w:p w14:paraId="7FECCA20" w14:textId="77777777" w:rsidR="00743CA0" w:rsidRPr="00025D63" w:rsidRDefault="00743CA0" w:rsidP="00743CA0">
      <w:pPr>
        <w:pStyle w:val="C-NumberedList"/>
        <w:spacing w:before="0" w:after="0" w:line="240" w:lineRule="auto"/>
        <w:rPr>
          <w:sz w:val="20"/>
        </w:rPr>
      </w:pPr>
      <w:r w:rsidRPr="00025D63">
        <w:rPr>
          <w:sz w:val="20"/>
        </w:rPr>
        <w:t>Serious medical problem, whether related or unrelated to study medication</w:t>
      </w:r>
    </w:p>
    <w:p w14:paraId="3A131A46" w14:textId="77777777" w:rsidR="00743CA0" w:rsidRPr="00025D63" w:rsidRDefault="00743CA0" w:rsidP="00743CA0">
      <w:pPr>
        <w:pStyle w:val="C-NumberedList"/>
        <w:spacing w:before="0" w:after="0" w:line="240" w:lineRule="auto"/>
        <w:rPr>
          <w:sz w:val="20"/>
        </w:rPr>
      </w:pPr>
      <w:r w:rsidRPr="00025D63">
        <w:rPr>
          <w:sz w:val="20"/>
        </w:rPr>
        <w:t>Intercurrent illness or medical complications that, in the opinion of the site investigator, precluded safe administration of study medication</w:t>
      </w:r>
    </w:p>
    <w:p w14:paraId="09E3B198" w14:textId="3C836C88" w:rsidR="00743CA0" w:rsidRPr="00025D63" w:rsidRDefault="00743CA0" w:rsidP="00743CA0">
      <w:pPr>
        <w:pStyle w:val="C-NumberedList"/>
        <w:spacing w:before="0" w:after="0" w:line="240" w:lineRule="auto"/>
        <w:rPr>
          <w:sz w:val="20"/>
        </w:rPr>
      </w:pPr>
      <w:r w:rsidRPr="00025D63">
        <w:rPr>
          <w:sz w:val="20"/>
        </w:rPr>
        <w:t xml:space="preserve">Evidence of illicit drug use while participating in the study during </w:t>
      </w:r>
      <w:r w:rsidR="003967BD">
        <w:rPr>
          <w:sz w:val="20"/>
        </w:rPr>
        <w:t>day</w:t>
      </w:r>
      <w:r w:rsidRPr="00025D63">
        <w:rPr>
          <w:sz w:val="20"/>
        </w:rPr>
        <w:t>s 1 to 7</w:t>
      </w:r>
    </w:p>
    <w:p w14:paraId="7F20D69A" w14:textId="77777777" w:rsidR="00743CA0" w:rsidRPr="00025D63" w:rsidRDefault="00743CA0" w:rsidP="00743CA0">
      <w:pPr>
        <w:pStyle w:val="C-NumberedList"/>
        <w:spacing w:before="0" w:after="0" w:line="240" w:lineRule="auto"/>
        <w:rPr>
          <w:sz w:val="20"/>
        </w:rPr>
      </w:pPr>
      <w:r w:rsidRPr="00025D63">
        <w:rPr>
          <w:sz w:val="20"/>
        </w:rPr>
        <w:t>Alcohol or other sedative/hypnotic withdrawal signs and symptoms developing following enrollment into the study</w:t>
      </w:r>
    </w:p>
    <w:p w14:paraId="29D5CF9A" w14:textId="77777777" w:rsidR="00743CA0" w:rsidRPr="00025D63" w:rsidRDefault="00743CA0" w:rsidP="00743CA0">
      <w:pPr>
        <w:pStyle w:val="C-NumberedList"/>
        <w:spacing w:before="0" w:after="0" w:line="240" w:lineRule="auto"/>
        <w:rPr>
          <w:sz w:val="20"/>
        </w:rPr>
      </w:pPr>
      <w:r w:rsidRPr="00025D63">
        <w:rPr>
          <w:sz w:val="20"/>
        </w:rPr>
        <w:t>Required therapy with an exclusionary drug</w:t>
      </w:r>
    </w:p>
    <w:p w14:paraId="0A8A11F4" w14:textId="77777777" w:rsidR="00743CA0" w:rsidRPr="00025D63" w:rsidRDefault="00743CA0" w:rsidP="00743CA0">
      <w:pPr>
        <w:pStyle w:val="C-NumberedList"/>
        <w:spacing w:before="0" w:after="0" w:line="240" w:lineRule="auto"/>
        <w:rPr>
          <w:sz w:val="20"/>
        </w:rPr>
      </w:pPr>
      <w:r w:rsidRPr="00025D63">
        <w:rPr>
          <w:sz w:val="20"/>
        </w:rPr>
        <w:t>Lack of compliance with protocol and/or unit procedures</w:t>
      </w:r>
    </w:p>
    <w:p w14:paraId="6DDF6A4C" w14:textId="77777777" w:rsidR="00743CA0" w:rsidRPr="00025D63" w:rsidRDefault="00743CA0" w:rsidP="00743CA0">
      <w:pPr>
        <w:pStyle w:val="C-NumberedList"/>
        <w:spacing w:before="0" w:after="0" w:line="240" w:lineRule="auto"/>
        <w:rPr>
          <w:sz w:val="20"/>
        </w:rPr>
      </w:pPr>
      <w:r w:rsidRPr="00025D63">
        <w:rPr>
          <w:sz w:val="20"/>
        </w:rPr>
        <w:t>Systolic blood pressure &lt;70 mm</w:t>
      </w:r>
      <w:r>
        <w:rPr>
          <w:sz w:val="20"/>
        </w:rPr>
        <w:t xml:space="preserve"> </w:t>
      </w:r>
      <w:r w:rsidRPr="00025D63">
        <w:rPr>
          <w:sz w:val="20"/>
        </w:rPr>
        <w:t>Hg and &gt;20% below screen value</w:t>
      </w:r>
    </w:p>
    <w:p w14:paraId="2EFDC957" w14:textId="77777777" w:rsidR="00743CA0" w:rsidRPr="00025D63" w:rsidRDefault="00743CA0" w:rsidP="00743CA0">
      <w:pPr>
        <w:pStyle w:val="C-NumberedList"/>
        <w:spacing w:before="0" w:after="0" w:line="240" w:lineRule="auto"/>
        <w:rPr>
          <w:sz w:val="20"/>
        </w:rPr>
      </w:pPr>
      <w:r w:rsidRPr="00025D63">
        <w:rPr>
          <w:sz w:val="20"/>
        </w:rPr>
        <w:t>Diastolic blood pressure &lt;40 mm</w:t>
      </w:r>
      <w:r>
        <w:rPr>
          <w:sz w:val="20"/>
        </w:rPr>
        <w:t xml:space="preserve"> </w:t>
      </w:r>
      <w:r w:rsidRPr="00025D63">
        <w:rPr>
          <w:sz w:val="20"/>
        </w:rPr>
        <w:t>Hg and &gt; 20% below screen value</w:t>
      </w:r>
    </w:p>
    <w:p w14:paraId="5921DF74" w14:textId="77777777" w:rsidR="00743CA0" w:rsidRPr="00025D63" w:rsidRDefault="00743CA0" w:rsidP="00743CA0">
      <w:pPr>
        <w:pStyle w:val="C-NumberedList"/>
        <w:spacing w:before="0" w:after="0" w:line="240" w:lineRule="auto"/>
        <w:rPr>
          <w:sz w:val="20"/>
        </w:rPr>
      </w:pPr>
      <w:r w:rsidRPr="00025D63">
        <w:rPr>
          <w:sz w:val="20"/>
        </w:rPr>
        <w:t>Heart rate &lt;40 b</w:t>
      </w:r>
      <w:r>
        <w:rPr>
          <w:sz w:val="20"/>
        </w:rPr>
        <w:t xml:space="preserve">eats </w:t>
      </w:r>
      <w:r w:rsidRPr="00025D63">
        <w:rPr>
          <w:sz w:val="20"/>
        </w:rPr>
        <w:t>p</w:t>
      </w:r>
      <w:r>
        <w:rPr>
          <w:sz w:val="20"/>
        </w:rPr>
        <w:t xml:space="preserve">er </w:t>
      </w:r>
      <w:r w:rsidRPr="00025D63">
        <w:rPr>
          <w:sz w:val="20"/>
        </w:rPr>
        <w:t>m</w:t>
      </w:r>
      <w:r>
        <w:rPr>
          <w:sz w:val="20"/>
        </w:rPr>
        <w:t>in</w:t>
      </w:r>
      <w:r w:rsidRPr="00025D63">
        <w:rPr>
          <w:sz w:val="20"/>
        </w:rPr>
        <w:t xml:space="preserve"> and &gt;20% below screen value</w:t>
      </w:r>
    </w:p>
    <w:p w14:paraId="03863E9C" w14:textId="77777777" w:rsidR="00743CA0" w:rsidRPr="00025D63" w:rsidRDefault="00743CA0" w:rsidP="00743CA0">
      <w:pPr>
        <w:pStyle w:val="C-NumberedList"/>
        <w:spacing w:before="0" w:after="0" w:line="240" w:lineRule="auto"/>
        <w:rPr>
          <w:sz w:val="20"/>
        </w:rPr>
      </w:pPr>
      <w:proofErr w:type="spellStart"/>
      <w:r w:rsidRPr="00025D63">
        <w:rPr>
          <w:sz w:val="20"/>
        </w:rPr>
        <w:t>QTcF</w:t>
      </w:r>
      <w:proofErr w:type="spellEnd"/>
      <w:r w:rsidRPr="00025D63">
        <w:rPr>
          <w:sz w:val="20"/>
        </w:rPr>
        <w:t xml:space="preserve"> &gt;500 msec or &gt;25% above screen value for both males and females</w:t>
      </w:r>
    </w:p>
    <w:p w14:paraId="501C9580" w14:textId="77777777" w:rsidR="00743CA0" w:rsidRPr="00025D63" w:rsidRDefault="00743CA0" w:rsidP="00743CA0">
      <w:pPr>
        <w:pStyle w:val="C-NumberedList"/>
        <w:spacing w:before="0" w:after="0" w:line="240" w:lineRule="auto"/>
        <w:rPr>
          <w:sz w:val="20"/>
        </w:rPr>
      </w:pPr>
      <w:r w:rsidRPr="00025D63">
        <w:rPr>
          <w:sz w:val="20"/>
        </w:rPr>
        <w:t>Syncope</w:t>
      </w:r>
    </w:p>
    <w:p w14:paraId="73A03D7E" w14:textId="01B3B507" w:rsidR="00743CA0" w:rsidRPr="00025D63" w:rsidRDefault="00743CA0" w:rsidP="00743CA0">
      <w:pPr>
        <w:pStyle w:val="C-NumberedList"/>
        <w:spacing w:before="0" w:after="0" w:line="240" w:lineRule="auto"/>
        <w:rPr>
          <w:sz w:val="20"/>
        </w:rPr>
      </w:pPr>
      <w:r w:rsidRPr="00025D63">
        <w:rPr>
          <w:sz w:val="20"/>
        </w:rPr>
        <w:t xml:space="preserve">Subjects who missed more than 2 doses in 24 hours during </w:t>
      </w:r>
      <w:r w:rsidR="003967BD">
        <w:rPr>
          <w:sz w:val="20"/>
        </w:rPr>
        <w:t>day</w:t>
      </w:r>
      <w:r w:rsidRPr="00025D63">
        <w:rPr>
          <w:sz w:val="20"/>
        </w:rPr>
        <w:t xml:space="preserve">s 1 to 7 prior to meeting “completer” criteria (ie, received at least 1 dose of study medication on </w:t>
      </w:r>
      <w:r w:rsidR="003967BD">
        <w:rPr>
          <w:sz w:val="20"/>
        </w:rPr>
        <w:t>day</w:t>
      </w:r>
      <w:r w:rsidRPr="00025D63">
        <w:rPr>
          <w:sz w:val="20"/>
        </w:rPr>
        <w:t xml:space="preserve"> 7 and completed the 3.5-hour </w:t>
      </w:r>
      <w:proofErr w:type="spellStart"/>
      <w:r w:rsidRPr="00025D63">
        <w:rPr>
          <w:sz w:val="20"/>
        </w:rPr>
        <w:t>postdose</w:t>
      </w:r>
      <w:proofErr w:type="spellEnd"/>
      <w:r w:rsidRPr="00025D63">
        <w:rPr>
          <w:sz w:val="20"/>
        </w:rPr>
        <w:t xml:space="preserve"> SOWS-</w:t>
      </w:r>
      <w:proofErr w:type="spellStart"/>
      <w:r w:rsidRPr="00025D63">
        <w:rPr>
          <w:sz w:val="20"/>
        </w:rPr>
        <w:t>Gossop</w:t>
      </w:r>
      <w:proofErr w:type="spellEnd"/>
      <w:r w:rsidRPr="00025D63">
        <w:rPr>
          <w:sz w:val="20"/>
        </w:rPr>
        <w:t xml:space="preserve"> assessment on </w:t>
      </w:r>
      <w:r w:rsidR="003967BD">
        <w:rPr>
          <w:sz w:val="20"/>
        </w:rPr>
        <w:t>day</w:t>
      </w:r>
      <w:r w:rsidRPr="00025D63">
        <w:rPr>
          <w:sz w:val="20"/>
        </w:rPr>
        <w:t xml:space="preserve"> 7)</w:t>
      </w:r>
    </w:p>
    <w:p w14:paraId="6563FD7D" w14:textId="266C725E" w:rsidR="00743CA0" w:rsidRPr="00025D63" w:rsidRDefault="00743CA0" w:rsidP="00743CA0">
      <w:pPr>
        <w:pStyle w:val="C-NumberedList"/>
        <w:spacing w:before="0" w:after="0" w:line="240" w:lineRule="auto"/>
        <w:rPr>
          <w:sz w:val="20"/>
        </w:rPr>
      </w:pPr>
      <w:r w:rsidRPr="00025D63">
        <w:rPr>
          <w:sz w:val="20"/>
        </w:rPr>
        <w:t xml:space="preserve">Subjects who missed more than a total of 6 doses during </w:t>
      </w:r>
      <w:r w:rsidR="003967BD">
        <w:rPr>
          <w:sz w:val="20"/>
        </w:rPr>
        <w:t>day</w:t>
      </w:r>
      <w:r w:rsidRPr="00025D63">
        <w:rPr>
          <w:sz w:val="20"/>
        </w:rPr>
        <w:t xml:space="preserve">s 1 to 7 prior to meeting “completer” criteria (ie, received at least 1 dose of study medication on </w:t>
      </w:r>
      <w:r w:rsidR="003967BD">
        <w:rPr>
          <w:sz w:val="20"/>
        </w:rPr>
        <w:t>day</w:t>
      </w:r>
      <w:r w:rsidRPr="00025D63">
        <w:rPr>
          <w:sz w:val="20"/>
        </w:rPr>
        <w:t xml:space="preserve"> 7 and completed the 3.5-hour </w:t>
      </w:r>
      <w:proofErr w:type="spellStart"/>
      <w:r w:rsidRPr="00025D63">
        <w:rPr>
          <w:sz w:val="20"/>
        </w:rPr>
        <w:t>postdose</w:t>
      </w:r>
      <w:proofErr w:type="spellEnd"/>
      <w:r w:rsidRPr="00025D63">
        <w:rPr>
          <w:sz w:val="20"/>
        </w:rPr>
        <w:t xml:space="preserve"> SOWS-</w:t>
      </w:r>
      <w:proofErr w:type="spellStart"/>
      <w:r w:rsidRPr="00025D63">
        <w:rPr>
          <w:sz w:val="20"/>
        </w:rPr>
        <w:t>Gossop</w:t>
      </w:r>
      <w:proofErr w:type="spellEnd"/>
      <w:r w:rsidRPr="00025D63">
        <w:rPr>
          <w:sz w:val="20"/>
        </w:rPr>
        <w:t xml:space="preserve"> assessment on </w:t>
      </w:r>
      <w:r w:rsidR="003967BD">
        <w:rPr>
          <w:sz w:val="20"/>
        </w:rPr>
        <w:t>day</w:t>
      </w:r>
      <w:r w:rsidRPr="00025D63">
        <w:rPr>
          <w:sz w:val="20"/>
        </w:rPr>
        <w:t xml:space="preserve"> 7)</w:t>
      </w:r>
    </w:p>
    <w:p w14:paraId="480081D8" w14:textId="77777777" w:rsidR="00743CA0" w:rsidRPr="00025D63" w:rsidRDefault="00743CA0" w:rsidP="00743CA0">
      <w:pPr>
        <w:pStyle w:val="C-NumberedList"/>
        <w:spacing w:before="0" w:after="0" w:line="240" w:lineRule="auto"/>
        <w:rPr>
          <w:sz w:val="20"/>
        </w:rPr>
      </w:pPr>
      <w:r w:rsidRPr="00025D63">
        <w:rPr>
          <w:sz w:val="20"/>
        </w:rPr>
        <w:t xml:space="preserve">Concomitant medication </w:t>
      </w:r>
      <w:proofErr w:type="gramStart"/>
      <w:r w:rsidRPr="00025D63">
        <w:rPr>
          <w:sz w:val="20"/>
        </w:rPr>
        <w:t>use</w:t>
      </w:r>
      <w:proofErr w:type="gramEnd"/>
      <w:r w:rsidRPr="00025D63">
        <w:rPr>
          <w:sz w:val="20"/>
        </w:rPr>
        <w:t xml:space="preserve"> other than allowed drugs specified in the protocol</w:t>
      </w:r>
    </w:p>
    <w:p w14:paraId="568228B7" w14:textId="77777777" w:rsidR="00743CA0" w:rsidRPr="00025D63" w:rsidRDefault="00743CA0" w:rsidP="00743CA0">
      <w:pPr>
        <w:pStyle w:val="C-BodyText"/>
        <w:spacing w:before="0" w:after="0" w:line="240" w:lineRule="auto"/>
        <w:rPr>
          <w:sz w:val="20"/>
        </w:rPr>
      </w:pPr>
    </w:p>
    <w:p w14:paraId="5A60C7E0" w14:textId="77777777" w:rsidR="00743CA0" w:rsidRPr="00025D63" w:rsidRDefault="00743CA0" w:rsidP="00743CA0">
      <w:pPr>
        <w:pStyle w:val="C-BodyText"/>
        <w:spacing w:before="0" w:after="0" w:line="240" w:lineRule="auto"/>
        <w:rPr>
          <w:sz w:val="20"/>
        </w:rPr>
      </w:pPr>
      <w:r w:rsidRPr="00025D63">
        <w:rPr>
          <w:sz w:val="20"/>
        </w:rPr>
        <w:t xml:space="preserve">A subject could withdraw his/her consent for participation in the study at any time without prejudice. The site investigator also had the discretion to discontinue a subject. </w:t>
      </w:r>
    </w:p>
    <w:p w14:paraId="4DE0BC95" w14:textId="77777777" w:rsidR="00743CA0" w:rsidRPr="00025D63" w:rsidRDefault="00743CA0" w:rsidP="00743CA0">
      <w:pPr>
        <w:spacing w:after="0" w:line="240" w:lineRule="auto"/>
        <w:rPr>
          <w:rFonts w:ascii="Times New Roman" w:hAnsi="Times New Roman" w:cs="Times New Roman"/>
          <w:b/>
          <w:sz w:val="20"/>
          <w:szCs w:val="20"/>
        </w:rPr>
      </w:pPr>
    </w:p>
    <w:p w14:paraId="41AF82A9" w14:textId="77777777" w:rsidR="00743CA0" w:rsidRPr="00025D63" w:rsidRDefault="00743CA0" w:rsidP="00743CA0">
      <w:pPr>
        <w:pStyle w:val="C-Heading4"/>
        <w:numPr>
          <w:ilvl w:val="0"/>
          <w:numId w:val="0"/>
        </w:numPr>
        <w:spacing w:before="0"/>
        <w:ind w:left="1080" w:hanging="1080"/>
        <w:rPr>
          <w:sz w:val="20"/>
        </w:rPr>
      </w:pPr>
      <w:bookmarkStart w:id="4" w:name="_Ref399941593"/>
      <w:bookmarkStart w:id="5" w:name="_Toc483669546"/>
      <w:r w:rsidRPr="00025D63">
        <w:rPr>
          <w:sz w:val="20"/>
        </w:rPr>
        <w:t>C. Cardiovascular Events Requiring Subject Discontinuation from the Study</w:t>
      </w:r>
      <w:bookmarkEnd w:id="4"/>
      <w:bookmarkEnd w:id="5"/>
    </w:p>
    <w:p w14:paraId="053461C5" w14:textId="77777777" w:rsidR="00743CA0" w:rsidRDefault="00743CA0" w:rsidP="00743CA0">
      <w:pPr>
        <w:pStyle w:val="C-BodyText"/>
        <w:spacing w:before="0" w:after="0" w:line="240" w:lineRule="auto"/>
        <w:rPr>
          <w:sz w:val="20"/>
        </w:rPr>
      </w:pPr>
    </w:p>
    <w:p w14:paraId="459763E9" w14:textId="77777777" w:rsidR="00743CA0" w:rsidRDefault="00743CA0" w:rsidP="00743CA0">
      <w:pPr>
        <w:pStyle w:val="C-BodyText"/>
        <w:spacing w:before="0" w:after="0" w:line="240" w:lineRule="auto"/>
        <w:rPr>
          <w:sz w:val="20"/>
        </w:rPr>
      </w:pPr>
      <w:r w:rsidRPr="00025D63">
        <w:rPr>
          <w:sz w:val="20"/>
        </w:rPr>
        <w:t xml:space="preserve">Since lofexidine is associated with bradycardia and hypotension, the protocol specified that subjects be discontinued for certain cardiovascular events in addition to the criteria for vital sign assessments noted above. For the cardiovascular events listed below, subjects were to be discontinued from the study </w:t>
      </w:r>
      <w:r w:rsidRPr="00025D63">
        <w:rPr>
          <w:sz w:val="20"/>
          <w:u w:val="single"/>
        </w:rPr>
        <w:t>and the event reported and followed up as an AE or SAE</w:t>
      </w:r>
      <w:r w:rsidRPr="00025D63">
        <w:rPr>
          <w:sz w:val="20"/>
        </w:rPr>
        <w:t xml:space="preserve"> as determined by the site investigator. </w:t>
      </w:r>
    </w:p>
    <w:p w14:paraId="5BE0B4F7" w14:textId="77777777" w:rsidR="00743CA0" w:rsidRPr="00025D63" w:rsidRDefault="00743CA0" w:rsidP="00743CA0">
      <w:pPr>
        <w:pStyle w:val="C-BodyText"/>
        <w:spacing w:before="0" w:after="0" w:line="240" w:lineRule="auto"/>
        <w:rPr>
          <w:sz w:val="20"/>
        </w:rPr>
      </w:pPr>
    </w:p>
    <w:p w14:paraId="568B40F8" w14:textId="77777777" w:rsidR="00743CA0" w:rsidRPr="00025D63" w:rsidRDefault="00743CA0" w:rsidP="00743CA0">
      <w:pPr>
        <w:pStyle w:val="C-NumberedList"/>
        <w:numPr>
          <w:ilvl w:val="0"/>
          <w:numId w:val="9"/>
        </w:numPr>
        <w:spacing w:before="0" w:after="0" w:line="240" w:lineRule="auto"/>
        <w:rPr>
          <w:sz w:val="20"/>
        </w:rPr>
      </w:pPr>
      <w:r w:rsidRPr="00025D63">
        <w:rPr>
          <w:sz w:val="20"/>
        </w:rPr>
        <w:lastRenderedPageBreak/>
        <w:t>New onset of clinically significant abnormal ECG (eg, second</w:t>
      </w:r>
      <w:r>
        <w:rPr>
          <w:sz w:val="20"/>
        </w:rPr>
        <w:t>-</w:t>
      </w:r>
      <w:r w:rsidRPr="00025D63">
        <w:rPr>
          <w:sz w:val="20"/>
        </w:rPr>
        <w:t xml:space="preserve"> or third</w:t>
      </w:r>
      <w:r>
        <w:rPr>
          <w:sz w:val="20"/>
        </w:rPr>
        <w:t>-</w:t>
      </w:r>
      <w:r w:rsidRPr="00025D63">
        <w:rPr>
          <w:sz w:val="20"/>
        </w:rPr>
        <w:t xml:space="preserve">degree heart block or uncontrolled arrhythmia, prolonged </w:t>
      </w:r>
      <w:proofErr w:type="spellStart"/>
      <w:r w:rsidRPr="00025D63">
        <w:rPr>
          <w:sz w:val="20"/>
        </w:rPr>
        <w:t>QTcF</w:t>
      </w:r>
      <w:proofErr w:type="spellEnd"/>
      <w:r w:rsidRPr="00025D63">
        <w:rPr>
          <w:sz w:val="20"/>
        </w:rPr>
        <w:t xml:space="preserve"> interval)</w:t>
      </w:r>
    </w:p>
    <w:p w14:paraId="374850BF" w14:textId="77777777" w:rsidR="00743CA0" w:rsidRPr="00025D63" w:rsidRDefault="00743CA0" w:rsidP="00743CA0">
      <w:pPr>
        <w:pStyle w:val="C-NumberedList"/>
        <w:numPr>
          <w:ilvl w:val="0"/>
          <w:numId w:val="9"/>
        </w:numPr>
        <w:spacing w:before="0" w:after="0" w:line="240" w:lineRule="auto"/>
        <w:rPr>
          <w:sz w:val="20"/>
        </w:rPr>
      </w:pPr>
      <w:r w:rsidRPr="00025D63">
        <w:rPr>
          <w:sz w:val="20"/>
        </w:rPr>
        <w:t>Persistent symptomatic hypotension (eg, hypotension not responding to bed rest or fluids)</w:t>
      </w:r>
    </w:p>
    <w:p w14:paraId="6C4E8361" w14:textId="77777777" w:rsidR="00743CA0" w:rsidRPr="00025D63" w:rsidRDefault="00743CA0" w:rsidP="00743CA0">
      <w:pPr>
        <w:pStyle w:val="C-NumberedList"/>
        <w:numPr>
          <w:ilvl w:val="0"/>
          <w:numId w:val="9"/>
        </w:numPr>
        <w:spacing w:before="0" w:after="0" w:line="240" w:lineRule="auto"/>
        <w:rPr>
          <w:sz w:val="20"/>
        </w:rPr>
      </w:pPr>
      <w:r w:rsidRPr="00025D63">
        <w:rPr>
          <w:sz w:val="20"/>
        </w:rPr>
        <w:t>Single occurrence of symptomatic bradycardia (as assessed by the site investigator, regardless of blood pressure) associated with chest pain, shortness of breath, or decreased level of consciousness</w:t>
      </w:r>
    </w:p>
    <w:p w14:paraId="1B1311D5" w14:textId="77777777" w:rsidR="00743CA0" w:rsidRPr="00025D63" w:rsidRDefault="00743CA0" w:rsidP="00743CA0">
      <w:pPr>
        <w:pStyle w:val="C-NumberedList"/>
        <w:numPr>
          <w:ilvl w:val="0"/>
          <w:numId w:val="9"/>
        </w:numPr>
        <w:spacing w:before="0" w:after="0" w:line="240" w:lineRule="auto"/>
        <w:rPr>
          <w:sz w:val="20"/>
        </w:rPr>
      </w:pPr>
      <w:r w:rsidRPr="00025D63">
        <w:rPr>
          <w:sz w:val="20"/>
        </w:rPr>
        <w:t>Persistent hypertension, defined as blood pressure ≥185/110 mm</w:t>
      </w:r>
      <w:r>
        <w:rPr>
          <w:sz w:val="20"/>
        </w:rPr>
        <w:t xml:space="preserve"> </w:t>
      </w:r>
      <w:r w:rsidRPr="00025D63">
        <w:rPr>
          <w:sz w:val="20"/>
        </w:rPr>
        <w:t>Hg recorded on 3 separate occasions taken at least 5 minutes apart AND within a 1-h</w:t>
      </w:r>
      <w:r>
        <w:rPr>
          <w:sz w:val="20"/>
        </w:rPr>
        <w:t>our</w:t>
      </w:r>
      <w:r w:rsidRPr="00025D63">
        <w:rPr>
          <w:sz w:val="20"/>
        </w:rPr>
        <w:t xml:space="preserve"> </w:t>
      </w:r>
      <w:proofErr w:type="gramStart"/>
      <w:r w:rsidRPr="00025D63">
        <w:rPr>
          <w:sz w:val="20"/>
        </w:rPr>
        <w:t>time period</w:t>
      </w:r>
      <w:proofErr w:type="gramEnd"/>
      <w:r w:rsidRPr="00025D63">
        <w:rPr>
          <w:sz w:val="20"/>
        </w:rPr>
        <w:t>. If all 3 readings were ≥185/110 mm</w:t>
      </w:r>
      <w:r>
        <w:rPr>
          <w:sz w:val="20"/>
        </w:rPr>
        <w:t xml:space="preserve"> </w:t>
      </w:r>
      <w:r w:rsidRPr="00025D63">
        <w:rPr>
          <w:sz w:val="20"/>
        </w:rPr>
        <w:t>Hg (either systolic ≥185 mm</w:t>
      </w:r>
      <w:r>
        <w:rPr>
          <w:sz w:val="20"/>
        </w:rPr>
        <w:t xml:space="preserve"> </w:t>
      </w:r>
      <w:r w:rsidRPr="00025D63">
        <w:rPr>
          <w:sz w:val="20"/>
        </w:rPr>
        <w:t>Hg or diastolic ≥110 mm</w:t>
      </w:r>
      <w:r>
        <w:rPr>
          <w:sz w:val="20"/>
        </w:rPr>
        <w:t xml:space="preserve"> </w:t>
      </w:r>
      <w:r w:rsidRPr="00025D63">
        <w:rPr>
          <w:sz w:val="20"/>
        </w:rPr>
        <w:t>Hg)</w:t>
      </w:r>
      <w:r>
        <w:rPr>
          <w:sz w:val="20"/>
        </w:rPr>
        <w:t>,</w:t>
      </w:r>
      <w:r w:rsidRPr="00025D63">
        <w:rPr>
          <w:sz w:val="20"/>
        </w:rPr>
        <w:t xml:space="preserve"> the subject was discontinued from the study</w:t>
      </w:r>
    </w:p>
    <w:p w14:paraId="459FD9F1" w14:textId="77777777" w:rsidR="00743CA0" w:rsidRPr="00025D63" w:rsidRDefault="00743CA0" w:rsidP="00743CA0">
      <w:pPr>
        <w:pStyle w:val="C-NumberedList"/>
        <w:numPr>
          <w:ilvl w:val="0"/>
          <w:numId w:val="9"/>
        </w:numPr>
        <w:spacing w:before="0" w:after="0" w:line="240" w:lineRule="auto"/>
        <w:rPr>
          <w:sz w:val="20"/>
        </w:rPr>
      </w:pPr>
      <w:r w:rsidRPr="00025D63">
        <w:rPr>
          <w:sz w:val="20"/>
        </w:rPr>
        <w:t>Medical Intervention for Cardiovascular Event: Any medical intervention (nonmedication or medication inclusive) used for the treatment of any cardiovascular event, except for a positional intervention in subjects displaying hypotension</w:t>
      </w:r>
    </w:p>
    <w:p w14:paraId="2078C9EB" w14:textId="77777777" w:rsidR="00743CA0" w:rsidRPr="00025D63" w:rsidRDefault="00743CA0" w:rsidP="00743CA0">
      <w:pPr>
        <w:pStyle w:val="C-NumberedList"/>
        <w:numPr>
          <w:ilvl w:val="0"/>
          <w:numId w:val="9"/>
        </w:numPr>
        <w:spacing w:before="0" w:after="0" w:line="240" w:lineRule="auto"/>
        <w:rPr>
          <w:sz w:val="20"/>
        </w:rPr>
      </w:pPr>
      <w:r w:rsidRPr="00025D63">
        <w:rPr>
          <w:sz w:val="20"/>
        </w:rPr>
        <w:t>Any other clinically significant cardiovascular signs or symptoms that placed the subject at risk</w:t>
      </w:r>
    </w:p>
    <w:p w14:paraId="54E70E44" w14:textId="77777777" w:rsidR="00743CA0" w:rsidRPr="00025D63" w:rsidRDefault="00743CA0" w:rsidP="00743CA0">
      <w:pPr>
        <w:spacing w:after="0" w:line="240" w:lineRule="auto"/>
        <w:rPr>
          <w:rFonts w:ascii="Times New Roman" w:eastAsia="Times New Roman" w:hAnsi="Times New Roman" w:cs="Times New Roman"/>
          <w:sz w:val="20"/>
          <w:szCs w:val="20"/>
        </w:rPr>
      </w:pPr>
    </w:p>
    <w:tbl>
      <w:tblPr>
        <w:tblStyle w:val="C-Table"/>
        <w:tblW w:w="0" w:type="auto"/>
        <w:tblBorders>
          <w:insideH w:val="single" w:sz="4" w:space="0" w:color="auto"/>
        </w:tblBorders>
        <w:tblLook w:val="04A0" w:firstRow="1" w:lastRow="0" w:firstColumn="1" w:lastColumn="0" w:noHBand="0" w:noVBand="1"/>
      </w:tblPr>
      <w:tblGrid>
        <w:gridCol w:w="2340"/>
        <w:gridCol w:w="1800"/>
        <w:gridCol w:w="1170"/>
        <w:gridCol w:w="3573"/>
      </w:tblGrid>
      <w:tr w:rsidR="00743CA0" w:rsidRPr="00B613A9" w14:paraId="00F3A52A" w14:textId="77777777">
        <w:trPr>
          <w:cantSplit w:val="0"/>
          <w:tblHeader/>
        </w:trPr>
        <w:tc>
          <w:tcPr>
            <w:tcW w:w="8883" w:type="dxa"/>
            <w:gridSpan w:val="4"/>
            <w:tcBorders>
              <w:top w:val="nil"/>
              <w:left w:val="nil"/>
              <w:bottom w:val="single" w:sz="4" w:space="0" w:color="auto"/>
              <w:right w:val="nil"/>
            </w:tcBorders>
          </w:tcPr>
          <w:p w14:paraId="3F1B34FF" w14:textId="0242B323" w:rsidR="00743CA0" w:rsidRDefault="00743CA0" w:rsidP="0009302B">
            <w:pPr>
              <w:pStyle w:val="C-TableHeader"/>
              <w:spacing w:before="0" w:after="0"/>
            </w:pPr>
            <w:bookmarkStart w:id="6" w:name="_Toc483669825"/>
            <w:r w:rsidRPr="00025D63">
              <w:rPr>
                <w:sz w:val="22"/>
              </w:rPr>
              <w:t>D. Vital Sign</w:t>
            </w:r>
            <w:bookmarkEnd w:id="6"/>
            <w:r w:rsidRPr="00025D63">
              <w:rPr>
                <w:sz w:val="22"/>
              </w:rPr>
              <w:t xml:space="preserve"> Values Required to </w:t>
            </w:r>
            <w:r w:rsidR="003B6C63">
              <w:rPr>
                <w:sz w:val="22"/>
              </w:rPr>
              <w:t>B</w:t>
            </w:r>
            <w:r w:rsidRPr="00025D63">
              <w:rPr>
                <w:sz w:val="22"/>
              </w:rPr>
              <w:t>e Reported as an AE</w:t>
            </w:r>
          </w:p>
          <w:p w14:paraId="11CD02DD" w14:textId="77777777" w:rsidR="00743CA0" w:rsidRPr="00025D63" w:rsidRDefault="00743CA0" w:rsidP="0009302B">
            <w:pPr>
              <w:pStyle w:val="C-TableText"/>
            </w:pPr>
          </w:p>
        </w:tc>
      </w:tr>
      <w:tr w:rsidR="00743CA0" w:rsidRPr="00B613A9" w14:paraId="19A8F3D7" w14:textId="77777777">
        <w:trPr>
          <w:cantSplit w:val="0"/>
          <w:tblHeader/>
        </w:trPr>
        <w:tc>
          <w:tcPr>
            <w:tcW w:w="2340" w:type="dxa"/>
            <w:tcBorders>
              <w:top w:val="single" w:sz="4" w:space="0" w:color="auto"/>
            </w:tcBorders>
          </w:tcPr>
          <w:p w14:paraId="1E13FDAC" w14:textId="77777777" w:rsidR="00743CA0" w:rsidRPr="00025D63" w:rsidRDefault="00743CA0" w:rsidP="0009302B">
            <w:pPr>
              <w:pStyle w:val="C-TableHeader"/>
              <w:spacing w:before="0" w:after="0"/>
              <w:rPr>
                <w:rFonts w:ascii="Arial" w:hAnsi="Arial" w:cs="Arial"/>
              </w:rPr>
            </w:pPr>
            <w:r w:rsidRPr="00025D63">
              <w:rPr>
                <w:rFonts w:ascii="Arial" w:hAnsi="Arial" w:cs="Arial"/>
              </w:rPr>
              <w:t>Vital Sign Parameter</w:t>
            </w:r>
          </w:p>
        </w:tc>
        <w:tc>
          <w:tcPr>
            <w:tcW w:w="1800" w:type="dxa"/>
            <w:tcBorders>
              <w:top w:val="single" w:sz="4" w:space="0" w:color="auto"/>
            </w:tcBorders>
          </w:tcPr>
          <w:p w14:paraId="7FF778E9" w14:textId="77777777" w:rsidR="00743CA0" w:rsidRPr="00025D63" w:rsidRDefault="00743CA0" w:rsidP="0009302B">
            <w:pPr>
              <w:pStyle w:val="C-TableHeader"/>
              <w:spacing w:before="0" w:after="0"/>
              <w:rPr>
                <w:rFonts w:ascii="Arial" w:hAnsi="Arial" w:cs="Arial"/>
              </w:rPr>
            </w:pPr>
            <w:r w:rsidRPr="00025D63">
              <w:rPr>
                <w:rFonts w:ascii="Arial" w:hAnsi="Arial" w:cs="Arial"/>
              </w:rPr>
              <w:t>Observed Value</w:t>
            </w:r>
          </w:p>
        </w:tc>
        <w:tc>
          <w:tcPr>
            <w:tcW w:w="1170" w:type="dxa"/>
            <w:tcBorders>
              <w:top w:val="single" w:sz="4" w:space="0" w:color="auto"/>
            </w:tcBorders>
          </w:tcPr>
          <w:p w14:paraId="53E68EA6" w14:textId="77777777" w:rsidR="00743CA0" w:rsidRPr="00025D63" w:rsidRDefault="00743CA0" w:rsidP="0009302B">
            <w:pPr>
              <w:pStyle w:val="C-TableHeader"/>
              <w:spacing w:before="0" w:after="0"/>
              <w:jc w:val="center"/>
              <w:rPr>
                <w:rFonts w:ascii="Arial" w:hAnsi="Arial" w:cs="Arial"/>
              </w:rPr>
            </w:pPr>
          </w:p>
        </w:tc>
        <w:tc>
          <w:tcPr>
            <w:tcW w:w="3573" w:type="dxa"/>
            <w:tcBorders>
              <w:top w:val="single" w:sz="4" w:space="0" w:color="auto"/>
            </w:tcBorders>
          </w:tcPr>
          <w:p w14:paraId="4EFB4C3F" w14:textId="77777777" w:rsidR="00743CA0" w:rsidRPr="00025D63" w:rsidRDefault="00743CA0" w:rsidP="0009302B">
            <w:pPr>
              <w:pStyle w:val="C-TableHeader"/>
              <w:spacing w:before="0" w:after="0"/>
              <w:rPr>
                <w:rFonts w:ascii="Arial" w:hAnsi="Arial" w:cs="Arial"/>
              </w:rPr>
            </w:pPr>
            <w:r w:rsidRPr="00025D63">
              <w:rPr>
                <w:rFonts w:ascii="Arial" w:hAnsi="Arial" w:cs="Arial"/>
              </w:rPr>
              <w:t>Change in Value from Screening</w:t>
            </w:r>
          </w:p>
        </w:tc>
      </w:tr>
      <w:tr w:rsidR="00743CA0" w:rsidRPr="00B613A9" w14:paraId="3435B01E" w14:textId="77777777">
        <w:trPr>
          <w:cantSplit w:val="0"/>
        </w:trPr>
        <w:tc>
          <w:tcPr>
            <w:tcW w:w="2340" w:type="dxa"/>
          </w:tcPr>
          <w:p w14:paraId="019F489D" w14:textId="77777777" w:rsidR="00743CA0" w:rsidRPr="00025D63" w:rsidRDefault="00743CA0" w:rsidP="0009302B">
            <w:pPr>
              <w:pStyle w:val="C-TableText"/>
              <w:spacing w:before="0" w:after="0"/>
              <w:rPr>
                <w:rFonts w:ascii="Arial" w:hAnsi="Arial" w:cs="Arial"/>
              </w:rPr>
            </w:pPr>
            <w:r w:rsidRPr="00025D63">
              <w:rPr>
                <w:rFonts w:ascii="Arial" w:hAnsi="Arial" w:cs="Arial"/>
              </w:rPr>
              <w:t xml:space="preserve">Systolic </w:t>
            </w:r>
            <w:r>
              <w:rPr>
                <w:rFonts w:ascii="Arial" w:hAnsi="Arial" w:cs="Arial"/>
              </w:rPr>
              <w:t>b</w:t>
            </w:r>
            <w:r w:rsidRPr="00025D63">
              <w:rPr>
                <w:rFonts w:ascii="Arial" w:hAnsi="Arial" w:cs="Arial"/>
              </w:rPr>
              <w:t xml:space="preserve">lood </w:t>
            </w:r>
            <w:r>
              <w:rPr>
                <w:rFonts w:ascii="Arial" w:hAnsi="Arial" w:cs="Arial"/>
              </w:rPr>
              <w:t>p</w:t>
            </w:r>
            <w:r w:rsidRPr="00025D63">
              <w:rPr>
                <w:rFonts w:ascii="Arial" w:hAnsi="Arial" w:cs="Arial"/>
              </w:rPr>
              <w:t>ressure</w:t>
            </w:r>
          </w:p>
        </w:tc>
        <w:tc>
          <w:tcPr>
            <w:tcW w:w="1800" w:type="dxa"/>
          </w:tcPr>
          <w:p w14:paraId="56B169C7" w14:textId="77777777" w:rsidR="00743CA0" w:rsidRPr="00025D63" w:rsidRDefault="00743CA0" w:rsidP="0009302B">
            <w:pPr>
              <w:pStyle w:val="C-TableText"/>
              <w:spacing w:before="0" w:after="0"/>
              <w:rPr>
                <w:rFonts w:ascii="Arial" w:hAnsi="Arial" w:cs="Arial"/>
              </w:rPr>
            </w:pPr>
            <w:r w:rsidRPr="00025D63">
              <w:rPr>
                <w:rFonts w:ascii="Arial" w:hAnsi="Arial" w:cs="Arial"/>
              </w:rPr>
              <w:t>≥180 mm Hg</w:t>
            </w:r>
            <w:r w:rsidRPr="00025D63">
              <w:rPr>
                <w:rFonts w:ascii="Arial" w:hAnsi="Arial" w:cs="Arial"/>
              </w:rPr>
              <w:br/>
              <w:t>≤90 mm Hg</w:t>
            </w:r>
          </w:p>
        </w:tc>
        <w:tc>
          <w:tcPr>
            <w:tcW w:w="1170" w:type="dxa"/>
          </w:tcPr>
          <w:p w14:paraId="6F33E0B7" w14:textId="77777777" w:rsidR="00743CA0" w:rsidRPr="00025D63" w:rsidRDefault="00743CA0" w:rsidP="0009302B">
            <w:pPr>
              <w:pStyle w:val="C-TableText"/>
              <w:spacing w:before="0" w:after="0"/>
              <w:ind w:right="17"/>
              <w:jc w:val="center"/>
              <w:rPr>
                <w:rFonts w:ascii="Arial" w:hAnsi="Arial" w:cs="Arial"/>
              </w:rPr>
            </w:pPr>
            <w:r w:rsidRPr="00025D63">
              <w:rPr>
                <w:rFonts w:ascii="Arial" w:hAnsi="Arial" w:cs="Arial"/>
              </w:rPr>
              <w:t>AND</w:t>
            </w:r>
          </w:p>
        </w:tc>
        <w:tc>
          <w:tcPr>
            <w:tcW w:w="3573" w:type="dxa"/>
          </w:tcPr>
          <w:p w14:paraId="3440C797" w14:textId="77777777" w:rsidR="00743CA0" w:rsidRPr="00025D63" w:rsidRDefault="00743CA0" w:rsidP="0009302B">
            <w:pPr>
              <w:pStyle w:val="C-TableText"/>
              <w:spacing w:before="0" w:after="0"/>
              <w:rPr>
                <w:rFonts w:ascii="Arial" w:hAnsi="Arial" w:cs="Arial"/>
              </w:rPr>
            </w:pPr>
            <w:r w:rsidRPr="00025D63">
              <w:rPr>
                <w:rFonts w:ascii="Arial" w:hAnsi="Arial" w:cs="Arial"/>
              </w:rPr>
              <w:t>Increase of ≥20 mm Hg</w:t>
            </w:r>
            <w:r w:rsidRPr="00025D63">
              <w:rPr>
                <w:rFonts w:ascii="Arial" w:hAnsi="Arial" w:cs="Arial"/>
              </w:rPr>
              <w:br/>
              <w:t>Decrease of ≥20 mm Hg</w:t>
            </w:r>
          </w:p>
        </w:tc>
      </w:tr>
      <w:tr w:rsidR="00743CA0" w:rsidRPr="00B613A9" w14:paraId="4E436DD0" w14:textId="77777777">
        <w:trPr>
          <w:cantSplit w:val="0"/>
        </w:trPr>
        <w:tc>
          <w:tcPr>
            <w:tcW w:w="2340" w:type="dxa"/>
          </w:tcPr>
          <w:p w14:paraId="0AB23496" w14:textId="77777777" w:rsidR="00743CA0" w:rsidRPr="00025D63" w:rsidRDefault="00743CA0" w:rsidP="0009302B">
            <w:pPr>
              <w:pStyle w:val="C-TableText"/>
              <w:spacing w:before="0" w:after="0"/>
              <w:rPr>
                <w:rFonts w:ascii="Arial" w:hAnsi="Arial" w:cs="Arial"/>
              </w:rPr>
            </w:pPr>
            <w:r w:rsidRPr="00025D63">
              <w:rPr>
                <w:rFonts w:ascii="Arial" w:hAnsi="Arial" w:cs="Arial"/>
              </w:rPr>
              <w:t xml:space="preserve">Diastolic </w:t>
            </w:r>
            <w:r>
              <w:rPr>
                <w:rFonts w:ascii="Arial" w:hAnsi="Arial" w:cs="Arial"/>
              </w:rPr>
              <w:t>b</w:t>
            </w:r>
            <w:r w:rsidRPr="00025D63">
              <w:rPr>
                <w:rFonts w:ascii="Arial" w:hAnsi="Arial" w:cs="Arial"/>
              </w:rPr>
              <w:t xml:space="preserve">lood </w:t>
            </w:r>
            <w:r>
              <w:rPr>
                <w:rFonts w:ascii="Arial" w:hAnsi="Arial" w:cs="Arial"/>
              </w:rPr>
              <w:t>p</w:t>
            </w:r>
            <w:r w:rsidRPr="00025D63">
              <w:rPr>
                <w:rFonts w:ascii="Arial" w:hAnsi="Arial" w:cs="Arial"/>
              </w:rPr>
              <w:t>ressure</w:t>
            </w:r>
          </w:p>
        </w:tc>
        <w:tc>
          <w:tcPr>
            <w:tcW w:w="1800" w:type="dxa"/>
          </w:tcPr>
          <w:p w14:paraId="71980F1E" w14:textId="77777777" w:rsidR="00743CA0" w:rsidRPr="00025D63" w:rsidRDefault="00743CA0" w:rsidP="0009302B">
            <w:pPr>
              <w:pStyle w:val="C-TableText"/>
              <w:spacing w:before="0" w:after="0"/>
              <w:rPr>
                <w:rFonts w:ascii="Arial" w:hAnsi="Arial" w:cs="Arial"/>
              </w:rPr>
            </w:pPr>
            <w:r w:rsidRPr="00025D63">
              <w:rPr>
                <w:rFonts w:ascii="Arial" w:hAnsi="Arial" w:cs="Arial"/>
              </w:rPr>
              <w:t>≥105 mm Hg</w:t>
            </w:r>
            <w:r w:rsidRPr="00025D63">
              <w:rPr>
                <w:rFonts w:ascii="Arial" w:hAnsi="Arial" w:cs="Arial"/>
              </w:rPr>
              <w:br/>
              <w:t>≤50 mm Hg</w:t>
            </w:r>
          </w:p>
        </w:tc>
        <w:tc>
          <w:tcPr>
            <w:tcW w:w="1170" w:type="dxa"/>
          </w:tcPr>
          <w:p w14:paraId="7188EDAD" w14:textId="77777777" w:rsidR="00743CA0" w:rsidRPr="00025D63" w:rsidRDefault="00743CA0" w:rsidP="0009302B">
            <w:pPr>
              <w:pStyle w:val="C-TableText"/>
              <w:spacing w:before="0" w:after="0"/>
              <w:jc w:val="center"/>
              <w:rPr>
                <w:rFonts w:ascii="Arial" w:hAnsi="Arial" w:cs="Arial"/>
              </w:rPr>
            </w:pPr>
            <w:r w:rsidRPr="00025D63">
              <w:rPr>
                <w:rFonts w:ascii="Arial" w:hAnsi="Arial" w:cs="Arial"/>
              </w:rPr>
              <w:t>AND</w:t>
            </w:r>
          </w:p>
        </w:tc>
        <w:tc>
          <w:tcPr>
            <w:tcW w:w="3573" w:type="dxa"/>
          </w:tcPr>
          <w:p w14:paraId="2D1308C0" w14:textId="77777777" w:rsidR="00743CA0" w:rsidRPr="00025D63" w:rsidRDefault="00743CA0" w:rsidP="0009302B">
            <w:pPr>
              <w:pStyle w:val="C-TableText"/>
              <w:spacing w:before="0" w:after="0"/>
              <w:rPr>
                <w:rFonts w:ascii="Arial" w:hAnsi="Arial" w:cs="Arial"/>
              </w:rPr>
            </w:pPr>
            <w:r w:rsidRPr="00025D63">
              <w:rPr>
                <w:rFonts w:ascii="Arial" w:hAnsi="Arial" w:cs="Arial"/>
              </w:rPr>
              <w:t>Increase of ≥15 mm Hg</w:t>
            </w:r>
            <w:r w:rsidRPr="00025D63">
              <w:rPr>
                <w:rFonts w:ascii="Arial" w:hAnsi="Arial" w:cs="Arial"/>
              </w:rPr>
              <w:br/>
              <w:t>Decrease of ≥15 mm Hg</w:t>
            </w:r>
          </w:p>
        </w:tc>
      </w:tr>
      <w:tr w:rsidR="00743CA0" w:rsidRPr="00B613A9" w14:paraId="1FAB77FC" w14:textId="77777777">
        <w:trPr>
          <w:cantSplit w:val="0"/>
        </w:trPr>
        <w:tc>
          <w:tcPr>
            <w:tcW w:w="2340" w:type="dxa"/>
          </w:tcPr>
          <w:p w14:paraId="0BD8AA05" w14:textId="77777777" w:rsidR="00743CA0" w:rsidRPr="00025D63" w:rsidRDefault="00743CA0" w:rsidP="0009302B">
            <w:pPr>
              <w:pStyle w:val="C-TableText"/>
              <w:spacing w:before="0" w:after="0"/>
              <w:rPr>
                <w:rFonts w:ascii="Arial" w:hAnsi="Arial" w:cs="Arial"/>
              </w:rPr>
            </w:pPr>
            <w:r w:rsidRPr="00025D63">
              <w:rPr>
                <w:rFonts w:ascii="Arial" w:hAnsi="Arial" w:cs="Arial"/>
              </w:rPr>
              <w:t>Pulse</w:t>
            </w:r>
          </w:p>
        </w:tc>
        <w:tc>
          <w:tcPr>
            <w:tcW w:w="1800" w:type="dxa"/>
          </w:tcPr>
          <w:p w14:paraId="3A264272" w14:textId="77777777" w:rsidR="00E64C2D" w:rsidRDefault="00743CA0" w:rsidP="0009302B">
            <w:pPr>
              <w:pStyle w:val="C-TableText"/>
              <w:spacing w:before="0" w:after="0"/>
              <w:rPr>
                <w:rFonts w:ascii="Arial" w:hAnsi="Arial" w:cs="Arial"/>
              </w:rPr>
            </w:pPr>
            <w:r w:rsidRPr="00025D63">
              <w:rPr>
                <w:rFonts w:ascii="Arial" w:hAnsi="Arial" w:cs="Arial"/>
              </w:rPr>
              <w:t>≥120 beats per min</w:t>
            </w:r>
          </w:p>
          <w:p w14:paraId="11FF330C" w14:textId="5BA7B971" w:rsidR="00743CA0" w:rsidRPr="00025D63" w:rsidRDefault="00743CA0" w:rsidP="0009302B">
            <w:pPr>
              <w:pStyle w:val="C-TableText"/>
              <w:spacing w:before="0" w:after="0"/>
              <w:rPr>
                <w:rFonts w:ascii="Arial" w:hAnsi="Arial" w:cs="Arial"/>
              </w:rPr>
            </w:pPr>
            <w:r w:rsidRPr="00025D63">
              <w:rPr>
                <w:rFonts w:ascii="Arial" w:hAnsi="Arial" w:cs="Arial"/>
              </w:rPr>
              <w:t>≤50 beats per min</w:t>
            </w:r>
          </w:p>
        </w:tc>
        <w:tc>
          <w:tcPr>
            <w:tcW w:w="1170" w:type="dxa"/>
          </w:tcPr>
          <w:p w14:paraId="065613CD" w14:textId="77777777" w:rsidR="00743CA0" w:rsidRPr="00025D63" w:rsidRDefault="00743CA0" w:rsidP="0009302B">
            <w:pPr>
              <w:pStyle w:val="C-TableText"/>
              <w:spacing w:before="0" w:after="0"/>
              <w:jc w:val="center"/>
              <w:rPr>
                <w:rFonts w:ascii="Arial" w:hAnsi="Arial" w:cs="Arial"/>
              </w:rPr>
            </w:pPr>
            <w:r w:rsidRPr="00025D63">
              <w:rPr>
                <w:rFonts w:ascii="Arial" w:hAnsi="Arial" w:cs="Arial"/>
              </w:rPr>
              <w:t>AND</w:t>
            </w:r>
          </w:p>
        </w:tc>
        <w:tc>
          <w:tcPr>
            <w:tcW w:w="3573" w:type="dxa"/>
          </w:tcPr>
          <w:p w14:paraId="44A53A78" w14:textId="422BF6EB" w:rsidR="00DF2740" w:rsidRDefault="00743CA0" w:rsidP="0009302B">
            <w:pPr>
              <w:pStyle w:val="C-TableText"/>
              <w:spacing w:before="0" w:after="0"/>
              <w:rPr>
                <w:rFonts w:ascii="Arial" w:hAnsi="Arial" w:cs="Arial"/>
              </w:rPr>
            </w:pPr>
            <w:r w:rsidRPr="00025D63">
              <w:rPr>
                <w:rFonts w:ascii="Arial" w:hAnsi="Arial" w:cs="Arial"/>
              </w:rPr>
              <w:t>Increase of ≥15 beats per min</w:t>
            </w:r>
            <w:r w:rsidRPr="00025D63">
              <w:rPr>
                <w:rFonts w:ascii="Arial" w:hAnsi="Arial" w:cs="Arial"/>
              </w:rPr>
              <w:br/>
            </w:r>
            <w:r w:rsidR="00DF2740">
              <w:rPr>
                <w:rFonts w:ascii="Arial" w:hAnsi="Arial" w:cs="Arial"/>
              </w:rPr>
              <w:t xml:space="preserve"> </w:t>
            </w:r>
          </w:p>
          <w:p w14:paraId="2F425B0B" w14:textId="7AD0D16D" w:rsidR="00743CA0" w:rsidRPr="00025D63" w:rsidRDefault="00DF2740" w:rsidP="0009302B">
            <w:pPr>
              <w:pStyle w:val="C-TableText"/>
              <w:spacing w:before="0" w:after="0"/>
              <w:rPr>
                <w:rFonts w:ascii="Arial" w:hAnsi="Arial" w:cs="Arial"/>
              </w:rPr>
            </w:pPr>
            <w:r>
              <w:rPr>
                <w:rFonts w:ascii="Arial" w:hAnsi="Arial" w:cs="Arial"/>
              </w:rPr>
              <w:t xml:space="preserve">Decrease of </w:t>
            </w:r>
            <w:r w:rsidRPr="00025D63">
              <w:rPr>
                <w:rFonts w:ascii="Arial" w:hAnsi="Arial" w:cs="Arial"/>
              </w:rPr>
              <w:t>≥15 beats per min</w:t>
            </w:r>
          </w:p>
        </w:tc>
      </w:tr>
    </w:tbl>
    <w:p w14:paraId="1026C0DD" w14:textId="77777777" w:rsidR="00743CA0" w:rsidRPr="00025D63" w:rsidRDefault="00743CA0" w:rsidP="00743CA0">
      <w:pPr>
        <w:spacing w:after="0" w:line="240" w:lineRule="auto"/>
        <w:rPr>
          <w:rFonts w:ascii="Times New Roman" w:hAnsi="Times New Roman" w:cs="Times New Roman"/>
          <w:b/>
          <w:sz w:val="20"/>
          <w:szCs w:val="20"/>
        </w:rPr>
      </w:pPr>
    </w:p>
    <w:p w14:paraId="39C1883F" w14:textId="77777777" w:rsidR="00743CA0" w:rsidRPr="00025D63" w:rsidRDefault="00743CA0" w:rsidP="00743CA0">
      <w:pPr>
        <w:spacing w:after="0" w:line="240" w:lineRule="auto"/>
        <w:rPr>
          <w:rFonts w:ascii="Times New Roman" w:hAnsi="Times New Roman" w:cs="Times New Roman"/>
          <w:b/>
          <w:sz w:val="20"/>
          <w:szCs w:val="20"/>
        </w:rPr>
      </w:pPr>
      <w:r w:rsidRPr="00025D63">
        <w:rPr>
          <w:rFonts w:ascii="Times New Roman" w:hAnsi="Times New Roman" w:cs="Times New Roman"/>
          <w:b/>
          <w:sz w:val="20"/>
          <w:szCs w:val="20"/>
        </w:rPr>
        <w:t>E. Tertiary Efficacy Outcomes Reported in Supplemental Results</w:t>
      </w:r>
    </w:p>
    <w:p w14:paraId="5094A7EF" w14:textId="77777777" w:rsidR="00743CA0" w:rsidRPr="00025D63" w:rsidRDefault="00743CA0" w:rsidP="00743CA0">
      <w:pPr>
        <w:spacing w:after="0" w:line="240" w:lineRule="auto"/>
        <w:rPr>
          <w:rFonts w:ascii="Times New Roman" w:hAnsi="Times New Roman" w:cs="Times New Roman"/>
          <w:sz w:val="20"/>
          <w:szCs w:val="20"/>
        </w:rPr>
      </w:pPr>
    </w:p>
    <w:p w14:paraId="71FB6DDD" w14:textId="77777777" w:rsidR="00743CA0" w:rsidRDefault="00743CA0" w:rsidP="00B850E2">
      <w:pPr>
        <w:pStyle w:val="C-Heading4"/>
        <w:numPr>
          <w:ilvl w:val="0"/>
          <w:numId w:val="10"/>
        </w:numPr>
        <w:spacing w:before="0"/>
        <w:rPr>
          <w:sz w:val="20"/>
        </w:rPr>
      </w:pPr>
      <w:bookmarkStart w:id="7" w:name="_Toc483669563"/>
      <w:r w:rsidRPr="00025D63">
        <w:rPr>
          <w:sz w:val="20"/>
        </w:rPr>
        <w:t>Objective Opiate Withdrawal Scale-</w:t>
      </w:r>
      <w:proofErr w:type="spellStart"/>
      <w:r w:rsidRPr="00025D63">
        <w:rPr>
          <w:sz w:val="20"/>
        </w:rPr>
        <w:t>Handelsman</w:t>
      </w:r>
      <w:proofErr w:type="spellEnd"/>
      <w:r w:rsidRPr="00025D63">
        <w:rPr>
          <w:sz w:val="20"/>
        </w:rPr>
        <w:t xml:space="preserve"> (</w:t>
      </w:r>
      <w:proofErr w:type="spellStart"/>
      <w:r w:rsidRPr="00025D63">
        <w:rPr>
          <w:sz w:val="20"/>
        </w:rPr>
        <w:t>OOWS-Handelsman</w:t>
      </w:r>
      <w:proofErr w:type="spellEnd"/>
      <w:r w:rsidRPr="00025D63">
        <w:rPr>
          <w:sz w:val="20"/>
        </w:rPr>
        <w:t>)</w:t>
      </w:r>
      <w:bookmarkEnd w:id="7"/>
    </w:p>
    <w:p w14:paraId="55B2A2A8" w14:textId="2D4248B9" w:rsidR="00743CA0" w:rsidRPr="00901213" w:rsidRDefault="00743CA0" w:rsidP="00B850E2">
      <w:pPr>
        <w:pStyle w:val="C-BodyText"/>
      </w:pPr>
    </w:p>
    <w:p w14:paraId="7FB22AE2" w14:textId="097C8F0F" w:rsidR="001267F5" w:rsidRDefault="001267F5" w:rsidP="00B850E2">
      <w:pPr>
        <w:pStyle w:val="C-BodyText"/>
        <w:spacing w:before="0" w:after="0" w:line="240" w:lineRule="auto"/>
        <w:ind w:left="720"/>
        <w:rPr>
          <w:sz w:val="20"/>
        </w:rPr>
      </w:pPr>
    </w:p>
    <w:p w14:paraId="4116EC1C" w14:textId="7098BB26" w:rsidR="00743CA0" w:rsidRPr="00025D63" w:rsidRDefault="00743CA0" w:rsidP="00743CA0">
      <w:pPr>
        <w:pStyle w:val="C-BodyText"/>
        <w:spacing w:before="0" w:after="0" w:line="240" w:lineRule="auto"/>
        <w:ind w:left="720"/>
        <w:rPr>
          <w:sz w:val="20"/>
        </w:rPr>
      </w:pPr>
      <w:r w:rsidRPr="00025D63">
        <w:rPr>
          <w:sz w:val="20"/>
        </w:rPr>
        <w:t xml:space="preserve">The </w:t>
      </w:r>
      <w:proofErr w:type="spellStart"/>
      <w:r w:rsidRPr="00025D63">
        <w:rPr>
          <w:sz w:val="20"/>
        </w:rPr>
        <w:t>OOWS-Handelsman</w:t>
      </w:r>
      <w:proofErr w:type="spellEnd"/>
      <w:r w:rsidRPr="00025D63">
        <w:rPr>
          <w:sz w:val="20"/>
        </w:rPr>
        <w:t xml:space="preserve"> was performed by a trained observer during screening, twice on </w:t>
      </w:r>
      <w:r w:rsidR="003967BD">
        <w:rPr>
          <w:sz w:val="20"/>
        </w:rPr>
        <w:t>day</w:t>
      </w:r>
      <w:r w:rsidRPr="00025D63">
        <w:rPr>
          <w:sz w:val="20"/>
        </w:rPr>
        <w:t> 1 (during baseline to confirm final eligibility for randomization [a score of ≥2 was required per inclusion criterion number 4] and 3.5 hours after the first dose of study medication, after completion of the SOWS-</w:t>
      </w:r>
      <w:proofErr w:type="spellStart"/>
      <w:r w:rsidRPr="00025D63">
        <w:rPr>
          <w:sz w:val="20"/>
        </w:rPr>
        <w:t>Gossop</w:t>
      </w:r>
      <w:proofErr w:type="spellEnd"/>
      <w:r w:rsidRPr="00025D63">
        <w:rPr>
          <w:sz w:val="20"/>
        </w:rPr>
        <w:t xml:space="preserve">), once daily at 3.5 hours after the first dose of study medication on </w:t>
      </w:r>
      <w:r w:rsidR="003967BD">
        <w:rPr>
          <w:sz w:val="20"/>
        </w:rPr>
        <w:t>day</w:t>
      </w:r>
      <w:r w:rsidRPr="00025D63">
        <w:rPr>
          <w:sz w:val="20"/>
        </w:rPr>
        <w:t>s 2 to 7 (after completion of the SOWS-</w:t>
      </w:r>
      <w:proofErr w:type="spellStart"/>
      <w:r w:rsidRPr="00025D63">
        <w:rPr>
          <w:sz w:val="20"/>
        </w:rPr>
        <w:t>Gossop</w:t>
      </w:r>
      <w:proofErr w:type="spellEnd"/>
      <w:r w:rsidRPr="00025D63">
        <w:rPr>
          <w:sz w:val="20"/>
        </w:rPr>
        <w:t xml:space="preserve">). </w:t>
      </w:r>
    </w:p>
    <w:p w14:paraId="276CC949" w14:textId="77777777" w:rsidR="00743CA0" w:rsidRDefault="00743CA0" w:rsidP="00743CA0">
      <w:pPr>
        <w:pStyle w:val="C-BodyText"/>
        <w:spacing w:before="0" w:after="0" w:line="240" w:lineRule="auto"/>
        <w:ind w:left="720"/>
        <w:rPr>
          <w:sz w:val="20"/>
        </w:rPr>
      </w:pPr>
    </w:p>
    <w:p w14:paraId="1372CA91" w14:textId="77777777" w:rsidR="00743CA0" w:rsidRDefault="00743CA0" w:rsidP="00743CA0">
      <w:pPr>
        <w:pStyle w:val="C-BodyText"/>
        <w:spacing w:before="0" w:after="0" w:line="240" w:lineRule="auto"/>
        <w:ind w:left="720"/>
        <w:rPr>
          <w:sz w:val="20"/>
        </w:rPr>
      </w:pPr>
      <w:r w:rsidRPr="00025D63">
        <w:rPr>
          <w:sz w:val="20"/>
        </w:rPr>
        <w:t xml:space="preserve">The subject was observed for 5 minutes, and the presence or absence of 13 physical signs of opioid withdrawal were recorded. The presence of a sign was assigned 1 point, yielding a possible total score ranging from 0 to 13. Lower observed values in </w:t>
      </w:r>
      <w:proofErr w:type="spellStart"/>
      <w:r w:rsidRPr="00025D63">
        <w:rPr>
          <w:sz w:val="20"/>
        </w:rPr>
        <w:t>OOWS</w:t>
      </w:r>
      <w:r w:rsidRPr="00025D63">
        <w:rPr>
          <w:sz w:val="20"/>
        </w:rPr>
        <w:noBreakHyphen/>
        <w:t>Handelsman</w:t>
      </w:r>
      <w:proofErr w:type="spellEnd"/>
      <w:r w:rsidRPr="00025D63">
        <w:rPr>
          <w:sz w:val="20"/>
        </w:rPr>
        <w:t xml:space="preserve"> scores indicated a more favorable clinical outcome. A copy of the </w:t>
      </w:r>
      <w:proofErr w:type="spellStart"/>
      <w:r w:rsidRPr="00025D63">
        <w:rPr>
          <w:sz w:val="20"/>
        </w:rPr>
        <w:t>OOWS</w:t>
      </w:r>
      <w:r w:rsidRPr="00025D63">
        <w:rPr>
          <w:sz w:val="20"/>
        </w:rPr>
        <w:noBreakHyphen/>
        <w:t>Handelsman</w:t>
      </w:r>
      <w:proofErr w:type="spellEnd"/>
      <w:r w:rsidRPr="00025D63">
        <w:rPr>
          <w:sz w:val="20"/>
        </w:rPr>
        <w:t xml:space="preserve"> assessment form is in Appendix 2 of the clinical study protocol.</w:t>
      </w:r>
    </w:p>
    <w:p w14:paraId="35D1D65F" w14:textId="77777777" w:rsidR="00743CA0" w:rsidRPr="00025D63" w:rsidRDefault="00743CA0" w:rsidP="00743CA0">
      <w:pPr>
        <w:pStyle w:val="C-BodyText"/>
        <w:spacing w:before="0" w:after="0" w:line="240" w:lineRule="auto"/>
        <w:ind w:left="720"/>
        <w:rPr>
          <w:sz w:val="20"/>
        </w:rPr>
      </w:pPr>
    </w:p>
    <w:p w14:paraId="4E19CF1B" w14:textId="77777777" w:rsidR="00743CA0" w:rsidRDefault="00743CA0" w:rsidP="00743CA0">
      <w:pPr>
        <w:pStyle w:val="C-Heading4"/>
        <w:numPr>
          <w:ilvl w:val="0"/>
          <w:numId w:val="10"/>
        </w:numPr>
        <w:spacing w:before="0"/>
        <w:rPr>
          <w:sz w:val="20"/>
        </w:rPr>
      </w:pPr>
      <w:bookmarkStart w:id="8" w:name="_Toc483669564"/>
      <w:r w:rsidRPr="00025D63">
        <w:rPr>
          <w:sz w:val="20"/>
        </w:rPr>
        <w:t>Modified Clinical Global Impressions Scale (MCGI)</w:t>
      </w:r>
      <w:bookmarkEnd w:id="8"/>
    </w:p>
    <w:p w14:paraId="4F2B1B6B" w14:textId="77777777" w:rsidR="00743CA0" w:rsidRPr="00901213" w:rsidRDefault="00743CA0" w:rsidP="00743CA0">
      <w:pPr>
        <w:pStyle w:val="C-BodyText"/>
        <w:spacing w:before="0" w:after="0" w:line="240" w:lineRule="auto"/>
      </w:pPr>
    </w:p>
    <w:p w14:paraId="43C7C531" w14:textId="6DA03B60" w:rsidR="00743CA0" w:rsidRPr="00025D63" w:rsidRDefault="00743CA0" w:rsidP="00743CA0">
      <w:pPr>
        <w:pStyle w:val="C-BodyText"/>
        <w:spacing w:before="0" w:after="0" w:line="240" w:lineRule="auto"/>
        <w:ind w:left="720"/>
        <w:rPr>
          <w:sz w:val="20"/>
        </w:rPr>
      </w:pPr>
      <w:r w:rsidRPr="00025D63">
        <w:rPr>
          <w:sz w:val="20"/>
        </w:rPr>
        <w:t>The Clinical Global Impressions rating scale (1985) was developed by the National Institute of Mental Health, and originally contained 3 questions. For this study, Questions 1 and 3 were modified from the original scale, and Question 2 was not included.</w:t>
      </w:r>
    </w:p>
    <w:p w14:paraId="61E4C32A" w14:textId="77777777" w:rsidR="00743CA0" w:rsidRDefault="00743CA0" w:rsidP="00743CA0">
      <w:pPr>
        <w:pStyle w:val="C-BodyText"/>
        <w:spacing w:before="0" w:after="0" w:line="240" w:lineRule="auto"/>
        <w:ind w:left="720"/>
        <w:rPr>
          <w:sz w:val="20"/>
        </w:rPr>
      </w:pPr>
    </w:p>
    <w:p w14:paraId="201FFE59" w14:textId="77777777" w:rsidR="00743CA0" w:rsidRDefault="00743CA0" w:rsidP="00743CA0">
      <w:pPr>
        <w:pStyle w:val="C-BodyText"/>
        <w:spacing w:before="0" w:after="0" w:line="240" w:lineRule="auto"/>
        <w:ind w:left="720"/>
        <w:rPr>
          <w:sz w:val="20"/>
        </w:rPr>
      </w:pPr>
      <w:r w:rsidRPr="00025D63">
        <w:rPr>
          <w:sz w:val="20"/>
        </w:rPr>
        <w:t xml:space="preserve">In the original scale, Question 1 (severity of illness) evaluated the subject using a severity scale from 0 (not assessed), 1 (normal, not at all ill) to 7 (among the most extremely ill subjects). The language of this question was modified in this study for the subject assessment to make the scale more appropriate to opioid withdrawal. The original Question 2 referred to “global improvement” and was omitted from this study, since all subjects were treated (ie, underwent opioid withdrawal), and there was no untreated screen </w:t>
      </w:r>
      <w:r w:rsidRPr="00025D63">
        <w:rPr>
          <w:sz w:val="20"/>
        </w:rPr>
        <w:lastRenderedPageBreak/>
        <w:t>withdrawal to serve as a baseline for global improvement. Question 3 (efficacy index) recorded responses on a factorial grid – side effects on one side and therapeutic effects on the other side. Since there were no untreated screen withdrawal data, the therapeutic effect could not be assessed; therefore, only the side effect responses were examined.</w:t>
      </w:r>
    </w:p>
    <w:p w14:paraId="066D58E1" w14:textId="77777777" w:rsidR="00743CA0" w:rsidRPr="00025D63" w:rsidRDefault="00743CA0" w:rsidP="00743CA0">
      <w:pPr>
        <w:pStyle w:val="C-BodyText"/>
        <w:spacing w:before="0" w:after="0" w:line="240" w:lineRule="auto"/>
        <w:ind w:left="720"/>
        <w:rPr>
          <w:sz w:val="20"/>
        </w:rPr>
      </w:pPr>
    </w:p>
    <w:p w14:paraId="2BF75A39" w14:textId="3FBEA8DA" w:rsidR="00743CA0" w:rsidRDefault="00743CA0" w:rsidP="00743CA0">
      <w:pPr>
        <w:pStyle w:val="C-BodyText"/>
        <w:spacing w:before="0" w:after="0" w:line="240" w:lineRule="auto"/>
        <w:ind w:left="720"/>
        <w:rPr>
          <w:sz w:val="20"/>
        </w:rPr>
      </w:pPr>
      <w:r w:rsidRPr="00025D63">
        <w:rPr>
          <w:sz w:val="20"/>
        </w:rPr>
        <w:t>The MCGI scale was used to estimate the overall clinical benefit of lofexidine treatment. The MCGI was completed once daily at 3.5 h</w:t>
      </w:r>
      <w:r>
        <w:rPr>
          <w:sz w:val="20"/>
        </w:rPr>
        <w:t>ours</w:t>
      </w:r>
      <w:r w:rsidRPr="00025D63">
        <w:rPr>
          <w:sz w:val="20"/>
        </w:rPr>
        <w:t xml:space="preserve"> after the first dose of study medication on </w:t>
      </w:r>
      <w:r w:rsidR="003967BD">
        <w:rPr>
          <w:sz w:val="20"/>
        </w:rPr>
        <w:t>day</w:t>
      </w:r>
      <w:r w:rsidRPr="00025D63">
        <w:rPr>
          <w:sz w:val="20"/>
        </w:rPr>
        <w:t>s 1 to 7 (after completion of the SOWS-</w:t>
      </w:r>
      <w:proofErr w:type="spellStart"/>
      <w:r w:rsidRPr="00025D63">
        <w:rPr>
          <w:sz w:val="20"/>
        </w:rPr>
        <w:t>Gossop</w:t>
      </w:r>
      <w:proofErr w:type="spellEnd"/>
      <w:r w:rsidRPr="00025D63">
        <w:rPr>
          <w:sz w:val="20"/>
        </w:rPr>
        <w:t>). Lower observed values in MCGI scores indicated a more favorable clinical outcome. A copy of the rater and subject MCGI assessment forms are in Appendix 3 of the clinical study protocol.</w:t>
      </w:r>
    </w:p>
    <w:p w14:paraId="4B4D162C" w14:textId="77777777" w:rsidR="00743CA0" w:rsidRPr="00025D63" w:rsidRDefault="00743CA0" w:rsidP="00743CA0">
      <w:pPr>
        <w:pStyle w:val="C-BodyText"/>
        <w:spacing w:before="0" w:after="0" w:line="240" w:lineRule="auto"/>
        <w:ind w:left="720"/>
        <w:rPr>
          <w:sz w:val="20"/>
        </w:rPr>
      </w:pPr>
    </w:p>
    <w:p w14:paraId="67586B2D" w14:textId="6C011A71" w:rsidR="00743CA0" w:rsidRDefault="00743CA0" w:rsidP="00743CA0">
      <w:pPr>
        <w:pStyle w:val="C-Heading4"/>
        <w:numPr>
          <w:ilvl w:val="0"/>
          <w:numId w:val="10"/>
        </w:numPr>
        <w:spacing w:before="0"/>
        <w:rPr>
          <w:sz w:val="20"/>
        </w:rPr>
      </w:pPr>
      <w:bookmarkStart w:id="9" w:name="_Toc483669565"/>
      <w:r w:rsidRPr="00025D63">
        <w:rPr>
          <w:sz w:val="20"/>
        </w:rPr>
        <w:t>Visual Analog</w:t>
      </w:r>
      <w:r w:rsidR="00366447">
        <w:rPr>
          <w:sz w:val="20"/>
        </w:rPr>
        <w:t>ue</w:t>
      </w:r>
      <w:r w:rsidRPr="00025D63">
        <w:rPr>
          <w:sz w:val="20"/>
        </w:rPr>
        <w:t xml:space="preserve"> Scale for Efficacy (VAS-E)</w:t>
      </w:r>
      <w:bookmarkEnd w:id="9"/>
    </w:p>
    <w:p w14:paraId="46148B58" w14:textId="77777777" w:rsidR="00743CA0" w:rsidRPr="00137835" w:rsidRDefault="00743CA0" w:rsidP="00743CA0">
      <w:pPr>
        <w:pStyle w:val="C-BodyText"/>
        <w:spacing w:before="0" w:after="0" w:line="240" w:lineRule="auto"/>
      </w:pPr>
    </w:p>
    <w:p w14:paraId="1D327B53" w14:textId="37650467" w:rsidR="00743CA0" w:rsidRPr="00025D63" w:rsidRDefault="00743CA0" w:rsidP="00743CA0">
      <w:pPr>
        <w:pStyle w:val="C-BodyText"/>
        <w:spacing w:before="0" w:after="0" w:line="240" w:lineRule="auto"/>
        <w:ind w:left="720"/>
        <w:rPr>
          <w:sz w:val="20"/>
        </w:rPr>
      </w:pPr>
      <w:r w:rsidRPr="00025D63">
        <w:rPr>
          <w:sz w:val="20"/>
        </w:rPr>
        <w:t xml:space="preserve">The effectiveness of lofexidine in alleviation of withdrawal sickness was assessed by subjects using the VAS-E, which was completed once daily on </w:t>
      </w:r>
      <w:r w:rsidR="003967BD">
        <w:rPr>
          <w:sz w:val="20"/>
        </w:rPr>
        <w:t>day</w:t>
      </w:r>
      <w:r w:rsidRPr="00025D63">
        <w:rPr>
          <w:sz w:val="20"/>
        </w:rPr>
        <w:t>s 1 to 7, 3.5 h</w:t>
      </w:r>
      <w:r>
        <w:rPr>
          <w:sz w:val="20"/>
        </w:rPr>
        <w:t>ours</w:t>
      </w:r>
      <w:r w:rsidRPr="00BA6344">
        <w:rPr>
          <w:sz w:val="20"/>
        </w:rPr>
        <w:t xml:space="preserve"> after the first dose of study medication (after completion of the SOWS-</w:t>
      </w:r>
      <w:proofErr w:type="spellStart"/>
      <w:r w:rsidRPr="00025D63">
        <w:rPr>
          <w:sz w:val="20"/>
        </w:rPr>
        <w:t>Gossop</w:t>
      </w:r>
      <w:proofErr w:type="spellEnd"/>
      <w:r w:rsidRPr="00025D63">
        <w:rPr>
          <w:sz w:val="20"/>
        </w:rPr>
        <w:t xml:space="preserve">). Subjects made a mark on a 100-mm VAS scale to reflect the effectiveness of lofexidine in relieving withdrawal sickness from Not Effective at </w:t>
      </w:r>
      <w:r w:rsidR="004D51E1">
        <w:rPr>
          <w:sz w:val="20"/>
        </w:rPr>
        <w:t>A</w:t>
      </w:r>
      <w:r w:rsidRPr="00025D63">
        <w:rPr>
          <w:sz w:val="20"/>
        </w:rPr>
        <w:t>ll (0 mm) to Completely Effective (100 mm). Greater observed values in VAS</w:t>
      </w:r>
      <w:r w:rsidRPr="00025D63">
        <w:rPr>
          <w:sz w:val="20"/>
        </w:rPr>
        <w:noBreakHyphen/>
        <w:t>E scores indicated a more favorable clinical outcome. A copy of the VAS-E assessment form is in Appendix 4 of the clinical study protocol.</w:t>
      </w:r>
    </w:p>
    <w:p w14:paraId="34B1D627" w14:textId="77777777" w:rsidR="00743CA0" w:rsidRPr="00025D63" w:rsidRDefault="00743CA0" w:rsidP="00743CA0">
      <w:pPr>
        <w:pStyle w:val="C-BodyText"/>
        <w:spacing w:before="0" w:after="0" w:line="240" w:lineRule="auto"/>
        <w:rPr>
          <w:sz w:val="20"/>
        </w:rPr>
      </w:pPr>
    </w:p>
    <w:p w14:paraId="25715615" w14:textId="77777777" w:rsidR="00743CA0" w:rsidRPr="00025D63" w:rsidRDefault="00743CA0" w:rsidP="00743CA0">
      <w:pPr>
        <w:spacing w:after="0" w:line="240" w:lineRule="auto"/>
        <w:rPr>
          <w:rFonts w:ascii="Times New Roman" w:hAnsi="Times New Roman" w:cs="Times New Roman"/>
          <w:b/>
          <w:sz w:val="20"/>
          <w:szCs w:val="20"/>
        </w:rPr>
      </w:pPr>
    </w:p>
    <w:p w14:paraId="08003B26" w14:textId="77777777" w:rsidR="00743CA0" w:rsidRPr="00025D63" w:rsidRDefault="00743CA0" w:rsidP="00743CA0">
      <w:pPr>
        <w:spacing w:after="0" w:line="240" w:lineRule="auto"/>
        <w:rPr>
          <w:rFonts w:ascii="Times New Roman" w:hAnsi="Times New Roman" w:cs="Times New Roman"/>
          <w:b/>
          <w:sz w:val="20"/>
          <w:szCs w:val="20"/>
        </w:rPr>
      </w:pPr>
      <w:r w:rsidRPr="00025D63">
        <w:rPr>
          <w:rFonts w:ascii="Times New Roman" w:hAnsi="Times New Roman" w:cs="Times New Roman"/>
          <w:b/>
          <w:sz w:val="20"/>
          <w:szCs w:val="20"/>
        </w:rPr>
        <w:t>F. Other Safety Procedures</w:t>
      </w:r>
    </w:p>
    <w:p w14:paraId="0BE9DA47" w14:textId="77777777" w:rsidR="00743CA0" w:rsidRPr="00025D63" w:rsidRDefault="00743CA0" w:rsidP="00743CA0">
      <w:pPr>
        <w:spacing w:after="0" w:line="240" w:lineRule="auto"/>
        <w:rPr>
          <w:rFonts w:ascii="Times New Roman" w:hAnsi="Times New Roman" w:cs="Times New Roman"/>
          <w:b/>
          <w:sz w:val="20"/>
          <w:szCs w:val="20"/>
        </w:rPr>
      </w:pPr>
    </w:p>
    <w:p w14:paraId="2567957C" w14:textId="77777777" w:rsidR="00743CA0" w:rsidRDefault="00743CA0" w:rsidP="00743CA0">
      <w:pPr>
        <w:pStyle w:val="C-Heading5"/>
        <w:numPr>
          <w:ilvl w:val="0"/>
          <w:numId w:val="11"/>
        </w:numPr>
        <w:spacing w:before="0"/>
        <w:rPr>
          <w:sz w:val="20"/>
        </w:rPr>
      </w:pPr>
      <w:bookmarkStart w:id="10" w:name="_Toc483669580"/>
      <w:r w:rsidRPr="00025D63">
        <w:rPr>
          <w:sz w:val="20"/>
        </w:rPr>
        <w:t>Standard Laboratory Tests</w:t>
      </w:r>
      <w:bookmarkEnd w:id="10"/>
    </w:p>
    <w:p w14:paraId="11DE78A9" w14:textId="77777777" w:rsidR="00743CA0" w:rsidRPr="00137835" w:rsidRDefault="00743CA0" w:rsidP="00743CA0">
      <w:pPr>
        <w:pStyle w:val="C-BodyText"/>
        <w:spacing w:before="0" w:after="0" w:line="240" w:lineRule="auto"/>
      </w:pPr>
    </w:p>
    <w:p w14:paraId="1EC7B13B" w14:textId="77777777" w:rsidR="00743CA0" w:rsidRPr="00025D63" w:rsidRDefault="00743CA0" w:rsidP="00743CA0">
      <w:pPr>
        <w:pStyle w:val="ListParagraph"/>
        <w:spacing w:after="0" w:line="240" w:lineRule="auto"/>
        <w:rPr>
          <w:rFonts w:ascii="Times New Roman" w:hAnsi="Times New Roman" w:cs="Times New Roman"/>
          <w:sz w:val="20"/>
          <w:szCs w:val="20"/>
        </w:rPr>
      </w:pPr>
      <w:r w:rsidRPr="00025D63">
        <w:rPr>
          <w:rFonts w:ascii="Times New Roman" w:hAnsi="Times New Roman" w:cs="Times New Roman"/>
          <w:sz w:val="20"/>
          <w:szCs w:val="20"/>
        </w:rPr>
        <w:t>Standard clinical laboratory safety evaluations were performed for all subjects at screening, as needed at the physician’s discretion throughout the study, at the end of double</w:t>
      </w:r>
      <w:r w:rsidRPr="00025D63">
        <w:rPr>
          <w:rFonts w:ascii="Times New Roman" w:hAnsi="Times New Roman" w:cs="Times New Roman"/>
          <w:sz w:val="20"/>
          <w:szCs w:val="20"/>
        </w:rPr>
        <w:noBreakHyphen/>
        <w:t xml:space="preserve">blind dosing, and at discontinuation from the study. For this multicenter study, a central laboratory (PRL Central Laboratory Services) was used. </w:t>
      </w:r>
    </w:p>
    <w:p w14:paraId="6DE6E2FF" w14:textId="77777777" w:rsidR="00743CA0" w:rsidRPr="00025D63" w:rsidRDefault="00743CA0" w:rsidP="00743CA0">
      <w:pPr>
        <w:spacing w:after="0" w:line="240" w:lineRule="auto"/>
        <w:rPr>
          <w:rFonts w:ascii="Times New Roman" w:hAnsi="Times New Roman" w:cs="Times New Roman"/>
          <w:sz w:val="20"/>
          <w:szCs w:val="20"/>
        </w:rPr>
      </w:pPr>
    </w:p>
    <w:p w14:paraId="4D9F442D" w14:textId="77777777" w:rsidR="00743CA0" w:rsidRDefault="00743CA0" w:rsidP="00743CA0">
      <w:pPr>
        <w:pStyle w:val="C-Heading5"/>
        <w:numPr>
          <w:ilvl w:val="0"/>
          <w:numId w:val="11"/>
        </w:numPr>
        <w:spacing w:before="0"/>
        <w:rPr>
          <w:sz w:val="20"/>
        </w:rPr>
      </w:pPr>
      <w:bookmarkStart w:id="11" w:name="_Toc483669581"/>
      <w:r w:rsidRPr="00025D63">
        <w:rPr>
          <w:sz w:val="20"/>
        </w:rPr>
        <w:t>Infectious Disease Panel and Syphilis Tests</w:t>
      </w:r>
      <w:bookmarkEnd w:id="11"/>
    </w:p>
    <w:p w14:paraId="72074FC8" w14:textId="77777777" w:rsidR="00743CA0" w:rsidRPr="00137835" w:rsidRDefault="00743CA0" w:rsidP="00743CA0">
      <w:pPr>
        <w:pStyle w:val="C-BodyText"/>
        <w:spacing w:before="0" w:after="0" w:line="240" w:lineRule="auto"/>
      </w:pPr>
    </w:p>
    <w:p w14:paraId="1D8C98E7" w14:textId="77777777" w:rsidR="00743CA0" w:rsidRDefault="00743CA0" w:rsidP="00743CA0">
      <w:pPr>
        <w:pStyle w:val="C-BodyText"/>
        <w:spacing w:before="0" w:after="0" w:line="240" w:lineRule="auto"/>
        <w:ind w:left="720"/>
        <w:rPr>
          <w:sz w:val="20"/>
        </w:rPr>
      </w:pPr>
      <w:r w:rsidRPr="00025D63">
        <w:rPr>
          <w:sz w:val="20"/>
        </w:rPr>
        <w:t>The infectious disease panel and syphilis tests were assayed at screening only. Qualitative analysis reporting positive/negative results was performed for the following analytes: Hepatitis B surface antigen (HBsAg), Hepatitis B surface antibody (</w:t>
      </w:r>
      <w:proofErr w:type="spellStart"/>
      <w:r w:rsidRPr="00025D63">
        <w:rPr>
          <w:sz w:val="20"/>
        </w:rPr>
        <w:t>HBsAb</w:t>
      </w:r>
      <w:proofErr w:type="spellEnd"/>
      <w:r w:rsidRPr="00025D63">
        <w:rPr>
          <w:sz w:val="20"/>
        </w:rPr>
        <w:t>), Hepatitis B core antibody (</w:t>
      </w:r>
      <w:proofErr w:type="spellStart"/>
      <w:r w:rsidRPr="00025D63">
        <w:rPr>
          <w:sz w:val="20"/>
        </w:rPr>
        <w:t>HBcAb</w:t>
      </w:r>
      <w:proofErr w:type="spellEnd"/>
      <w:r w:rsidRPr="00025D63">
        <w:rPr>
          <w:sz w:val="20"/>
        </w:rPr>
        <w:t xml:space="preserve">), and Hepatitis C virus antibody (anti-HCV). A </w:t>
      </w:r>
      <w:r>
        <w:rPr>
          <w:sz w:val="20"/>
        </w:rPr>
        <w:t>purified protein derivative (</w:t>
      </w:r>
      <w:r w:rsidRPr="00025D63">
        <w:rPr>
          <w:sz w:val="20"/>
        </w:rPr>
        <w:t>PPD</w:t>
      </w:r>
      <w:r>
        <w:rPr>
          <w:sz w:val="20"/>
        </w:rPr>
        <w:t>)</w:t>
      </w:r>
      <w:r w:rsidRPr="00025D63">
        <w:rPr>
          <w:sz w:val="20"/>
        </w:rPr>
        <w:t xml:space="preserve"> skin test for tuberculosis and/or a chest x-ray was performed on all subjects. If the PPD was positive, a chest x-ray was required to assess the possibility of active tuberculosis. If the subject reported that he or she had been previously positive for the PPD test, the PPD test was not performed and only a chest x-ray was required. Syphilis antibody testing was performed, using an automated enzyme immunoassay (EIA). If the EIA was positive, a confirmatory rapid plasma </w:t>
      </w:r>
      <w:proofErr w:type="spellStart"/>
      <w:r w:rsidRPr="00025D63">
        <w:rPr>
          <w:sz w:val="20"/>
        </w:rPr>
        <w:t>reagin</w:t>
      </w:r>
      <w:proofErr w:type="spellEnd"/>
      <w:r w:rsidRPr="00025D63">
        <w:rPr>
          <w:sz w:val="20"/>
        </w:rPr>
        <w:t xml:space="preserve"> (</w:t>
      </w:r>
      <w:proofErr w:type="spellStart"/>
      <w:r w:rsidRPr="00025D63">
        <w:rPr>
          <w:sz w:val="20"/>
        </w:rPr>
        <w:t>RPR</w:t>
      </w:r>
      <w:proofErr w:type="spellEnd"/>
      <w:r w:rsidRPr="00025D63">
        <w:rPr>
          <w:sz w:val="20"/>
        </w:rPr>
        <w:t>) test was performed. If the RPR test was non-reactive, a confirmatory treponema pallidum particle agglutination assay (TPPA) test was performed.</w:t>
      </w:r>
    </w:p>
    <w:p w14:paraId="35D2A977" w14:textId="77777777" w:rsidR="00743CA0" w:rsidRPr="00025D63" w:rsidRDefault="00743CA0" w:rsidP="00743CA0">
      <w:pPr>
        <w:pStyle w:val="C-BodyText"/>
        <w:spacing w:before="0" w:after="0" w:line="240" w:lineRule="auto"/>
        <w:ind w:left="720"/>
        <w:rPr>
          <w:sz w:val="20"/>
        </w:rPr>
      </w:pPr>
    </w:p>
    <w:p w14:paraId="6DBC0202" w14:textId="77777777" w:rsidR="00743CA0" w:rsidRPr="00025D63" w:rsidRDefault="00743CA0" w:rsidP="00743CA0">
      <w:pPr>
        <w:pStyle w:val="C-BodyText"/>
        <w:spacing w:before="0" w:after="0" w:line="240" w:lineRule="auto"/>
        <w:ind w:left="720"/>
        <w:rPr>
          <w:sz w:val="20"/>
        </w:rPr>
      </w:pPr>
      <w:r w:rsidRPr="00025D63">
        <w:rPr>
          <w:sz w:val="20"/>
        </w:rPr>
        <w:t>If the PPD with chest x-ray, chest x-ray, or RPR/confirmatory TPPA test was positive, subjects were not eligible for study participation and were referred, at subject’s sole expense, for appropriate follow-up and/or treatment.</w:t>
      </w:r>
    </w:p>
    <w:p w14:paraId="60A60760" w14:textId="77777777" w:rsidR="00743CA0" w:rsidRPr="00025D63" w:rsidRDefault="00743CA0" w:rsidP="00743CA0">
      <w:pPr>
        <w:pStyle w:val="C-BodyText"/>
        <w:spacing w:before="0" w:after="0" w:line="240" w:lineRule="auto"/>
        <w:rPr>
          <w:sz w:val="20"/>
        </w:rPr>
      </w:pPr>
    </w:p>
    <w:p w14:paraId="5C75E96E" w14:textId="77777777" w:rsidR="00743CA0" w:rsidRDefault="00743CA0" w:rsidP="00743CA0">
      <w:pPr>
        <w:pStyle w:val="C-Heading5"/>
        <w:numPr>
          <w:ilvl w:val="0"/>
          <w:numId w:val="11"/>
        </w:numPr>
        <w:spacing w:before="0"/>
        <w:rPr>
          <w:sz w:val="20"/>
        </w:rPr>
      </w:pPr>
      <w:bookmarkStart w:id="12" w:name="_Toc483669582"/>
      <w:r w:rsidRPr="00025D63">
        <w:rPr>
          <w:sz w:val="20"/>
        </w:rPr>
        <w:t>Urine Toxicology Screening</w:t>
      </w:r>
      <w:bookmarkEnd w:id="12"/>
    </w:p>
    <w:p w14:paraId="32890EF5" w14:textId="77777777" w:rsidR="00743CA0" w:rsidRPr="00137835" w:rsidRDefault="00743CA0" w:rsidP="00743CA0">
      <w:pPr>
        <w:pStyle w:val="C-BodyText"/>
        <w:spacing w:before="0" w:after="0" w:line="240" w:lineRule="auto"/>
      </w:pPr>
    </w:p>
    <w:p w14:paraId="4F0F995B" w14:textId="77777777" w:rsidR="00743CA0" w:rsidRPr="00025D63" w:rsidRDefault="00743CA0" w:rsidP="00743CA0">
      <w:pPr>
        <w:pStyle w:val="C-BodyText"/>
        <w:spacing w:before="0" w:after="0" w:line="240" w:lineRule="auto"/>
        <w:ind w:left="720"/>
        <w:rPr>
          <w:sz w:val="20"/>
        </w:rPr>
      </w:pPr>
      <w:r w:rsidRPr="00025D63">
        <w:rPr>
          <w:sz w:val="20"/>
        </w:rPr>
        <w:t>Qualitative urine drug screening (UDS) was performed at screening for all subjects, at baseline, and at least every other day for the following drugs: amphetamines/methamphetamines, cocaine, barbiturates, opioids, benzodiazepines, cannabinoids, methadone, and buprenorphine. The central laboratory provided standard sets of UDS “dipsticks” for use across all sites.</w:t>
      </w:r>
    </w:p>
    <w:p w14:paraId="247B156C" w14:textId="77777777" w:rsidR="00743CA0" w:rsidRPr="00025D63" w:rsidRDefault="00743CA0" w:rsidP="00743CA0">
      <w:pPr>
        <w:pStyle w:val="C-BodyText"/>
        <w:spacing w:before="0" w:after="0" w:line="240" w:lineRule="auto"/>
        <w:rPr>
          <w:sz w:val="20"/>
        </w:rPr>
      </w:pPr>
    </w:p>
    <w:p w14:paraId="20F19027" w14:textId="77777777" w:rsidR="00743CA0" w:rsidRDefault="00743CA0" w:rsidP="00743CA0">
      <w:pPr>
        <w:pStyle w:val="C-Heading5"/>
        <w:numPr>
          <w:ilvl w:val="0"/>
          <w:numId w:val="11"/>
        </w:numPr>
        <w:spacing w:before="0"/>
        <w:rPr>
          <w:sz w:val="20"/>
        </w:rPr>
      </w:pPr>
      <w:bookmarkStart w:id="13" w:name="_Toc483669583"/>
      <w:r w:rsidRPr="00025D63">
        <w:rPr>
          <w:sz w:val="20"/>
        </w:rPr>
        <w:lastRenderedPageBreak/>
        <w:t>Pregnancy Test</w:t>
      </w:r>
      <w:bookmarkEnd w:id="13"/>
    </w:p>
    <w:p w14:paraId="6E33D952" w14:textId="77777777" w:rsidR="00743CA0" w:rsidRPr="00137835" w:rsidRDefault="00743CA0" w:rsidP="00743CA0">
      <w:pPr>
        <w:pStyle w:val="C-BodyText"/>
        <w:spacing w:before="0" w:after="0" w:line="240" w:lineRule="auto"/>
      </w:pPr>
    </w:p>
    <w:p w14:paraId="5624FE9F" w14:textId="77777777" w:rsidR="00743CA0" w:rsidRPr="00025D63" w:rsidRDefault="00743CA0" w:rsidP="00743CA0">
      <w:pPr>
        <w:pStyle w:val="C-BodyText"/>
        <w:spacing w:before="0" w:after="0" w:line="240" w:lineRule="auto"/>
        <w:ind w:left="720"/>
        <w:rPr>
          <w:sz w:val="20"/>
        </w:rPr>
      </w:pPr>
      <w:r w:rsidRPr="00025D63">
        <w:rPr>
          <w:sz w:val="20"/>
        </w:rPr>
        <w:t>A “dipstick” pregnancy test to measure human chorionic gonadotropin was performed on the first day of screening, at baseline, and at study discontinuation for all female subjects, regardless of their childbearing capacity. The central laboratory provided study sites with a supply of pregnancy dipsticks.</w:t>
      </w:r>
    </w:p>
    <w:p w14:paraId="6448FFE3" w14:textId="77777777" w:rsidR="00743CA0" w:rsidRPr="00025D63" w:rsidRDefault="00743CA0" w:rsidP="00743CA0">
      <w:pPr>
        <w:pStyle w:val="C-BodyText"/>
        <w:spacing w:before="0" w:after="0" w:line="240" w:lineRule="auto"/>
        <w:rPr>
          <w:sz w:val="20"/>
        </w:rPr>
      </w:pPr>
    </w:p>
    <w:p w14:paraId="5F8D9768" w14:textId="77777777" w:rsidR="00743CA0" w:rsidRDefault="00743CA0" w:rsidP="00743CA0">
      <w:pPr>
        <w:pStyle w:val="C-Heading4"/>
        <w:numPr>
          <w:ilvl w:val="0"/>
          <w:numId w:val="11"/>
        </w:numPr>
        <w:spacing w:before="0"/>
        <w:rPr>
          <w:sz w:val="20"/>
        </w:rPr>
      </w:pPr>
      <w:bookmarkStart w:id="14" w:name="_Toc483669584"/>
      <w:r w:rsidRPr="00025D63">
        <w:rPr>
          <w:sz w:val="20"/>
        </w:rPr>
        <w:t>Physical Examination</w:t>
      </w:r>
      <w:bookmarkEnd w:id="14"/>
    </w:p>
    <w:p w14:paraId="55F658DB" w14:textId="77777777" w:rsidR="00743CA0" w:rsidRPr="00137835" w:rsidRDefault="00743CA0" w:rsidP="00743CA0">
      <w:pPr>
        <w:pStyle w:val="C-BodyText"/>
        <w:spacing w:before="0" w:after="0" w:line="240" w:lineRule="auto"/>
      </w:pPr>
    </w:p>
    <w:p w14:paraId="66BBAEDC" w14:textId="77777777" w:rsidR="00743CA0" w:rsidRDefault="00743CA0" w:rsidP="00743CA0">
      <w:pPr>
        <w:pStyle w:val="C-BodyText"/>
        <w:spacing w:before="0" w:after="0" w:line="240" w:lineRule="auto"/>
        <w:ind w:left="720"/>
        <w:rPr>
          <w:sz w:val="20"/>
        </w:rPr>
      </w:pPr>
      <w:r w:rsidRPr="00025D63">
        <w:rPr>
          <w:sz w:val="20"/>
        </w:rPr>
        <w:t>A complete physical examination was performed at screening for all subjects.</w:t>
      </w:r>
    </w:p>
    <w:p w14:paraId="49301DF0" w14:textId="77777777" w:rsidR="00743CA0" w:rsidRPr="00025D63" w:rsidRDefault="00743CA0" w:rsidP="00743CA0">
      <w:pPr>
        <w:pStyle w:val="C-BodyText"/>
        <w:spacing w:before="0" w:after="0" w:line="240" w:lineRule="auto"/>
        <w:ind w:left="720"/>
        <w:rPr>
          <w:sz w:val="20"/>
        </w:rPr>
      </w:pPr>
    </w:p>
    <w:p w14:paraId="55F96F3B" w14:textId="6E79C340" w:rsidR="00743CA0" w:rsidRPr="00025D63" w:rsidRDefault="00743CA0" w:rsidP="00743CA0">
      <w:pPr>
        <w:pStyle w:val="C-BodyText"/>
        <w:spacing w:before="0" w:after="0" w:line="240" w:lineRule="auto"/>
        <w:ind w:left="720"/>
        <w:rPr>
          <w:sz w:val="20"/>
        </w:rPr>
      </w:pPr>
      <w:r w:rsidRPr="00025D63">
        <w:rPr>
          <w:sz w:val="20"/>
        </w:rPr>
        <w:t xml:space="preserve">An update of the physical examination was required at baseline (before randomization on </w:t>
      </w:r>
      <w:r w:rsidR="003967BD">
        <w:rPr>
          <w:sz w:val="20"/>
        </w:rPr>
        <w:t>day</w:t>
      </w:r>
      <w:r w:rsidRPr="00025D63">
        <w:rPr>
          <w:sz w:val="20"/>
        </w:rPr>
        <w:t xml:space="preserve"> 1) and then a complete physical examination was performed 3 to 4 hours after randomization on </w:t>
      </w:r>
      <w:r w:rsidR="003967BD">
        <w:rPr>
          <w:sz w:val="20"/>
        </w:rPr>
        <w:t>day</w:t>
      </w:r>
      <w:r w:rsidRPr="00025D63">
        <w:rPr>
          <w:sz w:val="20"/>
        </w:rPr>
        <w:t> 1, and at the end of double-blind dosing. Height was recorded at screening only.</w:t>
      </w:r>
    </w:p>
    <w:p w14:paraId="5D2D0B9D" w14:textId="77777777" w:rsidR="00743CA0" w:rsidRPr="00025D63" w:rsidRDefault="00743CA0" w:rsidP="00743CA0">
      <w:pPr>
        <w:pStyle w:val="C-BodyText"/>
        <w:spacing w:before="0" w:after="0" w:line="240" w:lineRule="auto"/>
        <w:rPr>
          <w:sz w:val="20"/>
        </w:rPr>
      </w:pPr>
    </w:p>
    <w:p w14:paraId="2423766E" w14:textId="77777777" w:rsidR="00743CA0" w:rsidRDefault="00743CA0" w:rsidP="00743CA0">
      <w:pPr>
        <w:pStyle w:val="C-Heading4"/>
        <w:numPr>
          <w:ilvl w:val="0"/>
          <w:numId w:val="11"/>
        </w:numPr>
        <w:spacing w:before="0"/>
        <w:rPr>
          <w:sz w:val="20"/>
        </w:rPr>
      </w:pPr>
      <w:bookmarkStart w:id="15" w:name="_Toc483669585"/>
      <w:r w:rsidRPr="00025D63">
        <w:rPr>
          <w:sz w:val="20"/>
        </w:rPr>
        <w:t>Columbia Suicide Severity Rating Scale</w:t>
      </w:r>
      <w:bookmarkEnd w:id="15"/>
      <w:r>
        <w:rPr>
          <w:sz w:val="20"/>
        </w:rPr>
        <w:t xml:space="preserve"> (</w:t>
      </w:r>
      <w:r w:rsidRPr="00780E7A">
        <w:rPr>
          <w:sz w:val="20"/>
        </w:rPr>
        <w:t>C-SSRS</w:t>
      </w:r>
      <w:r>
        <w:rPr>
          <w:sz w:val="20"/>
        </w:rPr>
        <w:t>)</w:t>
      </w:r>
    </w:p>
    <w:p w14:paraId="7F831F1E" w14:textId="77777777" w:rsidR="00743CA0" w:rsidRPr="00CA5549" w:rsidRDefault="00743CA0" w:rsidP="00743CA0">
      <w:pPr>
        <w:pStyle w:val="C-BodyText"/>
        <w:spacing w:before="0" w:after="0" w:line="240" w:lineRule="auto"/>
      </w:pPr>
    </w:p>
    <w:p w14:paraId="644DB4D6" w14:textId="7C40ACC1" w:rsidR="00743CA0" w:rsidRPr="00025D63" w:rsidRDefault="00743CA0" w:rsidP="00743CA0">
      <w:pPr>
        <w:pStyle w:val="C-BodyText"/>
        <w:spacing w:before="0" w:after="0" w:line="240" w:lineRule="auto"/>
        <w:ind w:left="720"/>
        <w:rPr>
          <w:sz w:val="20"/>
        </w:rPr>
      </w:pPr>
      <w:r w:rsidRPr="00025D63">
        <w:rPr>
          <w:sz w:val="20"/>
        </w:rPr>
        <w:t xml:space="preserve">The C-SSRS measured both suicidal ideation and suicidal behavior and was completed at baseline (before dosing on </w:t>
      </w:r>
      <w:r w:rsidR="003967BD">
        <w:rPr>
          <w:sz w:val="20"/>
        </w:rPr>
        <w:t>day</w:t>
      </w:r>
      <w:r w:rsidRPr="00025D63">
        <w:rPr>
          <w:sz w:val="20"/>
        </w:rPr>
        <w:t xml:space="preserve"> 1), 3.5 hours after the first dose (8</w:t>
      </w:r>
      <w:r w:rsidR="00561D00">
        <w:rPr>
          <w:sz w:val="20"/>
        </w:rPr>
        <w:t xml:space="preserve"> </w:t>
      </w:r>
      <w:r w:rsidRPr="00794CAC">
        <w:rPr>
          <w:sz w:val="16"/>
        </w:rPr>
        <w:t>AM</w:t>
      </w:r>
      <w:r w:rsidRPr="00025D63">
        <w:rPr>
          <w:sz w:val="20"/>
        </w:rPr>
        <w:t xml:space="preserve">) on </w:t>
      </w:r>
      <w:r w:rsidR="003967BD">
        <w:rPr>
          <w:sz w:val="20"/>
        </w:rPr>
        <w:t>day</w:t>
      </w:r>
      <w:r w:rsidRPr="00025D63">
        <w:rPr>
          <w:sz w:val="20"/>
        </w:rPr>
        <w:t xml:space="preserve">s 1 to 7 or, if applicable, at discontinuation from the study. The baseline version of the C-SSRS (Appendix 9 of the protocol) was used to assess lifetime suicidality on </w:t>
      </w:r>
      <w:r w:rsidR="003967BD">
        <w:rPr>
          <w:sz w:val="20"/>
        </w:rPr>
        <w:t>day</w:t>
      </w:r>
      <w:r w:rsidRPr="00025D63">
        <w:rPr>
          <w:sz w:val="20"/>
        </w:rPr>
        <w:t xml:space="preserve"> 1 (before dosing). At all other protocol-specified time points, the C</w:t>
      </w:r>
      <w:r w:rsidRPr="00025D63">
        <w:rPr>
          <w:sz w:val="20"/>
        </w:rPr>
        <w:noBreakHyphen/>
        <w:t>SSRS – Since Last Visit version (Appendix 10 of the protocol) was used to assess the subject’s suicidality since the last assessment.</w:t>
      </w:r>
    </w:p>
    <w:p w14:paraId="141F6829" w14:textId="77777777" w:rsidR="00743CA0" w:rsidRPr="00025D63" w:rsidRDefault="00743CA0" w:rsidP="00743CA0">
      <w:pPr>
        <w:pStyle w:val="C-BodyText"/>
        <w:spacing w:before="0" w:after="0" w:line="240" w:lineRule="auto"/>
        <w:rPr>
          <w:sz w:val="20"/>
        </w:rPr>
      </w:pPr>
    </w:p>
    <w:p w14:paraId="13EBAE63" w14:textId="77777777" w:rsidR="00743CA0" w:rsidRDefault="00743CA0" w:rsidP="00743CA0">
      <w:pPr>
        <w:pStyle w:val="C-Heading4"/>
        <w:numPr>
          <w:ilvl w:val="0"/>
          <w:numId w:val="11"/>
        </w:numPr>
        <w:spacing w:before="0"/>
        <w:rPr>
          <w:sz w:val="20"/>
        </w:rPr>
      </w:pPr>
      <w:bookmarkStart w:id="16" w:name="_Toc275955478"/>
      <w:bookmarkStart w:id="17" w:name="_Toc483669586"/>
      <w:r w:rsidRPr="00025D63">
        <w:rPr>
          <w:sz w:val="20"/>
        </w:rPr>
        <w:t>Drug Concentration Measurements</w:t>
      </w:r>
      <w:bookmarkEnd w:id="16"/>
      <w:r w:rsidRPr="00025D63">
        <w:rPr>
          <w:sz w:val="20"/>
        </w:rPr>
        <w:t xml:space="preserve"> (Pharmacokinetic </w:t>
      </w:r>
      <w:r>
        <w:rPr>
          <w:sz w:val="20"/>
        </w:rPr>
        <w:t>[PK] S</w:t>
      </w:r>
      <w:r w:rsidRPr="00025D63">
        <w:rPr>
          <w:sz w:val="20"/>
        </w:rPr>
        <w:t>ampling)</w:t>
      </w:r>
      <w:bookmarkEnd w:id="17"/>
    </w:p>
    <w:p w14:paraId="538DB600" w14:textId="77777777" w:rsidR="00743CA0" w:rsidRPr="00815C2B" w:rsidRDefault="00743CA0" w:rsidP="00743CA0">
      <w:pPr>
        <w:pStyle w:val="C-BodyText"/>
        <w:spacing w:before="0" w:after="0" w:line="240" w:lineRule="auto"/>
      </w:pPr>
    </w:p>
    <w:p w14:paraId="7E8BF404" w14:textId="287D418D" w:rsidR="00743CA0" w:rsidRDefault="00743CA0" w:rsidP="00743CA0">
      <w:pPr>
        <w:pStyle w:val="C-BodyText"/>
        <w:spacing w:before="0" w:after="0" w:line="240" w:lineRule="auto"/>
        <w:ind w:left="720"/>
        <w:rPr>
          <w:sz w:val="20"/>
        </w:rPr>
      </w:pPr>
      <w:r w:rsidRPr="00025D63">
        <w:rPr>
          <w:sz w:val="20"/>
        </w:rPr>
        <w:t xml:space="preserve">A fingerstick blood sample for PK analysis was collected concurrently with each scheduled ECG during </w:t>
      </w:r>
      <w:r w:rsidR="003967BD">
        <w:rPr>
          <w:sz w:val="20"/>
        </w:rPr>
        <w:t>day</w:t>
      </w:r>
      <w:r w:rsidRPr="00025D63">
        <w:rPr>
          <w:sz w:val="20"/>
        </w:rPr>
        <w:t xml:space="preserve">s 1 to 7 only. In addition, fingerstick blood samples were collected on </w:t>
      </w:r>
      <w:r w:rsidR="003967BD">
        <w:rPr>
          <w:sz w:val="20"/>
        </w:rPr>
        <w:t>day</w:t>
      </w:r>
      <w:r w:rsidRPr="00025D63">
        <w:rPr>
          <w:sz w:val="20"/>
        </w:rPr>
        <w:t>s 3 and 6 at 9</w:t>
      </w:r>
      <w:r w:rsidR="00561D00">
        <w:rPr>
          <w:sz w:val="20"/>
        </w:rPr>
        <w:t xml:space="preserve"> </w:t>
      </w:r>
      <w:r w:rsidRPr="00794CAC">
        <w:rPr>
          <w:sz w:val="16"/>
        </w:rPr>
        <w:t>PM</w:t>
      </w:r>
      <w:r w:rsidRPr="00025D63">
        <w:rPr>
          <w:sz w:val="20"/>
        </w:rPr>
        <w:t xml:space="preserve"> and 10 </w:t>
      </w:r>
      <w:r w:rsidRPr="00794CAC">
        <w:rPr>
          <w:sz w:val="16"/>
        </w:rPr>
        <w:t>PM</w:t>
      </w:r>
      <w:r w:rsidRPr="00025D63">
        <w:rPr>
          <w:sz w:val="20"/>
        </w:rPr>
        <w:t xml:space="preserve"> (3 and 4 hours, respectively, after the 6 </w:t>
      </w:r>
      <w:r w:rsidRPr="00794CAC">
        <w:rPr>
          <w:sz w:val="16"/>
        </w:rPr>
        <w:t>PM</w:t>
      </w:r>
      <w:r w:rsidRPr="00025D63">
        <w:rPr>
          <w:sz w:val="20"/>
        </w:rPr>
        <w:t xml:space="preserve"> dose).</w:t>
      </w:r>
    </w:p>
    <w:sectPr w:rsidR="00743CA0" w:rsidSect="00D2602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09E91" w14:textId="77777777" w:rsidR="00FE04B3" w:rsidRDefault="00FE04B3" w:rsidP="00480D31">
      <w:pPr>
        <w:spacing w:after="0" w:line="240" w:lineRule="auto"/>
      </w:pPr>
      <w:r>
        <w:separator/>
      </w:r>
    </w:p>
  </w:endnote>
  <w:endnote w:type="continuationSeparator" w:id="0">
    <w:p w14:paraId="6164952D" w14:textId="77777777" w:rsidR="00FE04B3" w:rsidRDefault="00FE04B3" w:rsidP="00480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B444D" w14:textId="50E7A0B7" w:rsidR="00FE04B3" w:rsidRPr="00480D31" w:rsidRDefault="00FE04B3" w:rsidP="00480D31">
    <w:pPr>
      <w:pStyle w:val="Footer"/>
      <w:jc w:val="right"/>
      <w:rPr>
        <w:caps/>
        <w:noProof/>
      </w:rPr>
    </w:pPr>
    <w:r>
      <w:fldChar w:fldCharType="begin"/>
    </w:r>
    <w:r>
      <w:instrText xml:space="preserve"> PAGE   \* MERGEFORMAT </w:instrText>
    </w:r>
    <w:r>
      <w:fldChar w:fldCharType="separate"/>
    </w:r>
    <w:r w:rsidR="00553DDB" w:rsidRPr="00553DDB">
      <w:rPr>
        <w:caps/>
        <w:noProof/>
      </w:rPr>
      <w:t>1</w:t>
    </w:r>
    <w:r>
      <w:rPr>
        <w:caps/>
        <w:noProof/>
      </w:rPr>
      <w:fldChar w:fldCharType="end"/>
    </w:r>
  </w:p>
  <w:p w14:paraId="73881EA1" w14:textId="77777777" w:rsidR="00FE04B3" w:rsidRDefault="00FE0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D7496" w14:textId="77777777" w:rsidR="00FE04B3" w:rsidRDefault="00FE04B3" w:rsidP="00480D31">
      <w:pPr>
        <w:spacing w:after="0" w:line="240" w:lineRule="auto"/>
      </w:pPr>
      <w:r>
        <w:separator/>
      </w:r>
    </w:p>
  </w:footnote>
  <w:footnote w:type="continuationSeparator" w:id="0">
    <w:p w14:paraId="08FBD2B2" w14:textId="77777777" w:rsidR="00FE04B3" w:rsidRDefault="00FE04B3" w:rsidP="00480D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65AC"/>
    <w:multiLevelType w:val="hybridMultilevel"/>
    <w:tmpl w:val="DBF85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C7CD7"/>
    <w:multiLevelType w:val="hybridMultilevel"/>
    <w:tmpl w:val="0DBC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F125A"/>
    <w:multiLevelType w:val="hybridMultilevel"/>
    <w:tmpl w:val="7F905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2E0719"/>
    <w:multiLevelType w:val="hybridMultilevel"/>
    <w:tmpl w:val="E3A8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80EC4"/>
    <w:multiLevelType w:val="hybridMultilevel"/>
    <w:tmpl w:val="43C8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EB72E2"/>
    <w:multiLevelType w:val="hybridMultilevel"/>
    <w:tmpl w:val="FE8608BA"/>
    <w:lvl w:ilvl="0" w:tplc="F6B2CB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849F6"/>
    <w:multiLevelType w:val="hybridMultilevel"/>
    <w:tmpl w:val="B704A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7641A9"/>
    <w:multiLevelType w:val="multilevel"/>
    <w:tmpl w:val="268040E8"/>
    <w:lvl w:ilvl="0">
      <w:start w:val="1"/>
      <w:numFmt w:val="decimal"/>
      <w:pStyle w:val="C-Heading1"/>
      <w:lvlText w:val="%1."/>
      <w:lvlJc w:val="left"/>
      <w:pPr>
        <w:tabs>
          <w:tab w:val="num" w:pos="1080"/>
        </w:tabs>
        <w:ind w:left="1080" w:hanging="1080"/>
      </w:pPr>
      <w:rPr>
        <w:rFonts w:hint="default"/>
      </w:rPr>
    </w:lvl>
    <w:lvl w:ilvl="1">
      <w:start w:val="1"/>
      <w:numFmt w:val="decimal"/>
      <w:pStyle w:val="C-Heading2"/>
      <w:lvlText w:val="%1.%2."/>
      <w:lvlJc w:val="left"/>
      <w:pPr>
        <w:tabs>
          <w:tab w:val="num" w:pos="1080"/>
        </w:tabs>
        <w:ind w:left="1080" w:hanging="1080"/>
      </w:pPr>
      <w:rPr>
        <w:rFonts w:hint="default"/>
      </w:rPr>
    </w:lvl>
    <w:lvl w:ilvl="2">
      <w:start w:val="1"/>
      <w:numFmt w:val="decimal"/>
      <w:pStyle w:val="C-Heading3"/>
      <w:lvlText w:val="%1.%2.%3."/>
      <w:lvlJc w:val="left"/>
      <w:pPr>
        <w:tabs>
          <w:tab w:val="num" w:pos="1080"/>
        </w:tabs>
        <w:ind w:left="1080" w:hanging="1080"/>
      </w:pPr>
      <w:rPr>
        <w:rFonts w:hint="default"/>
      </w:rPr>
    </w:lvl>
    <w:lvl w:ilvl="3">
      <w:start w:val="1"/>
      <w:numFmt w:val="decimal"/>
      <w:pStyle w:val="C-Heading4"/>
      <w:lvlText w:val="%1.%2.%3.%4."/>
      <w:lvlJc w:val="left"/>
      <w:pPr>
        <w:tabs>
          <w:tab w:val="num" w:pos="1080"/>
        </w:tabs>
        <w:ind w:left="1080" w:hanging="1080"/>
      </w:pPr>
      <w:rPr>
        <w:rFonts w:hint="default"/>
      </w:rPr>
    </w:lvl>
    <w:lvl w:ilvl="4">
      <w:start w:val="1"/>
      <w:numFmt w:val="decimal"/>
      <w:pStyle w:val="C-Heading5"/>
      <w:lvlText w:val="%1.%2.%3.%4.%5."/>
      <w:lvlJc w:val="left"/>
      <w:pPr>
        <w:tabs>
          <w:tab w:val="num" w:pos="1080"/>
        </w:tabs>
        <w:ind w:left="1080" w:hanging="1080"/>
      </w:pPr>
      <w:rPr>
        <w:rFonts w:hint="default"/>
      </w:rPr>
    </w:lvl>
    <w:lvl w:ilvl="5">
      <w:start w:val="1"/>
      <w:numFmt w:val="decimal"/>
      <w:pStyle w:val="C-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8" w15:restartNumberingAfterBreak="0">
    <w:nsid w:val="49C54B39"/>
    <w:multiLevelType w:val="multilevel"/>
    <w:tmpl w:val="F2F66A26"/>
    <w:lvl w:ilvl="0">
      <w:start w:val="1"/>
      <w:numFmt w:val="decimal"/>
      <w:pStyle w:val="C-NumberedList"/>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rPr>
    </w:lvl>
    <w:lvl w:ilvl="1">
      <w:start w:val="1"/>
      <w:numFmt w:val="lowerLetter"/>
      <w:pStyle w:val="C-AlphabeticList"/>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9" w15:restartNumberingAfterBreak="0">
    <w:nsid w:val="67950AE9"/>
    <w:multiLevelType w:val="hybridMultilevel"/>
    <w:tmpl w:val="C5169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B877FF"/>
    <w:multiLevelType w:val="multilevel"/>
    <w:tmpl w:val="BE42665A"/>
    <w:lvl w:ilvl="0">
      <w:start w:val="1"/>
      <w:numFmt w:val="bullet"/>
      <w:pStyle w:val="C-Bullet"/>
      <w:lvlText w:val=""/>
      <w:lvlJc w:val="left"/>
      <w:pPr>
        <w:tabs>
          <w:tab w:val="num" w:pos="1080"/>
        </w:tabs>
        <w:ind w:left="1080" w:hanging="360"/>
      </w:pPr>
      <w:rPr>
        <w:rFonts w:ascii="Symbol" w:hAnsi="Symbol" w:hint="default"/>
        <w:sz w:val="24"/>
      </w:rPr>
    </w:lvl>
    <w:lvl w:ilvl="1">
      <w:start w:val="1"/>
      <w:numFmt w:val="bullet"/>
      <w:pStyle w:val="C-BulletIndented"/>
      <w:lvlText w:val=""/>
      <w:lvlJc w:val="left"/>
      <w:pPr>
        <w:tabs>
          <w:tab w:val="num" w:pos="1440"/>
        </w:tabs>
        <w:ind w:left="1440" w:hanging="36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11" w15:restartNumberingAfterBreak="0">
    <w:nsid w:val="78D605AD"/>
    <w:multiLevelType w:val="hybridMultilevel"/>
    <w:tmpl w:val="B72E0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DA5A34"/>
    <w:multiLevelType w:val="hybridMultilevel"/>
    <w:tmpl w:val="41166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
  </w:num>
  <w:num w:numId="5">
    <w:abstractNumId w:val="7"/>
  </w:num>
  <w:num w:numId="6">
    <w:abstractNumId w:val="10"/>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 w:numId="11">
    <w:abstractNumId w:val="11"/>
  </w:num>
  <w:num w:numId="12">
    <w:abstractNumId w:val="12"/>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ddic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240260"/>
    <w:rsid w:val="00001E91"/>
    <w:rsid w:val="00002259"/>
    <w:rsid w:val="0000394B"/>
    <w:rsid w:val="00005434"/>
    <w:rsid w:val="00005694"/>
    <w:rsid w:val="0001023E"/>
    <w:rsid w:val="00010BFF"/>
    <w:rsid w:val="00012E72"/>
    <w:rsid w:val="000130B1"/>
    <w:rsid w:val="00013869"/>
    <w:rsid w:val="00013916"/>
    <w:rsid w:val="000149BD"/>
    <w:rsid w:val="00015E89"/>
    <w:rsid w:val="00016182"/>
    <w:rsid w:val="000200D5"/>
    <w:rsid w:val="00020CE2"/>
    <w:rsid w:val="00021B66"/>
    <w:rsid w:val="00021D28"/>
    <w:rsid w:val="000229FA"/>
    <w:rsid w:val="00022D88"/>
    <w:rsid w:val="00022F39"/>
    <w:rsid w:val="00023DF9"/>
    <w:rsid w:val="0002536D"/>
    <w:rsid w:val="000254F3"/>
    <w:rsid w:val="00025D63"/>
    <w:rsid w:val="00026144"/>
    <w:rsid w:val="00030B62"/>
    <w:rsid w:val="00031D75"/>
    <w:rsid w:val="0003222E"/>
    <w:rsid w:val="0003372E"/>
    <w:rsid w:val="00033EF6"/>
    <w:rsid w:val="00034CC2"/>
    <w:rsid w:val="000361B8"/>
    <w:rsid w:val="0003638F"/>
    <w:rsid w:val="00036F8C"/>
    <w:rsid w:val="0003775C"/>
    <w:rsid w:val="00041427"/>
    <w:rsid w:val="000418D9"/>
    <w:rsid w:val="00041E7C"/>
    <w:rsid w:val="00042839"/>
    <w:rsid w:val="00042CE4"/>
    <w:rsid w:val="000450BB"/>
    <w:rsid w:val="000458D7"/>
    <w:rsid w:val="00045A49"/>
    <w:rsid w:val="00046974"/>
    <w:rsid w:val="00047B0F"/>
    <w:rsid w:val="00047F74"/>
    <w:rsid w:val="0005046D"/>
    <w:rsid w:val="000506DC"/>
    <w:rsid w:val="00051BAF"/>
    <w:rsid w:val="000521B4"/>
    <w:rsid w:val="00054716"/>
    <w:rsid w:val="00055358"/>
    <w:rsid w:val="00055953"/>
    <w:rsid w:val="00055B0E"/>
    <w:rsid w:val="000561A2"/>
    <w:rsid w:val="00056960"/>
    <w:rsid w:val="00057135"/>
    <w:rsid w:val="00057F3B"/>
    <w:rsid w:val="00057FF1"/>
    <w:rsid w:val="0006149D"/>
    <w:rsid w:val="000629B8"/>
    <w:rsid w:val="00062B6D"/>
    <w:rsid w:val="00063BCE"/>
    <w:rsid w:val="000643EA"/>
    <w:rsid w:val="000668FD"/>
    <w:rsid w:val="00067E54"/>
    <w:rsid w:val="00070B1F"/>
    <w:rsid w:val="00070FD0"/>
    <w:rsid w:val="00071C65"/>
    <w:rsid w:val="000730BE"/>
    <w:rsid w:val="000732F6"/>
    <w:rsid w:val="00074741"/>
    <w:rsid w:val="00075D74"/>
    <w:rsid w:val="00076520"/>
    <w:rsid w:val="00080ACD"/>
    <w:rsid w:val="00081559"/>
    <w:rsid w:val="00082D69"/>
    <w:rsid w:val="000832CA"/>
    <w:rsid w:val="000837A2"/>
    <w:rsid w:val="00084277"/>
    <w:rsid w:val="00084DA0"/>
    <w:rsid w:val="00086D95"/>
    <w:rsid w:val="00087E2A"/>
    <w:rsid w:val="0009302B"/>
    <w:rsid w:val="000937D6"/>
    <w:rsid w:val="00094695"/>
    <w:rsid w:val="000962C3"/>
    <w:rsid w:val="000969B6"/>
    <w:rsid w:val="000A0ABA"/>
    <w:rsid w:val="000A210E"/>
    <w:rsid w:val="000A22D0"/>
    <w:rsid w:val="000A2937"/>
    <w:rsid w:val="000A3E47"/>
    <w:rsid w:val="000A3F86"/>
    <w:rsid w:val="000A4B52"/>
    <w:rsid w:val="000A6146"/>
    <w:rsid w:val="000A6164"/>
    <w:rsid w:val="000B0DD6"/>
    <w:rsid w:val="000B0DD7"/>
    <w:rsid w:val="000B2336"/>
    <w:rsid w:val="000B2990"/>
    <w:rsid w:val="000B3F25"/>
    <w:rsid w:val="000B4A8F"/>
    <w:rsid w:val="000B7084"/>
    <w:rsid w:val="000B776B"/>
    <w:rsid w:val="000B7C20"/>
    <w:rsid w:val="000B7D52"/>
    <w:rsid w:val="000C00F5"/>
    <w:rsid w:val="000C02F8"/>
    <w:rsid w:val="000C0D41"/>
    <w:rsid w:val="000C36A3"/>
    <w:rsid w:val="000C4860"/>
    <w:rsid w:val="000C4DB5"/>
    <w:rsid w:val="000C5449"/>
    <w:rsid w:val="000C5D62"/>
    <w:rsid w:val="000C677D"/>
    <w:rsid w:val="000C7236"/>
    <w:rsid w:val="000C7F25"/>
    <w:rsid w:val="000D0247"/>
    <w:rsid w:val="000D047B"/>
    <w:rsid w:val="000D502A"/>
    <w:rsid w:val="000D5687"/>
    <w:rsid w:val="000D5D82"/>
    <w:rsid w:val="000D6B58"/>
    <w:rsid w:val="000D71D5"/>
    <w:rsid w:val="000E0030"/>
    <w:rsid w:val="000E0BFF"/>
    <w:rsid w:val="000E145B"/>
    <w:rsid w:val="000E23E2"/>
    <w:rsid w:val="000E3D15"/>
    <w:rsid w:val="000E65C6"/>
    <w:rsid w:val="000E6687"/>
    <w:rsid w:val="000E6909"/>
    <w:rsid w:val="000E6D3B"/>
    <w:rsid w:val="000E6FEA"/>
    <w:rsid w:val="000E7B0E"/>
    <w:rsid w:val="000E7CD9"/>
    <w:rsid w:val="000F05C5"/>
    <w:rsid w:val="000F129A"/>
    <w:rsid w:val="000F50F5"/>
    <w:rsid w:val="000F58D1"/>
    <w:rsid w:val="000F6864"/>
    <w:rsid w:val="000F7C11"/>
    <w:rsid w:val="001007DA"/>
    <w:rsid w:val="001040E1"/>
    <w:rsid w:val="00105AB7"/>
    <w:rsid w:val="001065DC"/>
    <w:rsid w:val="0010713B"/>
    <w:rsid w:val="00107E17"/>
    <w:rsid w:val="00111CA5"/>
    <w:rsid w:val="00112DDA"/>
    <w:rsid w:val="001131CE"/>
    <w:rsid w:val="0011522B"/>
    <w:rsid w:val="00115D86"/>
    <w:rsid w:val="00117757"/>
    <w:rsid w:val="00121479"/>
    <w:rsid w:val="001227EB"/>
    <w:rsid w:val="00122A77"/>
    <w:rsid w:val="00122C49"/>
    <w:rsid w:val="00122E5C"/>
    <w:rsid w:val="00122ED7"/>
    <w:rsid w:val="00123F77"/>
    <w:rsid w:val="00124E6E"/>
    <w:rsid w:val="00124EA4"/>
    <w:rsid w:val="00125AC0"/>
    <w:rsid w:val="001267F5"/>
    <w:rsid w:val="00126DD5"/>
    <w:rsid w:val="00127135"/>
    <w:rsid w:val="00127B0F"/>
    <w:rsid w:val="0013047B"/>
    <w:rsid w:val="00130995"/>
    <w:rsid w:val="001332B6"/>
    <w:rsid w:val="00134A34"/>
    <w:rsid w:val="00134BD3"/>
    <w:rsid w:val="00134CED"/>
    <w:rsid w:val="001353F7"/>
    <w:rsid w:val="001362A5"/>
    <w:rsid w:val="00136B4D"/>
    <w:rsid w:val="00136F01"/>
    <w:rsid w:val="00137835"/>
    <w:rsid w:val="0013796B"/>
    <w:rsid w:val="0014007F"/>
    <w:rsid w:val="0014096C"/>
    <w:rsid w:val="001417BF"/>
    <w:rsid w:val="00142381"/>
    <w:rsid w:val="001425C1"/>
    <w:rsid w:val="001442C4"/>
    <w:rsid w:val="00144848"/>
    <w:rsid w:val="00144F91"/>
    <w:rsid w:val="00145DD7"/>
    <w:rsid w:val="001502AD"/>
    <w:rsid w:val="00153159"/>
    <w:rsid w:val="00153B91"/>
    <w:rsid w:val="001540F5"/>
    <w:rsid w:val="0015428E"/>
    <w:rsid w:val="00156719"/>
    <w:rsid w:val="00156E04"/>
    <w:rsid w:val="001576F7"/>
    <w:rsid w:val="00160206"/>
    <w:rsid w:val="00160FC4"/>
    <w:rsid w:val="001621CB"/>
    <w:rsid w:val="001628C6"/>
    <w:rsid w:val="0016395C"/>
    <w:rsid w:val="001646B5"/>
    <w:rsid w:val="00164C5B"/>
    <w:rsid w:val="001655E8"/>
    <w:rsid w:val="00165BD3"/>
    <w:rsid w:val="00166899"/>
    <w:rsid w:val="00171A90"/>
    <w:rsid w:val="00172DC1"/>
    <w:rsid w:val="00174499"/>
    <w:rsid w:val="0017475E"/>
    <w:rsid w:val="00175D65"/>
    <w:rsid w:val="00175E7D"/>
    <w:rsid w:val="00177153"/>
    <w:rsid w:val="00180605"/>
    <w:rsid w:val="00181EAE"/>
    <w:rsid w:val="0018229F"/>
    <w:rsid w:val="001827BA"/>
    <w:rsid w:val="001834A0"/>
    <w:rsid w:val="001835FD"/>
    <w:rsid w:val="00184878"/>
    <w:rsid w:val="001849AE"/>
    <w:rsid w:val="00185398"/>
    <w:rsid w:val="00187356"/>
    <w:rsid w:val="0018757F"/>
    <w:rsid w:val="00187AEA"/>
    <w:rsid w:val="00192C81"/>
    <w:rsid w:val="00193AAB"/>
    <w:rsid w:val="0019512E"/>
    <w:rsid w:val="0019675B"/>
    <w:rsid w:val="00196CB9"/>
    <w:rsid w:val="001975BC"/>
    <w:rsid w:val="001A08B2"/>
    <w:rsid w:val="001A14F6"/>
    <w:rsid w:val="001A1783"/>
    <w:rsid w:val="001A25C4"/>
    <w:rsid w:val="001A3545"/>
    <w:rsid w:val="001A4166"/>
    <w:rsid w:val="001A4578"/>
    <w:rsid w:val="001A50BD"/>
    <w:rsid w:val="001A5297"/>
    <w:rsid w:val="001A7DFE"/>
    <w:rsid w:val="001B171A"/>
    <w:rsid w:val="001B1EAA"/>
    <w:rsid w:val="001B411B"/>
    <w:rsid w:val="001B4C7A"/>
    <w:rsid w:val="001B4CEA"/>
    <w:rsid w:val="001B5199"/>
    <w:rsid w:val="001B675E"/>
    <w:rsid w:val="001B7BA1"/>
    <w:rsid w:val="001B7ED9"/>
    <w:rsid w:val="001C022D"/>
    <w:rsid w:val="001C0A7D"/>
    <w:rsid w:val="001C1949"/>
    <w:rsid w:val="001C2735"/>
    <w:rsid w:val="001C3057"/>
    <w:rsid w:val="001C349C"/>
    <w:rsid w:val="001C486A"/>
    <w:rsid w:val="001C4C62"/>
    <w:rsid w:val="001C5BB6"/>
    <w:rsid w:val="001C6DD6"/>
    <w:rsid w:val="001D04D6"/>
    <w:rsid w:val="001D22CB"/>
    <w:rsid w:val="001D3EF4"/>
    <w:rsid w:val="001D41F5"/>
    <w:rsid w:val="001D5377"/>
    <w:rsid w:val="001D569E"/>
    <w:rsid w:val="001E13E3"/>
    <w:rsid w:val="001E15B2"/>
    <w:rsid w:val="001E26D9"/>
    <w:rsid w:val="001E316B"/>
    <w:rsid w:val="001E3500"/>
    <w:rsid w:val="001E5265"/>
    <w:rsid w:val="001E5473"/>
    <w:rsid w:val="001E75D3"/>
    <w:rsid w:val="001F1305"/>
    <w:rsid w:val="001F1E06"/>
    <w:rsid w:val="001F2C05"/>
    <w:rsid w:val="001F2C56"/>
    <w:rsid w:val="001F3A9F"/>
    <w:rsid w:val="001F4633"/>
    <w:rsid w:val="001F648B"/>
    <w:rsid w:val="00200911"/>
    <w:rsid w:val="00201431"/>
    <w:rsid w:val="0020236D"/>
    <w:rsid w:val="002037CB"/>
    <w:rsid w:val="00203B36"/>
    <w:rsid w:val="00203D0D"/>
    <w:rsid w:val="00206861"/>
    <w:rsid w:val="002068FB"/>
    <w:rsid w:val="00206F32"/>
    <w:rsid w:val="002101F3"/>
    <w:rsid w:val="00211399"/>
    <w:rsid w:val="0021222E"/>
    <w:rsid w:val="002135D8"/>
    <w:rsid w:val="00213D05"/>
    <w:rsid w:val="00213E85"/>
    <w:rsid w:val="00214076"/>
    <w:rsid w:val="00214862"/>
    <w:rsid w:val="002152C7"/>
    <w:rsid w:val="0022012E"/>
    <w:rsid w:val="00220156"/>
    <w:rsid w:val="00220DB8"/>
    <w:rsid w:val="002223C1"/>
    <w:rsid w:val="00223E27"/>
    <w:rsid w:val="002270B2"/>
    <w:rsid w:val="002272A4"/>
    <w:rsid w:val="00230254"/>
    <w:rsid w:val="00230CE8"/>
    <w:rsid w:val="00230D0E"/>
    <w:rsid w:val="002310CF"/>
    <w:rsid w:val="002313A6"/>
    <w:rsid w:val="00231753"/>
    <w:rsid w:val="00231AA8"/>
    <w:rsid w:val="0023290D"/>
    <w:rsid w:val="00232B81"/>
    <w:rsid w:val="0023308D"/>
    <w:rsid w:val="00234FE6"/>
    <w:rsid w:val="00235615"/>
    <w:rsid w:val="002359E0"/>
    <w:rsid w:val="0023713A"/>
    <w:rsid w:val="002373A0"/>
    <w:rsid w:val="00240260"/>
    <w:rsid w:val="00242128"/>
    <w:rsid w:val="002437D7"/>
    <w:rsid w:val="0024458B"/>
    <w:rsid w:val="00244E64"/>
    <w:rsid w:val="00245829"/>
    <w:rsid w:val="002470BB"/>
    <w:rsid w:val="002472CB"/>
    <w:rsid w:val="00247B0B"/>
    <w:rsid w:val="00247DD0"/>
    <w:rsid w:val="00253057"/>
    <w:rsid w:val="00253258"/>
    <w:rsid w:val="0025341E"/>
    <w:rsid w:val="00253B1D"/>
    <w:rsid w:val="00255740"/>
    <w:rsid w:val="00255920"/>
    <w:rsid w:val="00255C08"/>
    <w:rsid w:val="00255F1A"/>
    <w:rsid w:val="00260917"/>
    <w:rsid w:val="0026461F"/>
    <w:rsid w:val="00264B2C"/>
    <w:rsid w:val="00264CE1"/>
    <w:rsid w:val="0026562F"/>
    <w:rsid w:val="0026651D"/>
    <w:rsid w:val="00267C84"/>
    <w:rsid w:val="00270B4F"/>
    <w:rsid w:val="002712FD"/>
    <w:rsid w:val="0027141C"/>
    <w:rsid w:val="002718C0"/>
    <w:rsid w:val="00272865"/>
    <w:rsid w:val="00272C2B"/>
    <w:rsid w:val="00275122"/>
    <w:rsid w:val="00275A56"/>
    <w:rsid w:val="002771B8"/>
    <w:rsid w:val="00277585"/>
    <w:rsid w:val="00277A34"/>
    <w:rsid w:val="00280A8B"/>
    <w:rsid w:val="00281191"/>
    <w:rsid w:val="002811ED"/>
    <w:rsid w:val="00281C27"/>
    <w:rsid w:val="00281C36"/>
    <w:rsid w:val="00282942"/>
    <w:rsid w:val="002832A9"/>
    <w:rsid w:val="00284603"/>
    <w:rsid w:val="00284CCF"/>
    <w:rsid w:val="00285C4B"/>
    <w:rsid w:val="00285F22"/>
    <w:rsid w:val="00286018"/>
    <w:rsid w:val="002867D6"/>
    <w:rsid w:val="002923A7"/>
    <w:rsid w:val="00293D5C"/>
    <w:rsid w:val="00294A23"/>
    <w:rsid w:val="0029787A"/>
    <w:rsid w:val="002A120D"/>
    <w:rsid w:val="002A238D"/>
    <w:rsid w:val="002A2D6D"/>
    <w:rsid w:val="002A2E2D"/>
    <w:rsid w:val="002A46AB"/>
    <w:rsid w:val="002A5F5C"/>
    <w:rsid w:val="002A63DA"/>
    <w:rsid w:val="002A6992"/>
    <w:rsid w:val="002A701D"/>
    <w:rsid w:val="002A7D26"/>
    <w:rsid w:val="002B08CC"/>
    <w:rsid w:val="002B0BB9"/>
    <w:rsid w:val="002B1886"/>
    <w:rsid w:val="002B191D"/>
    <w:rsid w:val="002B43B3"/>
    <w:rsid w:val="002B4F0C"/>
    <w:rsid w:val="002B5E71"/>
    <w:rsid w:val="002C0582"/>
    <w:rsid w:val="002C1DBD"/>
    <w:rsid w:val="002C4725"/>
    <w:rsid w:val="002C5435"/>
    <w:rsid w:val="002C5734"/>
    <w:rsid w:val="002C5C49"/>
    <w:rsid w:val="002C61B5"/>
    <w:rsid w:val="002C6DC9"/>
    <w:rsid w:val="002D07AE"/>
    <w:rsid w:val="002D0BE0"/>
    <w:rsid w:val="002D204D"/>
    <w:rsid w:val="002D2561"/>
    <w:rsid w:val="002D5510"/>
    <w:rsid w:val="002D5A74"/>
    <w:rsid w:val="002D635F"/>
    <w:rsid w:val="002D739C"/>
    <w:rsid w:val="002E15ED"/>
    <w:rsid w:val="002E261A"/>
    <w:rsid w:val="002E29A3"/>
    <w:rsid w:val="002E3217"/>
    <w:rsid w:val="002E4DDA"/>
    <w:rsid w:val="002E7DCE"/>
    <w:rsid w:val="002F1FF1"/>
    <w:rsid w:val="002F234B"/>
    <w:rsid w:val="002F3A06"/>
    <w:rsid w:val="002F4991"/>
    <w:rsid w:val="002F4BF9"/>
    <w:rsid w:val="002F6F9C"/>
    <w:rsid w:val="002F7D9B"/>
    <w:rsid w:val="0030003A"/>
    <w:rsid w:val="00301ACA"/>
    <w:rsid w:val="0030272B"/>
    <w:rsid w:val="0030357F"/>
    <w:rsid w:val="00304CE9"/>
    <w:rsid w:val="0030672B"/>
    <w:rsid w:val="00306745"/>
    <w:rsid w:val="00306893"/>
    <w:rsid w:val="00312840"/>
    <w:rsid w:val="00312E49"/>
    <w:rsid w:val="003136BB"/>
    <w:rsid w:val="003141C0"/>
    <w:rsid w:val="00314AE9"/>
    <w:rsid w:val="0031712F"/>
    <w:rsid w:val="003174CD"/>
    <w:rsid w:val="0032012A"/>
    <w:rsid w:val="003207CA"/>
    <w:rsid w:val="00321CF6"/>
    <w:rsid w:val="00322318"/>
    <w:rsid w:val="003227C6"/>
    <w:rsid w:val="00322967"/>
    <w:rsid w:val="003241F1"/>
    <w:rsid w:val="00324D41"/>
    <w:rsid w:val="0032705B"/>
    <w:rsid w:val="0033131F"/>
    <w:rsid w:val="00331DFE"/>
    <w:rsid w:val="003330BA"/>
    <w:rsid w:val="003342E7"/>
    <w:rsid w:val="00334833"/>
    <w:rsid w:val="00337AF9"/>
    <w:rsid w:val="00337BF3"/>
    <w:rsid w:val="00340BC7"/>
    <w:rsid w:val="0034362D"/>
    <w:rsid w:val="00344066"/>
    <w:rsid w:val="003455D1"/>
    <w:rsid w:val="003509FC"/>
    <w:rsid w:val="00350A5E"/>
    <w:rsid w:val="00350B23"/>
    <w:rsid w:val="00351EC2"/>
    <w:rsid w:val="00354537"/>
    <w:rsid w:val="003546FA"/>
    <w:rsid w:val="003557C3"/>
    <w:rsid w:val="003564CB"/>
    <w:rsid w:val="00356711"/>
    <w:rsid w:val="003567CB"/>
    <w:rsid w:val="0035785A"/>
    <w:rsid w:val="003617F3"/>
    <w:rsid w:val="00363A35"/>
    <w:rsid w:val="00364857"/>
    <w:rsid w:val="00364E5D"/>
    <w:rsid w:val="00366447"/>
    <w:rsid w:val="00371024"/>
    <w:rsid w:val="00373E9E"/>
    <w:rsid w:val="00373F9F"/>
    <w:rsid w:val="003745A2"/>
    <w:rsid w:val="003745E5"/>
    <w:rsid w:val="003758D9"/>
    <w:rsid w:val="0037759B"/>
    <w:rsid w:val="00383579"/>
    <w:rsid w:val="003854E0"/>
    <w:rsid w:val="00385FAB"/>
    <w:rsid w:val="00391137"/>
    <w:rsid w:val="00391A2C"/>
    <w:rsid w:val="00391E75"/>
    <w:rsid w:val="00392EAC"/>
    <w:rsid w:val="00393149"/>
    <w:rsid w:val="003933A8"/>
    <w:rsid w:val="00393C0B"/>
    <w:rsid w:val="0039442A"/>
    <w:rsid w:val="00394683"/>
    <w:rsid w:val="003948C0"/>
    <w:rsid w:val="00394C7B"/>
    <w:rsid w:val="00394E8C"/>
    <w:rsid w:val="003967BD"/>
    <w:rsid w:val="003973D1"/>
    <w:rsid w:val="00397B07"/>
    <w:rsid w:val="003A01AA"/>
    <w:rsid w:val="003A01FE"/>
    <w:rsid w:val="003A03C9"/>
    <w:rsid w:val="003A040D"/>
    <w:rsid w:val="003A05C5"/>
    <w:rsid w:val="003A0A24"/>
    <w:rsid w:val="003A1D8B"/>
    <w:rsid w:val="003A2006"/>
    <w:rsid w:val="003A22FE"/>
    <w:rsid w:val="003A352B"/>
    <w:rsid w:val="003A37E7"/>
    <w:rsid w:val="003A48E9"/>
    <w:rsid w:val="003A50B7"/>
    <w:rsid w:val="003A5605"/>
    <w:rsid w:val="003A5D97"/>
    <w:rsid w:val="003B0E5D"/>
    <w:rsid w:val="003B18A4"/>
    <w:rsid w:val="003B3D2D"/>
    <w:rsid w:val="003B5573"/>
    <w:rsid w:val="003B5D65"/>
    <w:rsid w:val="003B68D5"/>
    <w:rsid w:val="003B6C63"/>
    <w:rsid w:val="003B6EDB"/>
    <w:rsid w:val="003B7475"/>
    <w:rsid w:val="003B755F"/>
    <w:rsid w:val="003B7825"/>
    <w:rsid w:val="003C11E6"/>
    <w:rsid w:val="003C3037"/>
    <w:rsid w:val="003C307F"/>
    <w:rsid w:val="003C4086"/>
    <w:rsid w:val="003C5236"/>
    <w:rsid w:val="003C534B"/>
    <w:rsid w:val="003C5524"/>
    <w:rsid w:val="003C5DC3"/>
    <w:rsid w:val="003C7525"/>
    <w:rsid w:val="003C7726"/>
    <w:rsid w:val="003C77E4"/>
    <w:rsid w:val="003D07EA"/>
    <w:rsid w:val="003D0FA1"/>
    <w:rsid w:val="003D1E10"/>
    <w:rsid w:val="003D2105"/>
    <w:rsid w:val="003D2286"/>
    <w:rsid w:val="003D449B"/>
    <w:rsid w:val="003D4D88"/>
    <w:rsid w:val="003E16ED"/>
    <w:rsid w:val="003E19F7"/>
    <w:rsid w:val="003E2335"/>
    <w:rsid w:val="003E265C"/>
    <w:rsid w:val="003E514D"/>
    <w:rsid w:val="003E715B"/>
    <w:rsid w:val="003E71D3"/>
    <w:rsid w:val="003E7C6C"/>
    <w:rsid w:val="003F0DC4"/>
    <w:rsid w:val="003F1373"/>
    <w:rsid w:val="003F1A01"/>
    <w:rsid w:val="003F1C5C"/>
    <w:rsid w:val="003F2F9F"/>
    <w:rsid w:val="003F4234"/>
    <w:rsid w:val="003F4A07"/>
    <w:rsid w:val="003F4E09"/>
    <w:rsid w:val="003F62B5"/>
    <w:rsid w:val="003F6835"/>
    <w:rsid w:val="003F6C4B"/>
    <w:rsid w:val="003F7CFE"/>
    <w:rsid w:val="00400900"/>
    <w:rsid w:val="00403788"/>
    <w:rsid w:val="0040404C"/>
    <w:rsid w:val="004047C7"/>
    <w:rsid w:val="00404F29"/>
    <w:rsid w:val="00405FAD"/>
    <w:rsid w:val="004062D7"/>
    <w:rsid w:val="00406327"/>
    <w:rsid w:val="00406745"/>
    <w:rsid w:val="00412BF0"/>
    <w:rsid w:val="0041383F"/>
    <w:rsid w:val="00413F02"/>
    <w:rsid w:val="0041413B"/>
    <w:rsid w:val="004142E4"/>
    <w:rsid w:val="004156B2"/>
    <w:rsid w:val="0041584C"/>
    <w:rsid w:val="00416263"/>
    <w:rsid w:val="0041750A"/>
    <w:rsid w:val="00422A03"/>
    <w:rsid w:val="0042385D"/>
    <w:rsid w:val="0042428A"/>
    <w:rsid w:val="004257C3"/>
    <w:rsid w:val="00430021"/>
    <w:rsid w:val="0043049E"/>
    <w:rsid w:val="0043103D"/>
    <w:rsid w:val="00431296"/>
    <w:rsid w:val="00432F88"/>
    <w:rsid w:val="00434745"/>
    <w:rsid w:val="00434F87"/>
    <w:rsid w:val="00442EC7"/>
    <w:rsid w:val="00442F5D"/>
    <w:rsid w:val="004436B9"/>
    <w:rsid w:val="00443EB9"/>
    <w:rsid w:val="00443F47"/>
    <w:rsid w:val="004447B9"/>
    <w:rsid w:val="00444A87"/>
    <w:rsid w:val="00444C70"/>
    <w:rsid w:val="00446CAA"/>
    <w:rsid w:val="00446E31"/>
    <w:rsid w:val="004500D9"/>
    <w:rsid w:val="00450324"/>
    <w:rsid w:val="00450A33"/>
    <w:rsid w:val="004512D8"/>
    <w:rsid w:val="00451671"/>
    <w:rsid w:val="004524E3"/>
    <w:rsid w:val="00454AA6"/>
    <w:rsid w:val="00454CA6"/>
    <w:rsid w:val="00454F92"/>
    <w:rsid w:val="004569D6"/>
    <w:rsid w:val="00456C6B"/>
    <w:rsid w:val="00457724"/>
    <w:rsid w:val="004609A6"/>
    <w:rsid w:val="00462342"/>
    <w:rsid w:val="00462409"/>
    <w:rsid w:val="004624B8"/>
    <w:rsid w:val="004627EB"/>
    <w:rsid w:val="00462E0C"/>
    <w:rsid w:val="0046415B"/>
    <w:rsid w:val="004643D0"/>
    <w:rsid w:val="004645F6"/>
    <w:rsid w:val="00464FFA"/>
    <w:rsid w:val="00465E12"/>
    <w:rsid w:val="00467873"/>
    <w:rsid w:val="00467D12"/>
    <w:rsid w:val="0047046C"/>
    <w:rsid w:val="004705B9"/>
    <w:rsid w:val="00470A45"/>
    <w:rsid w:val="004712D2"/>
    <w:rsid w:val="00475A69"/>
    <w:rsid w:val="00480C55"/>
    <w:rsid w:val="00480D31"/>
    <w:rsid w:val="00481028"/>
    <w:rsid w:val="0048154B"/>
    <w:rsid w:val="004828C7"/>
    <w:rsid w:val="004842C7"/>
    <w:rsid w:val="00487365"/>
    <w:rsid w:val="00487B08"/>
    <w:rsid w:val="00490016"/>
    <w:rsid w:val="00491185"/>
    <w:rsid w:val="004915AA"/>
    <w:rsid w:val="004916BA"/>
    <w:rsid w:val="00491A27"/>
    <w:rsid w:val="00493382"/>
    <w:rsid w:val="0049481E"/>
    <w:rsid w:val="00494B60"/>
    <w:rsid w:val="00494CC2"/>
    <w:rsid w:val="00495051"/>
    <w:rsid w:val="00495FDC"/>
    <w:rsid w:val="00496FF0"/>
    <w:rsid w:val="004A0533"/>
    <w:rsid w:val="004A0CCC"/>
    <w:rsid w:val="004A0F16"/>
    <w:rsid w:val="004A208D"/>
    <w:rsid w:val="004A20B4"/>
    <w:rsid w:val="004A49AF"/>
    <w:rsid w:val="004A594E"/>
    <w:rsid w:val="004B1E64"/>
    <w:rsid w:val="004B4BAA"/>
    <w:rsid w:val="004B4BEC"/>
    <w:rsid w:val="004B4D21"/>
    <w:rsid w:val="004B5AB4"/>
    <w:rsid w:val="004B63AC"/>
    <w:rsid w:val="004B6709"/>
    <w:rsid w:val="004B6A9E"/>
    <w:rsid w:val="004B6CBD"/>
    <w:rsid w:val="004B6E0D"/>
    <w:rsid w:val="004C1158"/>
    <w:rsid w:val="004C3E57"/>
    <w:rsid w:val="004C4290"/>
    <w:rsid w:val="004C5D1D"/>
    <w:rsid w:val="004C6878"/>
    <w:rsid w:val="004C797E"/>
    <w:rsid w:val="004D0305"/>
    <w:rsid w:val="004D04AB"/>
    <w:rsid w:val="004D1304"/>
    <w:rsid w:val="004D289F"/>
    <w:rsid w:val="004D2A7E"/>
    <w:rsid w:val="004D3C11"/>
    <w:rsid w:val="004D450C"/>
    <w:rsid w:val="004D4E94"/>
    <w:rsid w:val="004D51E1"/>
    <w:rsid w:val="004D71E3"/>
    <w:rsid w:val="004E247D"/>
    <w:rsid w:val="004E2492"/>
    <w:rsid w:val="004E2926"/>
    <w:rsid w:val="004E3908"/>
    <w:rsid w:val="004E3EC6"/>
    <w:rsid w:val="004E42F9"/>
    <w:rsid w:val="004E49C7"/>
    <w:rsid w:val="004E6714"/>
    <w:rsid w:val="004F120A"/>
    <w:rsid w:val="004F2ABC"/>
    <w:rsid w:val="004F2C3D"/>
    <w:rsid w:val="004F3452"/>
    <w:rsid w:val="004F3CAA"/>
    <w:rsid w:val="004F4CF9"/>
    <w:rsid w:val="004F534D"/>
    <w:rsid w:val="004F66B4"/>
    <w:rsid w:val="0050049E"/>
    <w:rsid w:val="00500B54"/>
    <w:rsid w:val="00504393"/>
    <w:rsid w:val="005043E3"/>
    <w:rsid w:val="00504708"/>
    <w:rsid w:val="005050FB"/>
    <w:rsid w:val="00505406"/>
    <w:rsid w:val="00505AEA"/>
    <w:rsid w:val="00505E56"/>
    <w:rsid w:val="005072C6"/>
    <w:rsid w:val="005076CC"/>
    <w:rsid w:val="00511594"/>
    <w:rsid w:val="00512F28"/>
    <w:rsid w:val="005130ED"/>
    <w:rsid w:val="005137EE"/>
    <w:rsid w:val="00514062"/>
    <w:rsid w:val="0051531C"/>
    <w:rsid w:val="005162B1"/>
    <w:rsid w:val="00516FD1"/>
    <w:rsid w:val="00517DD0"/>
    <w:rsid w:val="00522F2F"/>
    <w:rsid w:val="00524229"/>
    <w:rsid w:val="0052491E"/>
    <w:rsid w:val="0052563A"/>
    <w:rsid w:val="00525932"/>
    <w:rsid w:val="00525BD7"/>
    <w:rsid w:val="0052601B"/>
    <w:rsid w:val="005302D8"/>
    <w:rsid w:val="00530CA3"/>
    <w:rsid w:val="005323D9"/>
    <w:rsid w:val="00532531"/>
    <w:rsid w:val="00533EB4"/>
    <w:rsid w:val="00534425"/>
    <w:rsid w:val="00535CB5"/>
    <w:rsid w:val="00537285"/>
    <w:rsid w:val="00537C73"/>
    <w:rsid w:val="005403CF"/>
    <w:rsid w:val="005406CA"/>
    <w:rsid w:val="0054207C"/>
    <w:rsid w:val="005423F5"/>
    <w:rsid w:val="005424E5"/>
    <w:rsid w:val="005430C0"/>
    <w:rsid w:val="00544339"/>
    <w:rsid w:val="0054549C"/>
    <w:rsid w:val="0054578B"/>
    <w:rsid w:val="00545F53"/>
    <w:rsid w:val="00546E02"/>
    <w:rsid w:val="00547003"/>
    <w:rsid w:val="00547D4A"/>
    <w:rsid w:val="00550C4F"/>
    <w:rsid w:val="00551F0D"/>
    <w:rsid w:val="005524FE"/>
    <w:rsid w:val="00553DDB"/>
    <w:rsid w:val="0055717D"/>
    <w:rsid w:val="00560444"/>
    <w:rsid w:val="005605A4"/>
    <w:rsid w:val="00561D00"/>
    <w:rsid w:val="005623DA"/>
    <w:rsid w:val="00563F02"/>
    <w:rsid w:val="0056468F"/>
    <w:rsid w:val="00565851"/>
    <w:rsid w:val="0056610E"/>
    <w:rsid w:val="00567221"/>
    <w:rsid w:val="0057283E"/>
    <w:rsid w:val="005738FC"/>
    <w:rsid w:val="00574944"/>
    <w:rsid w:val="00576195"/>
    <w:rsid w:val="005765B9"/>
    <w:rsid w:val="005766BC"/>
    <w:rsid w:val="00576919"/>
    <w:rsid w:val="00576FCA"/>
    <w:rsid w:val="00577C84"/>
    <w:rsid w:val="00577CDE"/>
    <w:rsid w:val="005807A0"/>
    <w:rsid w:val="0058154D"/>
    <w:rsid w:val="0058190E"/>
    <w:rsid w:val="00583922"/>
    <w:rsid w:val="00583EA3"/>
    <w:rsid w:val="00584B6F"/>
    <w:rsid w:val="005864F9"/>
    <w:rsid w:val="00587538"/>
    <w:rsid w:val="00587BE4"/>
    <w:rsid w:val="00590365"/>
    <w:rsid w:val="00590AED"/>
    <w:rsid w:val="00592C25"/>
    <w:rsid w:val="00593BA9"/>
    <w:rsid w:val="00594AC8"/>
    <w:rsid w:val="00595E15"/>
    <w:rsid w:val="00596BBB"/>
    <w:rsid w:val="00596C4D"/>
    <w:rsid w:val="00596CEB"/>
    <w:rsid w:val="005975F6"/>
    <w:rsid w:val="00597A56"/>
    <w:rsid w:val="00597BC7"/>
    <w:rsid w:val="005A006B"/>
    <w:rsid w:val="005A0570"/>
    <w:rsid w:val="005A0991"/>
    <w:rsid w:val="005A1515"/>
    <w:rsid w:val="005A2703"/>
    <w:rsid w:val="005A33C6"/>
    <w:rsid w:val="005A4431"/>
    <w:rsid w:val="005A6689"/>
    <w:rsid w:val="005A6D1E"/>
    <w:rsid w:val="005B04A6"/>
    <w:rsid w:val="005B0FB6"/>
    <w:rsid w:val="005B15BB"/>
    <w:rsid w:val="005B251D"/>
    <w:rsid w:val="005B2CC9"/>
    <w:rsid w:val="005B35BE"/>
    <w:rsid w:val="005B3E7C"/>
    <w:rsid w:val="005B59F8"/>
    <w:rsid w:val="005B5A8C"/>
    <w:rsid w:val="005B6829"/>
    <w:rsid w:val="005B7FDC"/>
    <w:rsid w:val="005C10D2"/>
    <w:rsid w:val="005C1841"/>
    <w:rsid w:val="005C3B68"/>
    <w:rsid w:val="005C3F4D"/>
    <w:rsid w:val="005C5769"/>
    <w:rsid w:val="005C70CE"/>
    <w:rsid w:val="005C7179"/>
    <w:rsid w:val="005C7A86"/>
    <w:rsid w:val="005D132B"/>
    <w:rsid w:val="005D20C9"/>
    <w:rsid w:val="005D2B84"/>
    <w:rsid w:val="005D301E"/>
    <w:rsid w:val="005D302B"/>
    <w:rsid w:val="005D4C4F"/>
    <w:rsid w:val="005D5643"/>
    <w:rsid w:val="005D62F7"/>
    <w:rsid w:val="005D6C27"/>
    <w:rsid w:val="005D6D53"/>
    <w:rsid w:val="005D7B99"/>
    <w:rsid w:val="005E16EF"/>
    <w:rsid w:val="005E22C2"/>
    <w:rsid w:val="005E52B9"/>
    <w:rsid w:val="005E5BA7"/>
    <w:rsid w:val="005E712C"/>
    <w:rsid w:val="005E7452"/>
    <w:rsid w:val="005F0A99"/>
    <w:rsid w:val="005F16D7"/>
    <w:rsid w:val="005F1A7C"/>
    <w:rsid w:val="005F3F49"/>
    <w:rsid w:val="005F6713"/>
    <w:rsid w:val="005F67AA"/>
    <w:rsid w:val="005F78A3"/>
    <w:rsid w:val="005F7FB1"/>
    <w:rsid w:val="00600037"/>
    <w:rsid w:val="006013FB"/>
    <w:rsid w:val="00601BF4"/>
    <w:rsid w:val="00601C55"/>
    <w:rsid w:val="00602AF6"/>
    <w:rsid w:val="0060347E"/>
    <w:rsid w:val="00603C3F"/>
    <w:rsid w:val="0060436B"/>
    <w:rsid w:val="00604692"/>
    <w:rsid w:val="00604FC5"/>
    <w:rsid w:val="00606CEF"/>
    <w:rsid w:val="00607B90"/>
    <w:rsid w:val="00610499"/>
    <w:rsid w:val="00611224"/>
    <w:rsid w:val="00611CEE"/>
    <w:rsid w:val="00612BA9"/>
    <w:rsid w:val="00613238"/>
    <w:rsid w:val="0061338C"/>
    <w:rsid w:val="006142D4"/>
    <w:rsid w:val="006154C9"/>
    <w:rsid w:val="0061568F"/>
    <w:rsid w:val="00616CF3"/>
    <w:rsid w:val="006177D9"/>
    <w:rsid w:val="00620589"/>
    <w:rsid w:val="00620B1A"/>
    <w:rsid w:val="00621036"/>
    <w:rsid w:val="006225C4"/>
    <w:rsid w:val="0062261F"/>
    <w:rsid w:val="00622673"/>
    <w:rsid w:val="00622726"/>
    <w:rsid w:val="006232E0"/>
    <w:rsid w:val="0062399E"/>
    <w:rsid w:val="00623EE0"/>
    <w:rsid w:val="006248DB"/>
    <w:rsid w:val="00625D53"/>
    <w:rsid w:val="00625E38"/>
    <w:rsid w:val="00626305"/>
    <w:rsid w:val="00630E44"/>
    <w:rsid w:val="006311FA"/>
    <w:rsid w:val="0063513F"/>
    <w:rsid w:val="00635CFF"/>
    <w:rsid w:val="006417FC"/>
    <w:rsid w:val="006418DD"/>
    <w:rsid w:val="00642668"/>
    <w:rsid w:val="006436B5"/>
    <w:rsid w:val="00643B7C"/>
    <w:rsid w:val="0064438F"/>
    <w:rsid w:val="0064557D"/>
    <w:rsid w:val="0064619C"/>
    <w:rsid w:val="00646A7D"/>
    <w:rsid w:val="00646B30"/>
    <w:rsid w:val="0064719D"/>
    <w:rsid w:val="00647B3F"/>
    <w:rsid w:val="00651106"/>
    <w:rsid w:val="006513E8"/>
    <w:rsid w:val="0065192E"/>
    <w:rsid w:val="0065304C"/>
    <w:rsid w:val="0065328F"/>
    <w:rsid w:val="00653D83"/>
    <w:rsid w:val="0065455D"/>
    <w:rsid w:val="00655D86"/>
    <w:rsid w:val="0065606D"/>
    <w:rsid w:val="006561A8"/>
    <w:rsid w:val="00660883"/>
    <w:rsid w:val="00661D21"/>
    <w:rsid w:val="00662B52"/>
    <w:rsid w:val="0066390F"/>
    <w:rsid w:val="00663A48"/>
    <w:rsid w:val="00664C4E"/>
    <w:rsid w:val="00664CAE"/>
    <w:rsid w:val="006657CE"/>
    <w:rsid w:val="00666812"/>
    <w:rsid w:val="0066693A"/>
    <w:rsid w:val="0066712A"/>
    <w:rsid w:val="006673B1"/>
    <w:rsid w:val="0067222B"/>
    <w:rsid w:val="00672A69"/>
    <w:rsid w:val="00672EB5"/>
    <w:rsid w:val="00673DFA"/>
    <w:rsid w:val="00675323"/>
    <w:rsid w:val="00675742"/>
    <w:rsid w:val="006757E8"/>
    <w:rsid w:val="00675F24"/>
    <w:rsid w:val="00680563"/>
    <w:rsid w:val="00680903"/>
    <w:rsid w:val="00680F03"/>
    <w:rsid w:val="00683991"/>
    <w:rsid w:val="00684174"/>
    <w:rsid w:val="00685317"/>
    <w:rsid w:val="006936B6"/>
    <w:rsid w:val="006946EB"/>
    <w:rsid w:val="006974E4"/>
    <w:rsid w:val="00697AED"/>
    <w:rsid w:val="00697C52"/>
    <w:rsid w:val="006A011B"/>
    <w:rsid w:val="006A017D"/>
    <w:rsid w:val="006A12DD"/>
    <w:rsid w:val="006A1488"/>
    <w:rsid w:val="006A21DF"/>
    <w:rsid w:val="006A42A4"/>
    <w:rsid w:val="006A44EE"/>
    <w:rsid w:val="006A6010"/>
    <w:rsid w:val="006A63BF"/>
    <w:rsid w:val="006A6CCF"/>
    <w:rsid w:val="006A71C9"/>
    <w:rsid w:val="006A7590"/>
    <w:rsid w:val="006A77D4"/>
    <w:rsid w:val="006A7D64"/>
    <w:rsid w:val="006B0BF3"/>
    <w:rsid w:val="006B17C7"/>
    <w:rsid w:val="006B181B"/>
    <w:rsid w:val="006B2773"/>
    <w:rsid w:val="006B27A2"/>
    <w:rsid w:val="006B3586"/>
    <w:rsid w:val="006B45BE"/>
    <w:rsid w:val="006B5E75"/>
    <w:rsid w:val="006B6493"/>
    <w:rsid w:val="006B69D4"/>
    <w:rsid w:val="006B6EE4"/>
    <w:rsid w:val="006B755C"/>
    <w:rsid w:val="006C02EA"/>
    <w:rsid w:val="006C09D6"/>
    <w:rsid w:val="006C0C74"/>
    <w:rsid w:val="006C0FBB"/>
    <w:rsid w:val="006C1C6A"/>
    <w:rsid w:val="006C2F00"/>
    <w:rsid w:val="006C3BB5"/>
    <w:rsid w:val="006C4D02"/>
    <w:rsid w:val="006C5217"/>
    <w:rsid w:val="006C5C83"/>
    <w:rsid w:val="006C666E"/>
    <w:rsid w:val="006C714E"/>
    <w:rsid w:val="006D037A"/>
    <w:rsid w:val="006D2270"/>
    <w:rsid w:val="006D3619"/>
    <w:rsid w:val="006D3A62"/>
    <w:rsid w:val="006D471B"/>
    <w:rsid w:val="006D48E0"/>
    <w:rsid w:val="006D49DC"/>
    <w:rsid w:val="006D53B3"/>
    <w:rsid w:val="006D567E"/>
    <w:rsid w:val="006D6B8F"/>
    <w:rsid w:val="006D738E"/>
    <w:rsid w:val="006D7509"/>
    <w:rsid w:val="006E2E8C"/>
    <w:rsid w:val="006E36A8"/>
    <w:rsid w:val="006E3827"/>
    <w:rsid w:val="006E3DEF"/>
    <w:rsid w:val="006E544D"/>
    <w:rsid w:val="006E5722"/>
    <w:rsid w:val="006E5CDE"/>
    <w:rsid w:val="006E609D"/>
    <w:rsid w:val="006E6D35"/>
    <w:rsid w:val="006E778C"/>
    <w:rsid w:val="006E7BC7"/>
    <w:rsid w:val="006F1F89"/>
    <w:rsid w:val="006F1FBC"/>
    <w:rsid w:val="006F464D"/>
    <w:rsid w:val="006F48E4"/>
    <w:rsid w:val="006F51DD"/>
    <w:rsid w:val="006F5CD0"/>
    <w:rsid w:val="006F6099"/>
    <w:rsid w:val="006F660C"/>
    <w:rsid w:val="006F6830"/>
    <w:rsid w:val="006F74D7"/>
    <w:rsid w:val="006F7C7F"/>
    <w:rsid w:val="00700897"/>
    <w:rsid w:val="00702344"/>
    <w:rsid w:val="00702AF2"/>
    <w:rsid w:val="00703D34"/>
    <w:rsid w:val="007047C2"/>
    <w:rsid w:val="007048B9"/>
    <w:rsid w:val="0070545D"/>
    <w:rsid w:val="00705C43"/>
    <w:rsid w:val="00705D14"/>
    <w:rsid w:val="007063EB"/>
    <w:rsid w:val="00707023"/>
    <w:rsid w:val="007072FB"/>
    <w:rsid w:val="00710446"/>
    <w:rsid w:val="0071080A"/>
    <w:rsid w:val="007115CA"/>
    <w:rsid w:val="00712793"/>
    <w:rsid w:val="00713EC9"/>
    <w:rsid w:val="007140BE"/>
    <w:rsid w:val="00714300"/>
    <w:rsid w:val="00714755"/>
    <w:rsid w:val="00714C4E"/>
    <w:rsid w:val="00717D18"/>
    <w:rsid w:val="00724884"/>
    <w:rsid w:val="007263B4"/>
    <w:rsid w:val="007270B6"/>
    <w:rsid w:val="00727928"/>
    <w:rsid w:val="007303EC"/>
    <w:rsid w:val="007303FD"/>
    <w:rsid w:val="00730D40"/>
    <w:rsid w:val="00732DD5"/>
    <w:rsid w:val="00732EC5"/>
    <w:rsid w:val="00732FA2"/>
    <w:rsid w:val="007333E1"/>
    <w:rsid w:val="007334D3"/>
    <w:rsid w:val="00733DF8"/>
    <w:rsid w:val="007341AD"/>
    <w:rsid w:val="00734FB3"/>
    <w:rsid w:val="007379E4"/>
    <w:rsid w:val="00737DA7"/>
    <w:rsid w:val="00741434"/>
    <w:rsid w:val="00741B2D"/>
    <w:rsid w:val="00742AF8"/>
    <w:rsid w:val="00743CA0"/>
    <w:rsid w:val="007478D6"/>
    <w:rsid w:val="007479A3"/>
    <w:rsid w:val="00747EF9"/>
    <w:rsid w:val="00750174"/>
    <w:rsid w:val="0075154A"/>
    <w:rsid w:val="00751CAB"/>
    <w:rsid w:val="00751E49"/>
    <w:rsid w:val="00752A04"/>
    <w:rsid w:val="007531DC"/>
    <w:rsid w:val="0075524F"/>
    <w:rsid w:val="007561FE"/>
    <w:rsid w:val="0075715D"/>
    <w:rsid w:val="00757270"/>
    <w:rsid w:val="007605BD"/>
    <w:rsid w:val="00762310"/>
    <w:rsid w:val="00765719"/>
    <w:rsid w:val="007664EC"/>
    <w:rsid w:val="007668CD"/>
    <w:rsid w:val="00766EAE"/>
    <w:rsid w:val="007726EA"/>
    <w:rsid w:val="00772CC6"/>
    <w:rsid w:val="00773328"/>
    <w:rsid w:val="00773382"/>
    <w:rsid w:val="00773D0D"/>
    <w:rsid w:val="00775A61"/>
    <w:rsid w:val="00781571"/>
    <w:rsid w:val="00782DBE"/>
    <w:rsid w:val="00783768"/>
    <w:rsid w:val="00785C81"/>
    <w:rsid w:val="007864DF"/>
    <w:rsid w:val="007864E7"/>
    <w:rsid w:val="00786D18"/>
    <w:rsid w:val="007878A5"/>
    <w:rsid w:val="00791716"/>
    <w:rsid w:val="0079192F"/>
    <w:rsid w:val="0079368D"/>
    <w:rsid w:val="00793DEA"/>
    <w:rsid w:val="00794CAC"/>
    <w:rsid w:val="0079660C"/>
    <w:rsid w:val="00796CAB"/>
    <w:rsid w:val="00796CB5"/>
    <w:rsid w:val="00796FF1"/>
    <w:rsid w:val="00797CC2"/>
    <w:rsid w:val="007A04D7"/>
    <w:rsid w:val="007A078E"/>
    <w:rsid w:val="007A158C"/>
    <w:rsid w:val="007A18D3"/>
    <w:rsid w:val="007A3605"/>
    <w:rsid w:val="007A5396"/>
    <w:rsid w:val="007A55C4"/>
    <w:rsid w:val="007A5A9A"/>
    <w:rsid w:val="007A6A6E"/>
    <w:rsid w:val="007A751E"/>
    <w:rsid w:val="007A77A4"/>
    <w:rsid w:val="007A7DB7"/>
    <w:rsid w:val="007B0394"/>
    <w:rsid w:val="007B0D79"/>
    <w:rsid w:val="007B2062"/>
    <w:rsid w:val="007B2C1A"/>
    <w:rsid w:val="007B2D1F"/>
    <w:rsid w:val="007B3327"/>
    <w:rsid w:val="007B45F5"/>
    <w:rsid w:val="007B484A"/>
    <w:rsid w:val="007B7095"/>
    <w:rsid w:val="007B7113"/>
    <w:rsid w:val="007B7B94"/>
    <w:rsid w:val="007C044E"/>
    <w:rsid w:val="007C0A72"/>
    <w:rsid w:val="007C2233"/>
    <w:rsid w:val="007C2350"/>
    <w:rsid w:val="007C39F8"/>
    <w:rsid w:val="007C4195"/>
    <w:rsid w:val="007C436A"/>
    <w:rsid w:val="007C6301"/>
    <w:rsid w:val="007C6F55"/>
    <w:rsid w:val="007C7455"/>
    <w:rsid w:val="007D1FFA"/>
    <w:rsid w:val="007D21B5"/>
    <w:rsid w:val="007D23C6"/>
    <w:rsid w:val="007D2B35"/>
    <w:rsid w:val="007D2DCB"/>
    <w:rsid w:val="007D3392"/>
    <w:rsid w:val="007D4C8E"/>
    <w:rsid w:val="007D5FCD"/>
    <w:rsid w:val="007D659F"/>
    <w:rsid w:val="007D783A"/>
    <w:rsid w:val="007D78BB"/>
    <w:rsid w:val="007D7E9D"/>
    <w:rsid w:val="007E0CD4"/>
    <w:rsid w:val="007E0DE4"/>
    <w:rsid w:val="007E2385"/>
    <w:rsid w:val="007E2E54"/>
    <w:rsid w:val="007E4577"/>
    <w:rsid w:val="007E491B"/>
    <w:rsid w:val="007E58EB"/>
    <w:rsid w:val="007E59FB"/>
    <w:rsid w:val="007E6135"/>
    <w:rsid w:val="007F0F33"/>
    <w:rsid w:val="007F34C3"/>
    <w:rsid w:val="007F3B7D"/>
    <w:rsid w:val="007F4370"/>
    <w:rsid w:val="007F4821"/>
    <w:rsid w:val="007F4D91"/>
    <w:rsid w:val="008017D0"/>
    <w:rsid w:val="00802803"/>
    <w:rsid w:val="00803A7B"/>
    <w:rsid w:val="00804825"/>
    <w:rsid w:val="00804BFA"/>
    <w:rsid w:val="00805E78"/>
    <w:rsid w:val="00807539"/>
    <w:rsid w:val="00807C53"/>
    <w:rsid w:val="008105AF"/>
    <w:rsid w:val="00811BA5"/>
    <w:rsid w:val="00811D1A"/>
    <w:rsid w:val="00812D60"/>
    <w:rsid w:val="00812DC8"/>
    <w:rsid w:val="008155BF"/>
    <w:rsid w:val="00815C2B"/>
    <w:rsid w:val="0081660C"/>
    <w:rsid w:val="008166FE"/>
    <w:rsid w:val="00816E87"/>
    <w:rsid w:val="008171DF"/>
    <w:rsid w:val="00821FDE"/>
    <w:rsid w:val="00822C21"/>
    <w:rsid w:val="00822E92"/>
    <w:rsid w:val="00822ECC"/>
    <w:rsid w:val="00824EB8"/>
    <w:rsid w:val="00826A57"/>
    <w:rsid w:val="00830DD8"/>
    <w:rsid w:val="00831147"/>
    <w:rsid w:val="00833E72"/>
    <w:rsid w:val="00834DA7"/>
    <w:rsid w:val="0083579E"/>
    <w:rsid w:val="00836B4A"/>
    <w:rsid w:val="00836F61"/>
    <w:rsid w:val="0083739A"/>
    <w:rsid w:val="00840D23"/>
    <w:rsid w:val="00841CE6"/>
    <w:rsid w:val="00842751"/>
    <w:rsid w:val="008435B0"/>
    <w:rsid w:val="00843767"/>
    <w:rsid w:val="00843CE7"/>
    <w:rsid w:val="00844A0D"/>
    <w:rsid w:val="00845221"/>
    <w:rsid w:val="00845A7E"/>
    <w:rsid w:val="008463C2"/>
    <w:rsid w:val="00846A1B"/>
    <w:rsid w:val="00847491"/>
    <w:rsid w:val="00847FAC"/>
    <w:rsid w:val="00850555"/>
    <w:rsid w:val="00850B9F"/>
    <w:rsid w:val="00852780"/>
    <w:rsid w:val="00852F8A"/>
    <w:rsid w:val="008553F8"/>
    <w:rsid w:val="008570D8"/>
    <w:rsid w:val="00857CE3"/>
    <w:rsid w:val="00861600"/>
    <w:rsid w:val="00861B81"/>
    <w:rsid w:val="00862302"/>
    <w:rsid w:val="008635CB"/>
    <w:rsid w:val="00863C00"/>
    <w:rsid w:val="0086457F"/>
    <w:rsid w:val="0086664D"/>
    <w:rsid w:val="008673F1"/>
    <w:rsid w:val="008675B2"/>
    <w:rsid w:val="00870C74"/>
    <w:rsid w:val="0087102B"/>
    <w:rsid w:val="008727FA"/>
    <w:rsid w:val="0087488B"/>
    <w:rsid w:val="00875ACD"/>
    <w:rsid w:val="00876A13"/>
    <w:rsid w:val="00876F98"/>
    <w:rsid w:val="008776C8"/>
    <w:rsid w:val="008777BC"/>
    <w:rsid w:val="00881358"/>
    <w:rsid w:val="008818BA"/>
    <w:rsid w:val="00881BF6"/>
    <w:rsid w:val="00883C54"/>
    <w:rsid w:val="00884C1F"/>
    <w:rsid w:val="0088788D"/>
    <w:rsid w:val="00890327"/>
    <w:rsid w:val="00891513"/>
    <w:rsid w:val="00891F2C"/>
    <w:rsid w:val="0089321C"/>
    <w:rsid w:val="00893C9C"/>
    <w:rsid w:val="00893F0D"/>
    <w:rsid w:val="00894848"/>
    <w:rsid w:val="008954BA"/>
    <w:rsid w:val="008A054F"/>
    <w:rsid w:val="008A059E"/>
    <w:rsid w:val="008A1151"/>
    <w:rsid w:val="008A1873"/>
    <w:rsid w:val="008A2C97"/>
    <w:rsid w:val="008A3425"/>
    <w:rsid w:val="008A39E3"/>
    <w:rsid w:val="008A7168"/>
    <w:rsid w:val="008A7608"/>
    <w:rsid w:val="008A7715"/>
    <w:rsid w:val="008A77CF"/>
    <w:rsid w:val="008B02E5"/>
    <w:rsid w:val="008B0582"/>
    <w:rsid w:val="008B3378"/>
    <w:rsid w:val="008B4025"/>
    <w:rsid w:val="008B5241"/>
    <w:rsid w:val="008B64B9"/>
    <w:rsid w:val="008B7285"/>
    <w:rsid w:val="008B7616"/>
    <w:rsid w:val="008C0129"/>
    <w:rsid w:val="008C01AD"/>
    <w:rsid w:val="008C0E7E"/>
    <w:rsid w:val="008C346D"/>
    <w:rsid w:val="008C406C"/>
    <w:rsid w:val="008C7EFD"/>
    <w:rsid w:val="008D212A"/>
    <w:rsid w:val="008D2AC5"/>
    <w:rsid w:val="008D2E3F"/>
    <w:rsid w:val="008D368B"/>
    <w:rsid w:val="008D3DEB"/>
    <w:rsid w:val="008D4130"/>
    <w:rsid w:val="008E000E"/>
    <w:rsid w:val="008E0A46"/>
    <w:rsid w:val="008E0A9C"/>
    <w:rsid w:val="008E17DB"/>
    <w:rsid w:val="008E1C2C"/>
    <w:rsid w:val="008E263B"/>
    <w:rsid w:val="008E2EAC"/>
    <w:rsid w:val="008E3481"/>
    <w:rsid w:val="008E4E0F"/>
    <w:rsid w:val="008E4F41"/>
    <w:rsid w:val="008E5525"/>
    <w:rsid w:val="008E6BF7"/>
    <w:rsid w:val="008E7100"/>
    <w:rsid w:val="008E73BA"/>
    <w:rsid w:val="008E743F"/>
    <w:rsid w:val="008F17A5"/>
    <w:rsid w:val="008F1AB6"/>
    <w:rsid w:val="008F1AC8"/>
    <w:rsid w:val="008F37FE"/>
    <w:rsid w:val="008F3C05"/>
    <w:rsid w:val="008F492F"/>
    <w:rsid w:val="008F60B1"/>
    <w:rsid w:val="008F6ED9"/>
    <w:rsid w:val="008F702F"/>
    <w:rsid w:val="008F7FA2"/>
    <w:rsid w:val="00900181"/>
    <w:rsid w:val="00901213"/>
    <w:rsid w:val="00902BD0"/>
    <w:rsid w:val="00902D43"/>
    <w:rsid w:val="00903E10"/>
    <w:rsid w:val="00903EA6"/>
    <w:rsid w:val="00903EF9"/>
    <w:rsid w:val="00906775"/>
    <w:rsid w:val="00906E35"/>
    <w:rsid w:val="00907530"/>
    <w:rsid w:val="009077E2"/>
    <w:rsid w:val="00910FE7"/>
    <w:rsid w:val="00911A6E"/>
    <w:rsid w:val="00915955"/>
    <w:rsid w:val="00916310"/>
    <w:rsid w:val="00916A59"/>
    <w:rsid w:val="00921C97"/>
    <w:rsid w:val="009222B1"/>
    <w:rsid w:val="00927D40"/>
    <w:rsid w:val="00930784"/>
    <w:rsid w:val="009309FE"/>
    <w:rsid w:val="009318E4"/>
    <w:rsid w:val="00932178"/>
    <w:rsid w:val="00932439"/>
    <w:rsid w:val="009327AE"/>
    <w:rsid w:val="00933A3B"/>
    <w:rsid w:val="00937296"/>
    <w:rsid w:val="009408B9"/>
    <w:rsid w:val="0094295D"/>
    <w:rsid w:val="00942CA9"/>
    <w:rsid w:val="00942E23"/>
    <w:rsid w:val="0094381E"/>
    <w:rsid w:val="00944291"/>
    <w:rsid w:val="00944F66"/>
    <w:rsid w:val="0094556F"/>
    <w:rsid w:val="009459EC"/>
    <w:rsid w:val="009460D1"/>
    <w:rsid w:val="00946225"/>
    <w:rsid w:val="00950F40"/>
    <w:rsid w:val="00951486"/>
    <w:rsid w:val="00952003"/>
    <w:rsid w:val="00953ED8"/>
    <w:rsid w:val="00955A16"/>
    <w:rsid w:val="009561A0"/>
    <w:rsid w:val="00956525"/>
    <w:rsid w:val="00956B63"/>
    <w:rsid w:val="009573E7"/>
    <w:rsid w:val="00957835"/>
    <w:rsid w:val="009607A5"/>
    <w:rsid w:val="009608D0"/>
    <w:rsid w:val="00961D4D"/>
    <w:rsid w:val="00961F1E"/>
    <w:rsid w:val="00962456"/>
    <w:rsid w:val="009625F7"/>
    <w:rsid w:val="00963FAF"/>
    <w:rsid w:val="00967B8E"/>
    <w:rsid w:val="009702B8"/>
    <w:rsid w:val="009705CE"/>
    <w:rsid w:val="009716B6"/>
    <w:rsid w:val="00972C71"/>
    <w:rsid w:val="00974CD5"/>
    <w:rsid w:val="00974DB3"/>
    <w:rsid w:val="00974DDC"/>
    <w:rsid w:val="00976D9C"/>
    <w:rsid w:val="009774F4"/>
    <w:rsid w:val="00977F70"/>
    <w:rsid w:val="00980007"/>
    <w:rsid w:val="00980736"/>
    <w:rsid w:val="00980BCA"/>
    <w:rsid w:val="00981470"/>
    <w:rsid w:val="009815F8"/>
    <w:rsid w:val="00983448"/>
    <w:rsid w:val="0098623F"/>
    <w:rsid w:val="009865FC"/>
    <w:rsid w:val="0099056B"/>
    <w:rsid w:val="009940EC"/>
    <w:rsid w:val="009976D7"/>
    <w:rsid w:val="009A02C8"/>
    <w:rsid w:val="009A1699"/>
    <w:rsid w:val="009A1A07"/>
    <w:rsid w:val="009A1E16"/>
    <w:rsid w:val="009A2395"/>
    <w:rsid w:val="009A2EE7"/>
    <w:rsid w:val="009A3271"/>
    <w:rsid w:val="009A359B"/>
    <w:rsid w:val="009A367C"/>
    <w:rsid w:val="009A3862"/>
    <w:rsid w:val="009A3B25"/>
    <w:rsid w:val="009A3D8F"/>
    <w:rsid w:val="009A50E5"/>
    <w:rsid w:val="009A5E29"/>
    <w:rsid w:val="009A67D4"/>
    <w:rsid w:val="009A756B"/>
    <w:rsid w:val="009B0C91"/>
    <w:rsid w:val="009B25F7"/>
    <w:rsid w:val="009B2CEE"/>
    <w:rsid w:val="009B34DA"/>
    <w:rsid w:val="009B3D55"/>
    <w:rsid w:val="009B3F7E"/>
    <w:rsid w:val="009B43C2"/>
    <w:rsid w:val="009B6060"/>
    <w:rsid w:val="009B6376"/>
    <w:rsid w:val="009B78FF"/>
    <w:rsid w:val="009B7CAE"/>
    <w:rsid w:val="009C007A"/>
    <w:rsid w:val="009C0B22"/>
    <w:rsid w:val="009C108E"/>
    <w:rsid w:val="009C1AA0"/>
    <w:rsid w:val="009C6FE1"/>
    <w:rsid w:val="009C7CCD"/>
    <w:rsid w:val="009D081E"/>
    <w:rsid w:val="009D2277"/>
    <w:rsid w:val="009D2CB5"/>
    <w:rsid w:val="009D44FB"/>
    <w:rsid w:val="009D4E03"/>
    <w:rsid w:val="009D581B"/>
    <w:rsid w:val="009D73EB"/>
    <w:rsid w:val="009E087C"/>
    <w:rsid w:val="009E24F9"/>
    <w:rsid w:val="009E3A2A"/>
    <w:rsid w:val="009E3ABB"/>
    <w:rsid w:val="009E3E3B"/>
    <w:rsid w:val="009E3FEF"/>
    <w:rsid w:val="009E4BF4"/>
    <w:rsid w:val="009E4D28"/>
    <w:rsid w:val="009E4FE7"/>
    <w:rsid w:val="009E572F"/>
    <w:rsid w:val="009E57F4"/>
    <w:rsid w:val="009E5A70"/>
    <w:rsid w:val="009E6A9C"/>
    <w:rsid w:val="009E770B"/>
    <w:rsid w:val="009F07C0"/>
    <w:rsid w:val="009F14AA"/>
    <w:rsid w:val="009F1DCC"/>
    <w:rsid w:val="009F2A2F"/>
    <w:rsid w:val="009F2B63"/>
    <w:rsid w:val="009F368B"/>
    <w:rsid w:val="009F398E"/>
    <w:rsid w:val="009F5C0A"/>
    <w:rsid w:val="009F5E03"/>
    <w:rsid w:val="009F60B5"/>
    <w:rsid w:val="009F798C"/>
    <w:rsid w:val="00A01937"/>
    <w:rsid w:val="00A0198A"/>
    <w:rsid w:val="00A019CC"/>
    <w:rsid w:val="00A02826"/>
    <w:rsid w:val="00A03851"/>
    <w:rsid w:val="00A04709"/>
    <w:rsid w:val="00A04753"/>
    <w:rsid w:val="00A050AB"/>
    <w:rsid w:val="00A07B56"/>
    <w:rsid w:val="00A10E7E"/>
    <w:rsid w:val="00A11579"/>
    <w:rsid w:val="00A117A0"/>
    <w:rsid w:val="00A1295C"/>
    <w:rsid w:val="00A12C1F"/>
    <w:rsid w:val="00A13204"/>
    <w:rsid w:val="00A136D7"/>
    <w:rsid w:val="00A14BDB"/>
    <w:rsid w:val="00A17529"/>
    <w:rsid w:val="00A2087F"/>
    <w:rsid w:val="00A25CBA"/>
    <w:rsid w:val="00A264D9"/>
    <w:rsid w:val="00A27214"/>
    <w:rsid w:val="00A3254D"/>
    <w:rsid w:val="00A32CCF"/>
    <w:rsid w:val="00A33E26"/>
    <w:rsid w:val="00A34058"/>
    <w:rsid w:val="00A3413D"/>
    <w:rsid w:val="00A35730"/>
    <w:rsid w:val="00A35D1B"/>
    <w:rsid w:val="00A35DFF"/>
    <w:rsid w:val="00A35FD4"/>
    <w:rsid w:val="00A4023A"/>
    <w:rsid w:val="00A406F8"/>
    <w:rsid w:val="00A40F3C"/>
    <w:rsid w:val="00A41692"/>
    <w:rsid w:val="00A43DB6"/>
    <w:rsid w:val="00A44C20"/>
    <w:rsid w:val="00A44F58"/>
    <w:rsid w:val="00A45AB1"/>
    <w:rsid w:val="00A468E5"/>
    <w:rsid w:val="00A47C48"/>
    <w:rsid w:val="00A53CF5"/>
    <w:rsid w:val="00A53E81"/>
    <w:rsid w:val="00A53F99"/>
    <w:rsid w:val="00A54179"/>
    <w:rsid w:val="00A54ABB"/>
    <w:rsid w:val="00A5793F"/>
    <w:rsid w:val="00A61671"/>
    <w:rsid w:val="00A628AB"/>
    <w:rsid w:val="00A63363"/>
    <w:rsid w:val="00A6394A"/>
    <w:rsid w:val="00A6405C"/>
    <w:rsid w:val="00A6415B"/>
    <w:rsid w:val="00A65656"/>
    <w:rsid w:val="00A6609A"/>
    <w:rsid w:val="00A66932"/>
    <w:rsid w:val="00A701B1"/>
    <w:rsid w:val="00A709A0"/>
    <w:rsid w:val="00A70B20"/>
    <w:rsid w:val="00A7128E"/>
    <w:rsid w:val="00A712C4"/>
    <w:rsid w:val="00A729F3"/>
    <w:rsid w:val="00A73603"/>
    <w:rsid w:val="00A73CE1"/>
    <w:rsid w:val="00A73D6B"/>
    <w:rsid w:val="00A754F7"/>
    <w:rsid w:val="00A762AD"/>
    <w:rsid w:val="00A774D6"/>
    <w:rsid w:val="00A7754A"/>
    <w:rsid w:val="00A80AF8"/>
    <w:rsid w:val="00A814C9"/>
    <w:rsid w:val="00A838EF"/>
    <w:rsid w:val="00A83B92"/>
    <w:rsid w:val="00A83EB8"/>
    <w:rsid w:val="00A84517"/>
    <w:rsid w:val="00A84841"/>
    <w:rsid w:val="00A85AE7"/>
    <w:rsid w:val="00A85D55"/>
    <w:rsid w:val="00A863C7"/>
    <w:rsid w:val="00A86D76"/>
    <w:rsid w:val="00A90843"/>
    <w:rsid w:val="00A90CB2"/>
    <w:rsid w:val="00A9109C"/>
    <w:rsid w:val="00A917C2"/>
    <w:rsid w:val="00A9186B"/>
    <w:rsid w:val="00A94E08"/>
    <w:rsid w:val="00A96232"/>
    <w:rsid w:val="00A96315"/>
    <w:rsid w:val="00A96D4C"/>
    <w:rsid w:val="00AA022B"/>
    <w:rsid w:val="00AA2182"/>
    <w:rsid w:val="00AA225F"/>
    <w:rsid w:val="00AA264C"/>
    <w:rsid w:val="00AA3E1B"/>
    <w:rsid w:val="00AA6E71"/>
    <w:rsid w:val="00AB1253"/>
    <w:rsid w:val="00AB20E6"/>
    <w:rsid w:val="00AB3B38"/>
    <w:rsid w:val="00AB3D0E"/>
    <w:rsid w:val="00AB632F"/>
    <w:rsid w:val="00AB65EF"/>
    <w:rsid w:val="00AB7301"/>
    <w:rsid w:val="00AB74F1"/>
    <w:rsid w:val="00AC0B9D"/>
    <w:rsid w:val="00AC0E4A"/>
    <w:rsid w:val="00AC1CDB"/>
    <w:rsid w:val="00AC1E71"/>
    <w:rsid w:val="00AC278B"/>
    <w:rsid w:val="00AC2CBD"/>
    <w:rsid w:val="00AC3C1B"/>
    <w:rsid w:val="00AC4C4B"/>
    <w:rsid w:val="00AC56AF"/>
    <w:rsid w:val="00AC610C"/>
    <w:rsid w:val="00AC64B5"/>
    <w:rsid w:val="00AD1877"/>
    <w:rsid w:val="00AD224D"/>
    <w:rsid w:val="00AD2BA2"/>
    <w:rsid w:val="00AD3C01"/>
    <w:rsid w:val="00AD3C96"/>
    <w:rsid w:val="00AD3E32"/>
    <w:rsid w:val="00AD46FE"/>
    <w:rsid w:val="00AD55A5"/>
    <w:rsid w:val="00AD5CA9"/>
    <w:rsid w:val="00AD6C1F"/>
    <w:rsid w:val="00AE1703"/>
    <w:rsid w:val="00AE18C7"/>
    <w:rsid w:val="00AE2039"/>
    <w:rsid w:val="00AE22FD"/>
    <w:rsid w:val="00AE5902"/>
    <w:rsid w:val="00AE5DE7"/>
    <w:rsid w:val="00AF2F77"/>
    <w:rsid w:val="00AF3633"/>
    <w:rsid w:val="00AF4956"/>
    <w:rsid w:val="00AF4B6C"/>
    <w:rsid w:val="00AF4EE0"/>
    <w:rsid w:val="00AF5655"/>
    <w:rsid w:val="00AF5902"/>
    <w:rsid w:val="00AF640B"/>
    <w:rsid w:val="00AF7862"/>
    <w:rsid w:val="00B00281"/>
    <w:rsid w:val="00B013AB"/>
    <w:rsid w:val="00B021EB"/>
    <w:rsid w:val="00B0406C"/>
    <w:rsid w:val="00B069C8"/>
    <w:rsid w:val="00B069F2"/>
    <w:rsid w:val="00B07623"/>
    <w:rsid w:val="00B1095F"/>
    <w:rsid w:val="00B10CFC"/>
    <w:rsid w:val="00B1128D"/>
    <w:rsid w:val="00B11C3B"/>
    <w:rsid w:val="00B125D3"/>
    <w:rsid w:val="00B12DE4"/>
    <w:rsid w:val="00B14CBB"/>
    <w:rsid w:val="00B14EC4"/>
    <w:rsid w:val="00B15E79"/>
    <w:rsid w:val="00B15EE3"/>
    <w:rsid w:val="00B16972"/>
    <w:rsid w:val="00B17297"/>
    <w:rsid w:val="00B1769C"/>
    <w:rsid w:val="00B211D4"/>
    <w:rsid w:val="00B23907"/>
    <w:rsid w:val="00B23B1A"/>
    <w:rsid w:val="00B24BD6"/>
    <w:rsid w:val="00B2512C"/>
    <w:rsid w:val="00B2528F"/>
    <w:rsid w:val="00B25926"/>
    <w:rsid w:val="00B26F9B"/>
    <w:rsid w:val="00B27626"/>
    <w:rsid w:val="00B2769F"/>
    <w:rsid w:val="00B308FA"/>
    <w:rsid w:val="00B30FE8"/>
    <w:rsid w:val="00B31039"/>
    <w:rsid w:val="00B33B2B"/>
    <w:rsid w:val="00B33BCD"/>
    <w:rsid w:val="00B343AC"/>
    <w:rsid w:val="00B3487A"/>
    <w:rsid w:val="00B34E5E"/>
    <w:rsid w:val="00B3594A"/>
    <w:rsid w:val="00B3786A"/>
    <w:rsid w:val="00B37D94"/>
    <w:rsid w:val="00B40313"/>
    <w:rsid w:val="00B40457"/>
    <w:rsid w:val="00B415A2"/>
    <w:rsid w:val="00B416C9"/>
    <w:rsid w:val="00B43379"/>
    <w:rsid w:val="00B43D1F"/>
    <w:rsid w:val="00B441F8"/>
    <w:rsid w:val="00B4518B"/>
    <w:rsid w:val="00B45FD0"/>
    <w:rsid w:val="00B464E9"/>
    <w:rsid w:val="00B4681C"/>
    <w:rsid w:val="00B5042A"/>
    <w:rsid w:val="00B5047C"/>
    <w:rsid w:val="00B50A15"/>
    <w:rsid w:val="00B50E4C"/>
    <w:rsid w:val="00B516A9"/>
    <w:rsid w:val="00B52126"/>
    <w:rsid w:val="00B528CC"/>
    <w:rsid w:val="00B539B8"/>
    <w:rsid w:val="00B5400E"/>
    <w:rsid w:val="00B55882"/>
    <w:rsid w:val="00B558EA"/>
    <w:rsid w:val="00B5687A"/>
    <w:rsid w:val="00B56D5F"/>
    <w:rsid w:val="00B57F31"/>
    <w:rsid w:val="00B604C2"/>
    <w:rsid w:val="00B613A9"/>
    <w:rsid w:val="00B61B90"/>
    <w:rsid w:val="00B61D8E"/>
    <w:rsid w:val="00B633BF"/>
    <w:rsid w:val="00B64ABE"/>
    <w:rsid w:val="00B64C21"/>
    <w:rsid w:val="00B65970"/>
    <w:rsid w:val="00B6640E"/>
    <w:rsid w:val="00B67B2E"/>
    <w:rsid w:val="00B70585"/>
    <w:rsid w:val="00B708E9"/>
    <w:rsid w:val="00B73140"/>
    <w:rsid w:val="00B73493"/>
    <w:rsid w:val="00B738E6"/>
    <w:rsid w:val="00B73F5A"/>
    <w:rsid w:val="00B7463A"/>
    <w:rsid w:val="00B77953"/>
    <w:rsid w:val="00B80D86"/>
    <w:rsid w:val="00B80FAD"/>
    <w:rsid w:val="00B82270"/>
    <w:rsid w:val="00B84581"/>
    <w:rsid w:val="00B850E2"/>
    <w:rsid w:val="00B860DC"/>
    <w:rsid w:val="00B86FB3"/>
    <w:rsid w:val="00B905D8"/>
    <w:rsid w:val="00B90FEA"/>
    <w:rsid w:val="00B91780"/>
    <w:rsid w:val="00B91AE6"/>
    <w:rsid w:val="00B922F6"/>
    <w:rsid w:val="00B93A39"/>
    <w:rsid w:val="00B942AB"/>
    <w:rsid w:val="00B94731"/>
    <w:rsid w:val="00B94990"/>
    <w:rsid w:val="00B9621F"/>
    <w:rsid w:val="00BA0079"/>
    <w:rsid w:val="00BA108C"/>
    <w:rsid w:val="00BA14B2"/>
    <w:rsid w:val="00BA3DD3"/>
    <w:rsid w:val="00BA4645"/>
    <w:rsid w:val="00BA6344"/>
    <w:rsid w:val="00BA666A"/>
    <w:rsid w:val="00BA683D"/>
    <w:rsid w:val="00BA76A7"/>
    <w:rsid w:val="00BA794A"/>
    <w:rsid w:val="00BA7FAC"/>
    <w:rsid w:val="00BB02BB"/>
    <w:rsid w:val="00BB0DCA"/>
    <w:rsid w:val="00BB10CC"/>
    <w:rsid w:val="00BB3D29"/>
    <w:rsid w:val="00BB52D2"/>
    <w:rsid w:val="00BB5400"/>
    <w:rsid w:val="00BB54DC"/>
    <w:rsid w:val="00BB5AB1"/>
    <w:rsid w:val="00BB5B6F"/>
    <w:rsid w:val="00BB651E"/>
    <w:rsid w:val="00BC0076"/>
    <w:rsid w:val="00BC0080"/>
    <w:rsid w:val="00BC00A2"/>
    <w:rsid w:val="00BC11EE"/>
    <w:rsid w:val="00BC1225"/>
    <w:rsid w:val="00BC1DFA"/>
    <w:rsid w:val="00BC34C0"/>
    <w:rsid w:val="00BC3C10"/>
    <w:rsid w:val="00BC3CA8"/>
    <w:rsid w:val="00BC4355"/>
    <w:rsid w:val="00BC4AE1"/>
    <w:rsid w:val="00BC4AEE"/>
    <w:rsid w:val="00BC5021"/>
    <w:rsid w:val="00BC55C0"/>
    <w:rsid w:val="00BC5D40"/>
    <w:rsid w:val="00BC7537"/>
    <w:rsid w:val="00BD064A"/>
    <w:rsid w:val="00BD1177"/>
    <w:rsid w:val="00BD4A1B"/>
    <w:rsid w:val="00BD6054"/>
    <w:rsid w:val="00BD6C22"/>
    <w:rsid w:val="00BE0B20"/>
    <w:rsid w:val="00BE0FD2"/>
    <w:rsid w:val="00BE1127"/>
    <w:rsid w:val="00BE155C"/>
    <w:rsid w:val="00BE21C7"/>
    <w:rsid w:val="00BE2924"/>
    <w:rsid w:val="00BE35EA"/>
    <w:rsid w:val="00BE3B1E"/>
    <w:rsid w:val="00BE406B"/>
    <w:rsid w:val="00BE62FB"/>
    <w:rsid w:val="00BE7300"/>
    <w:rsid w:val="00BE792A"/>
    <w:rsid w:val="00BE7B94"/>
    <w:rsid w:val="00BF1231"/>
    <w:rsid w:val="00BF1C08"/>
    <w:rsid w:val="00BF1DC9"/>
    <w:rsid w:val="00BF2B81"/>
    <w:rsid w:val="00BF2C14"/>
    <w:rsid w:val="00BF408F"/>
    <w:rsid w:val="00BF56F1"/>
    <w:rsid w:val="00BF6370"/>
    <w:rsid w:val="00BF66AF"/>
    <w:rsid w:val="00C01AD6"/>
    <w:rsid w:val="00C02642"/>
    <w:rsid w:val="00C03434"/>
    <w:rsid w:val="00C0758C"/>
    <w:rsid w:val="00C07D7B"/>
    <w:rsid w:val="00C10004"/>
    <w:rsid w:val="00C104C9"/>
    <w:rsid w:val="00C10BDC"/>
    <w:rsid w:val="00C12519"/>
    <w:rsid w:val="00C126CD"/>
    <w:rsid w:val="00C13B2C"/>
    <w:rsid w:val="00C13F74"/>
    <w:rsid w:val="00C145A0"/>
    <w:rsid w:val="00C1556B"/>
    <w:rsid w:val="00C155FC"/>
    <w:rsid w:val="00C15D5B"/>
    <w:rsid w:val="00C165A6"/>
    <w:rsid w:val="00C172D1"/>
    <w:rsid w:val="00C20258"/>
    <w:rsid w:val="00C20CFE"/>
    <w:rsid w:val="00C22459"/>
    <w:rsid w:val="00C23199"/>
    <w:rsid w:val="00C24AC0"/>
    <w:rsid w:val="00C27F9D"/>
    <w:rsid w:val="00C30627"/>
    <w:rsid w:val="00C306D7"/>
    <w:rsid w:val="00C30C70"/>
    <w:rsid w:val="00C31456"/>
    <w:rsid w:val="00C324FD"/>
    <w:rsid w:val="00C331FD"/>
    <w:rsid w:val="00C33336"/>
    <w:rsid w:val="00C33A4A"/>
    <w:rsid w:val="00C33A73"/>
    <w:rsid w:val="00C35598"/>
    <w:rsid w:val="00C35BDE"/>
    <w:rsid w:val="00C3744D"/>
    <w:rsid w:val="00C379ED"/>
    <w:rsid w:val="00C4001A"/>
    <w:rsid w:val="00C402AE"/>
    <w:rsid w:val="00C40BE0"/>
    <w:rsid w:val="00C41084"/>
    <w:rsid w:val="00C43920"/>
    <w:rsid w:val="00C43C9A"/>
    <w:rsid w:val="00C4457C"/>
    <w:rsid w:val="00C45BB2"/>
    <w:rsid w:val="00C46BD8"/>
    <w:rsid w:val="00C47777"/>
    <w:rsid w:val="00C50231"/>
    <w:rsid w:val="00C50C65"/>
    <w:rsid w:val="00C51FA8"/>
    <w:rsid w:val="00C5358A"/>
    <w:rsid w:val="00C543D4"/>
    <w:rsid w:val="00C555B2"/>
    <w:rsid w:val="00C570FC"/>
    <w:rsid w:val="00C57713"/>
    <w:rsid w:val="00C60D32"/>
    <w:rsid w:val="00C611F3"/>
    <w:rsid w:val="00C61FD8"/>
    <w:rsid w:val="00C62DC8"/>
    <w:rsid w:val="00C630E8"/>
    <w:rsid w:val="00C63CD3"/>
    <w:rsid w:val="00C642B0"/>
    <w:rsid w:val="00C647DF"/>
    <w:rsid w:val="00C651CD"/>
    <w:rsid w:val="00C6580E"/>
    <w:rsid w:val="00C66D39"/>
    <w:rsid w:val="00C67621"/>
    <w:rsid w:val="00C676D6"/>
    <w:rsid w:val="00C701CA"/>
    <w:rsid w:val="00C70980"/>
    <w:rsid w:val="00C71907"/>
    <w:rsid w:val="00C73567"/>
    <w:rsid w:val="00C73993"/>
    <w:rsid w:val="00C74442"/>
    <w:rsid w:val="00C7522E"/>
    <w:rsid w:val="00C77BD6"/>
    <w:rsid w:val="00C80FAC"/>
    <w:rsid w:val="00C8132E"/>
    <w:rsid w:val="00C83040"/>
    <w:rsid w:val="00C83141"/>
    <w:rsid w:val="00C84E80"/>
    <w:rsid w:val="00C8557B"/>
    <w:rsid w:val="00C87262"/>
    <w:rsid w:val="00C90DFD"/>
    <w:rsid w:val="00C91213"/>
    <w:rsid w:val="00C9177C"/>
    <w:rsid w:val="00C91A55"/>
    <w:rsid w:val="00C91FC3"/>
    <w:rsid w:val="00C9356C"/>
    <w:rsid w:val="00C93DC6"/>
    <w:rsid w:val="00C96802"/>
    <w:rsid w:val="00CA04C1"/>
    <w:rsid w:val="00CA15F1"/>
    <w:rsid w:val="00CA1753"/>
    <w:rsid w:val="00CA18CD"/>
    <w:rsid w:val="00CA1E31"/>
    <w:rsid w:val="00CA1F26"/>
    <w:rsid w:val="00CA3484"/>
    <w:rsid w:val="00CA3D0F"/>
    <w:rsid w:val="00CA4098"/>
    <w:rsid w:val="00CA54F9"/>
    <w:rsid w:val="00CA5549"/>
    <w:rsid w:val="00CA5575"/>
    <w:rsid w:val="00CA7572"/>
    <w:rsid w:val="00CA7833"/>
    <w:rsid w:val="00CB1386"/>
    <w:rsid w:val="00CB2F1F"/>
    <w:rsid w:val="00CB3F11"/>
    <w:rsid w:val="00CB4201"/>
    <w:rsid w:val="00CB469B"/>
    <w:rsid w:val="00CB4776"/>
    <w:rsid w:val="00CB5752"/>
    <w:rsid w:val="00CB5766"/>
    <w:rsid w:val="00CB5C9B"/>
    <w:rsid w:val="00CB6423"/>
    <w:rsid w:val="00CB66BC"/>
    <w:rsid w:val="00CB6F1B"/>
    <w:rsid w:val="00CB7978"/>
    <w:rsid w:val="00CC1882"/>
    <w:rsid w:val="00CC21BC"/>
    <w:rsid w:val="00CC229E"/>
    <w:rsid w:val="00CC42AC"/>
    <w:rsid w:val="00CC554E"/>
    <w:rsid w:val="00CC76D3"/>
    <w:rsid w:val="00CD079D"/>
    <w:rsid w:val="00CD306E"/>
    <w:rsid w:val="00CD358A"/>
    <w:rsid w:val="00CD3D6F"/>
    <w:rsid w:val="00CD41C0"/>
    <w:rsid w:val="00CD49EC"/>
    <w:rsid w:val="00CD520C"/>
    <w:rsid w:val="00CD52BE"/>
    <w:rsid w:val="00CD5E3A"/>
    <w:rsid w:val="00CD62A4"/>
    <w:rsid w:val="00CD79D9"/>
    <w:rsid w:val="00CD7DF7"/>
    <w:rsid w:val="00CE3DE7"/>
    <w:rsid w:val="00CE4BDC"/>
    <w:rsid w:val="00CE5098"/>
    <w:rsid w:val="00CE559C"/>
    <w:rsid w:val="00CE569B"/>
    <w:rsid w:val="00CE5728"/>
    <w:rsid w:val="00CE5766"/>
    <w:rsid w:val="00CE58BC"/>
    <w:rsid w:val="00CE5A84"/>
    <w:rsid w:val="00CE6BC9"/>
    <w:rsid w:val="00CE7B19"/>
    <w:rsid w:val="00CF0476"/>
    <w:rsid w:val="00CF0B9E"/>
    <w:rsid w:val="00CF1259"/>
    <w:rsid w:val="00CF1906"/>
    <w:rsid w:val="00CF1D8E"/>
    <w:rsid w:val="00CF1EAC"/>
    <w:rsid w:val="00CF63B7"/>
    <w:rsid w:val="00CF67D8"/>
    <w:rsid w:val="00CF6C76"/>
    <w:rsid w:val="00CF73E7"/>
    <w:rsid w:val="00CF7596"/>
    <w:rsid w:val="00D008FC"/>
    <w:rsid w:val="00D009BA"/>
    <w:rsid w:val="00D01360"/>
    <w:rsid w:val="00D0331D"/>
    <w:rsid w:val="00D052BD"/>
    <w:rsid w:val="00D059AF"/>
    <w:rsid w:val="00D05FE7"/>
    <w:rsid w:val="00D06250"/>
    <w:rsid w:val="00D07910"/>
    <w:rsid w:val="00D07ABC"/>
    <w:rsid w:val="00D11BBD"/>
    <w:rsid w:val="00D1458C"/>
    <w:rsid w:val="00D1545D"/>
    <w:rsid w:val="00D1658C"/>
    <w:rsid w:val="00D167F7"/>
    <w:rsid w:val="00D177C7"/>
    <w:rsid w:val="00D2151A"/>
    <w:rsid w:val="00D236D8"/>
    <w:rsid w:val="00D23CAD"/>
    <w:rsid w:val="00D24145"/>
    <w:rsid w:val="00D24685"/>
    <w:rsid w:val="00D24B19"/>
    <w:rsid w:val="00D24D7E"/>
    <w:rsid w:val="00D25ABC"/>
    <w:rsid w:val="00D26020"/>
    <w:rsid w:val="00D2659A"/>
    <w:rsid w:val="00D26C4D"/>
    <w:rsid w:val="00D30D98"/>
    <w:rsid w:val="00D31459"/>
    <w:rsid w:val="00D35120"/>
    <w:rsid w:val="00D3551D"/>
    <w:rsid w:val="00D356A5"/>
    <w:rsid w:val="00D3677A"/>
    <w:rsid w:val="00D374B6"/>
    <w:rsid w:val="00D401CD"/>
    <w:rsid w:val="00D410FD"/>
    <w:rsid w:val="00D423CB"/>
    <w:rsid w:val="00D42CC3"/>
    <w:rsid w:val="00D42F3F"/>
    <w:rsid w:val="00D43059"/>
    <w:rsid w:val="00D450D7"/>
    <w:rsid w:val="00D45607"/>
    <w:rsid w:val="00D45A7A"/>
    <w:rsid w:val="00D46EB0"/>
    <w:rsid w:val="00D46FE3"/>
    <w:rsid w:val="00D47FF8"/>
    <w:rsid w:val="00D5073C"/>
    <w:rsid w:val="00D518F7"/>
    <w:rsid w:val="00D53522"/>
    <w:rsid w:val="00D54919"/>
    <w:rsid w:val="00D56315"/>
    <w:rsid w:val="00D56DC4"/>
    <w:rsid w:val="00D5793C"/>
    <w:rsid w:val="00D57C20"/>
    <w:rsid w:val="00D57F33"/>
    <w:rsid w:val="00D60E1C"/>
    <w:rsid w:val="00D60EAC"/>
    <w:rsid w:val="00D637EE"/>
    <w:rsid w:val="00D6578B"/>
    <w:rsid w:val="00D66D59"/>
    <w:rsid w:val="00D66F2B"/>
    <w:rsid w:val="00D674A7"/>
    <w:rsid w:val="00D67D69"/>
    <w:rsid w:val="00D7063E"/>
    <w:rsid w:val="00D7140B"/>
    <w:rsid w:val="00D717BD"/>
    <w:rsid w:val="00D71921"/>
    <w:rsid w:val="00D736A0"/>
    <w:rsid w:val="00D740D1"/>
    <w:rsid w:val="00D74210"/>
    <w:rsid w:val="00D7434E"/>
    <w:rsid w:val="00D74384"/>
    <w:rsid w:val="00D76E42"/>
    <w:rsid w:val="00D7769C"/>
    <w:rsid w:val="00D8088E"/>
    <w:rsid w:val="00D81EB7"/>
    <w:rsid w:val="00D82480"/>
    <w:rsid w:val="00D840F7"/>
    <w:rsid w:val="00D8529D"/>
    <w:rsid w:val="00D858C4"/>
    <w:rsid w:val="00D85DCE"/>
    <w:rsid w:val="00D87589"/>
    <w:rsid w:val="00D90351"/>
    <w:rsid w:val="00D9172D"/>
    <w:rsid w:val="00D918D6"/>
    <w:rsid w:val="00D920B8"/>
    <w:rsid w:val="00D92B4A"/>
    <w:rsid w:val="00D941BC"/>
    <w:rsid w:val="00D9462F"/>
    <w:rsid w:val="00D94C51"/>
    <w:rsid w:val="00D953F6"/>
    <w:rsid w:val="00D953F7"/>
    <w:rsid w:val="00D95D47"/>
    <w:rsid w:val="00D9758D"/>
    <w:rsid w:val="00D97B49"/>
    <w:rsid w:val="00DA00E1"/>
    <w:rsid w:val="00DA16EC"/>
    <w:rsid w:val="00DA19EB"/>
    <w:rsid w:val="00DA1F5A"/>
    <w:rsid w:val="00DA2187"/>
    <w:rsid w:val="00DA3D30"/>
    <w:rsid w:val="00DA3D61"/>
    <w:rsid w:val="00DA5092"/>
    <w:rsid w:val="00DB0929"/>
    <w:rsid w:val="00DB2A48"/>
    <w:rsid w:val="00DB3282"/>
    <w:rsid w:val="00DB3B5B"/>
    <w:rsid w:val="00DB4CF5"/>
    <w:rsid w:val="00DB4F76"/>
    <w:rsid w:val="00DB696E"/>
    <w:rsid w:val="00DB7A52"/>
    <w:rsid w:val="00DC00CE"/>
    <w:rsid w:val="00DC00E1"/>
    <w:rsid w:val="00DC555B"/>
    <w:rsid w:val="00DC68F8"/>
    <w:rsid w:val="00DC6B49"/>
    <w:rsid w:val="00DC757F"/>
    <w:rsid w:val="00DD169C"/>
    <w:rsid w:val="00DD259F"/>
    <w:rsid w:val="00DD399C"/>
    <w:rsid w:val="00DD3ADD"/>
    <w:rsid w:val="00DD43C6"/>
    <w:rsid w:val="00DD506B"/>
    <w:rsid w:val="00DD51A7"/>
    <w:rsid w:val="00DD5B29"/>
    <w:rsid w:val="00DD65A4"/>
    <w:rsid w:val="00DD79F2"/>
    <w:rsid w:val="00DE0A41"/>
    <w:rsid w:val="00DE29DA"/>
    <w:rsid w:val="00DE2AF0"/>
    <w:rsid w:val="00DE48B3"/>
    <w:rsid w:val="00DE52E7"/>
    <w:rsid w:val="00DE548E"/>
    <w:rsid w:val="00DE6536"/>
    <w:rsid w:val="00DF0B3A"/>
    <w:rsid w:val="00DF2740"/>
    <w:rsid w:val="00DF5DC6"/>
    <w:rsid w:val="00DF66C7"/>
    <w:rsid w:val="00DF68B0"/>
    <w:rsid w:val="00DF7BC4"/>
    <w:rsid w:val="00E00B29"/>
    <w:rsid w:val="00E01ACF"/>
    <w:rsid w:val="00E01CF2"/>
    <w:rsid w:val="00E022F3"/>
    <w:rsid w:val="00E02531"/>
    <w:rsid w:val="00E0312C"/>
    <w:rsid w:val="00E04942"/>
    <w:rsid w:val="00E051AA"/>
    <w:rsid w:val="00E05C51"/>
    <w:rsid w:val="00E06070"/>
    <w:rsid w:val="00E0688B"/>
    <w:rsid w:val="00E06DEE"/>
    <w:rsid w:val="00E10D11"/>
    <w:rsid w:val="00E10D8B"/>
    <w:rsid w:val="00E13517"/>
    <w:rsid w:val="00E14243"/>
    <w:rsid w:val="00E15CA0"/>
    <w:rsid w:val="00E16716"/>
    <w:rsid w:val="00E208DE"/>
    <w:rsid w:val="00E211BE"/>
    <w:rsid w:val="00E21874"/>
    <w:rsid w:val="00E219F1"/>
    <w:rsid w:val="00E21DD7"/>
    <w:rsid w:val="00E22448"/>
    <w:rsid w:val="00E22DD5"/>
    <w:rsid w:val="00E23147"/>
    <w:rsid w:val="00E257EB"/>
    <w:rsid w:val="00E26992"/>
    <w:rsid w:val="00E2796D"/>
    <w:rsid w:val="00E3054F"/>
    <w:rsid w:val="00E3101E"/>
    <w:rsid w:val="00E31168"/>
    <w:rsid w:val="00E3160E"/>
    <w:rsid w:val="00E31F00"/>
    <w:rsid w:val="00E32B4A"/>
    <w:rsid w:val="00E35428"/>
    <w:rsid w:val="00E35F94"/>
    <w:rsid w:val="00E366DD"/>
    <w:rsid w:val="00E40A64"/>
    <w:rsid w:val="00E41374"/>
    <w:rsid w:val="00E41D92"/>
    <w:rsid w:val="00E42197"/>
    <w:rsid w:val="00E42E6F"/>
    <w:rsid w:val="00E43876"/>
    <w:rsid w:val="00E45377"/>
    <w:rsid w:val="00E45DF4"/>
    <w:rsid w:val="00E46AF3"/>
    <w:rsid w:val="00E46B2F"/>
    <w:rsid w:val="00E46BF3"/>
    <w:rsid w:val="00E477F8"/>
    <w:rsid w:val="00E5200A"/>
    <w:rsid w:val="00E5492D"/>
    <w:rsid w:val="00E55490"/>
    <w:rsid w:val="00E55E36"/>
    <w:rsid w:val="00E56362"/>
    <w:rsid w:val="00E5712B"/>
    <w:rsid w:val="00E60644"/>
    <w:rsid w:val="00E61F7C"/>
    <w:rsid w:val="00E62287"/>
    <w:rsid w:val="00E625AE"/>
    <w:rsid w:val="00E644D8"/>
    <w:rsid w:val="00E64552"/>
    <w:rsid w:val="00E64C2D"/>
    <w:rsid w:val="00E65833"/>
    <w:rsid w:val="00E65E69"/>
    <w:rsid w:val="00E6644F"/>
    <w:rsid w:val="00E7055C"/>
    <w:rsid w:val="00E72D77"/>
    <w:rsid w:val="00E75823"/>
    <w:rsid w:val="00E75BF3"/>
    <w:rsid w:val="00E764CC"/>
    <w:rsid w:val="00E77566"/>
    <w:rsid w:val="00E77D05"/>
    <w:rsid w:val="00E77D30"/>
    <w:rsid w:val="00E804B2"/>
    <w:rsid w:val="00E809E6"/>
    <w:rsid w:val="00E81261"/>
    <w:rsid w:val="00E8212E"/>
    <w:rsid w:val="00E82578"/>
    <w:rsid w:val="00E82815"/>
    <w:rsid w:val="00E83717"/>
    <w:rsid w:val="00E84401"/>
    <w:rsid w:val="00E847F2"/>
    <w:rsid w:val="00E84935"/>
    <w:rsid w:val="00E85279"/>
    <w:rsid w:val="00E8577F"/>
    <w:rsid w:val="00E8630F"/>
    <w:rsid w:val="00E86719"/>
    <w:rsid w:val="00E86E1F"/>
    <w:rsid w:val="00E9079D"/>
    <w:rsid w:val="00E92D74"/>
    <w:rsid w:val="00E92E4A"/>
    <w:rsid w:val="00E92EB4"/>
    <w:rsid w:val="00E9300E"/>
    <w:rsid w:val="00E93486"/>
    <w:rsid w:val="00E939C5"/>
    <w:rsid w:val="00E944F8"/>
    <w:rsid w:val="00E94E69"/>
    <w:rsid w:val="00E96D8A"/>
    <w:rsid w:val="00E97D81"/>
    <w:rsid w:val="00EA2D8C"/>
    <w:rsid w:val="00EA2DDC"/>
    <w:rsid w:val="00EA3C67"/>
    <w:rsid w:val="00EA5E00"/>
    <w:rsid w:val="00EA6563"/>
    <w:rsid w:val="00EB0E62"/>
    <w:rsid w:val="00EB199E"/>
    <w:rsid w:val="00EB2BB7"/>
    <w:rsid w:val="00EB4EFE"/>
    <w:rsid w:val="00EB622E"/>
    <w:rsid w:val="00EB7B24"/>
    <w:rsid w:val="00EC0CB8"/>
    <w:rsid w:val="00EC10AE"/>
    <w:rsid w:val="00EC21B4"/>
    <w:rsid w:val="00EC23E3"/>
    <w:rsid w:val="00EC2C32"/>
    <w:rsid w:val="00EC5AE8"/>
    <w:rsid w:val="00ED1EBB"/>
    <w:rsid w:val="00ED21F8"/>
    <w:rsid w:val="00ED2BF3"/>
    <w:rsid w:val="00ED31DE"/>
    <w:rsid w:val="00ED38EC"/>
    <w:rsid w:val="00ED3B13"/>
    <w:rsid w:val="00ED464A"/>
    <w:rsid w:val="00ED48E5"/>
    <w:rsid w:val="00ED4BDC"/>
    <w:rsid w:val="00ED574A"/>
    <w:rsid w:val="00ED59C1"/>
    <w:rsid w:val="00ED6623"/>
    <w:rsid w:val="00ED6DF3"/>
    <w:rsid w:val="00EE006A"/>
    <w:rsid w:val="00EE0625"/>
    <w:rsid w:val="00EE1370"/>
    <w:rsid w:val="00EE188A"/>
    <w:rsid w:val="00EE1F0B"/>
    <w:rsid w:val="00EE3312"/>
    <w:rsid w:val="00EE3C26"/>
    <w:rsid w:val="00EE3DDA"/>
    <w:rsid w:val="00EE3E2E"/>
    <w:rsid w:val="00EE5733"/>
    <w:rsid w:val="00EE57AF"/>
    <w:rsid w:val="00EE634A"/>
    <w:rsid w:val="00EE7C7B"/>
    <w:rsid w:val="00EE7F82"/>
    <w:rsid w:val="00EE7FE7"/>
    <w:rsid w:val="00EF0A60"/>
    <w:rsid w:val="00EF0F5F"/>
    <w:rsid w:val="00EF1407"/>
    <w:rsid w:val="00EF17B5"/>
    <w:rsid w:val="00EF2E2D"/>
    <w:rsid w:val="00EF33EA"/>
    <w:rsid w:val="00EF3B81"/>
    <w:rsid w:val="00EF529D"/>
    <w:rsid w:val="00EF59D0"/>
    <w:rsid w:val="00EF6788"/>
    <w:rsid w:val="00EF7BEA"/>
    <w:rsid w:val="00F00659"/>
    <w:rsid w:val="00F00E15"/>
    <w:rsid w:val="00F011CF"/>
    <w:rsid w:val="00F02109"/>
    <w:rsid w:val="00F04669"/>
    <w:rsid w:val="00F0502C"/>
    <w:rsid w:val="00F05227"/>
    <w:rsid w:val="00F0568C"/>
    <w:rsid w:val="00F05827"/>
    <w:rsid w:val="00F059EA"/>
    <w:rsid w:val="00F06B5D"/>
    <w:rsid w:val="00F07177"/>
    <w:rsid w:val="00F07542"/>
    <w:rsid w:val="00F104CF"/>
    <w:rsid w:val="00F10674"/>
    <w:rsid w:val="00F11450"/>
    <w:rsid w:val="00F11647"/>
    <w:rsid w:val="00F147D8"/>
    <w:rsid w:val="00F15E03"/>
    <w:rsid w:val="00F16A2F"/>
    <w:rsid w:val="00F1726B"/>
    <w:rsid w:val="00F173A4"/>
    <w:rsid w:val="00F201AB"/>
    <w:rsid w:val="00F2020E"/>
    <w:rsid w:val="00F21649"/>
    <w:rsid w:val="00F21FBC"/>
    <w:rsid w:val="00F23B70"/>
    <w:rsid w:val="00F24951"/>
    <w:rsid w:val="00F25BDE"/>
    <w:rsid w:val="00F26809"/>
    <w:rsid w:val="00F26AC2"/>
    <w:rsid w:val="00F2787A"/>
    <w:rsid w:val="00F27B8E"/>
    <w:rsid w:val="00F30877"/>
    <w:rsid w:val="00F31988"/>
    <w:rsid w:val="00F31D43"/>
    <w:rsid w:val="00F3273A"/>
    <w:rsid w:val="00F34FDB"/>
    <w:rsid w:val="00F3539C"/>
    <w:rsid w:val="00F36B6D"/>
    <w:rsid w:val="00F37A4A"/>
    <w:rsid w:val="00F405C9"/>
    <w:rsid w:val="00F414B3"/>
    <w:rsid w:val="00F41B76"/>
    <w:rsid w:val="00F43358"/>
    <w:rsid w:val="00F433EC"/>
    <w:rsid w:val="00F43487"/>
    <w:rsid w:val="00F436EB"/>
    <w:rsid w:val="00F44170"/>
    <w:rsid w:val="00F44F04"/>
    <w:rsid w:val="00F44FA9"/>
    <w:rsid w:val="00F46693"/>
    <w:rsid w:val="00F52157"/>
    <w:rsid w:val="00F5234B"/>
    <w:rsid w:val="00F52816"/>
    <w:rsid w:val="00F52A2F"/>
    <w:rsid w:val="00F531EA"/>
    <w:rsid w:val="00F532D7"/>
    <w:rsid w:val="00F53655"/>
    <w:rsid w:val="00F53B79"/>
    <w:rsid w:val="00F550D4"/>
    <w:rsid w:val="00F56843"/>
    <w:rsid w:val="00F57191"/>
    <w:rsid w:val="00F57B2F"/>
    <w:rsid w:val="00F60204"/>
    <w:rsid w:val="00F606E1"/>
    <w:rsid w:val="00F6111B"/>
    <w:rsid w:val="00F626CA"/>
    <w:rsid w:val="00F62BE0"/>
    <w:rsid w:val="00F631A6"/>
    <w:rsid w:val="00F63D28"/>
    <w:rsid w:val="00F64650"/>
    <w:rsid w:val="00F65548"/>
    <w:rsid w:val="00F66299"/>
    <w:rsid w:val="00F70534"/>
    <w:rsid w:val="00F70D8D"/>
    <w:rsid w:val="00F72091"/>
    <w:rsid w:val="00F72769"/>
    <w:rsid w:val="00F751D6"/>
    <w:rsid w:val="00F75565"/>
    <w:rsid w:val="00F762DA"/>
    <w:rsid w:val="00F76373"/>
    <w:rsid w:val="00F7652D"/>
    <w:rsid w:val="00F76F5B"/>
    <w:rsid w:val="00F778AF"/>
    <w:rsid w:val="00F82CDE"/>
    <w:rsid w:val="00F830E7"/>
    <w:rsid w:val="00F83120"/>
    <w:rsid w:val="00F83654"/>
    <w:rsid w:val="00F83F01"/>
    <w:rsid w:val="00F84119"/>
    <w:rsid w:val="00F85156"/>
    <w:rsid w:val="00F85754"/>
    <w:rsid w:val="00F85E95"/>
    <w:rsid w:val="00F86931"/>
    <w:rsid w:val="00F900DE"/>
    <w:rsid w:val="00F902CE"/>
    <w:rsid w:val="00F92FFA"/>
    <w:rsid w:val="00F95407"/>
    <w:rsid w:val="00F958BB"/>
    <w:rsid w:val="00F96B39"/>
    <w:rsid w:val="00FA125E"/>
    <w:rsid w:val="00FA3731"/>
    <w:rsid w:val="00FA508B"/>
    <w:rsid w:val="00FA5192"/>
    <w:rsid w:val="00FA550C"/>
    <w:rsid w:val="00FA62A5"/>
    <w:rsid w:val="00FA7502"/>
    <w:rsid w:val="00FB1467"/>
    <w:rsid w:val="00FB23DB"/>
    <w:rsid w:val="00FB2A92"/>
    <w:rsid w:val="00FB3222"/>
    <w:rsid w:val="00FB33EF"/>
    <w:rsid w:val="00FB35AB"/>
    <w:rsid w:val="00FB36FA"/>
    <w:rsid w:val="00FB5A08"/>
    <w:rsid w:val="00FB5A7F"/>
    <w:rsid w:val="00FB5D46"/>
    <w:rsid w:val="00FB63B9"/>
    <w:rsid w:val="00FB7250"/>
    <w:rsid w:val="00FB745D"/>
    <w:rsid w:val="00FB7499"/>
    <w:rsid w:val="00FB7540"/>
    <w:rsid w:val="00FB7C3F"/>
    <w:rsid w:val="00FB7C58"/>
    <w:rsid w:val="00FB7DDC"/>
    <w:rsid w:val="00FC0147"/>
    <w:rsid w:val="00FC06B7"/>
    <w:rsid w:val="00FC0BD8"/>
    <w:rsid w:val="00FC13DF"/>
    <w:rsid w:val="00FC1C2B"/>
    <w:rsid w:val="00FC1D96"/>
    <w:rsid w:val="00FC3094"/>
    <w:rsid w:val="00FC4E69"/>
    <w:rsid w:val="00FC50F4"/>
    <w:rsid w:val="00FC5534"/>
    <w:rsid w:val="00FC679E"/>
    <w:rsid w:val="00FD0F4D"/>
    <w:rsid w:val="00FD38AB"/>
    <w:rsid w:val="00FD39ED"/>
    <w:rsid w:val="00FD5032"/>
    <w:rsid w:val="00FD62E5"/>
    <w:rsid w:val="00FD67CF"/>
    <w:rsid w:val="00FD757D"/>
    <w:rsid w:val="00FD775D"/>
    <w:rsid w:val="00FE04B3"/>
    <w:rsid w:val="00FE083C"/>
    <w:rsid w:val="00FE0DE9"/>
    <w:rsid w:val="00FE162A"/>
    <w:rsid w:val="00FE238E"/>
    <w:rsid w:val="00FE2BCC"/>
    <w:rsid w:val="00FE4CBF"/>
    <w:rsid w:val="00FE5090"/>
    <w:rsid w:val="00FE6416"/>
    <w:rsid w:val="00FE67F9"/>
    <w:rsid w:val="00FE7F02"/>
    <w:rsid w:val="00FF111E"/>
    <w:rsid w:val="00FF144B"/>
    <w:rsid w:val="00FF1925"/>
    <w:rsid w:val="00FF6958"/>
    <w:rsid w:val="00FF6CE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7767FA"/>
  <w15:docId w15:val="{7FB51F33-3D08-4960-9063-63C85EB5F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3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916"/>
    <w:rPr>
      <w:rFonts w:ascii="Tahoma" w:hAnsi="Tahoma" w:cs="Tahoma"/>
      <w:sz w:val="16"/>
      <w:szCs w:val="16"/>
    </w:rPr>
  </w:style>
  <w:style w:type="character" w:styleId="CommentReference">
    <w:name w:val="annotation reference"/>
    <w:basedOn w:val="DefaultParagraphFont"/>
    <w:uiPriority w:val="99"/>
    <w:unhideWhenUsed/>
    <w:rsid w:val="00013916"/>
    <w:rPr>
      <w:sz w:val="16"/>
      <w:szCs w:val="16"/>
    </w:rPr>
  </w:style>
  <w:style w:type="paragraph" w:styleId="CommentText">
    <w:name w:val="annotation text"/>
    <w:basedOn w:val="Normal"/>
    <w:link w:val="CommentTextChar"/>
    <w:uiPriority w:val="99"/>
    <w:unhideWhenUsed/>
    <w:rsid w:val="00013916"/>
    <w:pPr>
      <w:spacing w:line="240" w:lineRule="auto"/>
    </w:pPr>
    <w:rPr>
      <w:sz w:val="20"/>
      <w:szCs w:val="20"/>
    </w:rPr>
  </w:style>
  <w:style w:type="character" w:customStyle="1" w:styleId="CommentTextChar">
    <w:name w:val="Comment Text Char"/>
    <w:basedOn w:val="DefaultParagraphFont"/>
    <w:link w:val="CommentText"/>
    <w:uiPriority w:val="99"/>
    <w:rsid w:val="00013916"/>
    <w:rPr>
      <w:sz w:val="20"/>
      <w:szCs w:val="20"/>
    </w:rPr>
  </w:style>
  <w:style w:type="paragraph" w:styleId="CommentSubject">
    <w:name w:val="annotation subject"/>
    <w:basedOn w:val="CommentText"/>
    <w:next w:val="CommentText"/>
    <w:link w:val="CommentSubjectChar"/>
    <w:uiPriority w:val="99"/>
    <w:semiHidden/>
    <w:unhideWhenUsed/>
    <w:rsid w:val="00013916"/>
    <w:rPr>
      <w:b/>
      <w:bCs/>
    </w:rPr>
  </w:style>
  <w:style w:type="character" w:customStyle="1" w:styleId="CommentSubjectChar">
    <w:name w:val="Comment Subject Char"/>
    <w:basedOn w:val="CommentTextChar"/>
    <w:link w:val="CommentSubject"/>
    <w:uiPriority w:val="99"/>
    <w:semiHidden/>
    <w:rsid w:val="00013916"/>
    <w:rPr>
      <w:b/>
      <w:bCs/>
      <w:sz w:val="20"/>
      <w:szCs w:val="20"/>
    </w:rPr>
  </w:style>
  <w:style w:type="paragraph" w:styleId="Revision">
    <w:name w:val="Revision"/>
    <w:hidden/>
    <w:uiPriority w:val="99"/>
    <w:semiHidden/>
    <w:rsid w:val="00915955"/>
    <w:pPr>
      <w:spacing w:after="0" w:line="240" w:lineRule="auto"/>
    </w:pPr>
  </w:style>
  <w:style w:type="paragraph" w:styleId="Header">
    <w:name w:val="header"/>
    <w:basedOn w:val="Normal"/>
    <w:link w:val="HeaderChar"/>
    <w:uiPriority w:val="99"/>
    <w:unhideWhenUsed/>
    <w:rsid w:val="00B52126"/>
    <w:pPr>
      <w:tabs>
        <w:tab w:val="center" w:pos="4320"/>
        <w:tab w:val="right" w:pos="8640"/>
      </w:tabs>
      <w:spacing w:after="0" w:line="240" w:lineRule="auto"/>
    </w:pPr>
  </w:style>
  <w:style w:type="character" w:customStyle="1" w:styleId="HeaderChar">
    <w:name w:val="Header Char"/>
    <w:basedOn w:val="DefaultParagraphFont"/>
    <w:link w:val="Header"/>
    <w:uiPriority w:val="99"/>
    <w:rsid w:val="00B52126"/>
  </w:style>
  <w:style w:type="paragraph" w:styleId="Footer">
    <w:name w:val="footer"/>
    <w:basedOn w:val="Normal"/>
    <w:link w:val="FooterChar"/>
    <w:uiPriority w:val="99"/>
    <w:unhideWhenUsed/>
    <w:rsid w:val="00B52126"/>
    <w:pPr>
      <w:tabs>
        <w:tab w:val="center" w:pos="4320"/>
        <w:tab w:val="right" w:pos="8640"/>
      </w:tabs>
      <w:spacing w:after="0" w:line="240" w:lineRule="auto"/>
    </w:pPr>
  </w:style>
  <w:style w:type="character" w:customStyle="1" w:styleId="FooterChar">
    <w:name w:val="Footer Char"/>
    <w:basedOn w:val="DefaultParagraphFont"/>
    <w:link w:val="Footer"/>
    <w:uiPriority w:val="99"/>
    <w:rsid w:val="00B52126"/>
  </w:style>
  <w:style w:type="paragraph" w:styleId="Caption">
    <w:name w:val="caption"/>
    <w:basedOn w:val="Normal"/>
    <w:next w:val="Normal"/>
    <w:autoRedefine/>
    <w:qFormat/>
    <w:rsid w:val="004D71E3"/>
    <w:pPr>
      <w:keepNext/>
      <w:keepLines/>
      <w:spacing w:after="0" w:line="240" w:lineRule="auto"/>
    </w:pPr>
    <w:rPr>
      <w:rFonts w:ascii="Times New Roman" w:eastAsia="Times New Roman" w:hAnsi="Times New Roman" w:cs="Arial"/>
      <w:b/>
      <w:bCs/>
      <w:color w:val="000000"/>
      <w:sz w:val="24"/>
      <w:szCs w:val="24"/>
      <w:lang w:bidi="en-US"/>
    </w:rPr>
  </w:style>
  <w:style w:type="paragraph" w:customStyle="1" w:styleId="TableFooter">
    <w:name w:val="Table Footer"/>
    <w:basedOn w:val="Normal"/>
    <w:qFormat/>
    <w:rsid w:val="002A238D"/>
    <w:pPr>
      <w:spacing w:after="0"/>
    </w:pPr>
    <w:rPr>
      <w:rFonts w:ascii="Times New Roman" w:eastAsia="Times New Roman" w:hAnsi="Times New Roman" w:cs="Times New Roman"/>
      <w:color w:val="000000"/>
      <w:sz w:val="18"/>
      <w:lang w:bidi="en-US"/>
    </w:rPr>
  </w:style>
  <w:style w:type="paragraph" w:customStyle="1" w:styleId="TableContents">
    <w:name w:val="Table Contents"/>
    <w:basedOn w:val="Normal"/>
    <w:rsid w:val="002A238D"/>
    <w:pPr>
      <w:widowControl w:val="0"/>
      <w:suppressLineNumbers/>
      <w:suppressAutoHyphens/>
      <w:spacing w:after="0" w:line="240" w:lineRule="auto"/>
    </w:pPr>
    <w:rPr>
      <w:rFonts w:ascii="Arial" w:eastAsia="Arial" w:hAnsi="Arial" w:cs="Times New Roman"/>
      <w:kern w:val="1"/>
      <w:sz w:val="18"/>
      <w:szCs w:val="24"/>
    </w:rPr>
  </w:style>
  <w:style w:type="paragraph" w:customStyle="1" w:styleId="TableContentsCenterAlign">
    <w:name w:val="Table Contents CenterAlign"/>
    <w:basedOn w:val="TableContents"/>
    <w:rsid w:val="002A238D"/>
    <w:pPr>
      <w:snapToGrid w:val="0"/>
      <w:jc w:val="center"/>
    </w:pPr>
  </w:style>
  <w:style w:type="paragraph" w:customStyle="1" w:styleId="TableContentsTextKeepNext">
    <w:name w:val="Table Contents Text KeepNext"/>
    <w:basedOn w:val="Normal"/>
    <w:rsid w:val="002A238D"/>
    <w:pPr>
      <w:keepNext/>
      <w:widowControl w:val="0"/>
      <w:suppressLineNumbers/>
      <w:tabs>
        <w:tab w:val="left" w:pos="259"/>
        <w:tab w:val="left" w:pos="518"/>
        <w:tab w:val="left" w:pos="778"/>
        <w:tab w:val="left" w:pos="1037"/>
        <w:tab w:val="left" w:pos="1296"/>
      </w:tabs>
      <w:suppressAutoHyphens/>
      <w:snapToGrid w:val="0"/>
      <w:spacing w:after="0" w:line="240" w:lineRule="auto"/>
    </w:pPr>
    <w:rPr>
      <w:rFonts w:ascii="Arial" w:eastAsia="Arial" w:hAnsi="Arial" w:cs="Times New Roman"/>
      <w:kern w:val="1"/>
      <w:sz w:val="18"/>
      <w:szCs w:val="24"/>
    </w:rPr>
  </w:style>
  <w:style w:type="paragraph" w:customStyle="1" w:styleId="TableContentsText1KeepNext">
    <w:name w:val="Table Contents Text1 KeepNext"/>
    <w:basedOn w:val="Normal"/>
    <w:rsid w:val="002A238D"/>
    <w:pPr>
      <w:keepNext/>
      <w:widowControl w:val="0"/>
      <w:suppressLineNumbers/>
      <w:suppressAutoHyphens/>
      <w:spacing w:after="0" w:line="240" w:lineRule="auto"/>
      <w:ind w:left="259"/>
    </w:pPr>
    <w:rPr>
      <w:rFonts w:ascii="Arial" w:eastAsia="Arial" w:hAnsi="Arial" w:cs="Times New Roman"/>
      <w:kern w:val="1"/>
      <w:sz w:val="18"/>
      <w:szCs w:val="24"/>
    </w:rPr>
  </w:style>
  <w:style w:type="paragraph" w:customStyle="1" w:styleId="TableContentsCenterAlignKeepNext">
    <w:name w:val="Table Contents CenterAlign KeepNext"/>
    <w:basedOn w:val="Normal"/>
    <w:rsid w:val="002A238D"/>
    <w:pPr>
      <w:keepNext/>
      <w:widowControl w:val="0"/>
      <w:suppressLineNumbers/>
      <w:suppressAutoHyphens/>
      <w:snapToGrid w:val="0"/>
      <w:spacing w:after="0" w:line="240" w:lineRule="auto"/>
      <w:jc w:val="center"/>
    </w:pPr>
    <w:rPr>
      <w:rFonts w:ascii="Arial" w:eastAsia="Arial" w:hAnsi="Arial" w:cs="Times New Roman"/>
      <w:kern w:val="1"/>
      <w:sz w:val="18"/>
      <w:szCs w:val="24"/>
    </w:rPr>
  </w:style>
  <w:style w:type="table" w:styleId="TableGrid">
    <w:name w:val="Table Grid"/>
    <w:basedOn w:val="TableNormal"/>
    <w:uiPriority w:val="59"/>
    <w:rsid w:val="002F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Text1">
    <w:name w:val="Table Contents Text1"/>
    <w:basedOn w:val="TableContents"/>
    <w:rsid w:val="001E75D3"/>
    <w:pPr>
      <w:ind w:left="259"/>
    </w:pPr>
  </w:style>
  <w:style w:type="paragraph" w:styleId="NormalWeb">
    <w:name w:val="Normal (Web)"/>
    <w:basedOn w:val="Normal"/>
    <w:uiPriority w:val="99"/>
    <w:rsid w:val="00C83141"/>
    <w:pPr>
      <w:spacing w:beforeLines="1" w:afterLines="1" w:line="240" w:lineRule="auto"/>
    </w:pPr>
    <w:rPr>
      <w:rFonts w:ascii="Times" w:hAnsi="Times" w:cs="Times New Roman"/>
      <w:sz w:val="20"/>
      <w:szCs w:val="20"/>
    </w:rPr>
  </w:style>
  <w:style w:type="character" w:styleId="Hyperlink">
    <w:name w:val="Hyperlink"/>
    <w:basedOn w:val="DefaultParagraphFont"/>
    <w:unhideWhenUsed/>
    <w:rsid w:val="00E8212E"/>
    <w:rPr>
      <w:color w:val="0000FF" w:themeColor="hyperlink"/>
      <w:u w:val="single"/>
    </w:rPr>
  </w:style>
  <w:style w:type="character" w:customStyle="1" w:styleId="UnresolvedMention1">
    <w:name w:val="Unresolved Mention1"/>
    <w:basedOn w:val="DefaultParagraphFont"/>
    <w:uiPriority w:val="99"/>
    <w:semiHidden/>
    <w:unhideWhenUsed/>
    <w:rsid w:val="00E8212E"/>
    <w:rPr>
      <w:color w:val="808080"/>
      <w:shd w:val="clear" w:color="auto" w:fill="E6E6E6"/>
    </w:rPr>
  </w:style>
  <w:style w:type="character" w:customStyle="1" w:styleId="jrnl">
    <w:name w:val="jrnl"/>
    <w:basedOn w:val="DefaultParagraphFont"/>
    <w:rsid w:val="00E8212E"/>
  </w:style>
  <w:style w:type="paragraph" w:customStyle="1" w:styleId="desc">
    <w:name w:val="desc"/>
    <w:basedOn w:val="Normal"/>
    <w:rsid w:val="00AA02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AA022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semiHidden/>
    <w:unhideWhenUsed/>
    <w:rsid w:val="001D569E"/>
    <w:rPr>
      <w:color w:val="800080" w:themeColor="followedHyperlink"/>
      <w:u w:val="single"/>
    </w:rPr>
  </w:style>
  <w:style w:type="paragraph" w:styleId="ListParagraph">
    <w:name w:val="List Paragraph"/>
    <w:basedOn w:val="Normal"/>
    <w:uiPriority w:val="34"/>
    <w:qFormat/>
    <w:rsid w:val="00AE18C7"/>
    <w:pPr>
      <w:spacing w:after="160" w:line="259" w:lineRule="auto"/>
      <w:ind w:left="720"/>
      <w:contextualSpacing/>
    </w:pPr>
  </w:style>
  <w:style w:type="paragraph" w:customStyle="1" w:styleId="C-BodyText">
    <w:name w:val="C-Body Text"/>
    <w:link w:val="C-BodyTextChar"/>
    <w:rsid w:val="00230254"/>
    <w:pPr>
      <w:spacing w:before="120" w:after="120" w:line="280" w:lineRule="atLeast"/>
    </w:pPr>
    <w:rPr>
      <w:rFonts w:ascii="Times New Roman" w:eastAsia="Times New Roman" w:hAnsi="Times New Roman" w:cs="Times New Roman"/>
      <w:sz w:val="24"/>
      <w:szCs w:val="20"/>
    </w:rPr>
  </w:style>
  <w:style w:type="paragraph" w:customStyle="1" w:styleId="C-Heading1">
    <w:name w:val="C-Heading 1"/>
    <w:next w:val="C-BodyText"/>
    <w:rsid w:val="00230254"/>
    <w:pPr>
      <w:keepNext/>
      <w:pageBreakBefore/>
      <w:numPr>
        <w:numId w:val="5"/>
      </w:numPr>
      <w:spacing w:before="480" w:after="120" w:line="240" w:lineRule="auto"/>
      <w:outlineLvl w:val="0"/>
    </w:pPr>
    <w:rPr>
      <w:rFonts w:ascii="Times New Roman" w:eastAsia="Times New Roman" w:hAnsi="Times New Roman" w:cs="Times New Roman"/>
      <w:b/>
      <w:caps/>
      <w:sz w:val="28"/>
      <w:szCs w:val="20"/>
    </w:rPr>
  </w:style>
  <w:style w:type="paragraph" w:customStyle="1" w:styleId="C-Heading2">
    <w:name w:val="C-Heading 2"/>
    <w:next w:val="C-BodyText"/>
    <w:rsid w:val="00230254"/>
    <w:pPr>
      <w:keepNext/>
      <w:numPr>
        <w:ilvl w:val="1"/>
        <w:numId w:val="5"/>
      </w:numPr>
      <w:spacing w:before="240" w:after="0" w:line="240" w:lineRule="auto"/>
      <w:outlineLvl w:val="1"/>
    </w:pPr>
    <w:rPr>
      <w:rFonts w:ascii="Times New Roman" w:eastAsia="Times New Roman" w:hAnsi="Times New Roman" w:cs="Times New Roman"/>
      <w:b/>
      <w:sz w:val="28"/>
      <w:szCs w:val="20"/>
    </w:rPr>
  </w:style>
  <w:style w:type="paragraph" w:customStyle="1" w:styleId="C-Heading3">
    <w:name w:val="C-Heading 3"/>
    <w:next w:val="C-BodyText"/>
    <w:rsid w:val="00230254"/>
    <w:pPr>
      <w:keepNext/>
      <w:numPr>
        <w:ilvl w:val="2"/>
        <w:numId w:val="5"/>
      </w:numPr>
      <w:spacing w:before="240" w:after="0" w:line="240" w:lineRule="auto"/>
      <w:outlineLvl w:val="2"/>
    </w:pPr>
    <w:rPr>
      <w:rFonts w:ascii="Times New Roman" w:eastAsia="Times New Roman" w:hAnsi="Times New Roman" w:cs="Times New Roman"/>
      <w:b/>
      <w:sz w:val="24"/>
      <w:szCs w:val="20"/>
    </w:rPr>
  </w:style>
  <w:style w:type="paragraph" w:customStyle="1" w:styleId="C-Heading4">
    <w:name w:val="C-Heading 4"/>
    <w:next w:val="C-BodyText"/>
    <w:rsid w:val="00230254"/>
    <w:pPr>
      <w:keepNext/>
      <w:numPr>
        <w:ilvl w:val="3"/>
        <w:numId w:val="5"/>
      </w:numPr>
      <w:spacing w:before="240" w:after="0" w:line="240" w:lineRule="auto"/>
      <w:outlineLvl w:val="3"/>
    </w:pPr>
    <w:rPr>
      <w:rFonts w:ascii="Times New Roman" w:eastAsia="Times New Roman" w:hAnsi="Times New Roman" w:cs="Times New Roman"/>
      <w:b/>
      <w:sz w:val="24"/>
      <w:szCs w:val="20"/>
    </w:rPr>
  </w:style>
  <w:style w:type="paragraph" w:customStyle="1" w:styleId="C-Heading5">
    <w:name w:val="C-Heading 5"/>
    <w:next w:val="C-BodyText"/>
    <w:rsid w:val="00230254"/>
    <w:pPr>
      <w:keepNext/>
      <w:numPr>
        <w:ilvl w:val="4"/>
        <w:numId w:val="5"/>
      </w:numPr>
      <w:spacing w:before="240" w:after="0" w:line="240" w:lineRule="auto"/>
      <w:outlineLvl w:val="4"/>
    </w:pPr>
    <w:rPr>
      <w:rFonts w:ascii="Times New Roman" w:eastAsia="Times New Roman" w:hAnsi="Times New Roman" w:cs="Times New Roman"/>
      <w:b/>
      <w:sz w:val="24"/>
      <w:szCs w:val="20"/>
    </w:rPr>
  </w:style>
  <w:style w:type="paragraph" w:customStyle="1" w:styleId="C-Heading6">
    <w:name w:val="C-Heading 6"/>
    <w:next w:val="C-BodyText"/>
    <w:rsid w:val="00230254"/>
    <w:pPr>
      <w:keepNext/>
      <w:numPr>
        <w:ilvl w:val="5"/>
        <w:numId w:val="5"/>
      </w:numPr>
      <w:tabs>
        <w:tab w:val="clear" w:pos="1080"/>
        <w:tab w:val="num" w:pos="1224"/>
      </w:tabs>
      <w:spacing w:before="240" w:after="0" w:line="240" w:lineRule="auto"/>
      <w:ind w:left="1224" w:hanging="1224"/>
      <w:outlineLvl w:val="5"/>
    </w:pPr>
    <w:rPr>
      <w:rFonts w:ascii="Times New Roman" w:eastAsia="Times New Roman" w:hAnsi="Times New Roman" w:cs="Times New Roman"/>
      <w:b/>
      <w:sz w:val="24"/>
      <w:szCs w:val="20"/>
    </w:rPr>
  </w:style>
  <w:style w:type="character" w:customStyle="1" w:styleId="C-BodyTextChar">
    <w:name w:val="C-Body Text Char"/>
    <w:link w:val="C-BodyText"/>
    <w:rsid w:val="00230254"/>
    <w:rPr>
      <w:rFonts w:ascii="Times New Roman" w:eastAsia="Times New Roman" w:hAnsi="Times New Roman" w:cs="Times New Roman"/>
      <w:sz w:val="24"/>
      <w:szCs w:val="20"/>
    </w:rPr>
  </w:style>
  <w:style w:type="paragraph" w:customStyle="1" w:styleId="C-Bullet">
    <w:name w:val="C-Bullet"/>
    <w:rsid w:val="00230254"/>
    <w:pPr>
      <w:numPr>
        <w:numId w:val="6"/>
      </w:numPr>
      <w:spacing w:before="120" w:after="120" w:line="280" w:lineRule="atLeast"/>
    </w:pPr>
    <w:rPr>
      <w:rFonts w:ascii="Times New Roman" w:eastAsia="Times New Roman" w:hAnsi="Times New Roman" w:cs="Times New Roman"/>
      <w:sz w:val="24"/>
      <w:szCs w:val="20"/>
    </w:rPr>
  </w:style>
  <w:style w:type="paragraph" w:customStyle="1" w:styleId="C-BulletIndented">
    <w:name w:val="C-Bullet Indented"/>
    <w:rsid w:val="00230254"/>
    <w:pPr>
      <w:numPr>
        <w:ilvl w:val="1"/>
        <w:numId w:val="6"/>
      </w:numPr>
      <w:spacing w:before="120" w:after="120" w:line="280" w:lineRule="atLeast"/>
    </w:pPr>
    <w:rPr>
      <w:rFonts w:ascii="Times New Roman" w:eastAsia="Times New Roman" w:hAnsi="Times New Roman" w:cs="Arial"/>
      <w:sz w:val="24"/>
      <w:szCs w:val="20"/>
    </w:rPr>
  </w:style>
  <w:style w:type="paragraph" w:customStyle="1" w:styleId="C-NumberedList">
    <w:name w:val="C-Numbered List"/>
    <w:rsid w:val="00230254"/>
    <w:pPr>
      <w:numPr>
        <w:numId w:val="7"/>
      </w:numPr>
      <w:spacing w:before="120" w:after="120" w:line="280" w:lineRule="atLeast"/>
    </w:pPr>
    <w:rPr>
      <w:rFonts w:ascii="Times New Roman" w:eastAsia="Times New Roman" w:hAnsi="Times New Roman" w:cs="Times New Roman"/>
      <w:sz w:val="24"/>
      <w:szCs w:val="20"/>
    </w:rPr>
  </w:style>
  <w:style w:type="paragraph" w:customStyle="1" w:styleId="C-AlphabeticList">
    <w:name w:val="C-Alphabetic List"/>
    <w:rsid w:val="00230254"/>
    <w:pPr>
      <w:numPr>
        <w:ilvl w:val="1"/>
        <w:numId w:val="7"/>
      </w:numPr>
      <w:spacing w:after="0" w:line="240" w:lineRule="auto"/>
    </w:pPr>
    <w:rPr>
      <w:rFonts w:ascii="Times New Roman" w:eastAsia="Times New Roman" w:hAnsi="Times New Roman" w:cs="Times New Roman"/>
      <w:sz w:val="24"/>
      <w:szCs w:val="20"/>
    </w:rPr>
  </w:style>
  <w:style w:type="paragraph" w:customStyle="1" w:styleId="C-TableHeader">
    <w:name w:val="C-Table Header"/>
    <w:next w:val="C-TableText"/>
    <w:rsid w:val="00230254"/>
    <w:pPr>
      <w:keepNext/>
      <w:spacing w:before="60" w:after="60" w:line="240" w:lineRule="auto"/>
    </w:pPr>
    <w:rPr>
      <w:rFonts w:ascii="Times New Roman" w:eastAsia="Times New Roman" w:hAnsi="Times New Roman" w:cs="Times New Roman"/>
      <w:b/>
      <w:szCs w:val="20"/>
    </w:rPr>
  </w:style>
  <w:style w:type="paragraph" w:customStyle="1" w:styleId="C-TableText">
    <w:name w:val="C-Table Text"/>
    <w:rsid w:val="00230254"/>
    <w:pPr>
      <w:spacing w:before="60" w:after="60" w:line="240" w:lineRule="auto"/>
    </w:pPr>
    <w:rPr>
      <w:rFonts w:ascii="Times New Roman" w:eastAsia="Times New Roman" w:hAnsi="Times New Roman" w:cs="Times New Roman"/>
      <w:szCs w:val="20"/>
    </w:rPr>
  </w:style>
  <w:style w:type="table" w:customStyle="1" w:styleId="C-Table">
    <w:name w:val="C-Table"/>
    <w:basedOn w:val="TableNormal"/>
    <w:rsid w:val="00230254"/>
    <w:pPr>
      <w:spacing w:after="0" w:line="240" w:lineRule="auto"/>
    </w:pPr>
    <w:rPr>
      <w:rFonts w:ascii="Times New Roman" w:eastAsia="Times New Roman" w:hAnsi="Times New Roman" w:cs="Times New Roman"/>
      <w:sz w:val="20"/>
      <w:szCs w:val="20"/>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trPr>
  </w:style>
  <w:style w:type="character" w:customStyle="1" w:styleId="C-TableCallout">
    <w:name w:val="C-Table Callout"/>
    <w:rsid w:val="00C80FAC"/>
    <w:rPr>
      <w:rFonts w:ascii="Times New Roman" w:hAnsi="Times New Roman"/>
      <w:dstrike w:val="0"/>
      <w:color w:val="auto"/>
      <w:spacing w:val="0"/>
      <w:w w:val="100"/>
      <w:position w:val="-1"/>
      <w:sz w:val="22"/>
      <w:szCs w:val="22"/>
      <w:u w:val="none"/>
      <w:effect w:val="none"/>
      <w:vertAlign w:val="superscript"/>
      <w:em w:val="none"/>
    </w:rPr>
  </w:style>
  <w:style w:type="paragraph" w:customStyle="1" w:styleId="C-Footnote">
    <w:name w:val="C-Footnote"/>
    <w:basedOn w:val="Normal"/>
    <w:qFormat/>
    <w:rsid w:val="00C80FAC"/>
    <w:pPr>
      <w:tabs>
        <w:tab w:val="left" w:pos="144"/>
      </w:tabs>
      <w:spacing w:after="0" w:line="240" w:lineRule="auto"/>
    </w:pPr>
    <w:rPr>
      <w:rFonts w:ascii="Times New Roman" w:eastAsia="Times New Roman" w:hAnsi="Times New Roman" w:cs="Arial"/>
      <w:sz w:val="20"/>
      <w:szCs w:val="20"/>
    </w:rPr>
  </w:style>
  <w:style w:type="character" w:customStyle="1" w:styleId="apple-converted-space">
    <w:name w:val="apple-converted-space"/>
    <w:basedOn w:val="DefaultParagraphFont"/>
    <w:rsid w:val="00863C00"/>
  </w:style>
  <w:style w:type="character" w:customStyle="1" w:styleId="st">
    <w:name w:val="st"/>
    <w:basedOn w:val="DefaultParagraphFont"/>
    <w:rsid w:val="00C331FD"/>
  </w:style>
  <w:style w:type="character" w:styleId="Strong">
    <w:name w:val="Strong"/>
    <w:basedOn w:val="DefaultParagraphFont"/>
    <w:uiPriority w:val="22"/>
    <w:qFormat/>
    <w:rsid w:val="002E4DDA"/>
    <w:rPr>
      <w:b/>
      <w:bCs/>
    </w:rPr>
  </w:style>
  <w:style w:type="character" w:customStyle="1" w:styleId="br">
    <w:name w:val="br"/>
    <w:basedOn w:val="DefaultParagraphFont"/>
    <w:rsid w:val="002E4DDA"/>
  </w:style>
  <w:style w:type="character" w:customStyle="1" w:styleId="caps">
    <w:name w:val="caps"/>
    <w:basedOn w:val="DefaultParagraphFont"/>
    <w:rsid w:val="00906E35"/>
  </w:style>
  <w:style w:type="character" w:customStyle="1" w:styleId="term">
    <w:name w:val="term"/>
    <w:basedOn w:val="DefaultParagraphFont"/>
    <w:rsid w:val="003B18A4"/>
  </w:style>
  <w:style w:type="character" w:customStyle="1" w:styleId="UnresolvedMention2">
    <w:name w:val="Unresolved Mention2"/>
    <w:basedOn w:val="DefaultParagraphFont"/>
    <w:uiPriority w:val="99"/>
    <w:semiHidden/>
    <w:unhideWhenUsed/>
    <w:rsid w:val="003136BB"/>
    <w:rPr>
      <w:color w:val="808080"/>
      <w:shd w:val="clear" w:color="auto" w:fill="E6E6E6"/>
    </w:rPr>
  </w:style>
  <w:style w:type="character" w:styleId="UnresolvedMention">
    <w:name w:val="Unresolved Mention"/>
    <w:basedOn w:val="DefaultParagraphFont"/>
    <w:uiPriority w:val="99"/>
    <w:semiHidden/>
    <w:unhideWhenUsed/>
    <w:rsid w:val="008710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651270">
      <w:bodyDiv w:val="1"/>
      <w:marLeft w:val="0"/>
      <w:marRight w:val="0"/>
      <w:marTop w:val="0"/>
      <w:marBottom w:val="0"/>
      <w:divBdr>
        <w:top w:val="none" w:sz="0" w:space="0" w:color="auto"/>
        <w:left w:val="none" w:sz="0" w:space="0" w:color="auto"/>
        <w:bottom w:val="none" w:sz="0" w:space="0" w:color="auto"/>
        <w:right w:val="none" w:sz="0" w:space="0" w:color="auto"/>
      </w:divBdr>
    </w:div>
    <w:div w:id="1119300054">
      <w:bodyDiv w:val="1"/>
      <w:marLeft w:val="0"/>
      <w:marRight w:val="0"/>
      <w:marTop w:val="0"/>
      <w:marBottom w:val="0"/>
      <w:divBdr>
        <w:top w:val="none" w:sz="0" w:space="0" w:color="auto"/>
        <w:left w:val="none" w:sz="0" w:space="0" w:color="auto"/>
        <w:bottom w:val="none" w:sz="0" w:space="0" w:color="auto"/>
        <w:right w:val="none" w:sz="0" w:space="0" w:color="auto"/>
      </w:divBdr>
    </w:div>
    <w:div w:id="1213342664">
      <w:bodyDiv w:val="1"/>
      <w:marLeft w:val="0"/>
      <w:marRight w:val="0"/>
      <w:marTop w:val="0"/>
      <w:marBottom w:val="0"/>
      <w:divBdr>
        <w:top w:val="none" w:sz="0" w:space="0" w:color="auto"/>
        <w:left w:val="none" w:sz="0" w:space="0" w:color="auto"/>
        <w:bottom w:val="none" w:sz="0" w:space="0" w:color="auto"/>
        <w:right w:val="none" w:sz="0" w:space="0" w:color="auto"/>
      </w:divBdr>
    </w:div>
    <w:div w:id="1661497773">
      <w:bodyDiv w:val="1"/>
      <w:marLeft w:val="0"/>
      <w:marRight w:val="0"/>
      <w:marTop w:val="0"/>
      <w:marBottom w:val="0"/>
      <w:divBdr>
        <w:top w:val="none" w:sz="0" w:space="0" w:color="auto"/>
        <w:left w:val="none" w:sz="0" w:space="0" w:color="auto"/>
        <w:bottom w:val="none" w:sz="0" w:space="0" w:color="auto"/>
        <w:right w:val="none" w:sz="0" w:space="0" w:color="auto"/>
      </w:divBdr>
      <w:divsChild>
        <w:div w:id="575940770">
          <w:marLeft w:val="0"/>
          <w:marRight w:val="0"/>
          <w:marTop w:val="0"/>
          <w:marBottom w:val="0"/>
          <w:divBdr>
            <w:top w:val="none" w:sz="0" w:space="0" w:color="auto"/>
            <w:left w:val="none" w:sz="0" w:space="0" w:color="auto"/>
            <w:bottom w:val="none" w:sz="0" w:space="0" w:color="auto"/>
            <w:right w:val="none" w:sz="0" w:space="0" w:color="auto"/>
          </w:divBdr>
          <w:divsChild>
            <w:div w:id="160194274">
              <w:marLeft w:val="0"/>
              <w:marRight w:val="0"/>
              <w:marTop w:val="0"/>
              <w:marBottom w:val="0"/>
              <w:divBdr>
                <w:top w:val="none" w:sz="0" w:space="0" w:color="auto"/>
                <w:left w:val="none" w:sz="0" w:space="0" w:color="auto"/>
                <w:bottom w:val="none" w:sz="0" w:space="0" w:color="auto"/>
                <w:right w:val="none" w:sz="0" w:space="0" w:color="auto"/>
              </w:divBdr>
              <w:divsChild>
                <w:div w:id="200462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85444">
      <w:bodyDiv w:val="1"/>
      <w:marLeft w:val="0"/>
      <w:marRight w:val="0"/>
      <w:marTop w:val="0"/>
      <w:marBottom w:val="0"/>
      <w:divBdr>
        <w:top w:val="none" w:sz="0" w:space="0" w:color="auto"/>
        <w:left w:val="none" w:sz="0" w:space="0" w:color="auto"/>
        <w:bottom w:val="none" w:sz="0" w:space="0" w:color="auto"/>
        <w:right w:val="none" w:sz="0" w:space="0" w:color="auto"/>
      </w:divBdr>
      <w:divsChild>
        <w:div w:id="2079554491">
          <w:marLeft w:val="0"/>
          <w:marRight w:val="0"/>
          <w:marTop w:val="0"/>
          <w:marBottom w:val="0"/>
          <w:divBdr>
            <w:top w:val="none" w:sz="0" w:space="0" w:color="auto"/>
            <w:left w:val="none" w:sz="0" w:space="0" w:color="auto"/>
            <w:bottom w:val="none" w:sz="0" w:space="0" w:color="auto"/>
            <w:right w:val="none" w:sz="0" w:space="0" w:color="auto"/>
          </w:divBdr>
          <w:divsChild>
            <w:div w:id="1027876883">
              <w:marLeft w:val="0"/>
              <w:marRight w:val="0"/>
              <w:marTop w:val="0"/>
              <w:marBottom w:val="0"/>
              <w:divBdr>
                <w:top w:val="none" w:sz="0" w:space="0" w:color="auto"/>
                <w:left w:val="none" w:sz="0" w:space="0" w:color="auto"/>
                <w:bottom w:val="none" w:sz="0" w:space="0" w:color="auto"/>
                <w:right w:val="none" w:sz="0" w:space="0" w:color="auto"/>
              </w:divBdr>
              <w:divsChild>
                <w:div w:id="19458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92217">
      <w:bodyDiv w:val="1"/>
      <w:marLeft w:val="0"/>
      <w:marRight w:val="0"/>
      <w:marTop w:val="0"/>
      <w:marBottom w:val="0"/>
      <w:divBdr>
        <w:top w:val="none" w:sz="0" w:space="0" w:color="auto"/>
        <w:left w:val="none" w:sz="0" w:space="0" w:color="auto"/>
        <w:bottom w:val="none" w:sz="0" w:space="0" w:color="auto"/>
        <w:right w:val="none" w:sz="0" w:space="0" w:color="auto"/>
      </w:divBdr>
    </w:div>
    <w:div w:id="1918830276">
      <w:bodyDiv w:val="1"/>
      <w:marLeft w:val="0"/>
      <w:marRight w:val="0"/>
      <w:marTop w:val="0"/>
      <w:marBottom w:val="0"/>
      <w:divBdr>
        <w:top w:val="none" w:sz="0" w:space="0" w:color="auto"/>
        <w:left w:val="none" w:sz="0" w:space="0" w:color="auto"/>
        <w:bottom w:val="none" w:sz="0" w:space="0" w:color="auto"/>
        <w:right w:val="none" w:sz="0" w:space="0" w:color="auto"/>
      </w:divBdr>
    </w:div>
    <w:div w:id="1953441335">
      <w:bodyDiv w:val="1"/>
      <w:marLeft w:val="0"/>
      <w:marRight w:val="0"/>
      <w:marTop w:val="0"/>
      <w:marBottom w:val="0"/>
      <w:divBdr>
        <w:top w:val="none" w:sz="0" w:space="0" w:color="auto"/>
        <w:left w:val="none" w:sz="0" w:space="0" w:color="auto"/>
        <w:bottom w:val="none" w:sz="0" w:space="0" w:color="auto"/>
        <w:right w:val="none" w:sz="0" w:space="0" w:color="auto"/>
      </w:divBdr>
    </w:div>
    <w:div w:id="1968124998">
      <w:bodyDiv w:val="1"/>
      <w:marLeft w:val="0"/>
      <w:marRight w:val="0"/>
      <w:marTop w:val="0"/>
      <w:marBottom w:val="0"/>
      <w:divBdr>
        <w:top w:val="none" w:sz="0" w:space="0" w:color="auto"/>
        <w:left w:val="none" w:sz="0" w:space="0" w:color="auto"/>
        <w:bottom w:val="none" w:sz="0" w:space="0" w:color="auto"/>
        <w:right w:val="none" w:sz="0" w:space="0" w:color="auto"/>
      </w:divBdr>
    </w:div>
    <w:div w:id="2125616005">
      <w:bodyDiv w:val="1"/>
      <w:marLeft w:val="0"/>
      <w:marRight w:val="0"/>
      <w:marTop w:val="0"/>
      <w:marBottom w:val="0"/>
      <w:divBdr>
        <w:top w:val="none" w:sz="0" w:space="0" w:color="auto"/>
        <w:left w:val="none" w:sz="0" w:space="0" w:color="auto"/>
        <w:bottom w:val="none" w:sz="0" w:space="0" w:color="auto"/>
        <w:right w:val="none" w:sz="0" w:space="0" w:color="auto"/>
      </w:divBdr>
      <w:divsChild>
        <w:div w:id="1979726478">
          <w:marLeft w:val="0"/>
          <w:marRight w:val="0"/>
          <w:marTop w:val="0"/>
          <w:marBottom w:val="0"/>
          <w:divBdr>
            <w:top w:val="none" w:sz="0" w:space="0" w:color="auto"/>
            <w:left w:val="none" w:sz="0" w:space="0" w:color="auto"/>
            <w:bottom w:val="none" w:sz="0" w:space="0" w:color="auto"/>
            <w:right w:val="none" w:sz="0" w:space="0" w:color="auto"/>
          </w:divBdr>
          <w:divsChild>
            <w:div w:id="1339501856">
              <w:marLeft w:val="0"/>
              <w:marRight w:val="0"/>
              <w:marTop w:val="0"/>
              <w:marBottom w:val="0"/>
              <w:divBdr>
                <w:top w:val="none" w:sz="0" w:space="0" w:color="auto"/>
                <w:left w:val="none" w:sz="0" w:space="0" w:color="auto"/>
                <w:bottom w:val="none" w:sz="0" w:space="0" w:color="auto"/>
                <w:right w:val="none" w:sz="0" w:space="0" w:color="auto"/>
              </w:divBdr>
              <w:divsChild>
                <w:div w:id="1631784619">
                  <w:marLeft w:val="0"/>
                  <w:marRight w:val="0"/>
                  <w:marTop w:val="0"/>
                  <w:marBottom w:val="0"/>
                  <w:divBdr>
                    <w:top w:val="none" w:sz="0" w:space="0" w:color="auto"/>
                    <w:left w:val="none" w:sz="0" w:space="0" w:color="auto"/>
                    <w:bottom w:val="none" w:sz="0" w:space="0" w:color="auto"/>
                    <w:right w:val="none" w:sz="0" w:space="0" w:color="auto"/>
                  </w:divBdr>
                </w:div>
              </w:divsChild>
            </w:div>
            <w:div w:id="1860508286">
              <w:marLeft w:val="0"/>
              <w:marRight w:val="0"/>
              <w:marTop w:val="0"/>
              <w:marBottom w:val="0"/>
              <w:divBdr>
                <w:top w:val="none" w:sz="0" w:space="0" w:color="auto"/>
                <w:left w:val="none" w:sz="0" w:space="0" w:color="auto"/>
                <w:bottom w:val="none" w:sz="0" w:space="0" w:color="auto"/>
                <w:right w:val="none" w:sz="0" w:space="0" w:color="auto"/>
              </w:divBdr>
              <w:divsChild>
                <w:div w:id="77806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079366">
      <w:bodyDiv w:val="1"/>
      <w:marLeft w:val="0"/>
      <w:marRight w:val="0"/>
      <w:marTop w:val="0"/>
      <w:marBottom w:val="0"/>
      <w:divBdr>
        <w:top w:val="none" w:sz="0" w:space="0" w:color="auto"/>
        <w:left w:val="none" w:sz="0" w:space="0" w:color="auto"/>
        <w:bottom w:val="none" w:sz="0" w:space="0" w:color="auto"/>
        <w:right w:val="none" w:sz="0" w:space="0" w:color="auto"/>
      </w:divBdr>
      <w:divsChild>
        <w:div w:id="1292831284">
          <w:marLeft w:val="0"/>
          <w:marRight w:val="0"/>
          <w:marTop w:val="0"/>
          <w:marBottom w:val="0"/>
          <w:divBdr>
            <w:top w:val="none" w:sz="0" w:space="0" w:color="auto"/>
            <w:left w:val="none" w:sz="0" w:space="0" w:color="auto"/>
            <w:bottom w:val="none" w:sz="0" w:space="0" w:color="auto"/>
            <w:right w:val="none" w:sz="0" w:space="0" w:color="auto"/>
          </w:divBdr>
          <w:divsChild>
            <w:div w:id="1797094344">
              <w:marLeft w:val="0"/>
              <w:marRight w:val="0"/>
              <w:marTop w:val="0"/>
              <w:marBottom w:val="0"/>
              <w:divBdr>
                <w:top w:val="none" w:sz="0" w:space="0" w:color="auto"/>
                <w:left w:val="none" w:sz="0" w:space="0" w:color="auto"/>
                <w:bottom w:val="none" w:sz="0" w:space="0" w:color="auto"/>
                <w:right w:val="none" w:sz="0" w:space="0" w:color="auto"/>
              </w:divBdr>
              <w:divsChild>
                <w:div w:id="13235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5E39D-E58C-4BC7-93E9-D54112FEC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1656</Words>
  <Characters>9442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Cory Hussar, PhD</dc:creator>
  <cp:lastModifiedBy>Paul Shea</cp:lastModifiedBy>
  <cp:revision>2</cp:revision>
  <cp:lastPrinted>2018-04-24T15:54:00Z</cp:lastPrinted>
  <dcterms:created xsi:type="dcterms:W3CDTF">2018-08-02T13:38:00Z</dcterms:created>
  <dcterms:modified xsi:type="dcterms:W3CDTF">2018-08-02T13:38:00Z</dcterms:modified>
</cp:coreProperties>
</file>