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FC2B" w14:textId="77777777" w:rsidR="0063262E" w:rsidRPr="00BD7F6C" w:rsidRDefault="0063262E" w:rsidP="0063262E">
      <w:pPr>
        <w:spacing w:line="240" w:lineRule="auto"/>
        <w:rPr>
          <w:b/>
          <w:bCs/>
          <w:color w:val="000000"/>
          <w:sz w:val="28"/>
          <w:szCs w:val="28"/>
        </w:rPr>
      </w:pPr>
      <w:bookmarkStart w:id="0" w:name="_Hlk534717561"/>
      <w:r w:rsidRPr="00147B8D">
        <w:rPr>
          <w:b/>
          <w:bCs/>
          <w:color w:val="000000"/>
          <w:sz w:val="28"/>
          <w:szCs w:val="28"/>
        </w:rPr>
        <w:t>The following content was supplied by the author</w:t>
      </w:r>
      <w:r>
        <w:rPr>
          <w:b/>
          <w:bCs/>
          <w:color w:val="000000"/>
          <w:sz w:val="28"/>
          <w:szCs w:val="28"/>
        </w:rPr>
        <w:t>s</w:t>
      </w:r>
      <w:r w:rsidRPr="00147B8D">
        <w:rPr>
          <w:b/>
          <w:bCs/>
          <w:color w:val="000000"/>
          <w:sz w:val="28"/>
          <w:szCs w:val="28"/>
        </w:rPr>
        <w:t xml:space="preserve"> as supporting material and has not been copy-edited or verified by JBJS.</w:t>
      </w:r>
      <w:bookmarkEnd w:id="0"/>
    </w:p>
    <w:p w14:paraId="363249F8" w14:textId="77777777" w:rsidR="00911D58" w:rsidRPr="000069EB" w:rsidRDefault="00911D58" w:rsidP="00911D5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Appendix</w:t>
      </w:r>
    </w:p>
    <w:p w14:paraId="04656FED" w14:textId="77777777" w:rsidR="0063262E" w:rsidRPr="0063262E" w:rsidRDefault="0063262E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C604010" w14:textId="2A5BA06B" w:rsidR="00EA21B8" w:rsidRPr="000069EB" w:rsidRDefault="00C177BA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177BA">
        <w:rPr>
          <w:rFonts w:ascii="Times New Roman" w:eastAsia="Arial" w:hAnsi="Times New Roman" w:cs="Times New Roman"/>
          <w:b/>
          <w:sz w:val="24"/>
          <w:szCs w:val="24"/>
          <w:u w:val="single"/>
        </w:rPr>
        <w:t>1 - Concerning VTE risk, which surgeries can be considered major, and which surgeries can be considered non-major in hand surgery?</w:t>
      </w:r>
    </w:p>
    <w:p w14:paraId="322F0A6A" w14:textId="77777777" w:rsidR="001842E4" w:rsidRPr="000069EB" w:rsidRDefault="001842E4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33E57020" w14:textId="77777777" w:rsidR="00585121" w:rsidRPr="000069EB" w:rsidRDefault="00585121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Search Terms:</w:t>
      </w:r>
    </w:p>
    <w:p w14:paraId="040B58D7" w14:textId="77777777" w:rsidR="00585121" w:rsidRPr="000069EB" w:rsidRDefault="00585121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B">
        <w:rPr>
          <w:rFonts w:ascii="Times New Roman" w:hAnsi="Times New Roman" w:cs="Times New Roman"/>
          <w:sz w:val="24"/>
          <w:szCs w:val="24"/>
        </w:rPr>
        <w:t xml:space="preserve">(hand OR “hand”[Mesh]) 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>AND (</w:t>
      </w:r>
      <w:r w:rsidRPr="000069EB">
        <w:rPr>
          <w:rFonts w:ascii="Times New Roman" w:hAnsi="Times New Roman" w:cs="Times New Roman"/>
          <w:sz w:val="24"/>
          <w:szCs w:val="24"/>
        </w:rPr>
        <w:t>surgery OR surgeries OR "Orthopedic Procedures"[Mesh] OR nerve repair OR arthroplasty OR arthroplasties OR closed fixation OR closed reduction)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 AND (</w:t>
      </w:r>
      <w:r w:rsidRPr="000069EB">
        <w:rPr>
          <w:rFonts w:ascii="Times New Roman" w:hAnsi="Times New Roman" w:cs="Times New Roman"/>
          <w:sz w:val="24"/>
          <w:szCs w:val="24"/>
        </w:rPr>
        <w:t xml:space="preserve">"Embolism and Thrombosis"[Mesh] OR venous thromboembolism OR venous thrombosis OR pulmonary embolism OR embolus OR embolism OR thrombosis OR thromboses OR thrombus OR thromboembolisms OR deep vein thrombosis OR pe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vte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dvt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blood clot OR blood clots) AND (venous thromboembolism risk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vte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riskOR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risk characteristics OR risk stratification OR risk-stratification OR risk score OR risk estimation OR risk model OR "Risk Assessment"[Mesh] OR  "Risk Factors"[Mesh]  OR   "Health Status Indicators"[Mesh] OR score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caprini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score OR Brigham and Women's Hospital Model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kucher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model OR ram OR risk assessment model OR multivariable model OR Padua VTE RAM OR 7-factor IMPROVE VTE RAM OR Premier VTE Risk Model OR intermountain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medenox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ram OR predict OR prediction OR Padua Prediction Score)</w:t>
      </w:r>
    </w:p>
    <w:p w14:paraId="425BE215" w14:textId="77777777" w:rsidR="00585121" w:rsidRPr="000069EB" w:rsidRDefault="00585121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D1F63" w14:textId="77777777" w:rsidR="00585121" w:rsidRPr="000069EB" w:rsidRDefault="00585121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Total: 607 </w:t>
      </w:r>
      <w:r w:rsidRPr="000069EB">
        <w:rPr>
          <w:rFonts w:ascii="Times New Roman" w:hAnsi="Times New Roman" w:cs="Times New Roman"/>
          <w:sz w:val="24"/>
          <w:szCs w:val="24"/>
        </w:rPr>
        <w:t xml:space="preserve">search results </w:t>
      </w:r>
    </w:p>
    <w:p w14:paraId="5EA9F80C" w14:textId="77777777" w:rsidR="00585121" w:rsidRPr="000069EB" w:rsidRDefault="00585121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Inclusion Criteria 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Inclusion criteria were </w:t>
      </w:r>
    </w:p>
    <w:p w14:paraId="399DD175" w14:textId="77777777" w:rsidR="00585121" w:rsidRPr="000069EB" w:rsidRDefault="00585121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(1) both clinical and preclinical studies with any level of evidence </w:t>
      </w:r>
    </w:p>
    <w:p w14:paraId="76793AF6" w14:textId="77777777" w:rsidR="00585121" w:rsidRPr="000069EB" w:rsidRDefault="00585121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(2) published in peer-reviewed journals in English, </w:t>
      </w:r>
    </w:p>
    <w:p w14:paraId="23D7D7D2" w14:textId="77777777" w:rsidR="00585121" w:rsidRPr="000069EB" w:rsidRDefault="00585121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(3)  investigated the role of venous thromboembolism (VTE) prophylaxis in hand surgery.</w:t>
      </w:r>
    </w:p>
    <w:p w14:paraId="2A7F4EDC" w14:textId="77777777" w:rsidR="00585121" w:rsidRPr="000069EB" w:rsidRDefault="00585121" w:rsidP="00632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Exclusion Criteria</w:t>
      </w:r>
      <w:r w:rsidRPr="000069E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69EB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br/>
        <w:t>Data was not accessible or missing, or those without an available full-text article.</w:t>
      </w:r>
    </w:p>
    <w:p w14:paraId="710110E8" w14:textId="77777777" w:rsidR="00585121" w:rsidRPr="000069EB" w:rsidRDefault="00585121" w:rsidP="00632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Studies with poor scientific methodology as per risk of bias assessment. </w:t>
      </w:r>
    </w:p>
    <w:p w14:paraId="50F27CF5" w14:textId="77777777" w:rsidR="00585121" w:rsidRPr="000069EB" w:rsidRDefault="00585121" w:rsidP="006326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Abstracts, case reports, conference presentations, reviews, editorials, and expert opinions.</w:t>
      </w:r>
    </w:p>
    <w:p w14:paraId="776E4193" w14:textId="3713E85B" w:rsidR="00B83036" w:rsidRPr="000069EB" w:rsidRDefault="00B83036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75AA" w14:textId="1825FEDB" w:rsidR="00004549" w:rsidRDefault="00004549" w:rsidP="006326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4549">
        <w:rPr>
          <w:rFonts w:ascii="Times New Roman" w:hAnsi="Times New Roman" w:cs="Times New Roman"/>
          <w:b/>
          <w:bCs/>
          <w:sz w:val="24"/>
          <w:szCs w:val="24"/>
          <w:u w:val="single"/>
        </w:rPr>
        <w:t>2 - Is routine VTE prophylaxis required for patients undergoing wrist surgery?</w:t>
      </w:r>
    </w:p>
    <w:p w14:paraId="11C5AF06" w14:textId="04AEC874" w:rsidR="00CF503D" w:rsidRPr="000069EB" w:rsidRDefault="00CF503D" w:rsidP="006326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517A9D" w14:textId="77777777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Search Terms:</w:t>
      </w:r>
    </w:p>
    <w:p w14:paraId="00D9DC50" w14:textId="77777777" w:rsidR="00CF503D" w:rsidRPr="000069EB" w:rsidRDefault="00CF503D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B">
        <w:rPr>
          <w:rFonts w:ascii="Times New Roman" w:hAnsi="Times New Roman" w:cs="Times New Roman"/>
          <w:sz w:val="24"/>
          <w:szCs w:val="24"/>
        </w:rPr>
        <w:t xml:space="preserve">(Wrist OR "Wrist Joint"[Mesh] OR "Wrist"[Mesh] OR  "Wrist Injuries"[Mesh]) 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>AND (</w:t>
      </w:r>
      <w:r w:rsidRPr="000069EB">
        <w:rPr>
          <w:rFonts w:ascii="Times New Roman" w:hAnsi="Times New Roman" w:cs="Times New Roman"/>
          <w:sz w:val="24"/>
          <w:szCs w:val="24"/>
        </w:rPr>
        <w:t>surgery OR surgeries OR "Orthopedic Procedures"[Mesh])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 AND (</w:t>
      </w:r>
      <w:r w:rsidRPr="000069EB">
        <w:rPr>
          <w:rFonts w:ascii="Times New Roman" w:hAnsi="Times New Roman" w:cs="Times New Roman"/>
          <w:sz w:val="24"/>
          <w:szCs w:val="24"/>
        </w:rPr>
        <w:t xml:space="preserve">prophylaxis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prophylaxed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Prophylactically OR "Embolism and Thrombosis"[Mesh] OR venous thromboembolism OR venous thrombosis OR pulmonary embolism OR embolus OR embolism OR thrombosis OR thromboses OR thrombus OR thromboembolisms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ORvdeep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vein thrombosis OR pe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vte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dvt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blood clot OR blood clots OR anti-clotting OR Antithrombotic OR anti-thrombotic OR anticoagulation OR anti-coagulation OR heparin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lmwh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low molecular weight heparin OR low-molecular-weight heparin OR "Heparin"[Mesh] OR  "Heparin, Low-Molecular-</w:t>
      </w:r>
      <w:r w:rsidRPr="000069EB">
        <w:rPr>
          <w:rFonts w:ascii="Times New Roman" w:hAnsi="Times New Roman" w:cs="Times New Roman"/>
          <w:sz w:val="24"/>
          <w:szCs w:val="24"/>
        </w:rPr>
        <w:lastRenderedPageBreak/>
        <w:t>Weight"[Mesh] OR  "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Dalteparin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"[Mesh]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Dalteparin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Fragmin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"Enoxaparin"[Mesh] OR Enoxaparin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"Nadroparin"[Mesh] OR Nadroparin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Fraxiparin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 "Tinzaparin"[Mesh] OR tinzaparin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innohep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low dose unfractionated heparin OR low-dose unfractionated heparin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lduh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"Factor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Inhibitors"[Mesh] OR direct factor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inhibitor OR apixaban OR Eliquis OR betrixaban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bevyxxa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edoxaban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savaysa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rivaroxaban OR "Rivaroxaban"[Mesh] OR Xarelto OR Indirect factor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inhibitors OR fondaparinux OR "Fondaparinux"[Mesh]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fondaparin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arixtra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direct thrombin inhibitors OR "Antithrombins"[Mesh] OR dabigatran OR Pradaxa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ximelagatran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exanta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vitamin k antagonists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vka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 warfarin OR "Warfarin"[Mesh] OR coumadin OR aspirin OR "Aspirin"[Mesh] OR salicylate OR "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Salycylates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>"[Mesh])</w:t>
      </w:r>
    </w:p>
    <w:p w14:paraId="40E5A588" w14:textId="77777777" w:rsidR="00CF503D" w:rsidRPr="000069EB" w:rsidRDefault="00CF503D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C1C49" w14:textId="77777777" w:rsidR="00CF503D" w:rsidRPr="000069EB" w:rsidRDefault="00CF503D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Total: 725</w:t>
      </w:r>
      <w:r w:rsidRPr="000069EB">
        <w:rPr>
          <w:rFonts w:ascii="Times New Roman" w:hAnsi="Times New Roman" w:cs="Times New Roman"/>
          <w:sz w:val="24"/>
          <w:szCs w:val="24"/>
        </w:rPr>
        <w:t xml:space="preserve"> search results </w:t>
      </w:r>
    </w:p>
    <w:p w14:paraId="7CA60591" w14:textId="77777777" w:rsidR="00CF503D" w:rsidRPr="000069EB" w:rsidRDefault="00CF503D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07ED8" w14:textId="77777777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Inclusion Criteria 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(1) both clinical and preclinical studies with any level of evidence </w:t>
      </w:r>
    </w:p>
    <w:p w14:paraId="477EDEFD" w14:textId="77777777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(2) published in peer-reviewed journals in English, </w:t>
      </w:r>
    </w:p>
    <w:p w14:paraId="693D646D" w14:textId="77777777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(3)  investigated the role of venous thromboembolism (VTE) prophylaxis in wrist surgery.</w:t>
      </w:r>
    </w:p>
    <w:p w14:paraId="7342A59A" w14:textId="77777777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Exclusion Criteria</w:t>
      </w:r>
      <w:r w:rsidRPr="000069E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69EB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5ED7F663" w14:textId="77777777" w:rsidR="00CF503D" w:rsidRPr="000069EB" w:rsidRDefault="00CF503D" w:rsidP="00632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data was not accessible or missing, or those without an available full-text article. </w:t>
      </w:r>
    </w:p>
    <w:p w14:paraId="1E140E1B" w14:textId="77777777" w:rsidR="00CF503D" w:rsidRPr="000069EB" w:rsidRDefault="00CF503D" w:rsidP="00632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studies with poor scientific methodology as per risk of bias assessment. </w:t>
      </w:r>
    </w:p>
    <w:p w14:paraId="33BBD554" w14:textId="4416A82E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Abstracts</w:t>
      </w:r>
    </w:p>
    <w:p w14:paraId="343ED0F7" w14:textId="68E36EEB" w:rsidR="00CF503D" w:rsidRPr="000069EB" w:rsidRDefault="00CF503D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8230961" w14:textId="4EC1B902" w:rsidR="00CF503D" w:rsidRDefault="009C682E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C682E">
        <w:rPr>
          <w:rFonts w:ascii="Times New Roman" w:eastAsia="Arial" w:hAnsi="Times New Roman" w:cs="Times New Roman"/>
          <w:b/>
          <w:sz w:val="24"/>
          <w:szCs w:val="24"/>
          <w:u w:val="single"/>
        </w:rPr>
        <w:t>3 - Is routine VTE prophylaxis required for patients undergoing finger surgery?</w:t>
      </w:r>
    </w:p>
    <w:p w14:paraId="04B4A133" w14:textId="77777777" w:rsidR="00004549" w:rsidRPr="000069EB" w:rsidRDefault="00004549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5381394D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Search Terms:</w:t>
      </w:r>
    </w:p>
    <w:p w14:paraId="1F8027F3" w14:textId="77777777" w:rsidR="002258F3" w:rsidRPr="000069EB" w:rsidRDefault="002258F3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B">
        <w:rPr>
          <w:rFonts w:ascii="Times New Roman" w:hAnsi="Times New Roman" w:cs="Times New Roman"/>
          <w:sz w:val="24"/>
          <w:szCs w:val="24"/>
        </w:rPr>
        <w:t>(Finger OR fingertip OR “Fingers”[Mesh] OR “finger joint” [Mesh] OR “finger injuries” [Mesh] or Thumb)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 AND (Surgery OR Surgeries OR “Orthopedic Procedures” [Mesh] OR reconstructive OR reconstruction OR “reconstructive surgical procedures” [Mesh] OR replantation OR “replantation” [Mesh] OR transplantation OR “transplantation” [Mesh]) AND (</w:t>
      </w:r>
      <w:r w:rsidRPr="000069EB">
        <w:rPr>
          <w:rFonts w:ascii="Times New Roman" w:hAnsi="Times New Roman" w:cs="Times New Roman"/>
          <w:sz w:val="24"/>
          <w:szCs w:val="24"/>
        </w:rPr>
        <w:t xml:space="preserve">prophylaxis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prophylaxed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Prophylactically OR "Embolism and Thrombosis"[Mesh] OR venous thromboembolism OR venous thrombosis OR pulmonary embolism OR embolus OR embolism OR thrombosis OR thromboses OR thrombus OR thromboembolisms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ORvdeep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vein thrombosis OR pe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vte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dvt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blood clot OR blood clots OR anti-clotting OR Antithrombotic OR anti-thrombotic OR anticoagulation OR anti-coagulation OR heparin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lmwh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low molecular weight heparin OR low-molecular-weight heparin OR "Heparin"[Mesh] OR  "Heparin, Low-Molecular-Weight"[Mesh] OR  "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Dalteparin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"[Mesh]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Dalteparin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Fragmin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"Enoxaparin"[Mesh] OR Enoxaparin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"Nadroparin"[Mesh] OR Nadroparin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Fraxiparin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 "Tinzaparin"[Mesh] OR tinzaparin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innohep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low dose unfractionated heparin OR low-dose unfractionated heparin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lduh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"Factor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Inhibitors"[Mesh] OR direct factor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inhibitor OR apixaban OR Eliquis OR betrixaban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bevyxxa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edoxaban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savaysa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rivaroxaban OR "Rivaroxaban"[Mesh] OR Xarelto OR Indirect factor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inhibitors OR fondaparinux OR "Fondaparinux"[Mesh]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fondaparin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arixtra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direct thrombin inhibitors OR "Antithrombins"[Mesh] OR dabigatran OR Pradaxa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ximelagatran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exanta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</w:t>
      </w:r>
      <w:r w:rsidRPr="000069EB">
        <w:rPr>
          <w:rFonts w:ascii="Times New Roman" w:hAnsi="Times New Roman" w:cs="Times New Roman"/>
          <w:sz w:val="24"/>
          <w:szCs w:val="24"/>
        </w:rPr>
        <w:lastRenderedPageBreak/>
        <w:t xml:space="preserve">OR vitamin k antagonists OR 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vka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 xml:space="preserve"> OR  warfarin OR "Warfarin"[Mesh] OR coumadin OR aspirin OR "Aspirin"[Mesh] OR salicylate OR "</w:t>
      </w:r>
      <w:proofErr w:type="spellStart"/>
      <w:r w:rsidRPr="000069EB">
        <w:rPr>
          <w:rFonts w:ascii="Times New Roman" w:hAnsi="Times New Roman" w:cs="Times New Roman"/>
          <w:sz w:val="24"/>
          <w:szCs w:val="24"/>
        </w:rPr>
        <w:t>Salycylates</w:t>
      </w:r>
      <w:proofErr w:type="spellEnd"/>
      <w:r w:rsidRPr="000069EB">
        <w:rPr>
          <w:rFonts w:ascii="Times New Roman" w:hAnsi="Times New Roman" w:cs="Times New Roman"/>
          <w:sz w:val="24"/>
          <w:szCs w:val="24"/>
        </w:rPr>
        <w:t>"[Mesh])</w:t>
      </w:r>
    </w:p>
    <w:p w14:paraId="12895B1D" w14:textId="77777777" w:rsidR="002258F3" w:rsidRPr="000069EB" w:rsidRDefault="002258F3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9261A" w14:textId="77777777" w:rsidR="002258F3" w:rsidRPr="000069EB" w:rsidRDefault="002258F3" w:rsidP="0063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Total: 1534 </w:t>
      </w:r>
      <w:r w:rsidRPr="000069EB">
        <w:rPr>
          <w:rFonts w:ascii="Times New Roman" w:hAnsi="Times New Roman" w:cs="Times New Roman"/>
          <w:sz w:val="24"/>
          <w:szCs w:val="24"/>
        </w:rPr>
        <w:t xml:space="preserve">search results </w:t>
      </w:r>
    </w:p>
    <w:p w14:paraId="54B7809F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1ECE310D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Inclusion Criteria </w:t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br/>
      </w:r>
    </w:p>
    <w:p w14:paraId="673C78AB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(1) both clinical and preclinical studies with any level of evidence </w:t>
      </w:r>
    </w:p>
    <w:p w14:paraId="15EE13C3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(2) published in peer-reviewed journals in English, </w:t>
      </w:r>
    </w:p>
    <w:p w14:paraId="6978D8EF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(3)  investigated the role of venous thromboembolism (VTE) prophylaxis in finger surgery.</w:t>
      </w:r>
    </w:p>
    <w:p w14:paraId="5C273266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66C54A45" w14:textId="77777777" w:rsidR="002258F3" w:rsidRPr="000069EB" w:rsidRDefault="002258F3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/>
          <w:sz w:val="24"/>
          <w:szCs w:val="24"/>
          <w:u w:val="single"/>
        </w:rPr>
        <w:t>Exclusion Criteria</w:t>
      </w:r>
      <w:r w:rsidRPr="000069E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69EB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9EB">
        <w:rPr>
          <w:rFonts w:ascii="Times New Roman" w:eastAsia="Arial" w:hAnsi="Times New Roman" w:cs="Times New Roman"/>
          <w:bCs/>
          <w:sz w:val="24"/>
          <w:szCs w:val="24"/>
        </w:rPr>
        <w:br/>
      </w:r>
    </w:p>
    <w:p w14:paraId="39BF2364" w14:textId="77777777" w:rsidR="002258F3" w:rsidRPr="000069EB" w:rsidRDefault="002258F3" w:rsidP="006326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data was not accessible or missing, or those without an available full-text article. </w:t>
      </w:r>
    </w:p>
    <w:p w14:paraId="74BD8380" w14:textId="77777777" w:rsidR="002258F3" w:rsidRPr="000069EB" w:rsidRDefault="002258F3" w:rsidP="006326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 xml:space="preserve">studies with poor scientific methodology as per risk of bias assessment. </w:t>
      </w:r>
    </w:p>
    <w:p w14:paraId="256AACFA" w14:textId="77777777" w:rsidR="002258F3" w:rsidRPr="000069EB" w:rsidRDefault="002258F3" w:rsidP="006326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069EB">
        <w:rPr>
          <w:rFonts w:ascii="Times New Roman" w:eastAsia="Arial" w:hAnsi="Times New Roman" w:cs="Times New Roman"/>
          <w:bCs/>
          <w:sz w:val="24"/>
          <w:szCs w:val="24"/>
        </w:rPr>
        <w:t>Abstracts, conference presentations, reviews, editorials, and expert opinions were excluded.</w:t>
      </w:r>
    </w:p>
    <w:p w14:paraId="02F90CB5" w14:textId="27691D53" w:rsidR="008F7FC2" w:rsidRPr="000069EB" w:rsidRDefault="008F7FC2" w:rsidP="0063262E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696BB05" w14:textId="4C827447" w:rsidR="008F7FC2" w:rsidRDefault="00BC3CE7" w:rsidP="0063262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C3CE7">
        <w:rPr>
          <w:rFonts w:ascii="Times New Roman" w:eastAsia="Arial" w:hAnsi="Times New Roman" w:cs="Times New Roman"/>
          <w:b/>
          <w:sz w:val="24"/>
          <w:szCs w:val="24"/>
          <w:u w:val="single"/>
        </w:rPr>
        <w:t>4 - Should anticoagulants be held prior to performing hand and wrist surgeries?</w:t>
      </w:r>
    </w:p>
    <w:p w14:paraId="5FFB197D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0DBBC8" w14:textId="77777777" w:rsidR="000069EB" w:rsidRPr="000C6746" w:rsidRDefault="000069EB" w:rsidP="006326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746">
        <w:rPr>
          <w:rFonts w:ascii="Times New Roman" w:hAnsi="Times New Roman" w:cs="Times New Roman"/>
          <w:b/>
          <w:bCs/>
          <w:sz w:val="24"/>
          <w:szCs w:val="24"/>
          <w:u w:val="single"/>
        </w:rPr>
        <w:t>Search Terms</w:t>
      </w:r>
    </w:p>
    <w:p w14:paraId="0CE9CCAA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5D438B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((((((((((((hand surgery[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 OR (wrist surgery[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(carpal tunnel release[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(cubital tunnel release[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(trigger finger release[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dequervains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release[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(hand fracture fixation[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(wrist fracture fixation[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(distal radius fracture fixation[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(scaphoid fracture fixation[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(ganglion excision[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(nerve repair[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(tendon repair[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</w:t>
      </w:r>
    </w:p>
    <w:p w14:paraId="14F4DE4D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AND (((((((((((((((((((((((((((((((((((((anticoagulants[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 OR (antiplatelet agents[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(oral anticoagulants[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(inhibitors, platelet aggregation[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(aspirin[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(salicylates[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(agents, nonsteroidal 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antiinflammatory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(ibuprofen[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naprosyn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(clopidogrel[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plavix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(thienopyridines[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(prasugrel[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effient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(ticagrelor[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brilinta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(dipyridamole[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persantine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(vitamin k antagonists[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(warfarin[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(coumadin[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(direct oral anticoagulants[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(dabigatran[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pradaxa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(apixaban[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eliquis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enoxaban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savaysa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(rivaroxaban[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xarelto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(betrixaban[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beyyxxa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(heparin[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(heparin, low molecular weight[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(enoxaparin[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lovenox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dalteparin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Terms])) OR (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fragmin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0069EB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0069EB">
        <w:rPr>
          <w:rFonts w:ascii="Times New Roman" w:hAnsi="Times New Roman" w:cs="Times New Roman"/>
          <w:bCs/>
          <w:sz w:val="24"/>
          <w:szCs w:val="24"/>
        </w:rPr>
        <w:t xml:space="preserve"> Terms]) </w:t>
      </w:r>
    </w:p>
    <w:p w14:paraId="1100E94C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02C8BA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lastRenderedPageBreak/>
        <w:t>Total: 593 results</w:t>
      </w:r>
    </w:p>
    <w:p w14:paraId="64DB7BD7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2AC54A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 xml:space="preserve">Inclusion </w:t>
      </w:r>
    </w:p>
    <w:p w14:paraId="2ADF8E16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Hand or wrist surgery (distal to or including the radiocarpal joint)</w:t>
      </w:r>
    </w:p>
    <w:p w14:paraId="5D5AB28A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Randomized or quasi-randomized trials and observational studies</w:t>
      </w:r>
    </w:p>
    <w:p w14:paraId="7B803C15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Complications related to bleeding reported</w:t>
      </w:r>
    </w:p>
    <w:p w14:paraId="018DFDAD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Clinical trials</w:t>
      </w:r>
    </w:p>
    <w:p w14:paraId="3F4975B1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English articles</w:t>
      </w:r>
    </w:p>
    <w:p w14:paraId="0034E8B7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D05228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Exclusion</w:t>
      </w:r>
    </w:p>
    <w:p w14:paraId="3AEC7950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No control group</w:t>
      </w:r>
    </w:p>
    <w:p w14:paraId="1CF6BD6F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Case reports</w:t>
      </w:r>
    </w:p>
    <w:p w14:paraId="40CE0B8A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Studies with &lt;10 cases</w:t>
      </w:r>
    </w:p>
    <w:p w14:paraId="3B9D7A29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 xml:space="preserve">Emergency surgery </w:t>
      </w:r>
    </w:p>
    <w:p w14:paraId="2364463F" w14:textId="77777777" w:rsidR="000069EB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 xml:space="preserve">Narrative review articles </w:t>
      </w:r>
    </w:p>
    <w:p w14:paraId="10F47840" w14:textId="58E7A013" w:rsidR="00CF503D" w:rsidRPr="000069EB" w:rsidRDefault="000069EB" w:rsidP="006326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9EB">
        <w:rPr>
          <w:rFonts w:ascii="Times New Roman" w:hAnsi="Times New Roman" w:cs="Times New Roman"/>
          <w:bCs/>
          <w:sz w:val="24"/>
          <w:szCs w:val="24"/>
        </w:rPr>
        <w:t>•</w:t>
      </w:r>
      <w:r w:rsidRPr="000069EB">
        <w:rPr>
          <w:rFonts w:ascii="Times New Roman" w:hAnsi="Times New Roman" w:cs="Times New Roman"/>
          <w:bCs/>
          <w:sz w:val="24"/>
          <w:szCs w:val="24"/>
        </w:rPr>
        <w:tab/>
        <w:t>Not in English</w:t>
      </w:r>
    </w:p>
    <w:sectPr w:rsidR="00CF503D" w:rsidRPr="000069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8B44" w14:textId="77777777" w:rsidR="00E61DA2" w:rsidRDefault="00E61DA2" w:rsidP="0063262E">
      <w:pPr>
        <w:spacing w:after="0" w:line="240" w:lineRule="auto"/>
      </w:pPr>
      <w:r>
        <w:separator/>
      </w:r>
    </w:p>
  </w:endnote>
  <w:endnote w:type="continuationSeparator" w:id="0">
    <w:p w14:paraId="080C9CE4" w14:textId="77777777" w:rsidR="00E61DA2" w:rsidRDefault="00E61DA2" w:rsidP="006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C85E" w14:textId="77777777" w:rsidR="00E61DA2" w:rsidRDefault="00E61DA2" w:rsidP="0063262E">
      <w:pPr>
        <w:spacing w:after="0" w:line="240" w:lineRule="auto"/>
      </w:pPr>
      <w:r>
        <w:separator/>
      </w:r>
    </w:p>
  </w:footnote>
  <w:footnote w:type="continuationSeparator" w:id="0">
    <w:p w14:paraId="2EA55F94" w14:textId="77777777" w:rsidR="00E61DA2" w:rsidRDefault="00E61DA2" w:rsidP="006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23C" w14:textId="7BF6AAB2" w:rsidR="0063262E" w:rsidRPr="00492C9A" w:rsidRDefault="0063262E" w:rsidP="0063262E">
    <w:pPr>
      <w:spacing w:after="0"/>
      <w:rPr>
        <w:rFonts w:ascii="Times New Roman" w:hAnsi="Times New Roman" w:cs="Times New Roman"/>
        <w:smallCaps/>
        <w:sz w:val="14"/>
        <w:szCs w:val="20"/>
      </w:rPr>
    </w:pPr>
    <w:bookmarkStart w:id="1" w:name="_Hlk534717433"/>
    <w:r w:rsidRPr="00492C9A">
      <w:rPr>
        <w:rFonts w:ascii="Times New Roman" w:hAnsi="Times New Roman" w:cs="Times New Roman"/>
        <w:smallCaps/>
        <w:sz w:val="18"/>
      </w:rPr>
      <w:t>Copyright ©</w:t>
    </w:r>
    <w:r w:rsidRPr="000F6B4B">
      <w:rPr>
        <w:rFonts w:ascii="Times New Roman" w:hAnsi="Times New Roman" w:cs="Times New Roman"/>
        <w:smallCaps/>
        <w:sz w:val="18"/>
        <w:lang w:val="en-GB"/>
      </w:rPr>
      <w:t xml:space="preserve"> by The Journal of Bone and Joint Surgery, Incorporated</w:t>
    </w:r>
  </w:p>
  <w:p w14:paraId="4827CF20" w14:textId="151AC10A" w:rsidR="0063262E" w:rsidRDefault="0063262E" w:rsidP="0063262E">
    <w:pPr>
      <w:spacing w:after="0"/>
      <w:rPr>
        <w:rFonts w:ascii="Times New Roman" w:hAnsi="Times New Roman" w:cs="Times New Roman"/>
        <w:smallCaps/>
        <w:sz w:val="18"/>
      </w:rPr>
    </w:pPr>
    <w:r w:rsidRPr="00866BEF">
      <w:rPr>
        <w:rFonts w:ascii="Times New Roman" w:hAnsi="Times New Roman" w:cs="Times New Roman"/>
        <w:smallCaps/>
        <w:sz w:val="18"/>
        <w:lang w:val="en-GB"/>
      </w:rPr>
      <w:t>ICM</w:t>
    </w:r>
    <w:r>
      <w:rPr>
        <w:rFonts w:ascii="Times New Roman" w:hAnsi="Times New Roman" w:cs="Times New Roman"/>
        <w:smallCaps/>
        <w:sz w:val="18"/>
        <w:lang w:val="en-GB"/>
      </w:rPr>
      <w:t>-</w:t>
    </w:r>
    <w:r w:rsidRPr="00866BEF">
      <w:rPr>
        <w:rFonts w:ascii="Times New Roman" w:hAnsi="Times New Roman" w:cs="Times New Roman"/>
        <w:smallCaps/>
        <w:sz w:val="18"/>
        <w:lang w:val="en-GB"/>
      </w:rPr>
      <w:t xml:space="preserve">VTE </w:t>
    </w:r>
    <w:r w:rsidRPr="0063262E">
      <w:rPr>
        <w:rFonts w:ascii="Times New Roman" w:hAnsi="Times New Roman" w:cs="Times New Roman"/>
        <w:smallCaps/>
        <w:sz w:val="18"/>
      </w:rPr>
      <w:t xml:space="preserve">Hand </w:t>
    </w:r>
    <w:r w:rsidR="00DA3D5F">
      <w:rPr>
        <w:rFonts w:ascii="Times New Roman" w:hAnsi="Times New Roman" w:cs="Times New Roman"/>
        <w:smallCaps/>
        <w:sz w:val="18"/>
      </w:rPr>
      <w:t>Delegates</w:t>
    </w:r>
  </w:p>
  <w:p w14:paraId="56B8EC5E" w14:textId="3B94AAAB" w:rsidR="0063262E" w:rsidRDefault="0063262E" w:rsidP="0063262E">
    <w:pPr>
      <w:spacing w:after="0"/>
      <w:rPr>
        <w:rFonts w:ascii="Times New Roman" w:hAnsi="Times New Roman" w:cs="Times New Roman"/>
        <w:smallCaps/>
        <w:sz w:val="18"/>
        <w:u w:val="single"/>
      </w:rPr>
    </w:pPr>
    <w:r w:rsidRPr="0063262E">
      <w:rPr>
        <w:rFonts w:ascii="Times New Roman" w:hAnsi="Times New Roman" w:cs="Times New Roman"/>
        <w:smallCaps/>
        <w:sz w:val="18"/>
      </w:rPr>
      <w:t xml:space="preserve">Recommendations from the ICM </w:t>
    </w:r>
    <w:r>
      <w:rPr>
        <w:rFonts w:ascii="Times New Roman" w:hAnsi="Times New Roman" w:cs="Times New Roman"/>
        <w:smallCaps/>
        <w:sz w:val="18"/>
      </w:rPr>
      <w:t>-</w:t>
    </w:r>
    <w:r w:rsidRPr="0063262E">
      <w:rPr>
        <w:rFonts w:ascii="Times New Roman" w:hAnsi="Times New Roman" w:cs="Times New Roman"/>
        <w:smallCaps/>
        <w:sz w:val="18"/>
      </w:rPr>
      <w:t>VTE</w:t>
    </w:r>
    <w:r w:rsidR="00DA3D5F">
      <w:rPr>
        <w:rFonts w:ascii="Times New Roman" w:hAnsi="Times New Roman" w:cs="Times New Roman"/>
        <w:smallCaps/>
        <w:sz w:val="18"/>
      </w:rPr>
      <w:t>: Hand</w:t>
    </w:r>
    <w:r w:rsidRPr="0063262E">
      <w:rPr>
        <w:rFonts w:ascii="Times New Roman" w:hAnsi="Times New Roman" w:cs="Times New Roman"/>
        <w:smallCaps/>
        <w:sz w:val="18"/>
        <w:u w:val="single"/>
      </w:rPr>
      <w:t xml:space="preserve"> </w:t>
    </w:r>
  </w:p>
  <w:p w14:paraId="0C423196" w14:textId="10598E68" w:rsidR="0063262E" w:rsidRPr="00BD7F6C" w:rsidRDefault="0063262E" w:rsidP="0063262E">
    <w:pPr>
      <w:spacing w:after="0"/>
      <w:rPr>
        <w:rFonts w:ascii="Times New Roman" w:hAnsi="Times New Roman" w:cs="Times New Roman"/>
        <w:sz w:val="18"/>
      </w:rPr>
    </w:pPr>
    <w:r w:rsidRPr="00BD7F6C">
      <w:rPr>
        <w:rStyle w:val="Hyperlink"/>
        <w:rFonts w:ascii="Times New Roman" w:hAnsi="Times New Roman" w:cs="Times New Roman"/>
        <w:sz w:val="18"/>
      </w:rPr>
      <w:t>http://dx.doi.org/10.2106/JBJS.21.01</w:t>
    </w:r>
    <w:r>
      <w:rPr>
        <w:rStyle w:val="Hyperlink"/>
        <w:rFonts w:ascii="Times New Roman" w:hAnsi="Times New Roman" w:cs="Times New Roman"/>
        <w:sz w:val="18"/>
      </w:rPr>
      <w:t>213</w:t>
    </w:r>
  </w:p>
  <w:p w14:paraId="6274F80B" w14:textId="77777777" w:rsidR="0063262E" w:rsidRPr="00BD7F6C" w:rsidRDefault="0063262E" w:rsidP="0063262E">
    <w:pPr>
      <w:spacing w:after="0"/>
      <w:rPr>
        <w:rFonts w:ascii="Times New Roman" w:hAnsi="Times New Roman" w:cs="Times New Roman"/>
        <w:sz w:val="18"/>
        <w:szCs w:val="18"/>
      </w:rPr>
    </w:pPr>
    <w:r w:rsidRPr="00BD7F6C">
      <w:rPr>
        <w:rFonts w:ascii="Times New Roman" w:hAnsi="Times New Roman" w:cs="Times New Roman"/>
        <w:sz w:val="18"/>
        <w:szCs w:val="18"/>
      </w:rPr>
      <w:t>Page</w:t>
    </w:r>
    <w:bookmarkEnd w:id="1"/>
    <w:r w:rsidRPr="00BD7F6C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1165899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D7F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D7F6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D7F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1</w:t>
        </w:r>
        <w:r w:rsidRPr="00BD7F6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5EA9C210" w14:textId="77777777" w:rsidR="0063262E" w:rsidRDefault="00632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309"/>
    <w:multiLevelType w:val="hybridMultilevel"/>
    <w:tmpl w:val="12D6F258"/>
    <w:lvl w:ilvl="0" w:tplc="F34C4F0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4C09"/>
    <w:multiLevelType w:val="hybridMultilevel"/>
    <w:tmpl w:val="69D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10C78"/>
    <w:multiLevelType w:val="hybridMultilevel"/>
    <w:tmpl w:val="F54C0FCE"/>
    <w:lvl w:ilvl="0" w:tplc="1FCC456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TM1NzaxMDYzMDRW0lEKTi0uzszPAykwqQUALILeniwAAAA="/>
  </w:docVars>
  <w:rsids>
    <w:rsidRoot w:val="00D551F9"/>
    <w:rsid w:val="00004549"/>
    <w:rsid w:val="000069EB"/>
    <w:rsid w:val="0006217A"/>
    <w:rsid w:val="000C6746"/>
    <w:rsid w:val="00145286"/>
    <w:rsid w:val="00172E75"/>
    <w:rsid w:val="001842E4"/>
    <w:rsid w:val="002258F3"/>
    <w:rsid w:val="003005B1"/>
    <w:rsid w:val="00357B4E"/>
    <w:rsid w:val="003B629C"/>
    <w:rsid w:val="003F5653"/>
    <w:rsid w:val="0041039F"/>
    <w:rsid w:val="00481446"/>
    <w:rsid w:val="00585121"/>
    <w:rsid w:val="0063262E"/>
    <w:rsid w:val="00663A4E"/>
    <w:rsid w:val="00691648"/>
    <w:rsid w:val="00696CFD"/>
    <w:rsid w:val="007665AF"/>
    <w:rsid w:val="0086274F"/>
    <w:rsid w:val="008F7FC2"/>
    <w:rsid w:val="00911D58"/>
    <w:rsid w:val="009477E3"/>
    <w:rsid w:val="009C682E"/>
    <w:rsid w:val="00A95799"/>
    <w:rsid w:val="00B64A12"/>
    <w:rsid w:val="00B83036"/>
    <w:rsid w:val="00BC3CE7"/>
    <w:rsid w:val="00C177BA"/>
    <w:rsid w:val="00C34563"/>
    <w:rsid w:val="00C81C52"/>
    <w:rsid w:val="00CF503D"/>
    <w:rsid w:val="00D02ECC"/>
    <w:rsid w:val="00D15998"/>
    <w:rsid w:val="00D551F9"/>
    <w:rsid w:val="00DA3D5F"/>
    <w:rsid w:val="00DF5A25"/>
    <w:rsid w:val="00E61DA2"/>
    <w:rsid w:val="00EA21B8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9C21A"/>
  <w15:chartTrackingRefBased/>
  <w15:docId w15:val="{42647F71-FA72-496D-A1AE-20211D4B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5121"/>
  </w:style>
  <w:style w:type="paragraph" w:styleId="ListParagraph">
    <w:name w:val="List Paragraph"/>
    <w:basedOn w:val="Normal"/>
    <w:uiPriority w:val="34"/>
    <w:qFormat/>
    <w:rsid w:val="0058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2E"/>
  </w:style>
  <w:style w:type="paragraph" w:styleId="Footer">
    <w:name w:val="footer"/>
    <w:basedOn w:val="Normal"/>
    <w:link w:val="FooterChar"/>
    <w:uiPriority w:val="99"/>
    <w:unhideWhenUsed/>
    <w:rsid w:val="0063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2E"/>
  </w:style>
  <w:style w:type="character" w:styleId="Hyperlink">
    <w:name w:val="Hyperlink"/>
    <w:basedOn w:val="DefaultParagraphFont"/>
    <w:uiPriority w:val="99"/>
    <w:semiHidden/>
    <w:unhideWhenUsed/>
    <w:rsid w:val="0063262E"/>
    <w:rPr>
      <w:color w:val="0563C1"/>
      <w:u w:val="single"/>
    </w:rPr>
  </w:style>
  <w:style w:type="paragraph" w:styleId="Revision">
    <w:name w:val="Revision"/>
    <w:hidden/>
    <w:uiPriority w:val="99"/>
    <w:semiHidden/>
    <w:rsid w:val="00C17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08E03-7DFD-47CA-9CD4-CF60B5E2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1A280-28F2-4D1C-B0A7-C245A4D0E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CEC34-313E-452B-BCBE-8D5BE9762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Restrepo</dc:creator>
  <cp:keywords/>
  <dc:description/>
  <cp:lastModifiedBy>Allan Harper</cp:lastModifiedBy>
  <cp:revision>4</cp:revision>
  <dcterms:created xsi:type="dcterms:W3CDTF">2021-11-11T20:22:00Z</dcterms:created>
  <dcterms:modified xsi:type="dcterms:W3CDTF">2021-11-11T20:23:00Z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