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2ACBB" w14:textId="0DA124D7" w:rsidR="008B6434" w:rsidRPr="00FD0FDE" w:rsidRDefault="00C3670A" w:rsidP="00FD0FDE">
      <w:pPr>
        <w:spacing w:line="480" w:lineRule="auto"/>
        <w:rPr>
          <w:rFonts w:ascii="Times New Roman" w:hAnsi="Times New Roman" w:cs="Times New Roman"/>
          <w:b/>
          <w:bCs/>
          <w:lang w:val="en-US"/>
        </w:rPr>
      </w:pPr>
      <w:bookmarkStart w:id="0" w:name="_GoBack"/>
      <w:bookmarkEnd w:id="0"/>
      <w:r w:rsidRPr="00FD0FDE">
        <w:rPr>
          <w:rFonts w:ascii="Times New Roman" w:hAnsi="Times New Roman" w:cs="Times New Roman"/>
          <w:b/>
          <w:bCs/>
          <w:lang w:val="en-US"/>
        </w:rPr>
        <w:t>Supplementary Material</w:t>
      </w:r>
      <w:r w:rsidR="009C5152" w:rsidRPr="00FD0FDE">
        <w:rPr>
          <w:rFonts w:ascii="Times New Roman" w:hAnsi="Times New Roman" w:cs="Times New Roman"/>
          <w:b/>
          <w:bCs/>
          <w:lang w:val="en-US"/>
        </w:rPr>
        <w:t>:</w:t>
      </w:r>
    </w:p>
    <w:p w14:paraId="58C17BA0" w14:textId="5BBECBF2" w:rsidR="00C3670A" w:rsidRPr="00FD0FDE" w:rsidRDefault="00C3670A" w:rsidP="00FD0FDE">
      <w:pPr>
        <w:spacing w:line="480" w:lineRule="auto"/>
        <w:rPr>
          <w:rFonts w:ascii="Times New Roman" w:hAnsi="Times New Roman" w:cs="Times New Roman"/>
          <w:color w:val="000000" w:themeColor="text1"/>
        </w:rPr>
      </w:pPr>
      <w:r w:rsidRPr="00FD0FDE">
        <w:rPr>
          <w:rFonts w:ascii="Times New Roman" w:hAnsi="Times New Roman" w:cs="Times New Roman"/>
          <w:color w:val="000000" w:themeColor="text1"/>
        </w:rPr>
        <w:t>Factors affecting the management of proximal humerus physeal injuries in decreasing order are: degree of displacement, fracture stability and age [1]. Neer Horowitz classified these fractures according to severity of displacement (Supplementary Table S1). In severe displacement, closed reduction attempts in the emergency room or the operating table usually fail due to soft tissue interposition. Additionally, late referral and acute swelling also play an important role. Repetitive manipulation trials should be avoided due to adverse effects on growth plate [1]. In terms of fixation, K-wires, Elastic stable intramedullary nailing (ESIN) and Cannulated Screws are the different fixation method available. Burgos-Flores et al. observed excellent results in displaced proximal humerus fractures fixed with K-wires at a mean of 6.8 year after surgery [2</w:t>
      </w:r>
      <w:r w:rsidRPr="00FD0FDE">
        <w:rPr>
          <w:rFonts w:ascii="Times New Roman" w:hAnsi="Times New Roman" w:cs="Times New Roman"/>
          <w:b/>
          <w:bCs/>
          <w:color w:val="000000" w:themeColor="text1"/>
        </w:rPr>
        <w:t>].</w:t>
      </w:r>
      <w:r w:rsidR="009C5152" w:rsidRPr="00FD0FDE">
        <w:rPr>
          <w:rFonts w:ascii="Times New Roman" w:hAnsi="Times New Roman" w:cs="Times New Roman"/>
          <w:b/>
          <w:bCs/>
          <w:color w:val="000000" w:themeColor="text1"/>
        </w:rPr>
        <w:t xml:space="preserve"> In concurrence with our approach, Dobbs et al. outlined treatment guidelines in patients suffering from severely displaced proximal humerus physeal injury based on age and angulation of the proximal humeral fracture suggesting stabilization with either k-wires or cannulated screws [6].</w:t>
      </w:r>
      <w:r w:rsidRPr="00FD0FDE">
        <w:rPr>
          <w:rFonts w:ascii="Times New Roman" w:hAnsi="Times New Roman" w:cs="Times New Roman"/>
          <w:color w:val="000000" w:themeColor="text1"/>
        </w:rPr>
        <w:t xml:space="preserve"> The proximal humerus has an immense remodelling potential and the mobility of the joint enables it to compensate in case of any residual deformity.</w:t>
      </w:r>
    </w:p>
    <w:p w14:paraId="1E0D160B" w14:textId="77135C6A" w:rsidR="00C3670A" w:rsidRPr="00FD0FDE" w:rsidRDefault="00C3670A" w:rsidP="00FD0FDE">
      <w:pPr>
        <w:spacing w:line="480" w:lineRule="auto"/>
        <w:rPr>
          <w:rFonts w:ascii="Times New Roman" w:hAnsi="Times New Roman" w:cs="Times New Roman"/>
          <w:color w:val="000000" w:themeColor="text1"/>
        </w:rPr>
      </w:pPr>
    </w:p>
    <w:p w14:paraId="3CCD4618" w14:textId="473E309A" w:rsidR="00C3670A" w:rsidRPr="00FD0FDE" w:rsidRDefault="00C3670A" w:rsidP="00FD0FDE">
      <w:pPr>
        <w:spacing w:line="480" w:lineRule="auto"/>
        <w:rPr>
          <w:rFonts w:ascii="Times New Roman" w:eastAsia="Times New Roman" w:hAnsi="Times New Roman" w:cs="Times New Roman"/>
          <w:color w:val="000000" w:themeColor="text1"/>
          <w:lang w:eastAsia="en-GB"/>
        </w:rPr>
      </w:pPr>
      <w:r w:rsidRPr="00FD0FDE">
        <w:rPr>
          <w:rFonts w:ascii="Times New Roman" w:hAnsi="Times New Roman" w:cs="Times New Roman"/>
          <w:color w:val="000000" w:themeColor="text1"/>
        </w:rPr>
        <w:t xml:space="preserve">A thorough knowledge, experience and careful radiological assessment for the diagnosis of transphyseal distal humerus fracture dislocation (TDHF) is necessary. </w:t>
      </w:r>
      <w:r w:rsidRPr="00FD0FDE">
        <w:rPr>
          <w:rFonts w:ascii="Times New Roman" w:eastAsia="Times New Roman" w:hAnsi="Times New Roman" w:cs="Times New Roman"/>
          <w:color w:val="000000" w:themeColor="text1"/>
          <w:lang w:eastAsia="en-GB"/>
        </w:rPr>
        <w:t>A TDHF initially may appear like an elbow dislocation, as the radius and ulna do not align with the humerus, however, the capitellum is still aligned with the radial head, which is especially evident on the AP view [3]. In case of younger patients (&lt;3yrs) where TDHF is commonly reported, it may be difficult to diagnose due to non-ossification of the capitellum, necessitating MRI or arthrogram, nonetheless, it was evident in our patient where capitellum ossification centre was visible (Fig: 2). Pre-operative neurovascular injury is rarely seen in TDHF [3,4].</w:t>
      </w:r>
    </w:p>
    <w:p w14:paraId="37DB67D3" w14:textId="772AE85C" w:rsidR="00C3670A" w:rsidRPr="00FD0FDE" w:rsidRDefault="00C3670A" w:rsidP="00FD0FDE">
      <w:pPr>
        <w:spacing w:line="480" w:lineRule="auto"/>
        <w:rPr>
          <w:rFonts w:ascii="Times New Roman" w:eastAsia="Times New Roman" w:hAnsi="Times New Roman" w:cs="Times New Roman"/>
          <w:color w:val="000000" w:themeColor="text1"/>
          <w:lang w:eastAsia="en-GB"/>
        </w:rPr>
      </w:pPr>
    </w:p>
    <w:p w14:paraId="4421020A" w14:textId="4F14BF80" w:rsidR="00C3670A" w:rsidRPr="00FD0FDE" w:rsidRDefault="00C3670A" w:rsidP="00FD0FDE">
      <w:pPr>
        <w:spacing w:line="480" w:lineRule="auto"/>
        <w:rPr>
          <w:rFonts w:ascii="Times New Roman" w:hAnsi="Times New Roman" w:cs="Times New Roman"/>
          <w:color w:val="000000" w:themeColor="text1"/>
        </w:rPr>
      </w:pPr>
      <w:r w:rsidRPr="00FD0FDE">
        <w:rPr>
          <w:rFonts w:ascii="Times New Roman" w:hAnsi="Times New Roman" w:cs="Times New Roman"/>
          <w:color w:val="000000" w:themeColor="text1"/>
        </w:rPr>
        <w:t>In our patient, although the displacement was severe in both proximal and distal physis, the child had attained a major part of the skeletal maturity before the time of injury</w:t>
      </w:r>
      <w:r w:rsidRPr="00FD0FDE">
        <w:rPr>
          <w:rFonts w:ascii="Times New Roman" w:hAnsi="Times New Roman" w:cs="Times New Roman"/>
          <w:color w:val="000000" w:themeColor="text1"/>
          <w:shd w:val="clear" w:color="auto" w:fill="FFFFFF"/>
        </w:rPr>
        <w:t>. Pritchett et al. demonstrated that after the age of seven, the proportion between the upper and lower arms did not change appreciably</w:t>
      </w:r>
      <w:r w:rsidRPr="00FD0FDE">
        <w:rPr>
          <w:rFonts w:ascii="Times New Roman" w:hAnsi="Times New Roman" w:cs="Times New Roman"/>
          <w:color w:val="000000" w:themeColor="text1"/>
        </w:rPr>
        <w:t xml:space="preserve"> till the skeletal maturity [5]. They showed that </w:t>
      </w:r>
      <w:r w:rsidRPr="00FD0FDE">
        <w:rPr>
          <w:rFonts w:ascii="Times New Roman" w:hAnsi="Times New Roman" w:cs="Times New Roman"/>
          <w:color w:val="000000" w:themeColor="text1"/>
          <w:shd w:val="clear" w:color="auto" w:fill="FFFFFF"/>
        </w:rPr>
        <w:t>in boys, the humerus was 18 per cent of standing height at the age of seven and 20 per cent at the age of seventeen. The humerus was expected to show an increase in length by 1.2 cm in boys and 1.3 cm in girls each year from 7 yrs of age to skeletal maturity [5].</w:t>
      </w:r>
    </w:p>
    <w:p w14:paraId="5C0DEA28" w14:textId="1CDCE8C2" w:rsidR="00C3670A" w:rsidRPr="00FD0FDE" w:rsidRDefault="00C3670A" w:rsidP="00FD0FDE">
      <w:pPr>
        <w:spacing w:line="480" w:lineRule="auto"/>
        <w:rPr>
          <w:rFonts w:ascii="Times New Roman" w:hAnsi="Times New Roman" w:cs="Times New Roman"/>
          <w:color w:val="000000" w:themeColor="text1"/>
        </w:rPr>
      </w:pPr>
    </w:p>
    <w:p w14:paraId="61DA275A" w14:textId="2F56F599" w:rsidR="00C3670A" w:rsidRPr="00FD0FDE" w:rsidRDefault="00FD0FDE" w:rsidP="00FD0FDE">
      <w:pPr>
        <w:spacing w:line="480" w:lineRule="auto"/>
        <w:rPr>
          <w:rFonts w:ascii="Times New Roman" w:hAnsi="Times New Roman" w:cs="Times New Roman"/>
          <w:b/>
          <w:bCs/>
          <w:color w:val="000000" w:themeColor="text1"/>
        </w:rPr>
      </w:pPr>
      <w:r w:rsidRPr="00FD0FDE">
        <w:rPr>
          <w:rFonts w:ascii="Times New Roman" w:hAnsi="Times New Roman" w:cs="Times New Roman"/>
          <w:b/>
          <w:bCs/>
          <w:color w:val="000000" w:themeColor="text1"/>
        </w:rPr>
        <w:t>L</w:t>
      </w:r>
      <w:r w:rsidR="00C3670A" w:rsidRPr="00FD0FDE">
        <w:rPr>
          <w:rFonts w:ascii="Times New Roman" w:hAnsi="Times New Roman" w:cs="Times New Roman"/>
          <w:b/>
          <w:bCs/>
          <w:color w:val="000000" w:themeColor="text1"/>
        </w:rPr>
        <w:t>egends</w:t>
      </w:r>
    </w:p>
    <w:p w14:paraId="5C989457" w14:textId="0073CC16" w:rsidR="00C3670A" w:rsidRPr="00FD0FDE" w:rsidRDefault="00C3670A" w:rsidP="00FD0FDE">
      <w:pPr>
        <w:spacing w:line="480" w:lineRule="auto"/>
        <w:rPr>
          <w:rFonts w:ascii="Times New Roman" w:hAnsi="Times New Roman" w:cs="Times New Roman"/>
          <w:color w:val="000000" w:themeColor="text1"/>
        </w:rPr>
      </w:pPr>
      <w:r w:rsidRPr="00FD0FDE">
        <w:rPr>
          <w:rFonts w:ascii="Times New Roman" w:hAnsi="Times New Roman" w:cs="Times New Roman"/>
          <w:b/>
          <w:bCs/>
          <w:color w:val="000000" w:themeColor="text1"/>
        </w:rPr>
        <w:t>Supplementary Table S1:</w:t>
      </w:r>
      <w:r w:rsidRPr="00FD0FDE">
        <w:rPr>
          <w:rFonts w:ascii="Times New Roman" w:hAnsi="Times New Roman" w:cs="Times New Roman"/>
          <w:color w:val="000000" w:themeColor="text1"/>
        </w:rPr>
        <w:t xml:space="preserve"> Neer Horowitz Proximal Humeral Epiphyseal Fracture Grading.</w:t>
      </w:r>
    </w:p>
    <w:p w14:paraId="7D0277B0" w14:textId="77777777" w:rsidR="00742D2D" w:rsidRDefault="00742D2D" w:rsidP="00FD0FDE">
      <w:pPr>
        <w:spacing w:line="480" w:lineRule="auto"/>
        <w:rPr>
          <w:rFonts w:ascii="Times New Roman" w:hAnsi="Times New Roman" w:cs="Times New Roman"/>
          <w:color w:val="000000" w:themeColor="text1"/>
        </w:rPr>
      </w:pPr>
    </w:p>
    <w:p w14:paraId="7EA36FFE" w14:textId="3532E831" w:rsidR="00C3670A" w:rsidRPr="00FD0FDE" w:rsidRDefault="00C3670A" w:rsidP="00FD0FDE">
      <w:pPr>
        <w:spacing w:line="480" w:lineRule="auto"/>
        <w:rPr>
          <w:rFonts w:ascii="Times New Roman" w:hAnsi="Times New Roman" w:cs="Times New Roman"/>
          <w:b/>
          <w:bCs/>
          <w:color w:val="000000" w:themeColor="text1"/>
        </w:rPr>
      </w:pPr>
      <w:r w:rsidRPr="00FD0FDE">
        <w:rPr>
          <w:rFonts w:ascii="Times New Roman" w:hAnsi="Times New Roman" w:cs="Times New Roman"/>
          <w:b/>
          <w:bCs/>
          <w:color w:val="000000" w:themeColor="text1"/>
        </w:rPr>
        <w:t>References</w:t>
      </w:r>
    </w:p>
    <w:p w14:paraId="0E8FA35F" w14:textId="77777777" w:rsidR="00C3670A" w:rsidRPr="00FD0FDE" w:rsidRDefault="00C3670A" w:rsidP="00FD0FDE">
      <w:pPr>
        <w:pStyle w:val="ListParagraph"/>
        <w:numPr>
          <w:ilvl w:val="0"/>
          <w:numId w:val="1"/>
        </w:numPr>
        <w:spacing w:line="480" w:lineRule="auto"/>
        <w:jc w:val="both"/>
        <w:rPr>
          <w:rFonts w:ascii="Times New Roman" w:eastAsia="Times New Roman" w:hAnsi="Times New Roman" w:cs="Times New Roman"/>
          <w:color w:val="000000" w:themeColor="text1"/>
          <w:lang w:eastAsia="en-GB"/>
        </w:rPr>
      </w:pPr>
      <w:r w:rsidRPr="00FD0FDE">
        <w:rPr>
          <w:rFonts w:ascii="Times New Roman" w:eastAsia="Times New Roman" w:hAnsi="Times New Roman" w:cs="Times New Roman"/>
          <w:color w:val="000000" w:themeColor="text1"/>
          <w:shd w:val="clear" w:color="auto" w:fill="FFFFFF"/>
          <w:lang w:eastAsia="en-GB"/>
        </w:rPr>
        <w:t>Odehouri KT, Gouli JC, Ouattara O, Kouame DB, Dieth AG, Dick KR. Operative treatment of proximal humeral fractures in children: indications and results. Afr J Paediatr Surg. 2008;5(2):84-86. doi:10.4103/0189-6725.44183</w:t>
      </w:r>
    </w:p>
    <w:p w14:paraId="3E921740" w14:textId="77777777" w:rsidR="00C3670A" w:rsidRPr="00FD0FDE" w:rsidRDefault="00C3670A" w:rsidP="00FD0FDE">
      <w:pPr>
        <w:pStyle w:val="ListParagraph"/>
        <w:numPr>
          <w:ilvl w:val="0"/>
          <w:numId w:val="1"/>
        </w:numPr>
        <w:spacing w:line="480" w:lineRule="auto"/>
        <w:jc w:val="both"/>
        <w:rPr>
          <w:rFonts w:ascii="Times New Roman" w:eastAsia="Times New Roman" w:hAnsi="Times New Roman" w:cs="Times New Roman"/>
          <w:color w:val="000000" w:themeColor="text1"/>
          <w:lang w:eastAsia="en-GB"/>
        </w:rPr>
      </w:pPr>
      <w:r w:rsidRPr="00FD0FDE">
        <w:rPr>
          <w:rFonts w:ascii="Times New Roman" w:eastAsia="Times New Roman" w:hAnsi="Times New Roman" w:cs="Times New Roman"/>
          <w:color w:val="000000" w:themeColor="text1"/>
          <w:shd w:val="clear" w:color="auto" w:fill="FFFFFF"/>
          <w:lang w:eastAsia="en-GB"/>
        </w:rPr>
        <w:t>Burgos-Flores J, Gonzalez-Herranz P, Lopez-Mondejar JA, Ocete-Guzman JG, Amaya-Alarcón S. Fractures of the proximal humeral epiphysis. Int Orthop. 1993;17(1):16-19. doi:10.1007/BF00195216</w:t>
      </w:r>
    </w:p>
    <w:p w14:paraId="244F85B9" w14:textId="77777777" w:rsidR="00C3670A" w:rsidRPr="00FD0FDE" w:rsidRDefault="00C3670A" w:rsidP="00FD0FDE">
      <w:pPr>
        <w:pStyle w:val="ListParagraph"/>
        <w:numPr>
          <w:ilvl w:val="0"/>
          <w:numId w:val="1"/>
        </w:numPr>
        <w:spacing w:line="480" w:lineRule="auto"/>
        <w:jc w:val="both"/>
        <w:rPr>
          <w:rFonts w:ascii="Times New Roman" w:eastAsia="Times New Roman" w:hAnsi="Times New Roman" w:cs="Times New Roman"/>
          <w:color w:val="000000" w:themeColor="text1"/>
          <w:lang w:eastAsia="en-GB"/>
        </w:rPr>
      </w:pPr>
      <w:r w:rsidRPr="00FD0FDE">
        <w:rPr>
          <w:rFonts w:ascii="Times New Roman" w:eastAsia="Times New Roman" w:hAnsi="Times New Roman" w:cs="Times New Roman"/>
          <w:color w:val="000000" w:themeColor="text1"/>
          <w:shd w:val="clear" w:color="auto" w:fill="FFFFFF"/>
          <w:lang w:eastAsia="en-GB"/>
        </w:rPr>
        <w:t>Shrader MW. Pediatric supracondylar fractures and pediatric physeal elbow fractures. Orthop Clin North Am. 2008;39(2):163-v. doi:10.1016/j.ocl.2007.12.005</w:t>
      </w:r>
    </w:p>
    <w:p w14:paraId="19C9C8DA" w14:textId="77777777" w:rsidR="00C3670A" w:rsidRPr="00FD0FDE" w:rsidRDefault="00C3670A" w:rsidP="00FD0FDE">
      <w:pPr>
        <w:pStyle w:val="ListParagraph"/>
        <w:numPr>
          <w:ilvl w:val="0"/>
          <w:numId w:val="1"/>
        </w:numPr>
        <w:pBdr>
          <w:top w:val="nil"/>
          <w:left w:val="nil"/>
          <w:bottom w:val="nil"/>
          <w:right w:val="nil"/>
          <w:between w:val="nil"/>
          <w:bar w:val="nil"/>
        </w:pBdr>
        <w:spacing w:line="480" w:lineRule="auto"/>
        <w:jc w:val="both"/>
        <w:rPr>
          <w:rFonts w:ascii="Times New Roman" w:hAnsi="Times New Roman" w:cs="Times New Roman"/>
          <w:color w:val="000000" w:themeColor="text1"/>
        </w:rPr>
      </w:pPr>
      <w:r w:rsidRPr="00FD0FDE">
        <w:rPr>
          <w:rFonts w:ascii="Times New Roman" w:hAnsi="Times New Roman" w:cs="Times New Roman"/>
          <w:color w:val="000000" w:themeColor="text1"/>
          <w:shd w:val="clear" w:color="auto" w:fill="FFFFFF"/>
        </w:rPr>
        <w:t>Abe M, Ishizu T, Nagaoka T, Onomura T. Epiphyseal separation of the distal end of the humeral epiphysis: a follow-up note. J Pediatr Orthop. 1995;15(4):426-434. doi:10.1097/01241398-199507000-00003</w:t>
      </w:r>
    </w:p>
    <w:p w14:paraId="66075268" w14:textId="0BFAD800" w:rsidR="00C3670A" w:rsidRPr="00FD0FDE" w:rsidRDefault="00C3670A" w:rsidP="00FD0FDE">
      <w:pPr>
        <w:pStyle w:val="ListParagraph"/>
        <w:numPr>
          <w:ilvl w:val="0"/>
          <w:numId w:val="1"/>
        </w:numPr>
        <w:spacing w:line="480" w:lineRule="auto"/>
        <w:jc w:val="both"/>
        <w:rPr>
          <w:rFonts w:ascii="Times New Roman" w:eastAsia="Times New Roman" w:hAnsi="Times New Roman" w:cs="Times New Roman"/>
          <w:color w:val="000000" w:themeColor="text1"/>
          <w:lang w:eastAsia="en-GB"/>
        </w:rPr>
      </w:pPr>
      <w:r w:rsidRPr="00FD0FDE">
        <w:rPr>
          <w:rFonts w:ascii="Times New Roman" w:eastAsia="Times New Roman" w:hAnsi="Times New Roman" w:cs="Times New Roman"/>
          <w:color w:val="000000" w:themeColor="text1"/>
          <w:shd w:val="clear" w:color="auto" w:fill="FFFFFF"/>
          <w:lang w:eastAsia="en-GB"/>
        </w:rPr>
        <w:t>Loraas EK, Schmale GA. Endoscopically aided physeal bar takedown and guided growth for the treatment of angular limb deformity. J Pediatr Orthop B. 2012;21(4):348-351. doi:10.1097/BPB.0b013e328346d308.</w:t>
      </w:r>
    </w:p>
    <w:p w14:paraId="15771971" w14:textId="77777777" w:rsidR="009C5152" w:rsidRPr="00FD0FDE" w:rsidRDefault="009C5152" w:rsidP="00FD0FDE">
      <w:pPr>
        <w:pStyle w:val="ListParagraph"/>
        <w:numPr>
          <w:ilvl w:val="0"/>
          <w:numId w:val="1"/>
        </w:numPr>
        <w:spacing w:line="480" w:lineRule="auto"/>
        <w:jc w:val="both"/>
        <w:rPr>
          <w:rFonts w:ascii="Times New Roman" w:eastAsia="Times New Roman" w:hAnsi="Times New Roman" w:cs="Times New Roman"/>
          <w:color w:val="000000" w:themeColor="text1"/>
          <w:lang w:eastAsia="en-GB"/>
        </w:rPr>
      </w:pPr>
      <w:r w:rsidRPr="00FD0FDE">
        <w:rPr>
          <w:rFonts w:ascii="Times New Roman" w:eastAsia="Times New Roman" w:hAnsi="Times New Roman" w:cs="Times New Roman"/>
          <w:color w:val="000000" w:themeColor="text1"/>
          <w:shd w:val="clear" w:color="auto" w:fill="FFFFFF"/>
          <w:lang w:eastAsia="en-GB"/>
        </w:rPr>
        <w:t>Dobbs MB, Luhmann SL, Gordon JE, Strecker WB, Schoenecker PL. Severely displaced proximal humeral epiphyseal fractures. J Pediatr Orthop. 2003;23(2):208-215.</w:t>
      </w:r>
    </w:p>
    <w:p w14:paraId="313D3DC2" w14:textId="77777777" w:rsidR="009C5152" w:rsidRPr="00FD0FDE" w:rsidRDefault="009C5152" w:rsidP="00FD0FDE">
      <w:pPr>
        <w:spacing w:line="480" w:lineRule="auto"/>
        <w:ind w:left="360"/>
        <w:jc w:val="both"/>
        <w:rPr>
          <w:rFonts w:ascii="Times New Roman" w:eastAsia="Times New Roman" w:hAnsi="Times New Roman" w:cs="Times New Roman"/>
          <w:color w:val="000000" w:themeColor="text1"/>
          <w:lang w:eastAsia="en-GB"/>
        </w:rPr>
      </w:pPr>
    </w:p>
    <w:p w14:paraId="137D668F" w14:textId="3AF8A8D6" w:rsidR="00C3670A" w:rsidRPr="00FD0FDE" w:rsidRDefault="00C3670A" w:rsidP="00FD0FDE">
      <w:pPr>
        <w:spacing w:line="480" w:lineRule="auto"/>
        <w:rPr>
          <w:rFonts w:ascii="Times New Roman" w:hAnsi="Times New Roman" w:cs="Times New Roman"/>
          <w:color w:val="000000" w:themeColor="text1"/>
        </w:rPr>
      </w:pPr>
    </w:p>
    <w:sectPr w:rsidR="00C3670A" w:rsidRPr="00FD0FDE" w:rsidSect="00FD0FDE">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03C1E"/>
    <w:multiLevelType w:val="hybridMultilevel"/>
    <w:tmpl w:val="16C01C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2C4448"/>
    <w:multiLevelType w:val="hybridMultilevel"/>
    <w:tmpl w:val="C256D53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70A"/>
    <w:rsid w:val="000D3317"/>
    <w:rsid w:val="003A68BD"/>
    <w:rsid w:val="00470DED"/>
    <w:rsid w:val="00742D2D"/>
    <w:rsid w:val="008E136B"/>
    <w:rsid w:val="009C5152"/>
    <w:rsid w:val="00A305F9"/>
    <w:rsid w:val="00A47A4A"/>
    <w:rsid w:val="00C3670A"/>
    <w:rsid w:val="00C85D7A"/>
    <w:rsid w:val="00FA56A2"/>
    <w:rsid w:val="00FD0FD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68031"/>
  <w15:chartTrackingRefBased/>
  <w15:docId w15:val="{3C75A356-9B15-3A4D-B82C-3CD6B931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70A"/>
    <w:pPr>
      <w:ind w:left="720"/>
      <w:contextualSpacing/>
    </w:pPr>
  </w:style>
  <w:style w:type="character" w:customStyle="1" w:styleId="None">
    <w:name w:val="None"/>
    <w:rsid w:val="009C5152"/>
  </w:style>
  <w:style w:type="paragraph" w:styleId="Caption">
    <w:name w:val="caption"/>
    <w:basedOn w:val="Normal"/>
    <w:next w:val="Normal"/>
    <w:uiPriority w:val="35"/>
    <w:unhideWhenUsed/>
    <w:qFormat/>
    <w:rsid w:val="009C5152"/>
    <w:pPr>
      <w:pBdr>
        <w:top w:val="nil"/>
        <w:left w:val="nil"/>
        <w:bottom w:val="nil"/>
        <w:right w:val="nil"/>
        <w:between w:val="nil"/>
        <w:bar w:val="nil"/>
      </w:pBdr>
      <w:spacing w:after="200"/>
    </w:pPr>
    <w:rPr>
      <w:rFonts w:ascii="Times New Roman" w:eastAsia="Arial Unicode MS" w:hAnsi="Times New Roman" w:cs="Times New Roman"/>
      <w:i/>
      <w:iCs/>
      <w:color w:val="44546A" w:themeColor="text2"/>
      <w:sz w:val="18"/>
      <w:szCs w:val="18"/>
      <w:bdr w:val="nil"/>
      <w:lang w:val="en-US"/>
    </w:rPr>
  </w:style>
  <w:style w:type="character" w:styleId="LineNumber">
    <w:name w:val="line number"/>
    <w:basedOn w:val="DefaultParagraphFont"/>
    <w:uiPriority w:val="99"/>
    <w:semiHidden/>
    <w:unhideWhenUsed/>
    <w:rsid w:val="00FD0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Aditya Kaushal</dc:creator>
  <cp:keywords/>
  <dc:description/>
  <cp:lastModifiedBy>Beckett, Elana</cp:lastModifiedBy>
  <cp:revision>2</cp:revision>
  <dcterms:created xsi:type="dcterms:W3CDTF">2021-10-19T14:55:00Z</dcterms:created>
  <dcterms:modified xsi:type="dcterms:W3CDTF">2021-10-19T14:55:00Z</dcterms:modified>
</cp:coreProperties>
</file>