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A" w:rsidRDefault="0036736A">
      <w:pPr>
        <w:rPr>
          <w:sz w:val="36"/>
          <w:szCs w:val="36"/>
        </w:rPr>
      </w:pPr>
      <w:bookmarkStart w:id="0" w:name="_Hlk84356955"/>
      <w:r>
        <w:rPr>
          <w:b/>
          <w:bCs/>
          <w:sz w:val="36"/>
          <w:szCs w:val="36"/>
          <w:lang w:val="en-US"/>
        </w:rPr>
        <w:t xml:space="preserve">Supplemental Figure: myocarditis in the PRECOVID and COVID period: </w:t>
      </w:r>
      <w:r>
        <w:rPr>
          <w:sz w:val="36"/>
          <w:szCs w:val="36"/>
          <w:lang w:val="en-US"/>
        </w:rPr>
        <w:t>in the upper panels cardiac magnetic resonance images of a case of myocarditis during PRECOVID period. In the lower panels a case of myocarditis of the COVID period is shown.</w:t>
      </w:r>
      <w:r>
        <w:rPr>
          <w:sz w:val="36"/>
          <w:szCs w:val="36"/>
        </w:rPr>
        <w:t xml:space="preserve"> </w:t>
      </w:r>
    </w:p>
    <w:p w:rsidR="0036736A" w:rsidRDefault="0036736A">
      <w:pPr>
        <w:rPr>
          <w:b/>
          <w:bCs/>
          <w:lang w:val="en-US"/>
        </w:rPr>
      </w:pPr>
    </w:p>
    <w:p w:rsidR="0036736A" w:rsidRDefault="0036736A">
      <w:pPr>
        <w:rPr>
          <w:b/>
          <w:bCs/>
          <w:lang w:val="en-US"/>
        </w:rPr>
      </w:pPr>
    </w:p>
    <w:p w:rsidR="0036736A" w:rsidRDefault="0036736A">
      <w:pPr>
        <w:rPr>
          <w:b/>
          <w:bCs/>
          <w:lang w:val="en-US"/>
        </w:rPr>
      </w:pPr>
    </w:p>
    <w:p w:rsidR="0036736A" w:rsidRDefault="0036736A">
      <w:pPr>
        <w:rPr>
          <w:b/>
          <w:bCs/>
          <w:lang w:val="en-US"/>
        </w:rPr>
      </w:pPr>
    </w:p>
    <w:p w:rsidR="0036736A" w:rsidRDefault="0036736A">
      <w:pPr>
        <w:rPr>
          <w:b/>
          <w:bCs/>
          <w:lang w:val="en-US"/>
        </w:rPr>
      </w:pPr>
    </w:p>
    <w:p w:rsidR="0036736A" w:rsidRDefault="0036736A">
      <w:pPr>
        <w:rPr>
          <w:b/>
          <w:bCs/>
          <w:lang w:val="en-US"/>
        </w:rPr>
      </w:pPr>
    </w:p>
    <w:p w:rsidR="0036736A" w:rsidRDefault="0036736A">
      <w:pPr>
        <w:rPr>
          <w:rFonts w:ascii="Times New Roman" w:hAnsi="Times New Roman" w:cs="Times New Roman"/>
          <w:lang w:val="en-US"/>
        </w:rPr>
      </w:pPr>
      <w:r>
        <w:rPr>
          <w:b/>
          <w:bCs/>
          <w:lang w:val="en-US"/>
        </w:rPr>
        <w:t>Supplemental Table 1:</w:t>
      </w:r>
      <w:r>
        <w:rPr>
          <w:lang w:val="en-US"/>
        </w:rPr>
        <w:t xml:space="preserve"> Characteristics in patients with COVID-19 positive and negative swab during COVID period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pPr w:leftFromText="141" w:rightFromText="141" w:vertAnchor="page" w:horzAnchor="margin" w:tblpY="2133"/>
        <w:tblW w:w="0" w:type="auto"/>
        <w:tblLook w:val="0000" w:firstRow="0" w:lastRow="0" w:firstColumn="0" w:lastColumn="0" w:noHBand="0" w:noVBand="0"/>
      </w:tblPr>
      <w:tblGrid>
        <w:gridCol w:w="4111"/>
        <w:gridCol w:w="2268"/>
        <w:gridCol w:w="2268"/>
        <w:gridCol w:w="981"/>
      </w:tblGrid>
      <w:tr w:rsidR="0036736A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rFonts w:ascii="Times New Roman" w:hAnsi="Times New Roman" w:cs="Times New Roman"/>
                <w:lang w:val="en-US"/>
              </w:rPr>
            </w:pPr>
            <w:bookmarkStart w:id="1" w:name="_Hlk84356963"/>
            <w:bookmarkStart w:id="2" w:name="OLE_LINK26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Positive Swab </w:t>
            </w:r>
          </w:p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(n = 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Negative Swab </w:t>
            </w:r>
          </w:p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(n = 109)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Age, yrs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62 (32 – 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52 (33 – 62)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Males,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 (56)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71 (65)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Weight, kg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81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75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Height, cm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169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170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0.73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Acute Myocarditis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8 (89)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54 (50)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0.03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Acute Pericarditis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1 (11)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55 (50)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0.03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LVEDVi, ml/m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56 (35 – 72)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73 (62 – 84)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0.011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LVESVi, ml/m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22 (13 –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25 (20 – 32)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0.04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LVEF,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66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64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0.47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LV mass index, g/ 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58 (55 – 68)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69 (58 – 77)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WM abnormalities,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16 (15)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RVEDVi, ml/m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58 (43 – 76)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75 (61 – 85)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0.007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RVESVi, ml/m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20 (17 – 29)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29 (23 – 37)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0.02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RVEF,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0.59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No. of segments with edema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 (0 – 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 (0 – 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Positive Pericardial Edema,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46 (42)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0.01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Positive Myocardial LGE,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6 (66)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72 (66)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0.97</w:t>
            </w:r>
          </w:p>
        </w:tc>
      </w:tr>
      <w:tr w:rsidR="003673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bookmarkStart w:id="3" w:name="OLE_LINK19"/>
            <w:r>
              <w:rPr>
                <w:lang w:val="en-US"/>
              </w:rPr>
              <w:t>N. of segments with LGE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1 (0 – 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2 (0 – 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</w:tr>
      <w:bookmarkEnd w:id="3"/>
      <w:tr w:rsidR="0036736A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ind w:left="283"/>
              <w:rPr>
                <w:lang w:val="en-US"/>
              </w:rPr>
            </w:pPr>
            <w:r>
              <w:rPr>
                <w:lang w:val="en-US"/>
              </w:rPr>
              <w:t>Positive Pericardial LGE, n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1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40 (37)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6A" w:rsidRDefault="0036736A">
            <w:pPr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</w:tbl>
    <w:p w:rsidR="0036736A" w:rsidRDefault="0036736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LGE = late gadolinium enhancement; LV = left ventricular; LVEDVi = left ventricular end-diastolic volume index; LVESVi = left ventricular end-systolic volume index; LVEF =  left ventricular ejection fraction; RVEDVi = right ventricular end-diastolic volume index; RVESVi = right ventricular end-systolic volume index; RVEF = right ventricular ejection fraction; WMSI = wall motion score index.</w:t>
      </w:r>
      <w:bookmarkEnd w:id="1"/>
      <w:bookmarkEnd w:id="2"/>
    </w:p>
    <w:p w:rsidR="0036736A" w:rsidRDefault="0036736A">
      <w:pPr>
        <w:rPr>
          <w:rFonts w:ascii="Times New Roman" w:hAnsi="Times New Roman" w:cs="Times New Roman"/>
          <w:lang w:val="en-US"/>
        </w:rPr>
      </w:pPr>
    </w:p>
    <w:sectPr w:rsidR="0036736A" w:rsidSect="00367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36A"/>
    <w:rsid w:val="003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C599B85-BB96-4B42-B36E-3BF4898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4"/>
      <w:szCs w:val="24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td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TEESLWW</cp:lastModifiedBy>
  <cp:revision>2</cp:revision>
  <dcterms:created xsi:type="dcterms:W3CDTF">2021-12-08T13:45:00Z</dcterms:created>
  <dcterms:modified xsi:type="dcterms:W3CDTF">2022-04-29T15:56:00Z</dcterms:modified>
</cp:coreProperties>
</file>