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05F2" w14:textId="1B6C00B6" w:rsidR="00C37473" w:rsidRPr="0029403D" w:rsidRDefault="009E297C" w:rsidP="0029403D">
      <w:pPr>
        <w:ind w:left="-851" w:right="-716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SDC</w:t>
      </w:r>
      <w:r w:rsidR="007F201D" w:rsidRPr="0029403D">
        <w:rPr>
          <w:rFonts w:ascii="Times" w:hAnsi="Times"/>
          <w:b/>
          <w:bCs/>
        </w:rPr>
        <w:t xml:space="preserve"> </w:t>
      </w:r>
      <w:r w:rsidR="00C76A11">
        <w:rPr>
          <w:rFonts w:ascii="Times" w:hAnsi="Times"/>
          <w:b/>
          <w:bCs/>
        </w:rPr>
        <w:t>5</w:t>
      </w:r>
      <w:bookmarkStart w:id="0" w:name="_GoBack"/>
      <w:bookmarkEnd w:id="0"/>
      <w:r w:rsidR="00C37473" w:rsidRPr="0029403D">
        <w:rPr>
          <w:rFonts w:ascii="Times" w:hAnsi="Times"/>
          <w:b/>
          <w:bCs/>
        </w:rPr>
        <w:t xml:space="preserve">: </w:t>
      </w:r>
      <w:r>
        <w:rPr>
          <w:rFonts w:ascii="Times" w:hAnsi="Times"/>
          <w:b/>
          <w:bCs/>
        </w:rPr>
        <w:t>Example results template</w:t>
      </w:r>
      <w:r w:rsidR="00C37473" w:rsidRPr="0029403D">
        <w:rPr>
          <w:rFonts w:ascii="Times" w:hAnsi="Times"/>
          <w:b/>
          <w:bCs/>
        </w:rPr>
        <w:t xml:space="preserve"> for measuring and reporting adherence to HIIT </w:t>
      </w:r>
      <w:r w:rsidR="00925FB1" w:rsidRPr="0029403D">
        <w:rPr>
          <w:rFonts w:ascii="Times" w:hAnsi="Times"/>
          <w:b/>
          <w:bCs/>
        </w:rPr>
        <w:t xml:space="preserve">and other exercise </w:t>
      </w:r>
      <w:r w:rsidR="00C37473" w:rsidRPr="0029403D">
        <w:rPr>
          <w:rFonts w:ascii="Times" w:hAnsi="Times"/>
          <w:b/>
          <w:bCs/>
        </w:rPr>
        <w:t>interventions</w:t>
      </w:r>
    </w:p>
    <w:tbl>
      <w:tblPr>
        <w:tblpPr w:leftFromText="180" w:rightFromText="180" w:vertAnchor="text" w:horzAnchor="margin" w:tblpXSpec="center" w:tblpY="109"/>
        <w:tblW w:w="1159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594"/>
      </w:tblGrid>
      <w:tr w:rsidR="00D5426B" w:rsidRPr="0001451F" w14:paraId="05A648F9" w14:textId="77777777" w:rsidTr="00C7276C">
        <w:trPr>
          <w:trHeight w:val="293"/>
        </w:trPr>
        <w:tc>
          <w:tcPr>
            <w:tcW w:w="1159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B116E" w14:textId="77777777" w:rsidR="00D5426B" w:rsidRPr="0001451F" w:rsidRDefault="00D5426B" w:rsidP="00D5426B">
            <w:pPr>
              <w:pStyle w:val="CommentText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W w:w="11183" w:type="dxa"/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2274"/>
              <w:gridCol w:w="1916"/>
              <w:gridCol w:w="2845"/>
            </w:tblGrid>
            <w:tr w:rsidR="00D5426B" w:rsidRPr="0001451F" w14:paraId="188071EB" w14:textId="77777777" w:rsidTr="00C7276C">
              <w:trPr>
                <w:trHeight w:val="256"/>
              </w:trPr>
              <w:tc>
                <w:tcPr>
                  <w:tcW w:w="41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9515A" w14:textId="5D94784E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  <w:t>Training data</w:t>
                  </w:r>
                </w:p>
              </w:tc>
              <w:tc>
                <w:tcPr>
                  <w:tcW w:w="22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EA2BDB1" w14:textId="681C8B33" w:rsidR="00D5426B" w:rsidRPr="0001451F" w:rsidRDefault="00C278BE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  <w:t>Intervention</w:t>
                  </w:r>
                </w:p>
              </w:tc>
              <w:tc>
                <w:tcPr>
                  <w:tcW w:w="191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1453FA88" w14:textId="765D3009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  <w:t>Comparator</w:t>
                  </w:r>
                </w:p>
              </w:tc>
              <w:tc>
                <w:tcPr>
                  <w:tcW w:w="284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4BEF4F7" w14:textId="229CDEA3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  <w:t>Statistics</w:t>
                  </w:r>
                </w:p>
              </w:tc>
            </w:tr>
            <w:tr w:rsidR="00D5426B" w:rsidRPr="0001451F" w14:paraId="69DCEADB" w14:textId="77777777" w:rsidTr="00C7276C">
              <w:trPr>
                <w:trHeight w:val="236"/>
              </w:trPr>
              <w:tc>
                <w:tcPr>
                  <w:tcW w:w="414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129EF3E1" w14:textId="44E3145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Average training RPE</w:t>
                  </w:r>
                </w:p>
              </w:tc>
              <w:tc>
                <w:tcPr>
                  <w:tcW w:w="227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14:paraId="76FEB85B" w14:textId="0C6D8535" w:rsidR="00D5426B" w:rsidRPr="0001451F" w:rsidRDefault="00D5426B" w:rsidP="00C76A11">
                  <w:pPr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24F36F0D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29F80018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1E5F1AE7" w14:textId="77777777" w:rsidTr="00C7276C">
              <w:trPr>
                <w:trHeight w:val="256"/>
              </w:trPr>
              <w:tc>
                <w:tcPr>
                  <w:tcW w:w="414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B2AC440" w14:textId="5F2A2358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Peak training RPE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12B7AC49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9289D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677DC70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059716CF" w14:textId="77777777" w:rsidTr="00C7276C">
              <w:trPr>
                <w:trHeight w:val="256"/>
              </w:trPr>
              <w:tc>
                <w:tcPr>
                  <w:tcW w:w="414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197C651" w14:textId="62752799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Average training % </w:t>
                  </w:r>
                  <w:proofErr w:type="spellStart"/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HR</w:t>
                  </w:r>
                  <w:r w:rsidRPr="00B479D7">
                    <w:rPr>
                      <w:rFonts w:ascii="Cambria" w:hAnsi="Cambria"/>
                      <w:sz w:val="16"/>
                      <w:szCs w:val="16"/>
                      <w:vertAlign w:val="subscript"/>
                      <w:lang w:val="en-US"/>
                    </w:rPr>
                    <w:t>peak</w:t>
                  </w:r>
                  <w:proofErr w:type="spellEnd"/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 (or % peak work capacity)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769FE651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3A9E8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7AA2C7A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47D3D066" w14:textId="77777777" w:rsidTr="00C7276C">
              <w:trPr>
                <w:trHeight w:val="236"/>
              </w:trPr>
              <w:tc>
                <w:tcPr>
                  <w:tcW w:w="414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1052BCE6" w14:textId="2BD7461F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Peak training % </w:t>
                  </w:r>
                  <w:proofErr w:type="spellStart"/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HR</w:t>
                  </w:r>
                  <w:r w:rsidRPr="00B479D7">
                    <w:rPr>
                      <w:rFonts w:ascii="Cambria" w:hAnsi="Cambria"/>
                      <w:sz w:val="16"/>
                      <w:szCs w:val="16"/>
                      <w:vertAlign w:val="subscript"/>
                      <w:lang w:val="en-US"/>
                    </w:rPr>
                    <w:t>peak</w:t>
                  </w:r>
                  <w:proofErr w:type="spellEnd"/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 (or % peak work capacity)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512571C9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B08A2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04D6F5D0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61B35EB0" w14:textId="77777777" w:rsidTr="00C7276C">
              <w:trPr>
                <w:trHeight w:val="256"/>
              </w:trPr>
              <w:tc>
                <w:tcPr>
                  <w:tcW w:w="414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23EEBBF6" w14:textId="796CCC14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Average session duration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18AD9D38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2072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36A8A9C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03070CD8" w14:textId="77777777" w:rsidTr="00C7276C">
              <w:trPr>
                <w:trHeight w:val="256"/>
              </w:trPr>
              <w:tc>
                <w:tcPr>
                  <w:tcW w:w="414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944634D" w14:textId="0BDFDB9F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Average minutes spent in high intensity intervals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0FA240E4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1BFB" w14:textId="55C80C0A" w:rsidR="00D5426B" w:rsidRPr="0001451F" w:rsidRDefault="00C278BE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F5E4C04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770BE7C6" w14:textId="77777777" w:rsidTr="00C7276C">
              <w:trPr>
                <w:trHeight w:val="256"/>
              </w:trPr>
              <w:tc>
                <w:tcPr>
                  <w:tcW w:w="414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8459F0" w14:textId="069CB215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Average number of high intensity intervals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07B311F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1183015" w14:textId="4C3AD0B0" w:rsidR="00D5426B" w:rsidRPr="0001451F" w:rsidRDefault="00C278BE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7F9437D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DF5FEB0" w14:textId="32A0664F" w:rsidR="00D5426B" w:rsidRPr="0001451F" w:rsidRDefault="00D5426B" w:rsidP="00D5426B">
            <w:pPr>
              <w:rPr>
                <w:rFonts w:ascii="Cambria" w:hAnsi="Cambria" w:cs="Calibri"/>
                <w:sz w:val="16"/>
                <w:szCs w:val="16"/>
              </w:rPr>
            </w:pPr>
            <w:r w:rsidRPr="0001451F">
              <w:rPr>
                <w:rFonts w:ascii="Cambria" w:hAnsi="Cambria" w:cs="Calibri"/>
                <w:sz w:val="16"/>
                <w:szCs w:val="16"/>
                <w:lang w:val="en-US"/>
              </w:rPr>
              <w:t xml:space="preserve">Data are presented as Mean </w:t>
            </w:r>
            <w:r w:rsidRPr="0001451F">
              <w:rPr>
                <w:rFonts w:ascii="Cambria" w:hAnsi="Cambria" w:cs="Calibri"/>
                <w:color w:val="222222"/>
                <w:sz w:val="16"/>
                <w:szCs w:val="16"/>
                <w:shd w:val="clear" w:color="auto" w:fill="FFFFFF"/>
              </w:rPr>
              <w:t xml:space="preserve">± SD or </w:t>
            </w:r>
            <w:r w:rsidRPr="0001451F">
              <w:rPr>
                <w:rFonts w:ascii="Cambria" w:hAnsi="Cambria" w:cs="Calibri"/>
                <w:sz w:val="16"/>
                <w:szCs w:val="16"/>
                <w:lang w:val="en-US"/>
              </w:rPr>
              <w:t>Me</w:t>
            </w:r>
            <w:r w:rsidR="00474F75" w:rsidRPr="0001451F">
              <w:rPr>
                <w:rFonts w:ascii="Cambria" w:hAnsi="Cambria" w:cs="Calibri"/>
                <w:sz w:val="16"/>
                <w:szCs w:val="16"/>
                <w:lang w:val="en-US"/>
              </w:rPr>
              <w:t>dian</w:t>
            </w:r>
            <w:r w:rsidRPr="0001451F">
              <w:rPr>
                <w:rFonts w:ascii="Cambria" w:hAnsi="Cambria" w:cs="Calibri"/>
                <w:sz w:val="16"/>
                <w:szCs w:val="16"/>
                <w:lang w:val="en-US"/>
              </w:rPr>
              <w:t xml:space="preserve"> </w:t>
            </w:r>
            <w:r w:rsidRPr="0001451F">
              <w:rPr>
                <w:rFonts w:ascii="Cambria" w:hAnsi="Cambria" w:cs="Calibri"/>
                <w:color w:val="222222"/>
                <w:sz w:val="16"/>
                <w:szCs w:val="16"/>
                <w:shd w:val="clear" w:color="auto" w:fill="FFFFFF"/>
              </w:rPr>
              <w:t xml:space="preserve">(inter-quartile range) depending on </w:t>
            </w:r>
            <w:r w:rsidR="00474F75" w:rsidRPr="0001451F">
              <w:rPr>
                <w:rFonts w:ascii="Cambria" w:hAnsi="Cambria" w:cs="Calibri"/>
                <w:color w:val="222222"/>
                <w:sz w:val="16"/>
                <w:szCs w:val="16"/>
                <w:shd w:val="clear" w:color="auto" w:fill="FFFFFF"/>
              </w:rPr>
              <w:t xml:space="preserve">distribution </w:t>
            </w:r>
            <w:r w:rsidRPr="0001451F">
              <w:rPr>
                <w:rFonts w:ascii="Cambria" w:hAnsi="Cambria" w:cs="Calibri"/>
                <w:color w:val="222222"/>
                <w:sz w:val="16"/>
                <w:szCs w:val="16"/>
                <w:shd w:val="clear" w:color="auto" w:fill="FFFFFF"/>
              </w:rPr>
              <w:t>of the data. Peak intensity based on the highest measure from each training session and average session intensity based on the aggregate of measures from each training session.</w:t>
            </w:r>
            <w:r w:rsidR="00C278BE" w:rsidRPr="0001451F">
              <w:rPr>
                <w:rFonts w:ascii="Cambria" w:hAnsi="Cambria" w:cs="Calibri"/>
                <w:color w:val="222222"/>
                <w:sz w:val="16"/>
                <w:szCs w:val="16"/>
                <w:shd w:val="clear" w:color="auto" w:fill="FFFFFF"/>
              </w:rPr>
              <w:t xml:space="preserve"> *Depends on whether the comparator group i</w:t>
            </w:r>
            <w:r w:rsidR="007665AD">
              <w:rPr>
                <w:rFonts w:ascii="Cambria" w:hAnsi="Cambria" w:cs="Calibri"/>
                <w:color w:val="222222"/>
                <w:sz w:val="16"/>
                <w:szCs w:val="16"/>
                <w:shd w:val="clear" w:color="auto" w:fill="FFFFFF"/>
              </w:rPr>
              <w:t>s</w:t>
            </w:r>
            <w:r w:rsidR="00C278BE" w:rsidRPr="0001451F">
              <w:rPr>
                <w:rFonts w:ascii="Cambria" w:hAnsi="Cambria" w:cs="Calibri"/>
                <w:color w:val="222222"/>
                <w:sz w:val="16"/>
                <w:szCs w:val="16"/>
                <w:shd w:val="clear" w:color="auto" w:fill="FFFFFF"/>
              </w:rPr>
              <w:t xml:space="preserve"> another HIIT group.</w:t>
            </w:r>
          </w:p>
          <w:p w14:paraId="0FE95946" w14:textId="77777777" w:rsidR="00D5426B" w:rsidRPr="0001451F" w:rsidRDefault="00D5426B" w:rsidP="00D5426B">
            <w:pPr>
              <w:pStyle w:val="CommentText"/>
              <w:rPr>
                <w:rFonts w:ascii="Cambria" w:hAnsi="Cambria"/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2270"/>
              <w:gridCol w:w="1897"/>
              <w:gridCol w:w="2874"/>
            </w:tblGrid>
            <w:tr w:rsidR="00D5426B" w:rsidRPr="0001451F" w14:paraId="3CDE7082" w14:textId="77777777" w:rsidTr="00C7276C">
              <w:trPr>
                <w:trHeight w:val="256"/>
              </w:trPr>
              <w:tc>
                <w:tcPr>
                  <w:tcW w:w="41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2DFD19" w14:textId="3D585A69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  <w:t>Adherence data</w:t>
                  </w:r>
                </w:p>
              </w:tc>
              <w:tc>
                <w:tcPr>
                  <w:tcW w:w="2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B53745C" w14:textId="71CF91F5" w:rsidR="00D5426B" w:rsidRPr="0001451F" w:rsidRDefault="00C278BE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  <w:t>Intervention</w:t>
                  </w:r>
                </w:p>
              </w:tc>
              <w:tc>
                <w:tcPr>
                  <w:tcW w:w="189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3BA3C3D1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  <w:t>Comparator</w:t>
                  </w:r>
                </w:p>
              </w:tc>
              <w:tc>
                <w:tcPr>
                  <w:tcW w:w="287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49BECF7" w14:textId="34159DA0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  <w:t>Statistics</w:t>
                  </w:r>
                </w:p>
              </w:tc>
            </w:tr>
            <w:tr w:rsidR="00D5426B" w:rsidRPr="0001451F" w14:paraId="288C2071" w14:textId="77777777" w:rsidTr="00E178C4">
              <w:trPr>
                <w:trHeight w:val="236"/>
              </w:trPr>
              <w:tc>
                <w:tcPr>
                  <w:tcW w:w="419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C8F0E95" w14:textId="2F8CA619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tabs>
                      <w:tab w:val="left" w:pos="582"/>
                    </w:tabs>
                    <w:spacing w:line="276" w:lineRule="auto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Proportion of participants</w:t>
                  </w:r>
                  <w:r w:rsidR="00CA2C01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 that achieved</w:t>
                  </w: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227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14:paraId="572F3E6C" w14:textId="77777777" w:rsidR="00D5426B" w:rsidRPr="0001451F" w:rsidRDefault="00D5426B" w:rsidP="00C76A11">
                  <w:pPr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4A7A9C56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5CCC66AF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752D0229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E30AACE" w14:textId="42FA21FB" w:rsidR="00D5426B" w:rsidRPr="0001451F" w:rsidRDefault="00CA2C01" w:rsidP="00C76A11">
                  <w:pPr>
                    <w:pStyle w:val="CommentText"/>
                    <w:framePr w:hSpace="180" w:wrap="around" w:vAnchor="text" w:hAnchor="margin" w:xAlign="center" w:y="109"/>
                    <w:numPr>
                      <w:ilvl w:val="0"/>
                      <w:numId w:val="29"/>
                    </w:numPr>
                    <w:tabs>
                      <w:tab w:val="left" w:pos="582"/>
                    </w:tabs>
                    <w:ind w:left="440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Global </w:t>
                  </w:r>
                  <w:r w:rsidR="0009356C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criteri</w:t>
                  </w:r>
                  <w:r w:rsidR="0094092A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</w:t>
                  </w:r>
                  <w:r w:rsidR="0009356C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 for </w:t>
                  </w: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adherence </w:t>
                  </w:r>
                  <w:r w:rsidR="00D5426B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(n, %)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5C15A60F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65CA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F9DD624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427B5681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22C552DD" w14:textId="294DA8A9" w:rsidR="00D5426B" w:rsidRPr="0001451F" w:rsidRDefault="0009356C" w:rsidP="00C76A11">
                  <w:pPr>
                    <w:pStyle w:val="CommentText"/>
                    <w:framePr w:hSpace="180" w:wrap="around" w:vAnchor="text" w:hAnchor="margin" w:xAlign="center" w:y="109"/>
                    <w:numPr>
                      <w:ilvl w:val="0"/>
                      <w:numId w:val="29"/>
                    </w:numPr>
                    <w:tabs>
                      <w:tab w:val="left" w:pos="582"/>
                    </w:tabs>
                    <w:ind w:left="440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</w:t>
                  </w:r>
                  <w:r w:rsidR="00CA2C01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ttendance criteri</w:t>
                  </w:r>
                  <w:r w:rsidR="00E83FFB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on</w:t>
                  </w: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 for adherence</w:t>
                  </w:r>
                  <w:r w:rsidR="00D5426B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 (n, %)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0708AA87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A008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8424C71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2C5FDEEC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608840C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  <w:p w14:paraId="58BC5DAB" w14:textId="3022ADFE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spacing w:line="276" w:lineRule="auto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Proportion of allocated training sessions</w:t>
                  </w:r>
                  <w:r w:rsidR="00CD02AE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4D62565E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8278B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831DFB3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A2C01" w:rsidRPr="0001451F" w14:paraId="27FCA2CB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EE3EF0" w14:textId="489A7E9D" w:rsidR="00CA2C01" w:rsidRPr="0001451F" w:rsidRDefault="00CA2C01" w:rsidP="00C76A11">
                  <w:pPr>
                    <w:pStyle w:val="CommentText"/>
                    <w:framePr w:hSpace="180" w:wrap="around" w:vAnchor="text" w:hAnchor="margin" w:xAlign="center" w:y="109"/>
                    <w:numPr>
                      <w:ilvl w:val="0"/>
                      <w:numId w:val="33"/>
                    </w:numPr>
                    <w:ind w:left="447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Global adherence (%)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45F1790B" w14:textId="77777777" w:rsidR="00CA2C01" w:rsidRPr="0001451F" w:rsidRDefault="00CA2C01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7E80" w14:textId="77777777" w:rsidR="00CA2C01" w:rsidRPr="0001451F" w:rsidRDefault="00CA2C01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0FAAD6BC" w14:textId="77777777" w:rsidR="00CA2C01" w:rsidRPr="0001451F" w:rsidRDefault="00CA2C01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D02AE" w:rsidRPr="0001451F" w14:paraId="62D8D288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D7214ED" w14:textId="3DEC561D" w:rsidR="00CD02AE" w:rsidRPr="0001451F" w:rsidRDefault="00CD02AE" w:rsidP="00C76A11">
                  <w:pPr>
                    <w:pStyle w:val="CommentText"/>
                    <w:framePr w:hSpace="180" w:wrap="around" w:vAnchor="text" w:hAnchor="margin" w:xAlign="center" w:y="109"/>
                    <w:numPr>
                      <w:ilvl w:val="0"/>
                      <w:numId w:val="33"/>
                    </w:numPr>
                    <w:ind w:left="447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Adherence to attendance (%)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1C99C6A7" w14:textId="77777777" w:rsidR="00CD02AE" w:rsidRPr="0001451F" w:rsidRDefault="00CD02AE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C690" w14:textId="77777777" w:rsidR="00CD02AE" w:rsidRPr="0001451F" w:rsidRDefault="00CD02AE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BDC709B" w14:textId="77777777" w:rsidR="00CD02AE" w:rsidRPr="0001451F" w:rsidRDefault="00CD02AE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1D401908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AD12303" w14:textId="4AE3AB10" w:rsidR="00D5426B" w:rsidRPr="0001451F" w:rsidRDefault="00CD02AE" w:rsidP="00C76A11">
                  <w:pPr>
                    <w:pStyle w:val="CommentText"/>
                    <w:framePr w:hSpace="180" w:wrap="around" w:vAnchor="text" w:hAnchor="margin" w:xAlign="center" w:y="109"/>
                    <w:numPr>
                      <w:ilvl w:val="0"/>
                      <w:numId w:val="33"/>
                    </w:numPr>
                    <w:ind w:left="447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Adherence to intensity</w:t>
                  </w:r>
                  <w:r w:rsidR="00D5426B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 (%)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44392173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52040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B733188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0A65F651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2B95D8B1" w14:textId="768B10AA" w:rsidR="00D5426B" w:rsidRPr="0001451F" w:rsidRDefault="00CD02AE" w:rsidP="00C76A11">
                  <w:pPr>
                    <w:pStyle w:val="CommentText"/>
                    <w:framePr w:hSpace="180" w:wrap="around" w:vAnchor="text" w:hAnchor="margin" w:xAlign="center" w:y="109"/>
                    <w:numPr>
                      <w:ilvl w:val="0"/>
                      <w:numId w:val="33"/>
                    </w:numPr>
                    <w:ind w:left="447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Adherence to duration</w:t>
                  </w:r>
                  <w:r w:rsidR="00D5426B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 xml:space="preserve"> (%)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2EA6D2F9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857AC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62484AAF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5BDA9796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3FFCB0E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471DBBAA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551F5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915FEBD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306D6CA6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F24A876" w14:textId="6740FD9A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n-US"/>
                    </w:rPr>
                    <w:t>Non-protocol exercise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1C5F9E92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30981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5BA051C2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6593A511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44BD93D" w14:textId="779913AD" w:rsidR="00D5426B" w:rsidRPr="0001451F" w:rsidRDefault="00CD02AE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</w:t>
                  </w:r>
                  <w:r w:rsidR="00D5426B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dditional exercise sessions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2CD9BF38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99AD1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20504BE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04D05095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C307848" w14:textId="128A86C3" w:rsidR="00D5426B" w:rsidRPr="0001451F" w:rsidRDefault="00CD02AE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A</w:t>
                  </w:r>
                  <w:r w:rsidR="00D5426B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dditional exercise minutes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1A834CB5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7A9F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57C6E872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26B" w:rsidRPr="0001451F" w14:paraId="60EAEE4C" w14:textId="77777777" w:rsidTr="00E178C4">
              <w:trPr>
                <w:trHeight w:val="256"/>
              </w:trPr>
              <w:tc>
                <w:tcPr>
                  <w:tcW w:w="41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B01E93" w14:textId="1B7AC8C8" w:rsidR="00D5426B" w:rsidRPr="0001451F" w:rsidRDefault="00CD02AE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  <w:r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Proportion of participants t</w:t>
                  </w:r>
                  <w:r w:rsidR="00D5426B" w:rsidRPr="0001451F">
                    <w:rPr>
                      <w:rFonts w:ascii="Cambria" w:hAnsi="Cambria"/>
                      <w:sz w:val="16"/>
                      <w:szCs w:val="16"/>
                      <w:lang w:val="en-US"/>
                    </w:rPr>
                    <w:t>raining at a different intensity from allocated training (n, %)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D91BAF3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ABDFC69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588ECA3" w14:textId="77777777" w:rsidR="00D5426B" w:rsidRPr="0001451F" w:rsidRDefault="00D5426B" w:rsidP="00C76A11">
                  <w:pPr>
                    <w:pStyle w:val="CommentText"/>
                    <w:framePr w:hSpace="180" w:wrap="around" w:vAnchor="text" w:hAnchor="margin" w:xAlign="center" w:y="109"/>
                    <w:rPr>
                      <w:rFonts w:ascii="Cambria" w:hAnsi="Cambri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A168AAB" w14:textId="77777777" w:rsidR="00E178C4" w:rsidRPr="00E178C4" w:rsidRDefault="00E178C4" w:rsidP="00AD2A5E">
            <w:pPr>
              <w:rPr>
                <w:rFonts w:ascii="Cambria" w:hAnsi="Cambria" w:cs="Calibri"/>
                <w:color w:val="000000" w:themeColor="text1"/>
                <w:sz w:val="4"/>
                <w:szCs w:val="4"/>
                <w:lang w:val="en-US"/>
              </w:rPr>
            </w:pPr>
          </w:p>
          <w:p w14:paraId="4E42EE1E" w14:textId="47FAC2F8" w:rsidR="00E53E09" w:rsidRPr="0001451F" w:rsidRDefault="00D5426B" w:rsidP="00AD2A5E">
            <w:pPr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lang w:val="en-US"/>
              </w:rPr>
              <w:t xml:space="preserve">Data are presented as Mean 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± SD or 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lang w:val="en-US"/>
              </w:rPr>
              <w:t>Me</w:t>
            </w:r>
            <w:r w:rsidR="00AD2A5E" w:rsidRPr="0001451F">
              <w:rPr>
                <w:rFonts w:ascii="Cambria" w:hAnsi="Cambria" w:cs="Calibri"/>
                <w:color w:val="000000" w:themeColor="text1"/>
                <w:sz w:val="16"/>
                <w:szCs w:val="16"/>
                <w:lang w:val="en-US"/>
              </w:rPr>
              <w:t>dian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(inter-quartile range) depending on </w:t>
            </w:r>
            <w:r w:rsidR="00AD2A5E"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distribution 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of the data. </w:t>
            </w:r>
          </w:p>
          <w:p w14:paraId="78F5B825" w14:textId="3CFF9ED8" w:rsidR="00D5426B" w:rsidRPr="0001451F" w:rsidRDefault="00CA2C01" w:rsidP="00AD2A5E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>Global adherence</w:t>
            </w:r>
            <w:r w:rsidR="00E53E09"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83FFB"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involves achieving attendance, intensity, and duration of allocated training sessions. The global </w:t>
            </w:r>
            <w:r w:rsidR="00B24368"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criteria for </w:t>
            </w:r>
            <w:r w:rsidR="00E83FFB"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adherence </w:t>
            </w:r>
            <w:proofErr w:type="gramStart"/>
            <w:r w:rsidR="00B24368"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>involves</w:t>
            </w:r>
            <w:proofErr w:type="gramEnd"/>
            <w:r w:rsidR="00E53E09"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53E09" w:rsidRPr="0001451F">
              <w:rPr>
                <w:rFonts w:ascii="Cambria" w:hAnsi="Cambria" w:cs="Calibri"/>
                <w:color w:val="000000" w:themeColor="text1"/>
                <w:sz w:val="16"/>
                <w:szCs w:val="16"/>
                <w:lang w:val="en-US"/>
              </w:rPr>
              <w:t>≥70% attendance at sessions where training was at the prescribed intensity and ≥75% of the prescribed duration.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>Adherence</w:t>
            </w:r>
            <w:r w:rsidR="00B24368"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criteria for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attendance </w:t>
            </w:r>
            <w:r w:rsidR="00B24368"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>involves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only the attendance component (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lang w:val="en-US"/>
              </w:rPr>
              <w:t>≥70% attendance at</w:t>
            </w:r>
            <w:r w:rsidRPr="0001451F">
              <w:rPr>
                <w:rFonts w:ascii="Cambria" w:hAnsi="Cambria" w:cs="Calibr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1451F">
              <w:rPr>
                <w:rFonts w:ascii="Cambria" w:hAnsi="Cambria" w:cs="Calibri"/>
                <w:color w:val="000000" w:themeColor="text1"/>
                <w:sz w:val="16"/>
                <w:szCs w:val="16"/>
                <w:lang w:val="en-US"/>
              </w:rPr>
              <w:t xml:space="preserve">session). </w:t>
            </w:r>
          </w:p>
        </w:tc>
      </w:tr>
    </w:tbl>
    <w:p w14:paraId="22D3EB8F" w14:textId="799AB213" w:rsidR="0075123A" w:rsidRPr="0001451F" w:rsidRDefault="009E297C" w:rsidP="00B25816">
      <w:pPr>
        <w:ind w:left="-993" w:right="-1000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Ab</w:t>
      </w:r>
      <w:r w:rsidR="00C37473" w:rsidRPr="0001451F">
        <w:rPr>
          <w:rFonts w:ascii="Cambria" w:hAnsi="Cambria"/>
          <w:sz w:val="16"/>
          <w:szCs w:val="16"/>
        </w:rPr>
        <w:t>breviations: RPE</w:t>
      </w:r>
      <w:r w:rsidR="003968AB">
        <w:rPr>
          <w:rFonts w:ascii="Cambria" w:hAnsi="Cambria"/>
          <w:sz w:val="16"/>
          <w:szCs w:val="16"/>
        </w:rPr>
        <w:t xml:space="preserve">, </w:t>
      </w:r>
      <w:r w:rsidR="00C37473" w:rsidRPr="0001451F">
        <w:rPr>
          <w:rFonts w:ascii="Cambria" w:hAnsi="Cambria"/>
          <w:sz w:val="16"/>
          <w:szCs w:val="16"/>
        </w:rPr>
        <w:t>rating of perceived exertion (based on Borg 6-20 or 1-10 scale); HR</w:t>
      </w:r>
      <w:r w:rsidR="003968AB">
        <w:rPr>
          <w:rFonts w:ascii="Cambria" w:hAnsi="Cambria"/>
          <w:sz w:val="16"/>
          <w:szCs w:val="16"/>
        </w:rPr>
        <w:t>,</w:t>
      </w:r>
      <w:r w:rsidR="00C37473" w:rsidRPr="0001451F">
        <w:rPr>
          <w:rFonts w:ascii="Cambria" w:hAnsi="Cambria"/>
          <w:sz w:val="16"/>
          <w:szCs w:val="16"/>
        </w:rPr>
        <w:t xml:space="preserve"> heart rate; </w:t>
      </w:r>
      <w:proofErr w:type="spellStart"/>
      <w:r w:rsidR="00C37473" w:rsidRPr="0001451F">
        <w:rPr>
          <w:rFonts w:ascii="Cambria" w:hAnsi="Cambria"/>
          <w:sz w:val="16"/>
          <w:szCs w:val="16"/>
        </w:rPr>
        <w:t>HR</w:t>
      </w:r>
      <w:r w:rsidR="00C37473" w:rsidRPr="003968AB">
        <w:rPr>
          <w:rFonts w:ascii="Cambria" w:hAnsi="Cambria"/>
          <w:sz w:val="16"/>
          <w:szCs w:val="16"/>
          <w:vertAlign w:val="subscript"/>
        </w:rPr>
        <w:t>peak</w:t>
      </w:r>
      <w:proofErr w:type="spellEnd"/>
      <w:r w:rsidR="003968AB">
        <w:rPr>
          <w:rFonts w:ascii="Cambria" w:hAnsi="Cambria"/>
          <w:sz w:val="16"/>
          <w:szCs w:val="16"/>
        </w:rPr>
        <w:t xml:space="preserve">, </w:t>
      </w:r>
      <w:r w:rsidR="00C37473" w:rsidRPr="0001451F">
        <w:rPr>
          <w:rFonts w:ascii="Cambria" w:hAnsi="Cambria"/>
          <w:sz w:val="16"/>
          <w:szCs w:val="16"/>
        </w:rPr>
        <w:t>peak heart rate (obtained from maximal exercise test)</w:t>
      </w:r>
      <w:r w:rsidR="003968AB">
        <w:rPr>
          <w:rFonts w:ascii="Cambria" w:hAnsi="Cambria"/>
          <w:sz w:val="16"/>
          <w:szCs w:val="16"/>
        </w:rPr>
        <w:t>.</w:t>
      </w:r>
      <w:r w:rsidR="00C37473" w:rsidRPr="0001451F">
        <w:rPr>
          <w:rFonts w:ascii="Cambria" w:hAnsi="Cambria"/>
          <w:sz w:val="16"/>
          <w:szCs w:val="16"/>
        </w:rPr>
        <w:t xml:space="preserve">  </w:t>
      </w:r>
    </w:p>
    <w:sectPr w:rsidR="0075123A" w:rsidRPr="0001451F" w:rsidSect="0001451F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187"/>
    <w:multiLevelType w:val="hybridMultilevel"/>
    <w:tmpl w:val="8286E4E4"/>
    <w:lvl w:ilvl="0" w:tplc="D60AD2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7B8"/>
    <w:multiLevelType w:val="hybridMultilevel"/>
    <w:tmpl w:val="7D04A9E8"/>
    <w:lvl w:ilvl="0" w:tplc="BBBE0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C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6F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EB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E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22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A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CA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E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223170"/>
    <w:multiLevelType w:val="hybridMultilevel"/>
    <w:tmpl w:val="A144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D0B"/>
    <w:multiLevelType w:val="hybridMultilevel"/>
    <w:tmpl w:val="06EC023C"/>
    <w:lvl w:ilvl="0" w:tplc="D60AD2C6">
      <w:start w:val="5"/>
      <w:numFmt w:val="bullet"/>
      <w:lvlText w:val="-"/>
      <w:lvlJc w:val="left"/>
      <w:pPr>
        <w:ind w:left="1533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 w15:restartNumberingAfterBreak="0">
    <w:nsid w:val="1D0E5EFF"/>
    <w:multiLevelType w:val="hybridMultilevel"/>
    <w:tmpl w:val="5330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D4D73"/>
    <w:multiLevelType w:val="hybridMultilevel"/>
    <w:tmpl w:val="B254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7695"/>
    <w:multiLevelType w:val="hybridMultilevel"/>
    <w:tmpl w:val="197298EA"/>
    <w:lvl w:ilvl="0" w:tplc="9CDC270C">
      <w:start w:val="6"/>
      <w:numFmt w:val="bullet"/>
      <w:lvlText w:val="-"/>
      <w:lvlJc w:val="left"/>
      <w:pPr>
        <w:ind w:left="789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6391EE0"/>
    <w:multiLevelType w:val="hybridMultilevel"/>
    <w:tmpl w:val="EC6EF4AC"/>
    <w:lvl w:ilvl="0" w:tplc="9CDC270C">
      <w:start w:val="6"/>
      <w:numFmt w:val="bullet"/>
      <w:lvlText w:val="-"/>
      <w:lvlJc w:val="left"/>
      <w:pPr>
        <w:ind w:left="1118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2BE940A7"/>
    <w:multiLevelType w:val="hybridMultilevel"/>
    <w:tmpl w:val="BF409F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0CCE"/>
    <w:multiLevelType w:val="hybridMultilevel"/>
    <w:tmpl w:val="BF409F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7329"/>
    <w:multiLevelType w:val="hybridMultilevel"/>
    <w:tmpl w:val="F32C8CC6"/>
    <w:lvl w:ilvl="0" w:tplc="9CDC270C">
      <w:start w:val="6"/>
      <w:numFmt w:val="bullet"/>
      <w:lvlText w:val="-"/>
      <w:lvlJc w:val="left"/>
      <w:pPr>
        <w:ind w:left="1149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 w15:restartNumberingAfterBreak="0">
    <w:nsid w:val="30457708"/>
    <w:multiLevelType w:val="hybridMultilevel"/>
    <w:tmpl w:val="756633D0"/>
    <w:lvl w:ilvl="0" w:tplc="F9525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26C7C"/>
    <w:multiLevelType w:val="hybridMultilevel"/>
    <w:tmpl w:val="1E9A672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34E60B65"/>
    <w:multiLevelType w:val="hybridMultilevel"/>
    <w:tmpl w:val="CA4EBED0"/>
    <w:lvl w:ilvl="0" w:tplc="9B164B4A">
      <w:start w:val="5"/>
      <w:numFmt w:val="bullet"/>
      <w:lvlText w:val="-"/>
      <w:lvlJc w:val="left"/>
      <w:pPr>
        <w:ind w:left="11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3572104F"/>
    <w:multiLevelType w:val="hybridMultilevel"/>
    <w:tmpl w:val="7F4C0F86"/>
    <w:lvl w:ilvl="0" w:tplc="CB7E37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601BF"/>
    <w:multiLevelType w:val="hybridMultilevel"/>
    <w:tmpl w:val="03BC9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5675C"/>
    <w:multiLevelType w:val="hybridMultilevel"/>
    <w:tmpl w:val="14FE9C12"/>
    <w:lvl w:ilvl="0" w:tplc="73F625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B6E2F"/>
    <w:multiLevelType w:val="hybridMultilevel"/>
    <w:tmpl w:val="73B8D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34DAC"/>
    <w:multiLevelType w:val="hybridMultilevel"/>
    <w:tmpl w:val="A0A8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3155"/>
    <w:multiLevelType w:val="hybridMultilevel"/>
    <w:tmpl w:val="A6E41EDE"/>
    <w:lvl w:ilvl="0" w:tplc="9CDC270C">
      <w:start w:val="6"/>
      <w:numFmt w:val="bullet"/>
      <w:lvlText w:val="-"/>
      <w:lvlJc w:val="left"/>
      <w:pPr>
        <w:ind w:left="1536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0" w15:restartNumberingAfterBreak="0">
    <w:nsid w:val="3E755B32"/>
    <w:multiLevelType w:val="hybridMultilevel"/>
    <w:tmpl w:val="8B62A500"/>
    <w:lvl w:ilvl="0" w:tplc="73F625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C2D82"/>
    <w:multiLevelType w:val="hybridMultilevel"/>
    <w:tmpl w:val="CE6A6E1E"/>
    <w:lvl w:ilvl="0" w:tplc="73F625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060EF"/>
    <w:multiLevelType w:val="hybridMultilevel"/>
    <w:tmpl w:val="EDEE8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5DC5"/>
    <w:multiLevelType w:val="hybridMultilevel"/>
    <w:tmpl w:val="C8E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1EA4"/>
    <w:multiLevelType w:val="hybridMultilevel"/>
    <w:tmpl w:val="D4FE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1561F"/>
    <w:multiLevelType w:val="hybridMultilevel"/>
    <w:tmpl w:val="4D7E3CC8"/>
    <w:lvl w:ilvl="0" w:tplc="D60AD2C6">
      <w:start w:val="5"/>
      <w:numFmt w:val="bullet"/>
      <w:lvlText w:val="-"/>
      <w:lvlJc w:val="left"/>
      <w:pPr>
        <w:ind w:left="1176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5C894D3E"/>
    <w:multiLevelType w:val="hybridMultilevel"/>
    <w:tmpl w:val="BF409F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62E12"/>
    <w:multiLevelType w:val="hybridMultilevel"/>
    <w:tmpl w:val="4BA2E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A0FB4"/>
    <w:multiLevelType w:val="hybridMultilevel"/>
    <w:tmpl w:val="05A8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62F79"/>
    <w:multiLevelType w:val="hybridMultilevel"/>
    <w:tmpl w:val="6B38BF82"/>
    <w:lvl w:ilvl="0" w:tplc="73F625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81E5E"/>
    <w:multiLevelType w:val="hybridMultilevel"/>
    <w:tmpl w:val="7572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26E21"/>
    <w:multiLevelType w:val="hybridMultilevel"/>
    <w:tmpl w:val="84F8B806"/>
    <w:lvl w:ilvl="0" w:tplc="9CDC270C">
      <w:start w:val="6"/>
      <w:numFmt w:val="bullet"/>
      <w:lvlText w:val="-"/>
      <w:lvlJc w:val="left"/>
      <w:pPr>
        <w:ind w:left="966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2" w15:restartNumberingAfterBreak="0">
    <w:nsid w:val="74204BBD"/>
    <w:multiLevelType w:val="hybridMultilevel"/>
    <w:tmpl w:val="502E44F8"/>
    <w:lvl w:ilvl="0" w:tplc="2D9415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65FC1"/>
    <w:multiLevelType w:val="hybridMultilevel"/>
    <w:tmpl w:val="72E421B4"/>
    <w:lvl w:ilvl="0" w:tplc="73F625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3040F"/>
    <w:multiLevelType w:val="hybridMultilevel"/>
    <w:tmpl w:val="E14E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91DBD"/>
    <w:multiLevelType w:val="hybridMultilevel"/>
    <w:tmpl w:val="163C6FD6"/>
    <w:lvl w:ilvl="0" w:tplc="73F625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36EE4"/>
    <w:multiLevelType w:val="hybridMultilevel"/>
    <w:tmpl w:val="340C01BA"/>
    <w:lvl w:ilvl="0" w:tplc="73F625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C22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04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F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4C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09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8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DA20F58"/>
    <w:multiLevelType w:val="hybridMultilevel"/>
    <w:tmpl w:val="DDE8ADB0"/>
    <w:lvl w:ilvl="0" w:tplc="08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6"/>
  </w:num>
  <w:num w:numId="4">
    <w:abstractNumId w:val="10"/>
  </w:num>
  <w:num w:numId="5">
    <w:abstractNumId w:val="20"/>
  </w:num>
  <w:num w:numId="6">
    <w:abstractNumId w:val="33"/>
  </w:num>
  <w:num w:numId="7">
    <w:abstractNumId w:val="21"/>
  </w:num>
  <w:num w:numId="8">
    <w:abstractNumId w:val="16"/>
  </w:num>
  <w:num w:numId="9">
    <w:abstractNumId w:val="7"/>
  </w:num>
  <w:num w:numId="10">
    <w:abstractNumId w:val="35"/>
  </w:num>
  <w:num w:numId="11">
    <w:abstractNumId w:val="14"/>
  </w:num>
  <w:num w:numId="12">
    <w:abstractNumId w:val="30"/>
  </w:num>
  <w:num w:numId="13">
    <w:abstractNumId w:val="17"/>
  </w:num>
  <w:num w:numId="14">
    <w:abstractNumId w:val="23"/>
  </w:num>
  <w:num w:numId="15">
    <w:abstractNumId w:val="5"/>
  </w:num>
  <w:num w:numId="16">
    <w:abstractNumId w:val="11"/>
  </w:num>
  <w:num w:numId="17">
    <w:abstractNumId w:val="37"/>
  </w:num>
  <w:num w:numId="18">
    <w:abstractNumId w:val="13"/>
  </w:num>
  <w:num w:numId="19">
    <w:abstractNumId w:val="32"/>
  </w:num>
  <w:num w:numId="20">
    <w:abstractNumId w:val="27"/>
  </w:num>
  <w:num w:numId="21">
    <w:abstractNumId w:val="25"/>
  </w:num>
  <w:num w:numId="22">
    <w:abstractNumId w:val="0"/>
  </w:num>
  <w:num w:numId="23">
    <w:abstractNumId w:val="3"/>
  </w:num>
  <w:num w:numId="24">
    <w:abstractNumId w:val="34"/>
  </w:num>
  <w:num w:numId="25">
    <w:abstractNumId w:val="22"/>
  </w:num>
  <w:num w:numId="26">
    <w:abstractNumId w:val="15"/>
  </w:num>
  <w:num w:numId="27">
    <w:abstractNumId w:val="19"/>
  </w:num>
  <w:num w:numId="28">
    <w:abstractNumId w:val="31"/>
  </w:num>
  <w:num w:numId="29">
    <w:abstractNumId w:val="18"/>
  </w:num>
  <w:num w:numId="30">
    <w:abstractNumId w:val="26"/>
  </w:num>
  <w:num w:numId="31">
    <w:abstractNumId w:val="8"/>
  </w:num>
  <w:num w:numId="32">
    <w:abstractNumId w:val="9"/>
  </w:num>
  <w:num w:numId="33">
    <w:abstractNumId w:val="28"/>
  </w:num>
  <w:num w:numId="34">
    <w:abstractNumId w:val="12"/>
  </w:num>
  <w:num w:numId="35">
    <w:abstractNumId w:val="4"/>
  </w:num>
  <w:num w:numId="36">
    <w:abstractNumId w:val="2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8&lt;/FontSize&gt;&lt;ReflistTitle&gt;&lt;/ReflistTitle&gt;&lt;StartingRefnum&gt;1&lt;/StartingRefnum&gt;&lt;FirstLineIndent&gt;0&lt;/FirstLineIndent&gt;&lt;HangingIndent&gt;283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dtp92z9reaz8evxpnv5d0qp9t2rsrttvad&quot;&gt;PhD&lt;record-ids&gt;&lt;item&gt;7951&lt;/item&gt;&lt;item&gt;8166&lt;/item&gt;&lt;item&gt;8679&lt;/item&gt;&lt;/record-ids&gt;&lt;/item&gt;&lt;/Libraries&gt;"/>
  </w:docVars>
  <w:rsids>
    <w:rsidRoot w:val="00C37473"/>
    <w:rsid w:val="0000545B"/>
    <w:rsid w:val="0001451F"/>
    <w:rsid w:val="0001593D"/>
    <w:rsid w:val="00026191"/>
    <w:rsid w:val="00030A84"/>
    <w:rsid w:val="000424BB"/>
    <w:rsid w:val="00054263"/>
    <w:rsid w:val="00074F17"/>
    <w:rsid w:val="00087A43"/>
    <w:rsid w:val="00091A96"/>
    <w:rsid w:val="0009356C"/>
    <w:rsid w:val="00094123"/>
    <w:rsid w:val="00094131"/>
    <w:rsid w:val="00095969"/>
    <w:rsid w:val="00095BD3"/>
    <w:rsid w:val="000A49FA"/>
    <w:rsid w:val="000A51EE"/>
    <w:rsid w:val="000B1D79"/>
    <w:rsid w:val="000B2103"/>
    <w:rsid w:val="000B32AB"/>
    <w:rsid w:val="000B4B43"/>
    <w:rsid w:val="000C4D44"/>
    <w:rsid w:val="000D36AE"/>
    <w:rsid w:val="000E5150"/>
    <w:rsid w:val="000F6657"/>
    <w:rsid w:val="00100E83"/>
    <w:rsid w:val="00102896"/>
    <w:rsid w:val="00104939"/>
    <w:rsid w:val="0010779F"/>
    <w:rsid w:val="00121120"/>
    <w:rsid w:val="00125F99"/>
    <w:rsid w:val="0012771D"/>
    <w:rsid w:val="001301D0"/>
    <w:rsid w:val="0013415F"/>
    <w:rsid w:val="00142BFD"/>
    <w:rsid w:val="001435D3"/>
    <w:rsid w:val="00143789"/>
    <w:rsid w:val="0014528E"/>
    <w:rsid w:val="0015636B"/>
    <w:rsid w:val="001601A6"/>
    <w:rsid w:val="00161F5C"/>
    <w:rsid w:val="0017311B"/>
    <w:rsid w:val="0017589A"/>
    <w:rsid w:val="00181904"/>
    <w:rsid w:val="00183B42"/>
    <w:rsid w:val="00185E12"/>
    <w:rsid w:val="00187BB7"/>
    <w:rsid w:val="001A24C0"/>
    <w:rsid w:val="001A70A5"/>
    <w:rsid w:val="001B481A"/>
    <w:rsid w:val="001C03BE"/>
    <w:rsid w:val="001E4913"/>
    <w:rsid w:val="001F5585"/>
    <w:rsid w:val="001F59A3"/>
    <w:rsid w:val="00205DB7"/>
    <w:rsid w:val="0020754E"/>
    <w:rsid w:val="00210D47"/>
    <w:rsid w:val="0021284E"/>
    <w:rsid w:val="00220203"/>
    <w:rsid w:val="0022091A"/>
    <w:rsid w:val="00221283"/>
    <w:rsid w:val="0022147D"/>
    <w:rsid w:val="002239AE"/>
    <w:rsid w:val="00223CF5"/>
    <w:rsid w:val="0023287A"/>
    <w:rsid w:val="00242F4B"/>
    <w:rsid w:val="00243FD0"/>
    <w:rsid w:val="002462F4"/>
    <w:rsid w:val="00252DDB"/>
    <w:rsid w:val="002577B0"/>
    <w:rsid w:val="00264292"/>
    <w:rsid w:val="002676CF"/>
    <w:rsid w:val="00270D51"/>
    <w:rsid w:val="0027586D"/>
    <w:rsid w:val="002841A3"/>
    <w:rsid w:val="00284D17"/>
    <w:rsid w:val="002926CC"/>
    <w:rsid w:val="0029403D"/>
    <w:rsid w:val="002958FE"/>
    <w:rsid w:val="00296A0E"/>
    <w:rsid w:val="002A28E4"/>
    <w:rsid w:val="002B1F27"/>
    <w:rsid w:val="002C0340"/>
    <w:rsid w:val="002C0900"/>
    <w:rsid w:val="002C43B7"/>
    <w:rsid w:val="002D767C"/>
    <w:rsid w:val="002E3631"/>
    <w:rsid w:val="002E3CBF"/>
    <w:rsid w:val="002E65E0"/>
    <w:rsid w:val="002F1793"/>
    <w:rsid w:val="002F454D"/>
    <w:rsid w:val="003028CC"/>
    <w:rsid w:val="0032259A"/>
    <w:rsid w:val="003275D7"/>
    <w:rsid w:val="003307CB"/>
    <w:rsid w:val="0033617B"/>
    <w:rsid w:val="003410AD"/>
    <w:rsid w:val="0035071D"/>
    <w:rsid w:val="0035494A"/>
    <w:rsid w:val="00357F05"/>
    <w:rsid w:val="00362AF6"/>
    <w:rsid w:val="0037010F"/>
    <w:rsid w:val="00371DDF"/>
    <w:rsid w:val="00377B40"/>
    <w:rsid w:val="003847C1"/>
    <w:rsid w:val="003968AB"/>
    <w:rsid w:val="003A16F0"/>
    <w:rsid w:val="003B3221"/>
    <w:rsid w:val="003B6B23"/>
    <w:rsid w:val="003D0B58"/>
    <w:rsid w:val="003D1F2F"/>
    <w:rsid w:val="003F3EFA"/>
    <w:rsid w:val="003F5924"/>
    <w:rsid w:val="004071A8"/>
    <w:rsid w:val="00410260"/>
    <w:rsid w:val="004171A9"/>
    <w:rsid w:val="00426855"/>
    <w:rsid w:val="00431E17"/>
    <w:rsid w:val="00446351"/>
    <w:rsid w:val="004504D5"/>
    <w:rsid w:val="0045235C"/>
    <w:rsid w:val="004576F0"/>
    <w:rsid w:val="00471B51"/>
    <w:rsid w:val="00473259"/>
    <w:rsid w:val="004732A8"/>
    <w:rsid w:val="004743C2"/>
    <w:rsid w:val="00474F75"/>
    <w:rsid w:val="0047681E"/>
    <w:rsid w:val="004770DD"/>
    <w:rsid w:val="00482622"/>
    <w:rsid w:val="004829AB"/>
    <w:rsid w:val="0049438F"/>
    <w:rsid w:val="00496B9D"/>
    <w:rsid w:val="004A1928"/>
    <w:rsid w:val="004A76DC"/>
    <w:rsid w:val="004B491C"/>
    <w:rsid w:val="004D39FA"/>
    <w:rsid w:val="004D451B"/>
    <w:rsid w:val="004F77D7"/>
    <w:rsid w:val="00516AA9"/>
    <w:rsid w:val="00521FF1"/>
    <w:rsid w:val="00525353"/>
    <w:rsid w:val="00527BDA"/>
    <w:rsid w:val="00541458"/>
    <w:rsid w:val="005509F7"/>
    <w:rsid w:val="00555E0D"/>
    <w:rsid w:val="00562D9D"/>
    <w:rsid w:val="005672F9"/>
    <w:rsid w:val="005721AF"/>
    <w:rsid w:val="00572A5C"/>
    <w:rsid w:val="005839A2"/>
    <w:rsid w:val="005B338B"/>
    <w:rsid w:val="005B3913"/>
    <w:rsid w:val="005C0452"/>
    <w:rsid w:val="005C057B"/>
    <w:rsid w:val="005D06DE"/>
    <w:rsid w:val="005D0EC3"/>
    <w:rsid w:val="005D50D5"/>
    <w:rsid w:val="005D7C5D"/>
    <w:rsid w:val="005E4560"/>
    <w:rsid w:val="005E62FE"/>
    <w:rsid w:val="005F3F9D"/>
    <w:rsid w:val="005F517E"/>
    <w:rsid w:val="00611DD3"/>
    <w:rsid w:val="00621FF4"/>
    <w:rsid w:val="00631963"/>
    <w:rsid w:val="00632260"/>
    <w:rsid w:val="00634934"/>
    <w:rsid w:val="006413C5"/>
    <w:rsid w:val="006453A4"/>
    <w:rsid w:val="00647121"/>
    <w:rsid w:val="00652D87"/>
    <w:rsid w:val="00660D1F"/>
    <w:rsid w:val="00665CA7"/>
    <w:rsid w:val="00670960"/>
    <w:rsid w:val="00670DC4"/>
    <w:rsid w:val="006726BD"/>
    <w:rsid w:val="00674EE1"/>
    <w:rsid w:val="00681F02"/>
    <w:rsid w:val="00682485"/>
    <w:rsid w:val="00685791"/>
    <w:rsid w:val="00686FB4"/>
    <w:rsid w:val="0069301D"/>
    <w:rsid w:val="006A3453"/>
    <w:rsid w:val="006B1400"/>
    <w:rsid w:val="006B77F4"/>
    <w:rsid w:val="006C46FB"/>
    <w:rsid w:val="006D13C5"/>
    <w:rsid w:val="006D1DE8"/>
    <w:rsid w:val="006D42AA"/>
    <w:rsid w:val="006E014E"/>
    <w:rsid w:val="006F6AA8"/>
    <w:rsid w:val="00705189"/>
    <w:rsid w:val="00712A5F"/>
    <w:rsid w:val="0071325C"/>
    <w:rsid w:val="00713B4B"/>
    <w:rsid w:val="00715D69"/>
    <w:rsid w:val="0071742B"/>
    <w:rsid w:val="00723245"/>
    <w:rsid w:val="00740595"/>
    <w:rsid w:val="007503F3"/>
    <w:rsid w:val="0075123A"/>
    <w:rsid w:val="00755BD7"/>
    <w:rsid w:val="0076616A"/>
    <w:rsid w:val="007665AD"/>
    <w:rsid w:val="00773194"/>
    <w:rsid w:val="00773FEE"/>
    <w:rsid w:val="0077705F"/>
    <w:rsid w:val="00780001"/>
    <w:rsid w:val="00784BEE"/>
    <w:rsid w:val="007908A4"/>
    <w:rsid w:val="00796563"/>
    <w:rsid w:val="007B5E37"/>
    <w:rsid w:val="007C131A"/>
    <w:rsid w:val="007C1DED"/>
    <w:rsid w:val="007C2500"/>
    <w:rsid w:val="007C5337"/>
    <w:rsid w:val="007C5BD8"/>
    <w:rsid w:val="007D6A3F"/>
    <w:rsid w:val="007E485E"/>
    <w:rsid w:val="007F0799"/>
    <w:rsid w:val="007F0AF7"/>
    <w:rsid w:val="007F201D"/>
    <w:rsid w:val="007F74F5"/>
    <w:rsid w:val="00804566"/>
    <w:rsid w:val="00805EA5"/>
    <w:rsid w:val="00806A58"/>
    <w:rsid w:val="00806BE8"/>
    <w:rsid w:val="008076E7"/>
    <w:rsid w:val="0081762D"/>
    <w:rsid w:val="0082323E"/>
    <w:rsid w:val="00831909"/>
    <w:rsid w:val="0083571F"/>
    <w:rsid w:val="00844DDA"/>
    <w:rsid w:val="00861B76"/>
    <w:rsid w:val="00865655"/>
    <w:rsid w:val="00866296"/>
    <w:rsid w:val="0086689F"/>
    <w:rsid w:val="00871478"/>
    <w:rsid w:val="00872612"/>
    <w:rsid w:val="008839C0"/>
    <w:rsid w:val="00887FCC"/>
    <w:rsid w:val="00893814"/>
    <w:rsid w:val="008949F5"/>
    <w:rsid w:val="008A017A"/>
    <w:rsid w:val="008A1D6F"/>
    <w:rsid w:val="008A658D"/>
    <w:rsid w:val="008A6B9B"/>
    <w:rsid w:val="008C65D6"/>
    <w:rsid w:val="008C7B2F"/>
    <w:rsid w:val="008D20A8"/>
    <w:rsid w:val="008D55EC"/>
    <w:rsid w:val="008F40EF"/>
    <w:rsid w:val="0090652E"/>
    <w:rsid w:val="009126BA"/>
    <w:rsid w:val="00913638"/>
    <w:rsid w:val="009162C5"/>
    <w:rsid w:val="0091665B"/>
    <w:rsid w:val="00925FB1"/>
    <w:rsid w:val="00931DED"/>
    <w:rsid w:val="009322D5"/>
    <w:rsid w:val="009322F4"/>
    <w:rsid w:val="00932AAB"/>
    <w:rsid w:val="00934314"/>
    <w:rsid w:val="0094092A"/>
    <w:rsid w:val="00940FC6"/>
    <w:rsid w:val="009564BF"/>
    <w:rsid w:val="009635C9"/>
    <w:rsid w:val="0096703C"/>
    <w:rsid w:val="0096735A"/>
    <w:rsid w:val="009833B4"/>
    <w:rsid w:val="00996A32"/>
    <w:rsid w:val="00996EB8"/>
    <w:rsid w:val="009B204A"/>
    <w:rsid w:val="009C4407"/>
    <w:rsid w:val="009D0B69"/>
    <w:rsid w:val="009D4DDE"/>
    <w:rsid w:val="009D6651"/>
    <w:rsid w:val="009D7C4B"/>
    <w:rsid w:val="009E297C"/>
    <w:rsid w:val="009E3990"/>
    <w:rsid w:val="009E6BDA"/>
    <w:rsid w:val="009F41B5"/>
    <w:rsid w:val="009F4576"/>
    <w:rsid w:val="009F4D79"/>
    <w:rsid w:val="009F4ED0"/>
    <w:rsid w:val="009F6AA0"/>
    <w:rsid w:val="00A007BE"/>
    <w:rsid w:val="00A04399"/>
    <w:rsid w:val="00A24BCA"/>
    <w:rsid w:val="00A25E0B"/>
    <w:rsid w:val="00A25E70"/>
    <w:rsid w:val="00A31CD3"/>
    <w:rsid w:val="00A5568E"/>
    <w:rsid w:val="00A57DF6"/>
    <w:rsid w:val="00A7074C"/>
    <w:rsid w:val="00A72506"/>
    <w:rsid w:val="00A741C3"/>
    <w:rsid w:val="00A761BF"/>
    <w:rsid w:val="00A8129A"/>
    <w:rsid w:val="00AA18B8"/>
    <w:rsid w:val="00AA1A7A"/>
    <w:rsid w:val="00AA4A86"/>
    <w:rsid w:val="00AA7861"/>
    <w:rsid w:val="00AB0EA5"/>
    <w:rsid w:val="00AB2A4E"/>
    <w:rsid w:val="00AC358C"/>
    <w:rsid w:val="00AD2A5E"/>
    <w:rsid w:val="00AE2850"/>
    <w:rsid w:val="00AE2DD7"/>
    <w:rsid w:val="00AE702F"/>
    <w:rsid w:val="00AF23EF"/>
    <w:rsid w:val="00B036A8"/>
    <w:rsid w:val="00B044C7"/>
    <w:rsid w:val="00B04A84"/>
    <w:rsid w:val="00B1133D"/>
    <w:rsid w:val="00B1199E"/>
    <w:rsid w:val="00B11A35"/>
    <w:rsid w:val="00B11E99"/>
    <w:rsid w:val="00B135C8"/>
    <w:rsid w:val="00B16E5A"/>
    <w:rsid w:val="00B24368"/>
    <w:rsid w:val="00B25816"/>
    <w:rsid w:val="00B46F8C"/>
    <w:rsid w:val="00B479D7"/>
    <w:rsid w:val="00B50FF7"/>
    <w:rsid w:val="00B51DC9"/>
    <w:rsid w:val="00B613FC"/>
    <w:rsid w:val="00B6304A"/>
    <w:rsid w:val="00B8518D"/>
    <w:rsid w:val="00B97625"/>
    <w:rsid w:val="00BA1521"/>
    <w:rsid w:val="00BA1E3C"/>
    <w:rsid w:val="00BA2462"/>
    <w:rsid w:val="00BB3B1A"/>
    <w:rsid w:val="00BB4FCF"/>
    <w:rsid w:val="00BC0DB1"/>
    <w:rsid w:val="00BC4F89"/>
    <w:rsid w:val="00BD1E32"/>
    <w:rsid w:val="00BE7B57"/>
    <w:rsid w:val="00BF0CDE"/>
    <w:rsid w:val="00C14C67"/>
    <w:rsid w:val="00C2390A"/>
    <w:rsid w:val="00C278BE"/>
    <w:rsid w:val="00C278E1"/>
    <w:rsid w:val="00C3362E"/>
    <w:rsid w:val="00C343DC"/>
    <w:rsid w:val="00C37473"/>
    <w:rsid w:val="00C44C42"/>
    <w:rsid w:val="00C45EC4"/>
    <w:rsid w:val="00C5255F"/>
    <w:rsid w:val="00C5694C"/>
    <w:rsid w:val="00C61AC9"/>
    <w:rsid w:val="00C6297A"/>
    <w:rsid w:val="00C67556"/>
    <w:rsid w:val="00C708C9"/>
    <w:rsid w:val="00C7276C"/>
    <w:rsid w:val="00C73000"/>
    <w:rsid w:val="00C76A11"/>
    <w:rsid w:val="00C76CCF"/>
    <w:rsid w:val="00C83C92"/>
    <w:rsid w:val="00C92BA4"/>
    <w:rsid w:val="00CA2C01"/>
    <w:rsid w:val="00CA5FEB"/>
    <w:rsid w:val="00CB2ED4"/>
    <w:rsid w:val="00CB4F8F"/>
    <w:rsid w:val="00CC268E"/>
    <w:rsid w:val="00CC5C11"/>
    <w:rsid w:val="00CD02AE"/>
    <w:rsid w:val="00CE01B2"/>
    <w:rsid w:val="00CE147C"/>
    <w:rsid w:val="00CE3F16"/>
    <w:rsid w:val="00CF220E"/>
    <w:rsid w:val="00D0068C"/>
    <w:rsid w:val="00D07A59"/>
    <w:rsid w:val="00D1062F"/>
    <w:rsid w:val="00D16F4E"/>
    <w:rsid w:val="00D24C7A"/>
    <w:rsid w:val="00D36F9F"/>
    <w:rsid w:val="00D42280"/>
    <w:rsid w:val="00D53A7E"/>
    <w:rsid w:val="00D5426B"/>
    <w:rsid w:val="00D5499F"/>
    <w:rsid w:val="00D56371"/>
    <w:rsid w:val="00D623C9"/>
    <w:rsid w:val="00D663EE"/>
    <w:rsid w:val="00D77EC9"/>
    <w:rsid w:val="00D817B5"/>
    <w:rsid w:val="00D96144"/>
    <w:rsid w:val="00D96C0D"/>
    <w:rsid w:val="00DB43BE"/>
    <w:rsid w:val="00DB5AE9"/>
    <w:rsid w:val="00DC2172"/>
    <w:rsid w:val="00DD0942"/>
    <w:rsid w:val="00DD1CC2"/>
    <w:rsid w:val="00DD46B9"/>
    <w:rsid w:val="00DE7EA4"/>
    <w:rsid w:val="00DF6AFB"/>
    <w:rsid w:val="00E00068"/>
    <w:rsid w:val="00E06133"/>
    <w:rsid w:val="00E178C4"/>
    <w:rsid w:val="00E219CA"/>
    <w:rsid w:val="00E31683"/>
    <w:rsid w:val="00E36A19"/>
    <w:rsid w:val="00E44AF0"/>
    <w:rsid w:val="00E50314"/>
    <w:rsid w:val="00E533B5"/>
    <w:rsid w:val="00E53E09"/>
    <w:rsid w:val="00E54630"/>
    <w:rsid w:val="00E549E4"/>
    <w:rsid w:val="00E61990"/>
    <w:rsid w:val="00E719B0"/>
    <w:rsid w:val="00E72488"/>
    <w:rsid w:val="00E74E0F"/>
    <w:rsid w:val="00E75847"/>
    <w:rsid w:val="00E83FFB"/>
    <w:rsid w:val="00E92002"/>
    <w:rsid w:val="00E931C4"/>
    <w:rsid w:val="00E95F0C"/>
    <w:rsid w:val="00EA05D9"/>
    <w:rsid w:val="00EA0935"/>
    <w:rsid w:val="00EA165E"/>
    <w:rsid w:val="00EA4D73"/>
    <w:rsid w:val="00EA5762"/>
    <w:rsid w:val="00EA7107"/>
    <w:rsid w:val="00EB0010"/>
    <w:rsid w:val="00ED1B0F"/>
    <w:rsid w:val="00EE677E"/>
    <w:rsid w:val="00EF4E3C"/>
    <w:rsid w:val="00F0534D"/>
    <w:rsid w:val="00F062FC"/>
    <w:rsid w:val="00F15BFB"/>
    <w:rsid w:val="00F15C3E"/>
    <w:rsid w:val="00F21212"/>
    <w:rsid w:val="00F2751D"/>
    <w:rsid w:val="00F30BF7"/>
    <w:rsid w:val="00F42240"/>
    <w:rsid w:val="00F47271"/>
    <w:rsid w:val="00F60FA2"/>
    <w:rsid w:val="00F653A8"/>
    <w:rsid w:val="00F71F9B"/>
    <w:rsid w:val="00F76663"/>
    <w:rsid w:val="00F9473D"/>
    <w:rsid w:val="00F9723D"/>
    <w:rsid w:val="00FA2350"/>
    <w:rsid w:val="00FA24F7"/>
    <w:rsid w:val="00FA28A5"/>
    <w:rsid w:val="00FC516D"/>
    <w:rsid w:val="00FC679D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F0DEC"/>
  <w15:docId w15:val="{DD8B0723-2F39-3A43-83A2-F7492D1B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4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37473"/>
  </w:style>
  <w:style w:type="character" w:customStyle="1" w:styleId="CommentTextChar">
    <w:name w:val="Comment Text Char"/>
    <w:basedOn w:val="DefaultParagraphFont"/>
    <w:link w:val="CommentText"/>
    <w:uiPriority w:val="99"/>
    <w:rsid w:val="00C374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A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31683"/>
    <w:pPr>
      <w:framePr w:hSpace="180" w:wrap="around" w:vAnchor="text" w:hAnchor="margin" w:xAlign="center" w:y="109"/>
      <w:jc w:val="center"/>
    </w:pPr>
    <w:rPr>
      <w:rFonts w:ascii="Calibri" w:hAnsi="Calibri" w:cs="Calibri"/>
      <w:sz w:val="16"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E31683"/>
    <w:rPr>
      <w:rFonts w:ascii="Calibri" w:hAnsi="Calibri" w:cs="Calibri"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1683"/>
    <w:pPr>
      <w:framePr w:hSpace="180" w:wrap="around" w:vAnchor="text" w:hAnchor="margin" w:xAlign="center" w:y="109"/>
    </w:pPr>
    <w:rPr>
      <w:rFonts w:ascii="Calibri" w:hAnsi="Calibri" w:cs="Calibri"/>
      <w:sz w:val="16"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E31683"/>
    <w:rPr>
      <w:rFonts w:ascii="Calibri" w:hAnsi="Calibri" w:cs="Calibri"/>
      <w:sz w:val="16"/>
      <w:lang w:val="en-US"/>
    </w:rPr>
  </w:style>
  <w:style w:type="table" w:styleId="TableGrid">
    <w:name w:val="Table Grid"/>
    <w:basedOn w:val="TableNormal"/>
    <w:uiPriority w:val="39"/>
    <w:rsid w:val="009B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2" ma:contentTypeDescription="Create a new document." ma:contentTypeScope="" ma:versionID="0c142dd3302158e7d4bb5ab8a2f9b46a">
  <xsd:schema xmlns:xsd="http://www.w3.org/2001/XMLSchema" xmlns:xs="http://www.w3.org/2001/XMLSchema" xmlns:p="http://schemas.microsoft.com/office/2006/metadata/properties" xmlns:ns1="http://schemas.microsoft.com/sharepoint/v3" xmlns:ns3="176a5d19-4356-4fd8-a5bf-970fe0582d74" targetNamespace="http://schemas.microsoft.com/office/2006/metadata/properties" ma:root="true" ma:fieldsID="d8858bedcd11e0a3139b4d0e322d19e8" ns1:_="" ns3:_="">
    <xsd:import namespace="http://schemas.microsoft.com/sharepoint/v3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C8AA80-8C03-41B0-AC58-043978AC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116CE-3A0C-47E8-9C1E-BCBBB1698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091B0-B5DA-44C4-98F0-A637591521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0FBE2A-F117-42AA-B18E-8F8D3DB1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Taylor</dc:creator>
  <cp:lastModifiedBy>Brosky, Kevin</cp:lastModifiedBy>
  <cp:revision>2</cp:revision>
  <dcterms:created xsi:type="dcterms:W3CDTF">2021-02-15T22:39:00Z</dcterms:created>
  <dcterms:modified xsi:type="dcterms:W3CDTF">2021-02-15T22:39:00Z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