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62" w:rsidRPr="00E046F5" w:rsidRDefault="000F5262" w:rsidP="000F5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5">
        <w:rPr>
          <w:rFonts w:ascii="Times New Roman" w:hAnsi="Times New Roman" w:cs="Times New Roman"/>
          <w:b/>
          <w:sz w:val="24"/>
          <w:szCs w:val="24"/>
        </w:rPr>
        <w:t>Appendix:  Supplemental Digital Content 1</w:t>
      </w:r>
    </w:p>
    <w:p w:rsidR="000F5262" w:rsidRPr="00E046F5" w:rsidRDefault="000F5262" w:rsidP="00E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5">
        <w:rPr>
          <w:rFonts w:ascii="Times New Roman" w:hAnsi="Times New Roman" w:cs="Times New Roman"/>
          <w:b/>
          <w:sz w:val="24"/>
          <w:szCs w:val="24"/>
        </w:rPr>
        <w:t>Stranger Touch DNA Form Developed by Forensic Nurses and Forensic Scientists</w:t>
      </w:r>
    </w:p>
    <w:p w:rsidR="000F5262" w:rsidRPr="00E046F5" w:rsidRDefault="000F5262" w:rsidP="00E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5">
        <w:rPr>
          <w:rFonts w:ascii="Times New Roman" w:hAnsi="Times New Roman" w:cs="Times New Roman"/>
          <w:b/>
          <w:sz w:val="24"/>
          <w:szCs w:val="24"/>
        </w:rPr>
        <w:t>Utah Bureau of Forensic Services, Utah Department of Public Safety, 2014</w:t>
      </w:r>
    </w:p>
    <w:p w:rsidR="000F5262" w:rsidRDefault="000F5262">
      <w:bookmarkStart w:id="0" w:name="_GoBack"/>
      <w:r>
        <w:rPr>
          <w:noProof/>
        </w:rPr>
        <w:drawing>
          <wp:inline distT="0" distB="0" distL="0" distR="0" wp14:anchorId="2E383245">
            <wp:extent cx="5596890" cy="71024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710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F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62"/>
    <w:rsid w:val="000F5262"/>
    <w:rsid w:val="00982CB3"/>
    <w:rsid w:val="00E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15B8-F098-4B95-AE84-ED1ADC95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2021-02-07T20:12:00Z</dcterms:created>
  <dcterms:modified xsi:type="dcterms:W3CDTF">2021-02-07T20:24:00Z</dcterms:modified>
</cp:coreProperties>
</file>