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F2" w:rsidRPr="00425B15" w:rsidRDefault="005B1FF2" w:rsidP="005B1FF2">
      <w:pPr>
        <w:spacing w:after="0" w:line="480" w:lineRule="auto"/>
        <w:rPr>
          <w:rFonts w:ascii="Times New Roman" w:hAnsi="Times New Roman"/>
          <w:sz w:val="24"/>
          <w:szCs w:val="24"/>
        </w:rPr>
      </w:pPr>
      <w:r w:rsidRPr="00425B15">
        <w:rPr>
          <w:rFonts w:ascii="Times New Roman" w:hAnsi="Times New Roman"/>
          <w:b/>
          <w:sz w:val="24"/>
          <w:szCs w:val="24"/>
        </w:rPr>
        <w:t>Clinical Implementation Model</w:t>
      </w:r>
    </w:p>
    <w:p w:rsidR="005B1FF2" w:rsidRDefault="005B1FF2" w:rsidP="005B1FF2">
      <w:pPr>
        <w:spacing w:after="0" w:line="480" w:lineRule="auto"/>
        <w:rPr>
          <w:rFonts w:ascii="Times New Roman" w:hAnsi="Times New Roman"/>
          <w:sz w:val="24"/>
          <w:szCs w:val="24"/>
        </w:rPr>
      </w:pPr>
      <w:r>
        <w:rPr>
          <w:rFonts w:ascii="Times New Roman" w:hAnsi="Times New Roman"/>
          <w:sz w:val="24"/>
          <w:szCs w:val="24"/>
        </w:rPr>
        <w:t xml:space="preserve">     </w:t>
      </w:r>
      <w:r w:rsidR="004C414E">
        <w:rPr>
          <w:rFonts w:ascii="Times New Roman" w:hAnsi="Times New Roman"/>
          <w:sz w:val="24"/>
          <w:szCs w:val="24"/>
        </w:rPr>
        <w:t>Here</w:t>
      </w:r>
      <w:r w:rsidRPr="00425B15">
        <w:rPr>
          <w:rFonts w:ascii="Times New Roman" w:hAnsi="Times New Roman"/>
          <w:sz w:val="24"/>
          <w:szCs w:val="24"/>
        </w:rPr>
        <w:t>, we highlight the intervention evaluated in one treatment</w:t>
      </w:r>
      <w:r>
        <w:rPr>
          <w:rFonts w:ascii="Times New Roman" w:hAnsi="Times New Roman"/>
          <w:sz w:val="24"/>
          <w:szCs w:val="24"/>
        </w:rPr>
        <w:t xml:space="preserve"> </w:t>
      </w:r>
      <w:r w:rsidRPr="003E20B4">
        <w:rPr>
          <w:rFonts w:ascii="Times New Roman" w:hAnsi="Times New Roman"/>
          <w:sz w:val="24"/>
          <w:szCs w:val="24"/>
        </w:rPr>
        <w:t xml:space="preserve">article </w:t>
      </w:r>
      <w:r>
        <w:rPr>
          <w:rFonts w:ascii="Times New Roman" w:hAnsi="Times New Roman"/>
          <w:sz w:val="24"/>
          <w:szCs w:val="24"/>
        </w:rPr>
        <w:t>to illustrate</w:t>
      </w:r>
      <w:r w:rsidRPr="003E20B4">
        <w:rPr>
          <w:rFonts w:ascii="Times New Roman" w:hAnsi="Times New Roman"/>
          <w:sz w:val="24"/>
          <w:szCs w:val="24"/>
        </w:rPr>
        <w:t xml:space="preserve"> clinical implementation of internal memory strategies as a memory management approach. We sel</w:t>
      </w:r>
      <w:r>
        <w:rPr>
          <w:rFonts w:ascii="Times New Roman" w:hAnsi="Times New Roman"/>
          <w:sz w:val="24"/>
          <w:szCs w:val="24"/>
        </w:rPr>
        <w:t>ected the paper by O’Neil-Pirozzi and colleagues</w:t>
      </w:r>
      <w:r w:rsidR="00E95036" w:rsidRPr="00472570">
        <w:rPr>
          <w:rFonts w:ascii="Times New Roman" w:hAnsi="Times New Roman"/>
          <w:color w:val="000000"/>
          <w:sz w:val="24"/>
          <w:szCs w:val="24"/>
          <w:vertAlign w:val="superscript"/>
        </w:rPr>
        <w:t>20</w:t>
      </w:r>
      <w:r w:rsidRPr="003E20B4">
        <w:rPr>
          <w:rFonts w:ascii="Times New Roman" w:hAnsi="Times New Roman"/>
          <w:sz w:val="24"/>
          <w:szCs w:val="24"/>
        </w:rPr>
        <w:t xml:space="preserve"> because it received </w:t>
      </w:r>
      <w:r>
        <w:rPr>
          <w:rFonts w:ascii="Times New Roman" w:hAnsi="Times New Roman"/>
          <w:sz w:val="24"/>
          <w:szCs w:val="24"/>
        </w:rPr>
        <w:t xml:space="preserve">one of the </w:t>
      </w:r>
      <w:r w:rsidRPr="003E20B4">
        <w:rPr>
          <w:rFonts w:ascii="Times New Roman" w:hAnsi="Times New Roman"/>
          <w:sz w:val="24"/>
          <w:szCs w:val="24"/>
        </w:rPr>
        <w:t>high</w:t>
      </w:r>
      <w:r>
        <w:rPr>
          <w:rFonts w:ascii="Times New Roman" w:hAnsi="Times New Roman"/>
          <w:sz w:val="24"/>
          <w:szCs w:val="24"/>
        </w:rPr>
        <w:t>est</w:t>
      </w:r>
      <w:r w:rsidRPr="003E20B4">
        <w:rPr>
          <w:rFonts w:ascii="Times New Roman" w:hAnsi="Times New Roman"/>
          <w:sz w:val="24"/>
          <w:szCs w:val="24"/>
        </w:rPr>
        <w:t xml:space="preserve"> methodology quality rating</w:t>
      </w:r>
      <w:r>
        <w:rPr>
          <w:rFonts w:ascii="Times New Roman" w:hAnsi="Times New Roman"/>
          <w:sz w:val="24"/>
          <w:szCs w:val="24"/>
        </w:rPr>
        <w:t>s out</w:t>
      </w:r>
      <w:r w:rsidRPr="003E20B4">
        <w:rPr>
          <w:rFonts w:ascii="Times New Roman" w:hAnsi="Times New Roman"/>
          <w:sz w:val="24"/>
          <w:szCs w:val="24"/>
        </w:rPr>
        <w:t xml:space="preserve"> of the </w:t>
      </w:r>
      <w:r w:rsidR="00E95036" w:rsidRPr="00472570">
        <w:rPr>
          <w:rFonts w:ascii="Times New Roman" w:hAnsi="Times New Roman"/>
          <w:sz w:val="24"/>
          <w:szCs w:val="24"/>
        </w:rPr>
        <w:t>46</w:t>
      </w:r>
      <w:r w:rsidRPr="003E20B4">
        <w:rPr>
          <w:rFonts w:ascii="Times New Roman" w:hAnsi="Times New Roman"/>
          <w:sz w:val="24"/>
          <w:szCs w:val="24"/>
        </w:rPr>
        <w:t xml:space="preserve"> studies reviewed in this paper and embodied a key practice guideline supported by the literature, the use of systematic instruction to teach internal memory strategies. The study also evaluated the effects of the training with participants who had a range of severity of injuries and cognitive impairments. What was lacking in this article was the use of patient-centered functional outcomes to</w:t>
      </w:r>
      <w:r>
        <w:rPr>
          <w:rFonts w:ascii="Times New Roman" w:hAnsi="Times New Roman"/>
          <w:sz w:val="24"/>
          <w:szCs w:val="24"/>
        </w:rPr>
        <w:t xml:space="preserve"> measure efficacy. Suggestions we</w:t>
      </w:r>
      <w:r w:rsidRPr="003E20B4">
        <w:rPr>
          <w:rFonts w:ascii="Times New Roman" w:hAnsi="Times New Roman"/>
          <w:sz w:val="24"/>
          <w:szCs w:val="24"/>
        </w:rPr>
        <w:t xml:space="preserve">re drawn from other articles that employed less </w:t>
      </w:r>
      <w:r>
        <w:rPr>
          <w:rFonts w:ascii="Times New Roman" w:hAnsi="Times New Roman"/>
          <w:sz w:val="24"/>
          <w:szCs w:val="24"/>
        </w:rPr>
        <w:t>robust experimental methodology</w:t>
      </w:r>
      <w:r w:rsidRPr="003E20B4">
        <w:rPr>
          <w:rFonts w:ascii="Times New Roman" w:hAnsi="Times New Roman"/>
          <w:sz w:val="24"/>
          <w:szCs w:val="24"/>
        </w:rPr>
        <w:t xml:space="preserve"> but utilized functional </w:t>
      </w:r>
      <w:r w:rsidRPr="009106AB">
        <w:rPr>
          <w:rFonts w:ascii="Times New Roman" w:hAnsi="Times New Roman"/>
          <w:sz w:val="24"/>
          <w:szCs w:val="24"/>
        </w:rPr>
        <w:t>outcomes measures to demonstrate how clinicians might quantify meaningful changes.</w:t>
      </w:r>
    </w:p>
    <w:p w:rsidR="005B1FF2" w:rsidRPr="00955EBB" w:rsidRDefault="005B1FF2" w:rsidP="005B1FF2">
      <w:pPr>
        <w:spacing w:after="0" w:line="480" w:lineRule="auto"/>
        <w:rPr>
          <w:rFonts w:ascii="Times New Roman" w:hAnsi="Times New Roman"/>
          <w:i/>
          <w:sz w:val="24"/>
          <w:szCs w:val="24"/>
        </w:rPr>
      </w:pPr>
      <w:r w:rsidRPr="00955EBB">
        <w:rPr>
          <w:rFonts w:ascii="Times New Roman" w:hAnsi="Times New Roman"/>
          <w:b/>
          <w:i/>
          <w:sz w:val="24"/>
          <w:szCs w:val="24"/>
        </w:rPr>
        <w:t>Overview</w:t>
      </w:r>
    </w:p>
    <w:p w:rsidR="005B1FF2" w:rsidRPr="003E20B4" w:rsidRDefault="005B1FF2" w:rsidP="005B1FF2">
      <w:pPr>
        <w:spacing w:after="0" w:line="480" w:lineRule="auto"/>
        <w:rPr>
          <w:rFonts w:ascii="Times New Roman" w:hAnsi="Times New Roman"/>
          <w:sz w:val="24"/>
          <w:szCs w:val="24"/>
        </w:rPr>
      </w:pPr>
      <w:r>
        <w:rPr>
          <w:rFonts w:ascii="Times New Roman" w:hAnsi="Times New Roman"/>
          <w:sz w:val="24"/>
          <w:szCs w:val="24"/>
        </w:rPr>
        <w:t xml:space="preserve">     </w:t>
      </w:r>
      <w:r w:rsidRPr="003E20B4">
        <w:rPr>
          <w:rFonts w:ascii="Times New Roman" w:hAnsi="Times New Roman"/>
          <w:sz w:val="24"/>
          <w:szCs w:val="24"/>
        </w:rPr>
        <w:t>Our model study evaluated the effects of participation in a memory group intervention that trained 54 adults with traumatic brain injury to utilize internal memory strategies. These individuals participated in 12 weekly 90 minutes sessions in groups of 3-6 participants. The results of pre and post memory testing on two standardized measures, a list learning test (Hopkins Verbal Learning Tes</w:t>
      </w:r>
      <w:r w:rsidR="00E95036">
        <w:rPr>
          <w:rFonts w:ascii="Times New Roman" w:hAnsi="Times New Roman"/>
          <w:sz w:val="24"/>
          <w:szCs w:val="24"/>
        </w:rPr>
        <w:t>t</w:t>
      </w:r>
      <w:r w:rsidR="00E95036" w:rsidRPr="00472570">
        <w:rPr>
          <w:rFonts w:ascii="Times New Roman" w:hAnsi="Times New Roman"/>
          <w:color w:val="000000"/>
          <w:sz w:val="24"/>
          <w:szCs w:val="24"/>
          <w:vertAlign w:val="superscript"/>
        </w:rPr>
        <w:t>80</w:t>
      </w:r>
      <w:r w:rsidRPr="003E20B4">
        <w:rPr>
          <w:rFonts w:ascii="Times New Roman" w:hAnsi="Times New Roman"/>
          <w:sz w:val="24"/>
          <w:szCs w:val="24"/>
        </w:rPr>
        <w:t>) and an “everyday memory battery” (</w:t>
      </w:r>
      <w:proofErr w:type="spellStart"/>
      <w:r w:rsidRPr="003E20B4">
        <w:rPr>
          <w:rFonts w:ascii="Times New Roman" w:hAnsi="Times New Roman"/>
          <w:sz w:val="24"/>
          <w:szCs w:val="24"/>
        </w:rPr>
        <w:t>Rivermead</w:t>
      </w:r>
      <w:proofErr w:type="spellEnd"/>
      <w:r w:rsidRPr="003E20B4">
        <w:rPr>
          <w:rFonts w:ascii="Times New Roman" w:hAnsi="Times New Roman"/>
          <w:sz w:val="24"/>
          <w:szCs w:val="24"/>
        </w:rPr>
        <w:t xml:space="preserve"> Behavioral Memory Test</w:t>
      </w:r>
      <w:r w:rsidR="00E95036" w:rsidRPr="00472570">
        <w:rPr>
          <w:rFonts w:ascii="Times New Roman" w:hAnsi="Times New Roman"/>
          <w:color w:val="000000"/>
          <w:sz w:val="24"/>
          <w:szCs w:val="24"/>
          <w:vertAlign w:val="superscript"/>
        </w:rPr>
        <w:t>74</w:t>
      </w:r>
      <w:r w:rsidRPr="003E20B4">
        <w:rPr>
          <w:rFonts w:ascii="Times New Roman" w:hAnsi="Times New Roman"/>
          <w:sz w:val="24"/>
          <w:szCs w:val="24"/>
        </w:rPr>
        <w:t>) were compared to the results of a control group who did not receive the intervention. Participation in the memory group intervention was associated with improved performance immediately post-intervention, and improvements were maintained at one month. While severe injuries were associated with less improvement, changes were still significant and findings indicated that people with a range of injuries benefit from internal memory strategy training. Age and pre-injury education were not related to improvement</w:t>
      </w:r>
      <w:r>
        <w:rPr>
          <w:rFonts w:ascii="Times New Roman" w:hAnsi="Times New Roman"/>
          <w:sz w:val="24"/>
          <w:szCs w:val="24"/>
        </w:rPr>
        <w:t>.</w:t>
      </w:r>
    </w:p>
    <w:p w:rsidR="005B1FF2" w:rsidRPr="00955EBB" w:rsidRDefault="005B1FF2" w:rsidP="005B1FF2">
      <w:pPr>
        <w:spacing w:after="0" w:line="480" w:lineRule="auto"/>
        <w:rPr>
          <w:rFonts w:ascii="Times New Roman" w:hAnsi="Times New Roman"/>
          <w:b/>
          <w:i/>
          <w:sz w:val="24"/>
          <w:szCs w:val="24"/>
        </w:rPr>
      </w:pPr>
      <w:r>
        <w:rPr>
          <w:rFonts w:ascii="Times New Roman" w:hAnsi="Times New Roman"/>
          <w:b/>
          <w:i/>
          <w:sz w:val="24"/>
          <w:szCs w:val="24"/>
        </w:rPr>
        <w:lastRenderedPageBreak/>
        <w:t>Intervention d</w:t>
      </w:r>
      <w:r w:rsidRPr="00955EBB">
        <w:rPr>
          <w:rFonts w:ascii="Times New Roman" w:hAnsi="Times New Roman"/>
          <w:b/>
          <w:i/>
          <w:sz w:val="24"/>
          <w:szCs w:val="24"/>
        </w:rPr>
        <w:t>escription</w:t>
      </w:r>
    </w:p>
    <w:p w:rsidR="005B1FF2" w:rsidRPr="003E20B4" w:rsidRDefault="005B1FF2" w:rsidP="005B1FF2">
      <w:pPr>
        <w:spacing w:after="0" w:line="480" w:lineRule="auto"/>
        <w:rPr>
          <w:rFonts w:ascii="Times New Roman" w:hAnsi="Times New Roman"/>
          <w:sz w:val="24"/>
          <w:szCs w:val="24"/>
        </w:rPr>
      </w:pPr>
      <w:r>
        <w:rPr>
          <w:rFonts w:ascii="Times New Roman" w:hAnsi="Times New Roman"/>
          <w:sz w:val="24"/>
          <w:szCs w:val="24"/>
        </w:rPr>
        <w:t xml:space="preserve">     </w:t>
      </w:r>
      <w:r w:rsidRPr="003E20B4">
        <w:rPr>
          <w:rFonts w:ascii="Times New Roman" w:hAnsi="Times New Roman"/>
          <w:sz w:val="24"/>
          <w:szCs w:val="24"/>
        </w:rPr>
        <w:t>The group treatment began with memory education and a specific review of how internal memory strategies can improve encoding, storage</w:t>
      </w:r>
      <w:r>
        <w:rPr>
          <w:rFonts w:ascii="Times New Roman" w:hAnsi="Times New Roman"/>
          <w:sz w:val="24"/>
          <w:szCs w:val="24"/>
        </w:rPr>
        <w:t>,</w:t>
      </w:r>
      <w:r w:rsidRPr="003E20B4">
        <w:rPr>
          <w:rFonts w:ascii="Times New Roman" w:hAnsi="Times New Roman"/>
          <w:sz w:val="24"/>
          <w:szCs w:val="24"/>
        </w:rPr>
        <w:t xml:space="preserve"> and retrieval. Internal memory strategies were presented as complimentary to any external aids that participants may have been using. </w:t>
      </w:r>
      <w:r>
        <w:rPr>
          <w:rFonts w:ascii="Times New Roman" w:hAnsi="Times New Roman"/>
          <w:sz w:val="24"/>
          <w:szCs w:val="24"/>
        </w:rPr>
        <w:t>C</w:t>
      </w:r>
      <w:r w:rsidRPr="003E20B4">
        <w:rPr>
          <w:rFonts w:ascii="Times New Roman" w:hAnsi="Times New Roman"/>
          <w:sz w:val="24"/>
          <w:szCs w:val="24"/>
        </w:rPr>
        <w:t>ontent of the</w:t>
      </w:r>
      <w:r>
        <w:rPr>
          <w:rFonts w:ascii="Times New Roman" w:hAnsi="Times New Roman"/>
          <w:sz w:val="24"/>
          <w:szCs w:val="24"/>
        </w:rPr>
        <w:t xml:space="preserve"> memory group included</w:t>
      </w:r>
      <w:r w:rsidRPr="003E20B4">
        <w:rPr>
          <w:rFonts w:ascii="Times New Roman" w:hAnsi="Times New Roman"/>
          <w:sz w:val="24"/>
          <w:szCs w:val="24"/>
        </w:rPr>
        <w:t>:</w:t>
      </w:r>
      <w:r>
        <w:rPr>
          <w:rFonts w:ascii="Times New Roman" w:hAnsi="Times New Roman"/>
          <w:sz w:val="24"/>
          <w:szCs w:val="24"/>
        </w:rPr>
        <w:t xml:space="preserve"> (1) e</w:t>
      </w:r>
      <w:r w:rsidRPr="003E20B4">
        <w:rPr>
          <w:rFonts w:ascii="Times New Roman" w:hAnsi="Times New Roman"/>
          <w:sz w:val="24"/>
          <w:szCs w:val="24"/>
        </w:rPr>
        <w:t>ducation regarding memory function and strategies</w:t>
      </w:r>
      <w:r>
        <w:rPr>
          <w:rFonts w:ascii="Times New Roman" w:hAnsi="Times New Roman"/>
          <w:sz w:val="24"/>
          <w:szCs w:val="24"/>
        </w:rPr>
        <w:t>; (2) p</w:t>
      </w:r>
      <w:r w:rsidRPr="003E20B4">
        <w:rPr>
          <w:rFonts w:ascii="Times New Roman" w:hAnsi="Times New Roman"/>
          <w:sz w:val="24"/>
          <w:szCs w:val="24"/>
        </w:rPr>
        <w:t>articipants’ reflection regarding their memory function and use of strategies</w:t>
      </w:r>
      <w:r>
        <w:rPr>
          <w:rFonts w:ascii="Times New Roman" w:hAnsi="Times New Roman"/>
          <w:sz w:val="24"/>
          <w:szCs w:val="24"/>
        </w:rPr>
        <w:t>; (3) e</w:t>
      </w:r>
      <w:r w:rsidRPr="003E20B4">
        <w:rPr>
          <w:rFonts w:ascii="Times New Roman" w:hAnsi="Times New Roman"/>
          <w:sz w:val="24"/>
          <w:szCs w:val="24"/>
        </w:rPr>
        <w:t xml:space="preserve">ducation </w:t>
      </w:r>
      <w:r>
        <w:rPr>
          <w:rFonts w:ascii="Times New Roman" w:hAnsi="Times New Roman"/>
          <w:sz w:val="24"/>
          <w:szCs w:val="24"/>
        </w:rPr>
        <w:t xml:space="preserve">about </w:t>
      </w:r>
      <w:r w:rsidRPr="003E20B4">
        <w:rPr>
          <w:rFonts w:ascii="Times New Roman" w:hAnsi="Times New Roman"/>
          <w:sz w:val="24"/>
          <w:szCs w:val="24"/>
        </w:rPr>
        <w:t>and practice</w:t>
      </w:r>
      <w:r>
        <w:rPr>
          <w:rFonts w:ascii="Times New Roman" w:hAnsi="Times New Roman"/>
          <w:sz w:val="24"/>
          <w:szCs w:val="24"/>
        </w:rPr>
        <w:t xml:space="preserve"> with</w:t>
      </w:r>
      <w:r w:rsidRPr="003E20B4">
        <w:rPr>
          <w:rFonts w:ascii="Times New Roman" w:hAnsi="Times New Roman"/>
          <w:sz w:val="24"/>
          <w:szCs w:val="24"/>
        </w:rPr>
        <w:t xml:space="preserve"> (via structured and functional activities) internal memory strategies and their use to facilitate encoding, storage, and retrieval</w:t>
      </w:r>
      <w:r>
        <w:rPr>
          <w:rFonts w:ascii="Times New Roman" w:hAnsi="Times New Roman"/>
          <w:sz w:val="24"/>
          <w:szCs w:val="24"/>
        </w:rPr>
        <w:t>; and (4) e</w:t>
      </w:r>
      <w:r w:rsidRPr="003E20B4">
        <w:rPr>
          <w:rFonts w:ascii="Times New Roman" w:hAnsi="Times New Roman"/>
          <w:sz w:val="24"/>
          <w:szCs w:val="24"/>
        </w:rPr>
        <w:t>ducation and practice regarding influences on memory function and when things go wrong</w:t>
      </w:r>
      <w:r>
        <w:rPr>
          <w:rFonts w:ascii="Times New Roman" w:hAnsi="Times New Roman"/>
          <w:sz w:val="24"/>
          <w:szCs w:val="24"/>
        </w:rPr>
        <w:t>.</w:t>
      </w:r>
    </w:p>
    <w:p w:rsidR="005B1FF2" w:rsidRPr="003E20B4" w:rsidRDefault="005B1FF2" w:rsidP="005B1FF2">
      <w:pPr>
        <w:widowControl w:val="0"/>
        <w:autoSpaceDE w:val="0"/>
        <w:autoSpaceDN w:val="0"/>
        <w:adjustRightInd w:val="0"/>
        <w:spacing w:after="0" w:line="480" w:lineRule="auto"/>
        <w:rPr>
          <w:rFonts w:ascii="Times New Roman" w:hAnsi="Times New Roman"/>
          <w:color w:val="0A0905"/>
          <w:sz w:val="24"/>
          <w:szCs w:val="24"/>
        </w:rPr>
      </w:pPr>
      <w:r>
        <w:rPr>
          <w:rFonts w:ascii="Times New Roman" w:hAnsi="Times New Roman"/>
          <w:sz w:val="24"/>
          <w:szCs w:val="24"/>
        </w:rPr>
        <w:t>Thus,</w:t>
      </w:r>
      <w:r w:rsidRPr="003E20B4">
        <w:rPr>
          <w:rFonts w:ascii="Times New Roman" w:hAnsi="Times New Roman"/>
          <w:sz w:val="24"/>
          <w:szCs w:val="24"/>
        </w:rPr>
        <w:t xml:space="preserve"> content of the memory groups thus included specific factual content about memory and strategies</w:t>
      </w:r>
      <w:r>
        <w:rPr>
          <w:rFonts w:ascii="Times New Roman" w:hAnsi="Times New Roman"/>
          <w:sz w:val="24"/>
          <w:szCs w:val="24"/>
        </w:rPr>
        <w:t>,</w:t>
      </w:r>
      <w:r w:rsidRPr="003E20B4">
        <w:rPr>
          <w:rFonts w:ascii="Times New Roman" w:hAnsi="Times New Roman"/>
          <w:sz w:val="24"/>
          <w:szCs w:val="24"/>
        </w:rPr>
        <w:t xml:space="preserve"> as well as procedural information</w:t>
      </w:r>
      <w:r>
        <w:rPr>
          <w:rFonts w:ascii="Times New Roman" w:hAnsi="Times New Roman"/>
          <w:sz w:val="24"/>
          <w:szCs w:val="24"/>
        </w:rPr>
        <w:t xml:space="preserve"> and practice</w:t>
      </w:r>
      <w:r w:rsidRPr="003E20B4">
        <w:rPr>
          <w:rFonts w:ascii="Times New Roman" w:hAnsi="Times New Roman"/>
          <w:sz w:val="24"/>
          <w:szCs w:val="24"/>
        </w:rPr>
        <w:t xml:space="preserve">. </w:t>
      </w:r>
      <w:r>
        <w:rPr>
          <w:rFonts w:ascii="Times New Roman" w:hAnsi="Times New Roman"/>
          <w:color w:val="0A0905"/>
          <w:sz w:val="24"/>
          <w:szCs w:val="24"/>
        </w:rPr>
        <w:t>S</w:t>
      </w:r>
      <w:r w:rsidRPr="003E20B4">
        <w:rPr>
          <w:rFonts w:ascii="Times New Roman" w:hAnsi="Times New Roman"/>
          <w:color w:val="0A0905"/>
          <w:sz w:val="24"/>
          <w:szCs w:val="24"/>
        </w:rPr>
        <w:t>emantic association (i.e., categorization and clustering)</w:t>
      </w:r>
      <w:r>
        <w:rPr>
          <w:rFonts w:ascii="Times New Roman" w:hAnsi="Times New Roman"/>
          <w:color w:val="0A0905"/>
          <w:sz w:val="24"/>
          <w:szCs w:val="24"/>
        </w:rPr>
        <w:t xml:space="preserve"> was emphasized the most, followed by s</w:t>
      </w:r>
      <w:r w:rsidRPr="003E20B4">
        <w:rPr>
          <w:rFonts w:ascii="Times New Roman" w:hAnsi="Times New Roman"/>
          <w:color w:val="0A0905"/>
          <w:sz w:val="24"/>
          <w:szCs w:val="24"/>
        </w:rPr>
        <w:t>emantic elaboration/chaining, and imagery.</w:t>
      </w:r>
    </w:p>
    <w:p w:rsidR="005B1FF2" w:rsidRPr="003E20B4" w:rsidRDefault="005B1FF2" w:rsidP="005B1FF2">
      <w:pPr>
        <w:widowControl w:val="0"/>
        <w:autoSpaceDE w:val="0"/>
        <w:autoSpaceDN w:val="0"/>
        <w:adjustRightInd w:val="0"/>
        <w:spacing w:after="0" w:line="480" w:lineRule="auto"/>
        <w:rPr>
          <w:rFonts w:ascii="Times New Roman" w:hAnsi="Times New Roman"/>
          <w:color w:val="0A0905"/>
          <w:sz w:val="24"/>
          <w:szCs w:val="24"/>
        </w:rPr>
      </w:pPr>
      <w:r>
        <w:rPr>
          <w:rFonts w:ascii="Times New Roman" w:hAnsi="Times New Roman"/>
          <w:sz w:val="24"/>
          <w:szCs w:val="24"/>
        </w:rPr>
        <w:t xml:space="preserve">     The instructional approach in this study consisted of </w:t>
      </w:r>
      <w:r w:rsidRPr="003E20B4">
        <w:rPr>
          <w:rFonts w:ascii="Times New Roman" w:hAnsi="Times New Roman"/>
          <w:sz w:val="24"/>
          <w:szCs w:val="24"/>
        </w:rPr>
        <w:t xml:space="preserve">three specific phases and moved from an emphasis on </w:t>
      </w:r>
      <w:r w:rsidRPr="003E20B4">
        <w:rPr>
          <w:rFonts w:ascii="Times New Roman" w:hAnsi="Times New Roman"/>
          <w:i/>
          <w:sz w:val="24"/>
          <w:szCs w:val="24"/>
        </w:rPr>
        <w:t>acquisition</w:t>
      </w:r>
      <w:r w:rsidRPr="003E20B4">
        <w:rPr>
          <w:rFonts w:ascii="Times New Roman" w:hAnsi="Times New Roman"/>
          <w:sz w:val="24"/>
          <w:szCs w:val="24"/>
        </w:rPr>
        <w:t xml:space="preserve"> (understanding definition and type of strategies), to </w:t>
      </w:r>
      <w:r w:rsidRPr="003E20B4">
        <w:rPr>
          <w:rFonts w:ascii="Times New Roman" w:hAnsi="Times New Roman"/>
          <w:i/>
          <w:sz w:val="24"/>
          <w:szCs w:val="24"/>
        </w:rPr>
        <w:t>application</w:t>
      </w:r>
      <w:r w:rsidRPr="003E20B4">
        <w:rPr>
          <w:rFonts w:ascii="Times New Roman" w:hAnsi="Times New Roman"/>
          <w:sz w:val="24"/>
          <w:szCs w:val="24"/>
        </w:rPr>
        <w:t xml:space="preserve"> (practice using strategies with peer and facilitator feedback) and </w:t>
      </w:r>
      <w:r w:rsidRPr="003E20B4">
        <w:rPr>
          <w:rFonts w:ascii="Times New Roman" w:hAnsi="Times New Roman"/>
          <w:i/>
          <w:sz w:val="24"/>
          <w:szCs w:val="24"/>
        </w:rPr>
        <w:t xml:space="preserve">adaptation </w:t>
      </w:r>
      <w:r>
        <w:rPr>
          <w:rFonts w:ascii="Times New Roman" w:hAnsi="Times New Roman"/>
          <w:sz w:val="24"/>
          <w:szCs w:val="24"/>
        </w:rPr>
        <w:t>(strategy use</w:t>
      </w:r>
      <w:r w:rsidRPr="003E20B4">
        <w:rPr>
          <w:rFonts w:ascii="Times New Roman" w:hAnsi="Times New Roman"/>
          <w:sz w:val="24"/>
          <w:szCs w:val="24"/>
        </w:rPr>
        <w:t xml:space="preserve"> </w:t>
      </w:r>
      <w:r>
        <w:rPr>
          <w:rFonts w:ascii="Times New Roman" w:hAnsi="Times New Roman"/>
          <w:sz w:val="24"/>
          <w:szCs w:val="24"/>
        </w:rPr>
        <w:t xml:space="preserve">in functional settings with </w:t>
      </w:r>
      <w:r w:rsidRPr="003E20B4">
        <w:rPr>
          <w:rFonts w:ascii="Times New Roman" w:hAnsi="Times New Roman"/>
          <w:sz w:val="24"/>
          <w:szCs w:val="24"/>
        </w:rPr>
        <w:t>discussion of str</w:t>
      </w:r>
      <w:r>
        <w:rPr>
          <w:rFonts w:ascii="Times New Roman" w:hAnsi="Times New Roman"/>
          <w:sz w:val="24"/>
          <w:szCs w:val="24"/>
        </w:rPr>
        <w:t>ategy use</w:t>
      </w:r>
      <w:r w:rsidRPr="003E20B4">
        <w:rPr>
          <w:rFonts w:ascii="Times New Roman" w:hAnsi="Times New Roman"/>
          <w:sz w:val="24"/>
          <w:szCs w:val="24"/>
        </w:rPr>
        <w:t xml:space="preserve">). </w:t>
      </w:r>
      <w:r>
        <w:rPr>
          <w:rFonts w:ascii="Times New Roman" w:hAnsi="Times New Roman"/>
          <w:sz w:val="24"/>
          <w:szCs w:val="24"/>
        </w:rPr>
        <w:t xml:space="preserve">Error </w:t>
      </w:r>
      <w:r w:rsidRPr="003E20B4">
        <w:rPr>
          <w:rFonts w:ascii="Times New Roman" w:hAnsi="Times New Roman"/>
          <w:sz w:val="24"/>
          <w:szCs w:val="24"/>
        </w:rPr>
        <w:t>free learning</w:t>
      </w:r>
      <w:r>
        <w:rPr>
          <w:rFonts w:ascii="Times New Roman" w:hAnsi="Times New Roman"/>
          <w:sz w:val="24"/>
          <w:szCs w:val="24"/>
        </w:rPr>
        <w:t xml:space="preserve"> occurred</w:t>
      </w:r>
      <w:r w:rsidRPr="003E20B4">
        <w:rPr>
          <w:rFonts w:ascii="Times New Roman" w:hAnsi="Times New Roman"/>
          <w:sz w:val="24"/>
          <w:szCs w:val="24"/>
        </w:rPr>
        <w:t xml:space="preserve"> that minimized errors when first learning the strategies by fading the cues only after the person was able to do the strategy accurately. Instruction also included a metacognitive emphasis</w:t>
      </w:r>
      <w:r>
        <w:rPr>
          <w:rFonts w:ascii="Times New Roman" w:hAnsi="Times New Roman"/>
          <w:sz w:val="24"/>
          <w:szCs w:val="24"/>
        </w:rPr>
        <w:t xml:space="preserve"> in which participants evaluated </w:t>
      </w:r>
      <w:r w:rsidRPr="003E20B4">
        <w:rPr>
          <w:rFonts w:ascii="Times New Roman" w:hAnsi="Times New Roman"/>
          <w:color w:val="0A0905"/>
          <w:sz w:val="24"/>
          <w:szCs w:val="24"/>
        </w:rPr>
        <w:t>both task-specific memory demands and their memory ability and then used these strategies to maximize their performance.</w:t>
      </w:r>
    </w:p>
    <w:p w:rsidR="005B1FF2" w:rsidRPr="003E20B4" w:rsidRDefault="005B1FF2" w:rsidP="005B1FF2">
      <w:pPr>
        <w:widowControl w:val="0"/>
        <w:autoSpaceDE w:val="0"/>
        <w:autoSpaceDN w:val="0"/>
        <w:adjustRightInd w:val="0"/>
        <w:spacing w:after="0" w:line="480" w:lineRule="auto"/>
        <w:rPr>
          <w:rFonts w:ascii="Times New Roman" w:hAnsi="Times New Roman"/>
          <w:color w:val="0A0905"/>
          <w:sz w:val="24"/>
          <w:szCs w:val="24"/>
        </w:rPr>
      </w:pPr>
      <w:r>
        <w:rPr>
          <w:rFonts w:ascii="Times New Roman" w:hAnsi="Times New Roman"/>
          <w:color w:val="0A0905"/>
          <w:sz w:val="24"/>
          <w:szCs w:val="24"/>
        </w:rPr>
        <w:t xml:space="preserve">     </w:t>
      </w:r>
      <w:r w:rsidRPr="003E20B4">
        <w:rPr>
          <w:rFonts w:ascii="Times New Roman" w:hAnsi="Times New Roman"/>
          <w:color w:val="0A0905"/>
          <w:sz w:val="24"/>
          <w:szCs w:val="24"/>
        </w:rPr>
        <w:t>An example of the instructional phases and specific instructional techniques applied to an actual participant illustrate</w:t>
      </w:r>
      <w:r>
        <w:rPr>
          <w:rFonts w:ascii="Times New Roman" w:hAnsi="Times New Roman"/>
          <w:color w:val="0A0905"/>
          <w:sz w:val="24"/>
          <w:szCs w:val="24"/>
        </w:rPr>
        <w:t>s</w:t>
      </w:r>
      <w:r w:rsidRPr="003E20B4">
        <w:rPr>
          <w:rFonts w:ascii="Times New Roman" w:hAnsi="Times New Roman"/>
          <w:color w:val="0A0905"/>
          <w:sz w:val="24"/>
          <w:szCs w:val="24"/>
        </w:rPr>
        <w:t xml:space="preserve"> the principles. Julia was an interior decorator who was motivated to </w:t>
      </w:r>
      <w:r w:rsidRPr="003E20B4">
        <w:rPr>
          <w:rFonts w:ascii="Times New Roman" w:hAnsi="Times New Roman"/>
          <w:color w:val="0A0905"/>
          <w:sz w:val="24"/>
          <w:szCs w:val="24"/>
        </w:rPr>
        <w:lastRenderedPageBreak/>
        <w:t xml:space="preserve">return to work </w:t>
      </w:r>
      <w:r>
        <w:rPr>
          <w:rFonts w:ascii="Times New Roman" w:hAnsi="Times New Roman"/>
          <w:color w:val="0A0905"/>
          <w:sz w:val="24"/>
          <w:szCs w:val="24"/>
        </w:rPr>
        <w:t>post-</w:t>
      </w:r>
      <w:r w:rsidRPr="003E20B4">
        <w:rPr>
          <w:rFonts w:ascii="Times New Roman" w:hAnsi="Times New Roman"/>
          <w:color w:val="0A0905"/>
          <w:sz w:val="24"/>
          <w:szCs w:val="24"/>
        </w:rPr>
        <w:t>injury</w:t>
      </w:r>
      <w:r>
        <w:rPr>
          <w:rFonts w:ascii="Times New Roman" w:hAnsi="Times New Roman"/>
          <w:color w:val="0A0905"/>
          <w:sz w:val="24"/>
          <w:szCs w:val="24"/>
        </w:rPr>
        <w:t>. During</w:t>
      </w:r>
      <w:r w:rsidRPr="003E20B4">
        <w:rPr>
          <w:rFonts w:ascii="Times New Roman" w:hAnsi="Times New Roman"/>
          <w:color w:val="0A0905"/>
          <w:sz w:val="24"/>
          <w:szCs w:val="24"/>
        </w:rPr>
        <w:t xml:space="preserve"> meta-memory education, Julia identified that she was having difficulty encoding job-related information.</w:t>
      </w:r>
      <w:r>
        <w:rPr>
          <w:rFonts w:ascii="Times New Roman" w:hAnsi="Times New Roman"/>
          <w:color w:val="0A0905"/>
          <w:sz w:val="24"/>
          <w:szCs w:val="24"/>
        </w:rPr>
        <w:t xml:space="preserve"> </w:t>
      </w:r>
      <w:r w:rsidRPr="003E20B4">
        <w:rPr>
          <w:rFonts w:ascii="Times New Roman" w:hAnsi="Times New Roman"/>
          <w:color w:val="0A0905"/>
          <w:sz w:val="24"/>
          <w:szCs w:val="24"/>
        </w:rPr>
        <w:t>Group instruction on defining semantic association facilitated Julia’s understanding of this strategy.</w:t>
      </w:r>
      <w:r>
        <w:rPr>
          <w:rFonts w:ascii="Times New Roman" w:hAnsi="Times New Roman"/>
          <w:color w:val="0A0905"/>
          <w:sz w:val="24"/>
          <w:szCs w:val="24"/>
        </w:rPr>
        <w:t xml:space="preserve"> For example, to help Julia encode her ongoing list of job tasks across multiple clients, she used the semantic category “rooms” and mastered associating job tasks per client by room (e.g., kitchen: appliances for Brown and tile for Smith; bathroom: fixtures for Williams). </w:t>
      </w:r>
      <w:r w:rsidRPr="003E20B4">
        <w:rPr>
          <w:rFonts w:ascii="Times New Roman" w:hAnsi="Times New Roman"/>
          <w:color w:val="0A0905"/>
          <w:sz w:val="24"/>
          <w:szCs w:val="24"/>
        </w:rPr>
        <w:t>Her completion of semantic association tasks, initially without memory demands and using work-related stimuli, facilitated her errorless acquisition of the semantic association strategy. Errorless learning was then introduced to gradually increase the memory-based encoding demands associated with continued completion of these tasks by successfully applying strategy use</w:t>
      </w:r>
      <w:r>
        <w:rPr>
          <w:rFonts w:ascii="Times New Roman" w:hAnsi="Times New Roman"/>
          <w:color w:val="0A0905"/>
          <w:sz w:val="24"/>
          <w:szCs w:val="24"/>
        </w:rPr>
        <w:t xml:space="preserve">. </w:t>
      </w:r>
      <w:r w:rsidRPr="003E20B4">
        <w:rPr>
          <w:rFonts w:ascii="Times New Roman" w:hAnsi="Times New Roman"/>
          <w:color w:val="0A0905"/>
          <w:sz w:val="24"/>
          <w:szCs w:val="24"/>
        </w:rPr>
        <w:t>Julia completed related homework assignments that she helped develop to further acquire, apply, and adapt strategy use</w:t>
      </w:r>
      <w:r>
        <w:rPr>
          <w:rFonts w:ascii="Times New Roman" w:hAnsi="Times New Roman"/>
          <w:color w:val="0A0905"/>
          <w:sz w:val="24"/>
          <w:szCs w:val="24"/>
        </w:rPr>
        <w:t xml:space="preserve">. </w:t>
      </w:r>
      <w:r w:rsidRPr="003E20B4">
        <w:rPr>
          <w:rFonts w:ascii="Times New Roman" w:hAnsi="Times New Roman"/>
          <w:color w:val="0A0905"/>
          <w:sz w:val="24"/>
          <w:szCs w:val="24"/>
        </w:rPr>
        <w:t>She reflected on her homework experience in subsequent sessions and</w:t>
      </w:r>
      <w:r>
        <w:rPr>
          <w:rFonts w:ascii="Times New Roman" w:hAnsi="Times New Roman"/>
          <w:color w:val="0A0905"/>
          <w:sz w:val="24"/>
          <w:szCs w:val="24"/>
        </w:rPr>
        <w:t xml:space="preserve"> </w:t>
      </w:r>
      <w:r w:rsidRPr="003E20B4">
        <w:rPr>
          <w:rFonts w:ascii="Times New Roman" w:hAnsi="Times New Roman"/>
          <w:color w:val="0A0905"/>
          <w:sz w:val="24"/>
          <w:szCs w:val="24"/>
        </w:rPr>
        <w:t>further refined her ongoing use of the strategy.</w:t>
      </w:r>
    </w:p>
    <w:p w:rsidR="005B1FF2" w:rsidRPr="00955EBB" w:rsidRDefault="005B1FF2" w:rsidP="005B1FF2">
      <w:pPr>
        <w:spacing w:after="0" w:line="480" w:lineRule="auto"/>
        <w:rPr>
          <w:rFonts w:ascii="Times New Roman" w:hAnsi="Times New Roman"/>
          <w:b/>
          <w:i/>
          <w:sz w:val="24"/>
          <w:szCs w:val="24"/>
        </w:rPr>
      </w:pPr>
      <w:r>
        <w:rPr>
          <w:rFonts w:ascii="Times New Roman" w:hAnsi="Times New Roman"/>
          <w:b/>
          <w:i/>
          <w:sz w:val="24"/>
          <w:szCs w:val="24"/>
        </w:rPr>
        <w:t>Measurement of treatment e</w:t>
      </w:r>
      <w:r w:rsidRPr="00955EBB">
        <w:rPr>
          <w:rFonts w:ascii="Times New Roman" w:hAnsi="Times New Roman"/>
          <w:b/>
          <w:i/>
          <w:sz w:val="24"/>
          <w:szCs w:val="24"/>
        </w:rPr>
        <w:t>ffects</w:t>
      </w:r>
    </w:p>
    <w:p w:rsidR="005B1FF2" w:rsidRPr="003E20B4" w:rsidRDefault="005B1FF2" w:rsidP="005B1FF2">
      <w:pPr>
        <w:spacing w:after="0" w:line="480" w:lineRule="auto"/>
        <w:rPr>
          <w:rFonts w:ascii="Times New Roman" w:hAnsi="Times New Roman"/>
          <w:sz w:val="24"/>
          <w:szCs w:val="24"/>
        </w:rPr>
      </w:pPr>
      <w:r>
        <w:rPr>
          <w:rFonts w:ascii="Times New Roman" w:hAnsi="Times New Roman"/>
          <w:sz w:val="24"/>
          <w:szCs w:val="24"/>
        </w:rPr>
        <w:t xml:space="preserve">     </w:t>
      </w:r>
      <w:r w:rsidRPr="003E20B4">
        <w:rPr>
          <w:rFonts w:ascii="Times New Roman" w:hAnsi="Times New Roman"/>
          <w:sz w:val="24"/>
          <w:szCs w:val="24"/>
        </w:rPr>
        <w:t>The participants in the memory strategy training group performed significantly better on standardized tests of list learning and a functional battery than those in the contr</w:t>
      </w:r>
      <w:r>
        <w:rPr>
          <w:rFonts w:ascii="Times New Roman" w:hAnsi="Times New Roman"/>
          <w:sz w:val="24"/>
          <w:szCs w:val="24"/>
        </w:rPr>
        <w:t>ol group.  T</w:t>
      </w:r>
      <w:r w:rsidRPr="003E20B4">
        <w:rPr>
          <w:rFonts w:ascii="Times New Roman" w:hAnsi="Times New Roman"/>
          <w:sz w:val="24"/>
          <w:szCs w:val="24"/>
        </w:rPr>
        <w:t>o measu</w:t>
      </w:r>
      <w:r>
        <w:rPr>
          <w:rFonts w:ascii="Times New Roman" w:hAnsi="Times New Roman"/>
          <w:sz w:val="24"/>
          <w:szCs w:val="24"/>
        </w:rPr>
        <w:t>re everyday functioning, researchers used</w:t>
      </w:r>
      <w:r w:rsidRPr="003E20B4">
        <w:rPr>
          <w:rFonts w:ascii="Times New Roman" w:hAnsi="Times New Roman"/>
          <w:sz w:val="24"/>
          <w:szCs w:val="24"/>
        </w:rPr>
        <w:t xml:space="preserve"> the RBMT</w:t>
      </w:r>
      <w:r w:rsidR="00E95036" w:rsidRPr="00472570">
        <w:rPr>
          <w:rFonts w:ascii="Times New Roman" w:hAnsi="Times New Roman"/>
          <w:color w:val="000000"/>
          <w:sz w:val="24"/>
          <w:szCs w:val="24"/>
          <w:vertAlign w:val="superscript"/>
        </w:rPr>
        <w:t>74</w:t>
      </w:r>
      <w:r>
        <w:rPr>
          <w:rFonts w:ascii="Times New Roman" w:hAnsi="Times New Roman"/>
          <w:sz w:val="24"/>
          <w:szCs w:val="24"/>
        </w:rPr>
        <w:t xml:space="preserve"> </w:t>
      </w:r>
      <w:r w:rsidRPr="003E20B4">
        <w:rPr>
          <w:rFonts w:ascii="Times New Roman" w:hAnsi="Times New Roman"/>
          <w:sz w:val="24"/>
          <w:szCs w:val="24"/>
        </w:rPr>
        <w:t>which contains some func</w:t>
      </w:r>
      <w:r>
        <w:rPr>
          <w:rFonts w:ascii="Times New Roman" w:hAnsi="Times New Roman"/>
          <w:sz w:val="24"/>
          <w:szCs w:val="24"/>
        </w:rPr>
        <w:t xml:space="preserve">tional memory subtests.  However, this </w:t>
      </w:r>
      <w:r w:rsidRPr="003E20B4">
        <w:rPr>
          <w:rFonts w:ascii="Times New Roman" w:hAnsi="Times New Roman"/>
          <w:sz w:val="24"/>
          <w:szCs w:val="24"/>
        </w:rPr>
        <w:t>standardized test is de-contextualized</w:t>
      </w:r>
      <w:r>
        <w:rPr>
          <w:rFonts w:ascii="Times New Roman" w:hAnsi="Times New Roman"/>
          <w:sz w:val="24"/>
          <w:szCs w:val="24"/>
        </w:rPr>
        <w:t>; thus,</w:t>
      </w:r>
      <w:r w:rsidRPr="003E20B4">
        <w:rPr>
          <w:rFonts w:ascii="Times New Roman" w:hAnsi="Times New Roman"/>
          <w:sz w:val="24"/>
          <w:szCs w:val="24"/>
        </w:rPr>
        <w:t xml:space="preserve"> there was not a measure of community or applied functioning. </w:t>
      </w:r>
    </w:p>
    <w:p w:rsidR="00C35848" w:rsidRDefault="005B1FF2" w:rsidP="005B1FF2">
      <w:pPr>
        <w:spacing w:line="480" w:lineRule="auto"/>
      </w:pPr>
      <w:r>
        <w:rPr>
          <w:rFonts w:ascii="Times New Roman" w:hAnsi="Times New Roman"/>
          <w:sz w:val="24"/>
          <w:szCs w:val="24"/>
        </w:rPr>
        <w:t xml:space="preserve">     </w:t>
      </w:r>
      <w:r w:rsidRPr="003E20B4">
        <w:rPr>
          <w:rFonts w:ascii="Times New Roman" w:hAnsi="Times New Roman"/>
          <w:sz w:val="24"/>
          <w:szCs w:val="24"/>
        </w:rPr>
        <w:t xml:space="preserve">The cognitive rehabilitation field has shifted in its recognition of patient-centered outcomes as the most important determiner of efficacy of an intervention approach. Examples of patient-centered outcomes include </w:t>
      </w:r>
      <w:r>
        <w:rPr>
          <w:rFonts w:ascii="Times New Roman" w:hAnsi="Times New Roman"/>
          <w:sz w:val="24"/>
          <w:szCs w:val="24"/>
        </w:rPr>
        <w:t>questionnaires and surveys that capture participant perceptions of memory function such as the</w:t>
      </w:r>
      <w:r w:rsidRPr="00175D22">
        <w:rPr>
          <w:rFonts w:ascii="Times New Roman" w:hAnsi="Times New Roman"/>
        </w:rPr>
        <w:t xml:space="preserve"> </w:t>
      </w:r>
      <w:r w:rsidRPr="00AF1B1B">
        <w:rPr>
          <w:rFonts w:ascii="Times New Roman" w:hAnsi="Times New Roman"/>
          <w:sz w:val="24"/>
          <w:szCs w:val="24"/>
        </w:rPr>
        <w:t>Memory Compensation Questionnaire</w:t>
      </w:r>
      <w:proofErr w:type="gramStart"/>
      <w:r>
        <w:rPr>
          <w:rFonts w:ascii="Times New Roman" w:hAnsi="Times New Roman"/>
          <w:sz w:val="24"/>
          <w:szCs w:val="24"/>
        </w:rPr>
        <w:t>,</w:t>
      </w:r>
      <w:r w:rsidRPr="00472570">
        <w:rPr>
          <w:rFonts w:ascii="Times New Roman" w:hAnsi="Times New Roman"/>
          <w:color w:val="000000"/>
          <w:sz w:val="24"/>
          <w:szCs w:val="24"/>
          <w:vertAlign w:val="superscript"/>
        </w:rPr>
        <w:t>7</w:t>
      </w:r>
      <w:r w:rsidR="00F83C17" w:rsidRPr="00472570">
        <w:rPr>
          <w:rFonts w:ascii="Times New Roman" w:hAnsi="Times New Roman"/>
          <w:color w:val="000000"/>
          <w:sz w:val="24"/>
          <w:szCs w:val="24"/>
          <w:vertAlign w:val="superscript"/>
        </w:rPr>
        <w:t>6</w:t>
      </w:r>
      <w:proofErr w:type="gramEnd"/>
      <w:r w:rsidRPr="00472570">
        <w:rPr>
          <w:rFonts w:ascii="Times New Roman" w:hAnsi="Times New Roman"/>
          <w:sz w:val="24"/>
          <w:szCs w:val="24"/>
        </w:rPr>
        <w:t xml:space="preserve"> </w:t>
      </w:r>
      <w:r w:rsidRPr="00472570">
        <w:rPr>
          <w:rStyle w:val="SC2531"/>
          <w:rFonts w:ascii="Times New Roman" w:hAnsi="Times New Roman"/>
          <w:sz w:val="24"/>
          <w:szCs w:val="24"/>
        </w:rPr>
        <w:t>t</w:t>
      </w:r>
      <w:r w:rsidRPr="00175D22">
        <w:rPr>
          <w:rStyle w:val="SC2531"/>
          <w:rFonts w:ascii="Times New Roman" w:hAnsi="Times New Roman"/>
          <w:sz w:val="24"/>
          <w:szCs w:val="24"/>
        </w:rPr>
        <w:t>he Prospective-Retrospective Memory Questionnaire</w:t>
      </w:r>
      <w:r>
        <w:rPr>
          <w:rStyle w:val="SC2531"/>
          <w:rFonts w:ascii="Times New Roman" w:hAnsi="Times New Roman"/>
          <w:sz w:val="24"/>
          <w:szCs w:val="24"/>
        </w:rPr>
        <w:t>,</w:t>
      </w:r>
      <w:r w:rsidRPr="00472570">
        <w:rPr>
          <w:rFonts w:ascii="Times New Roman" w:hAnsi="Times New Roman"/>
          <w:color w:val="000000"/>
          <w:sz w:val="24"/>
          <w:szCs w:val="24"/>
          <w:vertAlign w:val="superscript"/>
        </w:rPr>
        <w:t>7</w:t>
      </w:r>
      <w:r w:rsidR="00F83C17" w:rsidRPr="00472570">
        <w:rPr>
          <w:rFonts w:ascii="Times New Roman" w:hAnsi="Times New Roman"/>
          <w:color w:val="000000"/>
          <w:sz w:val="24"/>
          <w:szCs w:val="24"/>
          <w:vertAlign w:val="superscript"/>
        </w:rPr>
        <w:t>7</w:t>
      </w:r>
      <w:r>
        <w:rPr>
          <w:rStyle w:val="SC2531"/>
          <w:rFonts w:ascii="Times New Roman" w:hAnsi="Times New Roman"/>
          <w:sz w:val="24"/>
          <w:szCs w:val="24"/>
        </w:rPr>
        <w:t xml:space="preserve"> </w:t>
      </w:r>
      <w:r w:rsidRPr="00AF1B1B">
        <w:rPr>
          <w:rFonts w:ascii="Times New Roman" w:hAnsi="Times New Roman"/>
          <w:sz w:val="24"/>
          <w:szCs w:val="24"/>
        </w:rPr>
        <w:t>the Satisfaction With Life Scale</w:t>
      </w:r>
      <w:r>
        <w:rPr>
          <w:rFonts w:ascii="Times New Roman" w:hAnsi="Times New Roman"/>
          <w:sz w:val="24"/>
          <w:szCs w:val="24"/>
        </w:rPr>
        <w:t>,</w:t>
      </w:r>
      <w:r w:rsidRPr="00472570">
        <w:rPr>
          <w:rFonts w:ascii="Times New Roman" w:hAnsi="Times New Roman"/>
          <w:color w:val="000000"/>
          <w:sz w:val="24"/>
          <w:szCs w:val="24"/>
          <w:vertAlign w:val="superscript"/>
        </w:rPr>
        <w:t>7</w:t>
      </w:r>
      <w:r w:rsidR="00F83C17" w:rsidRPr="00472570">
        <w:rPr>
          <w:rFonts w:ascii="Times New Roman" w:hAnsi="Times New Roman"/>
          <w:color w:val="000000"/>
          <w:sz w:val="24"/>
          <w:szCs w:val="24"/>
          <w:vertAlign w:val="superscript"/>
        </w:rPr>
        <w:t>8</w:t>
      </w:r>
      <w:r>
        <w:rPr>
          <w:rFonts w:ascii="Times New Roman" w:hAnsi="Times New Roman"/>
          <w:sz w:val="24"/>
          <w:szCs w:val="24"/>
        </w:rPr>
        <w:t xml:space="preserve"> </w:t>
      </w:r>
      <w:r w:rsidRPr="00AF1B1B">
        <w:rPr>
          <w:rFonts w:ascii="Times New Roman" w:hAnsi="Times New Roman"/>
          <w:sz w:val="24"/>
          <w:szCs w:val="24"/>
        </w:rPr>
        <w:t xml:space="preserve">and the Subjective </w:t>
      </w:r>
      <w:r w:rsidRPr="00AF1B1B">
        <w:rPr>
          <w:rFonts w:ascii="Times New Roman" w:hAnsi="Times New Roman"/>
          <w:sz w:val="24"/>
          <w:szCs w:val="24"/>
        </w:rPr>
        <w:lastRenderedPageBreak/>
        <w:t>Memory Questionnaire</w:t>
      </w:r>
      <w:r>
        <w:rPr>
          <w:rFonts w:ascii="Times New Roman" w:hAnsi="Times New Roman"/>
          <w:sz w:val="24"/>
          <w:szCs w:val="24"/>
        </w:rPr>
        <w:t>.</w:t>
      </w:r>
      <w:r w:rsidRPr="00472570">
        <w:rPr>
          <w:rFonts w:ascii="Times New Roman" w:hAnsi="Times New Roman"/>
          <w:color w:val="000000"/>
          <w:sz w:val="24"/>
          <w:szCs w:val="24"/>
          <w:vertAlign w:val="superscript"/>
        </w:rPr>
        <w:t>7</w:t>
      </w:r>
      <w:r w:rsidR="00F83C17" w:rsidRPr="00472570">
        <w:rPr>
          <w:rFonts w:ascii="Times New Roman" w:hAnsi="Times New Roman"/>
          <w:color w:val="000000"/>
          <w:sz w:val="24"/>
          <w:szCs w:val="24"/>
          <w:vertAlign w:val="superscript"/>
        </w:rPr>
        <w:t>9</w:t>
      </w:r>
      <w:r>
        <w:rPr>
          <w:rFonts w:ascii="Times New Roman" w:hAnsi="Times New Roman"/>
          <w:sz w:val="24"/>
          <w:szCs w:val="24"/>
        </w:rPr>
        <w:t xml:space="preserve"> A number of the studies in the evidence-based used functional questionnaires as outcome measures.</w:t>
      </w:r>
      <w:r w:rsidRPr="0054583C">
        <w:rPr>
          <w:rFonts w:ascii="Times New Roman" w:hAnsi="Times New Roman"/>
          <w:color w:val="000000"/>
          <w:sz w:val="24"/>
          <w:szCs w:val="24"/>
          <w:vertAlign w:val="superscript"/>
        </w:rPr>
        <w:t xml:space="preserve"> </w:t>
      </w:r>
      <w:r w:rsidR="00F83C17">
        <w:rPr>
          <w:rFonts w:ascii="Times New Roman" w:hAnsi="Times New Roman"/>
          <w:color w:val="000000"/>
          <w:sz w:val="24"/>
          <w:szCs w:val="24"/>
          <w:vertAlign w:val="superscript"/>
        </w:rPr>
        <w:t xml:space="preserve">e.g., </w:t>
      </w:r>
      <w:r w:rsidR="00F83C17" w:rsidRPr="00472570">
        <w:rPr>
          <w:rFonts w:ascii="Times New Roman" w:hAnsi="Times New Roman"/>
          <w:color w:val="000000"/>
          <w:sz w:val="24"/>
          <w:szCs w:val="24"/>
          <w:vertAlign w:val="superscript"/>
        </w:rPr>
        <w:t>25</w:t>
      </w:r>
      <w:proofErr w:type="gramStart"/>
      <w:r w:rsidR="00F83C17" w:rsidRPr="00472570">
        <w:rPr>
          <w:rFonts w:ascii="Times New Roman" w:hAnsi="Times New Roman"/>
          <w:color w:val="000000"/>
          <w:sz w:val="24"/>
          <w:szCs w:val="24"/>
          <w:vertAlign w:val="superscript"/>
        </w:rPr>
        <w:t>,40</w:t>
      </w:r>
      <w:r w:rsidRPr="00472570">
        <w:rPr>
          <w:rFonts w:ascii="Times New Roman" w:hAnsi="Times New Roman"/>
          <w:color w:val="000000"/>
          <w:sz w:val="24"/>
          <w:szCs w:val="24"/>
          <w:vertAlign w:val="superscript"/>
        </w:rPr>
        <w:t>,4</w:t>
      </w:r>
      <w:r w:rsidR="00F83C17" w:rsidRPr="00472570">
        <w:rPr>
          <w:rFonts w:ascii="Times New Roman" w:hAnsi="Times New Roman"/>
          <w:color w:val="000000"/>
          <w:sz w:val="24"/>
          <w:szCs w:val="24"/>
          <w:vertAlign w:val="superscript"/>
        </w:rPr>
        <w:t>4</w:t>
      </w:r>
      <w:proofErr w:type="gramEnd"/>
      <w:r>
        <w:rPr>
          <w:rFonts w:ascii="Times New Roman" w:hAnsi="Times New Roman"/>
          <w:sz w:val="24"/>
          <w:szCs w:val="24"/>
        </w:rPr>
        <w:t xml:space="preserve"> Patient-centered outcomes may also be measured by assessing changes in the learning of the material that was directly targeted. For example, if a reading comprehension and retention strategy is evaluated, a meaningful outcome measurement might be the delayed recall of </w:t>
      </w:r>
      <w:proofErr w:type="spellStart"/>
      <w:r>
        <w:rPr>
          <w:rFonts w:ascii="Times New Roman" w:hAnsi="Times New Roman"/>
          <w:sz w:val="24"/>
          <w:szCs w:val="24"/>
        </w:rPr>
        <w:t>text.</w:t>
      </w:r>
      <w:r w:rsidR="00F83C17">
        <w:rPr>
          <w:rFonts w:ascii="Times New Roman" w:hAnsi="Times New Roman"/>
          <w:color w:val="000000"/>
          <w:sz w:val="24"/>
          <w:szCs w:val="24"/>
          <w:vertAlign w:val="superscript"/>
        </w:rPr>
        <w:t>e.g</w:t>
      </w:r>
      <w:proofErr w:type="spellEnd"/>
      <w:r w:rsidR="00F83C17">
        <w:rPr>
          <w:rFonts w:ascii="Times New Roman" w:hAnsi="Times New Roman"/>
          <w:color w:val="000000"/>
          <w:sz w:val="24"/>
          <w:szCs w:val="24"/>
          <w:vertAlign w:val="superscript"/>
        </w:rPr>
        <w:t xml:space="preserve">., </w:t>
      </w:r>
      <w:r w:rsidR="00F83C17" w:rsidRPr="00472570">
        <w:rPr>
          <w:rFonts w:ascii="Times New Roman" w:hAnsi="Times New Roman"/>
          <w:color w:val="000000"/>
          <w:sz w:val="24"/>
          <w:szCs w:val="24"/>
          <w:vertAlign w:val="superscript"/>
        </w:rPr>
        <w:t>59</w:t>
      </w:r>
      <w:r>
        <w:rPr>
          <w:rFonts w:ascii="Times New Roman" w:hAnsi="Times New Roman"/>
          <w:sz w:val="24"/>
          <w:szCs w:val="24"/>
        </w:rPr>
        <w:t xml:space="preserve"> </w:t>
      </w:r>
      <w:proofErr w:type="spellStart"/>
      <w:r>
        <w:rPr>
          <w:rFonts w:ascii="Times New Roman" w:hAnsi="Times New Roman"/>
          <w:sz w:val="24"/>
          <w:szCs w:val="24"/>
        </w:rPr>
        <w:t>Zencius</w:t>
      </w:r>
      <w:proofErr w:type="spellEnd"/>
      <w:r>
        <w:rPr>
          <w:rFonts w:ascii="Times New Roman" w:hAnsi="Times New Roman"/>
          <w:sz w:val="24"/>
          <w:szCs w:val="24"/>
        </w:rPr>
        <w:t xml:space="preserve"> and colleagues</w:t>
      </w:r>
      <w:r w:rsidRPr="00472570">
        <w:rPr>
          <w:rFonts w:ascii="Times New Roman" w:hAnsi="Times New Roman"/>
          <w:color w:val="000000"/>
          <w:sz w:val="24"/>
          <w:szCs w:val="24"/>
          <w:vertAlign w:val="superscript"/>
        </w:rPr>
        <w:t>6</w:t>
      </w:r>
      <w:r w:rsidR="00F83C17" w:rsidRPr="00472570">
        <w:rPr>
          <w:rFonts w:ascii="Times New Roman" w:hAnsi="Times New Roman"/>
          <w:color w:val="000000"/>
          <w:sz w:val="24"/>
          <w:szCs w:val="24"/>
          <w:vertAlign w:val="superscript"/>
        </w:rPr>
        <w:t>7</w:t>
      </w:r>
      <w:r>
        <w:rPr>
          <w:rFonts w:ascii="Times New Roman" w:hAnsi="Times New Roman"/>
          <w:sz w:val="24"/>
          <w:szCs w:val="24"/>
        </w:rPr>
        <w:t xml:space="preserve"> evaluated the number of job lead components recalled the next day in an attempt to compare the functional outcomes between different types of memory strategies, providing a model of outcome measure with personal and clinical significance. To assess the impact of internal memory strategy training, it is critical to evaluate outcomes with personal relevance to the participants.</w:t>
      </w:r>
      <w:bookmarkStart w:id="0" w:name="_GoBack"/>
      <w:bookmarkEnd w:id="0"/>
    </w:p>
    <w:sectPr w:rsidR="00C35848" w:rsidSect="00C54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5B1FF2"/>
    <w:rsid w:val="001B6072"/>
    <w:rsid w:val="00472570"/>
    <w:rsid w:val="004C414E"/>
    <w:rsid w:val="005B1FF2"/>
    <w:rsid w:val="00990E7D"/>
    <w:rsid w:val="00C35848"/>
    <w:rsid w:val="00C5453D"/>
    <w:rsid w:val="00E95036"/>
    <w:rsid w:val="00F83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2531">
    <w:name w:val="SC2531"/>
    <w:uiPriority w:val="99"/>
    <w:rsid w:val="005B1FF2"/>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2531">
    <w:name w:val="SC2531"/>
    <w:uiPriority w:val="99"/>
    <w:rsid w:val="005B1FF2"/>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Pirozzi, Therese</dc:creator>
  <cp:lastModifiedBy>Kelly Crooks</cp:lastModifiedBy>
  <cp:revision>3</cp:revision>
  <dcterms:created xsi:type="dcterms:W3CDTF">2015-04-13T15:13:00Z</dcterms:created>
  <dcterms:modified xsi:type="dcterms:W3CDTF">2015-08-04T20:00:00Z</dcterms:modified>
</cp:coreProperties>
</file>