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8B" w:rsidRPr="00DE506C" w:rsidRDefault="001F318B" w:rsidP="001F318B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DE506C">
        <w:rPr>
          <w:rFonts w:ascii="Arial" w:hAnsi="Arial" w:cs="Arial"/>
          <w:b/>
          <w:lang w:val="en-US"/>
        </w:rPr>
        <w:t>Supplementary Data</w:t>
      </w:r>
    </w:p>
    <w:p w:rsidR="001F318B" w:rsidRPr="00DE506C" w:rsidRDefault="001F318B" w:rsidP="001F318B">
      <w:pPr>
        <w:jc w:val="center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  <w:proofErr w:type="gramStart"/>
      <w:r w:rsidRPr="00DE506C">
        <w:rPr>
          <w:rFonts w:ascii="Arial" w:hAnsi="Arial" w:cs="Arial"/>
          <w:b/>
          <w:lang w:val="en-US"/>
        </w:rPr>
        <w:t>Supplementary Table 1.</w:t>
      </w:r>
      <w:proofErr w:type="gramEnd"/>
      <w:r w:rsidRPr="00DE506C">
        <w:rPr>
          <w:rFonts w:ascii="Arial" w:hAnsi="Arial" w:cs="Arial"/>
          <w:b/>
          <w:lang w:val="en-US"/>
        </w:rPr>
        <w:t xml:space="preserve"> Assessment of potential correlates between cytokine secretion and variables associated with the tumor cells and the CAR-T cells. </w:t>
      </w:r>
    </w:p>
    <w:p w:rsidR="001F318B" w:rsidRPr="00DE506C" w:rsidRDefault="001F318B" w:rsidP="001F318B">
      <w:pPr>
        <w:jc w:val="both"/>
        <w:rPr>
          <w:rFonts w:ascii="Arial" w:hAnsi="Arial" w:cs="Arial"/>
          <w:lang w:val="en-US"/>
        </w:rPr>
      </w:pPr>
      <w:r w:rsidRPr="00DE506C">
        <w:rPr>
          <w:rFonts w:ascii="Arial" w:hAnsi="Arial" w:cs="Arial"/>
          <w:lang w:val="en-US"/>
        </w:rPr>
        <w:t>1A: Correlation between the number of CAR+ T cells and amount of IFN</w:t>
      </w:r>
      <w:r w:rsidRPr="00DE506C">
        <w:rPr>
          <w:rFonts w:ascii="Arial" w:hAnsi="Arial" w:cs="Arial"/>
          <w:lang w:val="en-US"/>
        </w:rPr>
        <w:sym w:font="Symbol" w:char="F067"/>
      </w:r>
      <w:r w:rsidRPr="00DE506C">
        <w:rPr>
          <w:rFonts w:ascii="Arial" w:hAnsi="Arial" w:cs="Arial"/>
          <w:lang w:val="en-US"/>
        </w:rPr>
        <w:t xml:space="preserve"> secreted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3544"/>
        <w:gridCol w:w="2126"/>
      </w:tblGrid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Variable 1</w:t>
            </w:r>
          </w:p>
        </w:tc>
        <w:tc>
          <w:tcPr>
            <w:tcW w:w="3544" w:type="dxa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Variable 2</w:t>
            </w: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Pearson’s correlation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T cells (H8 construct)</w:t>
            </w:r>
          </w:p>
        </w:tc>
        <w:tc>
          <w:tcPr>
            <w:tcW w:w="3544" w:type="dxa"/>
            <w:vMerge w:val="restart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IFNγ secreted upon co-culture with OVCAR-3 cells</w:t>
            </w: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0.46; N.S.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T cells (2E4 construct)</w:t>
            </w:r>
          </w:p>
        </w:tc>
        <w:tc>
          <w:tcPr>
            <w:tcW w:w="3544" w:type="dxa"/>
            <w:vMerge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0.61; P=0.05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CD4+ T cells (H8 construct)</w:t>
            </w:r>
          </w:p>
        </w:tc>
        <w:tc>
          <w:tcPr>
            <w:tcW w:w="3544" w:type="dxa"/>
            <w:vMerge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0.26; N.S.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CD4+ T cells (2E4 construct)</w:t>
            </w:r>
          </w:p>
        </w:tc>
        <w:tc>
          <w:tcPr>
            <w:tcW w:w="3544" w:type="dxa"/>
            <w:vMerge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0.42; N.S.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CD8+ T cells (H8 construct)</w:t>
            </w:r>
          </w:p>
        </w:tc>
        <w:tc>
          <w:tcPr>
            <w:tcW w:w="3544" w:type="dxa"/>
            <w:vMerge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0.66; P=0.04</w:t>
            </w:r>
          </w:p>
        </w:tc>
      </w:tr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Number of CAR+ CD8+ T cells (2E4 construct)</w:t>
            </w:r>
          </w:p>
        </w:tc>
        <w:tc>
          <w:tcPr>
            <w:tcW w:w="3544" w:type="dxa"/>
            <w:vMerge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0.80; P=0.003</w:t>
            </w:r>
          </w:p>
        </w:tc>
      </w:tr>
    </w:tbl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lang w:val="en-US"/>
        </w:rPr>
      </w:pPr>
      <w:r w:rsidRPr="00DE506C">
        <w:rPr>
          <w:rFonts w:ascii="Arial" w:hAnsi="Arial" w:cs="Arial"/>
          <w:lang w:val="en-US"/>
        </w:rPr>
        <w:t>1B: Correlation between the amount of cytokine secreted and the level of 5T4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3544"/>
        <w:gridCol w:w="2126"/>
      </w:tblGrid>
      <w:tr w:rsidR="001F318B" w:rsidRPr="00DE506C" w:rsidTr="00F46C47">
        <w:tc>
          <w:tcPr>
            <w:tcW w:w="4786" w:type="dxa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Variable 1</w:t>
            </w:r>
          </w:p>
        </w:tc>
        <w:tc>
          <w:tcPr>
            <w:tcW w:w="3544" w:type="dxa"/>
            <w:vAlign w:val="center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Variable 2</w:t>
            </w: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b/>
                <w:lang w:val="en-US"/>
              </w:rPr>
              <w:t>Pearson’s correlation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IFNγ secretion (H8 construct)</w:t>
            </w:r>
          </w:p>
        </w:tc>
        <w:tc>
          <w:tcPr>
            <w:tcW w:w="3544" w:type="dxa"/>
            <w:vMerge w:val="restart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5T4 expression on Tumor cells as determined by IHC</w:t>
            </w: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0.68; P=0.03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IFNγ secretion (2E4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0.70; P=0.02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IL-2 secretion (H8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0.65; P=0.04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IL-2 secretion (2E4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0.64; P=0.03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IFNγ secretion (H8 construct)</w:t>
            </w:r>
          </w:p>
        </w:tc>
        <w:tc>
          <w:tcPr>
            <w:tcW w:w="3544" w:type="dxa"/>
            <w:vMerge w:val="restart"/>
          </w:tcPr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1F318B" w:rsidRPr="00DE506C" w:rsidRDefault="001F318B" w:rsidP="00F46C4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5T4 expression on Tumor cells as determined by flow cytometry (MFI)</w:t>
            </w: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0.78; P=0.01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IFNγ secretion (2E4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0.65; P=0.04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IL-2 secretion (H8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0.84; P=0.005</w:t>
            </w:r>
          </w:p>
        </w:tc>
      </w:tr>
      <w:tr w:rsidR="001F318B" w:rsidRPr="00DE506C" w:rsidTr="00F46C47">
        <w:tc>
          <w:tcPr>
            <w:tcW w:w="4786" w:type="dxa"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IL-2 secretion (2E4 construct)</w:t>
            </w:r>
          </w:p>
        </w:tc>
        <w:tc>
          <w:tcPr>
            <w:tcW w:w="3544" w:type="dxa"/>
            <w:vMerge/>
          </w:tcPr>
          <w:p w:rsidR="001F318B" w:rsidRPr="00DE506C" w:rsidRDefault="001F318B" w:rsidP="00F46C47">
            <w:pPr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</w:tcPr>
          <w:p w:rsidR="001F318B" w:rsidRPr="00DE506C" w:rsidRDefault="001F318B" w:rsidP="00F46C47">
            <w:pPr>
              <w:spacing w:line="276" w:lineRule="auto"/>
              <w:rPr>
                <w:rFonts w:ascii="Arial" w:hAnsi="Arial" w:cs="Arial"/>
                <w:lang w:val="en-US"/>
              </w:rPr>
            </w:pPr>
            <w:r w:rsidRPr="00DE506C">
              <w:rPr>
                <w:rFonts w:ascii="Arial" w:hAnsi="Arial" w:cs="Arial"/>
                <w:lang w:val="en-US"/>
              </w:rPr>
              <w:t>0.77; P=0.009</w:t>
            </w:r>
          </w:p>
        </w:tc>
      </w:tr>
    </w:tbl>
    <w:p w:rsidR="001F318B" w:rsidRPr="00DE506C" w:rsidRDefault="001F318B" w:rsidP="001F318B">
      <w:pPr>
        <w:jc w:val="both"/>
        <w:rPr>
          <w:rFonts w:ascii="Arial" w:hAnsi="Arial" w:cs="Arial"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  <w:r w:rsidRPr="00DE506C">
        <w:rPr>
          <w:rFonts w:ascii="Arial" w:hAnsi="Arial" w:cs="Arial"/>
          <w:b/>
          <w:lang w:val="en-US"/>
        </w:rPr>
        <w:br w:type="page"/>
      </w:r>
    </w:p>
    <w:p w:rsidR="001F318B" w:rsidRDefault="001F318B" w:rsidP="001F318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A. Cell Count</w:t>
      </w:r>
    </w:p>
    <w:p w:rsidR="001F318B" w:rsidRDefault="001F318B" w:rsidP="001F318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6F94F0CB" wp14:editId="3FE682EC">
            <wp:extent cx="6049386" cy="3636335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26" cy="363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18B" w:rsidRDefault="001F318B" w:rsidP="001F318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B. Percentage Transduction</w:t>
      </w:r>
    </w:p>
    <w:p w:rsidR="001F318B" w:rsidRDefault="001F318B" w:rsidP="001F318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09397639" wp14:editId="7C791E0D">
            <wp:extent cx="6064724" cy="3645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76" cy="364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739" w:rsidRPr="00732739" w:rsidRDefault="001F318B" w:rsidP="001F318B">
      <w:pPr>
        <w:spacing w:line="360" w:lineRule="auto"/>
        <w:jc w:val="both"/>
        <w:rPr>
          <w:rFonts w:ascii="Arial" w:hAnsi="Arial" w:cs="Arial"/>
          <w:lang w:val="en-US"/>
        </w:rPr>
      </w:pPr>
      <w:r w:rsidRPr="00DE506C">
        <w:rPr>
          <w:rFonts w:ascii="Arial" w:hAnsi="Arial" w:cs="Arial"/>
          <w:b/>
          <w:lang w:val="en-US"/>
        </w:rPr>
        <w:t xml:space="preserve">Supplementary Figure 1: Transduction of T cells and growth kinetics of transduced cells. </w:t>
      </w:r>
      <w:r w:rsidRPr="0039768F">
        <w:rPr>
          <w:rFonts w:ascii="Arial" w:hAnsi="Arial" w:cs="Arial"/>
          <w:lang w:val="en-US"/>
        </w:rPr>
        <w:t>Figure 1A shows the</w:t>
      </w:r>
      <w:r>
        <w:rPr>
          <w:rFonts w:ascii="Arial" w:hAnsi="Arial" w:cs="Arial"/>
          <w:lang w:val="en-US"/>
        </w:rPr>
        <w:t xml:space="preserve"> growth kinetics of T cells transduced with a range of dilutions of H8-CAR compared against an </w:t>
      </w:r>
      <w:proofErr w:type="spellStart"/>
      <w:r>
        <w:rPr>
          <w:rFonts w:ascii="Arial" w:hAnsi="Arial" w:cs="Arial"/>
          <w:lang w:val="en-US"/>
        </w:rPr>
        <w:t>untransduced</w:t>
      </w:r>
      <w:proofErr w:type="spellEnd"/>
      <w:r>
        <w:rPr>
          <w:rFonts w:ascii="Arial" w:hAnsi="Arial" w:cs="Arial"/>
          <w:lang w:val="en-US"/>
        </w:rPr>
        <w:t xml:space="preserve"> (UTC) control. Figure 1B shows the percentage transduction of T cells with H8-CAR over a range of viral vector dilutions. </w:t>
      </w:r>
    </w:p>
    <w:p w:rsidR="00732739" w:rsidRPr="00732739" w:rsidRDefault="00732739" w:rsidP="00732739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object w:dxaOrig="12379" w:dyaOrig="56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249.75pt" o:ole="" filled="t">
            <v:imagedata r:id="rId9" o:title=""/>
          </v:shape>
          <o:OLEObject Type="Embed" ProgID="Prism7.Document" ShapeID="_x0000_i1025" DrawAspect="Content" ObjectID="_1569996566" r:id="rId10"/>
        </w:object>
      </w:r>
      <w:r>
        <w:rPr>
          <w:rFonts w:ascii="Arial" w:hAnsi="Arial" w:cs="Arial"/>
          <w:b/>
          <w:lang w:val="en-US"/>
        </w:rPr>
        <w:t>Supplementary Figure 2</w:t>
      </w:r>
      <w:r w:rsidRPr="00DE506C">
        <w:rPr>
          <w:rFonts w:ascii="Arial" w:hAnsi="Arial" w:cs="Arial"/>
          <w:b/>
          <w:lang w:val="en-US"/>
        </w:rPr>
        <w:t xml:space="preserve">: </w:t>
      </w:r>
      <w:r>
        <w:rPr>
          <w:rFonts w:ascii="Arial" w:hAnsi="Arial" w:cs="Arial"/>
          <w:b/>
          <w:lang w:val="en-US"/>
        </w:rPr>
        <w:t xml:space="preserve">Immune infiltrates in ovarian tumor disaggregate. </w:t>
      </w:r>
      <w:r>
        <w:rPr>
          <w:rFonts w:ascii="Arial" w:hAnsi="Arial" w:cs="Arial"/>
          <w:lang w:val="en-US"/>
        </w:rPr>
        <w:t xml:space="preserve">(A) Percentage of </w:t>
      </w:r>
      <w:r w:rsidRPr="00732739">
        <w:rPr>
          <w:rFonts w:ascii="Arial" w:hAnsi="Arial" w:cs="Arial"/>
          <w:lang w:val="en-US"/>
        </w:rPr>
        <w:t>hematopoietic</w:t>
      </w:r>
      <w:r>
        <w:rPr>
          <w:rFonts w:ascii="Arial" w:hAnsi="Arial" w:cs="Arial"/>
          <w:lang w:val="en-US"/>
        </w:rPr>
        <w:t xml:space="preserve"> cells and tumor cells present in tumor disaggregate as determined by flow cytometry. (B) Correlation of 5T4 expression and CD3 T cell infiltration as determined by immunohistochemistry. </w:t>
      </w:r>
    </w:p>
    <w:p w:rsidR="00732739" w:rsidRDefault="00732739" w:rsidP="001F318B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732739" w:rsidRDefault="00732739" w:rsidP="001F318B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732739" w:rsidRDefault="00732739" w:rsidP="001F318B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732739" w:rsidRDefault="00732739" w:rsidP="001F318B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DE506C">
        <w:rPr>
          <w:rFonts w:ascii="Arial" w:hAnsi="Arial" w:cs="Arial"/>
          <w:b/>
          <w:lang w:val="en-US"/>
        </w:rPr>
        <w:br w:type="page"/>
      </w: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</w:p>
    <w:p w:rsidR="001F318B" w:rsidRPr="00DE506C" w:rsidRDefault="001F318B" w:rsidP="001F318B">
      <w:pPr>
        <w:jc w:val="both"/>
        <w:rPr>
          <w:rFonts w:ascii="Arial" w:hAnsi="Arial" w:cs="Arial"/>
          <w:b/>
          <w:lang w:val="en-US"/>
        </w:rPr>
      </w:pPr>
      <w:r w:rsidRPr="00DE506C">
        <w:rPr>
          <w:rFonts w:ascii="Arial" w:hAnsi="Arial" w:cs="Arial"/>
          <w:b/>
          <w:lang w:val="en-US"/>
        </w:rPr>
        <w:object w:dxaOrig="11650" w:dyaOrig="14844">
          <v:shape id="_x0000_i1026" type="#_x0000_t75" style="width:453.75pt;height:577.5pt" o:ole="" filled="t">
            <v:imagedata r:id="rId11" o:title=""/>
          </v:shape>
          <o:OLEObject Type="Embed" ProgID="Prism7.Document" ShapeID="_x0000_i1026" DrawAspect="Content" ObjectID="_1569996567" r:id="rId12"/>
        </w:object>
      </w:r>
    </w:p>
    <w:p w:rsidR="001F318B" w:rsidRPr="00335D3D" w:rsidRDefault="00732739" w:rsidP="001F318B">
      <w:pPr>
        <w:spacing w:after="0" w:line="360" w:lineRule="auto"/>
        <w:jc w:val="both"/>
        <w:rPr>
          <w:rFonts w:ascii="Arial" w:hAnsi="Arial" w:cs="Arial"/>
          <w:bCs/>
          <w:noProof/>
          <w:lang w:val="en-US" w:eastAsia="en-GB"/>
        </w:rPr>
      </w:pPr>
      <w:bookmarkStart w:id="1" w:name="OLE_LINK1"/>
      <w:proofErr w:type="gramStart"/>
      <w:r>
        <w:rPr>
          <w:rFonts w:ascii="Arial" w:hAnsi="Arial" w:cs="Arial"/>
          <w:b/>
          <w:lang w:val="en-US"/>
        </w:rPr>
        <w:t>Supplementary Figure 3</w:t>
      </w:r>
      <w:r w:rsidR="001F318B" w:rsidRPr="00335D3D">
        <w:rPr>
          <w:rFonts w:ascii="Arial" w:hAnsi="Arial" w:cs="Arial"/>
          <w:b/>
          <w:lang w:val="en-US"/>
        </w:rPr>
        <w:t>.</w:t>
      </w:r>
      <w:proofErr w:type="gramEnd"/>
      <w:r w:rsidR="001F318B" w:rsidRPr="00335D3D">
        <w:rPr>
          <w:rFonts w:ascii="Arial" w:hAnsi="Arial" w:cs="Arial"/>
          <w:b/>
          <w:lang w:val="en-US"/>
        </w:rPr>
        <w:t xml:space="preserve"> </w:t>
      </w:r>
      <w:proofErr w:type="gramStart"/>
      <w:r w:rsidR="001F318B" w:rsidRPr="00335D3D">
        <w:rPr>
          <w:rFonts w:ascii="Arial" w:hAnsi="Arial" w:cs="Arial"/>
          <w:b/>
          <w:lang w:val="en-US"/>
        </w:rPr>
        <w:t>Interleukin-2</w:t>
      </w:r>
      <w:r w:rsidR="001F318B" w:rsidRPr="00335D3D">
        <w:rPr>
          <w:rFonts w:ascii="Arial" w:hAnsi="Arial" w:cs="Arial"/>
          <w:b/>
          <w:bCs/>
          <w:noProof/>
          <w:lang w:val="en-US" w:eastAsia="en-GB"/>
        </w:rPr>
        <w:t xml:space="preserve"> (IL-2) production by 5T4-CAR T cells in response to immortalised ovarian cell lines expressing 5T4 and autologous tumour cells.</w:t>
      </w:r>
      <w:proofErr w:type="gramEnd"/>
      <w:r w:rsidR="001F318B" w:rsidRPr="00335D3D">
        <w:rPr>
          <w:rFonts w:ascii="Arial" w:hAnsi="Arial" w:cs="Arial"/>
          <w:b/>
          <w:bCs/>
          <w:noProof/>
          <w:lang w:val="en-US" w:eastAsia="en-GB"/>
        </w:rPr>
        <w:t xml:space="preserve"> </w:t>
      </w:r>
      <w:r w:rsidR="001F318B" w:rsidRPr="00335D3D">
        <w:rPr>
          <w:rFonts w:ascii="Arial" w:hAnsi="Arial" w:cs="Arial"/>
          <w:bCs/>
          <w:noProof/>
          <w:lang w:val="en-US" w:eastAsia="en-GB"/>
        </w:rPr>
        <w:t>Peripheral T cells were successfully transduced from 11 patients. T cells were transduced with the H8-CAR or 2E4-CAR or no CAR (Mock). 1x10</w:t>
      </w:r>
      <w:r w:rsidR="001F318B" w:rsidRPr="00335D3D">
        <w:rPr>
          <w:rFonts w:ascii="Arial" w:hAnsi="Arial" w:cs="Arial"/>
          <w:bCs/>
          <w:noProof/>
          <w:vertAlign w:val="superscript"/>
          <w:lang w:val="en-US" w:eastAsia="en-GB"/>
        </w:rPr>
        <w:t>5</w:t>
      </w:r>
      <w:r w:rsidR="001F318B" w:rsidRPr="00335D3D">
        <w:rPr>
          <w:rFonts w:ascii="Arial" w:hAnsi="Arial" w:cs="Arial"/>
          <w:bCs/>
          <w:noProof/>
          <w:lang w:val="en-US" w:eastAsia="en-GB"/>
        </w:rPr>
        <w:t xml:space="preserve"> T cells were co-cultured for 24 hours with 1x10</w:t>
      </w:r>
      <w:r w:rsidR="001F318B" w:rsidRPr="00335D3D">
        <w:rPr>
          <w:rFonts w:ascii="Arial" w:hAnsi="Arial" w:cs="Arial"/>
          <w:bCs/>
          <w:noProof/>
          <w:vertAlign w:val="superscript"/>
          <w:lang w:val="en-US" w:eastAsia="en-GB"/>
        </w:rPr>
        <w:t>5</w:t>
      </w:r>
      <w:r w:rsidR="001F318B" w:rsidRPr="00335D3D">
        <w:rPr>
          <w:rFonts w:ascii="Arial" w:hAnsi="Arial" w:cs="Arial"/>
          <w:bCs/>
          <w:noProof/>
          <w:lang w:val="en-US" w:eastAsia="en-GB"/>
        </w:rPr>
        <w:t xml:space="preserve"> SKOV3, OVCAR3  and primary autologous tumour cells . After 24 hours, supernatant was collected and IL-2 quantitified by ELISA. Error bars represent the mean and S.D. of triplicate results. Two-way ANOVA with Sidak’s correction; </w:t>
      </w:r>
      <w:r w:rsidR="001F318B" w:rsidRPr="00335D3D">
        <w:rPr>
          <w:rFonts w:ascii="Arial" w:hAnsi="Arial" w:cs="Arial"/>
          <w:bCs/>
          <w:noProof/>
          <w:vertAlign w:val="superscript"/>
          <w:lang w:val="en-US" w:eastAsia="en-GB"/>
        </w:rPr>
        <w:t>*</w:t>
      </w:r>
      <w:r w:rsidR="001F318B" w:rsidRPr="00335D3D">
        <w:rPr>
          <w:rFonts w:ascii="Arial" w:hAnsi="Arial" w:cs="Arial"/>
          <w:bCs/>
          <w:noProof/>
          <w:lang w:val="en-US" w:eastAsia="en-GB"/>
        </w:rPr>
        <w:t xml:space="preserve">p&lt;0.05, </w:t>
      </w:r>
      <w:r w:rsidR="001F318B" w:rsidRPr="00335D3D">
        <w:rPr>
          <w:rFonts w:ascii="Arial" w:hAnsi="Arial" w:cs="Arial"/>
          <w:bCs/>
          <w:noProof/>
          <w:vertAlign w:val="superscript"/>
          <w:lang w:val="en-US" w:eastAsia="en-GB"/>
        </w:rPr>
        <w:t>**</w:t>
      </w:r>
      <w:r w:rsidR="001F318B" w:rsidRPr="00335D3D">
        <w:rPr>
          <w:rFonts w:ascii="Arial" w:hAnsi="Arial" w:cs="Arial"/>
          <w:bCs/>
          <w:noProof/>
          <w:lang w:val="en-US" w:eastAsia="en-GB"/>
        </w:rPr>
        <w:t xml:space="preserve">p&lt;0.01, </w:t>
      </w:r>
      <w:r w:rsidR="001F318B" w:rsidRPr="00335D3D">
        <w:rPr>
          <w:rFonts w:ascii="Arial" w:hAnsi="Arial" w:cs="Arial"/>
          <w:bCs/>
          <w:noProof/>
          <w:vertAlign w:val="superscript"/>
          <w:lang w:val="en-US" w:eastAsia="en-GB"/>
        </w:rPr>
        <w:t>***</w:t>
      </w:r>
      <w:r w:rsidR="001F318B" w:rsidRPr="00335D3D">
        <w:rPr>
          <w:rFonts w:ascii="Arial" w:hAnsi="Arial" w:cs="Arial"/>
          <w:bCs/>
          <w:noProof/>
          <w:lang w:val="en-US" w:eastAsia="en-GB"/>
        </w:rPr>
        <w:t xml:space="preserve">p&lt;0.001. </w:t>
      </w:r>
    </w:p>
    <w:bookmarkEnd w:id="1"/>
    <w:p w:rsidR="001F318B" w:rsidRDefault="001F318B" w:rsidP="001F318B"/>
    <w:p w:rsidR="001F318B" w:rsidRDefault="001F318B" w:rsidP="001F318B">
      <w:pPr>
        <w:rPr>
          <w:rFonts w:ascii="Arial" w:hAnsi="Arial" w:cs="Arial"/>
          <w:b/>
          <w:lang w:val="en-US"/>
        </w:rPr>
      </w:pPr>
    </w:p>
    <w:p w:rsidR="00AC1FF4" w:rsidRDefault="00AC1FF4" w:rsidP="001F318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object w:dxaOrig="8546" w:dyaOrig="4176">
          <v:shape id="_x0000_i1027" type="#_x0000_t75" style="width:473.25pt;height:231pt" o:ole="" filled="t">
            <v:imagedata r:id="rId13" o:title=""/>
          </v:shape>
          <o:OLEObject Type="Embed" ProgID="Prism7.Document" ShapeID="_x0000_i1027" DrawAspect="Content" ObjectID="_1569996568" r:id="rId14"/>
        </w:object>
      </w:r>
    </w:p>
    <w:p w:rsidR="001F318B" w:rsidRPr="00541218" w:rsidRDefault="00732739" w:rsidP="001F318B">
      <w:pPr>
        <w:spacing w:line="360" w:lineRule="auto"/>
        <w:jc w:val="both"/>
        <w:rPr>
          <w:rFonts w:ascii="Arial" w:hAnsi="Arial" w:cs="Arial"/>
          <w:noProof/>
          <w:lang w:val="en-US" w:eastAsia="en-GB"/>
        </w:rPr>
      </w:pPr>
      <w:proofErr w:type="gramStart"/>
      <w:r>
        <w:rPr>
          <w:rFonts w:ascii="Arial" w:hAnsi="Arial" w:cs="Arial"/>
          <w:b/>
          <w:lang w:val="en-US"/>
        </w:rPr>
        <w:t>Supplementary Figure 4</w:t>
      </w:r>
      <w:r w:rsidR="001F318B" w:rsidRPr="00335D3D">
        <w:rPr>
          <w:rFonts w:ascii="Arial" w:hAnsi="Arial" w:cs="Arial"/>
          <w:b/>
          <w:lang w:val="en-US"/>
        </w:rPr>
        <w:t>.</w:t>
      </w:r>
      <w:proofErr w:type="gramEnd"/>
      <w:r w:rsidR="001F318B" w:rsidRPr="00335D3D">
        <w:rPr>
          <w:rFonts w:ascii="Arial" w:hAnsi="Arial" w:cs="Arial"/>
          <w:b/>
          <w:lang w:val="en-US"/>
        </w:rPr>
        <w:t xml:space="preserve"> Kaplan-Meier survival curves of SKOV3.Luc tumors in NSG mice receiving 5T4-CAR T cell therapy.</w:t>
      </w:r>
      <w:r w:rsidR="001F318B" w:rsidRPr="00DE506C">
        <w:rPr>
          <w:rFonts w:ascii="Arial" w:hAnsi="Arial" w:cs="Arial"/>
          <w:b/>
          <w:bCs/>
          <w:i/>
          <w:lang w:val="en-US"/>
        </w:rPr>
        <w:t xml:space="preserve"> </w:t>
      </w:r>
      <w:r w:rsidR="001F318B" w:rsidRPr="00DE506C">
        <w:rPr>
          <w:rFonts w:ascii="Arial" w:hAnsi="Arial" w:cs="Arial"/>
          <w:bCs/>
          <w:lang w:val="en-US"/>
        </w:rPr>
        <w:t xml:space="preserve">Kaplan-Meier survival curves for mice treated with H8-CAR T cells via intra-venous or intra-peritoneal routes. </w:t>
      </w:r>
      <w:r w:rsidR="001F318B">
        <w:rPr>
          <w:rFonts w:ascii="Arial" w:hAnsi="Arial" w:cs="Arial"/>
          <w:noProof/>
          <w:lang w:eastAsia="en-GB"/>
        </w:rPr>
        <w:t>Log-rank (Mantel-Cox) test; *P&lt;0.05 compared to Mock I.P and saline I.P., #P&lt;0.05 compared to H8-CAR I.V.</w:t>
      </w:r>
    </w:p>
    <w:p w:rsidR="001F318B" w:rsidRDefault="001F318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1F318B" w:rsidRDefault="001F318B" w:rsidP="001F318B">
      <w:pPr>
        <w:rPr>
          <w:rFonts w:ascii="Arial" w:hAnsi="Arial" w:cs="Arial"/>
          <w:lang w:val="en-US"/>
        </w:rPr>
      </w:pPr>
    </w:p>
    <w:p w:rsidR="001F318B" w:rsidRPr="00DE506C" w:rsidRDefault="001F318B" w:rsidP="001F318B">
      <w:pPr>
        <w:jc w:val="center"/>
        <w:rPr>
          <w:rFonts w:ascii="Arial" w:hAnsi="Arial" w:cs="Arial"/>
          <w:b/>
          <w:noProof/>
          <w:lang w:val="en-US" w:eastAsia="en-GB"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4D82E583" wp14:editId="31ABB81E">
            <wp:extent cx="4155675" cy="3228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 analysis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938" cy="324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8B" w:rsidRPr="00DE506C" w:rsidRDefault="00732739" w:rsidP="001F318B">
      <w:pPr>
        <w:spacing w:line="360" w:lineRule="auto"/>
        <w:jc w:val="both"/>
        <w:rPr>
          <w:rFonts w:ascii="Arial" w:hAnsi="Arial" w:cs="Arial"/>
          <w:b/>
          <w:noProof/>
          <w:lang w:val="en-US" w:eastAsia="en-GB"/>
        </w:rPr>
      </w:pPr>
      <w:r>
        <w:rPr>
          <w:rFonts w:ascii="Arial" w:hAnsi="Arial" w:cs="Arial"/>
          <w:b/>
          <w:noProof/>
          <w:lang w:val="en-US" w:eastAsia="en-GB"/>
        </w:rPr>
        <w:t>Supplementary Figure 5</w:t>
      </w:r>
      <w:r w:rsidR="001F318B">
        <w:rPr>
          <w:rFonts w:ascii="Arial" w:hAnsi="Arial" w:cs="Arial"/>
          <w:b/>
          <w:noProof/>
          <w:lang w:val="en-US" w:eastAsia="en-GB"/>
        </w:rPr>
        <w:t>.</w:t>
      </w:r>
      <w:r w:rsidR="001F318B">
        <w:rPr>
          <w:rFonts w:ascii="Arial" w:hAnsi="Arial" w:cs="Arial"/>
          <w:noProof/>
          <w:lang w:val="en-US" w:eastAsia="en-GB"/>
        </w:rPr>
        <w:t xml:space="preserve"> </w:t>
      </w:r>
      <w:r w:rsidR="001F318B" w:rsidRPr="00335D3D">
        <w:rPr>
          <w:rFonts w:ascii="Arial" w:hAnsi="Arial" w:cs="Arial"/>
          <w:b/>
          <w:bCs/>
          <w:noProof/>
          <w:lang w:val="en-US" w:eastAsia="en-GB"/>
        </w:rPr>
        <w:t>Dose of 5T4-CAR T cells categorised in to significant or non-significant survival advantage relative to controls.</w:t>
      </w:r>
      <w:r w:rsidR="001F318B" w:rsidRPr="00DE506C">
        <w:rPr>
          <w:rFonts w:ascii="Arial" w:hAnsi="Arial" w:cs="Arial"/>
          <w:noProof/>
          <w:lang w:val="en-US" w:eastAsia="en-GB"/>
        </w:rPr>
        <w:t xml:space="preserve"> The figure summarises the efficacy experiments described herein and categorises the data in to those treatment groups in which there was a statistically significant (P&lt;0.05) or non-significant survival advantage relative to mock transduced control groups.</w:t>
      </w:r>
      <w:r w:rsidR="001F318B">
        <w:rPr>
          <w:rFonts w:ascii="Arial" w:hAnsi="Arial" w:cs="Arial"/>
          <w:noProof/>
          <w:lang w:val="en-US" w:eastAsia="en-GB"/>
        </w:rPr>
        <w:t xml:space="preserve"> Dashed line represents minimum dose required to convey a significant survival advantage. </w:t>
      </w:r>
    </w:p>
    <w:p w:rsidR="001F318B" w:rsidRPr="00DE506C" w:rsidRDefault="001F318B" w:rsidP="001F318B">
      <w:pPr>
        <w:spacing w:line="360" w:lineRule="auto"/>
        <w:rPr>
          <w:rFonts w:ascii="Arial" w:hAnsi="Arial" w:cs="Arial"/>
          <w:lang w:val="en-US"/>
        </w:rPr>
      </w:pPr>
    </w:p>
    <w:p w:rsidR="00E507A7" w:rsidRDefault="00E507A7"/>
    <w:sectPr w:rsidR="00E507A7" w:rsidSect="00551719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004" w:rsidRDefault="00221004">
      <w:pPr>
        <w:spacing w:after="0" w:line="240" w:lineRule="auto"/>
      </w:pPr>
      <w:r>
        <w:separator/>
      </w:r>
    </w:p>
  </w:endnote>
  <w:endnote w:type="continuationSeparator" w:id="0">
    <w:p w:rsidR="00221004" w:rsidRDefault="0022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58950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36886" w:rsidRDefault="0058707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48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486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85FFB" w:rsidRDefault="00634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004" w:rsidRDefault="00221004">
      <w:pPr>
        <w:spacing w:after="0" w:line="240" w:lineRule="auto"/>
      </w:pPr>
      <w:r>
        <w:separator/>
      </w:r>
    </w:p>
  </w:footnote>
  <w:footnote w:type="continuationSeparator" w:id="0">
    <w:p w:rsidR="00221004" w:rsidRDefault="00221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8B"/>
    <w:rsid w:val="00185B33"/>
    <w:rsid w:val="001F318B"/>
    <w:rsid w:val="00221004"/>
    <w:rsid w:val="0058707C"/>
    <w:rsid w:val="0063486B"/>
    <w:rsid w:val="00732739"/>
    <w:rsid w:val="00AC1FF4"/>
    <w:rsid w:val="00CC2F9A"/>
    <w:rsid w:val="00E5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1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3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8B"/>
  </w:style>
  <w:style w:type="table" w:styleId="TableGrid">
    <w:name w:val="Table Grid"/>
    <w:basedOn w:val="TableNormal"/>
    <w:uiPriority w:val="59"/>
    <w:rsid w:val="001F3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1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3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18B"/>
  </w:style>
  <w:style w:type="table" w:styleId="TableGrid">
    <w:name w:val="Table Grid"/>
    <w:basedOn w:val="TableNormal"/>
    <w:uiPriority w:val="59"/>
    <w:rsid w:val="001F3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525</Words>
  <Characters>2993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Paterson Institute for Cancer Research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Owens</dc:creator>
  <cp:lastModifiedBy>Rich Harrop</cp:lastModifiedBy>
  <cp:revision>2</cp:revision>
  <cp:lastPrinted>2017-08-10T17:14:00Z</cp:lastPrinted>
  <dcterms:created xsi:type="dcterms:W3CDTF">2017-10-20T08:23:00Z</dcterms:created>
  <dcterms:modified xsi:type="dcterms:W3CDTF">2017-10-20T08:23:00Z</dcterms:modified>
</cp:coreProperties>
</file>