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436C" w14:textId="77777777" w:rsidR="00323CE5" w:rsidRDefault="002708AE" w:rsidP="00176D6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176D64" w:rsidRPr="00FB76C6">
        <w:rPr>
          <w:rFonts w:ascii="Times New Roman" w:hAnsi="Times New Roman" w:cs="Times New Roman"/>
          <w:b/>
          <w:bCs/>
          <w:lang w:val="en-US"/>
        </w:rPr>
        <w:t>Table 5</w:t>
      </w:r>
    </w:p>
    <w:p w14:paraId="6757FC85" w14:textId="568D82A3" w:rsidR="00176D64" w:rsidRPr="00FB76C6" w:rsidRDefault="00176D64" w:rsidP="00176D6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B76C6">
        <w:rPr>
          <w:rFonts w:ascii="Times New Roman" w:hAnsi="Times New Roman" w:cs="Times New Roman"/>
          <w:b/>
          <w:bCs/>
          <w:lang w:val="en-US"/>
        </w:rPr>
        <w:t xml:space="preserve">Studies </w:t>
      </w:r>
      <w:r w:rsidR="00EC7DDD" w:rsidRPr="00FB76C6">
        <w:rPr>
          <w:rFonts w:ascii="Times New Roman" w:hAnsi="Times New Roman" w:cs="Times New Roman"/>
          <w:b/>
          <w:bCs/>
          <w:lang w:val="en-US"/>
        </w:rPr>
        <w:t>utilizing</w:t>
      </w:r>
      <w:r w:rsidRPr="00FB76C6">
        <w:rPr>
          <w:rFonts w:ascii="Times New Roman" w:hAnsi="Times New Roman" w:cs="Times New Roman"/>
          <w:b/>
          <w:bCs/>
          <w:lang w:val="en-US"/>
        </w:rPr>
        <w:t xml:space="preserve"> direct control of the heart alter </w:t>
      </w:r>
      <w:r w:rsidR="00F96293">
        <w:rPr>
          <w:rFonts w:ascii="Times New Roman" w:hAnsi="Times New Roman" w:cs="Times New Roman"/>
          <w:b/>
          <w:bCs/>
          <w:lang w:val="en-US"/>
        </w:rPr>
        <w:t>cardiac outp</w:t>
      </w:r>
      <w:r w:rsidR="00CF39F5">
        <w:rPr>
          <w:rFonts w:ascii="Times New Roman" w:hAnsi="Times New Roman" w:cs="Times New Roman"/>
          <w:b/>
          <w:bCs/>
          <w:lang w:val="en-US"/>
        </w:rPr>
        <w:t>u</w:t>
      </w:r>
      <w:r w:rsidR="00F96293">
        <w:rPr>
          <w:rFonts w:ascii="Times New Roman" w:hAnsi="Times New Roman" w:cs="Times New Roman"/>
          <w:b/>
          <w:bCs/>
          <w:lang w:val="en-US"/>
        </w:rPr>
        <w:t>t</w:t>
      </w:r>
    </w:p>
    <w:p w14:paraId="56FCA29B" w14:textId="438E874C" w:rsidR="00EC7DDD" w:rsidRDefault="00EC7DDD" w:rsidP="00EC7DDD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1B00751" w14:textId="2C8C2D96" w:rsidR="00323CE5" w:rsidRDefault="00323CE5" w:rsidP="00323CE5">
      <w:pPr>
        <w:spacing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CBF, cerebral blood flow; CI, cardiac index;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CMRO</w:t>
      </w:r>
      <w:r w:rsidRPr="00323CE5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, cerebral metabolic rate for oxygen;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CO, cardiac output;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CPN, cardiopulmonary bypass;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>ETCO</w:t>
      </w:r>
      <w:r w:rsidRPr="00B976C7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2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end-tidal carbon dioxide;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HR, heart rate; ICA, internal carotid artery; IJV, internal jugular vein; LVEDP, left ventricular end diastolic volume;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MAP, mean arterial pressure; PAC, pulmonary artery catheter; PWA, pulse wave analysis; TCD, transcranial Doppler;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VA, vertebral artery;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>Xe, xenon</w:t>
      </w:r>
    </w:p>
    <w:p w14:paraId="7208CF11" w14:textId="77777777" w:rsidR="00EC7DDD" w:rsidRPr="00FB76C6" w:rsidRDefault="00EC7DDD" w:rsidP="00176D6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424"/>
        <w:gridCol w:w="1275"/>
        <w:gridCol w:w="1417"/>
        <w:gridCol w:w="1278"/>
        <w:gridCol w:w="1702"/>
        <w:gridCol w:w="1557"/>
        <w:gridCol w:w="1420"/>
        <w:gridCol w:w="1557"/>
        <w:gridCol w:w="2048"/>
      </w:tblGrid>
      <w:tr w:rsidR="00323CE5" w:rsidRPr="006608FA" w14:paraId="6072CEF5" w14:textId="77777777" w:rsidTr="00323CE5">
        <w:tc>
          <w:tcPr>
            <w:tcW w:w="456" w:type="pct"/>
          </w:tcPr>
          <w:p w14:paraId="4F49ADBA" w14:textId="77777777" w:rsidR="00323CE5" w:rsidRPr="00323CE5" w:rsidRDefault="00176D64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23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Author</w:t>
            </w:r>
            <w:r w:rsidR="00323CE5" w:rsidRPr="00323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23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(Year)</w:t>
            </w:r>
          </w:p>
          <w:p w14:paraId="394DC635" w14:textId="77777777" w:rsidR="00323CE5" w:rsidRPr="00323CE5" w:rsidRDefault="00323CE5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23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[Reference #]</w:t>
            </w:r>
          </w:p>
          <w:p w14:paraId="72F71B3E" w14:textId="7DAEE32A" w:rsidR="00176D64" w:rsidRPr="00323CE5" w:rsidRDefault="00176D64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23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2" w:type="pct"/>
          </w:tcPr>
          <w:p w14:paraId="0CDCFD2E" w14:textId="77777777" w:rsidR="00176D64" w:rsidRPr="00323CE5" w:rsidRDefault="00176D64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23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N</w:t>
            </w:r>
          </w:p>
        </w:tc>
        <w:tc>
          <w:tcPr>
            <w:tcW w:w="457" w:type="pct"/>
          </w:tcPr>
          <w:p w14:paraId="14E997AB" w14:textId="77777777" w:rsidR="00176D64" w:rsidRPr="00323CE5" w:rsidRDefault="00176D64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23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Subjects</w:t>
            </w:r>
          </w:p>
        </w:tc>
        <w:tc>
          <w:tcPr>
            <w:tcW w:w="508" w:type="pct"/>
          </w:tcPr>
          <w:p w14:paraId="606C394F" w14:textId="77777777" w:rsidR="00176D64" w:rsidRPr="00323CE5" w:rsidRDefault="00176D64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23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Method of CBF measurement</w:t>
            </w:r>
          </w:p>
        </w:tc>
        <w:tc>
          <w:tcPr>
            <w:tcW w:w="458" w:type="pct"/>
          </w:tcPr>
          <w:p w14:paraId="32DF82C3" w14:textId="77777777" w:rsidR="00176D64" w:rsidRPr="00323CE5" w:rsidRDefault="00176D64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23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Method of CO measurement</w:t>
            </w:r>
          </w:p>
        </w:tc>
        <w:tc>
          <w:tcPr>
            <w:tcW w:w="610" w:type="pct"/>
          </w:tcPr>
          <w:p w14:paraId="43A83E5E" w14:textId="77777777" w:rsidR="00176D64" w:rsidRPr="00323CE5" w:rsidRDefault="00176D64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23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Intervention</w:t>
            </w:r>
          </w:p>
        </w:tc>
        <w:tc>
          <w:tcPr>
            <w:tcW w:w="558" w:type="pct"/>
          </w:tcPr>
          <w:p w14:paraId="286D7996" w14:textId="77777777" w:rsidR="00176D64" w:rsidRPr="00323CE5" w:rsidRDefault="00176D64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23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CO/CI</w:t>
            </w:r>
          </w:p>
        </w:tc>
        <w:tc>
          <w:tcPr>
            <w:tcW w:w="509" w:type="pct"/>
          </w:tcPr>
          <w:p w14:paraId="0ADE3661" w14:textId="77777777" w:rsidR="00176D64" w:rsidRPr="00323CE5" w:rsidRDefault="00176D64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23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MAP</w:t>
            </w:r>
          </w:p>
        </w:tc>
        <w:tc>
          <w:tcPr>
            <w:tcW w:w="558" w:type="pct"/>
          </w:tcPr>
          <w:p w14:paraId="09D8D446" w14:textId="77777777" w:rsidR="00176D64" w:rsidRPr="00323CE5" w:rsidRDefault="00176D64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23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pCO2 (measure)</w:t>
            </w:r>
          </w:p>
        </w:tc>
        <w:tc>
          <w:tcPr>
            <w:tcW w:w="734" w:type="pct"/>
          </w:tcPr>
          <w:p w14:paraId="5E543B46" w14:textId="77777777" w:rsidR="00176D64" w:rsidRPr="00323CE5" w:rsidRDefault="00176D64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23CE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CBF</w:t>
            </w:r>
          </w:p>
        </w:tc>
      </w:tr>
      <w:tr w:rsidR="00323CE5" w:rsidRPr="006608FA" w14:paraId="11274577" w14:textId="77777777" w:rsidTr="00323CE5">
        <w:tc>
          <w:tcPr>
            <w:tcW w:w="456" w:type="pct"/>
          </w:tcPr>
          <w:p w14:paraId="2F7A87BD" w14:textId="5CC34362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Govier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1984 </w:t>
            </w:r>
            <w:r w:rsidR="004344D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[61]</w:t>
            </w:r>
          </w:p>
        </w:tc>
        <w:tc>
          <w:tcPr>
            <w:tcW w:w="152" w:type="pct"/>
          </w:tcPr>
          <w:p w14:paraId="0AB6255F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67</w:t>
            </w:r>
          </w:p>
        </w:tc>
        <w:tc>
          <w:tcPr>
            <w:tcW w:w="457" w:type="pct"/>
          </w:tcPr>
          <w:p w14:paraId="08C45A79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67 patients undergoing coronary bypass requiring cardiopulmonary bypass </w:t>
            </w:r>
          </w:p>
        </w:tc>
        <w:tc>
          <w:tcPr>
            <w:tcW w:w="508" w:type="pct"/>
          </w:tcPr>
          <w:p w14:paraId="6FCF86D5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0" w:name="OLE_LINK353"/>
            <w:bookmarkStart w:id="1" w:name="OLE_LINK354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Intraarterial 133Xe with single transcranial detector over central sulcus</w:t>
            </w:r>
            <w:bookmarkEnd w:id="0"/>
            <w:bookmarkEnd w:id="1"/>
          </w:p>
        </w:tc>
        <w:tc>
          <w:tcPr>
            <w:tcW w:w="458" w:type="pct"/>
          </w:tcPr>
          <w:p w14:paraId="07748009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Pump setting </w:t>
            </w:r>
          </w:p>
        </w:tc>
        <w:tc>
          <w:tcPr>
            <w:tcW w:w="610" w:type="pct"/>
          </w:tcPr>
          <w:p w14:paraId="1B60870E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In all patients, random measures were taken comparing CO and CBF. </w:t>
            </w:r>
          </w:p>
          <w:p w14:paraId="6129D6E3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D25A227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PaC02 (33-45mmhg), nasopharyngeal temperature 25.6-29.3), and MAP (45-70 mm Hg) were held within ranges.</w:t>
            </w:r>
          </w:p>
        </w:tc>
        <w:tc>
          <w:tcPr>
            <w:tcW w:w="558" w:type="pct"/>
          </w:tcPr>
          <w:p w14:paraId="47CA63EC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Natural variation</w:t>
            </w:r>
          </w:p>
          <w:p w14:paraId="3A681F97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4790A8F0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In 10 patients, pump flow rate was altered between (1.0, 1.3, 1.6, 2.0 L/min/m2). </w:t>
            </w:r>
          </w:p>
          <w:p w14:paraId="13ADEB2A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09" w:type="pct"/>
          </w:tcPr>
          <w:p w14:paraId="122353EC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No data </w:t>
            </w:r>
          </w:p>
        </w:tc>
        <w:tc>
          <w:tcPr>
            <w:tcW w:w="558" w:type="pct"/>
          </w:tcPr>
          <w:p w14:paraId="705737E8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734" w:type="pct"/>
          </w:tcPr>
          <w:p w14:paraId="5D08C1CE" w14:textId="48A9CF6C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In random measurement, there was poor </w:t>
            </w:r>
            <w:r w:rsidR="00EC7D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correlation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between CBF and MAP ( r = -0.13; p = 0.19) (and CBF and CI (r = 0.15; p =0.11). </w:t>
            </w:r>
          </w:p>
          <w:p w14:paraId="33FFE5DC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B220395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There was a highly</w:t>
            </w:r>
          </w:p>
          <w:p w14:paraId="62F06316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significant (p &lt; 0.0001) correlation of regional CBF with temperature during CPB (r = 0.54)</w:t>
            </w:r>
          </w:p>
          <w:p w14:paraId="3B163BDA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F02F382" w14:textId="63CBC622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There was a significant (p &lt; 0.005) association between</w:t>
            </w:r>
          </w:p>
          <w:p w14:paraId="0F44AFDA" w14:textId="1B7CE776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regional CBF and PaC02  r = 0.27).</w:t>
            </w:r>
          </w:p>
          <w:p w14:paraId="591AE7B4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837D65A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No significant change in the measured regional CBF while CO was varied between 1-2L/min/m2. However, the PaCO2 and MAP for these </w:t>
            </w: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pt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were held in wide ranges</w:t>
            </w:r>
          </w:p>
        </w:tc>
      </w:tr>
      <w:tr w:rsidR="00323CE5" w:rsidRPr="006608FA" w14:paraId="1D6A855D" w14:textId="77777777" w:rsidTr="00323CE5">
        <w:tc>
          <w:tcPr>
            <w:tcW w:w="456" w:type="pct"/>
          </w:tcPr>
          <w:p w14:paraId="2AA0A8FE" w14:textId="5E776916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Shapiro 1969 </w:t>
            </w:r>
            <w:r w:rsidR="004344D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[67]</w:t>
            </w:r>
          </w:p>
        </w:tc>
        <w:tc>
          <w:tcPr>
            <w:tcW w:w="152" w:type="pct"/>
          </w:tcPr>
          <w:p w14:paraId="707FEC0A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5 </w:t>
            </w:r>
          </w:p>
        </w:tc>
        <w:tc>
          <w:tcPr>
            <w:tcW w:w="457" w:type="pct"/>
          </w:tcPr>
          <w:p w14:paraId="768F3EAE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 patients with complete heart block</w:t>
            </w:r>
          </w:p>
        </w:tc>
        <w:tc>
          <w:tcPr>
            <w:tcW w:w="508" w:type="pct"/>
          </w:tcPr>
          <w:p w14:paraId="70648D92" w14:textId="1183CEF8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IJV sampling for CMRO2. CBF was </w:t>
            </w:r>
            <w:r w:rsidR="00EC7DDD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approximated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from CMRO2</w:t>
            </w:r>
          </w:p>
        </w:tc>
        <w:tc>
          <w:tcPr>
            <w:tcW w:w="458" w:type="pct"/>
          </w:tcPr>
          <w:p w14:paraId="5C981DB0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PAC</w:t>
            </w:r>
          </w:p>
        </w:tc>
        <w:tc>
          <w:tcPr>
            <w:tcW w:w="610" w:type="pct"/>
          </w:tcPr>
          <w:p w14:paraId="52B7C852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Increasing HR by cardiac pacemaker to 60, 70, 90, and 100bpm. </w:t>
            </w:r>
          </w:p>
        </w:tc>
        <w:tc>
          <w:tcPr>
            <w:tcW w:w="558" w:type="pct"/>
          </w:tcPr>
          <w:p w14:paraId="6F8CD464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 increased with initiation of pacing, but remained stable with increases in pacing rate</w:t>
            </w:r>
          </w:p>
          <w:p w14:paraId="08BD0208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Unpaced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(HR 30-40) = 2.8±0.5 L/min/m2</w:t>
            </w:r>
          </w:p>
          <w:p w14:paraId="5603B091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60bpm = 3.6±0.6</w:t>
            </w:r>
          </w:p>
          <w:p w14:paraId="66998556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70bpm = 3.4±0.6</w:t>
            </w:r>
          </w:p>
          <w:p w14:paraId="2A9D2C34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90bpm = 3.4±0.5</w:t>
            </w:r>
          </w:p>
          <w:p w14:paraId="6AB5994F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100bpm = 3.6±0.7</w:t>
            </w:r>
          </w:p>
        </w:tc>
        <w:tc>
          <w:tcPr>
            <w:tcW w:w="509" w:type="pct"/>
          </w:tcPr>
          <w:p w14:paraId="53C76468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MAP remained stable with initiation and increasing rates of ventricular pacing</w:t>
            </w:r>
          </w:p>
          <w:p w14:paraId="2363DB86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2" w:name="OLE_LINK12"/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Unpaced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= 105±13mmHg</w:t>
            </w:r>
          </w:p>
          <w:p w14:paraId="48E9732E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60bpm = 109±17</w:t>
            </w:r>
          </w:p>
          <w:p w14:paraId="3EF47AD6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70bpm = 112±16</w:t>
            </w:r>
          </w:p>
          <w:p w14:paraId="44193663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90bpm = 110±12</w:t>
            </w:r>
          </w:p>
          <w:p w14:paraId="16485B38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100bpm = 111±7</w:t>
            </w:r>
            <w:bookmarkEnd w:id="2"/>
          </w:p>
        </w:tc>
        <w:tc>
          <w:tcPr>
            <w:tcW w:w="558" w:type="pct"/>
          </w:tcPr>
          <w:p w14:paraId="70E0325B" w14:textId="0CAB9609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PCO2 remained stable with </w:t>
            </w:r>
            <w:r w:rsidR="00EC7DDD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initiation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and increasing rates of ventricular pacing</w:t>
            </w:r>
          </w:p>
          <w:p w14:paraId="63F8C40B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Unpaced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= 38±3mmHg</w:t>
            </w:r>
          </w:p>
          <w:p w14:paraId="5985C4EB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60bpm = 41±1</w:t>
            </w:r>
          </w:p>
          <w:p w14:paraId="7BE04CED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70bpm = 40±2</w:t>
            </w:r>
          </w:p>
          <w:p w14:paraId="66F40CF7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90bpm = 41±2</w:t>
            </w:r>
          </w:p>
          <w:p w14:paraId="3BA25D16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100bpm = 39±2</w:t>
            </w:r>
          </w:p>
        </w:tc>
        <w:tc>
          <w:tcPr>
            <w:tcW w:w="734" w:type="pct"/>
          </w:tcPr>
          <w:p w14:paraId="5ED9EA69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CBF increased with initiation of pacing, but remained stable with increases in pacing rate</w:t>
            </w:r>
          </w:p>
          <w:p w14:paraId="69029AAE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Unpaced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= 100%</w:t>
            </w:r>
          </w:p>
          <w:p w14:paraId="23F4EB91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60bpm = 118±6%</w:t>
            </w:r>
          </w:p>
          <w:p w14:paraId="05FDD1CD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70bpm = 118±12</w:t>
            </w:r>
          </w:p>
          <w:p w14:paraId="75665AD2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90bpm = 118±11</w:t>
            </w:r>
          </w:p>
          <w:p w14:paraId="72B710B7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100bpm = 124±16</w:t>
            </w:r>
          </w:p>
          <w:p w14:paraId="74092201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23CE5" w:rsidRPr="006608FA" w14:paraId="035F0C93" w14:textId="77777777" w:rsidTr="00323CE5">
        <w:tc>
          <w:tcPr>
            <w:tcW w:w="456" w:type="pct"/>
          </w:tcPr>
          <w:p w14:paraId="1A8B0426" w14:textId="4B18FE4C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Schwartz (1995) </w:t>
            </w:r>
            <w:r w:rsidR="004344D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[62]</w:t>
            </w:r>
          </w:p>
        </w:tc>
        <w:tc>
          <w:tcPr>
            <w:tcW w:w="152" w:type="pct"/>
          </w:tcPr>
          <w:p w14:paraId="622AE498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57" w:type="pct"/>
          </w:tcPr>
          <w:p w14:paraId="22907D4D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 baboons were placed on Cardiopulmonary bypass and cooled to 28°C</w:t>
            </w:r>
          </w:p>
        </w:tc>
        <w:tc>
          <w:tcPr>
            <w:tcW w:w="508" w:type="pct"/>
          </w:tcPr>
          <w:p w14:paraId="1C23C3E6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133Xe washout</w:t>
            </w:r>
          </w:p>
        </w:tc>
        <w:tc>
          <w:tcPr>
            <w:tcW w:w="458" w:type="pct"/>
          </w:tcPr>
          <w:p w14:paraId="231F08A0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Pump flow</w:t>
            </w:r>
          </w:p>
        </w:tc>
        <w:tc>
          <w:tcPr>
            <w:tcW w:w="610" w:type="pct"/>
          </w:tcPr>
          <w:p w14:paraId="789AB332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Altering pump flow; and altering MAP by inducing distributive shock with spinal anesthesia and by artificially stenosing the descending aorta</w:t>
            </w:r>
          </w:p>
        </w:tc>
        <w:tc>
          <w:tcPr>
            <w:tcW w:w="558" w:type="pct"/>
          </w:tcPr>
          <w:p w14:paraId="61D97388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Pump flow was altered from 0.75 </w:t>
            </w:r>
            <w:bookmarkStart w:id="3" w:name="OLE_LINK365"/>
            <w:bookmarkStart w:id="4" w:name="OLE_LINK366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L/min/m2 </w:t>
            </w:r>
            <w:bookmarkEnd w:id="3"/>
            <w:bookmarkEnd w:id="4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(low flow) to 2.23 L/min/m2 (high flow)</w:t>
            </w:r>
          </w:p>
        </w:tc>
        <w:tc>
          <w:tcPr>
            <w:tcW w:w="509" w:type="pct"/>
          </w:tcPr>
          <w:p w14:paraId="6E3217AC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was artificially altered to high (61±2mmHg) and low (24±3) levels</w:t>
            </w:r>
          </w:p>
        </w:tc>
        <w:tc>
          <w:tcPr>
            <w:tcW w:w="558" w:type="pct"/>
          </w:tcPr>
          <w:p w14:paraId="12C31793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paCO2 (alpha-stat) remained stable (34±2 mmHg on high flow; 36±4 on low flow)</w:t>
            </w:r>
          </w:p>
        </w:tc>
        <w:tc>
          <w:tcPr>
            <w:tcW w:w="734" w:type="pct"/>
          </w:tcPr>
          <w:p w14:paraId="616C2011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During high </w:t>
            </w:r>
            <w:bookmarkStart w:id="5" w:name="OLE_LINK369"/>
            <w:bookmarkStart w:id="6" w:name="OLE_LINK370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BP, CBF remained stable between high and low flow (27.6±9.9 vs 34.0±8.3ml/100g/min)</w:t>
            </w:r>
          </w:p>
          <w:bookmarkEnd w:id="5"/>
          <w:bookmarkEnd w:id="6"/>
          <w:p w14:paraId="0C1718D3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D2018A9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During low BP, CBF remained stable between high and low flow (16.8±3.7 vs 14.1±3.7ml/100g/min)</w:t>
            </w:r>
          </w:p>
        </w:tc>
      </w:tr>
      <w:tr w:rsidR="00323CE5" w:rsidRPr="006608FA" w14:paraId="04CE594E" w14:textId="77777777" w:rsidTr="00323CE5">
        <w:tc>
          <w:tcPr>
            <w:tcW w:w="456" w:type="pct"/>
          </w:tcPr>
          <w:p w14:paraId="70721C92" w14:textId="797BD3FD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Soma (1989)</w:t>
            </w:r>
            <w:r w:rsidR="004344D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[63]</w:t>
            </w:r>
          </w:p>
        </w:tc>
        <w:tc>
          <w:tcPr>
            <w:tcW w:w="152" w:type="pct"/>
          </w:tcPr>
          <w:p w14:paraId="64BEFD94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21</w:t>
            </w:r>
          </w:p>
        </w:tc>
        <w:tc>
          <w:tcPr>
            <w:tcW w:w="457" w:type="pct"/>
          </w:tcPr>
          <w:p w14:paraId="0E131061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21 adults on cardiopulmonary bypass</w:t>
            </w:r>
          </w:p>
        </w:tc>
        <w:tc>
          <w:tcPr>
            <w:tcW w:w="508" w:type="pct"/>
          </w:tcPr>
          <w:p w14:paraId="0C680526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Argon washout</w:t>
            </w:r>
          </w:p>
        </w:tc>
        <w:tc>
          <w:tcPr>
            <w:tcW w:w="458" w:type="pct"/>
          </w:tcPr>
          <w:p w14:paraId="0D9A4738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Pump flow</w:t>
            </w:r>
          </w:p>
        </w:tc>
        <w:tc>
          <w:tcPr>
            <w:tcW w:w="610" w:type="pct"/>
          </w:tcPr>
          <w:p w14:paraId="72AADC99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Altering pump flow</w:t>
            </w:r>
          </w:p>
        </w:tc>
        <w:tc>
          <w:tcPr>
            <w:tcW w:w="558" w:type="pct"/>
          </w:tcPr>
          <w:p w14:paraId="1FDDCEB2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Pump flow was altered to 40, 50, 60, and 70 ml/kg/min,</w:t>
            </w:r>
          </w:p>
          <w:p w14:paraId="1B4F58E9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09" w:type="pct"/>
          </w:tcPr>
          <w:p w14:paraId="4E1298BE" w14:textId="3B5FC315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MAP did not vary considerably </w:t>
            </w:r>
            <w:r w:rsidR="00EC7DDD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with pump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flow </w:t>
            </w:r>
          </w:p>
        </w:tc>
        <w:tc>
          <w:tcPr>
            <w:tcW w:w="558" w:type="pct"/>
          </w:tcPr>
          <w:p w14:paraId="3A7A9068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measured</w:t>
            </w:r>
          </w:p>
        </w:tc>
        <w:tc>
          <w:tcPr>
            <w:tcW w:w="734" w:type="pct"/>
          </w:tcPr>
          <w:p w14:paraId="0B02C864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CBF increased in a rate dependent manner from 25ml/100g/min at a pump flow of 40ml/kg/min to 42ml/100g/min at 70ml/kg/min</w:t>
            </w:r>
          </w:p>
        </w:tc>
      </w:tr>
      <w:tr w:rsidR="00323CE5" w:rsidRPr="006608FA" w14:paraId="12A309C5" w14:textId="77777777" w:rsidTr="00323CE5">
        <w:tc>
          <w:tcPr>
            <w:tcW w:w="456" w:type="pct"/>
          </w:tcPr>
          <w:p w14:paraId="7B44C8EB" w14:textId="6C2CD421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Ozdemir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(2012)</w:t>
            </w:r>
            <w:r w:rsidR="004344D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[51]</w:t>
            </w:r>
          </w:p>
        </w:tc>
        <w:tc>
          <w:tcPr>
            <w:tcW w:w="152" w:type="pct"/>
          </w:tcPr>
          <w:p w14:paraId="18DCD96F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22</w:t>
            </w:r>
          </w:p>
        </w:tc>
        <w:tc>
          <w:tcPr>
            <w:tcW w:w="457" w:type="pct"/>
          </w:tcPr>
          <w:p w14:paraId="6B8E26C0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22 patients with idiopathic dilated cardiomyopathy</w:t>
            </w:r>
          </w:p>
        </w:tc>
        <w:tc>
          <w:tcPr>
            <w:tcW w:w="508" w:type="pct"/>
          </w:tcPr>
          <w:p w14:paraId="47719321" w14:textId="40B8B338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TCD ICA</w:t>
            </w:r>
            <w:r w:rsidR="00323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flow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and VA</w:t>
            </w:r>
            <w:r w:rsidR="00323CE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flow</w:t>
            </w:r>
          </w:p>
        </w:tc>
        <w:tc>
          <w:tcPr>
            <w:tcW w:w="458" w:type="pct"/>
          </w:tcPr>
          <w:p w14:paraId="6B262ABC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Echocardiography</w:t>
            </w:r>
          </w:p>
        </w:tc>
        <w:tc>
          <w:tcPr>
            <w:tcW w:w="610" w:type="pct"/>
          </w:tcPr>
          <w:p w14:paraId="32424EA8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Cardiac </w:t>
            </w: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resynchoronisation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therapy</w:t>
            </w:r>
          </w:p>
        </w:tc>
        <w:tc>
          <w:tcPr>
            <w:tcW w:w="558" w:type="pct"/>
          </w:tcPr>
          <w:p w14:paraId="34D04D49" w14:textId="08A7AAF5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 increased after </w:t>
            </w: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resynchronisation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therapy (2.9±0.7 to 3.7±0.6; p&lt;0.001).</w:t>
            </w:r>
          </w:p>
          <w:p w14:paraId="3631C396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E2911B5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LVEDP also decreased (15.6±4.8 to 13.4±3.9; P= 0.01)</w:t>
            </w:r>
          </w:p>
        </w:tc>
        <w:tc>
          <w:tcPr>
            <w:tcW w:w="509" w:type="pct"/>
          </w:tcPr>
          <w:p w14:paraId="789919C7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did not change significantly with resynchronization therapy (88.8±12.2 to 86.9±10.9; P=0.1)</w:t>
            </w:r>
          </w:p>
        </w:tc>
        <w:tc>
          <w:tcPr>
            <w:tcW w:w="558" w:type="pct"/>
          </w:tcPr>
          <w:p w14:paraId="247EDD02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measured</w:t>
            </w:r>
          </w:p>
        </w:tc>
        <w:tc>
          <w:tcPr>
            <w:tcW w:w="734" w:type="pct"/>
          </w:tcPr>
          <w:p w14:paraId="31F156FE" w14:textId="77777777" w:rsidR="00176D64" w:rsidRPr="006608FA" w:rsidRDefault="00176D6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CBF increased from 502.3±80.2 to 702.3±77.4; P=0.001 (statistically significant increases in both ICA and VA flow volume). Resistivity Index (RI) and </w:t>
            </w: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Pulsatility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Index (PI) were not consistently different before and after resynchronization. </w:t>
            </w:r>
          </w:p>
        </w:tc>
      </w:tr>
    </w:tbl>
    <w:p w14:paraId="13BA8696" w14:textId="77777777" w:rsidR="00176D64" w:rsidRPr="00FB76C6" w:rsidRDefault="00176D64" w:rsidP="00176D6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6E0991AA" w14:textId="77777777" w:rsidR="00B8483A" w:rsidRPr="00176D64" w:rsidRDefault="00B8483A" w:rsidP="00176D64"/>
    <w:sectPr w:rsidR="00B8483A" w:rsidRPr="00176D64" w:rsidSect="00FB4EB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Headings)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BA"/>
    <w:rsid w:val="00043F8E"/>
    <w:rsid w:val="00176D64"/>
    <w:rsid w:val="002708AE"/>
    <w:rsid w:val="00323CE5"/>
    <w:rsid w:val="0032509B"/>
    <w:rsid w:val="00407184"/>
    <w:rsid w:val="004344DE"/>
    <w:rsid w:val="004B324C"/>
    <w:rsid w:val="00581B49"/>
    <w:rsid w:val="007075A1"/>
    <w:rsid w:val="00982EDE"/>
    <w:rsid w:val="009A353E"/>
    <w:rsid w:val="00B8104B"/>
    <w:rsid w:val="00B8483A"/>
    <w:rsid w:val="00C4145C"/>
    <w:rsid w:val="00CF39F5"/>
    <w:rsid w:val="00EC7DDD"/>
    <w:rsid w:val="00EF3463"/>
    <w:rsid w:val="00F96293"/>
    <w:rsid w:val="00F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6427"/>
  <w14:defaultImageDpi w14:val="32767"/>
  <w15:chartTrackingRefBased/>
  <w15:docId w15:val="{651ED58D-5BB8-2641-87C1-BF1FF256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Calibri (Heading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Castle-Kirszbaum</dc:creator>
  <cp:keywords/>
  <dc:description/>
  <cp:lastModifiedBy>Martin</cp:lastModifiedBy>
  <cp:revision>8</cp:revision>
  <dcterms:created xsi:type="dcterms:W3CDTF">2020-11-21T05:46:00Z</dcterms:created>
  <dcterms:modified xsi:type="dcterms:W3CDTF">2021-02-07T14:33:00Z</dcterms:modified>
</cp:coreProperties>
</file>