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EFEB" w14:textId="77777777" w:rsidR="006C02C4" w:rsidRDefault="00246705" w:rsidP="003D7943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3D7943" w:rsidRPr="00FB76C6">
        <w:rPr>
          <w:rFonts w:ascii="Times New Roman" w:hAnsi="Times New Roman" w:cs="Times New Roman"/>
          <w:b/>
          <w:bCs/>
          <w:lang w:val="en-US"/>
        </w:rPr>
        <w:t>Table 6</w:t>
      </w:r>
    </w:p>
    <w:p w14:paraId="728BC6CB" w14:textId="4D7BA394" w:rsidR="006C02C4" w:rsidRDefault="003D7943" w:rsidP="003D7943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B76C6">
        <w:rPr>
          <w:rFonts w:ascii="Times New Roman" w:hAnsi="Times New Roman" w:cs="Times New Roman"/>
          <w:b/>
          <w:bCs/>
          <w:lang w:val="en-US"/>
        </w:rPr>
        <w:t xml:space="preserve">Studies </w:t>
      </w:r>
      <w:r w:rsidR="00A8797D" w:rsidRPr="00FB76C6">
        <w:rPr>
          <w:rFonts w:ascii="Times New Roman" w:hAnsi="Times New Roman" w:cs="Times New Roman"/>
          <w:b/>
          <w:bCs/>
          <w:lang w:val="en-US"/>
        </w:rPr>
        <w:t>utilizing</w:t>
      </w:r>
      <w:r w:rsidRPr="00FB76C6">
        <w:rPr>
          <w:rFonts w:ascii="Times New Roman" w:hAnsi="Times New Roman" w:cs="Times New Roman"/>
          <w:b/>
          <w:bCs/>
          <w:lang w:val="en-US"/>
        </w:rPr>
        <w:t xml:space="preserve"> miscellaneous methods to alter </w:t>
      </w:r>
      <w:r w:rsidR="006C02C4">
        <w:rPr>
          <w:rFonts w:ascii="Times New Roman" w:hAnsi="Times New Roman" w:cs="Times New Roman"/>
          <w:b/>
          <w:bCs/>
          <w:lang w:val="en-US"/>
        </w:rPr>
        <w:t>cardiac output</w:t>
      </w:r>
      <w:r w:rsidRPr="00FB76C6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1B3F4427" w14:textId="77777777" w:rsidR="001F0AA4" w:rsidRDefault="001F0AA4" w:rsidP="003D7943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2E3A778F" w14:textId="7E83503E" w:rsidR="006C02C4" w:rsidRDefault="006C02C4" w:rsidP="006C02C4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AVM, arteriovenous malformation;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CBF, cerebral blood flow;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CCA, common carotid artery;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>CI, cardiac index; CO, cardiac output; ETCO</w:t>
      </w:r>
      <w:r w:rsidRPr="00B976C7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end-tidal carbon dioxide;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ICA, internal carotid artery;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MAP, mean arterial pressure;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MRI, magnetic resonance imaging;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PAC, pulmonary artery catheter; PWA, pulse wave analysis;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SV, stroke volume;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TCD, transcranial Doppler;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TPR, total peripheral resistance;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Vmca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, middle cerebral artery flow velocity;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>Xe, xenon</w:t>
      </w:r>
    </w:p>
    <w:p w14:paraId="628FD58C" w14:textId="77777777" w:rsidR="003D7943" w:rsidRPr="00FB76C6" w:rsidRDefault="003D7943" w:rsidP="003D7943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566"/>
        <w:gridCol w:w="1211"/>
        <w:gridCol w:w="1256"/>
        <w:gridCol w:w="86"/>
        <w:gridCol w:w="1426"/>
        <w:gridCol w:w="1175"/>
        <w:gridCol w:w="1763"/>
        <w:gridCol w:w="1540"/>
        <w:gridCol w:w="1543"/>
        <w:gridCol w:w="2112"/>
      </w:tblGrid>
      <w:tr w:rsidR="003D7943" w:rsidRPr="006608FA" w14:paraId="39D45714" w14:textId="77777777" w:rsidTr="00410D09">
        <w:tc>
          <w:tcPr>
            <w:tcW w:w="456" w:type="pct"/>
          </w:tcPr>
          <w:p w14:paraId="572B3238" w14:textId="77777777" w:rsidR="003D7943" w:rsidRDefault="003D794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C02C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Author (Year) </w:t>
            </w:r>
            <w:r w:rsidR="006C02C4" w:rsidRPr="006C02C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[reference #]</w:t>
            </w:r>
          </w:p>
          <w:p w14:paraId="43003480" w14:textId="17F96F30" w:rsidR="006C02C4" w:rsidRPr="006C02C4" w:rsidRDefault="006C02C4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</w:tcPr>
          <w:p w14:paraId="79EAE7C4" w14:textId="77777777" w:rsidR="003D7943" w:rsidRPr="006C02C4" w:rsidRDefault="003D794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C02C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N</w:t>
            </w:r>
          </w:p>
        </w:tc>
        <w:tc>
          <w:tcPr>
            <w:tcW w:w="434" w:type="pct"/>
          </w:tcPr>
          <w:p w14:paraId="43CA3F2B" w14:textId="77777777" w:rsidR="003D7943" w:rsidRPr="006C02C4" w:rsidRDefault="003D794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C02C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Subjects</w:t>
            </w:r>
          </w:p>
        </w:tc>
        <w:tc>
          <w:tcPr>
            <w:tcW w:w="481" w:type="pct"/>
            <w:gridSpan w:val="2"/>
          </w:tcPr>
          <w:p w14:paraId="40E61CED" w14:textId="77777777" w:rsidR="003D7943" w:rsidRPr="006C02C4" w:rsidRDefault="003D794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C02C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Method of CBF measurement</w:t>
            </w:r>
          </w:p>
        </w:tc>
        <w:tc>
          <w:tcPr>
            <w:tcW w:w="511" w:type="pct"/>
          </w:tcPr>
          <w:p w14:paraId="56F094CD" w14:textId="77777777" w:rsidR="003D7943" w:rsidRPr="006C02C4" w:rsidRDefault="003D794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C02C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Method of CO measurement</w:t>
            </w:r>
          </w:p>
        </w:tc>
        <w:tc>
          <w:tcPr>
            <w:tcW w:w="421" w:type="pct"/>
          </w:tcPr>
          <w:p w14:paraId="66895B1B" w14:textId="77777777" w:rsidR="003D7943" w:rsidRPr="006C02C4" w:rsidRDefault="003D794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C02C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Intervention</w:t>
            </w:r>
          </w:p>
        </w:tc>
        <w:tc>
          <w:tcPr>
            <w:tcW w:w="632" w:type="pct"/>
          </w:tcPr>
          <w:p w14:paraId="3E790475" w14:textId="77777777" w:rsidR="003D7943" w:rsidRPr="006C02C4" w:rsidRDefault="003D794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C02C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CO/CI</w:t>
            </w:r>
          </w:p>
        </w:tc>
        <w:tc>
          <w:tcPr>
            <w:tcW w:w="552" w:type="pct"/>
          </w:tcPr>
          <w:p w14:paraId="43ACDAB0" w14:textId="77777777" w:rsidR="003D7943" w:rsidRPr="006C02C4" w:rsidRDefault="003D794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C02C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MAP</w:t>
            </w:r>
          </w:p>
        </w:tc>
        <w:tc>
          <w:tcPr>
            <w:tcW w:w="553" w:type="pct"/>
          </w:tcPr>
          <w:p w14:paraId="594E7823" w14:textId="77777777" w:rsidR="003D7943" w:rsidRPr="006C02C4" w:rsidRDefault="003D794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C02C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pCO2 (measure)</w:t>
            </w:r>
          </w:p>
        </w:tc>
        <w:tc>
          <w:tcPr>
            <w:tcW w:w="757" w:type="pct"/>
          </w:tcPr>
          <w:p w14:paraId="3263CDA1" w14:textId="77777777" w:rsidR="003D7943" w:rsidRPr="006C02C4" w:rsidRDefault="003D7943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C02C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CBF</w:t>
            </w:r>
          </w:p>
        </w:tc>
      </w:tr>
      <w:tr w:rsidR="003D7943" w:rsidRPr="006608FA" w14:paraId="75826A53" w14:textId="77777777" w:rsidTr="00410D09">
        <w:tc>
          <w:tcPr>
            <w:tcW w:w="456" w:type="pct"/>
          </w:tcPr>
          <w:p w14:paraId="221D7FF2" w14:textId="6C8C77B8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Smith (1998) </w:t>
            </w:r>
            <w:r w:rsidR="00246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[47]</w:t>
            </w:r>
          </w:p>
        </w:tc>
        <w:tc>
          <w:tcPr>
            <w:tcW w:w="203" w:type="pct"/>
          </w:tcPr>
          <w:p w14:paraId="60C22D0C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24</w:t>
            </w:r>
          </w:p>
        </w:tc>
        <w:tc>
          <w:tcPr>
            <w:tcW w:w="434" w:type="pct"/>
          </w:tcPr>
          <w:p w14:paraId="1446FFCD" w14:textId="6B2B4B2D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 septic shock and 9 control (</w:t>
            </w:r>
            <w:bookmarkStart w:id="0" w:name="OLE_LINK95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hypovol</w:t>
            </w:r>
            <w:r w:rsidR="00A879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mic or cardiogenic shock)</w:t>
            </w:r>
            <w:bookmarkEnd w:id="0"/>
          </w:p>
        </w:tc>
        <w:tc>
          <w:tcPr>
            <w:tcW w:w="450" w:type="pct"/>
          </w:tcPr>
          <w:p w14:paraId="02D0182B" w14:textId="7D15A371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TCD of CCA</w:t>
            </w:r>
            <w:r w:rsidR="006C0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flow</w:t>
            </w:r>
          </w:p>
        </w:tc>
        <w:tc>
          <w:tcPr>
            <w:tcW w:w="542" w:type="pct"/>
            <w:gridSpan w:val="2"/>
          </w:tcPr>
          <w:p w14:paraId="043BE20C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 </w:t>
            </w:r>
          </w:p>
        </w:tc>
        <w:tc>
          <w:tcPr>
            <w:tcW w:w="421" w:type="pct"/>
          </w:tcPr>
          <w:p w14:paraId="085B9139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Nil</w:t>
            </w:r>
          </w:p>
        </w:tc>
        <w:tc>
          <w:tcPr>
            <w:tcW w:w="632" w:type="pct"/>
          </w:tcPr>
          <w:p w14:paraId="3BDEFE48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CI greater in septic shock (5.0±1.5</w:t>
            </w:r>
          </w:p>
          <w:p w14:paraId="74CDDEC8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L/min/m2) than control (3.1±0.7 L/min/m2) (p&lt;0.01)</w:t>
            </w:r>
          </w:p>
        </w:tc>
        <w:tc>
          <w:tcPr>
            <w:tcW w:w="552" w:type="pct"/>
          </w:tcPr>
          <w:p w14:paraId="18E894AC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1" w:name="OLE_LINK135"/>
            <w:bookmarkStart w:id="2" w:name="OLE_LINK136"/>
            <w:bookmarkStart w:id="3" w:name="OLE_LINK270"/>
            <w:bookmarkStart w:id="4" w:name="OLE_LINK271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“No correlation</w:t>
            </w:r>
            <w:bookmarkEnd w:id="1"/>
            <w:bookmarkEnd w:id="2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” but </w:t>
            </w:r>
            <w:bookmarkStart w:id="5" w:name="OLE_LINK268"/>
            <w:bookmarkStart w:id="6" w:name="OLE_LINK269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data not shown</w:t>
            </w:r>
          </w:p>
          <w:bookmarkEnd w:id="3"/>
          <w:bookmarkEnd w:id="4"/>
          <w:bookmarkEnd w:id="5"/>
          <w:bookmarkEnd w:id="6"/>
          <w:p w14:paraId="2D9C4142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53" w:type="pct"/>
          </w:tcPr>
          <w:p w14:paraId="5E805259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Data not shown, (no correlation)</w:t>
            </w:r>
          </w:p>
        </w:tc>
        <w:tc>
          <w:tcPr>
            <w:tcW w:w="757" w:type="pct"/>
          </w:tcPr>
          <w:p w14:paraId="7BE40435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Indexed carotid flow was greater, but not to a statistically significant degree: non-septic 204±72 vs septic 257±106 ml/min/m2</w:t>
            </w:r>
          </w:p>
        </w:tc>
      </w:tr>
      <w:tr w:rsidR="003D7943" w:rsidRPr="006608FA" w14:paraId="3A36C164" w14:textId="77777777" w:rsidTr="00410D09">
        <w:tc>
          <w:tcPr>
            <w:tcW w:w="456" w:type="pct"/>
          </w:tcPr>
          <w:p w14:paraId="2735E2C5" w14:textId="24956169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Saha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(1993) </w:t>
            </w:r>
            <w:r w:rsidR="00246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[29]</w:t>
            </w:r>
          </w:p>
        </w:tc>
        <w:tc>
          <w:tcPr>
            <w:tcW w:w="203" w:type="pct"/>
          </w:tcPr>
          <w:p w14:paraId="594979B4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45</w:t>
            </w:r>
          </w:p>
        </w:tc>
        <w:tc>
          <w:tcPr>
            <w:tcW w:w="434" w:type="pct"/>
          </w:tcPr>
          <w:p w14:paraId="72CEDBEF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45 adult perioperative cardiothoracic surgery patients </w:t>
            </w:r>
          </w:p>
        </w:tc>
        <w:tc>
          <w:tcPr>
            <w:tcW w:w="450" w:type="pct"/>
          </w:tcPr>
          <w:p w14:paraId="795F1B84" w14:textId="3C924EF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TCD of ICA</w:t>
            </w:r>
            <w:r w:rsidR="006C0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flow velocity &amp;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0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="006C0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Ocular </w:t>
            </w:r>
            <w:r w:rsidR="006C0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PWA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(ocular </w:t>
            </w:r>
            <w:r w:rsidR="006C0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blood flow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0AF81F3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42" w:type="pct"/>
            <w:gridSpan w:val="2"/>
          </w:tcPr>
          <w:p w14:paraId="78192FCD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 </w:t>
            </w:r>
          </w:p>
        </w:tc>
        <w:tc>
          <w:tcPr>
            <w:tcW w:w="421" w:type="pct"/>
          </w:tcPr>
          <w:p w14:paraId="794BB438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Nil</w:t>
            </w:r>
          </w:p>
        </w:tc>
        <w:tc>
          <w:tcPr>
            <w:tcW w:w="632" w:type="pct"/>
          </w:tcPr>
          <w:p w14:paraId="684DC625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CI varied between 2-4 L/min/m2 </w:t>
            </w:r>
          </w:p>
        </w:tc>
        <w:tc>
          <w:tcPr>
            <w:tcW w:w="552" w:type="pct"/>
          </w:tcPr>
          <w:p w14:paraId="0AB778C0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553" w:type="pct"/>
          </w:tcPr>
          <w:p w14:paraId="3BA0022A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57" w:type="pct"/>
          </w:tcPr>
          <w:p w14:paraId="047FE9BE" w14:textId="223D35D8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</w:t>
            </w:r>
            <w:r w:rsidR="001F0A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cular blood flow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was linearly correlated with CI, as was </w:t>
            </w:r>
            <w:r w:rsidR="006C0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systolic </w:t>
            </w:r>
            <w:proofErr w:type="spellStart"/>
            <w:r w:rsidR="006C0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 but not ICA flow velocity,</w:t>
            </w:r>
          </w:p>
        </w:tc>
      </w:tr>
      <w:tr w:rsidR="003D7943" w:rsidRPr="006608FA" w14:paraId="15CADF47" w14:textId="77777777" w:rsidTr="00410D09">
        <w:tc>
          <w:tcPr>
            <w:tcW w:w="456" w:type="pct"/>
          </w:tcPr>
          <w:p w14:paraId="61A5E8FA" w14:textId="561B258D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Diamant (2002)</w:t>
            </w:r>
            <w:r w:rsidR="00246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[32]</w:t>
            </w:r>
          </w:p>
        </w:tc>
        <w:tc>
          <w:tcPr>
            <w:tcW w:w="203" w:type="pct"/>
          </w:tcPr>
          <w:p w14:paraId="34E79BE2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34" w:type="pct"/>
          </w:tcPr>
          <w:p w14:paraId="3453F782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 healthy adults</w:t>
            </w:r>
          </w:p>
          <w:p w14:paraId="144AF7DE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</w:tcPr>
          <w:p w14:paraId="1B13B79F" w14:textId="551697F6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6C0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</w:p>
        </w:tc>
        <w:tc>
          <w:tcPr>
            <w:tcW w:w="542" w:type="pct"/>
            <w:gridSpan w:val="2"/>
          </w:tcPr>
          <w:p w14:paraId="5E781C89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PWA</w:t>
            </w:r>
          </w:p>
        </w:tc>
        <w:tc>
          <w:tcPr>
            <w:tcW w:w="421" w:type="pct"/>
          </w:tcPr>
          <w:p w14:paraId="40EBA270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Subjects were monitored for 24h </w:t>
            </w:r>
          </w:p>
        </w:tc>
        <w:tc>
          <w:tcPr>
            <w:tcW w:w="632" w:type="pct"/>
          </w:tcPr>
          <w:p w14:paraId="2AC38765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  <w:p w14:paraId="2A2DE5F7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</w:tcPr>
          <w:p w14:paraId="3DDBF804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553" w:type="pct"/>
          </w:tcPr>
          <w:p w14:paraId="3AC68FA3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57" w:type="pct"/>
          </w:tcPr>
          <w:p w14:paraId="6E81466A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  <w:p w14:paraId="7077476B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AFBB7E7" w14:textId="09546DD6" w:rsidR="003D7943" w:rsidRPr="006608FA" w:rsidRDefault="006C02C4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7" w:name="OLE_LINK96"/>
            <w:bookmarkStart w:id="8" w:name="OLE_LINK97"/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="003D794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was associated with SV and CO (P &lt; 0.001), to a lesser extent with mean arterial pressure (MAP; P &lt; 0.005</w:t>
            </w:r>
            <w:bookmarkEnd w:id="7"/>
            <w:bookmarkEnd w:id="8"/>
            <w:r w:rsidR="003D794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), not with heart rate or TPR. </w:t>
            </w:r>
          </w:p>
        </w:tc>
      </w:tr>
      <w:tr w:rsidR="003D7943" w:rsidRPr="006608FA" w14:paraId="6A8856BC" w14:textId="77777777" w:rsidTr="00410D09">
        <w:tc>
          <w:tcPr>
            <w:tcW w:w="456" w:type="pct"/>
          </w:tcPr>
          <w:p w14:paraId="22E46FC6" w14:textId="1D1B7F3E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Erkelens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(2017) </w:t>
            </w:r>
            <w:r w:rsidR="00246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[64]</w:t>
            </w:r>
          </w:p>
        </w:tc>
        <w:tc>
          <w:tcPr>
            <w:tcW w:w="203" w:type="pct"/>
          </w:tcPr>
          <w:p w14:paraId="30A0D59F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434" w:type="pct"/>
          </w:tcPr>
          <w:p w14:paraId="253014AC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15 with </w:t>
            </w:r>
            <w:bookmarkStart w:id="9" w:name="OLE_LINK112"/>
            <w:bookmarkStart w:id="10" w:name="OLE_LINK113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idiopathic dilated cardiomyopathy and 15 controls </w:t>
            </w:r>
            <w:bookmarkEnd w:id="9"/>
            <w:bookmarkEnd w:id="10"/>
          </w:p>
        </w:tc>
        <w:tc>
          <w:tcPr>
            <w:tcW w:w="450" w:type="pct"/>
          </w:tcPr>
          <w:p w14:paraId="4095D124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Pseudo-continuous arterial spin labelled MRI</w:t>
            </w:r>
          </w:p>
        </w:tc>
        <w:tc>
          <w:tcPr>
            <w:tcW w:w="542" w:type="pct"/>
            <w:gridSpan w:val="2"/>
          </w:tcPr>
          <w:p w14:paraId="4E8536EE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PWA</w:t>
            </w:r>
          </w:p>
        </w:tc>
        <w:tc>
          <w:tcPr>
            <w:tcW w:w="421" w:type="pct"/>
          </w:tcPr>
          <w:p w14:paraId="67993508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nil</w:t>
            </w:r>
          </w:p>
        </w:tc>
        <w:tc>
          <w:tcPr>
            <w:tcW w:w="632" w:type="pct"/>
          </w:tcPr>
          <w:p w14:paraId="7B94554F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was not different between cases (6.4 (5.7-7.3) L/min) and controls (6.0 (5.7-7.5)</w:t>
            </w:r>
          </w:p>
        </w:tc>
        <w:tc>
          <w:tcPr>
            <w:tcW w:w="552" w:type="pct"/>
          </w:tcPr>
          <w:p w14:paraId="0499BD00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was different, but not statistically significantly different between cases 72.7 (IQR=19.9) and controls 80.8 (IQR=28.2)</w:t>
            </w:r>
          </w:p>
        </w:tc>
        <w:tc>
          <w:tcPr>
            <w:tcW w:w="553" w:type="pct"/>
          </w:tcPr>
          <w:p w14:paraId="18F461E0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ETCO2 was different, but not statistically significantly different between cases 5.1 kPa (0.9) and controls 5.5 (0.4) (difference of 3mmHg)</w:t>
            </w:r>
          </w:p>
        </w:tc>
        <w:tc>
          <w:tcPr>
            <w:tcW w:w="757" w:type="pct"/>
          </w:tcPr>
          <w:p w14:paraId="725B7CAE" w14:textId="6D7A216E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Global and regional CBF did not differ between cases (44.3 mL/100g</w:t>
            </w:r>
            <w:r w:rsidR="0022648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min) and</w:t>
            </w:r>
          </w:p>
          <w:p w14:paraId="3ACB02CB" w14:textId="5FE3B3BC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 (42.1 mL/100g</w:t>
            </w:r>
            <w:r w:rsidR="0022648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min)</w:t>
            </w:r>
          </w:p>
          <w:p w14:paraId="1936E8A9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D7943" w:rsidRPr="006608FA" w14:paraId="48C439FA" w14:textId="77777777" w:rsidTr="00410D09">
        <w:tc>
          <w:tcPr>
            <w:tcW w:w="456" w:type="pct"/>
          </w:tcPr>
          <w:p w14:paraId="0B74651C" w14:textId="2982D55B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Henriksen (2014) </w:t>
            </w:r>
            <w:r w:rsidR="00246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[65]</w:t>
            </w:r>
          </w:p>
        </w:tc>
        <w:tc>
          <w:tcPr>
            <w:tcW w:w="203" w:type="pct"/>
          </w:tcPr>
          <w:p w14:paraId="0B578B7D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31</w:t>
            </w:r>
          </w:p>
        </w:tc>
        <w:tc>
          <w:tcPr>
            <w:tcW w:w="434" w:type="pct"/>
          </w:tcPr>
          <w:p w14:paraId="388EE33F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31 healthy adults</w:t>
            </w:r>
          </w:p>
          <w:p w14:paraId="5CB0C180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</w:tcPr>
          <w:p w14:paraId="03FC2EA2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Phase contrast MRI </w:t>
            </w:r>
          </w:p>
        </w:tc>
        <w:tc>
          <w:tcPr>
            <w:tcW w:w="542" w:type="pct"/>
            <w:gridSpan w:val="2"/>
          </w:tcPr>
          <w:p w14:paraId="7C95BC3D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Cardiac MRI</w:t>
            </w:r>
          </w:p>
        </w:tc>
        <w:tc>
          <w:tcPr>
            <w:tcW w:w="421" w:type="pct"/>
          </w:tcPr>
          <w:p w14:paraId="176363A1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nil</w:t>
            </w:r>
          </w:p>
        </w:tc>
        <w:tc>
          <w:tcPr>
            <w:tcW w:w="632" w:type="pct"/>
          </w:tcPr>
          <w:p w14:paraId="5AF1C784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CI averaged 2.6 (1.8-4.4) L/min/m2</w:t>
            </w:r>
          </w:p>
        </w:tc>
        <w:tc>
          <w:tcPr>
            <w:tcW w:w="552" w:type="pct"/>
          </w:tcPr>
          <w:p w14:paraId="087FFD5B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averaged 96.9mmHg (77-113)</w:t>
            </w:r>
          </w:p>
        </w:tc>
        <w:tc>
          <w:tcPr>
            <w:tcW w:w="553" w:type="pct"/>
          </w:tcPr>
          <w:p w14:paraId="31273CD7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57" w:type="pct"/>
          </w:tcPr>
          <w:p w14:paraId="4955C119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11" w:name="OLE_LINK114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and CI do not corelate with CBF</w:t>
            </w:r>
            <w:bookmarkEnd w:id="11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 The fraction of CO that goes to the brain is inversely related to CO.</w:t>
            </w:r>
          </w:p>
          <w:p w14:paraId="79DDB060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D7943" w:rsidRPr="006608FA" w14:paraId="1E88043C" w14:textId="77777777" w:rsidTr="00410D09">
        <w:tc>
          <w:tcPr>
            <w:tcW w:w="456" w:type="pct"/>
          </w:tcPr>
          <w:p w14:paraId="2AF10343" w14:textId="2D3F3001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Jefferson (2017) </w:t>
            </w:r>
            <w:r w:rsidR="00246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[66]</w:t>
            </w:r>
          </w:p>
        </w:tc>
        <w:tc>
          <w:tcPr>
            <w:tcW w:w="203" w:type="pct"/>
          </w:tcPr>
          <w:p w14:paraId="7B16FA34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314</w:t>
            </w:r>
          </w:p>
        </w:tc>
        <w:tc>
          <w:tcPr>
            <w:tcW w:w="434" w:type="pct"/>
          </w:tcPr>
          <w:p w14:paraId="3B898711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314 adults </w:t>
            </w:r>
          </w:p>
        </w:tc>
        <w:tc>
          <w:tcPr>
            <w:tcW w:w="450" w:type="pct"/>
          </w:tcPr>
          <w:p w14:paraId="260F597D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Pseudo-continuous arterial spin labeling MRI</w:t>
            </w:r>
          </w:p>
        </w:tc>
        <w:tc>
          <w:tcPr>
            <w:tcW w:w="542" w:type="pct"/>
            <w:gridSpan w:val="2"/>
          </w:tcPr>
          <w:p w14:paraId="35E8E0BC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Echocardiography</w:t>
            </w:r>
          </w:p>
        </w:tc>
        <w:tc>
          <w:tcPr>
            <w:tcW w:w="421" w:type="pct"/>
          </w:tcPr>
          <w:p w14:paraId="42025B59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MRI scan breathing room air and then a mix of 5%CO2 95% room air</w:t>
            </w:r>
          </w:p>
        </w:tc>
        <w:tc>
          <w:tcPr>
            <w:tcW w:w="632" w:type="pct"/>
          </w:tcPr>
          <w:p w14:paraId="6F773102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CI = 2.6±0.6</w:t>
            </w:r>
          </w:p>
        </w:tc>
        <w:tc>
          <w:tcPr>
            <w:tcW w:w="552" w:type="pct"/>
          </w:tcPr>
          <w:p w14:paraId="4AA00519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 for MAP</w:t>
            </w:r>
          </w:p>
          <w:p w14:paraId="77F07528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ECB8101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SBP = 143±18</w:t>
            </w:r>
          </w:p>
          <w:p w14:paraId="4020FEC5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53" w:type="pct"/>
          </w:tcPr>
          <w:p w14:paraId="4CDAABA0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The change in CO2 with different FiCO2 has 7±3mmHg </w:t>
            </w:r>
          </w:p>
        </w:tc>
        <w:tc>
          <w:tcPr>
            <w:tcW w:w="757" w:type="pct"/>
          </w:tcPr>
          <w:p w14:paraId="7BF6EDB7" w14:textId="7A0FA076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="006C0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associated</w:t>
            </w:r>
          </w:p>
          <w:p w14:paraId="4B0A8874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with CBF (p=0.001) in the temporal lobes only.</w:t>
            </w:r>
          </w:p>
          <w:p w14:paraId="6E21B775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D7943" w:rsidRPr="006608FA" w14:paraId="0B7E26BF" w14:textId="77777777" w:rsidTr="00410D09">
        <w:tc>
          <w:tcPr>
            <w:tcW w:w="456" w:type="pct"/>
          </w:tcPr>
          <w:p w14:paraId="631727AB" w14:textId="641519DA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Hashimoto (2002)</w:t>
            </w:r>
            <w:r w:rsidR="002467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[68]</w:t>
            </w:r>
          </w:p>
        </w:tc>
        <w:tc>
          <w:tcPr>
            <w:tcW w:w="203" w:type="pct"/>
          </w:tcPr>
          <w:p w14:paraId="0A59BBF7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434" w:type="pct"/>
          </w:tcPr>
          <w:p w14:paraId="2F8CBB56" w14:textId="7C836FB8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 patients undergoing removal of a cerebral</w:t>
            </w:r>
            <w:r w:rsidR="006C0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AVM</w:t>
            </w:r>
          </w:p>
        </w:tc>
        <w:tc>
          <w:tcPr>
            <w:tcW w:w="450" w:type="pct"/>
          </w:tcPr>
          <w:p w14:paraId="44FBAC75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133Xe washout</w:t>
            </w:r>
          </w:p>
        </w:tc>
        <w:tc>
          <w:tcPr>
            <w:tcW w:w="542" w:type="pct"/>
            <w:gridSpan w:val="2"/>
          </w:tcPr>
          <w:p w14:paraId="0613D2A8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</w:t>
            </w:r>
          </w:p>
        </w:tc>
        <w:tc>
          <w:tcPr>
            <w:tcW w:w="421" w:type="pct"/>
          </w:tcPr>
          <w:p w14:paraId="41853BD1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Pre</w:t>
            </w:r>
            <w:proofErr w:type="gram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and post-operative</w:t>
            </w:r>
          </w:p>
        </w:tc>
        <w:tc>
          <w:tcPr>
            <w:tcW w:w="632" w:type="pct"/>
          </w:tcPr>
          <w:p w14:paraId="2F549107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CI </w:t>
            </w:r>
            <w:bookmarkStart w:id="12" w:name="OLE_LINK357"/>
            <w:bookmarkStart w:id="13" w:name="OLE_LINK358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remained stable (3.8±1.1 to 3.9±0.9</w:t>
            </w:r>
            <w:bookmarkEnd w:id="12"/>
            <w:bookmarkEnd w:id="13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L/min/m2)</w:t>
            </w:r>
          </w:p>
        </w:tc>
        <w:tc>
          <w:tcPr>
            <w:tcW w:w="552" w:type="pct"/>
          </w:tcPr>
          <w:p w14:paraId="5A4C73B0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14" w:name="OLE_LINK359"/>
            <w:bookmarkStart w:id="15" w:name="OLE_LINK360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remained stable (83±8 to 81±15 mmHg)</w:t>
            </w:r>
            <w:bookmarkEnd w:id="14"/>
            <w:bookmarkEnd w:id="15"/>
          </w:p>
        </w:tc>
        <w:tc>
          <w:tcPr>
            <w:tcW w:w="553" w:type="pct"/>
          </w:tcPr>
          <w:p w14:paraId="41FEFEFA" w14:textId="77777777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paCO2 remained stable (27.0±3.1 to 27.9±3.2 mmHg)</w:t>
            </w:r>
          </w:p>
        </w:tc>
        <w:tc>
          <w:tcPr>
            <w:tcW w:w="757" w:type="pct"/>
          </w:tcPr>
          <w:p w14:paraId="6E88A711" w14:textId="670DEA3E" w:rsidR="003D7943" w:rsidRPr="006608FA" w:rsidRDefault="003D794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Global CBF increased </w:t>
            </w:r>
            <w:bookmarkStart w:id="16" w:name="OLE_LINK361"/>
            <w:bookmarkStart w:id="17" w:name="OLE_LINK362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(25±8 to 31±13 </w:t>
            </w:r>
            <w:bookmarkEnd w:id="16"/>
            <w:bookmarkEnd w:id="17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ml/100g/min) as did CBF ipsilateral (25±8 to 31±13) and contralateral (24±7 to 30±13 to the AVM</w:t>
            </w:r>
          </w:p>
        </w:tc>
      </w:tr>
    </w:tbl>
    <w:p w14:paraId="01A132B3" w14:textId="77777777" w:rsidR="003D7943" w:rsidRPr="00FB76C6" w:rsidRDefault="003D7943" w:rsidP="003D7943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2022B12E" w14:textId="77777777" w:rsidR="003D7943" w:rsidRPr="00FB76C6" w:rsidRDefault="003D7943" w:rsidP="003D7943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6E0991AA" w14:textId="13329BED" w:rsidR="00B8483A" w:rsidRPr="003D7943" w:rsidRDefault="00B8483A" w:rsidP="003D7943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sectPr w:rsidR="00B8483A" w:rsidRPr="003D7943" w:rsidSect="00FB4EB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Headings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BA"/>
    <w:rsid w:val="00043F8E"/>
    <w:rsid w:val="00176D64"/>
    <w:rsid w:val="001F0AA4"/>
    <w:rsid w:val="00226484"/>
    <w:rsid w:val="00246705"/>
    <w:rsid w:val="0032509B"/>
    <w:rsid w:val="003D7943"/>
    <w:rsid w:val="00407184"/>
    <w:rsid w:val="00410D09"/>
    <w:rsid w:val="004B324C"/>
    <w:rsid w:val="00581B49"/>
    <w:rsid w:val="006C02C4"/>
    <w:rsid w:val="007075A1"/>
    <w:rsid w:val="00982EDE"/>
    <w:rsid w:val="009A353E"/>
    <w:rsid w:val="00A8797D"/>
    <w:rsid w:val="00B8104B"/>
    <w:rsid w:val="00B8483A"/>
    <w:rsid w:val="00C4145C"/>
    <w:rsid w:val="00EF3463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6427"/>
  <w14:defaultImageDpi w14:val="32767"/>
  <w15:chartTrackingRefBased/>
  <w15:docId w15:val="{651ED58D-5BB8-2641-87C1-BF1FF25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Calibri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Castle-Kirszbaum</dc:creator>
  <cp:keywords/>
  <dc:description/>
  <cp:lastModifiedBy>Martin</cp:lastModifiedBy>
  <cp:revision>7</cp:revision>
  <dcterms:created xsi:type="dcterms:W3CDTF">2020-11-21T05:46:00Z</dcterms:created>
  <dcterms:modified xsi:type="dcterms:W3CDTF">2021-02-07T14:34:00Z</dcterms:modified>
</cp:coreProperties>
</file>