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515" w:type="pct"/>
        <w:tblLayout w:type="fixed"/>
        <w:tblLook w:val="04A0" w:firstRow="1" w:lastRow="0" w:firstColumn="1" w:lastColumn="0" w:noHBand="0" w:noVBand="1"/>
      </w:tblPr>
      <w:tblGrid>
        <w:gridCol w:w="4536"/>
        <w:gridCol w:w="1561"/>
        <w:gridCol w:w="2268"/>
        <w:gridCol w:w="2126"/>
        <w:gridCol w:w="2410"/>
      </w:tblGrid>
      <w:tr w:rsidR="00B02EA2" w:rsidRPr="00D37191" w14:paraId="73CB4479" w14:textId="77777777" w:rsidTr="00D37191">
        <w:trPr>
          <w:trHeight w:val="274"/>
        </w:trPr>
        <w:tc>
          <w:tcPr>
            <w:tcW w:w="1758" w:type="pct"/>
            <w:tcBorders>
              <w:top w:val="nil"/>
              <w:left w:val="nil"/>
              <w:right w:val="nil"/>
            </w:tcBorders>
          </w:tcPr>
          <w:p w14:paraId="693CA68F" w14:textId="77777777" w:rsidR="00B02EA2" w:rsidRDefault="00B02EA2" w:rsidP="00033B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Table </w:t>
            </w:r>
            <w:r w:rsidR="006577B8" w:rsidRPr="00D3719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D371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540DCB">
              <w:rPr>
                <w:rFonts w:ascii="Times New Roman" w:hAnsi="Times New Roman" w:cs="Times New Roman"/>
                <w:bCs/>
                <w:sz w:val="22"/>
                <w:szCs w:val="22"/>
              </w:rPr>
              <w:t>Level of confidence</w:t>
            </w:r>
          </w:p>
          <w:p w14:paraId="4F02CE80" w14:textId="4D023874" w:rsidR="00540DCB" w:rsidRPr="00540DCB" w:rsidRDefault="00540DCB" w:rsidP="00033B67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05" w:type="pct"/>
            <w:tcBorders>
              <w:top w:val="nil"/>
              <w:left w:val="nil"/>
              <w:right w:val="nil"/>
            </w:tcBorders>
          </w:tcPr>
          <w:p w14:paraId="39B8D1E7" w14:textId="77777777" w:rsidR="00B02EA2" w:rsidRPr="00D37191" w:rsidRDefault="00B02EA2" w:rsidP="00A37553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right w:val="nil"/>
            </w:tcBorders>
          </w:tcPr>
          <w:p w14:paraId="025956C0" w14:textId="77777777" w:rsidR="00B02EA2" w:rsidRPr="00D37191" w:rsidRDefault="00B02EA2" w:rsidP="00033B67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nil"/>
              <w:left w:val="nil"/>
              <w:right w:val="nil"/>
            </w:tcBorders>
          </w:tcPr>
          <w:p w14:paraId="3861B055" w14:textId="77777777" w:rsidR="00B02EA2" w:rsidRPr="00D37191" w:rsidRDefault="00B02EA2" w:rsidP="00033B67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right w:val="nil"/>
            </w:tcBorders>
          </w:tcPr>
          <w:p w14:paraId="16B689A5" w14:textId="77777777" w:rsidR="00B02EA2" w:rsidRPr="00D37191" w:rsidRDefault="00B02EA2" w:rsidP="00033B67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02EA2" w:rsidRPr="00D37191" w14:paraId="6E62A149" w14:textId="77777777" w:rsidTr="00D37191">
        <w:trPr>
          <w:trHeight w:val="542"/>
        </w:trPr>
        <w:tc>
          <w:tcPr>
            <w:tcW w:w="1758" w:type="pct"/>
          </w:tcPr>
          <w:p w14:paraId="580EC560" w14:textId="77777777" w:rsidR="00B02EA2" w:rsidRPr="00D37191" w:rsidRDefault="00B02EA2" w:rsidP="00033B67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b/>
                <w:sz w:val="22"/>
                <w:szCs w:val="22"/>
              </w:rPr>
              <w:t>Synthesized findings</w:t>
            </w:r>
          </w:p>
        </w:tc>
        <w:tc>
          <w:tcPr>
            <w:tcW w:w="605" w:type="pct"/>
          </w:tcPr>
          <w:p w14:paraId="49B6D19C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b/>
                <w:sz w:val="22"/>
                <w:szCs w:val="22"/>
              </w:rPr>
              <w:t>Type of study</w:t>
            </w:r>
          </w:p>
        </w:tc>
        <w:tc>
          <w:tcPr>
            <w:tcW w:w="879" w:type="pct"/>
          </w:tcPr>
          <w:p w14:paraId="0594306E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b/>
                <w:sz w:val="22"/>
                <w:szCs w:val="22"/>
              </w:rPr>
              <w:t>Dependability</w:t>
            </w:r>
          </w:p>
        </w:tc>
        <w:tc>
          <w:tcPr>
            <w:tcW w:w="824" w:type="pct"/>
          </w:tcPr>
          <w:p w14:paraId="2112AEE0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b/>
                <w:sz w:val="22"/>
                <w:szCs w:val="22"/>
              </w:rPr>
              <w:t>Credibility</w:t>
            </w:r>
          </w:p>
        </w:tc>
        <w:tc>
          <w:tcPr>
            <w:tcW w:w="934" w:type="pct"/>
          </w:tcPr>
          <w:p w14:paraId="64CB82B7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37191">
              <w:rPr>
                <w:rFonts w:ascii="Times New Roman" w:hAnsi="Times New Roman" w:cs="Times New Roman"/>
                <w:b/>
                <w:sz w:val="22"/>
                <w:szCs w:val="22"/>
              </w:rPr>
              <w:t>ConQual</w:t>
            </w:r>
            <w:proofErr w:type="spellEnd"/>
            <w:r w:rsidRPr="00D371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score*</w:t>
            </w:r>
          </w:p>
        </w:tc>
      </w:tr>
      <w:tr w:rsidR="00B02EA2" w:rsidRPr="00D37191" w14:paraId="173A22F5" w14:textId="77777777" w:rsidTr="00D37191">
        <w:tc>
          <w:tcPr>
            <w:tcW w:w="1758" w:type="pct"/>
            <w:vAlign w:val="center"/>
          </w:tcPr>
          <w:p w14:paraId="58D2628E" w14:textId="77777777" w:rsidR="00B02EA2" w:rsidRPr="00D37191" w:rsidRDefault="00B02EA2" w:rsidP="00D3719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Bedside nursing handover can humanize care and ensure safety, but it may cause stress and feeling of inadequacy</w:t>
            </w:r>
          </w:p>
        </w:tc>
        <w:tc>
          <w:tcPr>
            <w:tcW w:w="605" w:type="pct"/>
          </w:tcPr>
          <w:p w14:paraId="1A1BD74D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879" w:type="pct"/>
          </w:tcPr>
          <w:p w14:paraId="391F6629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Downgrade one level</w:t>
            </w:r>
          </w:p>
        </w:tc>
        <w:tc>
          <w:tcPr>
            <w:tcW w:w="824" w:type="pct"/>
          </w:tcPr>
          <w:p w14:paraId="049F0DC9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Unchanged</w:t>
            </w:r>
          </w:p>
        </w:tc>
        <w:tc>
          <w:tcPr>
            <w:tcW w:w="934" w:type="pct"/>
          </w:tcPr>
          <w:p w14:paraId="64E09828" w14:textId="77777777" w:rsidR="00B02EA2" w:rsidRPr="00D37191" w:rsidRDefault="00B02EA2" w:rsidP="00A3755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●●●○ MODERATE</w:t>
            </w:r>
          </w:p>
        </w:tc>
      </w:tr>
      <w:tr w:rsidR="00B02EA2" w:rsidRPr="00D37191" w14:paraId="0F40F7D5" w14:textId="77777777" w:rsidTr="00D37191">
        <w:tc>
          <w:tcPr>
            <w:tcW w:w="1758" w:type="pct"/>
            <w:vAlign w:val="center"/>
          </w:tcPr>
          <w:p w14:paraId="2C5BBE1D" w14:textId="77777777" w:rsidR="00B02EA2" w:rsidRPr="00D37191" w:rsidRDefault="00B02EA2" w:rsidP="00D37191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bCs/>
                <w:sz w:val="22"/>
                <w:szCs w:val="22"/>
              </w:rPr>
              <w:t>Bedside nursing handover can optimize the organization of care, but may lead to overtime and increase the transmission of redundant information</w:t>
            </w:r>
          </w:p>
        </w:tc>
        <w:tc>
          <w:tcPr>
            <w:tcW w:w="605" w:type="pct"/>
          </w:tcPr>
          <w:p w14:paraId="56991F59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879" w:type="pct"/>
          </w:tcPr>
          <w:p w14:paraId="4B5477BE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Downgrade one level</w:t>
            </w:r>
          </w:p>
        </w:tc>
        <w:tc>
          <w:tcPr>
            <w:tcW w:w="824" w:type="pct"/>
          </w:tcPr>
          <w:p w14:paraId="028288C5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Unchanged</w:t>
            </w:r>
          </w:p>
        </w:tc>
        <w:tc>
          <w:tcPr>
            <w:tcW w:w="934" w:type="pct"/>
          </w:tcPr>
          <w:p w14:paraId="64C5B1C0" w14:textId="77777777" w:rsidR="00B02EA2" w:rsidRPr="00D37191" w:rsidRDefault="00B02EA2" w:rsidP="00033B67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●●●○ MODERATE</w:t>
            </w:r>
          </w:p>
        </w:tc>
      </w:tr>
      <w:tr w:rsidR="00B02EA2" w:rsidRPr="00D37191" w14:paraId="18A2A671" w14:textId="77777777" w:rsidTr="00D37191">
        <w:tc>
          <w:tcPr>
            <w:tcW w:w="1758" w:type="pct"/>
            <w:vAlign w:val="center"/>
          </w:tcPr>
          <w:p w14:paraId="4A707222" w14:textId="77777777" w:rsidR="00B02EA2" w:rsidRPr="00D37191" w:rsidRDefault="00B02EA2" w:rsidP="00D3719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bCs/>
                <w:sz w:val="22"/>
                <w:szCs w:val="22"/>
              </w:rPr>
              <w:t>Bedside nursing handover can led to a lack of confidentiality, but shared decision-making may reduce these concerns in patients</w:t>
            </w:r>
          </w:p>
        </w:tc>
        <w:tc>
          <w:tcPr>
            <w:tcW w:w="605" w:type="pct"/>
          </w:tcPr>
          <w:p w14:paraId="56D74E54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879" w:type="pct"/>
          </w:tcPr>
          <w:p w14:paraId="1CE4CD66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Downgrade one level</w:t>
            </w:r>
          </w:p>
        </w:tc>
        <w:tc>
          <w:tcPr>
            <w:tcW w:w="824" w:type="pct"/>
          </w:tcPr>
          <w:p w14:paraId="10A89694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Unchanged</w:t>
            </w:r>
          </w:p>
        </w:tc>
        <w:tc>
          <w:tcPr>
            <w:tcW w:w="934" w:type="pct"/>
          </w:tcPr>
          <w:p w14:paraId="2EA55B0C" w14:textId="77777777" w:rsidR="00B02EA2" w:rsidRPr="00D37191" w:rsidRDefault="00B02EA2" w:rsidP="00D913C5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●●●○ MODERATE</w:t>
            </w:r>
          </w:p>
        </w:tc>
      </w:tr>
      <w:tr w:rsidR="00B02EA2" w:rsidRPr="00D37191" w14:paraId="57774BCC" w14:textId="77777777" w:rsidTr="00D37191">
        <w:tc>
          <w:tcPr>
            <w:tcW w:w="1758" w:type="pct"/>
            <w:vAlign w:val="center"/>
          </w:tcPr>
          <w:p w14:paraId="32D7F0AD" w14:textId="77777777" w:rsidR="00B02EA2" w:rsidRPr="00D37191" w:rsidRDefault="00B02EA2" w:rsidP="00D37191">
            <w:pPr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bCs/>
                <w:sz w:val="22"/>
                <w:szCs w:val="22"/>
              </w:rPr>
              <w:t>Bedside nursing handover can promote clear, interactive communication, but may also lead to uncertainty and discomfort</w:t>
            </w:r>
          </w:p>
        </w:tc>
        <w:tc>
          <w:tcPr>
            <w:tcW w:w="605" w:type="pct"/>
          </w:tcPr>
          <w:p w14:paraId="2138FC75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879" w:type="pct"/>
          </w:tcPr>
          <w:p w14:paraId="2239E5A7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Downgrade one level</w:t>
            </w:r>
          </w:p>
        </w:tc>
        <w:tc>
          <w:tcPr>
            <w:tcW w:w="824" w:type="pct"/>
          </w:tcPr>
          <w:p w14:paraId="222C06A5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Unchanged</w:t>
            </w:r>
          </w:p>
        </w:tc>
        <w:tc>
          <w:tcPr>
            <w:tcW w:w="934" w:type="pct"/>
          </w:tcPr>
          <w:p w14:paraId="0E07ACA7" w14:textId="77777777" w:rsidR="00B02EA2" w:rsidRPr="00D37191" w:rsidRDefault="00B02EA2" w:rsidP="00331DAE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●●●○ MODERATE</w:t>
            </w:r>
          </w:p>
        </w:tc>
      </w:tr>
      <w:tr w:rsidR="00B02EA2" w:rsidRPr="00D37191" w14:paraId="221B4E80" w14:textId="77777777" w:rsidTr="00D37191">
        <w:tc>
          <w:tcPr>
            <w:tcW w:w="1758" w:type="pct"/>
            <w:tcBorders>
              <w:bottom w:val="single" w:sz="4" w:space="0" w:color="auto"/>
            </w:tcBorders>
            <w:vAlign w:val="center"/>
          </w:tcPr>
          <w:p w14:paraId="16A3B5BE" w14:textId="77777777" w:rsidR="00B02EA2" w:rsidRPr="00D37191" w:rsidRDefault="00B02EA2" w:rsidP="00D37191">
            <w:pPr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bCs/>
                <w:sz w:val="22"/>
                <w:szCs w:val="22"/>
              </w:rPr>
              <w:t>Bedside nursing handover can promote professionalism and emotional exchanges among nurses, but may contribute to a decreased sense of collegiality and security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14:paraId="217FEB54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High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4373BCEC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Downgrade one level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14:paraId="4A23878B" w14:textId="77777777" w:rsidR="00B02EA2" w:rsidRPr="00D37191" w:rsidRDefault="00B02EA2" w:rsidP="00D3719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Unchanged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5013C938" w14:textId="77777777" w:rsidR="00B02EA2" w:rsidRPr="00D37191" w:rsidRDefault="00B02EA2" w:rsidP="00331DAE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7191">
              <w:rPr>
                <w:rFonts w:ascii="Times New Roman" w:hAnsi="Times New Roman" w:cs="Times New Roman"/>
                <w:sz w:val="22"/>
                <w:szCs w:val="22"/>
              </w:rPr>
              <w:t>●●●○ MODERATE</w:t>
            </w:r>
          </w:p>
        </w:tc>
      </w:tr>
      <w:tr w:rsidR="00FA1E2A" w:rsidRPr="00D37191" w14:paraId="60F44057" w14:textId="77777777" w:rsidTr="00D37191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891165" w14:textId="77777777" w:rsidR="00FA1E2A" w:rsidRPr="00886AB5" w:rsidRDefault="00FA1E2A" w:rsidP="00FA1E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36CF1968" w14:textId="15C47A00" w:rsidR="00FA1E2A" w:rsidRPr="00886AB5" w:rsidRDefault="00FA1E2A" w:rsidP="00FA1E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86A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ConQual</w:t>
            </w:r>
            <w:proofErr w:type="spellEnd"/>
            <w:r w:rsidRPr="00886A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procedure</w:t>
            </w:r>
          </w:p>
          <w:p w14:paraId="7BFE037E" w14:textId="0167770C" w:rsidR="00FA1E2A" w:rsidRPr="00886AB5" w:rsidRDefault="00FA1E2A" w:rsidP="00FA1E2A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AB5">
              <w:rPr>
                <w:rFonts w:ascii="Times New Roman" w:hAnsi="Times New Roman" w:cs="Times New Roman"/>
                <w:sz w:val="22"/>
                <w:szCs w:val="22"/>
              </w:rPr>
              <w:t xml:space="preserve">All qualitative primary studies receive a high level of confidence, which can be downgraded based on the dependability of the paper and the credibility of the paper’s findings. Dependability is </w:t>
            </w:r>
            <w:proofErr w:type="spellStart"/>
            <w:r w:rsidRPr="00886AB5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proofErr w:type="spellEnd"/>
            <w:r w:rsidRPr="00886AB5">
              <w:rPr>
                <w:rFonts w:ascii="Times New Roman" w:hAnsi="Times New Roman" w:cs="Times New Roman"/>
                <w:sz w:val="22"/>
                <w:szCs w:val="22"/>
              </w:rPr>
              <w:t xml:space="preserve"> based on items ii, iii, iv, vi, and vii of the JBI-QARI critical appraisal tool, and described as the appropriateness of methodology, methods, and their implementation, regardless of paradigm. The credibility addresses whether a finding has been represented correctly. More than 80% of unequivocal findings sufficient to maintain the obtained ranking.</w:t>
            </w:r>
          </w:p>
          <w:p w14:paraId="4A34A6EA" w14:textId="77777777" w:rsidR="00FA1E2A" w:rsidRPr="00886AB5" w:rsidRDefault="00FA1E2A" w:rsidP="00FA1E2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EA2" w:rsidRPr="00D37191" w14:paraId="546F7544" w14:textId="77777777" w:rsidTr="00D37191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9F4039" w14:textId="785DD226" w:rsidR="00B02EA2" w:rsidRPr="00886AB5" w:rsidRDefault="00B02EA2" w:rsidP="00B02EA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86AB5">
              <w:rPr>
                <w:rFonts w:ascii="Times New Roman" w:hAnsi="Times New Roman" w:cs="Times New Roman"/>
                <w:sz w:val="22"/>
                <w:szCs w:val="22"/>
              </w:rPr>
              <w:t>* All studies had a qualitative design assigning a high level of confidence. Dependability downgraded one level, as only 2-3 criteria were positive. Credibility unchanged due to &gt; 80% of unequivocal findings.</w:t>
            </w:r>
          </w:p>
        </w:tc>
      </w:tr>
    </w:tbl>
    <w:p w14:paraId="52F29223" w14:textId="77777777" w:rsidR="00131905" w:rsidRDefault="00131905"/>
    <w:sectPr w:rsidR="00131905" w:rsidSect="00F724B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MTM0NTQzNjExNzJT0lEKTi0uzszPAykwqQUAN5pssywAAAA="/>
  </w:docVars>
  <w:rsids>
    <w:rsidRoot w:val="004361AC"/>
    <w:rsid w:val="00131905"/>
    <w:rsid w:val="00331DAE"/>
    <w:rsid w:val="004361AC"/>
    <w:rsid w:val="005007FD"/>
    <w:rsid w:val="00540DCB"/>
    <w:rsid w:val="00591E0E"/>
    <w:rsid w:val="00604D78"/>
    <w:rsid w:val="006577B8"/>
    <w:rsid w:val="00886AB5"/>
    <w:rsid w:val="008A0344"/>
    <w:rsid w:val="009F7A5D"/>
    <w:rsid w:val="00A37553"/>
    <w:rsid w:val="00AE6FF6"/>
    <w:rsid w:val="00B02EA2"/>
    <w:rsid w:val="00D37191"/>
    <w:rsid w:val="00D913C5"/>
    <w:rsid w:val="00F724B3"/>
    <w:rsid w:val="00FA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2264"/>
  <w15:docId w15:val="{B9F466AE-D5A9-4787-BE0B-EE27C98A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A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1AC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Clari</dc:creator>
  <cp:lastModifiedBy>Marilyn</cp:lastModifiedBy>
  <cp:revision>2</cp:revision>
  <dcterms:created xsi:type="dcterms:W3CDTF">2021-02-14T20:44:00Z</dcterms:created>
  <dcterms:modified xsi:type="dcterms:W3CDTF">2021-02-14T20:44:00Z</dcterms:modified>
</cp:coreProperties>
</file>