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45B24" w14:textId="25FA3776" w:rsidR="005D3D05" w:rsidRPr="00BE2DC8" w:rsidRDefault="007930D4" w:rsidP="005D3D05">
      <w:pPr>
        <w:rPr>
          <w:rFonts w:eastAsia="Malgun Gothic" w:cs="Times New Roman"/>
          <w:i/>
          <w:iCs/>
        </w:rPr>
      </w:pPr>
      <w:bookmarkStart w:id="0" w:name="_Toc77593175"/>
      <w:r>
        <w:rPr>
          <w:rFonts w:eastAsia="Malgun Gothic" w:cs="Times New Roman"/>
          <w:b/>
          <w:bCs/>
        </w:rPr>
        <w:t xml:space="preserve">Supplemental Digital Content </w:t>
      </w:r>
      <w:r w:rsidR="005D3D05" w:rsidRPr="00BE2DC8">
        <w:rPr>
          <w:rFonts w:eastAsia="Malgun Gothic" w:cs="Times New Roman"/>
          <w:b/>
          <w:bCs/>
        </w:rPr>
        <w:t>Figure</w:t>
      </w:r>
      <w:bookmarkEnd w:id="0"/>
      <w:r>
        <w:rPr>
          <w:rFonts w:eastAsia="Malgun Gothic" w:cs="Times New Roman"/>
          <w:b/>
          <w:bCs/>
        </w:rPr>
        <w:t xml:space="preserve">. </w:t>
      </w:r>
      <w:r w:rsidR="005D3D05" w:rsidRPr="007930D4">
        <w:rPr>
          <w:rFonts w:eastAsia="Malgun Gothic" w:cs="Times New Roman"/>
          <w:iCs/>
        </w:rPr>
        <w:t>Plots of Simple Path and Effects with Workplace Violence Reporting Culture as the Moderator Variable</w:t>
      </w:r>
      <w:bookmarkStart w:id="1" w:name="_GoBack"/>
      <w:bookmarkEnd w:id="1"/>
    </w:p>
    <w:tbl>
      <w:tblPr>
        <w:tblStyle w:val="TableGrid"/>
        <w:tblW w:w="9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081"/>
      </w:tblGrid>
      <w:tr w:rsidR="005D3D05" w:rsidRPr="00BE2DC8" w14:paraId="1DF98E45" w14:textId="77777777" w:rsidTr="003E152C">
        <w:trPr>
          <w:trHeight w:val="3582"/>
        </w:trPr>
        <w:tc>
          <w:tcPr>
            <w:tcW w:w="5310" w:type="dxa"/>
          </w:tcPr>
          <w:p w14:paraId="0FB91AE5" w14:textId="77777777" w:rsidR="005D3D05" w:rsidRPr="00B8269B" w:rsidRDefault="005D3D05" w:rsidP="003E152C">
            <w:pPr>
              <w:rPr>
                <w:rFonts w:eastAsia="Malgun Gothic" w:cs="Times New Roman"/>
                <w:sz w:val="22"/>
                <w:szCs w:val="18"/>
              </w:rPr>
            </w:pPr>
            <w:r w:rsidRPr="00B8269B">
              <w:rPr>
                <w:rFonts w:eastAsia="Malgun Gothic" w:cs="Times New Roman"/>
                <w:noProof/>
                <w:sz w:val="22"/>
                <w:szCs w:val="18"/>
                <w:lang w:eastAsia="en-US"/>
              </w:rPr>
              <w:drawing>
                <wp:inline distT="0" distB="0" distL="0" distR="0" wp14:anchorId="0133361C" wp14:editId="24AF903D">
                  <wp:extent cx="3143250" cy="2377997"/>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a:extLst>
                              <a:ext uri="{28A0092B-C50C-407E-A947-70E740481C1C}">
                                <a14:useLocalDpi xmlns:a14="http://schemas.microsoft.com/office/drawing/2010/main" val="0"/>
                              </a:ext>
                            </a:extLst>
                          </a:blip>
                          <a:srcRect r="22440"/>
                          <a:stretch/>
                        </pic:blipFill>
                        <pic:spPr bwMode="auto">
                          <a:xfrm>
                            <a:off x="0" y="0"/>
                            <a:ext cx="3145240" cy="237950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81" w:type="dxa"/>
          </w:tcPr>
          <w:p w14:paraId="4B497A1D" w14:textId="77777777" w:rsidR="005D3D05" w:rsidRPr="00434073" w:rsidRDefault="005D3D05" w:rsidP="003E152C">
            <w:pPr>
              <w:rPr>
                <w:rFonts w:eastAsia="Malgun Gothic" w:cs="Times New Roman"/>
                <w:noProof/>
                <w:sz w:val="22"/>
                <w:szCs w:val="18"/>
              </w:rPr>
            </w:pPr>
            <w:r w:rsidRPr="00434073">
              <w:rPr>
                <w:rFonts w:eastAsia="Malgun Gothic" w:cs="Times New Roman"/>
                <w:b/>
                <w:bCs/>
                <w:sz w:val="22"/>
                <w:szCs w:val="18"/>
              </w:rPr>
              <w:t>Panel A</w:t>
            </w:r>
            <w:r w:rsidRPr="00434073">
              <w:rPr>
                <w:rFonts w:eastAsia="Malgun Gothic" w:cs="Times New Roman"/>
                <w:sz w:val="22"/>
                <w:szCs w:val="18"/>
              </w:rPr>
              <w:t xml:space="preserve">. </w:t>
            </w:r>
            <w:r w:rsidRPr="00434073">
              <w:rPr>
                <w:rFonts w:eastAsia="Malgun Gothic" w:cs="Times New Roman"/>
                <w:noProof/>
                <w:sz w:val="22"/>
                <w:szCs w:val="18"/>
              </w:rPr>
              <w:t xml:space="preserve">The effect of workplace violence on </w:t>
            </w:r>
            <w:r w:rsidRPr="00434073">
              <w:rPr>
                <w:rFonts w:eastAsia="Malgun Gothic" w:cs="Times New Roman"/>
                <w:sz w:val="22"/>
                <w:szCs w:val="18"/>
              </w:rPr>
              <w:t xml:space="preserve">burnout </w:t>
            </w:r>
            <w:r w:rsidRPr="00434073">
              <w:rPr>
                <w:rFonts w:eastAsia="Malgun Gothic" w:cs="Times New Roman"/>
                <w:noProof/>
                <w:sz w:val="22"/>
                <w:szCs w:val="18"/>
              </w:rPr>
              <w:t>at different levels of workplace violence reporting culture:</w:t>
            </w:r>
          </w:p>
          <w:p w14:paraId="5CDE89D8" w14:textId="77777777" w:rsidR="005D3D05" w:rsidRPr="00434073" w:rsidRDefault="005D3D05" w:rsidP="003E152C">
            <w:pPr>
              <w:rPr>
                <w:rFonts w:eastAsia="Malgun Gothic" w:cs="Times New Roman"/>
                <w:sz w:val="22"/>
                <w:szCs w:val="18"/>
              </w:rPr>
            </w:pPr>
          </w:p>
          <w:p w14:paraId="605AFF1B" w14:textId="77777777" w:rsidR="005D3D05" w:rsidRPr="00434073" w:rsidRDefault="005D3D05" w:rsidP="003E152C">
            <w:pPr>
              <w:rPr>
                <w:rFonts w:eastAsia="Malgun Gothic" w:cs="Times New Roman"/>
                <w:sz w:val="22"/>
                <w:szCs w:val="18"/>
              </w:rPr>
            </w:pPr>
            <w:r w:rsidRPr="00434073">
              <w:rPr>
                <w:rFonts w:eastAsia="Malgun Gothic" w:cs="Times New Roman"/>
                <w:sz w:val="22"/>
                <w:szCs w:val="18"/>
              </w:rPr>
              <w:t xml:space="preserve">The experiences of WPV increased nurses' burnout for all levels of WPV reporting culture. However, as WPV experience increased, burnout level increased at a higher rate for the high level of WPV reporting culture compared with the low level of WPV reporting culture. </w:t>
            </w:r>
          </w:p>
        </w:tc>
      </w:tr>
      <w:tr w:rsidR="005D3D05" w:rsidRPr="00BE2DC8" w14:paraId="2D8A8C0B" w14:textId="77777777" w:rsidTr="003E152C">
        <w:trPr>
          <w:trHeight w:val="3618"/>
        </w:trPr>
        <w:tc>
          <w:tcPr>
            <w:tcW w:w="5310" w:type="dxa"/>
          </w:tcPr>
          <w:p w14:paraId="09D3B048" w14:textId="77777777" w:rsidR="005D3D05" w:rsidRPr="00B8269B" w:rsidRDefault="005D3D05" w:rsidP="003E152C">
            <w:pPr>
              <w:rPr>
                <w:rFonts w:eastAsia="Malgun Gothic" w:cs="Times New Roman"/>
                <w:sz w:val="22"/>
                <w:szCs w:val="18"/>
              </w:rPr>
            </w:pPr>
            <w:r w:rsidRPr="00B8269B">
              <w:rPr>
                <w:rFonts w:eastAsia="Malgun Gothic" w:cs="Times New Roman"/>
                <w:noProof/>
                <w:sz w:val="22"/>
                <w:szCs w:val="18"/>
                <w:lang w:eastAsia="en-US"/>
              </w:rPr>
              <w:drawing>
                <wp:inline distT="0" distB="0" distL="0" distR="0" wp14:anchorId="7E3D333F" wp14:editId="0CE40159">
                  <wp:extent cx="3132120" cy="236965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r="22249"/>
                          <a:stretch/>
                        </pic:blipFill>
                        <pic:spPr bwMode="auto">
                          <a:xfrm>
                            <a:off x="0" y="0"/>
                            <a:ext cx="3134494" cy="23714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81" w:type="dxa"/>
          </w:tcPr>
          <w:p w14:paraId="191E6B03" w14:textId="77777777" w:rsidR="005D3D05" w:rsidRPr="00434073" w:rsidRDefault="005D3D05" w:rsidP="003E152C">
            <w:pPr>
              <w:rPr>
                <w:rFonts w:eastAsia="Malgun Gothic" w:cs="Times New Roman"/>
                <w:noProof/>
                <w:sz w:val="22"/>
                <w:szCs w:val="18"/>
              </w:rPr>
            </w:pPr>
            <w:r w:rsidRPr="00434073">
              <w:rPr>
                <w:rFonts w:eastAsia="Malgun Gothic" w:cs="Times New Roman"/>
                <w:b/>
                <w:bCs/>
                <w:sz w:val="22"/>
                <w:szCs w:val="18"/>
              </w:rPr>
              <w:t>Panel B</w:t>
            </w:r>
            <w:r w:rsidRPr="00434073">
              <w:rPr>
                <w:rFonts w:eastAsia="Malgun Gothic" w:cs="Times New Roman"/>
                <w:sz w:val="22"/>
                <w:szCs w:val="18"/>
              </w:rPr>
              <w:t xml:space="preserve">. </w:t>
            </w:r>
            <w:r w:rsidRPr="00434073">
              <w:rPr>
                <w:rFonts w:eastAsia="Malgun Gothic" w:cs="Times New Roman"/>
                <w:noProof/>
                <w:sz w:val="22"/>
                <w:szCs w:val="18"/>
              </w:rPr>
              <w:t xml:space="preserve">The effect of </w:t>
            </w:r>
            <w:r w:rsidRPr="00434073">
              <w:rPr>
                <w:rFonts w:eastAsia="Malgun Gothic" w:cs="Times New Roman"/>
                <w:sz w:val="22"/>
                <w:szCs w:val="18"/>
              </w:rPr>
              <w:t>burnout</w:t>
            </w:r>
            <w:r w:rsidRPr="00434073">
              <w:rPr>
                <w:rFonts w:eastAsia="Malgun Gothic" w:cs="Times New Roman"/>
                <w:noProof/>
                <w:sz w:val="22"/>
                <w:szCs w:val="18"/>
              </w:rPr>
              <w:t xml:space="preserve"> on patient safety grade at different levels of workplace violence reporting culture:</w:t>
            </w:r>
          </w:p>
          <w:p w14:paraId="3EFC160D" w14:textId="77777777" w:rsidR="005D3D05" w:rsidRPr="00434073" w:rsidRDefault="005D3D05" w:rsidP="003E152C">
            <w:pPr>
              <w:rPr>
                <w:rFonts w:eastAsia="Malgun Gothic" w:cs="Times New Roman"/>
                <w:sz w:val="22"/>
                <w:szCs w:val="18"/>
              </w:rPr>
            </w:pPr>
          </w:p>
          <w:p w14:paraId="67E6C0E5" w14:textId="77777777" w:rsidR="005D3D05" w:rsidRPr="00434073" w:rsidRDefault="005D3D05" w:rsidP="003E152C">
            <w:pPr>
              <w:rPr>
                <w:rFonts w:eastAsia="Malgun Gothic" w:cs="Times New Roman"/>
                <w:sz w:val="22"/>
                <w:szCs w:val="18"/>
              </w:rPr>
            </w:pPr>
            <w:r w:rsidRPr="00434073">
              <w:rPr>
                <w:rFonts w:eastAsia="Malgun Gothic" w:cs="Times New Roman"/>
                <w:sz w:val="22"/>
                <w:szCs w:val="18"/>
              </w:rPr>
              <w:t xml:space="preserve">Nurse burnout was negatively associated with patient safety grades for all levels of WPV reporting culture. However, the high level of WPV reporting culture weakened the negative effect of burnout on patient safety grade. </w:t>
            </w:r>
          </w:p>
          <w:p w14:paraId="1A82F8AC" w14:textId="77777777" w:rsidR="005D3D05" w:rsidRPr="00B8269B" w:rsidRDefault="005D3D05" w:rsidP="003E152C">
            <w:pPr>
              <w:rPr>
                <w:rFonts w:eastAsia="Malgun Gothic" w:cs="Times New Roman"/>
                <w:sz w:val="22"/>
                <w:szCs w:val="18"/>
              </w:rPr>
            </w:pPr>
          </w:p>
        </w:tc>
      </w:tr>
      <w:tr w:rsidR="005D3D05" w:rsidRPr="00BE2DC8" w14:paraId="1659DD12" w14:textId="77777777" w:rsidTr="003E152C">
        <w:trPr>
          <w:trHeight w:val="3573"/>
        </w:trPr>
        <w:tc>
          <w:tcPr>
            <w:tcW w:w="5310" w:type="dxa"/>
          </w:tcPr>
          <w:p w14:paraId="372B4642" w14:textId="77777777" w:rsidR="005D3D05" w:rsidRPr="00B8269B" w:rsidRDefault="005D3D05" w:rsidP="003E152C">
            <w:pPr>
              <w:rPr>
                <w:rFonts w:eastAsia="Malgun Gothic" w:cs="Times New Roman"/>
                <w:sz w:val="22"/>
                <w:szCs w:val="18"/>
              </w:rPr>
            </w:pPr>
            <w:r w:rsidRPr="00B8269B">
              <w:rPr>
                <w:rFonts w:eastAsia="Malgun Gothic" w:cs="Times New Roman"/>
                <w:noProof/>
                <w:sz w:val="22"/>
                <w:szCs w:val="18"/>
                <w:lang w:eastAsia="en-US"/>
              </w:rPr>
              <w:drawing>
                <wp:inline distT="0" distB="0" distL="0" distR="0" wp14:anchorId="22145C2C" wp14:editId="0220B73D">
                  <wp:extent cx="3143250" cy="2375877"/>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a:extLst>
                              <a:ext uri="{28A0092B-C50C-407E-A947-70E740481C1C}">
                                <a14:useLocalDpi xmlns:a14="http://schemas.microsoft.com/office/drawing/2010/main" val="0"/>
                              </a:ext>
                            </a:extLst>
                          </a:blip>
                          <a:srcRect r="22242"/>
                          <a:stretch/>
                        </pic:blipFill>
                        <pic:spPr bwMode="auto">
                          <a:xfrm>
                            <a:off x="0" y="0"/>
                            <a:ext cx="3149061" cy="238027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81" w:type="dxa"/>
          </w:tcPr>
          <w:p w14:paraId="123317AA" w14:textId="77777777" w:rsidR="005D3D05" w:rsidRPr="00434073" w:rsidRDefault="005D3D05" w:rsidP="003E152C">
            <w:pPr>
              <w:rPr>
                <w:rFonts w:eastAsia="Malgun Gothic" w:cs="Times New Roman"/>
                <w:sz w:val="22"/>
                <w:szCs w:val="18"/>
              </w:rPr>
            </w:pPr>
            <w:r w:rsidRPr="00434073">
              <w:rPr>
                <w:rFonts w:eastAsia="Malgun Gothic" w:cs="Times New Roman"/>
                <w:b/>
                <w:bCs/>
                <w:sz w:val="22"/>
                <w:szCs w:val="18"/>
              </w:rPr>
              <w:t>Panel C</w:t>
            </w:r>
            <w:r w:rsidRPr="00434073">
              <w:rPr>
                <w:rFonts w:eastAsia="Malgun Gothic" w:cs="Times New Roman"/>
                <w:sz w:val="22"/>
                <w:szCs w:val="18"/>
              </w:rPr>
              <w:t xml:space="preserve">. </w:t>
            </w:r>
            <w:r w:rsidRPr="00434073">
              <w:rPr>
                <w:rFonts w:eastAsia="Malgun Gothic" w:cs="Times New Roman"/>
                <w:noProof/>
                <w:sz w:val="22"/>
                <w:szCs w:val="18"/>
              </w:rPr>
              <w:t xml:space="preserve">The effect of </w:t>
            </w:r>
            <w:r w:rsidRPr="00434073">
              <w:rPr>
                <w:rFonts w:eastAsia="Malgun Gothic" w:cs="Times New Roman"/>
                <w:sz w:val="22"/>
                <w:szCs w:val="18"/>
              </w:rPr>
              <w:t>burnout</w:t>
            </w:r>
            <w:r w:rsidRPr="00434073">
              <w:rPr>
                <w:rFonts w:eastAsia="Malgun Gothic" w:cs="Times New Roman"/>
                <w:noProof/>
                <w:sz w:val="22"/>
                <w:szCs w:val="18"/>
              </w:rPr>
              <w:t xml:space="preserve"> on the number of events reported at different levels of workplace violence reporting culture: </w:t>
            </w:r>
          </w:p>
          <w:p w14:paraId="4D1F8563" w14:textId="77777777" w:rsidR="005D3D05" w:rsidRPr="00434073" w:rsidRDefault="005D3D05" w:rsidP="003E152C">
            <w:pPr>
              <w:rPr>
                <w:rFonts w:eastAsia="Malgun Gothic" w:cs="Times New Roman"/>
                <w:sz w:val="22"/>
                <w:szCs w:val="18"/>
              </w:rPr>
            </w:pPr>
          </w:p>
          <w:p w14:paraId="4D4CFC62" w14:textId="77777777" w:rsidR="005D3D05" w:rsidRPr="00434073" w:rsidRDefault="005D3D05" w:rsidP="003E152C">
            <w:pPr>
              <w:rPr>
                <w:rFonts w:eastAsia="Malgun Gothic" w:cs="Times New Roman"/>
                <w:sz w:val="22"/>
                <w:szCs w:val="18"/>
              </w:rPr>
            </w:pPr>
            <w:r w:rsidRPr="00434073">
              <w:rPr>
                <w:rFonts w:eastAsia="Malgun Gothic" w:cs="Times New Roman"/>
                <w:sz w:val="22"/>
                <w:szCs w:val="18"/>
              </w:rPr>
              <w:t>An increase in burnout was associated with an increase in the number of events reported at the low level of WPV reporting culture.</w:t>
            </w:r>
          </w:p>
          <w:p w14:paraId="1D7B1824" w14:textId="77777777" w:rsidR="005D3D05" w:rsidRPr="00B8269B" w:rsidRDefault="005D3D05" w:rsidP="003E152C">
            <w:pPr>
              <w:keepNext/>
              <w:rPr>
                <w:rFonts w:eastAsia="Malgun Gothic" w:cs="Times New Roman"/>
                <w:sz w:val="22"/>
                <w:szCs w:val="18"/>
              </w:rPr>
            </w:pPr>
          </w:p>
        </w:tc>
      </w:tr>
    </w:tbl>
    <w:p w14:paraId="0FD8B7B1" w14:textId="7AFB4084" w:rsidR="00AF39EA" w:rsidRDefault="00AF39EA" w:rsidP="005D3D05">
      <w:pPr>
        <w:tabs>
          <w:tab w:val="left" w:pos="1340"/>
        </w:tabs>
      </w:pPr>
    </w:p>
    <w:sectPr w:rsidR="00AF3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imes New Roman Uni">
    <w:charset w:val="80"/>
    <w:family w:val="roman"/>
    <w:pitch w:val="variable"/>
    <w:sig w:usb0="B334AAFF" w:usb1="F9DFFFFF" w:usb2="0000003E" w:usb3="00000000" w:csb0="001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A0NrcwtTA2NDYwsbBQ0lEKTi0uzszPAykwrAUA6wHu7CwAAAA="/>
  </w:docVars>
  <w:rsids>
    <w:rsidRoot w:val="005D3D05"/>
    <w:rsid w:val="004B5D28"/>
    <w:rsid w:val="00522A96"/>
    <w:rsid w:val="005D3D05"/>
    <w:rsid w:val="007930D4"/>
    <w:rsid w:val="00AF39EA"/>
    <w:rsid w:val="00B703A6"/>
    <w:rsid w:val="00D562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EBF9"/>
  <w15:chartTrackingRefBased/>
  <w15:docId w15:val="{3F51200D-E898-48C2-8D02-727A38B5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D0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3D05"/>
    <w:pPr>
      <w:spacing w:after="0" w:line="240" w:lineRule="auto"/>
    </w:pPr>
    <w:rPr>
      <w:rFonts w:ascii="Times New Roman" w:eastAsia="Times New Roman Un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Sinhye Kim</dc:creator>
  <cp:keywords/>
  <dc:description/>
  <cp:lastModifiedBy>SSR</cp:lastModifiedBy>
  <cp:revision>2</cp:revision>
  <dcterms:created xsi:type="dcterms:W3CDTF">2022-04-30T17:26:00Z</dcterms:created>
  <dcterms:modified xsi:type="dcterms:W3CDTF">2022-04-30T17:26:00Z</dcterms:modified>
</cp:coreProperties>
</file>