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F" w:rsidRPr="005F608B" w:rsidRDefault="00DB3C8F" w:rsidP="00DB3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Supplemental Digital Content Table 1</w:t>
      </w:r>
      <w:r w:rsidRPr="005F608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F60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Background</w:t>
      </w:r>
      <w:r w:rsidRPr="005F608B">
        <w:rPr>
          <w:rFonts w:ascii="Times New Roman" w:hAnsi="Times New Roman" w:cs="Times New Roman"/>
          <w:sz w:val="20"/>
          <w:szCs w:val="20"/>
        </w:rPr>
        <w:t xml:space="preserve"> Literature</w:t>
      </w:r>
    </w:p>
    <w:tbl>
      <w:tblPr>
        <w:tblStyle w:val="TableGrid"/>
        <w:tblpPr w:leftFromText="180" w:rightFromText="180" w:vertAnchor="text" w:tblpXSpec="center" w:tblpY="1"/>
        <w:tblOverlap w:val="never"/>
        <w:tblW w:w="13186" w:type="dxa"/>
        <w:tblLook w:val="04A0" w:firstRow="1" w:lastRow="0" w:firstColumn="1" w:lastColumn="0" w:noHBand="0" w:noVBand="1"/>
      </w:tblPr>
      <w:tblGrid>
        <w:gridCol w:w="1075"/>
        <w:gridCol w:w="2880"/>
        <w:gridCol w:w="1890"/>
        <w:gridCol w:w="1350"/>
        <w:gridCol w:w="5991"/>
      </w:tblGrid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880" w:type="dxa"/>
          </w:tcPr>
          <w:p w:rsidR="00DB3C8F" w:rsidRPr="005F608B" w:rsidRDefault="00DB3C8F" w:rsidP="00AA7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Sample/Setting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Borovecki</w:t>
            </w:r>
            <w:proofErr w:type="spell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et al. (2022)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Examine correlations between different factors on withholding or withdrawing life-prolonging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assisted suicide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Random sample of adults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1,203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participants</w:t>
            </w:r>
          </w:p>
          <w:p w:rsidR="00DB3C8F" w:rsidRPr="005F608B" w:rsidRDefault="00DB3C8F" w:rsidP="00AA71A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  <w:p w:rsidR="00DB3C8F" w:rsidRPr="005F608B" w:rsidRDefault="00DB3C8F" w:rsidP="00AA71A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Descriptive cross-sectional</w:t>
            </w:r>
          </w:p>
        </w:tc>
        <w:tc>
          <w:tcPr>
            <w:tcW w:w="5991" w:type="dxa"/>
          </w:tcPr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ithhol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life-prolonging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38.1% agree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ithdraw life-prolonging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8% agreed 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ithholding procedures should be regulated by law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77% agree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Younger and middle-aged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ones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with higher education, living in big cities, and with a more liberal worldview were more likely to favor euthanasia.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Yu (2022)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Examine community-dwelling older adults’ views on advance care planning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Random sample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lder adults(N=282)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Descriptive cross-sectional</w:t>
            </w:r>
          </w:p>
        </w:tc>
        <w:tc>
          <w:tcPr>
            <w:tcW w:w="5991" w:type="dxa"/>
          </w:tcPr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referred advance care planning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17%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even after providing information. 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ere more likely to prefer having wills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ere more likely to trust doctors rather than family members. 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Piette</w:t>
            </w:r>
            <w:proofErr w:type="spell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et al. (2022)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Identify barriers and facilitators experienced by parents in making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decisions for their infants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23 parents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neonatal intensive care unit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Qualitative study using 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Four themes related to barriers and facilitators: clinical knowledge and prognosis, quality of information, emotion regulation, and psychosocial environment.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Fu and </w:t>
            </w:r>
            <w:proofErr w:type="spell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Glasdam</w:t>
            </w:r>
            <w:proofErr w:type="spell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Explore understanding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good death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authorities, professionals, patients, relatives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19 studies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Mainland, China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End-of-life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care settings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Scoping review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Three themes </w:t>
            </w:r>
            <w:proofErr w:type="gram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emerged:</w:t>
            </w:r>
            <w:proofErr w:type="gram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the medicalization of death, communication about death, and dying and death as socially dependent concepts.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Tuesen</w:t>
            </w:r>
            <w:proofErr w:type="spell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et al. (2022)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Explore patient and physician views on life-sustaining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conversation, based on Danish Physician Orders for Life Sustaining Treatment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6 patients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5 physicians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various age groups.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Denmark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healthcare settings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Qualitative study 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Six themes: timing, relatives are key persons, clarifying treatment preferences, documentation across settings, strengthening patient autonomy, and structure influences conversations.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Kim et al. (2021)</w:t>
            </w: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Evaluate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 planning intervention studies across the dementia trajectory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Setting: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iverse geographical locations with application to South Korea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Systematic review</w:t>
            </w:r>
          </w:p>
        </w:tc>
        <w:tc>
          <w:tcPr>
            <w:tcW w:w="5991" w:type="dxa"/>
          </w:tcPr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In mild dementia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nterventions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documented discussions. Surrogates’ role was to listen.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In advanced dementia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urrogates were educated using discussions and materials with follow-up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to help make informed, shared decisions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Hein et al. (2020)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Identify key components of pediatric advance care planning.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b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ereaved parents,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 providers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Germany,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are networks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Qualitative design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Five themes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discussions, documentation, implementation, timing, and participation of children and adolescents.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Nelson-Brantley et al. (2019)</w:t>
            </w:r>
          </w:p>
        </w:tc>
        <w:tc>
          <w:tcPr>
            <w:tcW w:w="288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Analyze literature on advance care planning in primary care, with a focus on rural settings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30 studies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Rural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settings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Scoping review</w:t>
            </w:r>
          </w:p>
        </w:tc>
        <w:tc>
          <w:tcPr>
            <w:tcW w:w="5991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Four steps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advance care </w:t>
            </w:r>
            <w:proofErr w:type="gram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planning:</w:t>
            </w:r>
            <w:proofErr w:type="gramEnd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identification, conversation, documentation, and follow-up.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Rahemi &amp; </w:t>
            </w:r>
            <w:r w:rsidRPr="00583C81">
              <w:rPr>
                <w:rFonts w:ascii="Times New Roman" w:hAnsi="Times New Roman" w:cs="Times New Roman"/>
                <w:sz w:val="20"/>
                <w:szCs w:val="20"/>
              </w:rPr>
              <w:t xml:space="preserve">Williams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(2020) 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Identify factors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related to end-of-life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 preferences and planning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general and ethnically diverse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population of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older adults.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14 studies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ommunity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Systematic review</w:t>
            </w:r>
          </w:p>
        </w:tc>
        <w:tc>
          <w:tcPr>
            <w:tcW w:w="5991" w:type="dxa"/>
          </w:tcPr>
          <w:p w:rsidR="00DB3C8F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factors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age, gender, education, knowledge, spiritual beliefs, health status, experience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loved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nes’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/end-of-life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care, communication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 preferences.</w:t>
            </w:r>
          </w:p>
          <w:p w:rsidR="00DB3C8F" w:rsidRPr="005F608B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actors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diverse populations: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ethnicity, family burden, support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family network, acculturation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distrust, acceptance of death.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Rahemi et al. 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Rahemi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CE2EAC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Explore determinants of communication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end-of-life 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wishes and preferences in Iranian American older adults.</w:t>
            </w:r>
          </w:p>
        </w:tc>
        <w:tc>
          <w:tcPr>
            <w:tcW w:w="1890" w:type="dxa"/>
          </w:tcPr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135 older Iranian Americans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ommunity</w:t>
            </w:r>
          </w:p>
        </w:tc>
        <w:tc>
          <w:tcPr>
            <w:tcW w:w="1350" w:type="dxa"/>
          </w:tcPr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Cross-sectional study</w:t>
            </w:r>
          </w:p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CE2EAC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1" w:type="dxa"/>
          </w:tcPr>
          <w:p w:rsidR="00DB3C8F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referred receiv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care in hospital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84.8%</w:t>
            </w:r>
          </w:p>
          <w:p w:rsidR="00DB3C8F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redictors of home preference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ocial support and number of cohabitants. </w:t>
            </w:r>
          </w:p>
          <w:p w:rsidR="00DB3C8F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experience of loved 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death was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predictor of communication.</w:t>
            </w:r>
          </w:p>
          <w:p w:rsidR="00DB3C8F" w:rsidRPr="00CE2EAC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, acculturation, healthcare system distrust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positively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and spirituality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negatively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Pr="00CE2EAC">
              <w:rPr>
                <w:rFonts w:ascii="Times New Roman" w:hAnsi="Times New Roman" w:cs="Times New Roman"/>
                <w:sz w:val="20"/>
                <w:szCs w:val="20"/>
              </w:rPr>
              <w:t>associated with communication.</w:t>
            </w:r>
          </w:p>
        </w:tc>
      </w:tr>
      <w:tr w:rsidR="00DB3C8F" w:rsidRPr="005F608B" w:rsidTr="00AA71A6">
        <w:tc>
          <w:tcPr>
            <w:tcW w:w="1075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Rahemi &amp; Parker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3C8F" w:rsidRPr="005F608B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Investigate preferences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regarding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-of-life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care planning among young and middle-aged Iranian Americans.</w:t>
            </w:r>
          </w:p>
        </w:tc>
        <w:tc>
          <w:tcPr>
            <w:tcW w:w="189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251 young and middle-aged Iranian Americans</w:t>
            </w:r>
          </w:p>
          <w:p w:rsidR="00DB3C8F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ommunity</w:t>
            </w:r>
          </w:p>
        </w:tc>
        <w:tc>
          <w:tcPr>
            <w:tcW w:w="1350" w:type="dxa"/>
          </w:tcPr>
          <w:p w:rsidR="00DB3C8F" w:rsidRPr="005F608B" w:rsidRDefault="00DB3C8F" w:rsidP="00AA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Cross-sectional descriptive </w:t>
            </w:r>
          </w:p>
          <w:p w:rsidR="00DB3C8F" w:rsidRPr="005F608B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1" w:type="dxa"/>
          </w:tcPr>
          <w:p w:rsidR="00DB3C8F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referred hospitalization and intensive treatments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57% </w:t>
            </w:r>
          </w:p>
          <w:p w:rsidR="00DB3C8F" w:rsidRPr="005F608B" w:rsidRDefault="00DB3C8F" w:rsidP="00AA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referred comfort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proofErr w:type="gramStart"/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preferred </w:t>
            </w:r>
            <w:r w:rsidRPr="005F608B">
              <w:rPr>
                <w:rFonts w:ascii="Times New Roman" w:hAnsi="Times New Roman" w:cs="Times New Roman"/>
                <w:sz w:val="20"/>
                <w:szCs w:val="20"/>
              </w:rPr>
              <w:t xml:space="preserve">care at home. </w:t>
            </w:r>
          </w:p>
        </w:tc>
      </w:tr>
    </w:tbl>
    <w:p w:rsidR="00D33DCC" w:rsidRDefault="00D33DCC">
      <w:bookmarkStart w:id="0" w:name="_GoBack"/>
      <w:bookmarkEnd w:id="0"/>
    </w:p>
    <w:sectPr w:rsidR="00D33DCC" w:rsidSect="00DB3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8F"/>
    <w:rsid w:val="007234AA"/>
    <w:rsid w:val="00764971"/>
    <w:rsid w:val="00D33DCC"/>
    <w:rsid w:val="00DB3C8F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799"/>
  <w15:chartTrackingRefBased/>
  <w15:docId w15:val="{FB143FA9-4110-4F92-BD60-53C3564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</dc:creator>
  <cp:keywords/>
  <dc:description/>
  <cp:lastModifiedBy>SSR</cp:lastModifiedBy>
  <cp:revision>1</cp:revision>
  <dcterms:created xsi:type="dcterms:W3CDTF">2023-02-14T18:16:00Z</dcterms:created>
  <dcterms:modified xsi:type="dcterms:W3CDTF">2023-02-14T18:16:00Z</dcterms:modified>
</cp:coreProperties>
</file>